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BC3F6" w14:textId="7770E74D" w:rsidR="00927230" w:rsidRPr="00975DA7" w:rsidRDefault="00927230" w:rsidP="00927230">
      <w:pPr>
        <w:spacing w:line="360" w:lineRule="auto"/>
        <w:jc w:val="center"/>
        <w:rPr>
          <w:rFonts w:ascii="Times New Roman" w:hAnsi="Times New Roman" w:cs="Times New Roman"/>
          <w:b/>
          <w:bCs/>
        </w:rPr>
      </w:pPr>
      <w:r w:rsidRPr="00975DA7">
        <w:rPr>
          <w:rFonts w:ascii="Times New Roman" w:hAnsi="Times New Roman" w:cs="Times New Roman"/>
          <w:b/>
        </w:rPr>
        <w:t>Degrees of Lateralisation in Semantic Cognition: Evidence from Intrinsic Connectivity</w:t>
      </w:r>
    </w:p>
    <w:p w14:paraId="08E98DFC" w14:textId="77777777" w:rsidR="00927230" w:rsidRPr="00975DA7" w:rsidRDefault="00927230" w:rsidP="00927230">
      <w:pPr>
        <w:spacing w:line="360" w:lineRule="auto"/>
        <w:jc w:val="both"/>
        <w:rPr>
          <w:rFonts w:ascii="Times New Roman" w:hAnsi="Times New Roman" w:cs="Times New Roman"/>
          <w:b/>
        </w:rPr>
      </w:pPr>
    </w:p>
    <w:p w14:paraId="02F8B951" w14:textId="3F76C720" w:rsidR="00927230" w:rsidRPr="00975DA7" w:rsidRDefault="00927230" w:rsidP="00927230">
      <w:pPr>
        <w:spacing w:line="360" w:lineRule="auto"/>
        <w:jc w:val="center"/>
        <w:rPr>
          <w:rFonts w:ascii="Times New Roman" w:hAnsi="Times New Roman" w:cs="Times New Roman"/>
          <w:vertAlign w:val="superscript"/>
        </w:rPr>
      </w:pPr>
      <w:r w:rsidRPr="00975DA7">
        <w:rPr>
          <w:rFonts w:ascii="Times New Roman" w:hAnsi="Times New Roman" w:cs="Times New Roman"/>
        </w:rPr>
        <w:t>Tirso</w:t>
      </w:r>
      <w:r w:rsidR="00A6457D" w:rsidRPr="00975DA7">
        <w:rPr>
          <w:rFonts w:ascii="Times New Roman" w:hAnsi="Times New Roman" w:cs="Times New Roman"/>
        </w:rPr>
        <w:t xml:space="preserve"> RJ</w:t>
      </w:r>
      <w:r w:rsidRPr="00975DA7">
        <w:rPr>
          <w:rFonts w:ascii="Times New Roman" w:hAnsi="Times New Roman" w:cs="Times New Roman"/>
        </w:rPr>
        <w:t xml:space="preserve"> Gonzalez Alam</w:t>
      </w:r>
      <w:r w:rsidRPr="00975DA7">
        <w:rPr>
          <w:rFonts w:ascii="Times New Roman" w:hAnsi="Times New Roman" w:cs="Times New Roman"/>
          <w:vertAlign w:val="superscript"/>
        </w:rPr>
        <w:t>a,b</w:t>
      </w:r>
      <w:r w:rsidRPr="00975DA7">
        <w:rPr>
          <w:rFonts w:ascii="Times New Roman" w:hAnsi="Times New Roman" w:cs="Times New Roman"/>
        </w:rPr>
        <w:t>, Theodoros Karapanagiotidis</w:t>
      </w:r>
      <w:r w:rsidRPr="00975DA7">
        <w:rPr>
          <w:rFonts w:ascii="Times New Roman" w:hAnsi="Times New Roman" w:cs="Times New Roman"/>
          <w:vertAlign w:val="superscript"/>
        </w:rPr>
        <w:t>a,b</w:t>
      </w:r>
      <w:r w:rsidRPr="00975DA7">
        <w:rPr>
          <w:rFonts w:ascii="Times New Roman" w:hAnsi="Times New Roman" w:cs="Times New Roman"/>
        </w:rPr>
        <w:t>, Jonathan Smallwood</w:t>
      </w:r>
      <w:r w:rsidRPr="00975DA7">
        <w:rPr>
          <w:rFonts w:ascii="Times New Roman" w:hAnsi="Times New Roman" w:cs="Times New Roman"/>
          <w:vertAlign w:val="superscript"/>
        </w:rPr>
        <w:t>a,b</w:t>
      </w:r>
      <w:r w:rsidRPr="00975DA7">
        <w:rPr>
          <w:rFonts w:ascii="Times New Roman" w:hAnsi="Times New Roman" w:cs="Times New Roman"/>
        </w:rPr>
        <w:t>, Elizabeth Jefferies</w:t>
      </w:r>
      <w:r w:rsidRPr="00975DA7">
        <w:rPr>
          <w:rFonts w:ascii="Times New Roman" w:hAnsi="Times New Roman" w:cs="Times New Roman"/>
          <w:vertAlign w:val="superscript"/>
        </w:rPr>
        <w:t>a,b</w:t>
      </w:r>
    </w:p>
    <w:p w14:paraId="1AEA17D1" w14:textId="77777777" w:rsidR="00927230" w:rsidRPr="00975DA7" w:rsidRDefault="00927230" w:rsidP="00927230">
      <w:pPr>
        <w:spacing w:line="360" w:lineRule="auto"/>
        <w:jc w:val="center"/>
        <w:rPr>
          <w:rFonts w:ascii="Times New Roman" w:hAnsi="Times New Roman" w:cs="Times New Roman"/>
        </w:rPr>
      </w:pPr>
      <w:r w:rsidRPr="00975DA7">
        <w:rPr>
          <w:rFonts w:ascii="Times New Roman" w:hAnsi="Times New Roman" w:cs="Times New Roman"/>
          <w:vertAlign w:val="superscript"/>
        </w:rPr>
        <w:t xml:space="preserve">a.- </w:t>
      </w:r>
      <w:r w:rsidRPr="00975DA7">
        <w:rPr>
          <w:rFonts w:ascii="Times New Roman" w:hAnsi="Times New Roman" w:cs="Times New Roman"/>
        </w:rPr>
        <w:t>Department of Psychology, University of York, YO10 5DD, UK.</w:t>
      </w:r>
    </w:p>
    <w:p w14:paraId="21A07A08" w14:textId="77777777" w:rsidR="00927230" w:rsidRPr="00975DA7" w:rsidRDefault="00927230" w:rsidP="00927230">
      <w:pPr>
        <w:spacing w:line="360" w:lineRule="auto"/>
        <w:jc w:val="center"/>
        <w:rPr>
          <w:rFonts w:ascii="Times New Roman" w:hAnsi="Times New Roman" w:cs="Times New Roman"/>
        </w:rPr>
      </w:pPr>
      <w:r w:rsidRPr="00975DA7">
        <w:rPr>
          <w:rFonts w:ascii="Times New Roman" w:hAnsi="Times New Roman" w:cs="Times New Roman"/>
          <w:vertAlign w:val="superscript"/>
        </w:rPr>
        <w:t xml:space="preserve">b.- </w:t>
      </w:r>
      <w:r w:rsidRPr="00975DA7">
        <w:rPr>
          <w:rFonts w:ascii="Times New Roman" w:hAnsi="Times New Roman" w:cs="Times New Roman"/>
        </w:rPr>
        <w:t>York Neuroimaging Centre, Innovation Way, Heslington, York YO10 5NY, UK.</w:t>
      </w:r>
    </w:p>
    <w:p w14:paraId="24764BDE" w14:textId="77777777" w:rsidR="00927230" w:rsidRPr="00975DA7" w:rsidRDefault="00927230" w:rsidP="00927230">
      <w:pPr>
        <w:spacing w:line="360" w:lineRule="auto"/>
        <w:jc w:val="center"/>
        <w:rPr>
          <w:rFonts w:ascii="Times New Roman" w:hAnsi="Times New Roman" w:cs="Times New Roman"/>
        </w:rPr>
      </w:pPr>
    </w:p>
    <w:p w14:paraId="694937A5" w14:textId="77777777" w:rsidR="00927230" w:rsidRPr="00975DA7" w:rsidRDefault="00927230" w:rsidP="00927230">
      <w:pPr>
        <w:spacing w:line="360" w:lineRule="auto"/>
        <w:jc w:val="center"/>
        <w:rPr>
          <w:rFonts w:ascii="Times New Roman" w:hAnsi="Times New Roman" w:cs="Times New Roman"/>
        </w:rPr>
      </w:pPr>
    </w:p>
    <w:p w14:paraId="38E8B764" w14:textId="77777777" w:rsidR="00927230" w:rsidRPr="00975DA7" w:rsidRDefault="00927230" w:rsidP="00927230">
      <w:pPr>
        <w:spacing w:line="360" w:lineRule="auto"/>
        <w:jc w:val="both"/>
        <w:rPr>
          <w:rFonts w:ascii="Times New Roman" w:hAnsi="Times New Roman" w:cs="Times New Roman"/>
          <w:lang w:val="es-MX"/>
        </w:rPr>
      </w:pPr>
      <w:r w:rsidRPr="00975DA7">
        <w:rPr>
          <w:rFonts w:ascii="Times New Roman" w:hAnsi="Times New Roman" w:cs="Times New Roman"/>
          <w:lang w:val="es-MX"/>
        </w:rPr>
        <w:t>E-mail addresses:</w:t>
      </w:r>
    </w:p>
    <w:p w14:paraId="52D05A3C" w14:textId="77777777" w:rsidR="00927230" w:rsidRPr="00975DA7" w:rsidRDefault="00927230" w:rsidP="00927230">
      <w:pPr>
        <w:spacing w:line="360" w:lineRule="auto"/>
        <w:jc w:val="both"/>
        <w:rPr>
          <w:rFonts w:ascii="Times New Roman" w:hAnsi="Times New Roman" w:cs="Times New Roman"/>
          <w:lang w:val="es-MX"/>
        </w:rPr>
      </w:pPr>
      <w:r w:rsidRPr="00975DA7">
        <w:rPr>
          <w:rFonts w:ascii="Times New Roman" w:hAnsi="Times New Roman" w:cs="Times New Roman"/>
          <w:lang w:val="es-MX"/>
        </w:rPr>
        <w:t xml:space="preserve">Tirso Gonzalez Alam: </w:t>
      </w:r>
      <w:hyperlink r:id="rId8" w:history="1">
        <w:r w:rsidRPr="00975DA7">
          <w:rPr>
            <w:rStyle w:val="Hyperlink"/>
            <w:rFonts w:ascii="Times New Roman" w:hAnsi="Times New Roman" w:cs="Times New Roman"/>
            <w:lang w:val="es-MX"/>
          </w:rPr>
          <w:t>trga500@york.ac.uk</w:t>
        </w:r>
      </w:hyperlink>
    </w:p>
    <w:p w14:paraId="1E2280A6" w14:textId="77777777" w:rsidR="00927230" w:rsidRPr="00975DA7" w:rsidRDefault="00927230" w:rsidP="00927230">
      <w:pPr>
        <w:spacing w:line="360" w:lineRule="auto"/>
        <w:jc w:val="both"/>
        <w:rPr>
          <w:rFonts w:ascii="Times New Roman" w:hAnsi="Times New Roman" w:cs="Times New Roman"/>
          <w:u w:val="single"/>
          <w:lang w:val="es-MX"/>
        </w:rPr>
      </w:pPr>
      <w:r w:rsidRPr="00975DA7">
        <w:rPr>
          <w:rFonts w:ascii="Times New Roman" w:hAnsi="Times New Roman" w:cs="Times New Roman"/>
          <w:lang w:val="es-MX"/>
        </w:rPr>
        <w:t xml:space="preserve">Theodoros Karapanagiotidis: </w:t>
      </w:r>
      <w:r w:rsidRPr="00975DA7">
        <w:rPr>
          <w:rStyle w:val="Hyperlink"/>
          <w:rFonts w:ascii="Times New Roman" w:hAnsi="Times New Roman" w:cs="Times New Roman"/>
          <w:lang w:val="es-MX"/>
        </w:rPr>
        <w:t>theodoros.karapanagiotidis@york.ac.uk</w:t>
      </w:r>
    </w:p>
    <w:p w14:paraId="2CAE1368" w14:textId="77777777" w:rsidR="00927230" w:rsidRPr="00975DA7" w:rsidRDefault="00927230" w:rsidP="00927230">
      <w:pPr>
        <w:spacing w:line="360" w:lineRule="auto"/>
        <w:jc w:val="both"/>
        <w:rPr>
          <w:rFonts w:ascii="Times New Roman" w:hAnsi="Times New Roman" w:cs="Times New Roman"/>
        </w:rPr>
      </w:pPr>
      <w:r w:rsidRPr="00975DA7">
        <w:rPr>
          <w:rFonts w:ascii="Times New Roman" w:hAnsi="Times New Roman" w:cs="Times New Roman"/>
        </w:rPr>
        <w:t xml:space="preserve">Jonathan Smallwood: </w:t>
      </w:r>
      <w:hyperlink r:id="rId9" w:history="1">
        <w:r w:rsidRPr="00975DA7">
          <w:rPr>
            <w:rStyle w:val="Hyperlink"/>
            <w:rFonts w:ascii="Times New Roman" w:hAnsi="Times New Roman" w:cs="Times New Roman"/>
          </w:rPr>
          <w:t>jonny.smallwood@york.ac.uk</w:t>
        </w:r>
      </w:hyperlink>
    </w:p>
    <w:p w14:paraId="2D2B51FA" w14:textId="77777777" w:rsidR="00927230" w:rsidRPr="00975DA7" w:rsidRDefault="00927230" w:rsidP="00927230">
      <w:pPr>
        <w:spacing w:line="360" w:lineRule="auto"/>
        <w:jc w:val="both"/>
        <w:rPr>
          <w:rFonts w:ascii="Times New Roman" w:hAnsi="Times New Roman" w:cs="Times New Roman"/>
        </w:rPr>
      </w:pPr>
    </w:p>
    <w:p w14:paraId="71F4AB73" w14:textId="77777777" w:rsidR="00927230" w:rsidRPr="00975DA7" w:rsidRDefault="00927230" w:rsidP="00927230">
      <w:pPr>
        <w:spacing w:line="360" w:lineRule="auto"/>
        <w:jc w:val="both"/>
        <w:rPr>
          <w:rFonts w:ascii="Times New Roman" w:hAnsi="Times New Roman" w:cs="Times New Roman"/>
        </w:rPr>
      </w:pPr>
      <w:r w:rsidRPr="00975DA7">
        <w:rPr>
          <w:rFonts w:ascii="Times New Roman" w:hAnsi="Times New Roman" w:cs="Times New Roman"/>
        </w:rPr>
        <w:t xml:space="preserve">Corresponding author: Elizabeth Jefferies. </w:t>
      </w:r>
    </w:p>
    <w:p w14:paraId="52624D7E" w14:textId="77777777" w:rsidR="00927230" w:rsidRPr="00975DA7" w:rsidRDefault="00927230" w:rsidP="00927230">
      <w:pPr>
        <w:spacing w:line="360" w:lineRule="auto"/>
        <w:jc w:val="both"/>
        <w:rPr>
          <w:rStyle w:val="Hyperlink"/>
          <w:rFonts w:ascii="Times New Roman" w:hAnsi="Times New Roman" w:cs="Times New Roman"/>
        </w:rPr>
      </w:pPr>
      <w:r w:rsidRPr="00975DA7">
        <w:rPr>
          <w:rFonts w:ascii="Times New Roman" w:hAnsi="Times New Roman" w:cs="Times New Roman"/>
        </w:rPr>
        <w:t xml:space="preserve">Address for correspondence: Department of Psychology, University of York, YO10 5DD, UK. Fax: +44 (0)1904 323181. </w:t>
      </w:r>
      <w:hyperlink r:id="rId10" w:tgtFrame="_self" w:history="1">
        <w:r w:rsidRPr="00975DA7">
          <w:rPr>
            <w:rStyle w:val="Hyperlink"/>
            <w:rFonts w:ascii="Times New Roman" w:hAnsi="Times New Roman" w:cs="Times New Roman"/>
          </w:rPr>
          <w:t>beth.jefferies@york.ac.uk</w:t>
        </w:r>
      </w:hyperlink>
    </w:p>
    <w:p w14:paraId="2043B836" w14:textId="77777777" w:rsidR="00927230" w:rsidRPr="00975DA7" w:rsidRDefault="00927230" w:rsidP="00927230">
      <w:pPr>
        <w:spacing w:line="360" w:lineRule="auto"/>
        <w:jc w:val="both"/>
        <w:rPr>
          <w:rStyle w:val="Hyperlink"/>
          <w:rFonts w:ascii="Times New Roman" w:hAnsi="Times New Roman" w:cs="Times New Roman"/>
        </w:rPr>
      </w:pPr>
    </w:p>
    <w:p w14:paraId="60FEB67F" w14:textId="77777777" w:rsidR="00927230" w:rsidRPr="00975DA7" w:rsidRDefault="00927230" w:rsidP="00927230">
      <w:pPr>
        <w:spacing w:line="360" w:lineRule="auto"/>
        <w:jc w:val="both"/>
        <w:rPr>
          <w:rFonts w:ascii="Times New Roman" w:hAnsi="Times New Roman" w:cs="Times New Roman"/>
        </w:rPr>
      </w:pPr>
      <w:r w:rsidRPr="00975DA7">
        <w:rPr>
          <w:rFonts w:ascii="Times New Roman" w:hAnsi="Times New Roman" w:cs="Times New Roman"/>
        </w:rPr>
        <w:t xml:space="preserve">Funding: EJ was supported by European Research Council [FLEXSEM-771863], JS was supported by European Research Council [WANDERINGMINDS-646927], TGA was supported by the National Council of Science and Technology of Mexico [Scholarship 411361]. </w:t>
      </w:r>
    </w:p>
    <w:p w14:paraId="26AC1FE6" w14:textId="77777777" w:rsidR="00927230" w:rsidRPr="00975DA7" w:rsidRDefault="00927230" w:rsidP="00927230">
      <w:pPr>
        <w:spacing w:line="360" w:lineRule="auto"/>
        <w:jc w:val="both"/>
        <w:rPr>
          <w:rFonts w:ascii="Times New Roman" w:hAnsi="Times New Roman" w:cs="Times New Roman"/>
        </w:rPr>
      </w:pPr>
    </w:p>
    <w:p w14:paraId="34507466" w14:textId="77777777" w:rsidR="00927230" w:rsidRPr="00975DA7" w:rsidRDefault="00927230" w:rsidP="00927230">
      <w:pPr>
        <w:spacing w:line="360" w:lineRule="auto"/>
        <w:jc w:val="both"/>
        <w:rPr>
          <w:rFonts w:ascii="Times New Roman" w:hAnsi="Times New Roman" w:cs="Times New Roman"/>
          <w:b/>
        </w:rPr>
      </w:pPr>
      <w:r w:rsidRPr="00975DA7">
        <w:rPr>
          <w:rFonts w:ascii="Times New Roman" w:hAnsi="Times New Roman" w:cs="Times New Roman"/>
        </w:rPr>
        <w:t>Declarations of interest: none</w:t>
      </w:r>
    </w:p>
    <w:p w14:paraId="24657EED" w14:textId="77777777" w:rsidR="00927230" w:rsidRPr="00975DA7" w:rsidRDefault="00927230">
      <w:pPr>
        <w:rPr>
          <w:rFonts w:ascii="Times New Roman" w:hAnsi="Times New Roman" w:cs="Times New Roman"/>
          <w:b/>
        </w:rPr>
      </w:pPr>
    </w:p>
    <w:p w14:paraId="6AAADD97" w14:textId="77777777" w:rsidR="00927230" w:rsidRPr="00975DA7" w:rsidRDefault="00927230">
      <w:pPr>
        <w:rPr>
          <w:rFonts w:ascii="Times New Roman" w:hAnsi="Times New Roman" w:cs="Times New Roman"/>
          <w:b/>
        </w:rPr>
      </w:pPr>
      <w:r w:rsidRPr="00975DA7">
        <w:rPr>
          <w:rFonts w:ascii="Times New Roman" w:hAnsi="Times New Roman" w:cs="Times New Roman"/>
          <w:b/>
        </w:rPr>
        <w:br w:type="page"/>
      </w:r>
    </w:p>
    <w:p w14:paraId="3C8C15E3" w14:textId="77777777" w:rsidR="00BD1B07" w:rsidRPr="00975DA7" w:rsidRDefault="00BD1B07" w:rsidP="0059177E">
      <w:pPr>
        <w:pStyle w:val="CommentText"/>
        <w:jc w:val="center"/>
        <w:rPr>
          <w:rFonts w:ascii="Times New Roman" w:hAnsi="Times New Roman" w:cs="Times New Roman"/>
          <w:b/>
          <w:bCs/>
          <w:sz w:val="22"/>
          <w:szCs w:val="22"/>
        </w:rPr>
      </w:pPr>
      <w:r w:rsidRPr="00975DA7">
        <w:rPr>
          <w:rFonts w:ascii="Times New Roman" w:hAnsi="Times New Roman" w:cs="Times New Roman"/>
          <w:b/>
          <w:bCs/>
          <w:sz w:val="22"/>
          <w:szCs w:val="22"/>
        </w:rPr>
        <w:lastRenderedPageBreak/>
        <w:t>Abstract</w:t>
      </w:r>
    </w:p>
    <w:p w14:paraId="653068F9" w14:textId="00D67020" w:rsidR="00BD1B07" w:rsidRPr="00975DA7" w:rsidRDefault="00362A06" w:rsidP="000F476C">
      <w:pPr>
        <w:pStyle w:val="CommentText"/>
        <w:spacing w:line="360" w:lineRule="auto"/>
        <w:rPr>
          <w:rFonts w:ascii="Times New Roman" w:hAnsi="Times New Roman" w:cs="Times New Roman"/>
          <w:sz w:val="22"/>
          <w:szCs w:val="22"/>
        </w:rPr>
      </w:pPr>
      <w:r w:rsidRPr="00975DA7">
        <w:rPr>
          <w:rFonts w:ascii="Times New Roman" w:hAnsi="Times New Roman" w:cs="Times New Roman"/>
          <w:bCs/>
          <w:sz w:val="22"/>
          <w:szCs w:val="22"/>
        </w:rPr>
        <w:t xml:space="preserve">The semantic network is thought to </w:t>
      </w:r>
      <w:r w:rsidR="009153B9" w:rsidRPr="00975DA7">
        <w:rPr>
          <w:rFonts w:ascii="Times New Roman" w:hAnsi="Times New Roman" w:cs="Times New Roman"/>
          <w:bCs/>
          <w:sz w:val="22"/>
          <w:szCs w:val="22"/>
        </w:rPr>
        <w:t>include</w:t>
      </w:r>
      <w:r w:rsidRPr="00975DA7">
        <w:rPr>
          <w:rFonts w:ascii="Times New Roman" w:hAnsi="Times New Roman" w:cs="Times New Roman"/>
          <w:bCs/>
          <w:sz w:val="22"/>
          <w:szCs w:val="22"/>
        </w:rPr>
        <w:t xml:space="preserve"> multiple components, including </w:t>
      </w:r>
      <w:r w:rsidR="009153B9" w:rsidRPr="00975DA7">
        <w:rPr>
          <w:rFonts w:ascii="Times New Roman" w:hAnsi="Times New Roman" w:cs="Times New Roman"/>
          <w:bCs/>
          <w:sz w:val="22"/>
          <w:szCs w:val="22"/>
        </w:rPr>
        <w:t xml:space="preserve">heteromodal </w:t>
      </w:r>
      <w:r w:rsidRPr="00975DA7">
        <w:rPr>
          <w:rFonts w:ascii="Times New Roman" w:hAnsi="Times New Roman" w:cs="Times New Roman"/>
          <w:bCs/>
          <w:sz w:val="22"/>
          <w:szCs w:val="22"/>
        </w:rPr>
        <w:t xml:space="preserve">conceptual representations and </w:t>
      </w:r>
      <w:r w:rsidR="00924E24" w:rsidRPr="00975DA7">
        <w:rPr>
          <w:rFonts w:ascii="Times New Roman" w:hAnsi="Times New Roman" w:cs="Times New Roman"/>
          <w:bCs/>
          <w:sz w:val="22"/>
          <w:szCs w:val="22"/>
        </w:rPr>
        <w:t xml:space="preserve">semantic </w:t>
      </w:r>
      <w:r w:rsidRPr="00975DA7">
        <w:rPr>
          <w:rFonts w:ascii="Times New Roman" w:hAnsi="Times New Roman" w:cs="Times New Roman"/>
          <w:bCs/>
          <w:sz w:val="22"/>
          <w:szCs w:val="22"/>
        </w:rPr>
        <w:t xml:space="preserve">control processes that </w:t>
      </w:r>
      <w:r w:rsidR="00924E24" w:rsidRPr="00975DA7">
        <w:rPr>
          <w:rFonts w:ascii="Times New Roman" w:hAnsi="Times New Roman" w:cs="Times New Roman"/>
          <w:bCs/>
          <w:sz w:val="22"/>
          <w:szCs w:val="22"/>
        </w:rPr>
        <w:t>shape</w:t>
      </w:r>
      <w:r w:rsidRPr="00975DA7">
        <w:rPr>
          <w:rFonts w:ascii="Times New Roman" w:hAnsi="Times New Roman" w:cs="Times New Roman"/>
          <w:bCs/>
          <w:sz w:val="22"/>
          <w:szCs w:val="22"/>
        </w:rPr>
        <w:t xml:space="preserve"> </w:t>
      </w:r>
      <w:r w:rsidR="00924E24" w:rsidRPr="00975DA7">
        <w:rPr>
          <w:rFonts w:ascii="Times New Roman" w:hAnsi="Times New Roman" w:cs="Times New Roman"/>
          <w:bCs/>
          <w:sz w:val="22"/>
          <w:szCs w:val="22"/>
        </w:rPr>
        <w:t>retrieval</w:t>
      </w:r>
      <w:r w:rsidRPr="00975DA7">
        <w:rPr>
          <w:rFonts w:ascii="Times New Roman" w:hAnsi="Times New Roman" w:cs="Times New Roman"/>
          <w:bCs/>
          <w:sz w:val="22"/>
          <w:szCs w:val="22"/>
        </w:rPr>
        <w:t xml:space="preserve"> to suit the circumstances.</w:t>
      </w:r>
      <w:r w:rsidR="00924E24" w:rsidRPr="00975DA7">
        <w:rPr>
          <w:rFonts w:ascii="Times New Roman" w:hAnsi="Times New Roman" w:cs="Times New Roman"/>
          <w:bCs/>
          <w:sz w:val="22"/>
          <w:szCs w:val="22"/>
        </w:rPr>
        <w:t xml:space="preserve"> </w:t>
      </w:r>
      <w:r w:rsidR="00374DDA" w:rsidRPr="00975DA7">
        <w:rPr>
          <w:rFonts w:ascii="Times New Roman" w:hAnsi="Times New Roman" w:cs="Times New Roman"/>
          <w:bCs/>
          <w:sz w:val="22"/>
          <w:szCs w:val="22"/>
        </w:rPr>
        <w:t>M</w:t>
      </w:r>
      <w:r w:rsidR="00252C86" w:rsidRPr="00975DA7">
        <w:rPr>
          <w:rFonts w:ascii="Times New Roman" w:hAnsi="Times New Roman" w:cs="Times New Roman"/>
          <w:bCs/>
          <w:sz w:val="22"/>
          <w:szCs w:val="22"/>
        </w:rPr>
        <w:t>uch</w:t>
      </w:r>
      <w:r w:rsidR="00757755" w:rsidRPr="00975DA7">
        <w:rPr>
          <w:rFonts w:ascii="Times New Roman" w:hAnsi="Times New Roman" w:cs="Times New Roman"/>
          <w:bCs/>
          <w:sz w:val="22"/>
          <w:szCs w:val="22"/>
        </w:rPr>
        <w:t xml:space="preserve"> of t</w:t>
      </w:r>
      <w:r w:rsidR="009153B9" w:rsidRPr="00975DA7">
        <w:rPr>
          <w:rFonts w:ascii="Times New Roman" w:hAnsi="Times New Roman" w:cs="Times New Roman"/>
          <w:bCs/>
          <w:sz w:val="22"/>
          <w:szCs w:val="22"/>
        </w:rPr>
        <w:t xml:space="preserve">his network is </w:t>
      </w:r>
      <w:r w:rsidR="00B30786" w:rsidRPr="00975DA7">
        <w:rPr>
          <w:rFonts w:ascii="Times New Roman" w:hAnsi="Times New Roman" w:cs="Times New Roman"/>
          <w:bCs/>
          <w:sz w:val="22"/>
          <w:szCs w:val="22"/>
        </w:rPr>
        <w:t xml:space="preserve">strongly </w:t>
      </w:r>
      <w:r w:rsidR="009153B9" w:rsidRPr="00975DA7">
        <w:rPr>
          <w:rFonts w:ascii="Times New Roman" w:hAnsi="Times New Roman" w:cs="Times New Roman"/>
          <w:bCs/>
          <w:sz w:val="22"/>
          <w:szCs w:val="22"/>
        </w:rPr>
        <w:t>left-lateralised; however,</w:t>
      </w:r>
      <w:r w:rsidR="00924E24" w:rsidRPr="00975DA7">
        <w:rPr>
          <w:rFonts w:ascii="Times New Roman" w:hAnsi="Times New Roman" w:cs="Times New Roman"/>
          <w:bCs/>
          <w:sz w:val="22"/>
          <w:szCs w:val="22"/>
        </w:rPr>
        <w:t xml:space="preserve"> work to date has not considered </w:t>
      </w:r>
      <w:r w:rsidR="009153B9" w:rsidRPr="00975DA7">
        <w:rPr>
          <w:rFonts w:ascii="Times New Roman" w:hAnsi="Times New Roman" w:cs="Times New Roman"/>
          <w:bCs/>
          <w:sz w:val="22"/>
          <w:szCs w:val="22"/>
        </w:rPr>
        <w:t>whether separable</w:t>
      </w:r>
      <w:r w:rsidR="00924E24" w:rsidRPr="00975DA7">
        <w:rPr>
          <w:rFonts w:ascii="Times New Roman" w:hAnsi="Times New Roman" w:cs="Times New Roman"/>
          <w:bCs/>
          <w:sz w:val="22"/>
          <w:szCs w:val="22"/>
        </w:rPr>
        <w:t xml:space="preserve"> components of semantic cognition have different degrees of lateralisation. </w:t>
      </w:r>
      <w:r w:rsidR="00BD1B07" w:rsidRPr="00975DA7">
        <w:rPr>
          <w:rFonts w:ascii="Times New Roman" w:hAnsi="Times New Roman" w:cs="Times New Roman"/>
          <w:sz w:val="22"/>
          <w:szCs w:val="22"/>
        </w:rPr>
        <w:t xml:space="preserve">This study examined intrinsic connectivity of four regions implicated in heteromodal semantic cognition, </w:t>
      </w:r>
      <w:r w:rsidR="00B30786" w:rsidRPr="00975DA7">
        <w:rPr>
          <w:rFonts w:ascii="Times New Roman" w:hAnsi="Times New Roman" w:cs="Times New Roman"/>
          <w:sz w:val="22"/>
          <w:szCs w:val="22"/>
        </w:rPr>
        <w:t>identified using</w:t>
      </w:r>
      <w:r w:rsidR="00BD1B07" w:rsidRPr="00975DA7">
        <w:rPr>
          <w:rFonts w:ascii="Times New Roman" w:hAnsi="Times New Roman" w:cs="Times New Roman"/>
          <w:sz w:val="22"/>
          <w:szCs w:val="22"/>
        </w:rPr>
        <w:t xml:space="preserve"> large scale meta-analyses: </w:t>
      </w:r>
      <w:r w:rsidR="00AA1B34" w:rsidRPr="00975DA7">
        <w:rPr>
          <w:rFonts w:ascii="Times New Roman" w:hAnsi="Times New Roman" w:cs="Times New Roman"/>
          <w:sz w:val="22"/>
          <w:szCs w:val="22"/>
        </w:rPr>
        <w:t xml:space="preserve">two sites which have been argued to act as heteromodal semantic hubs in </w:t>
      </w:r>
      <w:r w:rsidR="00BD1B07" w:rsidRPr="00975DA7">
        <w:rPr>
          <w:rFonts w:ascii="Times New Roman" w:hAnsi="Times New Roman" w:cs="Times New Roman"/>
          <w:sz w:val="22"/>
          <w:szCs w:val="22"/>
        </w:rPr>
        <w:t>anterior temporal lobe (ATL)</w:t>
      </w:r>
      <w:r w:rsidR="009153B9" w:rsidRPr="00975DA7">
        <w:rPr>
          <w:rFonts w:ascii="Times New Roman" w:hAnsi="Times New Roman" w:cs="Times New Roman"/>
          <w:sz w:val="22"/>
          <w:szCs w:val="22"/>
        </w:rPr>
        <w:t xml:space="preserve"> and angular gyrus (AG)</w:t>
      </w:r>
      <w:r w:rsidR="00AA1B34" w:rsidRPr="00975DA7">
        <w:rPr>
          <w:rFonts w:ascii="Times New Roman" w:hAnsi="Times New Roman" w:cs="Times New Roman"/>
          <w:sz w:val="22"/>
          <w:szCs w:val="22"/>
        </w:rPr>
        <w:t>;</w:t>
      </w:r>
      <w:r w:rsidR="009153B9" w:rsidRPr="00975DA7">
        <w:rPr>
          <w:rFonts w:ascii="Times New Roman" w:hAnsi="Times New Roman" w:cs="Times New Roman"/>
          <w:sz w:val="22"/>
          <w:szCs w:val="22"/>
        </w:rPr>
        <w:t xml:space="preserve"> and </w:t>
      </w:r>
      <w:r w:rsidR="00AA1B34" w:rsidRPr="00975DA7">
        <w:rPr>
          <w:rFonts w:ascii="Times New Roman" w:hAnsi="Times New Roman" w:cs="Times New Roman"/>
          <w:sz w:val="22"/>
          <w:szCs w:val="22"/>
        </w:rPr>
        <w:t xml:space="preserve">two sites implicated in semantic control in </w:t>
      </w:r>
      <w:r w:rsidR="00BD1B07" w:rsidRPr="00975DA7">
        <w:rPr>
          <w:rFonts w:ascii="Times New Roman" w:hAnsi="Times New Roman" w:cs="Times New Roman"/>
          <w:sz w:val="22"/>
          <w:szCs w:val="22"/>
        </w:rPr>
        <w:t>inferior frontal (IFG) and posterior middle temporal gyri (pMTG).</w:t>
      </w:r>
      <w:r w:rsidR="00924E24" w:rsidRPr="00975DA7">
        <w:rPr>
          <w:rFonts w:ascii="Times New Roman" w:hAnsi="Times New Roman" w:cs="Times New Roman"/>
          <w:sz w:val="22"/>
          <w:szCs w:val="22"/>
        </w:rPr>
        <w:t xml:space="preserve"> </w:t>
      </w:r>
      <w:r w:rsidR="00BD1B07" w:rsidRPr="00975DA7">
        <w:rPr>
          <w:rFonts w:ascii="Times New Roman" w:hAnsi="Times New Roman" w:cs="Times New Roman"/>
          <w:sz w:val="22"/>
          <w:szCs w:val="22"/>
        </w:rPr>
        <w:t xml:space="preserve">We compared </w:t>
      </w:r>
      <w:r w:rsidR="00B30786" w:rsidRPr="00975DA7">
        <w:rPr>
          <w:rFonts w:ascii="Times New Roman" w:hAnsi="Times New Roman" w:cs="Times New Roman"/>
          <w:sz w:val="22"/>
          <w:szCs w:val="22"/>
        </w:rPr>
        <w:t>the</w:t>
      </w:r>
      <w:r w:rsidR="00BD1B07" w:rsidRPr="00975DA7">
        <w:rPr>
          <w:rFonts w:ascii="Times New Roman" w:hAnsi="Times New Roman" w:cs="Times New Roman"/>
          <w:sz w:val="22"/>
          <w:szCs w:val="22"/>
        </w:rPr>
        <w:t xml:space="preserve"> </w:t>
      </w:r>
      <w:r w:rsidR="00B30786" w:rsidRPr="00975DA7">
        <w:rPr>
          <w:rFonts w:ascii="Times New Roman" w:hAnsi="Times New Roman" w:cs="Times New Roman"/>
          <w:sz w:val="22"/>
          <w:szCs w:val="22"/>
        </w:rPr>
        <w:t xml:space="preserve">intrinsic </w:t>
      </w:r>
      <w:r w:rsidR="00BD1B07" w:rsidRPr="00975DA7">
        <w:rPr>
          <w:rFonts w:ascii="Times New Roman" w:hAnsi="Times New Roman" w:cs="Times New Roman"/>
          <w:sz w:val="22"/>
          <w:szCs w:val="22"/>
        </w:rPr>
        <w:t>connectivity</w:t>
      </w:r>
      <w:r w:rsidR="00B30786" w:rsidRPr="00975DA7">
        <w:rPr>
          <w:rFonts w:ascii="Times New Roman" w:hAnsi="Times New Roman" w:cs="Times New Roman"/>
          <w:sz w:val="22"/>
          <w:szCs w:val="22"/>
        </w:rPr>
        <w:t xml:space="preserve"> of these sites</w:t>
      </w:r>
      <w:r w:rsidR="00BD1B07" w:rsidRPr="00975DA7">
        <w:rPr>
          <w:rFonts w:ascii="Times New Roman" w:hAnsi="Times New Roman" w:cs="Times New Roman"/>
          <w:sz w:val="22"/>
          <w:szCs w:val="22"/>
        </w:rPr>
        <w:t xml:space="preserve"> in left hemisphere (LH) and right hemisphere (RH), and linked </w:t>
      </w:r>
      <w:r w:rsidR="002C394E" w:rsidRPr="00975DA7">
        <w:rPr>
          <w:rFonts w:ascii="Times New Roman" w:hAnsi="Times New Roman" w:cs="Times New Roman"/>
          <w:sz w:val="22"/>
          <w:szCs w:val="22"/>
        </w:rPr>
        <w:t>individual difference</w:t>
      </w:r>
      <w:r w:rsidR="003911E4" w:rsidRPr="00975DA7">
        <w:rPr>
          <w:rFonts w:ascii="Times New Roman" w:hAnsi="Times New Roman" w:cs="Times New Roman"/>
          <w:sz w:val="22"/>
          <w:szCs w:val="22"/>
        </w:rPr>
        <w:t>s in the strength of within- and between-hemisphere connectivity</w:t>
      </w:r>
      <w:r w:rsidR="00BD1B07" w:rsidRPr="00975DA7">
        <w:rPr>
          <w:rFonts w:ascii="Times New Roman" w:hAnsi="Times New Roman" w:cs="Times New Roman"/>
          <w:sz w:val="22"/>
          <w:szCs w:val="22"/>
        </w:rPr>
        <w:t xml:space="preserve"> </w:t>
      </w:r>
      <w:r w:rsidR="003911E4" w:rsidRPr="00975DA7">
        <w:rPr>
          <w:rFonts w:ascii="Times New Roman" w:hAnsi="Times New Roman" w:cs="Times New Roman"/>
          <w:sz w:val="22"/>
          <w:szCs w:val="22"/>
        </w:rPr>
        <w:t xml:space="preserve">from left-lateralised seeds </w:t>
      </w:r>
      <w:r w:rsidR="00BD1B07" w:rsidRPr="00975DA7">
        <w:rPr>
          <w:rFonts w:ascii="Times New Roman" w:hAnsi="Times New Roman" w:cs="Times New Roman"/>
          <w:sz w:val="22"/>
          <w:szCs w:val="22"/>
        </w:rPr>
        <w:t>to performan</w:t>
      </w:r>
      <w:r w:rsidR="00B30786" w:rsidRPr="00975DA7">
        <w:rPr>
          <w:rFonts w:ascii="Times New Roman" w:hAnsi="Times New Roman" w:cs="Times New Roman"/>
          <w:sz w:val="22"/>
          <w:szCs w:val="22"/>
        </w:rPr>
        <w:t>ce on semantic tasks</w:t>
      </w:r>
      <w:r w:rsidR="00BD1B07" w:rsidRPr="00975DA7">
        <w:rPr>
          <w:rFonts w:ascii="Times New Roman" w:hAnsi="Times New Roman" w:cs="Times New Roman"/>
          <w:sz w:val="22"/>
          <w:szCs w:val="22"/>
        </w:rPr>
        <w:t>, in a sample of 196 healthy volunteers.</w:t>
      </w:r>
      <w:r w:rsidR="000F476C" w:rsidRPr="00975DA7">
        <w:rPr>
          <w:rFonts w:ascii="Times New Roman" w:hAnsi="Times New Roman" w:cs="Times New Roman"/>
          <w:sz w:val="22"/>
          <w:szCs w:val="22"/>
        </w:rPr>
        <w:t xml:space="preserve"> </w:t>
      </w:r>
      <w:r w:rsidR="0012442D" w:rsidRPr="00975DA7">
        <w:rPr>
          <w:rFonts w:ascii="Times New Roman" w:hAnsi="Times New Roman" w:cs="Times New Roman"/>
          <w:sz w:val="22"/>
          <w:szCs w:val="22"/>
        </w:rPr>
        <w:t>ATL showed more symmetrical patterns of intrinsic connectivity than the other three sites</w:t>
      </w:r>
      <w:r w:rsidR="005808B5" w:rsidRPr="00975DA7">
        <w:rPr>
          <w:rFonts w:ascii="Times New Roman" w:hAnsi="Times New Roman" w:cs="Times New Roman"/>
          <w:sz w:val="22"/>
          <w:szCs w:val="22"/>
        </w:rPr>
        <w:t xml:space="preserve">. </w:t>
      </w:r>
      <w:r w:rsidR="00BF14D8" w:rsidRPr="00975DA7">
        <w:rPr>
          <w:rFonts w:ascii="Times New Roman" w:hAnsi="Times New Roman" w:cs="Times New Roman"/>
          <w:sz w:val="22"/>
          <w:szCs w:val="22"/>
        </w:rPr>
        <w:t>T</w:t>
      </w:r>
      <w:r w:rsidR="000F476C" w:rsidRPr="00975DA7">
        <w:rPr>
          <w:rFonts w:ascii="Times New Roman" w:hAnsi="Times New Roman" w:cs="Times New Roman"/>
          <w:sz w:val="22"/>
          <w:szCs w:val="22"/>
        </w:rPr>
        <w:t xml:space="preserve">he </w:t>
      </w:r>
      <w:r w:rsidR="00BF14D8" w:rsidRPr="00975DA7">
        <w:rPr>
          <w:rFonts w:ascii="Times New Roman" w:hAnsi="Times New Roman" w:cs="Times New Roman"/>
          <w:sz w:val="22"/>
          <w:szCs w:val="22"/>
        </w:rPr>
        <w:t xml:space="preserve">connectivity between IFG and pMTG was stronger in the LH than the RH, suggesting that the </w:t>
      </w:r>
      <w:r w:rsidR="000F476C" w:rsidRPr="00975DA7">
        <w:rPr>
          <w:rFonts w:ascii="Times New Roman" w:hAnsi="Times New Roman" w:cs="Times New Roman"/>
          <w:sz w:val="22"/>
          <w:szCs w:val="22"/>
        </w:rPr>
        <w:t xml:space="preserve">semantic control network </w:t>
      </w:r>
      <w:r w:rsidR="00BF14D8" w:rsidRPr="00975DA7">
        <w:rPr>
          <w:rFonts w:ascii="Times New Roman" w:hAnsi="Times New Roman" w:cs="Times New Roman"/>
          <w:sz w:val="22"/>
          <w:szCs w:val="22"/>
        </w:rPr>
        <w:t>is</w:t>
      </w:r>
      <w:r w:rsidR="000F476C" w:rsidRPr="00975DA7">
        <w:rPr>
          <w:rFonts w:ascii="Times New Roman" w:hAnsi="Times New Roman" w:cs="Times New Roman"/>
          <w:sz w:val="22"/>
          <w:szCs w:val="22"/>
        </w:rPr>
        <w:t xml:space="preserve"> </w:t>
      </w:r>
      <w:r w:rsidR="001956F3" w:rsidRPr="00975DA7">
        <w:rPr>
          <w:rFonts w:ascii="Times New Roman" w:hAnsi="Times New Roman" w:cs="Times New Roman"/>
          <w:sz w:val="22"/>
          <w:szCs w:val="22"/>
        </w:rPr>
        <w:t>strongly left-lateralised</w:t>
      </w:r>
      <w:r w:rsidR="000E135D" w:rsidRPr="00975DA7">
        <w:rPr>
          <w:rFonts w:ascii="Times New Roman" w:hAnsi="Times New Roman" w:cs="Times New Roman"/>
          <w:sz w:val="22"/>
          <w:szCs w:val="22"/>
        </w:rPr>
        <w:t>.</w:t>
      </w:r>
      <w:r w:rsidR="002C394E" w:rsidRPr="00975DA7">
        <w:rPr>
          <w:rFonts w:ascii="Times New Roman" w:hAnsi="Times New Roman" w:cs="Times New Roman"/>
          <w:sz w:val="22"/>
          <w:szCs w:val="22"/>
        </w:rPr>
        <w:t xml:space="preserve"> </w:t>
      </w:r>
      <w:r w:rsidR="007E37EF" w:rsidRPr="00975DA7">
        <w:rPr>
          <w:rFonts w:ascii="Times New Roman" w:hAnsi="Times New Roman" w:cs="Times New Roman"/>
          <w:sz w:val="22"/>
          <w:szCs w:val="22"/>
        </w:rPr>
        <w:t>The degree of hemispheric lateralization also predicted behaviour:</w:t>
      </w:r>
      <w:r w:rsidR="00606F05" w:rsidRPr="00975DA7">
        <w:rPr>
          <w:rFonts w:ascii="Times New Roman" w:hAnsi="Times New Roman" w:cs="Times New Roman"/>
          <w:sz w:val="22"/>
          <w:szCs w:val="22"/>
        </w:rPr>
        <w:t xml:space="preserve"> </w:t>
      </w:r>
      <w:r w:rsidR="009E201B" w:rsidRPr="00975DA7">
        <w:rPr>
          <w:rFonts w:ascii="Times New Roman" w:hAnsi="Times New Roman" w:cs="Times New Roman"/>
          <w:sz w:val="22"/>
          <w:szCs w:val="22"/>
        </w:rPr>
        <w:t>p</w:t>
      </w:r>
      <w:r w:rsidR="00D87E6F" w:rsidRPr="00975DA7">
        <w:rPr>
          <w:rFonts w:ascii="Times New Roman" w:hAnsi="Times New Roman" w:cs="Times New Roman"/>
          <w:sz w:val="22"/>
          <w:szCs w:val="22"/>
        </w:rPr>
        <w:t>articipants with stronger</w:t>
      </w:r>
      <w:r w:rsidR="002C394E" w:rsidRPr="00975DA7">
        <w:rPr>
          <w:rFonts w:ascii="Times New Roman" w:hAnsi="Times New Roman" w:cs="Times New Roman"/>
          <w:sz w:val="22"/>
          <w:szCs w:val="22"/>
        </w:rPr>
        <w:t xml:space="preserve"> </w:t>
      </w:r>
      <w:r w:rsidR="00B108BD" w:rsidRPr="00975DA7">
        <w:rPr>
          <w:rFonts w:ascii="Times New Roman" w:hAnsi="Times New Roman" w:cs="Times New Roman"/>
          <w:sz w:val="22"/>
          <w:szCs w:val="22"/>
        </w:rPr>
        <w:t xml:space="preserve">intrinsic </w:t>
      </w:r>
      <w:r w:rsidR="00D87E6F" w:rsidRPr="00975DA7">
        <w:rPr>
          <w:rFonts w:ascii="Times New Roman" w:hAnsi="Times New Roman" w:cs="Times New Roman"/>
          <w:sz w:val="22"/>
          <w:szCs w:val="22"/>
        </w:rPr>
        <w:t xml:space="preserve">connectivity </w:t>
      </w:r>
      <w:r w:rsidR="003911E4" w:rsidRPr="00975DA7">
        <w:rPr>
          <w:rFonts w:ascii="Times New Roman" w:hAnsi="Times New Roman" w:cs="Times New Roman"/>
          <w:i/>
          <w:sz w:val="22"/>
          <w:szCs w:val="22"/>
        </w:rPr>
        <w:t>within</w:t>
      </w:r>
      <w:r w:rsidR="00D87E6F" w:rsidRPr="00975DA7">
        <w:rPr>
          <w:rFonts w:ascii="Times New Roman" w:hAnsi="Times New Roman" w:cs="Times New Roman"/>
          <w:sz w:val="22"/>
          <w:szCs w:val="22"/>
        </w:rPr>
        <w:t xml:space="preserve"> </w:t>
      </w:r>
      <w:r w:rsidR="007E37EF" w:rsidRPr="00975DA7">
        <w:rPr>
          <w:rFonts w:ascii="Times New Roman" w:hAnsi="Times New Roman" w:cs="Times New Roman"/>
          <w:sz w:val="22"/>
          <w:szCs w:val="22"/>
        </w:rPr>
        <w:t xml:space="preserve">the </w:t>
      </w:r>
      <w:r w:rsidR="003911E4" w:rsidRPr="00975DA7">
        <w:rPr>
          <w:rFonts w:ascii="Times New Roman" w:hAnsi="Times New Roman" w:cs="Times New Roman"/>
          <w:sz w:val="22"/>
          <w:szCs w:val="22"/>
        </w:rPr>
        <w:t>LH</w:t>
      </w:r>
      <w:r w:rsidR="000F476C" w:rsidRPr="00975DA7">
        <w:rPr>
          <w:rFonts w:ascii="Times New Roman" w:hAnsi="Times New Roman" w:cs="Times New Roman"/>
          <w:sz w:val="22"/>
          <w:szCs w:val="22"/>
        </w:rPr>
        <w:t xml:space="preserve"> </w:t>
      </w:r>
      <w:r w:rsidR="00153F35" w:rsidRPr="00975DA7">
        <w:rPr>
          <w:rFonts w:ascii="Times New Roman" w:hAnsi="Times New Roman" w:cs="Times New Roman"/>
          <w:sz w:val="22"/>
          <w:szCs w:val="22"/>
        </w:rPr>
        <w:t xml:space="preserve">had better </w:t>
      </w:r>
      <w:r w:rsidR="0038682E" w:rsidRPr="00975DA7">
        <w:rPr>
          <w:rFonts w:ascii="Times New Roman" w:hAnsi="Times New Roman" w:cs="Times New Roman"/>
          <w:sz w:val="22"/>
          <w:szCs w:val="22"/>
        </w:rPr>
        <w:t>semantic performance</w:t>
      </w:r>
      <w:r w:rsidR="00D87E6F" w:rsidRPr="00975DA7">
        <w:rPr>
          <w:rFonts w:ascii="Times New Roman" w:hAnsi="Times New Roman" w:cs="Times New Roman"/>
          <w:sz w:val="22"/>
          <w:szCs w:val="22"/>
        </w:rPr>
        <w:t xml:space="preserve">, while those with stronger </w:t>
      </w:r>
      <w:r w:rsidR="00B108BD" w:rsidRPr="00975DA7">
        <w:rPr>
          <w:rFonts w:ascii="Times New Roman" w:hAnsi="Times New Roman" w:cs="Times New Roman"/>
          <w:sz w:val="22"/>
          <w:szCs w:val="22"/>
        </w:rPr>
        <w:t xml:space="preserve">intrinsic </w:t>
      </w:r>
      <w:r w:rsidR="00D87E6F" w:rsidRPr="00975DA7">
        <w:rPr>
          <w:rFonts w:ascii="Times New Roman" w:hAnsi="Times New Roman" w:cs="Times New Roman"/>
          <w:sz w:val="22"/>
          <w:szCs w:val="22"/>
        </w:rPr>
        <w:t xml:space="preserve">connectivity </w:t>
      </w:r>
      <w:r w:rsidR="00D87E6F" w:rsidRPr="00975DA7">
        <w:rPr>
          <w:rFonts w:ascii="Times New Roman" w:hAnsi="Times New Roman" w:cs="Times New Roman"/>
          <w:i/>
          <w:sz w:val="22"/>
          <w:szCs w:val="22"/>
        </w:rPr>
        <w:t>between</w:t>
      </w:r>
      <w:r w:rsidR="00D87E6F" w:rsidRPr="00975DA7">
        <w:rPr>
          <w:rFonts w:ascii="Times New Roman" w:hAnsi="Times New Roman" w:cs="Times New Roman"/>
          <w:sz w:val="22"/>
          <w:szCs w:val="22"/>
        </w:rPr>
        <w:t xml:space="preserve"> </w:t>
      </w:r>
      <w:r w:rsidR="00AA1B34" w:rsidRPr="00975DA7">
        <w:rPr>
          <w:rFonts w:ascii="Times New Roman" w:hAnsi="Times New Roman" w:cs="Times New Roman"/>
          <w:sz w:val="22"/>
          <w:szCs w:val="22"/>
        </w:rPr>
        <w:t xml:space="preserve">left </w:t>
      </w:r>
      <w:r w:rsidR="0038682E" w:rsidRPr="00975DA7">
        <w:rPr>
          <w:rFonts w:ascii="Times New Roman" w:hAnsi="Times New Roman" w:cs="Times New Roman"/>
          <w:sz w:val="22"/>
          <w:szCs w:val="22"/>
        </w:rPr>
        <w:t>pMTG and homotopes of semantic regions in the RH</w:t>
      </w:r>
      <w:r w:rsidR="00D87E6F" w:rsidRPr="00975DA7">
        <w:rPr>
          <w:rFonts w:ascii="Times New Roman" w:hAnsi="Times New Roman" w:cs="Times New Roman"/>
          <w:sz w:val="22"/>
          <w:szCs w:val="22"/>
        </w:rPr>
        <w:t xml:space="preserve"> </w:t>
      </w:r>
      <w:r w:rsidR="001956F3" w:rsidRPr="00975DA7">
        <w:rPr>
          <w:rFonts w:ascii="Times New Roman" w:hAnsi="Times New Roman" w:cs="Times New Roman"/>
          <w:sz w:val="22"/>
          <w:szCs w:val="22"/>
        </w:rPr>
        <w:t>performed more poorly</w:t>
      </w:r>
      <w:r w:rsidR="00153F35" w:rsidRPr="00975DA7">
        <w:rPr>
          <w:rFonts w:ascii="Times New Roman" w:hAnsi="Times New Roman" w:cs="Times New Roman"/>
          <w:sz w:val="22"/>
          <w:szCs w:val="22"/>
        </w:rPr>
        <w:t xml:space="preserve"> on judgements of weak associations</w:t>
      </w:r>
      <w:r w:rsidR="009E201B" w:rsidRPr="00975DA7">
        <w:rPr>
          <w:rFonts w:ascii="Times New Roman" w:hAnsi="Times New Roman" w:cs="Times New Roman"/>
          <w:sz w:val="22"/>
          <w:szCs w:val="22"/>
        </w:rPr>
        <w:t>, which require greater control</w:t>
      </w:r>
      <w:r w:rsidR="00D87E6F" w:rsidRPr="00975DA7">
        <w:rPr>
          <w:rFonts w:ascii="Times New Roman" w:hAnsi="Times New Roman" w:cs="Times New Roman"/>
          <w:sz w:val="22"/>
          <w:szCs w:val="22"/>
        </w:rPr>
        <w:t xml:space="preserve">. </w:t>
      </w:r>
      <w:r w:rsidR="00CD4E4D" w:rsidRPr="00975DA7">
        <w:rPr>
          <w:rFonts w:ascii="Times New Roman" w:hAnsi="Times New Roman" w:cs="Times New Roman"/>
          <w:sz w:val="22"/>
          <w:szCs w:val="22"/>
        </w:rPr>
        <w:t>Stronger connectivity between</w:t>
      </w:r>
      <w:r w:rsidR="00D87E6F" w:rsidRPr="00975DA7">
        <w:rPr>
          <w:rFonts w:ascii="Times New Roman" w:hAnsi="Times New Roman" w:cs="Times New Roman"/>
          <w:sz w:val="22"/>
          <w:szCs w:val="22"/>
        </w:rPr>
        <w:t xml:space="preserve"> left AG </w:t>
      </w:r>
      <w:r w:rsidR="00CD4E4D" w:rsidRPr="00975DA7">
        <w:rPr>
          <w:rFonts w:ascii="Times New Roman" w:hAnsi="Times New Roman" w:cs="Times New Roman"/>
          <w:sz w:val="22"/>
          <w:szCs w:val="22"/>
        </w:rPr>
        <w:t>and</w:t>
      </w:r>
      <w:r w:rsidR="00D87E6F" w:rsidRPr="00975DA7">
        <w:rPr>
          <w:rFonts w:ascii="Times New Roman" w:hAnsi="Times New Roman" w:cs="Times New Roman"/>
          <w:sz w:val="22"/>
          <w:szCs w:val="22"/>
        </w:rPr>
        <w:t xml:space="preserve"> visual cortex was also linked to </w:t>
      </w:r>
      <w:r w:rsidR="00CD4E4D" w:rsidRPr="00975DA7">
        <w:rPr>
          <w:rFonts w:ascii="Times New Roman" w:hAnsi="Times New Roman" w:cs="Times New Roman"/>
          <w:sz w:val="22"/>
          <w:szCs w:val="22"/>
        </w:rPr>
        <w:t>poorer</w:t>
      </w:r>
      <w:r w:rsidR="00D87E6F" w:rsidRPr="00975DA7">
        <w:rPr>
          <w:rFonts w:ascii="Times New Roman" w:hAnsi="Times New Roman" w:cs="Times New Roman"/>
          <w:sz w:val="22"/>
          <w:szCs w:val="22"/>
        </w:rPr>
        <w:t xml:space="preserve"> perceptual performance. </w:t>
      </w:r>
      <w:r w:rsidR="007E37EF" w:rsidRPr="00975DA7">
        <w:rPr>
          <w:rFonts w:ascii="Times New Roman" w:hAnsi="Times New Roman" w:cs="Times New Roman"/>
          <w:sz w:val="22"/>
          <w:szCs w:val="22"/>
        </w:rPr>
        <w:t xml:space="preserve">Overall, our results show that hemispheric lateralisation is particularly important for </w:t>
      </w:r>
      <w:r w:rsidR="009E201B" w:rsidRPr="00975DA7">
        <w:rPr>
          <w:rFonts w:ascii="Times New Roman" w:hAnsi="Times New Roman" w:cs="Times New Roman"/>
          <w:sz w:val="22"/>
          <w:szCs w:val="22"/>
        </w:rPr>
        <w:t xml:space="preserve">the semantic </w:t>
      </w:r>
      <w:r w:rsidR="00D1316D" w:rsidRPr="00975DA7">
        <w:rPr>
          <w:rFonts w:ascii="Times New Roman" w:hAnsi="Times New Roman" w:cs="Times New Roman"/>
          <w:sz w:val="22"/>
          <w:szCs w:val="22"/>
        </w:rPr>
        <w:t>control</w:t>
      </w:r>
      <w:r w:rsidR="009E201B" w:rsidRPr="00975DA7">
        <w:rPr>
          <w:rFonts w:ascii="Times New Roman" w:hAnsi="Times New Roman" w:cs="Times New Roman"/>
          <w:sz w:val="22"/>
          <w:szCs w:val="22"/>
        </w:rPr>
        <w:t xml:space="preserve"> network, and that this lateralisation has contrasting functional consequences for the retrieval of dominant and subordinate aspects of knowledge.</w:t>
      </w:r>
    </w:p>
    <w:p w14:paraId="3D6F4788" w14:textId="71180678" w:rsidR="00482BA1" w:rsidRPr="00975DA7" w:rsidRDefault="00482BA1" w:rsidP="000F476C">
      <w:pPr>
        <w:pStyle w:val="CommentText"/>
        <w:spacing w:line="360" w:lineRule="auto"/>
        <w:rPr>
          <w:rFonts w:ascii="Times New Roman" w:hAnsi="Times New Roman" w:cs="Times New Roman"/>
          <w:sz w:val="22"/>
          <w:szCs w:val="22"/>
        </w:rPr>
      </w:pPr>
    </w:p>
    <w:p w14:paraId="5AFEBEBF" w14:textId="12EFA36E" w:rsidR="00482BA1" w:rsidRPr="00975DA7" w:rsidRDefault="00482BA1" w:rsidP="00482BA1">
      <w:pPr>
        <w:pStyle w:val="CommentText"/>
        <w:rPr>
          <w:rFonts w:ascii="Times New Roman" w:hAnsi="Times New Roman" w:cs="Times New Roman"/>
          <w:sz w:val="22"/>
          <w:szCs w:val="22"/>
        </w:rPr>
      </w:pPr>
      <w:r w:rsidRPr="00975DA7">
        <w:rPr>
          <w:rFonts w:ascii="Times New Roman" w:hAnsi="Times New Roman" w:cs="Times New Roman"/>
          <w:sz w:val="22"/>
          <w:szCs w:val="22"/>
        </w:rPr>
        <w:t xml:space="preserve">Keywords: </w:t>
      </w:r>
      <w:r w:rsidR="00FA73E1" w:rsidRPr="00975DA7">
        <w:rPr>
          <w:rFonts w:ascii="Times New Roman" w:hAnsi="Times New Roman" w:cs="Times New Roman"/>
          <w:sz w:val="22"/>
          <w:szCs w:val="22"/>
        </w:rPr>
        <w:t>Hemispheric differences; l</w:t>
      </w:r>
      <w:r w:rsidRPr="00975DA7">
        <w:rPr>
          <w:rFonts w:ascii="Times New Roman" w:hAnsi="Times New Roman" w:cs="Times New Roman"/>
          <w:sz w:val="22"/>
          <w:szCs w:val="22"/>
        </w:rPr>
        <w:t>ateralisation, semantic cognition, semantic control, fMRI, resting state, intrinsic connectivity</w:t>
      </w:r>
    </w:p>
    <w:p w14:paraId="41BD102C" w14:textId="77777777" w:rsidR="00482BA1" w:rsidRPr="00975DA7" w:rsidRDefault="00482BA1" w:rsidP="000F476C">
      <w:pPr>
        <w:pStyle w:val="CommentText"/>
        <w:spacing w:line="360" w:lineRule="auto"/>
        <w:rPr>
          <w:rFonts w:ascii="Times New Roman" w:hAnsi="Times New Roman" w:cs="Times New Roman"/>
          <w:sz w:val="22"/>
          <w:szCs w:val="22"/>
        </w:rPr>
      </w:pPr>
    </w:p>
    <w:p w14:paraId="0D380B8D" w14:textId="77777777" w:rsidR="00BD1B07" w:rsidRPr="00975DA7" w:rsidRDefault="00BD1B07" w:rsidP="00BD1B07">
      <w:pPr>
        <w:pStyle w:val="CommentText"/>
        <w:rPr>
          <w:rFonts w:ascii="Times New Roman" w:hAnsi="Times New Roman" w:cs="Times New Roman"/>
          <w:sz w:val="22"/>
          <w:szCs w:val="22"/>
        </w:rPr>
      </w:pPr>
    </w:p>
    <w:p w14:paraId="3A1FD3B3" w14:textId="77777777" w:rsidR="00BD1B07" w:rsidRPr="00975DA7" w:rsidRDefault="00BD1B07" w:rsidP="0059177E">
      <w:pPr>
        <w:pStyle w:val="CommentText"/>
        <w:jc w:val="center"/>
        <w:rPr>
          <w:rFonts w:ascii="Times New Roman" w:hAnsi="Times New Roman" w:cs="Times New Roman"/>
          <w:sz w:val="22"/>
          <w:szCs w:val="22"/>
        </w:rPr>
      </w:pPr>
    </w:p>
    <w:p w14:paraId="72094BB2" w14:textId="77777777" w:rsidR="00544FA9" w:rsidRPr="00975DA7" w:rsidRDefault="00544FA9">
      <w:pPr>
        <w:rPr>
          <w:rFonts w:ascii="Times New Roman" w:hAnsi="Times New Roman" w:cs="Times New Roman"/>
          <w:b/>
        </w:rPr>
      </w:pPr>
      <w:r w:rsidRPr="00975DA7">
        <w:rPr>
          <w:rFonts w:ascii="Times New Roman" w:hAnsi="Times New Roman" w:cs="Times New Roman"/>
          <w:b/>
        </w:rPr>
        <w:br w:type="page"/>
      </w:r>
    </w:p>
    <w:p w14:paraId="69A9EB6A" w14:textId="20B5419F" w:rsidR="0059177E" w:rsidRPr="00975DA7" w:rsidRDefault="00FC5D50" w:rsidP="00853F2C">
      <w:pPr>
        <w:pStyle w:val="CommentText"/>
        <w:keepNext/>
        <w:keepLines/>
        <w:jc w:val="center"/>
        <w:rPr>
          <w:rFonts w:ascii="Times New Roman" w:hAnsi="Times New Roman" w:cs="Times New Roman"/>
          <w:b/>
          <w:sz w:val="22"/>
          <w:szCs w:val="22"/>
        </w:rPr>
      </w:pPr>
      <w:r w:rsidRPr="00975DA7">
        <w:rPr>
          <w:rFonts w:ascii="Times New Roman" w:hAnsi="Times New Roman" w:cs="Times New Roman"/>
          <w:b/>
          <w:sz w:val="22"/>
          <w:szCs w:val="22"/>
        </w:rPr>
        <w:lastRenderedPageBreak/>
        <w:t xml:space="preserve">1. </w:t>
      </w:r>
      <w:r w:rsidR="0059177E" w:rsidRPr="00975DA7">
        <w:rPr>
          <w:rFonts w:ascii="Times New Roman" w:hAnsi="Times New Roman" w:cs="Times New Roman"/>
          <w:b/>
          <w:sz w:val="22"/>
          <w:szCs w:val="22"/>
        </w:rPr>
        <w:t>Introduction</w:t>
      </w:r>
    </w:p>
    <w:p w14:paraId="253862EA" w14:textId="367427BD" w:rsidR="009E3CBE" w:rsidRPr="00975DA7" w:rsidRDefault="009E3CBE" w:rsidP="009E3CBE">
      <w:pPr>
        <w:spacing w:line="360" w:lineRule="auto"/>
        <w:rPr>
          <w:rFonts w:ascii="Times New Roman" w:hAnsi="Times New Roman" w:cs="Times New Roman"/>
        </w:rPr>
      </w:pPr>
      <w:r w:rsidRPr="00975DA7">
        <w:rPr>
          <w:rFonts w:ascii="Times New Roman" w:hAnsi="Times New Roman" w:cs="Times New Roman"/>
        </w:rPr>
        <w:t xml:space="preserve">Semantic cognition allows us to understand the meanings of words, images, sounds, actions and events, and to flexibly use our knowledge to drive thoughts and behaviours that are appropriate to our goals and the current context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{"citationItems":[{"id":"ITEM-1","itemData":{"DOI":"10.1016/j.cortex.2012.10.008","ISBN":"1973-8102 (Electronic)\\n0010-9452 (Linking)","ISSN":"00109452","PMID":"23260615","abstract":"Recent studies suggest that a complex, distributed neural network underpins semantic cognition. This article reviews our contribution to this emerging picture and traces the putative roles of each region within this network. Neuropsychological studies indicate that semantic cognition draws on at least two interacting components: semantic representations [degraded in semantic dementia (SD)] and control processes [deficient in patients with multimodal semantic impairment following stroke aphasia (SA)]. To explore the first component, we employed distortion-corrected functional magnetic resonance imaging (fMRI) and transcranial magnetic stimulation (TMS) in healthy volunteers: these studies convergently indicated that the anterior temporal lobes (ATLs; atrophied in SD) combine information from different modalities within an amodal semantic \"hub\" Regions of cortex that code specific semantic features (\" spokes\") also make a critical contribution to knowledge within particular categories. This network of brain regions interacts with semantic control processes reliant on left inferior frontal gyrus (LIFG), posterior middle temporal gyrus (pMTG) and inferior parietal cortices. SA patients with damage to these regions have difficulty focussing on aspects of knowledge that are relevant to the current goal or context, in both verbal and non-verbal tasks. SA patients with LIFG and temporoparietal lesions show similar deficits of semantic control, suggesting that a large-scale distributed cortical network underpins semantic control. Convergent evidence is again provided by fMRI and TMS. We separately manipulated the representational and control demands of a semantic task in fMRI, and found a dissociation within the temporal lobe: ATL was sensitive to the number of meanings retrieved, while pMTG and LIFG showed effects of semantic selection. Moreover, TMS to LIFG and pMTG produced equal disruption of tasks tapping semantic control. The next challenges are to delineate the specific roles of each region within the semantic control network and to specify the way in which control processes interact with semantic representations to focus processing on relevant features of concepts. ?? 2012 Elsevier Ltd.","author":[{"dropping-particle":"","family":"Jefferies","given":"Elizabeth","non-dropping-particle":"","parse-names":false,"suffix":""}],"container-title":"Cortex","id":"ITEM-1","issue":"3","issued":{"date-parts":[["2013"]]},"note":"4","page":"611-625","publisher":"Elsevier Srl","title":"The neural basis of semantic cognition: Converging evidence from neuropsychology, neuroimaging and TMS","type":"article-journal","volume":"49"},"uris":["http://www.mendeley.com/documents/?uuid=5c0713c4-18ba-4db1-883a-e284fb8715b6"]},{"id":"ITEM-2","itemData":{"DOI":"10.1038/nrn.2016.150","ISSN":"1471-003X","abstract":"Semantic cognition refers to our ability to use, manipulate and generalise knowledge that is acquired over the lifespan to support innumerable verbal and nonverbal behaviours. This Review summarizes key findings and issues arising from a decade of research into the neurocognitive and neurocomputational underpinnings of this ability, leading to a new framework that we term controlled semantic cognition (CSC). CSC offers solutions to long-standing queries in philosophy and cognitive science, and yields a convergent framework for understanding the neural and computational bases of healthy semantic cognition and its dysfunction in brain disorders.","author":[{"dropping-particle":"","family":"Lambon Ralph","given":"M. A.","non-dropping-particle":"","parse-names":false,"suffix":""},{"dropping-particle":"","family":"Jefferies","given":"E.","non-dropping-particle":"","parse-names":false,"suffix":""},{"dropping-particle":"","family":"Patterson","given":"K","non-dropping-particle":"","parse-names":false,"suffix":""},{"dropping-particle":"","family":"Rogers","given":"T. T.","non-dropping-particle":"","parse-names":false,"suffix":""}],"container-title":"Nature Reviews Neuroscience","id":"ITEM-2","issued":{"date-parts":[["2017"]]},"page":"42–55","publisher":"Nature Publishing Group","title":"The neural and computational bases of semantic cognition","type":"article-journal","volume":"18"},"uris":["http://www.mendeley.com/documents/?uuid=e559b4cb-d61f-4d48-871f-438a29cd1299"]}],"mendeley":{"formattedCitation":"(Jefferies, 2013; Lambon Ralph et al., 2017)","plainTextFormattedCitation":"(Jefferies, 2013; Lambon Ralph et al., 2017)","previouslyFormattedCitation":"(Jefferies, 2013; Lambon Ralph et al., 2017)"},"properties":{"noteIndex":0},"schema":"https://github.com/citation-style-language/schema/raw/master/csl-citation.json"}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(Jefferies, 2013; Lambon Ralph et al., 2017)</w:t>
      </w:r>
      <w:r w:rsidRPr="00975DA7">
        <w:rPr>
          <w:rFonts w:ascii="Times New Roman" w:hAnsi="Times New Roman" w:cs="Times New Roman"/>
        </w:rPr>
        <w:fldChar w:fldCharType="end"/>
      </w:r>
      <w:r w:rsidRPr="00975DA7">
        <w:rPr>
          <w:rFonts w:ascii="Times New Roman" w:hAnsi="Times New Roman" w:cs="Times New Roman"/>
        </w:rPr>
        <w:t xml:space="preserve">. Since we know many features and associations for any given concept, semantic cognition is thought to reflect the interaction of at least two separable neurocognitive components: (i) long-term heteromodal semantic representations and (ii) control processes that focus retrieval on aspects of knowledge that are currently relevant, even when these are non-dominant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{"citationItems":[{"id":"ITEM-1","itemData":{"DOI":"10.1016/j.cortex.2018.02.018","ISBN":"0000000159","ISSN":"00109452","abstract":"Built upon a wealth of neuroimaging, neurostimulation, and neuropsychology data, a recent proposal set forth a framework termed controlled semantic cognition (CSC) to account for how the brain underpins the ability to flexibly use semantic knowledge (Lambon Ralph et al., 2017, Nature Reviews Neuroscience). In CSC, the ‘semantic control’ system, underpinned predominantly by the prefrontal cortex, dynamically monitors and modulates the ‘semantic representation’ system that consists of a ‘hub’ (anterior temporal lobe, ATL) and multiple ‘spokes’ (modality-specific areas). CSC predicts that unfamiliar and exacting semantic tasks should intensify communication between the ‘control’ and ‘representation’ systems, relative to familiar and less taxing tasks. In the present study, we used fMRI to test this hypothesis. Participants paired unrelated concepts by canonical colours (a less accustomed task – e.g., pairing ketchup with fire-extinguishers due to both being red) or paired well-related concepts by semantic relationship (a typical task – e.g., ketchup is related to mustard). We found the ‘control’ system was more engaged by atypical than typical pairing. While both tasks activated the ATL ‘hub’, colour pairing additionally involved occipitotemporal ‘spoke’ regions abutting areas of hue perception. Furthermore, we uncovered a gradient along the ventral temporal cortex, transitioning from the caudal ‘spoke’ zones preferring canonical colour processing to the rostral ‘hub’ zones preferring semantic relationship. Functional connectivity also differed between the tasks: Compared with semantic pairing, colour pairing relied more upon the inferior frontal gyrus, a key node of the control system, driving enhanced connectivity with occipitotempral ‘spoke’. Together, our findings characterise the interaction within the neural architecture of semantic cognition – the control system dynamically heightens its connectivity with relevant components of the representation system, in response to different semantic contents and difficulty levels.","author":[{"dropping-particle":"","family":"Chiou","given":"Rocco","non-dropping-particle":"","parse-names":false,"suffix":""},{"dropping-particle":"","family":"Humphreys","given":"Gina F.","non-dropping-particle":"","parse-names":false,"suffix":""},{"dropping-particle":"","family":"Jung","given":"JeYoung","non-dropping-particle":"","parse-names":false,"suffix":""},{"dropping-particle":"","family":"Lambon Ralph","given":"Matthew A.","non-dropping-particle":"","parse-names":false,"suffix":""}],"container-title":"Cortex","id":"ITEM-1","issued":{"date-parts":[["2018"]]},"publisher":"Elsevier Ltd","title":"Controlled semantic cognition relies upon dynamic and flexible interactions between the executive ‘semantic control’ and hub-and-spoke ‘semantic representation’ systems","type":"book"},"uris":["http://www.mendeley.com/documents/?uuid=dec1ffc0-e806-49a0-bb01-7bb72edac091"]},{"id":"ITEM-2","itemData":{"abstract":"Semantic cognition requires conceptual representations shaped by verbal and non-verbal experience and executive control processes that regulate activation of knowledge to meet current situational demands. A complete model must also account for the representation of concrete and abstract words, of taxonomic and associative relationships, and for the role of context in shaping meaning. We present the first major attempt to assimilate all of these elements within a unified, implemented computational framework. Our model combines a hub-and-spoke architecture with a buffer that allows its state to be influenced by prior context. This hybrid structure integrates the view, from cognitive neuroscience, that concepts are grounded in sensory-motor representation with the view, from computational linguistics, that knowledge is shaped by patterns of lexical co-occurrence. The model successfully codes knowledge for abstract and concrete words, associative and taxonomic relationships, and the multiple meanings of homonyms, within a single representational space. Knowledge of abstract words is acquired through (a) their patterns of co-occurrence with other words and (b) acquired embodiment, whereby they become indirectly associated with the perceptual features of co-occurring concrete words. The model accounts for executive influences on semantics by including a controlled retrieval mechanism that provides top-down input to amplify weak semantic relationships. The representational and control elements of the model can be damaged independently, and the consequences of such damage closely replicate effects seen in neuropsychological patients with loss of semantic representation vs. control processes. Thus, the model provides a wide-ranging and neurally plausible account of normal and impaired semantic cognition.","author":[{"dropping-particle":"","family":"Hoffman","given":"Paul","non-dropping-particle":"","parse-names":false,"suffix":""},{"dropping-particle":"","family":"Lambon-Ralph","given":"Matthew A.","non-dropping-particle":"","parse-names":false,"suffix":""},{"dropping-particle":"","family":"McClelland","given":"James L.","non-dropping-particle":"","parse-names":false,"suffix":""}],"container-title":"Psychological review","id":"ITEM-2","issued":{"date-parts":[["2017"]]},"title":"Concepts, control and context","type":"article-journal"},"uris":["http://www.mendeley.com/documents/?uuid=edc484f8-902f-468c-a77f-48003f432ffb"]},{"id":"ITEM-3","itemData":{"DOI":"10.1038/nrn.2016.150","ISSN":"1471-003X","abstract":"Semantic cognition refers to our ability to use, manipulate and generalise knowledge that is acquired over the lifespan to support innumerable verbal and nonverbal behaviours. This Review summarizes key findings and issues arising from a decade of research into the neurocognitive and neurocomputational underpinnings of this ability, leading to a new framework that we term controlled semantic cognition (CSC). CSC offers solutions to long-standing queries in philosophy and cognitive science, and yields a convergent framework for understanding the neural and computational bases of healthy semantic cognition and its dysfunction in brain disorders.","author":[{"dropping-particle":"","family":"Lambon Ralph","given":"M. A.","non-dropping-particle":"","parse-names":false,"suffix":""},{"dropping-particle":"","family":"Jefferies","given":"E.","non-dropping-particle":"","parse-names":false,"suffix":""},{"dropping-particle":"","family":"Patterson","given":"K","non-dropping-particle":"","parse-names":false,"suffix":""},{"dropping-particle":"","family":"Rogers","given":"T. T.","non-dropping-particle":"","parse-names":false,"suffix":""}],"container-title":"Nature Reviews Neuroscience","id":"ITEM-3","issued":{"date-parts":[["2017"]]},"page":"42–55","publisher":"Nature Publishing Group","title":"The neural and computational bases of semantic cognition","type":"article-journal","volume":"18"},"uris":["http://www.mendeley.com/documents/?uuid=e559b4cb-d61f-4d48-871f-438a29cd1299"]},{"id":"ITEM-4","itemData":{"DOI":"10.1162/jocn","ISBN":"1530-8898 (Electronic)\\r0898-929X (Linking)","ISSN":"0898-929X","PMID":"23647519","abstract":"Semantic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Neuroscience","id":"ITEM-4","issue":"11","issued":{"date-parts":[["2013"]]},"page":"1824-50","title":"Going beyond Inferior Prefrontal Involvement in Semantic Control: Evidence for the Additional Contribution of Dorsal Angular Gyrus and Posterior Middle Temporal Cortex","type":"article-journal","volume":"25"},"uris":["http://www.mendeley.com/documents/?uuid=0a5edd06-04ea-4fbd-85ab-b04fecaa9c01"]},{"id":"ITEM-5","itemData":{"DOI":"10.1016/j.cortex.2012.10.008","ISBN":"1973-8102 (Electronic)\\n0010-9452 (Linking)","ISSN":"00109452","PMID":"23260615","abstract":"Recent studies suggest that a complex, distributed neural network underpins semantic cognition. This article reviews our contribution to this emerging picture and traces the putative roles of each region within this network. Neuropsychological studies indicate that semantic cognition draws on at least two interacting components: semantic representations [degraded in semantic dementia (SD)] and control processes [deficient in patients with multimodal semantic impairment following stroke aphasia (SA)]. To explore the first component, we employed distortion-corrected functional magnetic resonance imaging (fMRI) and transcranial magnetic stimulation (TMS) in healthy volunteers: these studies convergently indicated that the anterior temporal lobes (ATLs; atrophied in SD) combine information from different modalities within an amodal semantic \"hub\" Regions of cortex that code specific semantic features (\" spokes\") also make a critical contribution to knowledge within particular categories. This network of brain regions interacts with semantic control processes reliant on left inferior frontal gyrus (LIFG), posterior middle temporal gyrus (pMTG) and inferior parietal cortices. SA patients with damage to these regions have difficulty focussing on aspects of knowledge that are relevant to the current goal or context, in both verbal and non-verbal tasks. SA patients with LIFG and temporoparietal lesions show similar deficits of semantic control, suggesting that a large-scale distributed cortical network underpins semantic control. Convergent evidence is again provided by fMRI and TMS. We separately manipulated the representational and control demands of a semantic task in fMRI, and found a dissociation within the temporal lobe: ATL was sensitive to the number of meanings retrieved, while pMTG and LIFG showed effects of semantic selection. Moreover, TMS to LIFG and pMTG produced equal disruption of tasks tapping semantic control. The next challenges are to delineate the specific roles of each region within the semantic control network and to specify the way in which control processes interact with semantic representations to focus processing on relevant features of concepts. ?? 2012 Elsevier Ltd.","author":[{"dropping-particle":"","family":"Jefferies","given":"Elizabeth","non-dropping-particle":"","parse-names":false,"suffix":""}],"container-title":"Cortex","id":"ITEM-5","issue":"3","issued":{"date-parts":[["2013"]]},"note":"4","page":"611-625","publisher":"Elsevier Srl","title":"The neural basis of semantic cognition: Converging evidence from neuropsychology, neuroimaging and TMS","type":"article-journal","volume":"49"},"uris":["http://www.mendeley.com/documents/?uuid=5c0713c4-18ba-4db1-883a-e284fb8715b6"]}],"mendeley":{"formattedCitation":"(Chiou et al., 2018; Hoffman et al., 2017; Jefferies, 2013; Lambon Ralph et al., 2017; Noonan et al., 2013)","manualFormatting":"(Chiou et al., 2018; Hoffman et al., 2017; Jefferies, 2013; Lambon Ralph et al., 2017; Noonan et al., 2013)","plainTextFormattedCitation":"(Chiou et al., 2018; Hoffman et al., 2017; Jefferies, 2013; Lambon Ralph et al., 2017; Noonan et al., 2013)","previouslyFormattedCitation":"(Chiou et al., 2018; Hoffman et al., 2017; Jefferies, 2013; Lambon Ralph et al., 2017; Noonan et al., 2013)"},"properties":{"noteIndex":0},"schema":"https://github.com/citation-style-language/schema/raw/master/csl-citation.json"}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(Chiou et al., 2018; Hoffman et al., 2017; Jefferies, 2013; Lambon Ralph et al., 2017; Noonan et al., 2013)</w:t>
      </w:r>
      <w:r w:rsidRPr="00975DA7">
        <w:rPr>
          <w:rFonts w:ascii="Times New Roman" w:hAnsi="Times New Roman" w:cs="Times New Roman"/>
        </w:rPr>
        <w:fldChar w:fldCharType="end"/>
      </w:r>
      <w:r w:rsidRPr="00975DA7">
        <w:rPr>
          <w:rFonts w:ascii="Times New Roman" w:hAnsi="Times New Roman" w:cs="Times New Roman"/>
        </w:rPr>
        <w:t>. Contemporary accounts of semantic cognition, such as the Controlled Semantic Cognition framework, propose that these interacting elements are supported by dissociable cortical regio</w:t>
      </w:r>
      <w:r w:rsidR="00B108BD" w:rsidRPr="00975DA7">
        <w:rPr>
          <w:rFonts w:ascii="Times New Roman" w:hAnsi="Times New Roman" w:cs="Times New Roman"/>
        </w:rPr>
        <w:t xml:space="preserve">ns within the semantic network, </w:t>
      </w:r>
      <w:r w:rsidRPr="00975DA7">
        <w:rPr>
          <w:rFonts w:ascii="Times New Roman" w:hAnsi="Times New Roman" w:cs="Times New Roman"/>
        </w:rPr>
        <w:t>which is largely left-lateralised (Lambon Ralph et al., 2017; Davey et al., 2016). However, the degree of lateralisation might vary across the neurocognitive components that support semantic representation and control.</w:t>
      </w:r>
    </w:p>
    <w:p w14:paraId="7F376AC5" w14:textId="77777777" w:rsidR="009E3CBE" w:rsidRPr="00975DA7" w:rsidRDefault="009E3CBE" w:rsidP="009E3CBE">
      <w:pPr>
        <w:spacing w:line="360" w:lineRule="auto"/>
        <w:rPr>
          <w:rFonts w:ascii="Times New Roman" w:hAnsi="Times New Roman" w:cs="Times New Roman"/>
        </w:rPr>
      </w:pPr>
      <w:r w:rsidRPr="00975DA7">
        <w:rPr>
          <w:rFonts w:ascii="Times New Roman" w:hAnsi="Times New Roman" w:cs="Times New Roman"/>
        </w:rPr>
        <w:t xml:space="preserve">Heteromodal concepts are thought to be represented bilaterally, in ventral aspects of the anterior temporal lobes (ATL; Hub and Spoke model,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{"citationItems":[{"id":"ITEM-1","itemData":{"DOI":"10.1038/nrn2277","ISSN":"1471-003X","author":[{"dropping-particle":"","family":"Patterson","given":"Karalyn","non-dropping-particle":"","parse-names":false,"suffix":""},{"dropping-particle":"","family":"Nestor","given":"Peter J.","non-dropping-particle":"","parse-names":false,"suffix":""},{"dropping-particle":"","family":"Rogers","given":"Timothy T.","non-dropping-particle":"","parse-names":false,"suffix":""}],"container-title":"Nature Reviews Neuroscience","id":"ITEM-1","issue":"12","issued":{"date-parts":[["2007"]]},"note":"Read. Here is the key for the topic of my PhD. Consider carefully. Maybe re-read.","page":"976-987","title":"Where do you know what you know? The representation of semantic knowledge in the human brain","type":"article-journal","volume":"8"},"uris":["http://www.mendeley.com/documents/?uuid=34170856-658c-443b-a068-e9ee8690358b"]},{"id":"ITEM-2","itemData":{"DOI":"10.3758/CABN.6.3.201","ISSN":"1531-135X","abstract":"Studies of semantic impairment arising from brain disease suggest that the anterior temporal lobes are critical for semantic abilities in humans; yet activation of these regions is rarely reported in functional imaging studies of healthy controls performing semantic tasks. Here, we combined neuropsychological and PE T functional imaging data to show that when healthy subjects identify concepts at a specific level, the regions activated correspond to the site of maximal atrophy in patients with relatively pure semantic impairment. The stimuli were color photographs of common animals or vehicles, and the task was category verification at specific (e.g., robin), intermediate (e.g., bird), or general (e.g., animal) levels. Specific, relative to general, categorization activated the antero-lateral temporal cortices bilaterally, despite matching of these experimental conditions for difficulty. Critically, in patients with atrophy in precisely these areas, the most pronounced deficit was in the retrieval of specific semantic information.","author":[{"dropping-particle":"","family":"Rogers","given":"Timothy T","non-dropping-particle":"","parse-names":false,"suffix":""},{"dropping-particle":"","family":"Hocking","given":"Julia","non-dropping-particle":"","parse-names":false,"suffix":""},{"dropping-particle":"","family":"Noppeney","given":"Uta","non-dropping-particle":"","parse-names":false,"suffix":""},{"dropping-particle":"","family":"Mechelli","given":"Andrea","non-dropping-particle":"","parse-names":false,"suffix":""},{"dropping-particle":"","family":"Gorno-Tempini","given":"Maria Luisa","non-dropping-particle":"","parse-names":false,"suffix":""},{"dropping-particle":"","family":"Patterson","given":"Karalyn","non-dropping-particle":"","parse-names":false,"suffix":""},{"dropping-particle":"","family":"Price","given":"Cathy J","non-dropping-particle":"","parse-names":false,"suffix":""}],"container-title":"Cognitive, Affective, &amp; Behavioral Neuroscience","id":"ITEM-2","issue":"3","issued":{"date-parts":[["2006","9"]]},"page":"201-213","title":"Anterior temporal cortex and semantic memory: Reconciling findings from neuropsychology and functional imaging","type":"article-journal","volume":"6"},"uris":["http://www.mendeley.com/documents/?uuid=1ca1360f-2829-41e7-8f2a-7ba454405bfb","http://www.mendeley.com/documents/?uuid=4ea78893-21c5-4bf0-8c68-9a41a19cf283"]},{"id":"ITEM-3","itemData":{"DOI":"10.1038/nrn.2016.150","ISSN":"1471-003X","abstract":"Semantic cognition refers to our ability to use, manipulate and generalise knowledge that is acquired over the lifespan to support innumerable verbal and nonverbal behaviours. This Review summarizes key findings and issues arising from a decade of research into the neurocognitive and neurocomputational underpinnings of this ability, leading to a new framework that we term controlled semantic cognition (CSC). CSC offers solutions to long-standing queries in philosophy and cognitive science, and yields a convergent framework for understanding the neural and computational bases of healthy semantic cognition and its dysfunction in brain disorders.","author":[{"dropping-particle":"","family":"Lambon Ralph","given":"M. A.","non-dropping-particle":"","parse-names":false,"suffix":""},{"dropping-particle":"","family":"Jefferies","given":"E.","non-dropping-particle":"","parse-names":false,"suffix":""},{"dropping-particle":"","family":"Patterson","given":"K","non-dropping-particle":"","parse-names":false,"suffix":""},{"dropping-particle":"","family":"Rogers","given":"T. T.","non-dropping-particle":"","parse-names":false,"suffix":""}],"container-title":"Nature Reviews Neuroscience","id":"ITEM-3","issued":{"date-parts":[["2017"]]},"page":"42–55","publisher":"Nature Publishing Group","title":"The neural and computational bases of semantic cognition","type":"article-journal","volume":"18"},"uris":["http://www.mendeley.com/documents/?uuid=e559b4cb-d61f-4d48-871f-438a29cd1299"]}],"mendeley":{"formattedCitation":"(Lambon Ralph et al., 2017; Patterson et al., 2007; Rogers et al., 2006)","manualFormatting":"Lambon Ralph et al., 2017; Patterson et al., 2007; Rogers et al., 2006)","plainTextFormattedCitation":"(Lambon Ralph et al., 2017; Patterson et al., 2007; Rogers et al., 2006)","previouslyFormattedCitation":"(Lambon Ralph et al., 2017; Patterson et al., 2007; Rogers et al., 2006)"},"properties":{"noteIndex":0},"schema":"https://github.com/citation-style-language/schema/raw/master/csl-citation.json"}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Lambon Ralph et al., 2017; Patterson et al., 2007; Rogers et al., 2006)</w:t>
      </w:r>
      <w:r w:rsidRPr="00975DA7">
        <w:rPr>
          <w:rFonts w:ascii="Times New Roman" w:hAnsi="Times New Roman" w:cs="Times New Roman"/>
        </w:rPr>
        <w:fldChar w:fldCharType="end"/>
      </w:r>
      <w:r w:rsidRPr="00975DA7">
        <w:rPr>
          <w:rFonts w:ascii="Times New Roman" w:hAnsi="Times New Roman" w:cs="Times New Roman"/>
        </w:rPr>
        <w:t xml:space="preserve">. This site is thought to act as a “hub” allowing the integration of diverse features, including visual, auditory, motor, linguistic, praxis and valence information (stored within “spokes”). Semantic dementia, which is associated with marked degradation of conceptual knowledge across modalities, follows bilateral atrophy of ventral ATL; cases with unilateral ATL lesions have less pronounced semantic deficits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{"citationItems":[{"id":"ITEM-1","itemData":{"DOI":"10.1093/brain/awq264","ISSN":"00068950","abstract":"The most selective disorder of central conceptual knowledge arises in semantic dementia, a degenerative condition associated with bilateral atrophy of the inferior and polar regions of the temporal lobes. Likewise, semantic impairment in both herpes simplex virus encephalitis and Alzheimer's disease is typically associated with bilateral, anterior temporal pathology. These findings suggest that conceptual representations are supported via an interconnected, bilateral, anterior temporal network and that it may take damage to both sides to produce an unequivocal deficit of central semantic memory. We tested and supported this hypothesis by investigating a case series of 20 patients with unilateral temporal damage (following vascular accident or resection for tumour or epilepsy), utilizing a test battery that is sensitive to semantic impairment in semantic dementia. Only 1/20 of the cases, with a unilateral left lesion, exhibited even a mild impairment on the receptive semantic measures. On the expressive semantic tests of naming and fluency, average performance was worse in the left- than right-unilateral cases, but even in this domain, only one left-lesion case had scores consistently more than two standard deviations below control means. These results fit with recent parallel explorations of semantic function using repetitive transcranial magnetic stimulation as well as functional imaging in stroke aphasic and neurologically intact participants. The evidence suggests that both left and right anterior temporal lobe regions contribute to the representation of semantic memory and together may form a relatively damage-resistant, robust system for this critical aspect of higher cognition.","author":[{"dropping-particle":"","family":"Lambon Ralph","given":"Matthew A.","non-dropping-particle":"","parse-names":false,"suffix":""},{"dropping-particle":"","family":"Cipolotti","given":"Lisa","non-dropping-particle":"","parse-names":false,"suffix":""},{"dropping-particle":"","family":"Manes","given":"Facundo","non-dropping-particle":"","parse-names":false,"suffix":""},{"dropping-particle":"","family":"Patterson","given":"Karalyn","non-dropping-particle":"","parse-names":false,"suffix":""}],"container-title":"Brain","id":"ITEM-1","issue":"11","issued":{"date-parts":[["2010"]]},"page":"3243-3255","title":"Taking both sides: Do unilateral anterior temporal lobe lesions disrupt semantic memory?","type":"article-journal","volume":"133"},"uris":["http://www.mendeley.com/documents/?uuid=8f2c1f07-de29-42da-abb3-dae76132a54a","http://www.mendeley.com/documents/?uuid=0d37771d-d68f-4e18-adfe-338de4ad5cf0"]},{"id":"ITEM-2","itemData":{"DOI":"10.1093/cercor/bhx362","ISSN":"1047-3211","PMID":"29351584","abstract":"The presence and degree of specialization between the anterior temporal lobes (ATLs) is a key issue in debates about the neural architecture of semantic memory. Here, we comprehensively assessed multiple aspects of semantic cognition in a large group of postsurgical temporal lobe epilepsy (TLE) patients with left versus right anterior temporal lobectomy (n = 40). Both subgroups showed deficits in expressive and receptive verbal semantic tasks, word and object recognition, naming and recognition of famous faces and perception of faces and emotions. Graded differences in performance between the left and right groups were secondary to the overall mild semantic impairment; primarily, left resected TLE patients showed weaker performance on tasks that required naming or accessing semantic information from a written word. Right resected TLE patients were relatively more impaired at recognizing famous faces as familiar, although this effect was observed less consistently. These findings unify previous partial, inconsistent results and also align directly with fMRI and transcranial magnetic stimulation results in neurologically intact participants. Taken together, these data support a model in which the 2 ATLs act as a coupled bilateral system for the representation of semantic knowledge, and in which graded hemispheric specializations emerge as a consequence of differential connectivity to lateralized speech production and face perception regions","author":[{"dropping-particle":"","family":"Rice","given":"Grace E","non-dropping-particle":"","parse-names":false,"suffix":""},{"dropping-particle":"","family":"Caswell","given":"Helen","non-dropping-particle":"","parse-names":false,"suffix":""},{"dropping-particle":"","family":"Moore","given":"Perry","non-dropping-particle":"","parse-names":false,"suffix":""},{"dropping-particle":"","family":"Hoffman","given":"Paul","non-dropping-particle":"","parse-names":false,"suffix":""},{"dropping-particle":"","family":"Lambon Ralph","given":"Matthew A","non-dropping-particle":"","parse-names":false,"suffix":""}],"container-title":"Cerebral Cortex","id":"ITEM-2","issue":"4","issued":{"date-parts":[["2018"]]},"page":"1487-1501","title":"The Roles of Left Versus Right Anterior Temporal Lobes in Semantic Memory: A Neuropsychological Comparison of Postsurgical Temporal Lobe Epilepsy Patients","type":"article-journal","volume":"28"},"uris":["http://www.mendeley.com/documents/?uuid=be0c4a3b-69d3-4675-ba72-e1c675def469"]}],"mendeley":{"formattedCitation":"(Lambon Ralph et al., 2010; Rice et al., 2018a)","plainTextFormattedCitation":"(Lambon Ralph et al., 2010; Rice et al., 2018a)","previouslyFormattedCitation":"(Lambon Ralph et al., 2010; Rice et al., 2018a)"},"properties":{"noteIndex":0},"schema":"https://github.com/citation-style-language/schema/raw/master/csl-citation.json"}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(Lambon Ralph et al., 2010; Rice et al., 2018a)</w:t>
      </w:r>
      <w:r w:rsidRPr="00975DA7">
        <w:rPr>
          <w:rFonts w:ascii="Times New Roman" w:hAnsi="Times New Roman" w:cs="Times New Roman"/>
        </w:rPr>
        <w:fldChar w:fldCharType="end"/>
      </w:r>
      <w:r w:rsidRPr="00975DA7">
        <w:rPr>
          <w:rFonts w:ascii="Times New Roman" w:hAnsi="Times New Roman" w:cs="Times New Roman"/>
        </w:rPr>
        <w:t xml:space="preserve">, suggesting that conceptual knowledge is distributed across both hemispheres. Nevertheless, even within a bilateral system, there can be some degree of lateralisation. Patients with more left than right-sided ATL damage often show greater difficulties with verbal semantic access, while those with the converse pattern can show greater impairment on pictorial and social semantic tasks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{"citationItems":[{"id":"ITEM-1","itemData":{"DOI":"10.1093/cercor/bhx362","ISSN":"1047-3211","PMID":"29351584","abstract":"The presence and degree of specialization between the anterior temporal lobes (ATLs) is a key issue in debates about the neural architecture of semantic memory. Here, we comprehensively assessed multiple aspects of semantic cognition in a large group of postsurgical temporal lobe epilepsy (TLE) patients with left versus right anterior temporal lobectomy (n = 40). Both subgroups showed deficits in expressive and receptive verbal semantic tasks, word and object recognition, naming and recognition of famous faces and perception of faces and emotions. Graded differences in performance between the left and right groups were secondary to the overall mild semantic impairment; primarily, left resected TLE patients showed weaker performance on tasks that required naming or accessing semantic information from a written word. Right resected TLE patients were relatively more impaired at recognizing famous faces as familiar, although this effect was observed less consistently. These findings unify previous partial, inconsistent results and also align directly with fMRI and transcranial magnetic stimulation results in neurologically intact participants. Taken together, these data support a model in which the 2 ATLs act as a coupled bilateral system for the representation of semantic knowledge, and in which graded hemispheric specializations emerge as a consequence of differential connectivity to lateralized speech production and face perception regions","author":[{"dropping-particle":"","family":"Rice","given":"Grace E","non-dropping-particle":"","parse-names":false,"suffix":""},{"dropping-particle":"","family":"Caswell","given":"Helen","non-dropping-particle":"","parse-names":false,"suffix":""},{"dropping-particle":"","family":"Moore","given":"Perry","non-dropping-particle":"","parse-names":false,"suffix":""},{"dropping-particle":"","family":"Hoffman","given":"Paul","non-dropping-particle":"","parse-names":false,"suffix":""},{"dropping-particle":"","family":"Lambon Ralph","given":"Matthew A","non-dropping-particle":"","parse-names":false,"suffix":""}],"container-title":"Cerebral Cortex","id":"ITEM-1","issue":"4","issued":{"date-parts":[["2018"]]},"page":"1487-1501","title":"The Roles of Left Versus Right Anterior Temporal Lobes in Semantic Memory: A Neuropsychological Comparison of Postsurgical Temporal Lobe Epilepsy Patients","type":"article-journal","volume":"28"},"uris":["http://www.mendeley.com/documents/?uuid=be0c4a3b-69d3-4675-ba72-e1c675def469"]},{"id":"ITEM-2","itemData":{"DOI":"10.1162/08989290151137395","ISBN":"0898-929X (Print)\\n0898-929X (Linking)","ISSN":"0898-929X","PMID":"11371312","abstract":"The processes required for object naming were addressed in a study of patients with semantic dementia (a selective decline of semantic memory resulting from progressive temporal lobe atrophy) and in a computational model of single-word production. Although all patients with semantic dementia are impaired in both single-word production and comprehension, previous reports had indicated two different patterns: (a) a parallel decline in accuracy of naming and comprehension, with frequent semantic naming errors, suggesting a purely semantic basis for the anomia and (b) a dramatic progressive anomia without commensurate decline in comprehension, which might suggest a mainly postsemantic source of the anomia. Longitudinal data for 16 patients with semantic dementia reflected these two profiles, but with the following additional important specifications: (1) despite a few relatively extreme versions of one or other profile, the full set of cases formed a continuum in the extent of anomia for a given degree of degraded comprehension; (2) the degree of disparity between these two abilities was associated with relative asymmetry in laterality of atrophy: a parallel decline in the two measures characterized patients with greater right- than left-temporal atrophy, while disproportionate anomia occurred with a predominance of atrophy in the left-temporal lobe. In an implemented computational model of naming, semantic representations were distributed across simulated left- and right-temporal regions, but the semantic units on the left were more strongly connected to left-lateralized phonological representations. Asymmetric damage to semantic units reproduced the longitudinal patient profiles of naming relative to comprehension, plus additional characteristics of the patients' naming performance. On the basis of both the neuropsychological and computational evidence, we propose that semantic impairment alone can account for the full range of word production deficits described here.","author":[{"dropping-particle":"","family":"Lambon Ralph","given":"M.A.","non-dropping-particle":"","parse-names":false,"suffix":""},{"dropping-particle":"","family":"McClelland","given":"J L","non-dropping-particle":"","parse-names":false,"suffix":""},{"dropping-particle":"","family":"Patterson","given":"K","non-dropping-particle":"","parse-names":false,"suffix":""},{"dropping-particle":"","family":"Galton","given":"C J","non-dropping-particle":"","parse-names":false,"suffix":""},{"dropping-particle":"","family":"Hodges","given":"J R","non-dropping-particle":"","parse-names":false,"suffix":""}],"container-title":"Journal of cognitive neuroscience","id":"ITEM-2","issue":"3","issued":{"date-parts":[["2001"]]},"page":"341-356","title":"No right to speak? The relationship between object naming and semantic impairment: neuropsychological evidence and a computational model.","type":"article-journal","volume":"13"},"uris":["http://www.mendeley.com/documents/?uuid=ca00a71b-b964-427d-97cc-a3edacd9a083"]},{"id":"ITEM-3","itemData":{"DOI":"10.1093/brain/awq272","ISBN":"1460-2156 (Electronic)\\r0006-8950 (Linking)","ISSN":"00068950","PMID":"20952377","abstract":"The study of patients with semantic dementia, a variant of frontotemporal lobar degeneration, has emerged over the last two decades as an important lesion model for studying human semantic memory. Although it is well-known that semantic dementia is associated with temporal lobe degeneration, controversy remains over whether the semantic deficit is due to diffuse temporal lobe damage, damage to only a sub-region of the temporal lobe or even less severe damage elsewhere in the brain. The manner in which the right and left temporal lobes contribute to semantic knowledge is also not fully elucidated. In this study we used unbiased imaging analyses to correlate resting cerebral glucose metabolism and behavioural scores in tests of verbal and non-verbal semantic memory. In addition, a region of interest analysis was performed to evaluate the role of severely hypometabolic areas. The best, indeed the only, strong predictor of semantic scores across a set of 21 patients with frontotemporal lobar degeneration with semantic impairment was degree of hypometabolism in the anterior fusiform region subjacent to the head and body of the hippocampus. As hypometabolism in the patients' rostral fusiform was even more extreme than the abnormality in other regions with putative semantic relevance, such as the temporal poles, the significant fusiform correlations cannot be attributed to floor-level function in these other regions. More detailed analysis demonstrated more selective correlations: left anterior fusiform function predicted performance on two expressive verbal tasks, whereas right anterior fusiform metabolism predicted performance on a non-verbal test of associative semantic knowledge. This pattern was further supported by an additional behavioural study performed on a wider cohort of patients with semantic dementia, in which the patients with more extensive right-temporal atrophy (when matched on degree of naming deficit to a set of cases with more extensive left temporal atrophy) were significantly more impaired on the test of non-verbal semantics. Our preferred interpretation of this laterality effect involves differential strength of connectivity between different regions of a widespread semantic network in the human brain.","author":[{"dropping-particle":"","family":"Mion","given":"Marco","non-dropping-particle":"","parse-names":false,"suffix":""},{"dropping-particle":"","family":"Patterson","given":"Karalyn","non-dropping-particle":"","parse-names":false,"suffix":""},{"dropping-particle":"","family":"Acosta-Cabronero","given":"Julio","non-dropping-particle":"","parse-names":false,"suffix":""},{"dropping-particle":"","family":"Pengas","given":"George","non-dropping-particle":"","parse-names":false,"suffix":""},{"dropping-particle":"","family":"Izquierdo-Garcia","given":"David","non-dropping-particle":"","parse-names":false,"suffix":""},{"dropping-particle":"","family":"Hong","given":"Young T.","non-dropping-particle":"","parse-names":false,"suffix":""},{"dropping-particle":"","family":"Fryer","given":"Tim D.","non-dropping-particle":"","parse-names":false,"suffix":""},{"dropping-particle":"","family":"Williams","given":"Guy B.","non-dropping-particle":"","parse-names":false,"suffix":""},{"dropping-particle":"","family":"Hodges","given":"John R.","non-dropping-particle":"","parse-names":false,"suffix":""},{"dropping-particle":"","family":"Nestor","given":"Peter J.","non-dropping-particle":"","parse-names":false,"suffix":""}],"container-title":"Brain","id":"ITEM-3","issue":"11","issued":{"date-parts":[["2010"]]},"page":"3256-3268","title":"What the left and right anterior fusiform gyri tell us about semantic memory","type":"article-journal","volume":"133"},"uris":["http://www.mendeley.com/documents/?uuid=991a7de3-ec13-4e03-bac3-f3d3c3c8fa36"]},{"id":"ITEM-4","itemData":{"DOI":"10.1093/brain/awh099","abstract":"Semantic dementia is a focal clinical syndrome, resulting from degeneration of the temporal lobes and characterized by progressive loss of conceptual knowledge about the world. Because of the highly circumscribed nature of the disorder it is a natural model for improving understanding of how semantic information is cerebrally represented. There is currently a lack of consensus. One view proposes the existence of modality speci®c meaning systems, in which visual and verbal information are stored separately. An opposing view assumes that information is represented by a unitary, amodal semantic system. The present study explores these alternatives in an examination of famous face and name knowledge in 15 patients with semantic dementia. The study of face recognition in patients with an established semantic disorder also permits an examination of the relationship between semantic dementia and the focal clinical syndrome of progressive prosopagnosia. The semantic dementia patients were profoundly impaired on both face and name identi®cation and familiarity judgement tasks compared with amnesic patients with Alzheimer's disease and healthy controls. However, whereas the two reference groups performed better for names than faces, the semantic group showed the opposite pattern. This overall pro®le masked individual differences: semantic dementia patients with predominant left temporal lobe atrophy showed better recognition of names than faces, whereas patients with right temporal predominance showed the reverse pattern. Relative superiority for names or faces was mirrored by corresponding superiority for words or pictures on a standard semantic test. We interpret the ®ndings as inconsistent with a unitary, amodal model of semantic memory. However, the data are not wholly compatible with a strict multiple system account. The data favour a model of semantic memory comprising a single interconnected network, with dedicated brain regions representing modality speci®c information. The data emphasize the importance of the anterior, inferolateral parts of the left temporal lobe for the representation of names and the corresponding parts of the right temporal lobe for faces. Dissociations between face and name knowledge provide a challenge for existing models of face processing. Moreover, they lead us to argue that the focal syndrome of progressive prosopagnosia is one of the clinical presentations of semantic dementia and not a separate clinical entity.","author":[{"dropping-particle":"","family":"Snowden","given":"J S","non-dropping-particle":"","parse-names":false,"suffix":""},{"dropping-particle":"","family":"Thompson","given":"J C","non-dropping-particle":"","parse-names":false,"suffix":""},{"dropping-particle":"","family":"Neary","given":"D","non-dropping-particle":"","parse-names":false,"suffix":""}],"container-title":"Brain","id":"ITEM-4","issue":"4","issued":{"date-parts":[["2004"]]},"page":"860-872","title":"Knowledge of famous faces and names in semantic dementia","type":"article-journal","volume":"127"},"uris":["http://www.mendeley.com/documents/?uuid=d0e315e2-c641-4d4a-8485-5d5c0a42a06a"]},{"id":"ITEM-5","itemData":{"DOI":"10.1212/01.WNL.0000091868.28557.B8","ISBN":"1526-632X (Electronic)","ISSN":"1526-632X","PMID":"14610120","abstract":"OBJECTIVE: To characterize presenting symptomatology in patients with semantic dementia (SD) and to investigate whether left and right temporal variants of the disease have distinct behavioral and cognitive profiles.\\n\\nMETHODS: Retrospective examination of case notes was performed in 47 consecutive referrals of patients with a clinical diagnosis of SD. Patients (and informants) were interviewed and underwent neuropsychological testing within 6 months of assessment. Patients were designated as having predominantly left (L &gt; R; n = 36) or right (R &gt; L; n = 11) temporal lobe atrophy based on MRI or CT of the brain.\\n\\nRESULTS: R &gt; L and L &gt; R SD groups did not differ in terms of presenting age (mean 63.4 +/- 7.4 years), symptom duration (3.6 +/- 2.3 years), or Mini-Mental State Examination scores (22.1 +/- 6.7). The most frequently reported behavioral symptoms were food fads, irritability, depression, and preoccupation with puzzles; cognitive deficits included word-finding difficulties, reduced comprehension, difficulty with person identification, and reduced conversation. The frequency of several symptoms differed significantly between groups. The following aspects were more likely to be associated with major right temporal atrophy: social awkwardness, job loss, loss of insight, and difficulty with person identification. Word-finding difficulties and reduced comprehension were more salient features of L &gt; R patients. Both groups showed deficits on semantic memory tests, as expected for this syndrome, but several items yielded greater impairment for L &gt; R than R &gt; L.\\n\\nCONCLUSIONS: Patients with left and right predominant SD present with distinct behavioral-cognitive profiles. Characterization of these features may assist in the early and accurate diagnosis of SD.","author":[{"dropping-particle":"","family":"Thompson","given":"Siân A","non-dropping-particle":"","parse-names":false,"suffix":""},{"dropping-particle":"","family":"Patterson","given":"Karalyn","non-dropping-particle":"","parse-names":false,"suffix":""},{"dropping-particle":"","family":"Hodges","given":"John R","non-dropping-particle":"","parse-names":false,"suffix":""}],"container-title":"Neurology","id":"ITEM-5","issue":"9","issued":{"date-parts":[["2003"]]},"page":"1196-203","title":"Left/right asymmetry of atrophy in semantic dementia: behavioral-cognitive implications.","type":"article-journal","volume":"61"},"uris":["http://www.mendeley.com/documents/?uuid=a3341818-de8a-465a-a1ab-2dcbba859aaf"]}],"mendeley":{"formattedCitation":"(Lambon Ralph et al., 2001; Mion et al., 2010; Rice et al., 2018a; Snowden et al., 2004; Thompson et al., 2003)","plainTextFormattedCitation":"(Lambon Ralph et al., 2001; Mion et al., 2010; Rice et al., 2018a; Snowden et al., 2004; Thompson et al., 2003)","previouslyFormattedCitation":"(Lambon Ralph et al., 2001; Mion et al., 2010; Rice et al., 2018a; Snowden et al., 2004; Thompson et al., 2003)"},"properties":{"noteIndex":0},"schema":"https://github.com/citation-style-language/schema/raw/master/csl-citation.json"}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(Lambon Ralph et al., 2001; Mion et al., 2010; Rice et al., 2018a; Snowden et al., 2004; Thompson et al., 2003)</w:t>
      </w:r>
      <w:r w:rsidRPr="00975DA7">
        <w:rPr>
          <w:rFonts w:ascii="Times New Roman" w:hAnsi="Times New Roman" w:cs="Times New Roman"/>
        </w:rPr>
        <w:fldChar w:fldCharType="end"/>
      </w:r>
      <w:r w:rsidRPr="00975DA7">
        <w:rPr>
          <w:rFonts w:ascii="Times New Roman" w:hAnsi="Times New Roman" w:cs="Times New Roman"/>
        </w:rPr>
        <w:t xml:space="preserve">. Similarly, while neuroimaging meta-analyses show bilateral ATL activation across word and picture semantic tasks (see Figure 3), this response is more strongly left-lateralised for tasks involving written words and language production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{"citationItems":[{"id":"ITEM-1","itemData":{"DOI":"10.1093/cercor/bhv024","ISBN":"1047-3211","ISSN":"1047-3211","PMID":"25771223","abstract":"The roles of the right and left anterior temporal lobes (ATLs) in conceptual knowledge are a source of debate between 4 conflicting accounts. Possible ATL specializations include: (1) Processing of verbal versus non-verbal inputs; (2) the involvement of word retrieval; and (3) the social content of the stimuli. Conversely, the “hub-and-spoke” account holds that both ATLs form a bilateral functionally unified system. Using activation likelihood estimation (ALE) to compare the probability of left and right ATL activation, we analyzed 97 functional neuroimaging studies of conceptual knowledge, organized according to the predictions of the three specialized hypotheses. The primary result was that ATL activation was predominately bilateral and highly overlapping for all stimulus types. Secondary to this bilateral representation, there were subtle gradations both between and within the ATLs. Activations were more likely to be left lateralized when the input was a written word or when word retrieval was required. These data are best accommodated by a graded version of the hub-and-spoke account, whereby representation of conceptual knowledge is supported through bilateral yet graded connectivity between the ATLs and various modality-specific sensory, motor, and limbic cortices.","author":[{"dropping-particle":"","family":"Rice","given":"Grace E.","non-dropping-particle":"","parse-names":false,"suffix":""},{"dropping-particle":"","family":"Lambon Ralph","given":"Matthew A.","non-dropping-particle":"","parse-names":false,"suffix":""},{"dropping-particle":"","family":"Hoffman","given":"Paul.","non-dropping-particle":"","parse-names":false,"suffix":""}],"container-title":"Cerebral Cortex","id":"ITEM-1","issue":"11","issued":{"date-parts":[["2015","11","1"]]},"note":"From Duplicate 1 (The Roles of Left Versus Right Anterior Temporal Lobes in Conceptual Knowledge: An ALE Meta-analysis of 97 Functional Neuroimaging Studies - Rice, G. E.; Lambon Ralph, M. a.; Hoffman, P.)\n\nRead and annotated\n\nFrom Duplicate 2 (The Roles of Left Versus Right Anterior Temporal Lobes in Conceptual Knowledge: An ALE Meta-analysis of 97 Functional Neuroimaging Studies - Rice, Grace E; Lambon Ralph, Matthew A; Hoffman, Paul)\n\n10.1093/cercor/bhv024","page":"4374-4391","title":"The Roles of Left Versus Right Anterior Temporal Lobes in Conceptual Knowledge: An ALE Meta-analysis of 97 Functional Neuroimaging Studies","type":"article-journal","volume":"25"},"uris":["http://www.mendeley.com/documents/?uuid=e9295c73-b60f-49e9-bc8c-d96748f8db19"]}],"mendeley":{"formattedCitation":"(Rice et al., 2015b)","plainTextFormattedCitation":"(Rice et al., 2015b)","previouslyFormattedCitation":"(Rice et al., 2015b)"},"properties":{"noteIndex":0},"schema":"https://github.com/citation-style-language/schema/raw/master/csl-citation.json"}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(Rice et al., 2015b)</w:t>
      </w:r>
      <w:r w:rsidRPr="00975DA7">
        <w:rPr>
          <w:rFonts w:ascii="Times New Roman" w:hAnsi="Times New Roman" w:cs="Times New Roman"/>
        </w:rPr>
        <w:fldChar w:fldCharType="end"/>
      </w:r>
      <w:r w:rsidRPr="00975DA7">
        <w:rPr>
          <w:rFonts w:ascii="Times New Roman" w:hAnsi="Times New Roman" w:cs="Times New Roman"/>
        </w:rPr>
        <w:t xml:space="preserve">. </w:t>
      </w:r>
    </w:p>
    <w:p w14:paraId="720353A8" w14:textId="5393F4DB" w:rsidR="00116EC6" w:rsidRPr="00975DA7" w:rsidRDefault="009E3CBE" w:rsidP="001F1949">
      <w:pPr>
        <w:spacing w:line="360" w:lineRule="auto"/>
        <w:rPr>
          <w:rFonts w:ascii="Times New Roman" w:hAnsi="Times New Roman" w:cs="Times New Roman"/>
        </w:rPr>
      </w:pPr>
      <w:r w:rsidRPr="00975DA7">
        <w:rPr>
          <w:rFonts w:ascii="Times New Roman" w:hAnsi="Times New Roman" w:cs="Times New Roman"/>
        </w:rPr>
        <w:t xml:space="preserve">In contrast to the bilateral response in ATL, other sites in the semantic network </w:t>
      </w:r>
      <w:r w:rsidR="002F787A" w:rsidRPr="00975DA7">
        <w:rPr>
          <w:rFonts w:ascii="Times New Roman" w:hAnsi="Times New Roman" w:cs="Times New Roman"/>
        </w:rPr>
        <w:t xml:space="preserve">typically </w:t>
      </w:r>
      <w:r w:rsidRPr="00975DA7">
        <w:rPr>
          <w:rFonts w:ascii="Times New Roman" w:hAnsi="Times New Roman" w:cs="Times New Roman"/>
        </w:rPr>
        <w:t xml:space="preserve">show little or no response in the RH. Left but not right AG is implicated in semantic cognition </w:t>
      </w:r>
      <w:r w:rsidR="00160F73" w:rsidRPr="00975DA7">
        <w:rPr>
          <w:rFonts w:ascii="Times New Roman" w:hAnsi="Times New Roman" w:cs="Times New Roman"/>
        </w:rPr>
        <w:fldChar w:fldCharType="begin" w:fldLock="1"/>
      </w:r>
      <w:r w:rsidR="00160F73" w:rsidRPr="00975DA7">
        <w:rPr>
          <w:rFonts w:ascii="Times New Roman" w:hAnsi="Times New Roman" w:cs="Times New Roman"/>
        </w:rPr>
        <w:instrText>ADDIN CSL_CITATION {"citationItems":[{"id":"ITEM-1","itemData":{"DOI":"10.1093/cercor/bhp055","ISBN":"1460-2199 (Electronic)\\r1460-2199 (Linking)","ISSN":"10473211","PMID":"19329570","abstract":"Semantic memory refers to knowledge about people, objects, actions, relations, self, and culture acquired through experience. The neural systems that store and retrieve this information have been studied for many years, but a consensus regarding their identity has not been reached. Using strict inclusion criteria, we analyzed 120 functional neuroimaging studies focusing on semantic processing. Reliable areas of activation in these studies were identified using the activation likelihood estimate (ALE) technique. These activations formed a distinct, left-lateralized network comprised of 7 regions: posterior inferior parietal lobe, middle temporal gyrus, fusiform and parahippocampal gyri, dorsomedial prefrontal cortex, inferior frontal gyrus, ventromedial prefrontal cortex, and posterior cingulate gyrus. Secondary analyses showed specific subregions of this network associated with knowledge of actions, manipulable artifacts, abstract concepts, and concrete concepts. The cortical regions involved in semantic processing can be grouped into 3 broad categories: posterior multimodal and heteromodal association cortex, heteromodal prefrontal cortex, and medial limbic regions. The expansion of these regions in the human relative to the nonhuman primate brain may explain uniquely human capacities to use language productively, plan, solve problems, and create cultural and technological artifacts, all of which depend on the fluid and efficient retrieval and manipulation of semantic knowledge.","author":[{"dropping-particle":"","family":"Binder","given":"Jeffrey R.","non-dropping-particle":"","parse-names":false,"suffix":""},{"dropping-particle":"","family":"Desai","given":"Rutvik H.","non-dropping-particle":"","parse-names":false,"suffix":""},{"dropping-particle":"","family":"Graves","given":"William W.","non-dropping-particle":"","parse-names":false,"suffix":""},{"dropping-particle":"","family":"Conant","given":"Lisa L.","non-dropping-particle":"","parse-names":false,"suffix":""}],"container-title":"Cerebral Cortex","id":"ITEM-1","issue":"12","issued":{"date-parts":[["2009"]]},"page":"2767-2796","title":"Where is the semantic system? A critical review and meta-analysis of 120 functional neuroimaging studies","type":"article-journal","volume":"19"},"uris":["http://www.mendeley.com/documents/?uuid=efbf2662-f169-495f-acdf-d325d1aef056"]}],"mendeley":{"formattedCitation":"(Binder et al., 2009)","plainTextFormattedCitation":"(Binder et al., 2009)","previouslyFormattedCitation":"(Binder et al., 2009)"},"properties":{"noteIndex":0},"schema":"https://github.com/citation-style-language/schema/raw/master/csl-citation.json"}</w:instrText>
      </w:r>
      <w:r w:rsidR="00160F73" w:rsidRPr="00975DA7">
        <w:rPr>
          <w:rFonts w:ascii="Times New Roman" w:hAnsi="Times New Roman" w:cs="Times New Roman"/>
        </w:rPr>
        <w:fldChar w:fldCharType="separate"/>
      </w:r>
      <w:r w:rsidR="00160F73" w:rsidRPr="00975DA7">
        <w:rPr>
          <w:rFonts w:ascii="Times New Roman" w:hAnsi="Times New Roman" w:cs="Times New Roman"/>
          <w:noProof/>
        </w:rPr>
        <w:t>(Binder et al., 2009)</w:t>
      </w:r>
      <w:r w:rsidR="00160F73" w:rsidRPr="00975DA7">
        <w:rPr>
          <w:rFonts w:ascii="Times New Roman" w:hAnsi="Times New Roman" w:cs="Times New Roman"/>
        </w:rPr>
        <w:fldChar w:fldCharType="end"/>
      </w:r>
      <w:r w:rsidRPr="00975DA7">
        <w:rPr>
          <w:rFonts w:ascii="Times New Roman" w:hAnsi="Times New Roman" w:cs="Times New Roman"/>
        </w:rPr>
        <w:t xml:space="preserve">– </w:t>
      </w:r>
      <w:r w:rsidR="00465ED4" w:rsidRPr="00975DA7">
        <w:rPr>
          <w:rFonts w:ascii="Times New Roman" w:hAnsi="Times New Roman" w:cs="Times New Roman"/>
        </w:rPr>
        <w:t xml:space="preserve">with </w:t>
      </w:r>
      <w:r w:rsidR="002F787A" w:rsidRPr="00975DA7">
        <w:rPr>
          <w:rFonts w:ascii="Times New Roman" w:hAnsi="Times New Roman" w:cs="Times New Roman"/>
        </w:rPr>
        <w:t xml:space="preserve">a recent meta-analysis </w:t>
      </w:r>
      <w:r w:rsidR="00D23BD0" w:rsidRPr="00975DA7">
        <w:rPr>
          <w:rFonts w:ascii="Times New Roman" w:hAnsi="Times New Roman" w:cs="Times New Roman"/>
        </w:rPr>
        <w:t>linking AG with</w:t>
      </w:r>
      <w:r w:rsidRPr="00975DA7">
        <w:rPr>
          <w:rFonts w:ascii="Times New Roman" w:hAnsi="Times New Roman" w:cs="Times New Roman"/>
        </w:rPr>
        <w:t xml:space="preserve"> </w:t>
      </w:r>
      <w:r w:rsidR="00080A2D" w:rsidRPr="00975DA7">
        <w:rPr>
          <w:rFonts w:ascii="Times New Roman" w:hAnsi="Times New Roman" w:cs="Times New Roman"/>
        </w:rPr>
        <w:t>‘</w:t>
      </w:r>
      <w:r w:rsidRPr="00975DA7">
        <w:rPr>
          <w:rFonts w:ascii="Times New Roman" w:hAnsi="Times New Roman" w:cs="Times New Roman"/>
        </w:rPr>
        <w:t>automatic</w:t>
      </w:r>
      <w:r w:rsidR="00080A2D" w:rsidRPr="00975DA7">
        <w:rPr>
          <w:rFonts w:ascii="Times New Roman" w:hAnsi="Times New Roman" w:cs="Times New Roman"/>
        </w:rPr>
        <w:t>’</w:t>
      </w:r>
      <w:r w:rsidRPr="00975DA7">
        <w:rPr>
          <w:rFonts w:ascii="Times New Roman" w:hAnsi="Times New Roman" w:cs="Times New Roman"/>
        </w:rPr>
        <w:t xml:space="preserve"> aspects of semantic retrieval </w:t>
      </w:r>
      <w:r w:rsidR="00160F73" w:rsidRPr="00975DA7">
        <w:rPr>
          <w:rFonts w:ascii="Times New Roman" w:hAnsi="Times New Roman" w:cs="Times New Roman"/>
        </w:rPr>
        <w:fldChar w:fldCharType="begin" w:fldLock="1"/>
      </w:r>
      <w:r w:rsidR="00301632" w:rsidRPr="00975DA7">
        <w:rPr>
          <w:rFonts w:ascii="Times New Roman" w:hAnsi="Times New Roman" w:cs="Times New Roman"/>
        </w:rPr>
        <w:instrText>ADDIN CSL_CITATION {"citationItems":[{"id":"ITEM-1","itemData":{"DOI":"10.1093/cercor/bhu198","ISBN":"1460-2199 (Electronic) 1047-3211 (Linking)","ISSN":"14602199","PMID":"25205661","abstract":"How is higher cognitive function organized in the human parietal cortex? A century of neuropsychology and 30 years of functional neuroimaging has implicated the parietal lobe in many different verbal and nonverbal cognitive domains. There is little clarity, however, on how these functions are organized, that is, where do these functions coalesce (implying a shared, underpinning neurocomputation) and where do they divide (indicating different underlying neural functions). Until now, there has been no multi-domain synthesis in order to reveal where there is fusion or fission of functions in the parietal cortex. This aim was achieved through a large-scale activation likelihood estimation (ALE) analysis of 386 studies (3952 activation peaks) covering 8 cognitive domains. A tripartite, domain-general neuroanatomical division and 5 principles of cognitive organization were established, and these are discussed with respect to a unified theory of parietal functional organization.","author":[{"dropping-particle":"","family":"Humphreys","given":"Gina F.","non-dropping-particle":"","parse-names":false,"suffix":""},{"dropping-particle":"","family":"Lambon Ralph","given":"Matthew A.","non-dropping-particle":"","parse-names":false,"suffix":""}],"container-title":"Cerebral Cortex","id":"ITEM-1","issue":"10","issued":{"date-parts":[["2015"]]},"page":"3547-3560","title":"Fusion and fission of cognitive functions in the human parietal cortex","type":"article-journal","volume":"25"},"uris":["http://www.mendeley.com/documents/?uuid=f9b07b36-fb1b-4684-89f7-37f77e829899"]},{"id":"ITEM-2","itemData":{"DOI":"10.1523/JNEUROSCI.4705-14.2015","ISBN":"0270-6474","ISSN":"1529-2401","PMID":"26586812","abstract":"UNLABELLED: Semantic retrieval involves both (1) automatic spreading activation between highly related concepts and (2) executive control processes that tailor this activation to suit the current context or goals. Two structures in left temporoparietal cortex, angular gyrus (AG) and posterior middle temporal gyrus (pMTG), are thought to be crucial to semantic retrieval and are often recruited together during semantic tasks; however, they show strikingly different patterns of functional connectivity at rest (coupling with the \"default mode network\" and \"frontoparietal control system,\" respectively). Here, transcranial magnetic stimulation (TMS) was used to establish a causal yet dissociable role for these sites in semantic cognition in human volunteers. TMS to AG disrupted thematic judgments particularly when the link between probe and target was strong (e.g., a picture of an Alsatian with a bone), and impaired the identification of objects at a specific but not a superordinate level (for the verbal label \"Alsatian\" not \"animal\"). In contrast, TMS to pMTG disrupted thematic judgments for weak but not strong associations (e.g., a picture of an Alsatian with razor wire), and impaired identity matching for both superordinate and specific-level labels. Thus, stimulation to AG interfered with the automatic retrieval of specific concepts from the semantic store while stimulation of pMTG impaired semantic cognition when there was a requirement to flexibly shape conceptual activation in line with the task requirements. These results demonstrate that AG and pMTG make a dissociable contribution to automatic and controlled aspects of semantic retrieval.\\n\\nSIGNIFICANCE STATEMENT: We demonstrate a novel functional dissociation between the angular gyrus (AG) and posterior middle temporal gyrus (pMTG) in conceptual processing. These sites are often coactivated during neuroimaging studies using semantic tasks, but their individual contributions are unclear. Using transcranial magnetic stimulation and tasks designed to assess different aspects of semantics (item identity and thematic matching), we tested two alternative theoretical accounts. Neither site showed the pattern expected for a \"thematic hub\" (i.e., a site storing associations between concepts) since stimulation disrupted both tasks. Instead, the data indicated that pMTG contributes to the controlled retrieval of conceptual knowledge, while AG is critical for the efficient automatic retrieval of specific seman…","author":[{"dropping-particle":"","family":"Davey","given":"James","non-dropping-particle":"","parse-names":false,"suffix":""},{"dropping-particle":"","family":"Cornelissen","given":"Piers L","non-dropping-particle":"","parse-names":false,"suffix":""},{"dropping-particle":"","family":"Thompson","given":"Hannah E","non-dropping-particle":"","parse-names":false,"suffix":""},{"dropping-particle":"","family":"Sonkusare","given":"Saurabh","non-dropping-particle":"","parse-names":false,"suffix":""},{"dropping-particle":"","family":"Hallam","given":"Glyn","non-dropping-particle":"","parse-names":false,"suffix":""},{"dropping-particle":"","family":"Smallwood","given":"Jonathan","non-dropping-particle":"","parse-names":false,"suffix":""},{"dropping-particle":"","family":"Jefferies","given":"Elizabeth","non-dropping-particle":"","parse-names":false,"suffix":""}],"container-title":"The Journal of neuroscience : the official journal of the Society for Neuroscience","id":"ITEM-2","issue":"46","issued":{"date-parts":[["2015"]]},"page":"15230-9","title":"Automatic and Controlled Semantic Retrieval: TMS Reveals Distinct Contributions of Posterior Middle Temporal Gyrus and Angular Gyrus.","type":"article-journal","volume":"35"},"uris":["http://www.mendeley.com/documents/?uuid=c52dfdce-3018-4bcf-8c88-799a925bff60"]}],"mendeley":{"formattedCitation":"(Davey et al., 2015; Humphreys and Lambon Ralph, 2015)","plainTextFormattedCitation":"(Davey et al., 2015; Humphreys and Lambon Ralph, 2015)","previouslyFormattedCitation":"(Davey et al., 2015; Humphreys and Lambon Ralph, 2015)"},"properties":{"noteIndex":0},"schema":"https://github.com/citation-style-language/schema/raw/master/csl-citation.json"}</w:instrText>
      </w:r>
      <w:r w:rsidR="00160F73" w:rsidRPr="00975DA7">
        <w:rPr>
          <w:rFonts w:ascii="Times New Roman" w:hAnsi="Times New Roman" w:cs="Times New Roman"/>
        </w:rPr>
        <w:fldChar w:fldCharType="separate"/>
      </w:r>
      <w:r w:rsidR="00160F73" w:rsidRPr="00975DA7">
        <w:rPr>
          <w:rFonts w:ascii="Times New Roman" w:hAnsi="Times New Roman" w:cs="Times New Roman"/>
          <w:noProof/>
        </w:rPr>
        <w:t>(Davey et al., 2015; Humphreys and Lambon Ralph, 2015)</w:t>
      </w:r>
      <w:r w:rsidR="00160F73" w:rsidRPr="00975DA7">
        <w:rPr>
          <w:rFonts w:ascii="Times New Roman" w:hAnsi="Times New Roman" w:cs="Times New Roman"/>
        </w:rPr>
        <w:fldChar w:fldCharType="end"/>
      </w:r>
      <w:r w:rsidR="00160F73" w:rsidRPr="00975DA7">
        <w:rPr>
          <w:rFonts w:ascii="Times New Roman" w:hAnsi="Times New Roman" w:cs="Times New Roman"/>
        </w:rPr>
        <w:t>,</w:t>
      </w:r>
      <w:r w:rsidRPr="00975DA7">
        <w:rPr>
          <w:rFonts w:ascii="Times New Roman" w:hAnsi="Times New Roman" w:cs="Times New Roman"/>
        </w:rPr>
        <w:fldChar w:fldCharType="begin" w:fldLock="1"/>
      </w:r>
      <w:r w:rsidR="00970D1C" w:rsidRPr="00975DA7">
        <w:rPr>
          <w:rFonts w:ascii="Times New Roman" w:hAnsi="Times New Roman" w:cs="Times New Roman"/>
        </w:rPr>
        <w:instrText>ADDIN CSL_CITATION {"citationItems":[{"id":"ITEM-1","itemData":{"DOI":"10.1523/JNEUROSCI.3446-14.2015","ISSN":"0270-6474","author":[{"dropping-particle":"","family":"Price","given":"A. R.","non-dropping-particle":"","parse-names":false,"suffix":""},{"dropping-particle":"","family":"Bonner","given":"M. F.","non-dropping-particle":"","parse-names":false,"suffix":""},{"dropping-particle":"","family":"Peelle","given":"J. E.","non-dropping-particle":"","parse-names":false,"suffix":""},{"dropping-particle":"","family":"Grossman","given":"M.","non-dropping-particle":"","parse-names":false,"suffix":""}],"container-title":"Journal of Neuroscience","id":"ITEM-1","issue":"7","issued":{"date-parts":[["2015"]]},"page":"3276-3284","title":"Converging Evidence for the Neuroanatomic Basis of Combinatorial Semantics in the Angular Gyrus","type":"article-journal","volume":"35"},"uris":["http://www.mendeley.com/documents/?uuid=795638a1-e684-44d5-b48e-cf9d526efbb4"]},{"id":"ITEM-2","itemData":{"DOI":"10.1016/j.neuroimage.2018.01.017","ISSN":"10538119","abstract":"The default mode network supports a variety of mental operations such as semantic processing, episodic memory retrieval, mental time travel and mind-wandering, yet the commonalities between these functions remains unclear. One possibility is that this system supports cognition that is independent of the immediate environment; alternatively or additionally, it might support higher-order conceptual representations that draw together multiple features. We tested these accounts using a novel paradigm that separately manipulated the availability of perceptual information to guide decision-making and the representational complexity of this information. Using task based imaging we established regions that respond when cognition combines both stimulus independence with multi-modal information. These included left and right angular gyri and the left middle temporal gyrus. Although these sites were within the default mode network, they showed a stronger response to demanding memory judgements than to an easier perceptual task, contrary to the view that they support automatic aspects of cognition. In a subsequent analysis, we showed that these regions were located at the extreme end of a macroscale gradient, which describes gradual transitions from sensorimotor to transmodal cortex. This shift in the focus of neural activity towards transmodal, default mode, regions might reflect a process of where the functional distance from specific sensory enables conceptually rich and detailed cognitive states to be generated in the absence of input.","author":[{"dropping-particle":"","family":"Murphy","given":"Charlotte","non-dropping-particle":"","parse-names":false,"suffix":""},{"dropping-particle":"","family":"Jefferies","given":"Elizabeth","non-dropping-particle":"","parse-names":false,"suffix":""},{"dropping-particle":"","family":"Rueschemeyer","given":"Shirley-Ann","non-dropping-particle":"","parse-names":false,"suffix":""},{"dropping-particle":"","family":"Sormaz","given":"Mladen","non-dropping-particle":"","parse-names":false,"suffix":""},{"dropping-particle":"","family":"Wang","given":"Hao-ting","non-dropping-particle":"","parse-names":false,"suffix":""},{"dropping-particle":"","family":"Margulies","given":"Daniel S.","non-dropping-particle":"","parse-names":false,"suffix":""},{"dropping-particle":"","family":"Smallwood","given":"Jonathan","non-dropping-particle":"","parse-names":false,"suffix":""}],"container-title":"NeuroImage","id":"ITEM-2","issue":"June 2017","issued":{"date-parts":[["2018"]]},"page":"393-401","publisher":"Elsevier Ltd","title":"Distant from input: Evidence of regions within the default mode network supporting perceptually-decoupled and conceptually-guided cognition","type":"article-journal","volume":"171"},"uris":["http://www.mendeley.com/documents/?uuid=89f957e4-ec8b-4b88-b123-5a86cc81d6a8"]}],"mendeley":{"formattedCitation":"(Murphy et al., 2018; Price et al., 2015)","manualFormatting":" ","plainTextFormattedCitation":"(Murphy et al., 2018; Price et al., 2015)","previouslyFormattedCitation":"(Murphy et al., 2018; Price et al., 2015)"},"properties":{"noteIndex":0},"schema":"https://github.com/citation-style-language/schema/raw/master/csl-citation.json"}</w:instrText>
      </w:r>
      <w:r w:rsidRPr="00975DA7">
        <w:rPr>
          <w:rFonts w:ascii="Times New Roman" w:hAnsi="Times New Roman" w:cs="Times New Roman"/>
        </w:rPr>
        <w:fldChar w:fldCharType="separate"/>
      </w:r>
      <w:r w:rsidR="00160F73" w:rsidRPr="00975DA7">
        <w:rPr>
          <w:rFonts w:ascii="Times New Roman" w:hAnsi="Times New Roman" w:cs="Times New Roman"/>
          <w:noProof/>
        </w:rPr>
        <w:t xml:space="preserve"> </w:t>
      </w:r>
      <w:r w:rsidRPr="00975DA7">
        <w:rPr>
          <w:rFonts w:ascii="Times New Roman" w:hAnsi="Times New Roman" w:cs="Times New Roman"/>
        </w:rPr>
        <w:fldChar w:fldCharType="end"/>
      </w:r>
      <w:r w:rsidR="00C46438" w:rsidRPr="00975DA7">
        <w:rPr>
          <w:rFonts w:ascii="Times New Roman" w:hAnsi="Times New Roman" w:cs="Times New Roman"/>
        </w:rPr>
        <w:t>although its contribution to semantic cognition remains unclear</w:t>
      </w:r>
      <w:r w:rsidR="00301632" w:rsidRPr="00975DA7">
        <w:rPr>
          <w:rFonts w:ascii="Times New Roman" w:hAnsi="Times New Roman" w:cs="Times New Roman"/>
        </w:rPr>
        <w:t xml:space="preserve"> </w:t>
      </w:r>
      <w:r w:rsidR="00301632" w:rsidRPr="00975DA7">
        <w:rPr>
          <w:rFonts w:ascii="Times New Roman" w:hAnsi="Times New Roman" w:cs="Times New Roman"/>
        </w:rPr>
        <w:fldChar w:fldCharType="begin" w:fldLock="1"/>
      </w:r>
      <w:r w:rsidR="00301632" w:rsidRPr="00975DA7">
        <w:rPr>
          <w:rFonts w:ascii="Times New Roman" w:hAnsi="Times New Roman" w:cs="Times New Roman"/>
        </w:rPr>
        <w:instrText>ADDIN CSL_CITATION {"citationItems":[{"id":"ITEM-1","itemData":{"DOI":"10.1073/pnas.1422760112","ISBN":"0027-8424","ISSN":"0027-8424","PMID":"26056304","abstract":"The default mode network (DMN) and semantic network (SN) are two of the most extensively studied systems, and both are increasingly used as clinical biomarkers in neurological studies. There are strong theoretical reasons to assume a relationship between the networks, as well as anatomical evidence that they might rely on overlapping cortical regions, such as the anterior temporal lobe (ATL) or angular gyrus (AG). Despite these strong motivations, the relationship between the two systems has received minimal attention. We directly compared the SN and DMN using a large (n = 69) distortion-corrected functional MRI (fMRI) dataset, spanning a range of semantic and nonsemantic tasks that varied input modality. The results showed that both networks fractionate depending on the semantic nature of the task, stimulus type, modality, and task difficulty. Furthermore, despite recent claims that both AG and ATL are semantic hubs, the two areas responded very differently, with results supporting the role of ATL, but not AG, in semantic representation. Specifically, the left ATL was positively activated for all semantic tasks, but deactivated during nonsemantic task performance. In contrast, the left AG was deactivated for all tasks, with the level of deactivation related to task difficulty. Thus, ATL and AG do not share a common interest in semantic tasks, but, rather, a common \"disinterest\" in nonsemantic tasks. The implications for the variability in the DMN, its cognitive coherence, and interpretation of resting-state fMRI data are discussed.","author":[{"dropping-particle":"","family":"Humphreys","given":"Gina F.","non-dropping-particle":"","parse-names":false,"suffix":""},{"dropping-particle":"","family":"Hoffman","given":"Paul","non-dropping-particle":"","parse-names":false,"suffix":""},{"dropping-particle":"","family":"Visser","given":"Maya","non-dropping-particle":"","parse-names":false,"suffix":""},{"dropping-particle":"","family":"Binney","given":"Richard J.","non-dropping-particle":"","parse-names":false,"suffix":""},{"dropping-particle":"","family":"Lambon Ralph","given":"Matthew A.","non-dropping-particle":"","parse-names":false,"suffix":""}],"container-title":"Proceedings of the National Academy of Sciences","id":"ITEM-1","issue":"25","issued":{"date-parts":[["2015"]]},"page":"7857-7862","title":"Establishing task- and modality-dependent dissociations between the semantic and default mode networks","type":"article-journal","volume":"112"},"uris":["http://www.mendeley.com/documents/?uuid=42a11b49-dd1b-48e4-b587-5b26e4727caa"]}],"mendeley":{"formattedCitation":"(Humphreys et al., 2015)","plainTextFormattedCitation":"(Humphreys et al., 2015)","previouslyFormattedCitation":"(Humphreys et al., 2015)"},"properties":{"noteIndex":0},"schema":"https://github.com/citation-style-language/schema/raw/master/csl-citation.json"}</w:instrText>
      </w:r>
      <w:r w:rsidR="00301632" w:rsidRPr="00975DA7">
        <w:rPr>
          <w:rFonts w:ascii="Times New Roman" w:hAnsi="Times New Roman" w:cs="Times New Roman"/>
        </w:rPr>
        <w:fldChar w:fldCharType="separate"/>
      </w:r>
      <w:r w:rsidR="00301632" w:rsidRPr="00975DA7">
        <w:rPr>
          <w:rFonts w:ascii="Times New Roman" w:hAnsi="Times New Roman" w:cs="Times New Roman"/>
          <w:noProof/>
        </w:rPr>
        <w:t>(Humphreys et al., 2015)</w:t>
      </w:r>
      <w:r w:rsidR="00301632" w:rsidRPr="00975DA7">
        <w:rPr>
          <w:rFonts w:ascii="Times New Roman" w:hAnsi="Times New Roman" w:cs="Times New Roman"/>
        </w:rPr>
        <w:fldChar w:fldCharType="end"/>
      </w:r>
      <w:r w:rsidRPr="00975DA7">
        <w:rPr>
          <w:rFonts w:ascii="Times New Roman" w:hAnsi="Times New Roman" w:cs="Times New Roman"/>
        </w:rPr>
        <w:t xml:space="preserve">. </w:t>
      </w:r>
      <w:r w:rsidR="001F1949" w:rsidRPr="00975DA7">
        <w:rPr>
          <w:rFonts w:ascii="Times New Roman" w:hAnsi="Times New Roman" w:cs="Times New Roman"/>
        </w:rPr>
        <w:t>ATL and AG are commonly implicated in processing coherent conceptual combinations</w:t>
      </w:r>
      <w:r w:rsidR="00301632" w:rsidRPr="00975DA7">
        <w:rPr>
          <w:rFonts w:ascii="Times New Roman" w:hAnsi="Times New Roman" w:cs="Times New Roman"/>
        </w:rPr>
        <w:t xml:space="preserve"> </w:t>
      </w:r>
      <w:r w:rsidR="00061FBD" w:rsidRPr="00975DA7">
        <w:rPr>
          <w:rFonts w:ascii="Times New Roman" w:hAnsi="Times New Roman" w:cs="Times New Roman"/>
        </w:rPr>
        <w:fldChar w:fldCharType="begin" w:fldLock="1"/>
      </w:r>
      <w:r w:rsidR="00970D1C" w:rsidRPr="00975DA7">
        <w:rPr>
          <w:rFonts w:ascii="Times New Roman" w:hAnsi="Times New Roman" w:cs="Times New Roman"/>
        </w:rPr>
        <w:instrText xml:space="preserve">ADDIN CSL_CITATION {"citationItems":[{"id":"ITEM-1","itemData":{"DOI":"10.1016/j.cortex.2018.03.024","ISSN":"19738102","abstract":"Distinct neural processes are thought to support the retrieval of semantic information that is (i) coherent with strongly-encoded aspects of knowledge, and (ii) non-dominant yet relevant for the current task or context. While the brain regions that support readily coherent and more controlled patterns of semantic retrieval are relatively well-characterised, the temporal dynamics of these processes are not well-understood. This study used magnetoencephalography (MEG) and dual-pulse chronometric transcranial magnetic stimulation (cTMS) in two separate experiments to examine temporal dynamics during the retrieval of strong and weak associations. MEG results revealed a dissociation within left temporal cortex: anterior temporal lobe (ATL) showed greater oscillatory response for strong than weak associations, while posterior middle temporal gyrus (pMTG) showed the reverse pattern. Left inferior frontal gyrus (IFG), a site associated with semantic control and retrieval, showed both patterns at different time points. In the cTMS experiment, stimulation of ATL at </w:instrText>
      </w:r>
      <w:r w:rsidR="00970D1C" w:rsidRPr="00975DA7">
        <w:rPr>
          <w:rFonts w:ascii="Cambria Math" w:hAnsi="Cambria Math" w:cs="Cambria Math"/>
        </w:rPr>
        <w:instrText>∼</w:instrText>
      </w:r>
      <w:r w:rsidR="00970D1C" w:rsidRPr="00975DA7">
        <w:rPr>
          <w:rFonts w:ascii="Times New Roman" w:hAnsi="Times New Roman" w:cs="Times New Roman"/>
        </w:rPr>
        <w:instrText>150 msec disrupted the efficient retrieval of strong associations, indicating a necessary role for ATL in coherent conceptual activations. Stimulation of pMTG at the onset of the second word disrupted the retrieval of weak associations, suggesting this site may maintain information about semantic context from the first word, allowing efficient engagement of semantic control. Together these studies provide converging evidence for a functional dissociation within the temporal lobe, across both tasks and time.","author":[{"dropping-particle":"","family":"Teige","given":"Catarina","non-dropping-particle":"","parse-names":false,"suffix":""},{"dropping-particle":"","family":"Mollo","given":"Giovanna","non-dropping-particle":"","parse-names":false,"suffix":""},{"dropping-particle":"","family":"Millman","given":"Rebecca","non-dropping-particle":"","parse-names":false,"suffix":""},{"dropping-particle":"","family":"Savill","given":"Nicola","non-dropping-particle":"","parse-names":false,"suffix":""},{"dropping-particle":"","family":"Smallwood","given":"Jonathan","non-dropping-particle":"","parse-names":false,"suffix":""},{"dropping-particle":"","family":"Cornelissen","given":"Piers L.","non-dropping-particle":"","parse-names":false,"suffix":""},{"dropping-particle":"","family":"Jefferies","given":"Elizabeth","non-dropping-particle":"","parse-names":false,"suffix":""}],"container-title":"Cortex","id":"ITEM-1","issued":{"date-parts":[["2018"]]},"page":"329-349","publisher":"Elsevier Ltd","title":"Dynamic semantic cognition: Characterising coherent and controlled conceptual retrieval through time using magnetoencephalography and chronometric transcranial magnetic stimulation","type":"article-journal","volume":"103"},"uris":["http://www.mendeley.com/documents/?uuid=052a3c2b-c226-4396-a65b-3d9e79990d7b"]},{"id":"ITEM-2","itemData":{"DOI":"10.1093/cercor/bhs170","ISSN":"10473211","abstract":"Language is experienced primarily through one of two mediums--spoken words and written text. Although substantially different in form, these two linguistic vehicles possess similar powers of expression. Consequently, one goal for the cognitive neuroscience of language is to determine where, if anywhere, along the neural path from sensory stimulation to ultimate comprehension these two processing streams converge. In the present study, we investigate the relationship between basic combinatorial operations in both reading and listening. Using magnetoencephalography, we measured neural activity elicited by the comprehension of simple adjective-noun phrases (red boat) using the same linguistic materials and tasks in both modalities. The present paradigm deviates from previous cross-modality studies by investigating only basic combinatorial mechanisms--specifically, those evoked by the construction of simple adjective-noun phrases. Our results indicate that both modalities rely upon shared neural mechanisms localized to the left anterior temporal lobe (lATL) and left angular gyrus (lAG) during such processing. Furthermore, we found that combinatorial mechanisms subserved by these regions are deployed in the same temporal order within each modality, with lATL activity preceding lAG activity. Modality-specific combinatorial effects were identified during initial perceptual processing, suggesting top-down modulation of low-level mechanisms even during basic composition.","author":[{"dropping-particle":"","family":"Bemis","given":"D. K.","non-dropping-particle":"","parse-names":false,"suffix":""},{"dropping-particle":"","family":"Pylkkänen","given":"L.","non-dropping-particle":"","parse-names":false,"suffix":""}],"container-title":"Cerebral Cortex","id":"ITEM-2","issue":"8","issued":{"date-parts":[["2013"]]},"page":"1859-1873","title":"Basic linguistic composition recruits the left anterior temporal lobe and left angular gyrus during both listening and reading","type":"article-journal","volume":"23"},"uris":["http://www.mendeley.com/documents/?uuid=ff269fbc-0f56-41c4-9ce7-9d4c05ef06d8"]},{"id":"ITEM-3","itemData":{"DOI":"10.1523/JNEUROSCI.3446-14.2015","ISSN":"0270-6474","author":[{"dropping-particle":"","family":"Price","given":"A. R.","non-dropping-particle":"","parse-names":false,"suffix":""},{"dropping-particle":"","family":"Bonner","given":"M. F.","non-dropping-particle":"","parse-names":false,"suffix":""},{"dropping-particle":"","family":"Peelle","given":"J. E.","non-dropping-particle":"","parse-names":false,"suffix":""},{"dropping-particle":"","family":"Grossman","given":"M.","non-dropping-particle":"","parse-names":false,"suffix":""}],"container-title":"Journal of Neuroscience","id":"ITEM-3","issue":"7","issued":{"date-parts":[["2015"]]},"page":"3276-3284","title":"Converging Evidence for the Neuroanatomic Basis of Combinatorial Semantics in the Angular Gyrus","type":"article-journal","volume":"35"},"uris":["http://www.mendeley.com/documents/?uuid=795638a1-e684-44d5-b48e-cf9d526efbb4"]},{"id":"ITEM-4","itemData":{"DOI":"10.1523/JNEUROSCI.4705-14.2015","ISBN":"0270-6474","ISSN":"1529-2401","PMID":"26586812","abstract":"UNLABELLED: Semantic retrieval involves both (1) automatic spreading activation between highly related concepts and (2) executive control processes that tailor this activation to suit the current context or goals. Two structures in left temporoparietal cortex, angular gyrus (AG) and posterior middle temporal gyrus (pMTG), are thought to be crucial to semantic retrieval and are often recruited together during semantic tasks; however, they show strikingly different patterns of functional connectivity at rest (coupling with the \"default mode network\" and \"frontoparietal control system,\" respectively). Here, transcranial magnetic stimulation (TMS) was used to establish a causal yet dissociable role for these sites in semantic cognition in human volunteers. TMS to AG disrupted thematic judgments particularly when the link between probe and target was strong (e.g., a picture of an Alsatian with a bone), and impaired the identification of objects at a specific but not a superordinate level (for the verbal label \"Alsatian\" not \"animal\"). In contrast, TMS to pMTG disrupted thematic judgments for weak but not strong associations (e.g., a picture of an Alsatian with razor wire), and impaired identity matching for both superordinate and specific-level labels. Thus, stimulation to AG interfered with the automatic retrieval of specific concepts from the semantic store while stimulation of pMTG impaired semantic cognition when there was a requirement to flexibly shape conceptual activation in line with the task requirements. These results demonstrate that AG and pMTG make a dissociable contribution to automatic and controlled aspects of semantic retrieval.\\n\\nSIGNIFICANCE STATEMENT: We demonstrate a novel functional dissociation between the angular gyrus (AG) and posterior middle temporal gyrus (pMTG) in conceptual processing. These sites are often coactivated during neuroimaging studies using semantic tasks, but their individual contributions are unclear. Using transcranial magnetic stimulation and tasks designed to assess different aspects of semantics (item identity and thematic matching), we tested two alternative theoretical accounts. Neither site showed the pattern expected for a \"thematic hub\" (i.e., a site storing associations between concepts) since stimulation disrupted both tasks. Instead, the data indicated that pMTG contributes to the controlled retrieval of conceptual knowledge, while AG is critical for the efficient automatic retrieval of specific seman…","author":[{"dropping-particle":"","family":"Davey","given":"James","non-dropping-particle":"","parse-names":false,"suffix":""},{"dropping-particle":"","family":"Cornelissen","given":"Piers L","non-dropping-particle":"","parse-names":false,"suffix":""},{"dropping-particle":"","family":"Thompson","given":"Hannah E","non-dropping-particle":"","parse-names":false,"suffix":""},{"dropping-particle":"","family":"Sonkusare","given":"Saurabh","non-dropping-particle":"","parse-names":false,"suffix":""},{"dropping-particle":"","family":"Hallam","given":"Glyn","non-dropping-particle":"","parse-names":false,"suffix":""},{"dropping-particle":"","family":"Smallwood","given":"Jonathan","non-dropping-particle":"","parse-names":false,"suffix":""},{"dropping-particle":"","family":"Jefferies","given":"Elizabeth","non-dropping-particle":"","parse-names":false,"suffix":""}],"container-title":"The Journal of neuroscience : the official journal of the Society for Neuroscience","id":"ITEM-4","issue":"46","issued":{"date-parts":[["2015"]]},"page":"15230-9","title":"Automatic and Controlled Semantic Retrieval: TMS Reveals Distinct Contributions of Posterior Middle Temporal Gyrus and Angular Gyrus.","type":"article-journal","volume":"35"},"uris":["http://www.mendeley.com/documents/?uuid=c52dfdce-3018-4bcf-8c88-799a925bff60"]}],"mendeley":{"formattedCitation":"(Bemis and Pylkkänen, 2013; Davey et al., 2015; Price et al., 2015; Teige et al., 2018)","plainTextFormattedCitation":"(Bemis and Pylkkänen, 2013; Davey et al., 2015; Price et al., 2015; Teige et al., 2018)","previouslyFormattedCitation":"(Bemis and Pylkkänen, 2013; Davey et al., 2015; Price et al., 2015; Teige et al., 2018)"},"properties":{"noteIndex":0},"schema":"https://github.com/citation-style-language/schema/raw/master/csl-citation.json"}</w:instrText>
      </w:r>
      <w:r w:rsidR="00061FBD" w:rsidRPr="00975DA7">
        <w:rPr>
          <w:rFonts w:ascii="Times New Roman" w:hAnsi="Times New Roman" w:cs="Times New Roman"/>
        </w:rPr>
        <w:fldChar w:fldCharType="separate"/>
      </w:r>
      <w:r w:rsidR="00061FBD" w:rsidRPr="00975DA7">
        <w:rPr>
          <w:rFonts w:ascii="Times New Roman" w:hAnsi="Times New Roman" w:cs="Times New Roman"/>
          <w:noProof/>
        </w:rPr>
        <w:t>(Bemis and Pylkkänen, 2013; Davey et al., 2015; Price et al., 2015; Teige et al., 2018)</w:t>
      </w:r>
      <w:r w:rsidR="00061FBD" w:rsidRPr="00975DA7">
        <w:rPr>
          <w:rFonts w:ascii="Times New Roman" w:hAnsi="Times New Roman" w:cs="Times New Roman"/>
        </w:rPr>
        <w:fldChar w:fldCharType="end"/>
      </w:r>
      <w:r w:rsidR="001F1949" w:rsidRPr="00975DA7">
        <w:rPr>
          <w:rFonts w:ascii="Times New Roman" w:hAnsi="Times New Roman" w:cs="Times New Roman"/>
        </w:rPr>
        <w:t xml:space="preserve"> and both are argued to act as heteromodal ‘hub’ regions</w:t>
      </w:r>
      <w:r w:rsidR="00301632" w:rsidRPr="00975DA7">
        <w:rPr>
          <w:rFonts w:ascii="Times New Roman" w:hAnsi="Times New Roman" w:cs="Times New Roman"/>
        </w:rPr>
        <w:t xml:space="preserve"> </w:t>
      </w:r>
      <w:r w:rsidR="00301632" w:rsidRPr="00975DA7">
        <w:rPr>
          <w:rFonts w:ascii="Times New Roman" w:hAnsi="Times New Roman" w:cs="Times New Roman"/>
        </w:rPr>
        <w:fldChar w:fldCharType="begin" w:fldLock="1"/>
      </w:r>
      <w:r w:rsidR="00061FBD" w:rsidRPr="00975DA7">
        <w:rPr>
          <w:rFonts w:ascii="Times New Roman" w:hAnsi="Times New Roman" w:cs="Times New Roman"/>
        </w:rPr>
        <w:instrText>ADDIN CSL_CITATION {"citationItems":[{"id":"ITEM-1","itemData":{"DOI":"10.3758/s13423-015-0824-5","ISSN":"15315320","PMID":"27294419","abstract":"Biological plausibility is an essential constraint for any viable model of semantic memory. Yet, we have only the most rudimentary understanding of how the human brain con-ducts abstract symbolic transformations that underlie word and object meaning. Neuroscience has evolved a sophisticated arsenal of techniques for elucidating the architecture of con-ceptual representation. Nevertheless, theoretical convergence remains elusive. Here we describe several contrastive ap-proaches to the organization of semantic knowledge, and in turn we offer our own perspective on two recurring questions in semantic memory research: (1) to what extent are concep-tual representations mediated by sensorimotor knowledge (i.e., to what degree is semantic memory embodied)? (2) How might an embodied semantic system represent abstract concepts such as modularity, symbol, or proposition? To ad-dress these questions, we review the merits of sensorimotor (i.e., embodied) and amodal (i.e., disembodied) semantic the-ories and address the neurobiological constraints underlying each. We conclude that the shortcomings of both perspectives in their extreme forms necessitate a hybrid middle ground. We accordingly propose the Dynamic Multilevel Reactivation Framework—an integrative model predicated upon flexible interplay between sensorimotor and amodal symbolic repre-sentations mediated by multiple cortical hubs. We discuss ap-plications of the dynamic multilevel reactivation framework to abstract and concrete concept representation and describe how a multidimensional conceptual topography based on emotion, sensation, and magnitude can successfully frame a semantic space containing meanings for both abstract and concrete words. The consideration of 'abstract conceptual features' does not diminish the role of logical and/or executive process-ing in activating, manipulating and using information stored in conceptual representations. Rather, it proposes that the mate-rials upon which these processes operate necessarily combine pure sensorimotor information and higher-order cognitive di-mensions involved in symbolic representation.","author":[{"dropping-particle":"","family":"Reilly","given":"Jamie","non-dropping-particle":"","parse-names":false,"suffix":""},{"dropping-particle":"","family":"Peelle","given":"Jonathan E.","non-dropping-particle":"","parse-names":false,"suffix":""},{"dropping-particle":"","family":"Garcia","given":"Amanda","non-dropping-particle":"","parse-names":false,"suffix":""},{"dropping-particle":"","family":"Crutch","given":"Sebastian J.","non-dropping-particle":"","parse-names":false,"suffix":""}],"container-title":"Psychonomic Bulletin and Review","id":"ITEM-1","issue":"4","issued":{"date-parts":[["2016"]]},"page":"1002-1014","publisher":"Psychonomic Bulletin &amp; Review","title":"Linking somatic and symbolic representation in semantic memory: the dynamic multilevel reactivation framework","type":"article-journal","volume":"23"},"uris":["http://www.mendeley.com/documents/?uuid=37d9767d-b99d-4d69-a68b-a0bcdfadae5e"]},{"id":"ITEM-2","itemData":{"DOI":"10.1177/1073858412440596","ISBN":"1089-4098 (Electronic)\\n1073-8584 (Linking)","ISSN":"1073-8584","PMID":"22547530","abstract":"There is considerable interest in the structural and functional properties of the angular gyrus (AG). Located in the posterior part of the inferior parietal lobule, the AG has been shown in numerous meta-analysis reviews to be consistently activated in a variety of tasks. This review discusses the involvement of the AG in semantic processing, word reading and comprehension, number processing, default mode network, memory retrieval, attention and spatial cognition, reasoning, and social cognition. This large functional neuroimaging literature depicts a major role for the AG in processing concepts rather than percepts when interfacing perception-to-recognition-to-action. More specifically, the AG emerges as a cross-modal hub where converging multisensory information is combined and integrated to comprehend and give sense to events, manipulate mental representations, solve familiar problems, and reorient attention to relevant information. In addition, this review discusses recent findings that point to the existence of multiple subdivisions in the AG. This spatial parcellation can serve as a framework for reporting AG activations with greater definition. This review also acknowledges that the role of the AG cannot comprehensibly be identified in isolation but needs to be understood in parallel with the influence from other regions. Several interesting questions that warrant further investigations are finally emphasized.","author":[{"dropping-particle":"","family":"Seghier","given":"Mohamed L.","non-dropping-particle":"","parse-names":false,"suffix":""}],"container-title":"The Neuroscientist","id":"ITEM-2","issue":"1","issued":{"date-parts":[["2012"]]},"page":"43-61","title":"The Angular Gyrus: Multiple Functions and Multiple Subdivisions","type":"article-journal","volume":"19"},"uris":["http://www.mendeley.com/documents/?uuid=e1ad4b6b-2d97-4366-8737-241d9b95904c"]}],"mendeley":{"formattedCitation":"(Reilly et al., 2016; Seghier, 2012)","plainTextFormattedCitation":"(Reilly et al., 2016; Seghier, 2012)","previouslyFormattedCitation":"(Reilly et al., 2016; Seghier, 2012)"},"properties":{"noteIndex":0},"schema":"https://github.com/citation-style-language/schema/raw/master/csl-citation.json"}</w:instrText>
      </w:r>
      <w:r w:rsidR="00301632" w:rsidRPr="00975DA7">
        <w:rPr>
          <w:rFonts w:ascii="Times New Roman" w:hAnsi="Times New Roman" w:cs="Times New Roman"/>
        </w:rPr>
        <w:fldChar w:fldCharType="separate"/>
      </w:r>
      <w:r w:rsidR="00301632" w:rsidRPr="00975DA7">
        <w:rPr>
          <w:rFonts w:ascii="Times New Roman" w:hAnsi="Times New Roman" w:cs="Times New Roman"/>
          <w:noProof/>
        </w:rPr>
        <w:t>(Reilly et al., 2016; Seghier, 2012)</w:t>
      </w:r>
      <w:r w:rsidR="00301632" w:rsidRPr="00975DA7">
        <w:rPr>
          <w:rFonts w:ascii="Times New Roman" w:hAnsi="Times New Roman" w:cs="Times New Roman"/>
        </w:rPr>
        <w:fldChar w:fldCharType="end"/>
      </w:r>
      <w:r w:rsidR="001F1949" w:rsidRPr="00975DA7">
        <w:rPr>
          <w:rFonts w:ascii="Times New Roman" w:hAnsi="Times New Roman" w:cs="Times New Roman"/>
        </w:rPr>
        <w:t xml:space="preserve">. AG also shows relatively strong </w:t>
      </w:r>
      <w:r w:rsidRPr="00975DA7">
        <w:rPr>
          <w:rFonts w:ascii="Times New Roman" w:hAnsi="Times New Roman" w:cs="Times New Roman"/>
        </w:rPr>
        <w:t xml:space="preserve">intrinsic connectivity to </w:t>
      </w:r>
      <w:r w:rsidR="001F1949" w:rsidRPr="00975DA7">
        <w:rPr>
          <w:rFonts w:ascii="Times New Roman" w:hAnsi="Times New Roman" w:cs="Times New Roman"/>
        </w:rPr>
        <w:t xml:space="preserve">lateral parts of </w:t>
      </w:r>
      <w:r w:rsidRPr="00975DA7">
        <w:rPr>
          <w:rFonts w:ascii="Times New Roman" w:hAnsi="Times New Roman" w:cs="Times New Roman"/>
        </w:rPr>
        <w:t xml:space="preserve">ATL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{"citationItems":[{"id":"ITEM-1","itemData":{"DOI":"10.1523/JNEUROSCI.4705-14.2015","ISBN":"0270-6474","ISSN":"1529-2401","PMID":"26586812","abstract":"UNLABELLED: Semantic retrieval involves both (1) automatic spreading activation between highly related concepts and (2) executive control processes that tailor this activation to suit the current context or goals. Two structures in left temporoparietal cortex, angular gyrus (AG) and posterior middle temporal gyrus (pMTG), are thought to be crucial to semantic retrieval and are often recruited together during semantic tasks; however, they show strikingly different patterns of functional connectivity at rest (coupling with the \"default mode network\" and \"frontoparietal control system,\" respectively). Here, transcranial magnetic stimulation (TMS) was used to establish a causal yet dissociable role for these sites in semantic cognition in human volunteers. TMS to AG disrupted thematic judgments particularly when the link between probe and target was strong (e.g., a picture of an Alsatian with a bone), and impaired the identification of objects at a specific but not a superordinate level (for the verbal label \"Alsatian\" not \"animal\"). In contrast, TMS to pMTG disrupted thematic judgments for weak but not strong associations (e.g., a picture of an Alsatian with razor wire), and impaired identity matching for both superordinate and specific-level labels. Thus, stimulation to AG interfered with the automatic retrieval of specific concepts from the semantic store while stimulation of pMTG impaired semantic cognition when there was a requirement to flexibly shape conceptual activation in line with the task requirements. These results demonstrate that AG and pMTG make a dissociable contribution to automatic and controlled aspects of semantic retrieval.\\n\\nSIGNIFICANCE STATEMENT: We demonstrate a novel functional dissociation between the angular gyrus (AG) and posterior middle temporal gyrus (pMTG) in conceptual processing. These sites are often coactivated during neuroimaging studies using semantic tasks, but their individual contributions are unclear. Using transcranial magnetic stimulation and tasks designed to assess different aspects of semantics (item identity and thematic matching), we tested two alternative theoretical accounts. Neither site showed the pattern expected for a \"thematic hub\" (i.e., a site storing associations between concepts) since stimulation disrupted both tasks. Instead, the data indicated that pMTG contributes to the controlled retrieval of conceptual knowledge, while AG is critical for the efficient automatic retrieval of specific seman…","author":[{"dropping-particle":"","family":"Davey","given":"James","non-dropping-particle":"","parse-names":false,"suffix":""},{"dropping-particle":"","family":"Cornelissen","given":"Piers L","non-dropping-particle":"","parse-names":false,"suffix":""},{"dropping-particle":"","family":"Thompson","given":"Hannah E","non-dropping-particle":"","parse-names":false,"suffix":""},{"dropping-particle":"","family":"Sonkusare","given":"Saurabh","non-dropping-particle":"","parse-names":false,"suffix":""},{"dropping-particle":"","family":"Hallam","given":"Glyn","non-dropping-particle":"","parse-names":false,"suffix":""},{"dropping-particle":"","family":"Smallwood","given":"Jonathan","non-dropping-particle":"","parse-names":false,"suffix":""},{"dropping-particle":"","family":"Jefferies","given":"Elizabeth","non-dropping-particle":"","parse-names":false,"suffix":""}],"container-title":"The Journal of neuroscience : the official journal of the Society for Neuroscience","id":"ITEM-1","issue":"46","issued":{"date-parts":[["2015"]]},"page":"15230-9","title":"Automatic and Controlled Semantic Retrieval: TMS Reveals Distinct Contributions of Posterior Middle Temporal Gyrus and Angular Gyrus.","type":"article-journal","volume":"35"},"uris":["http://www.mendeley.com/documents/?uuid=c52dfdce-3018-4bcf-8c88-799a925bff60"]},{"id":"ITEM-2","itemData":{"DOI":"10.1016/j.neuroimage.2016.05.051","ISSN":"10959572","PMID":"27236083","abstract":"Making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-2","issued":{"date-parts":[["2016"]]},"page":"165-177","publisher":"The Authors","title":"Exploring the role of the posterior middle temporal gyrus in semantic cognition: Integration of anterior temporal lobe with executive processes","type":"article-journal","volume":"137"},"uris":["http://www.mendeley.com/documents/?uuid=9e53ba0b-097a-4b9d-bd73-0a81c2a24447"]},{"id":"ITEM-3","itemData":{"DOI":"10.1016/j.neuropsychologia.2015.11.004","ISBN":"0020862342","ISSN":"18733514","PMID":"26559474","abstract":"Introduction: The angular gyrus (AG) is consistently reported in neuroimaging studies of episodic memory retrieval and is a fundamental node within the default mode network (DMN). Its specific contribution to episodic memory is debated, with some suggesting it is important for the subjective experience of episodic recollection, rather than retrieval of objective episodic details. Across studies of episodic retrieval, the left AG is recruited more reliably than the right. We explored functional connectivity of the right and left AG with the DMN during rest and retrieval to assess whether connectivity could provide insight into the nature of this laterality effect. Methods: Using data from the publically available 1000 Functional Connectome Project, 8. min of resting fMRI data from 180 healthy young adults were analysed. Whole-brain functional connectivity at rest was measured using a seed-based Partial Least Squares (seed-PLS) approach (McIntosh and Lobaugh, 2004) with bilateral AG seeds. A subsequent analysis used 6-min of rest and 6-min of unconstrained, silent retrieval of autobiographical events from a new sample of 20 younger adults. Analysis of this dataset took a more targeted approach to functional connectivity analysis, consisting of univariate pairwise correlations restricted to nodes of the DMN. Results: The seed-PLS analysis resulted in two Latent Variables that together explained ~86% of the shared cross-block covariance. The first LV revealed a common network consistent with the DMN and engaging the AG bilaterally, whereas the second LV revealed a less robust, yet significant, laterality effect in connectivity - the left AG was more strongly connected to the DMN. Univariate analyses of the second sample again revealed better connectivity between the left AG and the DMN at rest. However, during retrieval the left AG was more strongly connected than the right to non-medial temporal (MTL) nodes of the DMN, and MTL nodes were more strongly connected to the right AG. Discussion: The multivariate analysis of resting connectivity revealed that the left and right AG show similar connectivity with the DMN. Only after accounting for this commonality were we able to detect a left laterality effect in DMN connectivity. Further probing with univariate connectivity analyses during retrieval demonstrates that the left preference we observe is restricted to the non-MTL regions of the DMN, whereas the right AG shows significantly better connectivity with th…","author":[{"dropping-particle":"","family":"Bellana","given":"Buddhika","non-dropping-particle":"","parse-names":false,"suffix":""},{"dropping-particle":"","family":"Liu","given":"Zhongxu","non-dropping-particle":"","parse-names":false,"suffix":""},{"dropping-particle":"","family":"Anderson","given":"John A.E.","non-dropping-particle":"","parse-names":false,"suffix":""},{"dropping-particle":"","family":"Moscovitch","given":"Morris","non-dropping-particle":"","parse-names":false,"suffix":""},{"dropping-particle":"","family":"Grady","given":"Cheryl L.","non-dropping-particle":"","parse-names":false,"suffix":""}],"container-title":"Neuropsychologia","id":"ITEM-3","issued":{"date-parts":[["2016"]]},"page":"24-34","publisher":"Elsevier","title":"Laterality effects in functional connectivity of the angular gyrus during rest and episodic retrieval","type":"article-journal","volume":"80"},"uris":["http://www.mendeley.com/documents/?uuid=0ae38295-faaf-45e8-87c6-8e4b99d7e617"]},{"id":"ITEM-4","itemData":{"DOI":"10.1162/jocn","ISBN":"1530-8898 (Electronic)\\r0898-929X (Linking)","ISSN":"0898-929X","PMID":"23647519","abstract":"The anterior temporal lobe (ATL) sits at the confluence of auditory, visual, olfactory, transmodal, and limbic processing hierarchies. In keeping with this anatomical heterogeneity, the ATL has been implicated in numerous functional domains, including language, semantic memory, social cognition, and facial identification. One question that has attracted considerable discussion is whether the ATL contains a mosaic of differentially specialized areas or whether it provides a domain-independent amodal hub. In the current study, based on task-free fMRI in right-handed neurologically intact participants, we found that the left lateral ATL is interconnected with hubs of the temporo- sylvian language network, including the inferior frontal gyrus and middle temporal gyrus of the ipsilateral hemisphere and, to a lesser extent, with homotopic areas of the contralateral hemi- sphere. Incontrast, the right lateral ATLhadmuchweaker functional connectivity with these regions in either hemisphere. Togetherwith evidence that has been gathered in lesion-mapping and event- related neuroimaging studies, this asymmetry of functional con- nectivity supports the inclusion of the left ATL within the language network, a relationship that had been overlooked by classic apha- siology. The asymmetric domain selectivity for language of the left ATL, together with the absence of such an affiliation in the right ATL, is inconsistent with a strict definition of domain- independent amodal functionality in this region of the brain.","author":[{"dropping-particle":"","family":"Hurley","given":"Robert S","non-dropping-particle":"","parse-names":false,"suffix":""},{"dropping-particle":"","family":"Bonakdarpour","given":"Borna","non-dropping-particle":"","parse-names":false,"suffix":""},{"dropping-particle":"","family":"Wang","given":"Xue","non-dropping-particle":"","parse-names":false,"suffix":""},{"dropping-particle":"","family":"Mesulam","given":"M-Marsel","non-dropping-particle":"","parse-names":false,"suffix":""}],"container-title":"Journal of Cognitive Neuroscience","id":"ITEM-4","issue":"3","issued":{"date-parts":[["2015"]]},"note":"Differences with our study:\n\nStudy designed to understand L-ATL connectivity compared quantitatively to R-ATL. Seed based approach looking at intra and interhemispheric RSFC of ATL, pMTG and IFG.\n\nINTRO \n\n1 (SS): Seeds placed in ATL,IFG and MTG, L and R to quantitatively compare RSFC from homotopic regions of L and RH.\n\n2 (DD): Checked whether pMTG and IFG were more connected in L &amp;gt; R\n\n3 (SS): Check if ATL shows similar asymmetry of connectivity as 2\n\nMETHODS \n\n4 (DD): Much smaller sample (33 vs 205)\n\n5 (DD): Global signal regression\n\n6 (SS): All other pre-processing\n\n7 (DD): 10mm ROIS vs 6mm for us\n\n8 (DD): Different coordinates for spheres. IFG anatomically derived, pMTG Turken &amp;amp; Dronkers study, ATL peak atrophy Mesulam\n\n9 (DD): They used a 'control' bilateral ROI in the spatial attention network.\n\n10 (SS): The seeded correlation method\n\n11 (DD): They used other seeds as ROIs, averaging their timeseries, performing correlation and t-testing that (+ what we did)\n\n12 (DD): They counted the number of significant voxel that fell within each other seed ROI (+ what we did)\n\n13 (DD): They did not interpret, nor plotted anti-correlations\n\nRESULTS \n14 (DD): They found the biggest asymmetry for ATL, for us it was the smallest\n\n15 (SS): They looked at the LH overlap for all single seeds\n\n16 (DD): They didn't do difference maps, or looked at the overlap of that","page":"464-473","title":"Asymmetric Connectivity between the Anterior Temporal Lobe and the Language Network","type":"article-journal","volume":"27"},"uris":["http://www.mendeley.com/documents/?uuid=222d653b-63c4-4e38-9cac-ad5a51d1ba23"]},{"id":"ITEM-5","itemData":{"DOI":"10.1016/j.neuroimage.2017.04.024","ISSN":"10538119","abstract":"The temporal lobe has been associated with various cognitive functions which include memory, auditory cognition and semantics. However, at a higher level of conceptualisation, all of the functions associated with the temporal lobe can be considered as lying along one major axis; from modality-specific to modality-general processing. This paper used a spectral reordering technique on resting-state and task-based functional data to extract the major organisational axis of the temporal lobe in a bottom-up, data-driven fashion. Independent parcellations were performed on resting-state scans from 71 participants and active semantic task scans from 23 participants acquired using dual echo gradient echo planar imaging in order to preserve signal in inferior temporal cortex. The resulting organisational axis was consistent (over dataset and hemisphere) and progressed from superior temporal gyrus and posterior inferior temporal cortex to ventrolateral anterior temporal cortex. A hard parcellation separated a posterior (superior temporal and posterior fusiform and inferior temporal gyri) and an anterior cluster (ventrolateral anterior temporal lobe). The functional connectivity of the hard clusters supported the hypothesis that the connectivity gradient separated modality-specific and modality-general regions. This hypothesis was then directly tested by performing a VOI analysis upon an independent semantic task-based data set including auditory and visually presented stimuli. This confirmed that the ventrolateral anterior aspects of the temporal lobe are associated with modality-general processes whilst posterior and superior aspects are specific to certain modalities, with the posterior inferior subregions involved in visual processes and superior regions involved in audition.","author":[{"dropping-particle":"","family":"Jackson","given":"Rebecca L.","non-dropping-particle":"","parse-names":false,"suffix":""},{"dropping-particle":"","family":"Bajada","given":"Claude J.","non-dropping-particle":"","parse-names":false,"suffix":""},{"dropping-particle":"","family":"Rice","given":"Grace E.","non-dropping-particle":"","parse-names":false,"suffix":""},{"dropping-particle":"","family":"Cloutman","given":"Lauren L.","non-dropping-particle":"","parse-names":false,"suffix":""},{"dropping-particle":"","family":"Lambon Ralph","given":"Matthew A.","non-dropping-particle":"","parse-names":false,"suffix":""}],"container-title":"NeuroImage","id":"ITEM-5","issue":"April","issued":{"date-parts":[["2017"]]},"page":"1-15","publisher":"Elsevier","title":"An emergent functional parcellation of the temporal cortex","type":"article-journal"},"uris":["http://www.mendeley.com/documents/?uuid=f5054d17-45f2-48c6-b72e-59b01d0da8a5"]}],"mendeley":{"formattedCitation":"(Bellana et al., 2016; Davey et al., 2016, 2015; Hurley et al., 2015; Jackson et al., 2017)","plainTextFormattedCitation":"(Bellana et al., 2016; Davey et al., 2016, 2015; Hurley et al., 2015; Jackson et al., 2017)","previouslyFormattedCitation":"(Bellana et al., 2016; Davey et al., 2016, 2015; Hurley et al., 2015; Jackson et al., 2017)"},"properties":{"noteIndex":0},"schema":"https://github.com/citation-style-language/schema/raw/master/csl-citation.json"}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 xml:space="preserve">(Bellana et al., 2016; </w:t>
      </w:r>
      <w:r w:rsidRPr="00975DA7">
        <w:rPr>
          <w:rFonts w:ascii="Times New Roman" w:hAnsi="Times New Roman" w:cs="Times New Roman"/>
          <w:noProof/>
        </w:rPr>
        <w:lastRenderedPageBreak/>
        <w:t>Davey et al., 2016, 2015; Hurley et al., 2015; Jackson et al., 2017)</w:t>
      </w:r>
      <w:r w:rsidRPr="00975DA7">
        <w:rPr>
          <w:rFonts w:ascii="Times New Roman" w:hAnsi="Times New Roman" w:cs="Times New Roman"/>
        </w:rPr>
        <w:fldChar w:fldCharType="end"/>
      </w:r>
      <w:r w:rsidRPr="00975DA7">
        <w:rPr>
          <w:rFonts w:ascii="Times New Roman" w:hAnsi="Times New Roman" w:cs="Times New Roman"/>
        </w:rPr>
        <w:t xml:space="preserve"> and </w:t>
      </w:r>
      <w:r w:rsidR="001F1949" w:rsidRPr="00975DA7">
        <w:rPr>
          <w:rFonts w:ascii="Times New Roman" w:hAnsi="Times New Roman" w:cs="Times New Roman"/>
        </w:rPr>
        <w:t>both sites</w:t>
      </w:r>
      <w:r w:rsidR="00080A2D" w:rsidRPr="00975DA7">
        <w:rPr>
          <w:rFonts w:ascii="Times New Roman" w:hAnsi="Times New Roman" w:cs="Times New Roman"/>
        </w:rPr>
        <w:t xml:space="preserve"> show a pattern of intrinsic connectivity allied to the default mode network (DMN)</w:t>
      </w:r>
      <w:r w:rsidR="001F1949" w:rsidRPr="00975DA7">
        <w:rPr>
          <w:rFonts w:ascii="Times New Roman" w:hAnsi="Times New Roman" w:cs="Times New Roman"/>
        </w:rPr>
        <w:t xml:space="preserve"> – at least when contrasted with semantic regions that support control processes. </w:t>
      </w:r>
      <w:r w:rsidR="00D23BD0" w:rsidRPr="00975DA7">
        <w:rPr>
          <w:rFonts w:ascii="Times New Roman" w:hAnsi="Times New Roman" w:cs="Times New Roman"/>
        </w:rPr>
        <w:t xml:space="preserve">However, </w:t>
      </w:r>
      <w:r w:rsidR="00C46438" w:rsidRPr="00975DA7">
        <w:rPr>
          <w:rFonts w:ascii="Times New Roman" w:hAnsi="Times New Roman" w:cs="Times New Roman"/>
        </w:rPr>
        <w:t xml:space="preserve">there are functional subdivisions in both regions: the ventral ATL site, thought to act as a heteromodal hub, is </w:t>
      </w:r>
      <w:r w:rsidR="00C46438" w:rsidRPr="00975DA7">
        <w:rPr>
          <w:rFonts w:ascii="Times New Roman" w:hAnsi="Times New Roman" w:cs="Times New Roman"/>
          <w:i/>
        </w:rPr>
        <w:t>not</w:t>
      </w:r>
      <w:r w:rsidR="00C46438" w:rsidRPr="00975DA7">
        <w:rPr>
          <w:rFonts w:ascii="Times New Roman" w:hAnsi="Times New Roman" w:cs="Times New Roman"/>
        </w:rPr>
        <w:t xml:space="preserve"> a core region within DMN</w:t>
      </w:r>
      <w:r w:rsidR="00B338FF" w:rsidRPr="00975DA7">
        <w:rPr>
          <w:rFonts w:ascii="Times New Roman" w:hAnsi="Times New Roman" w:cs="Times New Roman"/>
        </w:rPr>
        <w:t xml:space="preserve"> </w:t>
      </w:r>
      <w:r w:rsidR="00B338FF" w:rsidRPr="00975DA7">
        <w:rPr>
          <w:rFonts w:ascii="Times New Roman" w:hAnsi="Times New Roman" w:cs="Times New Roman"/>
        </w:rPr>
        <w:fldChar w:fldCharType="begin" w:fldLock="1"/>
      </w:r>
      <w:r w:rsidR="00E71EC6" w:rsidRPr="00975DA7">
        <w:rPr>
          <w:rFonts w:ascii="Times New Roman" w:hAnsi="Times New Roman" w:cs="Times New Roman"/>
        </w:rPr>
        <w:instrText>ADDIN CSL_CITATION {"citationItems":[{"id":"ITEM-1","itemData":{"DOI":"10.1016/j.cortex.2018.12.019","ISSN":"19738102","abstract":"Resting-state networks (RSNs; groups of regions consistently co-activated without an explicit task) are hugely influential in modern brain research. Despite this popularity, the link between specific RSNs and their functions remains elusive, limiting the impact on cognitive neuroscience (where the goal is to link cognition to neural systems). Here we present a series of logical steps to formally test the relationship between a coherent RSN with a cognitive domain. This approach is applied to a challenging and significant test-case; extracting a recently-proposed semantic RSN, determining its relation with a well-known RSN, the default mode network (DMN), and assessing their roles in semantic cognition. Results showed the DMN and semantic network are two distinct coherent RSNs. Assessing the cognitive signature of these spatiotemporally coherent networks directly (and therefore accounting for overlapping networks) showed involvement of the proposed semantic network, but not the DMN, in task-based semantic cognition. Following the steps presented here, researchers could formally test specific hypotheses regarding the function of RSNs, including other possible functions of the DMN.","author":[{"dropping-particle":"","family":"Jackson","given":"Rebecca L.","non-dropping-particle":"","parse-names":false,"suffix":""},{"dropping-particle":"","family":"Cloutman","given":"Lauren L.","non-dropping-particle":"","parse-names":false,"suffix":""},{"dropping-particle":"","family":"Lambon Ralph","given":"Matthew A.","non-dropping-particle":"","parse-names":false,"suffix":""}],"container-title":"Cortex","id":"ITEM-1","issued":{"date-parts":[["2019"]]},"note":"Their semantic component (ICA) doesn't include pMTG or much AG, and does include PCC.","page":"279-297","publisher":"Elsevier Ltd","title":"Exploring distinct default mode and semantic networks using a systematic ICA approach","type":"article-journal","volume":"113"},"uris":["http://www.mendeley.com/documents/?uuid=2a3c9c0b-6fb4-45e0-b78d-cce7aae6ff5d"]}],"mendeley":{"formattedCitation":"(Jackson et al., 2019)","plainTextFormattedCitation":"(Jackson et al., 2019)","previouslyFormattedCitation":"(Jackson et al., 2019)"},"properties":{"noteIndex":0},"schema":"https://github.com/citation-style-language/schema/raw/master/csl-citation.json"}</w:instrText>
      </w:r>
      <w:r w:rsidR="00B338FF" w:rsidRPr="00975DA7">
        <w:rPr>
          <w:rFonts w:ascii="Times New Roman" w:hAnsi="Times New Roman" w:cs="Times New Roman"/>
        </w:rPr>
        <w:fldChar w:fldCharType="separate"/>
      </w:r>
      <w:r w:rsidR="00B338FF" w:rsidRPr="00975DA7">
        <w:rPr>
          <w:rFonts w:ascii="Times New Roman" w:hAnsi="Times New Roman" w:cs="Times New Roman"/>
          <w:noProof/>
        </w:rPr>
        <w:t>(Jackson et al., 2019)</w:t>
      </w:r>
      <w:r w:rsidR="00B338FF" w:rsidRPr="00975DA7">
        <w:rPr>
          <w:rFonts w:ascii="Times New Roman" w:hAnsi="Times New Roman" w:cs="Times New Roman"/>
        </w:rPr>
        <w:fldChar w:fldCharType="end"/>
      </w:r>
      <w:r w:rsidR="00C46438" w:rsidRPr="00975DA7">
        <w:rPr>
          <w:rFonts w:ascii="Times New Roman" w:hAnsi="Times New Roman" w:cs="Times New Roman"/>
        </w:rPr>
        <w:t xml:space="preserve">. </w:t>
      </w:r>
    </w:p>
    <w:p w14:paraId="0C07F783" w14:textId="4A26E32A" w:rsidR="009E3CBE" w:rsidRPr="00975DA7" w:rsidRDefault="009E3CBE" w:rsidP="009E3CBE">
      <w:pPr>
        <w:spacing w:line="360" w:lineRule="auto"/>
        <w:rPr>
          <w:rFonts w:ascii="Times New Roman" w:hAnsi="Times New Roman" w:cs="Times New Roman"/>
        </w:rPr>
      </w:pPr>
      <w:r w:rsidRPr="00975DA7">
        <w:rPr>
          <w:rFonts w:ascii="Times New Roman" w:hAnsi="Times New Roman" w:cs="Times New Roman"/>
        </w:rPr>
        <w:t xml:space="preserve"> Other</w:t>
      </w:r>
      <w:r w:rsidR="00757755" w:rsidRPr="00975DA7">
        <w:rPr>
          <w:rFonts w:ascii="Times New Roman" w:hAnsi="Times New Roman" w:cs="Times New Roman"/>
        </w:rPr>
        <w:t xml:space="preserve"> left-lateralised</w:t>
      </w:r>
      <w:r w:rsidRPr="00975DA7">
        <w:rPr>
          <w:rFonts w:ascii="Times New Roman" w:hAnsi="Times New Roman" w:cs="Times New Roman"/>
        </w:rPr>
        <w:t xml:space="preserve"> parts</w:t>
      </w:r>
      <w:r w:rsidR="00B108BD" w:rsidRPr="00975DA7">
        <w:rPr>
          <w:rFonts w:ascii="Times New Roman" w:hAnsi="Times New Roman" w:cs="Times New Roman"/>
        </w:rPr>
        <w:t xml:space="preserve"> of the </w:t>
      </w:r>
      <w:r w:rsidRPr="00975DA7">
        <w:rPr>
          <w:rFonts w:ascii="Times New Roman" w:hAnsi="Times New Roman" w:cs="Times New Roman"/>
        </w:rPr>
        <w:t xml:space="preserve">semantic network – namely left IFG and pMTG – are thought to support semantic control processes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{"citationItems":[{"id":"ITEM-1","itemData":{"DOI":"10.1162/jocn","ISBN":"1530-8898 (Electronic)\\r0898-929X (Linking)","ISSN":"0898-929X","PMID":"23647519","abstract":"Semantic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Neuroscience","id":"ITEM-1","issue":"11","issued":{"date-parts":[["2013"]]},"page":"1824-50","title":"Going beyond Inferior Prefrontal Involvement in Semantic Control: Evidence for the Additional Contribution of Dorsal Angular Gyrus and Posterior Middle Temporal Cortex","type":"article-journal","volume":"25"},"uris":["http://www.mendeley.com/documents/?uuid=0a5edd06-04ea-4fbd-85ab-b04fecaa9c01"]},{"id":"ITEM-2","itemData":{"DOI":"10.1016/j.neuropsychologia.2016.09.012","ISSN":"18733514","PMID":"27650816","abstract":"Semantic memory comprises our knowledge of the meanings of words and objects but only some of this knowledge is relevant at any given time. Thus, semantic control processes are needed to focus retrieval on relevant information. Research on the neural basis of semantic control has strongly implicated left inferior frontal gyrus (LIFG) but recent work suggests that a wider network supports semantic control, including left posterior middle temporal gyrus (pMTG), right inferior frontal gyrus (RIFG) and pre-supplementary motor area (pre-SMA). In the current study, we used repetitive transcranial magnetic stimulation (1??Hz offline TMS) over LIFG, immediately followed by fMRI, to examine modulation of the semantic network. We compared the effect of stimulation on judgements about strongly-associated words (dog-bone) and weaker associations (dog-beach), since previous studies have found that dominant links can be recovered largely automatically with little engagement of LIFG, while more distant connections require greater control. Even though behavioural performance was maintained in response to TMS, LIFG stimulation increased the effect of semantic control demands in pMTG and pre-SMA, relative to stimulation of a control site (occipital pole). These changes were accompanied by reduced recruitment of both the stimulated region (LIFG) and its right hemisphere homologue (RIFG), particularly for strong associations with low control requirements. Thus repetitive TMS to LIFG modulated the contribution of distributed regions to semantic judgements in two distinct ways.","author":[{"dropping-particle":"","family":"Hallam","given":"Glyn P.","non-dropping-particle":"","parse-names":false,"suffix":""},{"dropping-particle":"","family":"Whitney","given":"Carin","non-dropping-particle":"","parse-names":false,"suffix":""},{"dropping-particle":"","family":"Hymers","given":"Mark","non-dropping-particle":"","parse-names":false,"suffix":""},{"dropping-particle":"","family":"Gouws","given":"Andre D.","non-dropping-particle":"","parse-names":false,"suffix":""},{"dropping-particle":"","family":"Jefferies","given":"Elizabeth","non-dropping-particle":"","parse-names":false,"suffix":""}],"container-title":"Neuropsychologia","id":"ITEM-2","issue":"September","issued":{"date-parts":[["2016"]]},"page":"40-52","title":"Charting the effects of TMS with fMRI: Modulation of cortical recruitment within the distributed network supporting semantic control","type":"article-journal","volume":"93"},"uris":["http://www.mendeley.com/documents/?uuid=937a6674-3a52-4dd2-986f-038761c3d978"]},{"id":"ITEM-3","itemData":{"DOI":"10.1016/j.neuroimage.2018.07.044","ISSN":"10959572","abstract":"Semantic control allows us to shape our conceptual retrieval to suit the circumstances in a flexible way. Tasks requiring semantic control activate a large-scale network including left inferior prefrontal gyrus (IFG) and posterior middle temporal gyrus (pMTG) – this network responds when retrieval is focussed on weak as opposed to dominant associations. However, little is known about the biological basis of individual differences in this cognitive capacity: regions that are commonly activated in task-based fMRI may not relate to variation in controlled retrieval. The current study combined analyses of MRI-based cortical thickness with resting-state fMRI connectivity to identify structural markers of individual differences in semantic control. We found that participants who performed relatively well on tests of controlled semantic retrieval showed increased structural covariance between left pMTG and left anterior middle frontal gyrus (aMFG). This pattern of structural covariance was specific to semantic control and did not predict performance when harder non-semantic judgements were contrasted with easier semantic judgements. The intrinsic functional connectivity of these two regions forming a structural covariance network overlapped with previously-described semantic control regions, including bilateral IFG and intraparietal sulcus, and left posterior temporal cortex. These results add to our knowledge of the neural basis of semantic control in three ways: (i) Semantic control performance was predicted by the structural covariance network of left pMTG, a site that is less consistently activated than left IFG across studies. (ii) Our results provide further evidence that semantic control is at least partially separable from domain-general executive control. (iii) More flexible patterns of memory retrieval occurred when pMTG co-varied with distant regions in aMFG, as opposed to nearby visual, temporal or parietal lobe regions, providing further evidence that left prefrontal and posterior temporal areas form a distributed network for semantic control.","author":[{"dropping-particle":"","family":"Wang","given":"Xiuyi","non-dropping-particle":"","parse-names":false,"suffix":""},{"dropping-particle":"","family":"Bernhardt","given":"Boris C.","non-dropping-particle":"","parse-names":false,"suffix":""},{"dropping-particle":"","family":"Karapanagiotidis","given":"Theodoros","non-dropping-particle":"","parse-names":false,"suffix":""},{"dropping-particle":"","family":"Caso","given":"Irene","non-dropping-particle":"De","parse-names":false,"suffix":""},{"dropping-particle":"","family":"Gonzalez Alam","given":"Tirso Rene del Jesus","non-dropping-particle":"","parse-names":false,"suffix":""},{"dropping-particle":"","family":"Cotter","given":"Zacharria","non-dropping-particle":"","parse-names":false,"suffix":""},{"dropping-particle":"","family":"Smallwood","given":"Jonathan","non-dropping-particle":"","parse-names":false,"suffix":""},{"dropping-particle":"","family":"Jefferies","given":"Elizabeth","non-dropping-particle":"","parse-names":false,"suffix":""}],"container-title":"NeuroImage","id":"ITEM-3","issue":"July","issued":{"date-parts":[["2018"]]},"page":"480-489","publisher":"Elsevier Ltd","title":"The structural basis of semantic control: Evidence from individual differences in cortical thickness","type":"article-journal","volume":"181"},"uris":["http://www.mendeley.com/documents/?uuid=9c49a421-ea63-456d-a3c8-217eb239f7e3"]},{"id":"ITEM-4","itemData":{"DOI":"10.1016/j.neuron.2005.07.023","ISSN":"08966273","author":[{"dropping-particle":"","family":"Badre","given":"David","non-dropping-particle":"","parse-names":false,"suffix":""},{"dropping-particle":"","family":"Poldrack","given":"Russell A.","non-dropping-particle":"","parse-names":false,"suffix":""},{"dropping-particle":"","family":"Paré-Blagoev","given":"E. Juliana","non-dropping-particle":"","parse-names":false,"suffix":""},{"dropping-particle":"","family":"Insler","given":"Rachel Z.","non-dropping-particle":"","parse-names":false,"suffix":""},{"dropping-particle":"","family":"Wagner","given":"Anthony D.","non-dropping-particle":"","parse-names":false,"suffix":""}],"container-title":"Neuron","id":"ITEM-4","issue":"6","issued":{"date-parts":[["2005"]]},"page":"907-918","title":"Dissociable Controlled Retrieval and Generalized Selection Mechanisms in Ventrolateral Prefrontal Cortex","type":"article-journal","volume":"47"},"uris":["http://www.mendeley.com/documents/?uuid=dad4b99f-f3d5-490a-8b0d-0c90293d55a2"]},{"id":"ITEM-5","itemData":{"DOI":"10.1073/pnas.94.26.14792","ISBN":"0027-8424 (Print)\\r0027-8424 (Linking)","ISSN":"00278424","PMID":"9405692","abstract":"A number of neuroimaging findings have been interpreted as evidence that the left inferior frontal gyrus (IFG) subserves retrieval of semantic knowledge. We provide a fundamentally different interpretation, that it is not retrieval of semantic knowledge per se that is associated with left IFG activity but rather selection of information among competing alternatives from semantic memory. Selection demands were varied across three semantic tasks in a single group of subjects. Functional magnetic resonance imaging signal in overlapping regions of left IFG was dependent on selection demands in all three tasks. In addition, the degree of semantic processing was varied independently of selection demands in one of the tasks. The absence of left IFG activity for this comparison counters the argument that the effects of selection can be attributed solely to variations in degree of semantic retrieval. Our findings suggest that it is selection, not retrieval, of semantic knowledge that drives activity in the left IFG.","author":[{"dropping-particle":"","family":"Thompson-Schill","given":"S L","non-dropping-particle":"","parse-names":false,"suffix":""},{"dropping-particle":"","family":"D'Esposito","given":"M","non-dropping-particle":"","parse-names":false,"suffix":""},{"dropping-particle":"","family":"Aguirre","given":"G K","non-dropping-particle":"","parse-names":false,"suffix":""},{"dropping-particle":"","family":"Farah","given":"M J","non-dropping-particle":"","parse-names":false,"suffix":""}],"container-title":"Proceedings of the National Academy of Sciences of the United States of America","id":"ITEM-5","issue":"26","issued":{"date-parts":[["1997"]]},"page":"14792-14797","title":"Role of left inferior prefrontal cortex in retrieval of semantic knowledge: a reevaluation.","type":"article-journal","volume":"94"},"uris":["http://www.mendeley.com/documents/?uuid=e9da6946-aa02-4966-a331-288a1ca76051"]}],"mendeley":{"formattedCitation":"(Badre et al., 2005; Hallam et al., 2016; Noonan et al., 2013; Thompson-Schill et al., 1997; X. Wang et al., 2018)","plainTextFormattedCitation":"(Badre et al., 2005; Hallam et al., 2016; Noonan et al., 2013; Thompson-Schill et al., 1997; X. Wang et al., 2018)","previouslyFormattedCitation":"(Badre et al., 2005; Hallam et al., 2016; Noonan et al., 2013; Thompson-Schill et al., 1997; X. Wang et al., 2018)"},"properties":{"noteIndex":0},"schema":"https://github.com/citation-style-language/schema/raw/master/csl-citation.json"}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(Badre et al., 2005; Hallam et al., 2016; Noonan et al., 2013; Thompson-Schill et al., 1997; X. Wang et al., 2018)</w:t>
      </w:r>
      <w:r w:rsidRPr="00975DA7">
        <w:rPr>
          <w:rFonts w:ascii="Times New Roman" w:hAnsi="Times New Roman" w:cs="Times New Roman"/>
        </w:rPr>
        <w:fldChar w:fldCharType="end"/>
      </w:r>
      <w:r w:rsidRPr="00975DA7">
        <w:rPr>
          <w:rFonts w:ascii="Times New Roman" w:hAnsi="Times New Roman" w:cs="Times New Roman"/>
        </w:rPr>
        <w:t xml:space="preserve">. Neuroimaging studies show consistent activation of left IFG and pMTG in control-demanding semantic tasks involving weak associations, ambiguous words or strong distractors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{"citationItems":[{"id":"ITEM-1","itemData":{"DOI":"10.1162/jocn","ISBN":"1530-8898 (Electronic)\\r0898-929X (Linking)","ISSN":"0898-929X","PMID":"23647519","abstract":"Semantic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Neuroscience","id":"ITEM-1","issue":"11","issued":{"date-parts":[["2013"]]},"page":"1824-50","title":"Going beyond Inferior Prefrontal Involvement in Semantic Control: Evidence for the Additional Contribution of Dorsal Angular Gyrus and Posterior Middle Temporal Cortex","type":"article-journal","volume":"25"},"uris":["http://www.mendeley.com/documents/?uuid=0a5edd06-04ea-4fbd-85ab-b04fecaa9c01"]}],"mendeley":{"formattedCitation":"(Noonan et al., 2013)","manualFormatting":"(Noonan et al., 2013)","plainTextFormattedCitation":"(Noonan et al., 2013)","previouslyFormattedCitation":"(Noonan et al., 2013)"},"properties":{"noteIndex":0},"schema":"https://github.com/citation-style-language/schema/raw/master/csl-citation.json"}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(Noonan et al., 2013)</w:t>
      </w:r>
      <w:r w:rsidRPr="00975DA7">
        <w:rPr>
          <w:rFonts w:ascii="Times New Roman" w:hAnsi="Times New Roman" w:cs="Times New Roman"/>
        </w:rPr>
        <w:fldChar w:fldCharType="end"/>
      </w:r>
      <w:r w:rsidRPr="00975DA7">
        <w:rPr>
          <w:rFonts w:ascii="Times New Roman" w:hAnsi="Times New Roman" w:cs="Times New Roman"/>
        </w:rPr>
        <w:t xml:space="preserve">, across both verbal and non-verbal tasks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{"citationItems":[{"id":"ITEM-1","itemData":{"DOI":"10.1016/j.neuropsychologia.2015.02.030","ISSN":"1873-3514","PMID":"25726898","abstract":"Controlled semantic retrieval to words elicits co-activation of inferior frontal (IFG) and left posterior temporal cortex (pMTG), but research has not yet established (i) the distinct contributions of these regions or (ii) whether the same processes are recruited for non-verbal stimuli. Words have relatively flexible meanings - as a consequence, identifying the context that links two specific words is relatively demanding. In contrast, pictures are richer stimuli and their precise meaning is better specified by their visible features - however, not all of these features will be relevant to uncovering a given association, tapping selection/inhibition processes. To explore potential differences across modalities, we took a commonly-used manipulation of controlled retrieval demands, namely the identification of weak vs. strong associations, and compared word and picture versions. There were 4 key findings: (1) Regions of interest (ROIs) in posterior IFG (BA44) showed graded effects of modality (e.g., words&gt;pictures in left BA44; pictures&gt;words in right BA44). (2) An equivalent response was observed in left mid-IFG (BA45) across modalities, consistent with the multimodal semantic control deficits that typically follow LIFG lesions. (3) The anterior IFG (BA47) ROI showed a stronger response to verbal than pictorial associations, potentially reflecting a role for this region in establishing a meaningful context that can be used to direct semantic retrieval. (4) The left pMTG ROI also responded to difficulty across modalities yet showed a stronger response overall to verbal stimuli, helping to reconcile two distinct literatures that have implicated this site in semantic control and lexical-semantic access respectively. We propose that left anterior IFG and pMTG work together to maintain a meaningful context that shapes ongoing semantic processing, and that this process is more strongly taxed by word than picture associations.","author":[{"dropping-particle":"","family":"Krieger-Redwood","given":"Katya","non-dropping-particle":"","parse-names":false,"suffix":""},{"dropping-particle":"","family":"Teige","given":"Catarina","non-dropping-particle":"","parse-names":false,"suffix":""},{"dropping-particle":"","family":"Davey","given":"James","non-dropping-particle":"","parse-names":false,"suffix":""},{"dropping-particle":"","family":"Hymers","given":"Mark","non-dropping-particle":"","parse-names":false,"suffix":""},{"dropping-particle":"","family":"Jefferies","given":"Elizabeth","non-dropping-particle":"","parse-names":false,"suffix":""}],"container-title":"Neuropsychologia","id":"ITEM-1","issued":{"date-parts":[["2015"]]},"page":"92-107","publisher":"Elsevier","title":"Conceptual control across modalities: graded specialisation for pictures and words in inferior frontal and posterior temporal cortex.","type":"article-journal","volume":"76"},"uris":["http://www.mendeley.com/documents/?uuid=71c8b1ed-d17a-4dcf-b06c-c0fa165207a1"]}],"mendeley":{"formattedCitation":"(Krieger-Redwood et al., 2015)","plainTextFormattedCitation":"(Krieger-Redwood et al., 2015)","previouslyFormattedCitation":"(Krieger-Redwood et al., 2015)"},"properties":{"noteIndex":0},"schema":"https://github.com/citation-style-language/schema/raw/master/csl-citation.json"}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(Krieger-Redwood et al., 2015)</w:t>
      </w:r>
      <w:r w:rsidRPr="00975DA7">
        <w:rPr>
          <w:rFonts w:ascii="Times New Roman" w:hAnsi="Times New Roman" w:cs="Times New Roman"/>
        </w:rPr>
        <w:fldChar w:fldCharType="end"/>
      </w:r>
      <w:r w:rsidRPr="00975DA7">
        <w:rPr>
          <w:rFonts w:ascii="Times New Roman" w:hAnsi="Times New Roman" w:cs="Times New Roman"/>
        </w:rPr>
        <w:t xml:space="preserve">. Damage or inhibitory stimulation to either left IFG or pMTG elicits difficulty in semantic tasks with high but not low control demands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{"citationItems":[{"id":"ITEM-1","itemData":{"DOI":"10.1093/cercor/bhq180","ISBN":"1460-2199 (Electronic)\\r1047-3211 (Linking)","ISSN":"10473211","PMID":"20851853","abstract":"Assigning meaning to words, sounds, and objects requires stored conceptual knowledge plus executive mechanisms that shape semantic retrieval according to the task or context. Despite the essential role of control in semantic cognition, its neural basis remains unclear. Neuroimaging and patient research has emphasized the importance of left inferior frontal gyrus (IFG)--however, impaired semantic control can also follow left temporoparietal lesions, suggesting that this function may be underpinned by a large-scale cortical network. We used repetitive transcranial magnetic stimulation in healthy volunteers to disrupt processing within 2 potential sites in this network--IFG and posterior middle temporal cortex. Stimulation of both sites selectively disrupted executively demanding semantic judgments: semantic decisions based on strong automatic associations were unaffected. Performance was also unchanged in nonsemantic tasks--irrespective of their executive demands--and following stimulation of a control site. These results reveal that an extended network of prefrontal and posterior temporal regions underpins semantic control.","author":[{"dropping-particle":"","family":"Whitney","given":"Carin","non-dropping-particle":"","parse-names":false,"suffix":""},{"dropping-particle":"","family":"Kirk","given":"Marie","non-dropping-particle":"","parse-names":false,"suffix":""},{"dropping-particle":"","family":"O'Sullivan","given":"Jamie","non-dropping-particle":"","parse-names":false,"suffix":""},{"dropping-particle":"","family":"Lambon Ralph","given":"Matthew A.","non-dropping-particle":"","parse-names":false,"suffix":""},{"dropping-particle":"","family":"Jefferies","given":"Elizabeth","non-dropping-particle":"","parse-names":false,"suffix":""}],"container-title":"Cerebral Cortex","id":"ITEM-1","issue":"5","issued":{"date-parts":[["2011"]]},"page":"1066-1075","title":"The neural organization of semantic control: TMS evidence for a distributed network in left inferior frontal and posterior middle temporal gyrus","type":"article-journal","volume":"21"},"uris":["http://www.mendeley.com/documents/?uuid=55972b9f-d7a0-4a04-beaf-087b64ba94ea"]},{"id":"ITEM-2","itemData":{"DOI":"10.1523/JNEUROSCI.4705-14.2015","ISBN":"0270-6474","ISSN":"1529-2401","PMID":"26586812","abstract":"UNLABELLED: Semantic retrieval involves both (1) automatic spreading activation between highly related concepts and (2) executive control processes that tailor this activation to suit the current context or goals. Two structures in left temporoparietal cortex, angular gyrus (AG) and posterior middle temporal gyrus (pMTG), are thought to be crucial to semantic retrieval and are often recruited together during semantic tasks; however, they show strikingly different patterns of functional connectivity at rest (coupling with the \"default mode network\" and \"frontoparietal control system,\" respectively). Here, transcranial magnetic stimulation (TMS) was used to establish a causal yet dissociable role for these sites in semantic cognition in human volunteers. TMS to AG disrupted thematic judgments particularly when the link between probe and target was strong (e.g., a picture of an Alsatian with a bone), and impaired the identification of objects at a specific but not a superordinate level (for the verbal label \"Alsatian\" not \"animal\"). In contrast, TMS to pMTG disrupted thematic judgments for weak but not strong associations (e.g., a picture of an Alsatian with razor wire), and impaired identity matching for both superordinate and specific-level labels. Thus, stimulation to AG interfered with the automatic retrieval of specific concepts from the semantic store while stimulation of pMTG impaired semantic cognition when there was a requirement to flexibly shape conceptual activation in line with the task requirements. These results demonstrate that AG and pMTG make a dissociable contribution to automatic and controlled aspects of semantic retrieval.\\n\\nSIGNIFICANCE STATEMENT: We demonstrate a novel functional dissociation between the angular gyrus (AG) and posterior middle temporal gyrus (pMTG) in conceptual processing. These sites are often coactivated during neuroimaging studies using semantic tasks, but their individual contributions are unclear. Using transcranial magnetic stimulation and tasks designed to assess different aspects of semantics (item identity and thematic matching), we tested two alternative theoretical accounts. Neither site showed the pattern expected for a \"thematic hub\" (i.e., a site storing associations between concepts) since stimulation disrupted both tasks. Instead, the data indicated that pMTG contributes to the controlled retrieval of conceptual knowledge, while AG is critical for the efficient automatic retrieval of specific seman…","author":[{"dropping-particle":"","family":"Davey","given":"James","non-dropping-particle":"","parse-names":false,"suffix":""},{"dropping-particle":"","family":"Cornelissen","given":"Piers L","non-dropping-particle":"","parse-names":false,"suffix":""},{"dropping-particle":"","family":"Thompson","given":"Hannah E","non-dropping-particle":"","parse-names":false,"suffix":""},{"dropping-particle":"","family":"Sonkusare","given":"Saurabh","non-dropping-particle":"","parse-names":false,"suffix":""},{"dropping-particle":"","family":"Hallam","given":"Glyn","non-dropping-particle":"","parse-names":false,"suffix":""},{"dropping-particle":"","family":"Smallwood","given":"Jonathan","non-dropping-particle":"","parse-names":false,"suffix":""},{"dropping-particle":"","family":"Jefferies","given":"Elizabeth","non-dropping-particle":"","parse-names":false,"suffix":""}],"container-title":"The Journal of neuroscience : the official journal of the Society for Neuroscience","id":"ITEM-2","issue":"46","issued":{"date-parts":[["2015"]]},"page":"15230-9","title":"Automatic and Controlled Semantic Retrieval: TMS Reveals Distinct Contributions of Posterior Middle Temporal Gyrus and Angular Gyrus.","type":"article-journal","volume":"35"},"uris":["http://www.mendeley.com/documents/?uuid=c52dfdce-3018-4bcf-8c88-799a925bff60"]},{"id":"ITEM-3","itemData":{"DOI":"10.1093/brain/awl153","ISBN":"1460-2156 (Electronic)\\r0006-8950 (Linking)","ISSN":"00068950","PMID":"16815878","abstract":"Different neuropsychological populations implicate diverse cortical regions in semantic memory: semantic dementia (SD) is characterized by atrophy of the anterior temporal lobes whilst poor comprehension in stroke aphasia is associated with prefrontal or temporal-parietal infarcts. This study employed a case-series design to compare SD and comprehension-impaired stroke aphasic patients directly on the same battery of semantic tests. Although the two groups obtained broadly equivalent scores, they showed qualitatively different semantic deficits. The SD group showed strong correlations between different semantic tasks--regardless of input/output modality--and substantial consistency when a set of items was assessed several times. They were also highly sensitive to frequency/familiarity and made coordinate and superordinate semantic errors in picture naming. These findings support the notion that amodal semantic representations degrade in SD. The stroke aphasia group also showed multimodal deficits and consistency across different input modalities, but inconsistent performance on tasks requiring different types of semantic processing. They were insensitive to familiarity/frequency--instead, tests of semantic association were influenced by the ease with which relevant semantic relationships could be identified and distractors rejected. In addition, the aphasic patients made associative semantic errors in picture naming that SD patients did not make. The aphasic patients' picture naming performance improved considerably with phonemic cues suggesting that these patients retained knowledge that could not be accessed without contextual support. We propose that semantic cognition is supported by two interacting principal components: (i) a set of amodal representations (which progressively degrade in SD) and (ii) executive processes that help to direct and control semantic activation in a task-appropriate fashion (which are dysfunctional in comprehension-impaired stroke aphasic patients).","author":[{"dropping-particle":"","family":"Jefferies","given":"Elizabeth","non-dropping-particle":"","parse-names":false,"suffix":""},{"dropping-particle":"","family":"Lambon Ralph","given":"Matthew A.","non-dropping-particle":"","parse-names":false,"suffix":""}],"container-title":"Brain","id":"ITEM-3","issue":"8","issued":{"date-parts":[["2006"]]},"page":"2132-2147","title":"Semantic impairment in stroke aphasia versus semantic dementia: A case-series comparison","type":"article-journal","volume":"129"},"uris":["http://www.mendeley.com/documents/?uuid=37f5cf51-9483-4d15-95a5-8a67e27dbcbc"]}],"mendeley":{"formattedCitation":"(Davey et al., 2015; Jefferies and Lambon Ralph, 2006; Whitney et al., 2011)","plainTextFormattedCitation":"(Davey et al., 2015; Jefferies and Lambon Ralph, 2006; Whitney et al., 2011)","previouslyFormattedCitation":"(Davey et al., 2015; Jefferies and Lambon Ralph, 2006; Whitney et al., 2011)"},"properties":{"noteIndex":0},"schema":"https://github.com/citation-style-language/schema/raw/master/csl-citation.json"}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(Davey et al., 2015; Jefferies and Lambon Ralph, 2006; Whitney et al., 2011)</w:t>
      </w:r>
      <w:r w:rsidRPr="00975DA7">
        <w:rPr>
          <w:rFonts w:ascii="Times New Roman" w:hAnsi="Times New Roman" w:cs="Times New Roman"/>
        </w:rPr>
        <w:fldChar w:fldCharType="end"/>
      </w:r>
      <w:r w:rsidRPr="00975DA7">
        <w:rPr>
          <w:rFonts w:ascii="Times New Roman" w:hAnsi="Times New Roman" w:cs="Times New Roman"/>
        </w:rPr>
        <w:t xml:space="preserve">, while disruption of left IFG elicits compensatory increases in pMTG recruitment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{"citationItems":[{"id":"ITEM-1","itemData":{"DOI":"10.1016/j.neuropsychologia.2016.09.012","ISSN":"18733514","PMID":"27650816","abstract":"Semantic memory comprises our knowledge of the meanings of words and objects but only some of this knowledge is relevant at any given time. Thus, semantic control processes are needed to focus retrieval on relevant information. Research on the neural basis of semantic control has strongly implicated left inferior frontal gyrus (LIFG) but recent work suggests that a wider network supports semantic control, including left posterior middle temporal gyrus (pMTG), right inferior frontal gyrus (RIFG) and pre-supplementary motor area (pre-SMA). In the current study, we used repetitive transcranial magnetic stimulation (1??Hz offline TMS) over LIFG, immediately followed by fMRI, to examine modulation of the semantic network. We compared the effect of stimulation on judgements about strongly-associated words (dog-bone) and weaker associations (dog-beach), since previous studies have found that dominant links can be recovered largely automatically with little engagement of LIFG, while more distant connections require greater control. Even though behavioural performance was maintained in response to TMS, LIFG stimulation increased the effect of semantic control demands in pMTG and pre-SMA, relative to stimulation of a control site (occipital pole). These changes were accompanied by reduced recruitment of both the stimulated region (LIFG) and its right hemisphere homologue (RIFG), particularly for strong associations with low control requirements. Thus repetitive TMS to LIFG modulated the contribution of distributed regions to semantic judgements in two distinct ways.","author":[{"dropping-particle":"","family":"Hallam","given":"Glyn P.","non-dropping-particle":"","parse-names":false,"suffix":""},{"dropping-particle":"","family":"Whitney","given":"Carin","non-dropping-particle":"","parse-names":false,"suffix":""},{"dropping-particle":"","family":"Hymers","given":"Mark","non-dropping-particle":"","parse-names":false,"suffix":""},{"dropping-particle":"","family":"Gouws","given":"Andre D.","non-dropping-particle":"","parse-names":false,"suffix":""},{"dropping-particle":"","family":"Jefferies","given":"Elizabeth","non-dropping-particle":"","parse-names":false,"suffix":""}],"container-title":"Neuropsychologia","id":"ITEM-1","issue":"September","issued":{"date-parts":[["2016"]]},"page":"40-52","title":"Charting the effects of TMS with fMRI: Modulation of cortical recruitment within the distributed network supporting semantic control","type":"article-journal","volume":"93"},"uris":["http://www.mendeley.com/documents/?uuid=937a6674-3a52-4dd2-986f-038761c3d978"]},{"id":"ITEM-2","itemData":{"DOI":"10.1016/j.cortex.2017.10.004","ISSN":"19738102","PMID":"29223933","abstract":"Damage to left inferior prefrontal cortex in stroke aphasia is associated with semantic deficits reflecting poor control over conceptual retrieval, as opposed to loss of knowledge. However, little is known about how functional recruitment within the semantic network changes in patients with executive-semantic deficits. The current study acquired functional magnetic resonance imaging (fMRI) data from 14 patients with semantic aphasia, who had difficulty with flexible semantic retrieval following left prefrontal damage, and 16 healthy age-matched controls, allowing us to examine activation and connectivity in the semantic network. We examined neural activity while participants listened to spoken sentences that varied in their levels of lexical ambiguity and during rest. We found group differences in two regions thought to be good candidates for functional compensation: ventral anterior temporal lobe (vATL), which is strongly implicated in comprehension, and posterior middle temporal gyrus (pMTG), which is hypothesized to work together with left inferior prefrontal cortex to support controlled aspects of semantic retrieval. The patients recruited both of these sites more than controls in response to meaningful sentences. Subsequent analysis identified that, in control participants, the recruitment of pMTG to ambiguous sentences was inversely related to functional coupling between pMTG and anterior superior temporal gyrus (aSTG) at rest, while the patients showed the opposite pattern. Moreover, stronger connectivity between pMTG and aSTG in patients was associated with better performance on a test of verbal semantic association, suggesting that this temporal lobe connection supports comprehension in the face of damage to left inferior prefrontal cortex. These results characterize network changes in patients with executive-semantic deficits and converge with studies of healthy participants in providing evidence for a distributed system underpinning semantic control that includes pMTG in addition to left inferior prefrontal cortex.","author":[{"dropping-particle":"","family":"Hallam","given":"Glyn P.","non-dropping-particle":"","parse-names":false,"suffix":""},{"dropping-particle":"","family":"Thompson","given":"Hannah E.","non-dropping-particle":"","parse-names":false,"suffix":""},{"dropping-particle":"","family":"Hymers","given":"Mark","non-dropping-particle":"","parse-names":false,"suffix":""},{"dropping-particle":"","family":"Millman","given":"Rebecca E.","non-dropping-particle":"","parse-names":false,"suffix":""},{"dropping-particle":"","family":"Rodd","given":"Jennifer M.","non-dropping-particle":"","parse-names":false,"suffix":""},{"dropping-particle":"","family":"Lambon Ralph","given":"Matthew A.","non-dropping-particle":"","parse-names":false,"suffix":""},{"dropping-particle":"","family":"Smallwood","given":"Jonathan","non-dropping-particle":"","parse-names":false,"suffix":""},{"dropping-particle":"","family":"Jefferies","given":"Elizabeth","non-dropping-particle":"","parse-names":false,"suffix":""}],"container-title":"Cortex","id":"ITEM-2","issued":{"date-parts":[["2018"]]},"page":"150-165","publisher":"Elsevier Ltd","title":"Task-based and resting-state fMRI reveal compensatory network changes following damage to left inferior frontal gyrus","type":"article-journal","volume":"99"},"uris":["http://www.mendeley.com/documents/?uuid=6bbf9868-951a-4a4a-85b5-4cc588016187"]}],"mendeley":{"formattedCitation":"(Hallam et al., 2018, 2016)","plainTextFormattedCitation":"(Hallam et al., 2018, 2016)","previouslyFormattedCitation":"(Hallam et al., 2018, 2016)"},"properties":{"noteIndex":0},"schema":"https://github.com/citation-style-language/schema/raw/master/csl-citation.json"}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(Hallam et al., 2018, 2016)</w:t>
      </w:r>
      <w:r w:rsidRPr="00975DA7">
        <w:rPr>
          <w:rFonts w:ascii="Times New Roman" w:hAnsi="Times New Roman" w:cs="Times New Roman"/>
        </w:rPr>
        <w:fldChar w:fldCharType="end"/>
      </w:r>
      <w:r w:rsidRPr="00975DA7">
        <w:rPr>
          <w:rFonts w:ascii="Times New Roman" w:hAnsi="Times New Roman" w:cs="Times New Roman"/>
        </w:rPr>
        <w:t xml:space="preserve">. Right IFG also shows some activation in contrasts tapping semantic control, although this response is weaker and less extensive than in left IFG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{"citationItems":[{"id":"ITEM-1","itemData":{"DOI":"10.1162/jocn","ISBN":"1530-8898 (Electronic)\\r0898-929X (Linking)","ISSN":"0898-929X","PMID":"23647519","abstract":"Semantic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Neuroscience","id":"ITEM-1","issue":"11","issued":{"date-parts":[["2013"]]},"page":"1824-50","title":"Going beyond Inferior Prefrontal Involvement in Semantic Control: Evidence for the Additional Contribution of Dorsal Angular Gyrus and Posterior Middle Temporal Cortex","type":"article-journal","volume":"25"},"uris":["http://www.mendeley.com/documents/?uuid=0a5edd06-04ea-4fbd-85ab-b04fecaa9c01"]}],"mendeley":{"formattedCitation":"(Noonan et al., 2013)","manualFormatting":"(Noonan et al., 2013)","plainTextFormattedCitation":"(Noonan et al., 2013)","previouslyFormattedCitation":"(Noonan et al., 2013)"},"properties":{"noteIndex":0},"schema":"https://github.com/citation-style-language/schema/raw/master/csl-citation.json"}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(Noonan et al., 2013)</w:t>
      </w:r>
      <w:r w:rsidRPr="00975DA7">
        <w:rPr>
          <w:rFonts w:ascii="Times New Roman" w:hAnsi="Times New Roman" w:cs="Times New Roman"/>
        </w:rPr>
        <w:fldChar w:fldCharType="end"/>
      </w:r>
      <w:r w:rsidRPr="00975DA7">
        <w:rPr>
          <w:rFonts w:ascii="Times New Roman" w:hAnsi="Times New Roman" w:cs="Times New Roman"/>
        </w:rPr>
        <w:t xml:space="preserve">, and activation in right pMTG is rarely observed. Interestingly, although sites activated in semantic control partially overlap with bilateral multiple-demand network (MDN) regions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{"citationItems":[{"id":"ITEM-1","itemData":{"DOI":"10.1162/jocn","ISBN":"1530-8898 (Electronic)\\r0898-929X (Linking)","ISSN":"0898-929X","PMID":"23647519","abstract":"Semantic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Neuroscience","id":"ITEM-1","issue":"11","issued":{"date-parts":[["2013"]]},"page":"1824-50","title":"Going beyond Inferior Prefrontal Involvement in Semantic Control: Evidence for the Additional Contribution of Dorsal Angular Gyrus and Posterior Middle Temporal Cortex","type":"article-journal","volume":"25"},"uris":["http://www.mendeley.com/documents/?uuid=0a5edd06-04ea-4fbd-85ab-b04fecaa9c01"]},{"id":"ITEM-2","itemData":{"DOI":"10.1016/j.neuroimage.2016.05.051","ISSN":"10959572","PMID":"27236083","abstract":"Making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-2","issued":{"date-parts":[["2016"]]},"page":"165-177","publisher":"The Authors","title":"Exploring the role of the posterior middle temporal gyrus in semantic cognition: Integration of anterior temporal lobe with executive processes","type":"article-journal","volume":"137"},"uris":["http://www.mendeley.com/documents/?uuid=9e53ba0b-097a-4b9d-bd73-0a81c2a24447"]}],"mendeley":{"formattedCitation":"(Davey et al., 2016; Noonan et al., 2013)","plainTextFormattedCitation":"(Davey et al., 2016; Noonan et al., 2013)","previouslyFormattedCitation":"(Davey et al., 2016; Noonan et al., 2013)"},"properties":{"noteIndex":0},"schema":"https://github.com/citation-style-language/schema/raw/master/csl-citation.json"}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(Davey et al., 2016; Noonan et al., 2013)</w:t>
      </w:r>
      <w:r w:rsidRPr="00975DA7">
        <w:rPr>
          <w:rFonts w:ascii="Times New Roman" w:hAnsi="Times New Roman" w:cs="Times New Roman"/>
        </w:rPr>
        <w:fldChar w:fldCharType="end"/>
      </w:r>
      <w:r w:rsidRPr="00975DA7">
        <w:rPr>
          <w:rFonts w:ascii="Times New Roman" w:hAnsi="Times New Roman" w:cs="Times New Roman"/>
        </w:rPr>
        <w:t xml:space="preserve">, the peak semantic response in left IFG and pMTG is outside the executive network </w:t>
      </w:r>
      <w:r w:rsidRPr="00975DA7">
        <w:rPr>
          <w:rFonts w:ascii="Times New Roman" w:hAnsi="Times New Roman" w:cs="Times New Roman"/>
        </w:rPr>
        <w:fldChar w:fldCharType="begin" w:fldLock="1"/>
      </w:r>
      <w:r w:rsidR="00301590" w:rsidRPr="00975DA7">
        <w:rPr>
          <w:rFonts w:ascii="Times New Roman" w:hAnsi="Times New Roman" w:cs="Times New Roman"/>
        </w:rPr>
        <w:instrText>ADDIN CSL_CITATION {"citationItems":[{"id":"ITEM-1","itemData":{"DOI":"10.1016/j.neuroimage.2018.06.074","ISSN":"10538119","abstract":"We frequently guide our decisions about when and how to act based on the meanings of perceptual inputs: we might avoid treading on a flower, but not on a leaf. However, most research on response inhibition has used simple perceptual stimuli devoid of meaning. In two Go/No-Go experiments, we examined whether the neural mechanisms supporting response inhibition are influenced by the relevance of meaning to the decision, and by presentation modality (whether concepts were presented as words or images). In an on-line fMRI experiment, we found common regions for response inhibition across perceptual and conceptual decisions. These included the bilateral intraparietal sulcus and the right inferior frontal sulcus, whose neural responses have been linked to diverse cognitive demands in previous studies. In addition, we identified a cluster in ventral lateral occipital cortex that was sensitive to the modality of input, with a stronger response to No-Go than Go trials for meaningful images, compared to words with the same semantic content. In a second experiment, using resting-state fMRI, we explored how individual variation in the intrinsic connectivity of these activated regions related to variation in behavioural performance. Participants who showed stronger connectivity between common inhibition regions and limbic areas in medial temporal and subgenual anterior cingulate cortex were better at inhibition when this was driven by the meaning of the items. In addition, regions with a specific role in picture inhibition were more connected to a cluster in the thalamus/caudate for participants who were better at performing the picture task outside of the scanner. Together these studies indicate that the capacity to appropriately withhold action depends on interactions between common control regions, which are important across multiple types of input and decision, and other brain regions linked to specific inputs (i.e., visual features) or representations (e.g., memory).","author":[{"dropping-particle":"","family":"Gonzalez Alam","given":"Tirso","non-dropping-particle":"","parse-names":false,"suffix":""},{"dropping-particle":"","family":"Murphy","given":"Charlotte","non-dropping-particle":"","parse-names":false,"suffix":""},{"dropping-particle":"","family":"Smallwood","given":"Jonathan","non-dropping-particle":"","parse-names":false,"suffix":""},{"dropping-particle":"","family":"Jefferies","given":"Elizabeth","non-dropping-particle":"","parse-names":false,"suffix":""}],"container-title":"NeuroImage","id":"ITEM-1","issue":"February","issued":{"date-parts":[["2018"]]},"page":"108-119","publisher":"Elsevier Ltd","title":"Meaningful inhibition: Exploring the role of meaning and modality in response inhibition","type":"article-journal","volume":"181"},"uris":["http://www.mendeley.com/documents/?uuid=d7efd538-c927-49ec-a698-f44e04281dec"]}],"mendeley":{"formattedCitation":"(Gonzalez Alam et al., 2018)","plainTextFormattedCitation":"(Gonzalez Alam et al., 2018)","previouslyFormattedCitation":"(Gonzalez Alam et al., 2018)"},"properties":{"noteIndex":0},"schema":"https://github.com/citation-style-language/schema/raw/master/csl-citation.json"}</w:instrText>
      </w:r>
      <w:r w:rsidRPr="00975DA7">
        <w:rPr>
          <w:rFonts w:ascii="Times New Roman" w:hAnsi="Times New Roman" w:cs="Times New Roman"/>
        </w:rPr>
        <w:fldChar w:fldCharType="separate"/>
      </w:r>
      <w:r w:rsidR="00301590" w:rsidRPr="00975DA7">
        <w:rPr>
          <w:rFonts w:ascii="Times New Roman" w:hAnsi="Times New Roman" w:cs="Times New Roman"/>
          <w:noProof/>
        </w:rPr>
        <w:t>(Gonzalez Alam et al., 2018)</w:t>
      </w:r>
      <w:r w:rsidRPr="00975DA7">
        <w:rPr>
          <w:rFonts w:ascii="Times New Roman" w:hAnsi="Times New Roman" w:cs="Times New Roman"/>
        </w:rPr>
        <w:fldChar w:fldCharType="end"/>
      </w:r>
      <w:r w:rsidRPr="00975DA7">
        <w:rPr>
          <w:rFonts w:ascii="Times New Roman" w:hAnsi="Times New Roman" w:cs="Times New Roman"/>
        </w:rPr>
        <w:t xml:space="preserve">. We recently suggested that LH semantic control regions sit at the juxtaposition of DMN and multiple-demand cortex, suggesting they might help to integrate processes supported by these networks, which are normally anti-correlated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{"citationItems":[{"id":"ITEM-1","itemData":{"DOI":"10.1016/j.neuroimage.2016.05.051","ISSN":"10959572","PMID":"27236083","abstract":"Making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-1","issued":{"date-parts":[["2016"]]},"page":"165-177","publisher":"The Authors","title":"Exploring the role of the posterior middle temporal gyrus in semantic cognition: Integration of anterior temporal lobe with executive processes","type":"article-journal","volume":"137"},"uris":["http://www.mendeley.com/documents/?uuid=9e53ba0b-097a-4b9d-bd73-0a81c2a24447"]}],"mendeley":{"formattedCitation":"(Davey et al., 2016)","plainTextFormattedCitation":"(Davey et al., 2016)","previouslyFormattedCitation":"(Davey et al., 2016)"},"properties":{"noteIndex":0},"schema":"https://github.com/citation-style-language/schema/raw/master/csl-citation.json"}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(Davey et al., 2016)</w:t>
      </w:r>
      <w:r w:rsidRPr="00975DA7">
        <w:rPr>
          <w:rFonts w:ascii="Times New Roman" w:hAnsi="Times New Roman" w:cs="Times New Roman"/>
        </w:rPr>
        <w:fldChar w:fldCharType="end"/>
      </w:r>
      <w:r w:rsidRPr="00975DA7">
        <w:rPr>
          <w:rFonts w:ascii="Times New Roman" w:hAnsi="Times New Roman" w:cs="Times New Roman"/>
        </w:rPr>
        <w:t xml:space="preserve">. Yet these large-scale networks (DMN and MDN) are bilateral and largely symmetrical, raising the question of why semantic cognition is left-lateralised. </w:t>
      </w:r>
    </w:p>
    <w:p w14:paraId="28AF1E74" w14:textId="77777777" w:rsidR="009E3CBE" w:rsidRPr="00975DA7" w:rsidRDefault="009E3CBE" w:rsidP="009E3CBE">
      <w:pPr>
        <w:spacing w:line="360" w:lineRule="auto"/>
        <w:rPr>
          <w:rFonts w:ascii="Times New Roman" w:hAnsi="Times New Roman" w:cs="Times New Roman"/>
        </w:rPr>
      </w:pPr>
      <w:r w:rsidRPr="00975DA7">
        <w:rPr>
          <w:rFonts w:ascii="Times New Roman" w:hAnsi="Times New Roman" w:cs="Times New Roman"/>
        </w:rPr>
        <w:t xml:space="preserve">This study examined connectivity differences for LH semantic regions and their homotopes in the RH, to see if this can explain semantic lateralisation. Previous work has already shown stronger intrinsic connectivity in left than right ATL to other LH semantic sites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{"citationItems":[{"id":"ITEM-1","itemData":{"DOI":"10.1162/jocn","ISBN":"1530-8898 (Electronic)\\r0898-929X (Linking)","ISSN":"0898-929X","PMID":"23647519","abstract":"The anterior temporal lobe (ATL) sits at the confluence of auditory, visual, olfactory, transmodal, and limbic processing hierarchies. In keeping with this anatomical heterogeneity, the ATL has been implicated in numerous functional domains, including language, semantic memory, social cognition, and facial identification. One question that has attracted considerable discussion is whether the ATL contains a mosaic of differentially specialized areas or whether it provides a domain-independent amodal hub. In the current study, based on task-free fMRI in right-handed neurologically intact participants, we found that the left lateral ATL is interconnected with hubs of the temporo- sylvian language network, including the inferior frontal gyrus and middle temporal gyrus of the ipsilateral hemisphere and, to a lesser extent, with homotopic areas of the contralateral hemi- sphere. Incontrast, the right lateral ATLhadmuchweaker functional connectivity with these regions in either hemisphere. Togetherwith evidence that has been gathered in lesion-mapping and event- related neuroimaging studies, this asymmetry of functional con- nectivity supports the inclusion of the left ATL within the language network, a relationship that had been overlooked by classic apha- siology. The asymmetric domain selectivity for language of the left ATL, together with the absence of such an affiliation in the right ATL, is inconsistent with a strict definition of domain- independent amodal functionality in this region of the brain.","author":[{"dropping-particle":"","family":"Hurley","given":"Robert S","non-dropping-particle":"","parse-names":false,"suffix":""},{"dropping-particle":"","family":"Bonakdarpour","given":"Borna","non-dropping-particle":"","parse-names":false,"suffix":""},{"dropping-particle":"","family":"Wang","given":"Xue","non-dropping-particle":"","parse-names":false,"suffix":""},{"dropping-particle":"","family":"Mesulam","given":"M-Marsel","non-dropping-particle":"","parse-names":false,"suffix":""}],"container-title":"Journal of Cognitive Neuroscience","id":"ITEM-1","issue":"3","issued":{"date-parts":[["2015"]]},"note":"Differences with our study:\n\nStudy designed to understand L-ATL connectivity compared quantitatively to R-ATL. Seed based approach looking at intra and interhemispheric RSFC of ATL, pMTG and IFG.\n\nINTRO \n\n1 (SS): Seeds placed in ATL,IFG and MTG, L and R to quantitatively compare RSFC from homotopic regions of L and RH.\n\n2 (DD): Checked whether pMTG and IFG were more connected in L &amp;gt; R\n\n3 (SS): Check if ATL shows similar asymmetry of connectivity as 2\n\nMETHODS \n\n4 (DD): Much smaller sample (33 vs 205)\n\n5 (DD): Global signal regression\n\n6 (SS): All other pre-processing\n\n7 (DD): 10mm ROIS vs 6mm for us\n\n8 (DD): Different coordinates for spheres. IFG anatomically derived, pMTG Turken &amp;amp; Dronkers study, ATL peak atrophy Mesulam\n\n9 (DD): They used a 'control' bilateral ROI in the spatial attention network.\n\n10 (SS): The seeded correlation method\n\n11 (DD): They used other seeds as ROIs, averaging their timeseries, performing correlation and t-testing that (+ what we did)\n\n12 (DD): They counted the number of significant voxel that fell within each other seed ROI (+ what we did)\n\n13 (DD): They did not interpret, nor plotted anti-correlations\n\nRESULTS \n14 (DD): They found the biggest asymmetry for ATL, for us it was the smallest\n\n15 (SS): They looked at the LH overlap for all single seeds\n\n16 (DD): They didn't do difference maps, or looked at the overlap of that","page":"464-473","title":"Asymmetric Connectivity between the Anterior Temporal Lobe and the Language Network","type":"article-journal","volume":"27"},"uris":["http://www.mendeley.com/documents/?uuid=222d653b-63c4-4e38-9cac-ad5a51d1ba23"]}],"mendeley":{"formattedCitation":"(Hurley et al., 2015)","plainTextFormattedCitation":"(Hurley et al., 2015)","previouslyFormattedCitation":"(Hurley et al., 2015)"},"properties":{"noteIndex":0},"schema":"https://github.com/citation-style-language/schema/raw/master/csl-citation.json"}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(Hurley et al., 2015)</w:t>
      </w:r>
      <w:r w:rsidRPr="00975DA7">
        <w:rPr>
          <w:rFonts w:ascii="Times New Roman" w:hAnsi="Times New Roman" w:cs="Times New Roman"/>
        </w:rPr>
        <w:fldChar w:fldCharType="end"/>
      </w:r>
      <w:r w:rsidRPr="00975DA7">
        <w:rPr>
          <w:rFonts w:ascii="Times New Roman" w:hAnsi="Times New Roman" w:cs="Times New Roman"/>
        </w:rPr>
        <w:t xml:space="preserve">. Left IFG and pMTG have strong intrinsic connectivity, consistent with the view they form a left-lateralised network for semantic control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{"citationItems":[{"id":"ITEM-1","itemData":{"DOI":"10.1162/jocn","ISBN":"1530-8898 (Electronic)\\r0898-929X (Linking)","ISSN":"0898-929X","PMID":"23647519","abstract":"The anterior temporal lobe (ATL) sits at the confluence of auditory, visual, olfactory, transmodal, and limbic processing hierarchies. In keeping with this anatomical heterogeneity, the ATL has been implicated in numerous functional domains, including language, semantic memory, social cognition, and facial identification. One question that has attracted considerable discussion is whether the ATL contains a mosaic of differentially specialized areas or whether it provides a domain-independent amodal hub. In the current study, based on task-free fMRI in right-handed neurologically intact participants, we found that the left lateral ATL is interconnected with hubs of the temporo- sylvian language network, including the inferior frontal gyrus and middle temporal gyrus of the ipsilateral hemisphere and, to a lesser extent, with homotopic areas of the contralateral hemi- sphere. Incontrast, the right lateral ATLhadmuchweaker functional connectivity with these regions in either hemisphere. Togetherwith evidence that has been gathered in lesion-mapping and event- related neuroimaging studies, this asymmetry of functional con- nectivity supports the inclusion of the left ATL within the language network, a relationship that had been overlooked by classic apha- siology. The asymmetric domain selectivity for language of the left ATL, together with the absence of such an affiliation in the right ATL, is inconsistent with a strict definition of domain- independent amodal functionality in this region of the brain.","author":[{"dropping-particle":"","family":"Hurley","given":"Robert S","non-dropping-particle":"","parse-names":false,"suffix":""},{"dropping-particle":"","family":"Bonakdarpour","given":"Borna","non-dropping-particle":"","parse-names":false,"suffix":""},{"dropping-particle":"","family":"Wang","given":"Xue","non-dropping-particle":"","parse-names":false,"suffix":""},{"dropping-particle":"","family":"Mesulam","given":"M-Marsel","non-dropping-particle":"","parse-names":false,"suffix":""}],"container-title":"Journal of Cognitive Neuroscience","id":"ITEM-1","issue":"3","issued":{"date-parts":[["2015"]]},"note":"Differences with our study:\n\nStudy designed to understand L-ATL connectivity compared quantitatively to R-ATL. Seed based approach looking at intra and interhemispheric RSFC of ATL, pMTG and IFG.\n\nINTRO \n\n1 (SS): Seeds placed in ATL,IFG and MTG, L and R to quantitatively compare RSFC from homotopic regions of L and RH.\n\n2 (DD): Checked whether pMTG and IFG were more connected in L &amp;gt; R\n\n3 (SS): Check if ATL shows similar asymmetry of connectivity as 2\n\nMETHODS \n\n4 (DD): Much smaller sample (33 vs 205)\n\n5 (DD): Global signal regression\n\n6 (SS): All other pre-processing\n\n7 (DD): 10mm ROIS vs 6mm for us\n\n8 (DD): Different coordinates for spheres. IFG anatomically derived, pMTG Turken &amp;amp; Dronkers study, ATL peak atrophy Mesulam\n\n9 (DD): They used a 'control' bilateral ROI in the spatial attention network.\n\n10 (SS): The seeded correlation method\n\n11 (DD): They used other seeds as ROIs, averaging their timeseries, performing correlation and t-testing that (+ what we did)\n\n12 (DD): They counted the number of significant voxel that fell within each other seed ROI (+ what we did)\n\n13 (DD): They did not interpret, nor plotted anti-correlations\n\nRESULTS \n14 (DD): They found the biggest asymmetry for ATL, for us it was the smallest\n\n15 (SS): They looked at the LH overlap for all single seeds\n\n16 (DD): They didn't do difference maps, or looked at the overlap of that","page":"464-473","title":"Asymmetric Connectivity between the Anterior Temporal Lobe and the Language Network","type":"article-journal","volume":"27"},"uris":["http://www.mendeley.com/documents/?uuid=222d653b-63c4-4e38-9cac-ad5a51d1ba23"]},{"id":"ITEM-2","itemData":{"DOI":"10.1016/j.neuroimage.2016.05.051","ISSN":"10959572","PMID":"27236083","abstract":"Making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-2","issued":{"date-parts":[["2016"]]},"page":"165-177","publisher":"The Authors","title":"Exploring the role of the posterior middle temporal gyrus in semantic cognition: Integration of anterior temporal lobe with executive processes","type":"article-journal","volume":"137"},"uris":["http://www.mendeley.com/documents/?uuid=9e53ba0b-097a-4b9d-bd73-0a81c2a24447"]},{"id":"ITEM-3","itemData":{"DOI":"10.1016/j.neuroimage.2018.07.044","ISSN":"10959572","abstract":"Semantic control allows us to shape our conceptual retrieval to suit the circumstances in a flexible way. Tasks requiring semantic control activate a large-scale network including left inferior prefrontal gyrus (IFG) and posterior middle temporal gyrus (pMTG) – this network responds when retrieval is focussed on weak as opposed to dominant associations. However, little is known about the biological basis of individual differences in this cognitive capacity: regions that are commonly activated in task-based fMRI may not relate to variation in controlled retrieval. The current study combined analyses of MRI-based cortical thickness with resting-state fMRI connectivity to identify structural markers of individual differences in semantic control. We found that participants who performed relatively well on tests of controlled semantic retrieval showed increased structural covariance between left pMTG and left anterior middle frontal gyrus (aMFG). This pattern of structural covariance was specific to semantic control and did not predict performance when harder non-semantic judgements were contrasted with easier semantic judgements. The intrinsic functional connectivity of these two regions forming a structural covariance network overlapped with previously-described semantic control regions, including bilateral IFG and intraparietal sulcus, and left posterior temporal cortex. These results add to our knowledge of the neural basis of semantic control in three ways: (i) Semantic control performance was predicted by the structural covariance network of left pMTG, a site that is less consistently activated than left IFG across studies. (ii) Our results provide further evidence that semantic control is at least partially separable from domain-general executive control. (iii) More flexible patterns of memory retrieval occurred when pMTG co-varied with distant regions in aMFG, as opposed to nearby visual, temporal or parietal lobe regions, providing further evidence that left prefrontal and posterior temporal areas form a distributed network for semantic control.","author":[{"dropping-particle":"","family":"Wang","given":"Xiuyi","non-dropping-particle":"","parse-names":false,"suffix":""},{"dropping-particle":"","family":"Bernhardt","given":"Boris C.","non-dropping-particle":"","parse-names":false,"suffix":""},{"dropping-particle":"","family":"Karapanagiotidis","given":"Theodoros","non-dropping-particle":"","parse-names":false,"suffix":""},{"dropping-particle":"","family":"Caso","given":"Irene","non-dropping-particle":"De","parse-names":false,"suffix":""},{"dropping-particle":"","family":"Gonzalez Alam","given":"Tirso Rene del Jesus","non-dropping-particle":"","parse-names":false,"suffix":""},{"dropping-particle":"","family":"Cotter","given":"Zacharria","non-dropping-particle":"","parse-names":false,"suffix":""},{"dropping-particle":"","family":"Smallwood","given":"Jonathan","non-dropping-particle":"","parse-names":false,"suffix":""},{"dropping-particle":"","family":"Jefferies","given":"Elizabeth","non-dropping-particle":"","parse-names":false,"suffix":""}],"container-title":"NeuroImage","id":"ITEM-3","issue":"July","issued":{"date-parts":[["2018"]]},"page":"480-489","publisher":"Elsevier Ltd","title":"The structural basis of semantic control: Evidence from individual differences in cortical thickness","type":"article-journal","volume":"181"},"uris":["http://www.mendeley.com/documents/?uuid=9c49a421-ea63-456d-a3c8-217eb239f7e3"]},{"id":"ITEM-4","itemData":{"DOI":"10.1016/j.cortex.2017.10.004","ISSN":"19738102","PMID":"29223933","abstract":"Damage to left inferior prefrontal cortex in stroke aphasia is associated with semantic deficits reflecting poor control over conceptual retrieval, as opposed to loss of knowledge. However, little is known about how functional recruitment within the semantic network changes in patients with executive-semantic deficits. The current study acquired functional magnetic resonance imaging (fMRI) data from 14 patients with semantic aphasia, who had difficulty with flexible semantic retrieval following left prefrontal damage, and 16 healthy age-matched controls, allowing us to examine activation and connectivity in the semantic network. We examined neural activity while participants listened to spoken sentences that varied in their levels of lexical ambiguity and during rest. We found group differences in two regions thought to be good candidates for functional compensation: ventral anterior temporal lobe (vATL), which is strongly implicated in comprehension, and posterior middle temporal gyrus (pMTG), which is hypothesized to work together with left inferior prefrontal cortex to support controlled aspects of semantic retrieval. The patients recruited both of these sites more than controls in response to meaningful sentences. Subsequent analysis identified that, in control participants, the recruitment of pMTG to ambiguous sentences was inversely related to functional coupling between pMTG and anterior superior temporal gyrus (aSTG) at rest, while the patients showed the opposite pattern. Moreover, stronger connectivity between pMTG and aSTG in patients was associated with better performance on a test of verbal semantic association, suggesting that this temporal lobe connection supports comprehension in the face of damage to left inferior prefrontal cortex. These results characterize network changes in patients with executive-semantic deficits and converge with studies of healthy participants in providing evidence for a distributed system underpinning semantic control that includes pMTG in addition to left inferior prefrontal cortex.","author":[{"dropping-particle":"","family":"Hallam","given":"Glyn P.","non-dropping-particle":"","parse-names":false,"suffix":""},{"dropping-particle":"","family":"Thompson","given":"Hannah E.","non-dropping-particle":"","parse-names":false,"suffix":""},{"dropping-particle":"","family":"Hymers","given":"Mark","non-dropping-particle":"","parse-names":false,"suffix":""},{"dropping-particle":"","family":"Millman","given":"Rebecca E.","non-dropping-particle":"","parse-names":false,"suffix":""},{"dropping-particle":"","family":"Rodd","given":"Jennifer M.","non-dropping-particle":"","parse-names":false,"suffix":""},{"dropping-particle":"","family":"Lambon Ralph","given":"Matthew A.","non-dropping-particle":"","parse-names":false,"suffix":""},{"dropping-particle":"","family":"Smallwood","given":"Jonathan","non-dropping-particle":"","parse-names":false,"suffix":""},{"dropping-particle":"","family":"Jefferies","given":"Elizabeth","non-dropping-particle":"","parse-names":false,"suffix":""}],"container-title":"Cortex","id":"ITEM-4","issued":{"date-parts":[["2018"]]},"page":"150-165","publisher":"Elsevier Ltd","title":"Task-based and resting-state fMRI reveal compensatory network changes following damage to left inferior frontal gyrus","type":"article-journal","volume":"99"},"uris":["http://www.mendeley.com/documents/?uuid=6bbf9868-951a-4a4a-85b5-4cc588016187"]}],"mendeley":{"formattedCitation":"(Davey et al., 2016; Hallam et al., 2018; Hurley et al., 2015; X. Wang et al., 2018)","plainTextFormattedCitation":"(Davey et al., 2016; Hallam et al., 2018; Hurley et al., 2015; X. Wang et al., 2018)","previouslyFormattedCitation":"(Davey et al., 2016; Hallam et al., 2018; Hurley et al., 2015; X. Wang et al., 2018)"},"properties":{"noteIndex":0},"schema":"https://github.com/citation-style-language/schema/raw/master/csl-citation.json"}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(Davey et al., 2016; Hallam et al., 2018; Hurley et al., 2015; X. Wang et al., 2018)</w:t>
      </w:r>
      <w:r w:rsidRPr="00975DA7">
        <w:rPr>
          <w:rFonts w:ascii="Times New Roman" w:hAnsi="Times New Roman" w:cs="Times New Roman"/>
        </w:rPr>
        <w:fldChar w:fldCharType="end"/>
      </w:r>
      <w:r w:rsidRPr="00975DA7">
        <w:rPr>
          <w:rFonts w:ascii="Times New Roman" w:hAnsi="Times New Roman" w:cs="Times New Roman"/>
        </w:rPr>
        <w:t>, although the comparison with RH connectivity has been little explored. Left AG also shows stronger connectivity than right AG to semantically-relevant lateral temporal regions during memory retrieval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{"citationItems":[{"id":"ITEM-1","itemData":{"DOI":"10.1016/j.neuropsychologia.2015.11.004","ISBN":"0020862342","ISSN":"18733514","PMID":"26559474","abstract":"Introduction: The angular gyrus (AG) is consistently reported in neuroimaging studies of episodic memory retrieval and is a fundamental node within the default mode network (DMN). Its specific contribution to episodic memory is debated, with some suggesting it is important for the subjective experience of episodic recollection, rather than retrieval of objective episodic details. Across studies of episodic retrieval, the left AG is recruited more reliably than the right. We explored functional connectivity of the right and left AG with the DMN during rest and retrieval to assess whether connectivity could provide insight into the nature of this laterality effect. Methods: Using data from the publically available 1000 Functional Connectome Project, 8. min of resting fMRI data from 180 healthy young adults were analysed. Whole-brain functional connectivity at rest was measured using a seed-based Partial Least Squares (seed-PLS) approach (McIntosh and Lobaugh, 2004) with bilateral AG seeds. A subsequent analysis used 6-min of rest and 6-min of unconstrained, silent retrieval of autobiographical events from a new sample of 20 younger adults. Analysis of this dataset took a more targeted approach to functional connectivity analysis, consisting of univariate pairwise correlations restricted to nodes of the DMN. Results: The seed-PLS analysis resulted in two Latent Variables that together explained ~86% of the shared cross-block covariance. The first LV revealed a common network consistent with the DMN and engaging the AG bilaterally, whereas the second LV revealed a less robust, yet significant, laterality effect in connectivity - the left AG was more strongly connected to the DMN. Univariate analyses of the second sample again revealed better connectivity between the left AG and the DMN at rest. However, during retrieval the left AG was more strongly connected than the right to non-medial temporal (MTL) nodes of the DMN, and MTL nodes were more strongly connected to the right AG. Discussion: The multivariate analysis of resting connectivity revealed that the left and right AG show similar connectivity with the DMN. Only after accounting for this commonality were we able to detect a left laterality effect in DMN connectivity. Further probing with univariate connectivity analyses during retrieval demonstrates that the left preference we observe is restricted to the non-MTL regions of the DMN, whereas the right AG shows significantly better connectivity with th…","author":[{"dropping-particle":"","family":"Bellana","given":"Buddhika","non-dropping-particle":"","parse-names":false,"suffix":""},{"dropping-particle":"","family":"Liu","given":"Zhongxu","non-dropping-particle":"","parse-names":false,"suffix":""},{"dropping-particle":"","family":"Anderson","given":"John A.E.","non-dropping-particle":"","parse-names":false,"suffix":""},{"dropping-particle":"","family":"Moscovitch","given":"Morris","non-dropping-particle":"","parse-names":false,"suffix":""},{"dropping-particle":"","family":"Grady","given":"Cheryl L.","non-dropping-particle":"","parse-names":false,"suffix":""}],"container-title":"Neuropsychologia","id":"ITEM-1","issued":{"date-parts":[["2016"]]},"page":"24-34","publisher":"Elsevier","title":"Laterality effects in functional connectivity of the angular gyrus during rest and episodic retrieval","type":"article-journal","volume":"80"},"uris":["http://www.mendeley.com/documents/?uuid=0ae38295-faaf-45e8-87c6-8e4b99d7e617"]}],"mendeley":{"formattedCitation":"(Bellana et al., 2016)","manualFormatting":"Bellana et al., 2016)","plainTextFormattedCitation":"(Bellana et al., 2016)","previouslyFormattedCitation":"(Bellana et al., 2016)"},"properties":{"noteIndex":0},"schema":"https://github.com/citation-style-language/schema/raw/master/csl-citation.json"}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Bellana et al., 2016)</w:t>
      </w:r>
      <w:r w:rsidRPr="00975DA7">
        <w:rPr>
          <w:rFonts w:ascii="Times New Roman" w:hAnsi="Times New Roman" w:cs="Times New Roman"/>
        </w:rPr>
        <w:fldChar w:fldCharType="end"/>
      </w:r>
      <w:r w:rsidRPr="00975DA7">
        <w:rPr>
          <w:rFonts w:ascii="Times New Roman" w:hAnsi="Times New Roman" w:cs="Times New Roman"/>
        </w:rPr>
        <w:t xml:space="preserve">. This study extends this research to characterise hemispheric differences across four key semantic sites, within the same participants, allowing us to compare the degree of lateralisation for semantic representation and control sites for the first time. </w:t>
      </w:r>
    </w:p>
    <w:p w14:paraId="61301504" w14:textId="674906FC" w:rsidR="009E3CBE" w:rsidRPr="00975DA7" w:rsidRDefault="009E3CBE" w:rsidP="00116EC6">
      <w:pPr>
        <w:spacing w:line="360" w:lineRule="auto"/>
        <w:rPr>
          <w:rFonts w:ascii="Times New Roman" w:hAnsi="Times New Roman" w:cs="Times New Roman"/>
        </w:rPr>
      </w:pPr>
      <w:r w:rsidRPr="00975DA7">
        <w:rPr>
          <w:rFonts w:ascii="Times New Roman" w:hAnsi="Times New Roman" w:cs="Times New Roman"/>
        </w:rPr>
        <w:t xml:space="preserve">We first examine the connectivity profiles of four key sites – ventral ATL, AG, pMTG and IFG – which are implicated in heteromodal semantic cognition by neuroimaging meta-analyses. We </w:t>
      </w:r>
      <w:r w:rsidRPr="00975DA7">
        <w:rPr>
          <w:rFonts w:ascii="Times New Roman" w:hAnsi="Times New Roman" w:cs="Times New Roman"/>
        </w:rPr>
        <w:lastRenderedPageBreak/>
        <w:t xml:space="preserve">characterise the intrinsic connectivity of these LH sites and their RH homotopes in 196 participants who completed a resting-state scan, and quantify (i) simple differences in connectivity across hemispheres (by computing contrasts between LH and RH seeds, which are largely symmetrical); and (ii) regions in which left-lateralised and right-lateralised patterns of connectivity show topographic differences. We also examine overlap in the connectivity patterns of these semantic sites within each hemisphere </w:t>
      </w:r>
      <w:r w:rsidR="00116EC6" w:rsidRPr="00975DA7">
        <w:rPr>
          <w:rFonts w:ascii="Times New Roman" w:hAnsi="Times New Roman" w:cs="Times New Roman"/>
        </w:rPr>
        <w:t xml:space="preserve">to establish whether regions thought to support semantic control (i.e. IFG and pMTG) show stronger connectivity to each other than other semantic sites (ATL and AG), and whether this pattern varies across the hemispheres. </w:t>
      </w:r>
      <w:r w:rsidRPr="00975DA7">
        <w:rPr>
          <w:rFonts w:ascii="Times New Roman" w:hAnsi="Times New Roman" w:cs="Times New Roman"/>
        </w:rPr>
        <w:t xml:space="preserve">We use meta-analytic decoding to examine the likely functional consequences of asymmetries in connectivity. </w:t>
      </w:r>
    </w:p>
    <w:p w14:paraId="0CA3223B" w14:textId="009B1E5C" w:rsidR="009E3CBE" w:rsidRPr="00975DA7" w:rsidRDefault="009E3CBE" w:rsidP="009E3CBE">
      <w:pPr>
        <w:spacing w:line="360" w:lineRule="auto"/>
        <w:rPr>
          <w:rFonts w:ascii="Times New Roman" w:hAnsi="Times New Roman" w:cs="Times New Roman"/>
        </w:rPr>
      </w:pPr>
      <w:r w:rsidRPr="00975DA7">
        <w:rPr>
          <w:rFonts w:ascii="Times New Roman" w:hAnsi="Times New Roman" w:cs="Times New Roman"/>
        </w:rPr>
        <w:t xml:space="preserve">Next, we investigate how individual differences in the intrinsic connectivity of the four left-lateralised semantic sites is related to individual variation in the efficiency of semantic retrieval, relative to perceptual judgements. In order to test the multiple component account of semantic cognition, in which different patterns of connectivity might be critical for heteromodal conceptual representation and control, we contrast different semantic tasks, involving the comprehension of words and pictures, as well as the retrieval of strong and weak associations that differ in their semantic control demands. We test the hypothesis that within-hemisphere connectivity from left-sided seeds may be associated with good semantic performance, while controlled semantic retrieval may be weaker in participants who have more cross-hemisphere connectivity, since the semantic control network is thought to be strongly left-lateralised.  To anticipate, </w:t>
      </w:r>
      <w:r w:rsidR="00CA1CB5" w:rsidRPr="00975DA7">
        <w:rPr>
          <w:rFonts w:ascii="Times New Roman" w:hAnsi="Times New Roman" w:cs="Times New Roman"/>
        </w:rPr>
        <w:t>we also observe distinct patterns of connectivity, which are associated with semantic and language processing in LH, and visual perception and spatial processing in the RH. W</w:t>
      </w:r>
      <w:r w:rsidRPr="00975DA7">
        <w:rPr>
          <w:rFonts w:ascii="Times New Roman" w:hAnsi="Times New Roman" w:cs="Times New Roman"/>
        </w:rPr>
        <w:t>e find that ATL has more symmetrical intrinsic conn</w:t>
      </w:r>
      <w:r w:rsidR="00CA1CB5" w:rsidRPr="00975DA7">
        <w:rPr>
          <w:rFonts w:ascii="Times New Roman" w:hAnsi="Times New Roman" w:cs="Times New Roman"/>
        </w:rPr>
        <w:t>ectivity than the other sites. In contrast, t</w:t>
      </w:r>
      <w:r w:rsidRPr="00975DA7">
        <w:rPr>
          <w:rFonts w:ascii="Times New Roman" w:hAnsi="Times New Roman" w:cs="Times New Roman"/>
        </w:rPr>
        <w:t xml:space="preserve">he semantic control network is more strongly left-lateralised, and this pattern of lateralisation is associated with efficient semantic retrieval. </w:t>
      </w:r>
    </w:p>
    <w:p w14:paraId="190F17D2" w14:textId="77777777" w:rsidR="009B491D" w:rsidRPr="00975DA7" w:rsidRDefault="009B491D">
      <w:pPr>
        <w:rPr>
          <w:rFonts w:ascii="Times New Roman" w:hAnsi="Times New Roman" w:cs="Times New Roman"/>
        </w:rPr>
      </w:pPr>
    </w:p>
    <w:p w14:paraId="731189AF" w14:textId="77777777" w:rsidR="0059177E" w:rsidRPr="00975DA7" w:rsidRDefault="0059177E">
      <w:pPr>
        <w:rPr>
          <w:rFonts w:ascii="Times New Roman" w:hAnsi="Times New Roman" w:cs="Times New Roman"/>
          <w:b/>
        </w:rPr>
      </w:pPr>
      <w:r w:rsidRPr="00975DA7">
        <w:rPr>
          <w:rFonts w:ascii="Times New Roman" w:hAnsi="Times New Roman" w:cs="Times New Roman"/>
          <w:b/>
        </w:rPr>
        <w:br w:type="page"/>
      </w:r>
    </w:p>
    <w:p w14:paraId="02DBF9D6" w14:textId="2E6D1021" w:rsidR="0059177E" w:rsidRPr="00975DA7" w:rsidRDefault="00FC5D50" w:rsidP="00853F2C">
      <w:pPr>
        <w:keepNext/>
        <w:jc w:val="center"/>
        <w:rPr>
          <w:rFonts w:ascii="Times New Roman" w:hAnsi="Times New Roman" w:cs="Times New Roman"/>
          <w:b/>
        </w:rPr>
      </w:pPr>
      <w:r w:rsidRPr="00975DA7">
        <w:rPr>
          <w:rFonts w:ascii="Times New Roman" w:hAnsi="Times New Roman" w:cs="Times New Roman"/>
          <w:b/>
        </w:rPr>
        <w:lastRenderedPageBreak/>
        <w:t xml:space="preserve">2. </w:t>
      </w:r>
      <w:r w:rsidR="0059177E" w:rsidRPr="00975DA7">
        <w:rPr>
          <w:rFonts w:ascii="Times New Roman" w:hAnsi="Times New Roman" w:cs="Times New Roman"/>
          <w:b/>
        </w:rPr>
        <w:t>Methods</w:t>
      </w:r>
    </w:p>
    <w:p w14:paraId="4C0C3293" w14:textId="2EEAC732" w:rsidR="0059177E" w:rsidRPr="00975DA7" w:rsidRDefault="00FC5D50" w:rsidP="00DD7FA8">
      <w:pPr>
        <w:keepNext/>
        <w:spacing w:line="360" w:lineRule="auto"/>
        <w:rPr>
          <w:rFonts w:ascii="Times New Roman" w:hAnsi="Times New Roman" w:cs="Times New Roman"/>
        </w:rPr>
      </w:pPr>
      <w:r w:rsidRPr="00975DA7">
        <w:rPr>
          <w:rFonts w:ascii="Times New Roman" w:hAnsi="Times New Roman" w:cs="Times New Roman"/>
        </w:rPr>
        <w:t>2.</w:t>
      </w:r>
      <w:r w:rsidR="0059177E" w:rsidRPr="00975DA7">
        <w:rPr>
          <w:rFonts w:ascii="Times New Roman" w:hAnsi="Times New Roman" w:cs="Times New Roman"/>
        </w:rPr>
        <w:t>1. Overview</w:t>
      </w:r>
    </w:p>
    <w:p w14:paraId="0AFD1536" w14:textId="2749CB0C" w:rsidR="0059177E" w:rsidRPr="00975DA7" w:rsidRDefault="0059177E" w:rsidP="00DD7FA8">
      <w:pPr>
        <w:keepNext/>
        <w:spacing w:line="360" w:lineRule="auto"/>
        <w:rPr>
          <w:rFonts w:ascii="Times New Roman" w:hAnsi="Times New Roman" w:cs="Times New Roman"/>
        </w:rPr>
      </w:pPr>
      <w:r w:rsidRPr="00975DA7">
        <w:rPr>
          <w:rFonts w:ascii="Times New Roman" w:hAnsi="Times New Roman" w:cs="Times New Roman"/>
        </w:rPr>
        <w:t xml:space="preserve">This study was approved by the local research ethics committees. The data were obtained as part of a large cohort study, consisting of resting state fMRI and a battery of cognitive assessments in 207 healthy young adult volunteers (137 females; age: mean ± SD = 20.21 ± 2.35, range: 18 – 31 years). Elements of this cohort study have been described previously in papers focussing on mind-wandering </w:t>
      </w:r>
      <w:r w:rsidRPr="00975DA7">
        <w:rPr>
          <w:rFonts w:ascii="Times New Roman" w:hAnsi="Times New Roman" w:cs="Times New Roman"/>
        </w:rPr>
        <w:fldChar w:fldCharType="begin" w:fldLock="1"/>
      </w:r>
      <w:r w:rsidR="00116E55" w:rsidRPr="00975DA7">
        <w:rPr>
          <w:rFonts w:ascii="Times New Roman" w:hAnsi="Times New Roman" w:cs="Times New Roman"/>
        </w:rPr>
        <w:instrText>ADDIN CSL_CITATION {"citationItems":[{"id":"ITEM-1","itemData":{"DOI":"10.1016/j.neuroimage.2018.04.064","ISSN":"10959572","PMID":"29733956","abstract":"Contemporary cognitive neuroscience recognises unconstrained processing varies across individuals, describing variation in meaningful attributes, such as intelligence. It may also have links to patterns of on-going experience. This study examined whether dimensions of population variation in different modes of unconstrained processing can be described by the associations between patterns of neural activity and self-reports of experience during the same period. We selected 258 individuals from a publicly available data set who had measures of resting-state functional magnetic resonance imaging, and self-reports of experience during the scan. We used machine learning to determine patterns of association between the neural and self-reported data, finding variation along four dimensions. ‘Purposeful’ experiences were associated with lower connectivity - in particular default mode and limbic networks were less correlated with attention and sensorimotor networks. ‘Emotional’ experiences were associated with higher connectivity, especially between limbic and ventral attention networks. Experiences focused on themes of ‘personal importance’ were associated with reduced functional connectivity within attention and control systems. Finally, visual experiences were associated with stronger connectivity between visual and other networks, in particular the limbic system. Some of these patterns had contrasting links with cognitive function as assessed in a separate laboratory session - purposeful thinking was linked to greater intelligence and better abstract reasoning, while a focus on personal importance had the opposite relationship. Together these findings are consistent with an emerging literature on unconstrained states and also underlines that these states are heterogeneous, with distinct modes of population variation reflecting the interplay of different large-scale networks.","author":[{"dropping-particle":"","family":"Wang","given":"Hao Ting","non-dropping-particle":"","parse-names":false,"suffix":""},{"dropping-particle":"","family":"Bzdok","given":"Danilo","non-dropping-particle":"","parse-names":false,"suffix":""},{"dropping-particle":"","family":"Margulies","given":"Daniel","non-dropping-particle":"","parse-names":false,"suffix":""},{"dropping-particle":"","family":"Craddock","given":"Cameron","non-dropping-particle":"","parse-names":false,"suffix":""},{"dropping-particle":"","family":"Milham","given":"Michael","non-dropping-particle":"","parse-names":false,"suffix":""},{"dropping-particle":"","family":"Jefferies","given":"Elizabeth","non-dropping-particle":"","parse-names":false,"suffix":""},{"dropping-particle":"","family":"Smallwood","given":"Jonathan","non-dropping-particle":"","parse-names":false,"suffix":""}],"container-title":"NeuroImage","id":"ITEM-1","issue":"March","issued":{"date-parts":[["2018"]]},"page":"518-527","publisher":"Elsevier Inc.","title":"Patterns of thought: Population variation in the associations between large-scale network organisation and self-reported experiences at rest","type":"article-journal","volume":"176"},"uris":["http://www.mendeley.com/documents/?uuid=9ef581ea-4727-44aa-99d1-678aea5cbf60"]},{"id":"ITEM-2","itemData":{"DOI":"10.1177/0956797617728727","ISBN":"0956-7976","ISSN":"14679280","PMID":"29131720","abstract":"The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show...","author":[{"dropping-particle":"","family":"Wang","given":"Hao Ting","non-dropping-particle":"","parse-names":false,"suffix":""},{"dropping-particle":"","family":"Poerio","given":"Giulia","non-dropping-particle":"","parse-names":false,"suffix":""},{"dropping-particle":"","family":"Murphy","given":"Charlotte","non-dropping-particle":"","parse-names":false,"suffix":""},{"dropping-particle":"","family":"Bzdok","given":"Danilo","non-dropping-particle":"","parse-names":false,"suffix":""},{"dropping-particle":"","family":"Jefferies","given":"Elizabeth","non-dropping-particle":"","parse-names":false,"suffix":""},{"dropping-particle":"","family":"Smallwood","given":"Jonathan","non-dropping-particle":"","parse-names":false,"suffix":""}],"container-title":"Psychological Science","id":"ITEM-2","issue":"1","issued":{"date-parts":[["2018"]]},"page":"56-71","title":"Dimensions of Experience: Exploring the Heterogeneity of the Wandering Mind","type":"article-journal","volume":"29"},"uris":["http://www.mendeley.com/documents/?uuid=8110d180-9ae6-477b-81d5-909a8ee4761b"]},{"id":"ITEM-3","itemData":{"DOI":"10.1073/pnas.1721259115","ISSN":"0027-8424","PMID":"30150393","abstract":"Regions of transmodal cortex, in particular the default mode network (DMN), have historically been argued to serve functions unrelated to task performance, in part because of associations with naturally occurring periods of off-task thought. In contrast, contemporary views of the DMN suggest it plays an integrative role in cognition that emerges from its location at the top of a cortical hierarchy and its relative isolation from systems directly involved in perception and action. The combination of these topographical features may allow the DMN to support abstract representations derived from lower levels in the hierarchy and so reflect the broader cognitive landscape. To investigate these contrasting views of DMN function, we sampled experience as participants performed tasks varying in their working-memory load while inside an fMRI scanner. We used self-report data to establish dimensions of thought that describe levels of detail, the relationship to a task, the modality of thought, and its emotional qualities. We used representational similarity analysis to examine correspondences between patterns of neural activity and each dimension of thought. Our results were inconsistent with a task-negative view of DMN function. Distinctions between on- and off-task thought were associated with patterns of consistent neural activity in regions adjacent to unimodal cortex, including motor and premotor cortex. Detail in ongoing thought was associated with patterns of activity within the DMN during periods of working-memory maintenance. These results demonstrate a contribution of the DMN to ongoing cognition extending beyond task-unrelated processing that can include detailed experiences occurring under active task conditions","author":[{"dropping-particle":"","family":"Sormaz","given":"Mladen","non-dropping-particle":"","parse-names":false,"suffix":""},{"dropping-particle":"","family":"Murphy","given":"Charlotte","non-dropping-particle":"","parse-names":false,"suffix":""},{"dropping-particle":"","family":"Wang","given":"Hao-ting","non-dropping-particle":"","parse-names":false,"suffix":""},{"dropping-particle":"","family":"Hymers","given":"Mark","non-dropping-particle":"","parse-names":false,"suffix":""},{"dropping-particle":"","family":"Karapanagiotidis","given":"Theodoros","non-dropping-particle":"","parse-names":false,"suffix":""},{"dropping-particle":"","family":"Poerio","given":"Giulia","non-dropping-particle":"","parse-names":false,"suffix":""}],"container-title":"Proceedings of the National Academy of Sciences","id":"ITEM-3","issued":{"date-parts":[["2018"]]},"title":"Default mode network can support the level of detail in experience during active task states","type":"article-journal"},"uris":["http://www.mendeley.com/documents/?uuid=ae60c6dc-ec9a-4f42-9e1d-049b27859a3f"]},{"id":"ITEM-4","itemData":{"DOI":"10.1093/scan/nsx041","ISSN":"17495024","PMID":"22652025","abstract":"There has been a growing interest in the role that shared family mealtimes may play in promoting the health and well-being of children. Families that regularly eat their main meal together four or more times a week are more likely to have children who do better in school, are of average weight, less likely to use drugs and alcohol at an early age, and consume more fruits and vegetables. The mere fact that families eat together does not address the process by which shared family mealtimes may protect children from unhealthy weight gain. Just as there is no simple explanation for the rising rates of obesity, the link between shared family mealtimes and childhood obesity is a complex one including socioeconomic and cultural context. In this paper, we provide an overview of how shared family mealtimes are embedded in a socio-cultural context that may either support or derail healthy eating patterns for children and youth. Evidence from an observational study of 200 family mealtimes demonstrates the complex interplay between socio-economic factors, family mealtime behaviors, and child obesity status. Families who had a child of healthy weight spent more time engaged with each other during the meal, expressed more positive communication, and considered mealtimes more important and meaningful than families who had a child who was overweight or obese. Using a cumulative risk model, it was found that the combination of family level and neighborhood risk factors predicted child overweight status. Recommendations are made for future research directions and policies directed toward families living in diverse economic circumstances.","author":[{"dropping-particle":"","family":"Poerio","given":"Giulia L.","non-dropping-particle":"","parse-names":false,"suffix":""},{"dropping-particle":"","family":"Sormaz","given":"Mladen","non-dropping-particle":"","parse-names":false,"suffix":""},{"dropping-particle":"","family":"Wang","given":"Hao Ting","non-dropping-particle":"","parse-names":false,"suffix":""},{"dropping-particle":"","family":"Margulies","given":"Daniel","non-dropping-particle":"","parse-names":false,"suffix":""},{"dropping-particle":"","family":"Jefferies","given":"Elizabeth","non-dropping-particle":"","parse-names":false,"suffix":""},{"dropping-particle":"","family":"Smallwood","given":"Jonathan","non-dropping-particle":"","parse-names":false,"suffix":""}],"container-title":"Social Cognitive and Affective Neuroscience","id":"ITEM-4","issue":"7","issued":{"date-parts":[["2017"]]},"page":"1047-1062","title":"The role of the default mode network in component processes underlying the wandering mind","type":"article-journal","volume":"12"},"uris":["http://www.mendeley.com/documents/?uuid=b4bd1bd4-87dc-48cc-b815-8a5f4964bd93","http://www.mendeley.com/documents/?uuid=c2a495e0-1549-4d18-afac-2a10f42a7762"]},{"id":"ITEM-5","itemData":{"DOI":"10.1016/j.neuroimage.2018.09.069","ISSN":"10538119","PMID":"30266263","abstract":"State-sponsored research and development: a case study of China's biotechnology, Regional Studies. This paper examines the model of China's biotechnology innovation. It applies the typology of entrepreneurial, partnership, and developmental state to the Chinese biotechnology sector. Biotechnology development in China originates from state-sponsored programmes. Although China's total product sales only account for less than half those of the major biotechnology firm Amgen in the United States, Chinese biotechnology research capacities experience fast growth. State funding plays a crucial role in the latecomer situation. Geographically, biotechnology industries are concentrated in Beijing, Shanghai, Shenzhen, and other major cities. The state promotes biotechnology development through strategic support in its ‘Medium and Long Term S&amp;T [science and technology] Development Plan’, overseas talent-attraction programmes, commercialization initiatives, and the development of high-technology and science parks. However, such a model has its problems: the lack of sustained funding and underdeveloped venture capital, a weak link between research and industry, and under-performed intellectual property output. Faced with the funding constraint, contract research organizations have recently proliferated. Despite the strong role of state, it is concluded that the Chinese model of biotechnology innovation is a hybrid one, rather than the classical one of the developmental state, which combines various elements of different models.","author":[{"dropping-particle":"","family":"Turnbull","given":"Adam","non-dropping-particle":"","parse-names":false,"suffix":""},{"dropping-particle":"","family":"Wang","given":"Hao-Ting","non-dropping-particle":"","parse-names":false,"suffix":""},{"dropping-particle":"","family":"Schooler","given":"Jonathan W.","non-dropping-particle":"","parse-names":false,"suffix":""},{"dropping-particle":"","family":"Jefferies","given":"Elizabeth","non-dropping-particle":"","parse-names":false,"suffix":""},{"dropping-particle":"","family":"Margulies","given":"Daniel S.","non-dropping-particle":"","parse-names":false,"suffix":""},{"dropping-particle":"","family":"Smallwood","given":"Jonathan","non-dropping-particle":"","parse-names":false,"suffix":""}],"container-title":"NeuroImage","id":"ITEM-5","issue":"August 2018","issued":{"date-parts":[["2018"]]},"page":"286-299","publisher":"Elsevier Inc.","title":"The ebb and flow of attention: Between-subject variation in intrinsic connectivity and cognition associated with the dynamics of ongoing experience","type":"article-journal","volume":"185"},"uris":["http://www.mendeley.com/documents/?uuid=1e59d9eb-556b-43ed-a05b-6155bec0f9b6","http://www.mendeley.com/documents/?uuid=ccd1aa46-6b33-4e3a-8b0f-9eec2a10dd1b"]}],"mendeley":{"formattedCitation":"(Poerio et al., 2017; Sormaz et al., 2018; Turnbull et al., 2018; H. T. Wang et al., 2018a, 2018b)","plainTextFormattedCitation":"(Poerio et al., 2017; Sormaz et al., 2018; Turnbull et al., 2018; H. T. Wang et al., 2018a, 2018b)","previouslyFormattedCitation":"(Poerio et al., 2017; Sormaz et al., 2018; Turnbull et al., 2018; H. T. Wang et al., 2018a, 2018b)"},"properties":{"noteIndex":0},"schema":"https://github.com/citation-style-language/schema/raw/master/csl-citation.json"}</w:instrText>
      </w:r>
      <w:r w:rsidRPr="00975DA7">
        <w:rPr>
          <w:rFonts w:ascii="Times New Roman" w:hAnsi="Times New Roman" w:cs="Times New Roman"/>
        </w:rPr>
        <w:fldChar w:fldCharType="separate"/>
      </w:r>
      <w:r w:rsidR="00116E55" w:rsidRPr="00975DA7">
        <w:rPr>
          <w:rFonts w:ascii="Times New Roman" w:hAnsi="Times New Roman" w:cs="Times New Roman"/>
          <w:noProof/>
        </w:rPr>
        <w:t>(Poerio et al., 2017; Sormaz et al., 2018; Turnbull et al., 2018; H. T. Wang et al., 2018a, 2018b)</w:t>
      </w:r>
      <w:r w:rsidRPr="00975DA7">
        <w:rPr>
          <w:rFonts w:ascii="Times New Roman" w:hAnsi="Times New Roman" w:cs="Times New Roman"/>
        </w:rPr>
        <w:fldChar w:fldCharType="end"/>
      </w:r>
      <w:r w:rsidRPr="00975DA7">
        <w:rPr>
          <w:rFonts w:ascii="Times New Roman" w:hAnsi="Times New Roman" w:cs="Times New Roman"/>
        </w:rPr>
        <w:t xml:space="preserve">, the functional consequences of hippocampal connectivity </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{"citationItems":[{"id":"ITEM-1","itemData":{"DOI":"10.1016/j.neuroimage.2017.02.071","ISSN":"10959572","abstract":"The hippocampus contributes to episodic, spatial and semantic aspects of memory, yet individual differences within and between these functions are not well-understood. In 136 healthy individuals, we investigated whether these differences reflect variation in the strength of connections between functionally-specialised segments of the hippocampus and diverse cortical regions that participate in different aspects of memory. Better topographical memory was associated with stronger connectivity between lingual gyrus and left anterior, rather than posterior, hippocampus. Better semantic memory was associated with increased connectivity between the intracalcarine/cuneus and left, rather than right, posterior hippocampus. Notably, we observed a double dissociation between semantic and topographical memory: better semantic memory was associated with stronger connectivity between left temporoparietal cortex and left anterior hippocampus, while better topographic memory was linked to stronger connectivity with right anterior hippocampus. Together these data support a division-of-labour account of hippocampal functioning: at the population level, differences in connectivity across the hippocampus reflect functional specialisation for different facets of memory, while variation in these connectivity patterns across individuals is associated with differences in the capacity to retrieve different types of information. In particular, within-hemisphere connectivity between hippocampus and left temporoparietal cortex supports conceptual processing at the expense of spatial ability.","author":[{"dropping-particle":"","family":"Sormaz","given":"Mladen","non-dropping-particle":"","parse-names":false,"suffix":""},{"dropping-particle":"","family":"Jefferies","given":"Elizabeth","non-dropping-particle":"","parse-names":false,"suffix":""},{"dropping-particle":"","family":"Bernhardt","given":"Boris C.","non-dropping-particle":"","parse-names":false,"suffix":""},{"dropping-particle":"","family":"Karapanagiotidis","given":"Theodoros","non-dropping-particle":"","parse-names":false,"suffix":""},{"dropping-particle":"","family":"Mollo","given":"Giovanna","non-dropping-particle":"","parse-names":false,"suffix":""},{"dropping-particle":"","family":"Bernasconi","given":"Neda","non-dropping-particle":"","parse-names":false,"suffix":""},{"dropping-particle":"","family":"Bernasconi","given":"Andrea","non-dropping-particle":"","parse-names":false,"suffix":""},{"dropping-particle":"","family":"Hartley","given":"Tom","non-dropping-particle":"","parse-names":false,"suffix":""},{"dropping-particle":"","family":"Smallwood","given":"Jonathan","non-dropping-particle":"","parse-names":false,"suffix":""}],"container-title":"NeuroImage","id":"ITEM-1","issue":"February","issued":{"date-parts":[["2017"]]},"page":"400-410","title":"Knowing what from where: Hippocampal connectivity with temporoparietal cortex at rest is linked to individual differences in semantic and topographic memory","type":"article-journal","volume":"152"},"uris":["http://www.mendeley.com/documents/?uuid=bbba09ed-4d72-471f-87fa-a8e6eb44764c"]},{"id":"ITEM-2","itemData":{"DOI":"10.1016/j.neuroimage.2016.12.031","ISSN":"10959572","PMID":"27989779","abstract":"The capacity to imagine situations that have already happened or fictitious events that may take place in the future is known as mental time travel (MTT). Studies have shown that MTT is an important aspect of spontaneous thought, yet we lack a clear understanding of how the neurocognitive architecture of the brain constrains this element of human cognition. Previous functional magnetic resonance imaging (MRI) studies have shown that MTT involves the coordination between multiple regions that include mesiotemporal structures such as the hippocampus, as well as prefrontal and parietal regions commonly associated with the default mode network (DMN). The current study used a multimodal neuroimaging approach to identify the structural and functional brain organisation that underlies individual differences in the capacity to spontaneously engage in MTT. Using regionally unconstrained diffusion tractography analysis, we found increased diffusion anisotropy in right lateralised temporo-limbic, corticospinal, inferior fronto-occipital tracts in participants who reported greater MTT. Probabilistic connectivity mapping revealed a significantly higher connection probability of the right hippocampus with these tracts. Resting-state functional MRI connectivity analysis using the right hippocampus as a seed region revealed greater functional coupling to the anterior regions of the DMN with increasing levels of MTT. These findings demonstrate that the interactions between the hippocampus and regions of the cortex underlie the capacity to engage in MTT, and support contemporary theoretical accounts that suggest that the integration of the hippocampus with the DMN provides the neurocognitive landscape that allows us to imagine distant times and places.","author":[{"dropping-particle":"","family":"Karapanagiotidis","given":"Theodoros","non-dropping-particle":"","parse-names":false,"suffix":""},{"dropping-particle":"","family":"Bernhardt","given":"Boris C.","non-dropping-particle":"","parse-names":false,"suffix":""},{"dropping-particle":"","family":"Jefferies","given":"Elizabeth","non-dropping-particle":"","parse-names":false,"suffix":""},{"dropping-particle":"","family":"Smallwood","given":"Jonathan","non-dropping-particle":"","parse-names":false,"suffix":""}],"container-title":"NeuroImage","id":"ITEM-2","issue":"June 2016","issued":{"date-parts":[["2017"]]},"page":"272-281","title":"Tracking thoughts: Exploring the neural architecture of mental time travel during mind-wandering","type":"article-journal","volume":"147"},"uris":["http://www.mendeley.com/documents/?uuid=7c134f3d-0cb9-4e3a-8243-e77308517010","http://www.mendeley.com/documents/?uuid=880e4094-4370-4a11-b86d-dbe1ea95f266"]}],"mendeley":{"formattedCitation":"(Karapanagiotidis et al., 2017; Sormaz et al., 2017)","plainTextFormattedCitation":"(Karapanagiotidis et al., 2017; Sormaz et al., 2017)","previouslyFormattedCitation":"(Karapanagiotidis et al., 2017; Sormaz et al., 2017)"},"properties":{"noteIndex":0},"schema":"https://github.com/citation-style-language/schema/raw/master/csl-citation.json"}</w:instrText>
      </w:r>
      <w:r w:rsidRPr="00975DA7">
        <w:rPr>
          <w:rFonts w:ascii="Times New Roman" w:hAnsi="Times New Roman" w:cs="Times New Roman"/>
        </w:rPr>
        <w:fldChar w:fldCharType="separate"/>
      </w:r>
      <w:r w:rsidR="00554B3E" w:rsidRPr="00975DA7">
        <w:rPr>
          <w:rFonts w:ascii="Times New Roman" w:hAnsi="Times New Roman" w:cs="Times New Roman"/>
          <w:noProof/>
        </w:rPr>
        <w:t>(Karapanagiotidis et al., 2017; Sormaz et al., 2017)</w:t>
      </w:r>
      <w:r w:rsidRPr="00975DA7">
        <w:rPr>
          <w:rFonts w:ascii="Times New Roman" w:hAnsi="Times New Roman" w:cs="Times New Roman"/>
        </w:rPr>
        <w:fldChar w:fldCharType="end"/>
      </w:r>
      <w:r w:rsidRPr="00975DA7">
        <w:rPr>
          <w:rFonts w:ascii="Times New Roman" w:hAnsi="Times New Roman" w:cs="Times New Roman"/>
        </w:rPr>
        <w:t xml:space="preserve">, patterns of semantic performance linked to individual differences in connectivity </w:t>
      </w:r>
      <w:r w:rsidR="00763DE6" w:rsidRPr="00975DA7">
        <w:rPr>
          <w:rFonts w:ascii="Times New Roman" w:hAnsi="Times New Roman" w:cs="Times New Roman"/>
        </w:rPr>
        <w:t>within</w:t>
      </w:r>
      <w:r w:rsidRPr="00975DA7">
        <w:rPr>
          <w:rFonts w:ascii="Times New Roman" w:hAnsi="Times New Roman" w:cs="Times New Roman"/>
        </w:rPr>
        <w:t xml:space="preserve"> </w:t>
      </w:r>
      <w:r w:rsidR="00763DE6" w:rsidRPr="00975DA7">
        <w:rPr>
          <w:rFonts w:ascii="Times New Roman" w:hAnsi="Times New Roman" w:cs="Times New Roman"/>
        </w:rPr>
        <w:t>LH</w:t>
      </w:r>
      <w:r w:rsidRPr="00975DA7">
        <w:rPr>
          <w:rFonts w:ascii="Times New Roman" w:hAnsi="Times New Roman" w:cs="Times New Roman"/>
        </w:rPr>
        <w:t xml:space="preserve"> semantic sites</w:t>
      </w:r>
      <w:r w:rsidR="00763DE6" w:rsidRPr="00975DA7">
        <w:rPr>
          <w:rFonts w:ascii="Times New Roman" w:hAnsi="Times New Roman" w:cs="Times New Roman"/>
        </w:rPr>
        <w:t xml:space="preserve"> falling in different networks</w:t>
      </w:r>
      <w:r w:rsidRPr="00975DA7">
        <w:rPr>
          <w:rFonts w:ascii="Times New Roman" w:hAnsi="Times New Roman" w:cs="Times New Roman"/>
        </w:rPr>
        <w:t xml:space="preserve">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{"citationItems":[{"id":"ITEM-1","itemData":{"DOI":"10.1016/j.neuroimage.2017.06.067","ISSN":"1053-8119","abstract":"Contemporary theories assume that semantic cognition emerges from a neural architecture in which differentcomponent processes are combined to produce aspects of conceptual thought and behaviour. In addition to thestate-level, momentary variation in brain connectivity, individuals may also differ in their propensity to generateparticular conﬁgurations of such components, and these trait-level differences may relate to individual differencesin semantic cognition. We tested this view by exploring how variation in intrinsic brain functional connectivitybetween semantic nodes in fMRI was related to performance on a battery of semantic tasks in 154 healthy par-ticipants. Through simultaneous decomposition of brain functional connectivity and semantic task performance,we identiﬁed distinct components of semantic cognition at rest. In a subsequent validation step, these data-drivencomponents demonstrated explanatory power for neural responses in an fMRI-based semantic localiser task andvariation in self-generated thoughts during the resting-state scan. Our ﬁndings showed that good performance onharder semantic tasks was associated with relative segregation at rest between frontal brain regions implicated incontrolled semantic retrieval and the default mode network. Poor performance on easier tasks was linked togreater coupling between the same frontal regions and the anterior temporal lobe; a pattern associated withdeliberate, verbal thematic thoughts at rest. We also identiﬁed components that related to qualities of semanticcognition: relatively good performance on pictorial semantic tasks was associated with greater separation ofangular gyrus from frontal control sites and greater integration with posterior cingulate and anterior temporalcortex. In contrast, good speech production was linked to the separation of angular gyrus, posterior cingulate andtemporal lobe regions. Together these data show that quantitative and qualitative variation in semantic cognitionacross individuals emerges from variations in the interaction of nodes within distinct functional brain networks.","author":[{"dropping-particle":"","family":"Vatansever","given":"Deniz","non-dropping-particle":"","parse-names":false,"suffix":""},{"dropping-particle":"","family":"Bzdok","given":"Danilo","non-dropping-particle":"","parse-names":false,"suffix":""},{"dropping-particle":"","family":"Wang","given":"Hao-ting","non-dropping-particle":"","parse-names":false,"suffix":""},{"dropping-particle":"","family":"Mollo","given":"Giovanna","non-dropping-particle":"","parse-names":false,"suffix":""},{"dropping-particle":"","family":"Sormaz","given":"Mladen","non-dropping-particle":"","parse-names":false,"suffix":""},{"dropping-particle":"","family":"Murphy","given":"Charlotte","non-dropping-particle":"","parse-names":false,"suffix":""},{"dropping-particle":"","family":"Karapanagiotidis","given":"Theodoros","non-dropping-particle":"","parse-names":false,"suffix":""},{"dropping-particle":"","family":"Smallwood","given":"Jonathan","non-dropping-particle":"","parse-names":false,"suffix":""},{"dropping-particle":"","family":"Jefferies","given":"Elizabeth","non-dropping-particle":"","parse-names":false,"suffix":""}],"container-title":"NeuroImage","id":"ITEM-1","issue":"January","issued":{"date-parts":[["2017"]]},"page":"1-11","publisher":"Elsevier Ltd","title":"Varieties of semantic cognition revealed through simultaneous decomposition of intrinsic brain connectivity and behaviour","type":"article-journal","volume":"158"},"uris":["http://www.mendeley.com/documents/?uuid=f26ff958-6c9b-4996-9e34-a79a761df9b2"]}],"mendeley":{"formattedCitation":"(Vatansever et al., 2017)","plainTextFormattedCitation":"(Vatansever et al., 2017)","previouslyFormattedCitation":"(Vatansever et al., 2017)"},"properties":{"noteIndex":0},"schema":"https://github.com/citation-style-language/schema/raw/master/csl-citation.json"}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(Vatansever et al., 2017)</w:t>
      </w:r>
      <w:r w:rsidRPr="00975DA7">
        <w:rPr>
          <w:rFonts w:ascii="Times New Roman" w:hAnsi="Times New Roman" w:cs="Times New Roman"/>
        </w:rPr>
        <w:fldChar w:fldCharType="end"/>
      </w:r>
      <w:r w:rsidRPr="00975DA7">
        <w:rPr>
          <w:rFonts w:ascii="Times New Roman" w:hAnsi="Times New Roman" w:cs="Times New Roman"/>
        </w:rPr>
        <w:t xml:space="preserve"> and cortical thickness </w:t>
      </w:r>
      <w:r w:rsidRPr="00975DA7">
        <w:rPr>
          <w:rFonts w:ascii="Times New Roman" w:hAnsi="Times New Roman" w:cs="Times New Roman"/>
        </w:rPr>
        <w:fldChar w:fldCharType="begin" w:fldLock="1"/>
      </w:r>
      <w:r w:rsidR="00116E55" w:rsidRPr="00975DA7">
        <w:rPr>
          <w:rFonts w:ascii="Times New Roman" w:hAnsi="Times New Roman" w:cs="Times New Roman"/>
        </w:rPr>
        <w:instrText>ADDIN CSL_CITATION {"citationItems":[{"id":"ITEM-1","itemData":{"DOI":"10.1016/j.neuroimage.2018.07.044","ISSN":"10959572","abstract":"Semantic control allows us to shape our conceptual retrieval to suit the circumstances in a flexible way. Tasks requiring semantic control activate a large-scale network including left inferior prefrontal gyrus (IFG) and posterior middle temporal gyrus (pMTG) – this network responds when retrieval is focussed on weak as opposed to dominant associations. However, little is known about the biological basis of individual differences in this cognitive capacity: regions that are commonly activated in task-based fMRI may not relate to variation in controlled retrieval. The current study combined analyses of MRI-based cortical thickness with resting-state fMRI connectivity to identify structural markers of individual differences in semantic control. We found that participants who performed relatively well on tests of controlled semantic retrieval showed increased structural covariance between left pMTG and left anterior middle frontal gyrus (aMFG). This pattern of structural covariance was specific to semantic control and did not predict performance when harder non-semantic judgements were contrasted with easier semantic judgements. The intrinsic functional connectivity of these two regions forming a structural covariance network overlapped with previously-described semantic control regions, including bilateral IFG and intraparietal sulcus, and left posterior temporal cortex. These results add to our knowledge of the neural basis of semantic control in three ways: (i) Semantic control performance was predicted by the structural covariance network of left pMTG, a site that is less consistently activated than left IFG across studies. (ii) Our results provide further evidence that semantic control is at least partially separable from domain-general executive control. (iii) More flexible patterns of memory retrieval occurred when pMTG co-varied with distant regions in aMFG, as opposed to nearby visual, temporal or parietal lobe regions, providing further evidence that left prefrontal and posterior temporal areas form a distributed network for semantic control.","author":[{"dropping-particle":"","family":"Wang","given":"Xiuyi","non-dropping-particle":"","parse-names":false,"suffix":""},{"dropping-particle":"","family":"Bernhardt","given":"Boris C.","non-dropping-particle":"","parse-names":false,"suffix":""},{"dropping-particle":"","family":"Karapanagiotidis","given":"Theodoros","non-dropping-particle":"","parse-names":false,"suffix":""},{"dropping-particle":"","family":"Caso","given":"Irene","non-dropping-particle":"De","parse-names":false,"suffix":""},{"dropping-particle":"","family":"Gonzalez Alam","given":"Tirso Rene del Jesus","non-dropping-particle":"","parse-names":false,"suffix":""},{"dropping-particle":"","family":"Cotter","given":"Zacharria","non-dropping-particle":"","parse-names":false,"suffix":""},{"dropping-particle":"","family":"Smallwood","given":"Jonathan","non-dropping-particle":"","parse-names":false,"suffix":""},{"dropping-particle":"","family":"Jefferies","given":"Elizabeth","non-dropping-particle":"","parse-names":false,"suffix":""}],"container-title":"NeuroImage","id":"ITEM-1","issue":"July","issued":{"date-parts":[["2018"]]},"page":"480-489","publisher":"Elsevier Ltd","title":"The structural basis of semantic control: Evidence from individual differences in cortical thickness","type":"article-journal","volume":"181"},"uris":["http://www.mendeley.com/documents/?uuid=9c49a421-ea63-456d-a3c8-217eb239f7e3"]}],"mendeley":{"formattedCitation":"(X. Wang et al., 2018)","plainTextFormattedCitation":"(X. Wang et al., 2018)","previouslyFormattedCitation":"(X. Wang et al., 2018)"},"properties":{"noteIndex":0},"schema":"https://github.com/citation-style-language/schema/raw/master/csl-citation.json"}</w:instrText>
      </w:r>
      <w:r w:rsidRPr="00975DA7">
        <w:rPr>
          <w:rFonts w:ascii="Times New Roman" w:hAnsi="Times New Roman" w:cs="Times New Roman"/>
        </w:rPr>
        <w:fldChar w:fldCharType="separate"/>
      </w:r>
      <w:r w:rsidR="00116E55" w:rsidRPr="00975DA7">
        <w:rPr>
          <w:rFonts w:ascii="Times New Roman" w:hAnsi="Times New Roman" w:cs="Times New Roman"/>
          <w:noProof/>
        </w:rPr>
        <w:t>(X. Wang et al., 2018)</w:t>
      </w:r>
      <w:r w:rsidRPr="00975DA7">
        <w:rPr>
          <w:rFonts w:ascii="Times New Roman" w:hAnsi="Times New Roman" w:cs="Times New Roman"/>
        </w:rPr>
        <w:fldChar w:fldCharType="end"/>
      </w:r>
      <w:r w:rsidRPr="00975DA7">
        <w:rPr>
          <w:rFonts w:ascii="Times New Roman" w:hAnsi="Times New Roman" w:cs="Times New Roman"/>
        </w:rPr>
        <w:t>. No previous studies using this cohort have examined semantic performance in relation to hemispheric differences.</w:t>
      </w:r>
    </w:p>
    <w:p w14:paraId="4FF3392C" w14:textId="1D907D4C" w:rsidR="004D1ADA" w:rsidRPr="00975DA7" w:rsidRDefault="0059177E" w:rsidP="009A4035">
      <w:pPr>
        <w:spacing w:line="360" w:lineRule="auto"/>
        <w:rPr>
          <w:rFonts w:ascii="Times New Roman" w:hAnsi="Times New Roman" w:cs="Times New Roman"/>
        </w:rPr>
      </w:pPr>
      <w:r w:rsidRPr="00975DA7">
        <w:rPr>
          <w:rFonts w:ascii="Times New Roman" w:hAnsi="Times New Roman" w:cs="Times New Roman"/>
        </w:rPr>
        <w:t>The analysis was divided in</w:t>
      </w:r>
      <w:r w:rsidR="00D1316D" w:rsidRPr="00975DA7">
        <w:rPr>
          <w:rFonts w:ascii="Times New Roman" w:hAnsi="Times New Roman" w:cs="Times New Roman"/>
        </w:rPr>
        <w:t>to</w:t>
      </w:r>
      <w:r w:rsidRPr="00975DA7">
        <w:rPr>
          <w:rFonts w:ascii="Times New Roman" w:hAnsi="Times New Roman" w:cs="Times New Roman"/>
        </w:rPr>
        <w:t xml:space="preserve"> three steps. (i) We compared the intrinsic connectivity of four heteromodal semantic ROIs in the </w:t>
      </w:r>
      <w:r w:rsidR="006C5629" w:rsidRPr="00975DA7">
        <w:rPr>
          <w:rFonts w:ascii="Times New Roman" w:hAnsi="Times New Roman" w:cs="Times New Roman"/>
        </w:rPr>
        <w:t xml:space="preserve">LH </w:t>
      </w:r>
      <w:r w:rsidRPr="00975DA7">
        <w:rPr>
          <w:rFonts w:ascii="Times New Roman" w:hAnsi="Times New Roman" w:cs="Times New Roman"/>
        </w:rPr>
        <w:t xml:space="preserve">(ATL, AG, IFG, pMTG) with </w:t>
      </w:r>
      <w:r w:rsidR="00D61D8B" w:rsidRPr="00975DA7">
        <w:rPr>
          <w:rFonts w:ascii="Times New Roman" w:hAnsi="Times New Roman" w:cs="Times New Roman"/>
        </w:rPr>
        <w:t>RH</w:t>
      </w:r>
      <w:r w:rsidRPr="00975DA7">
        <w:rPr>
          <w:rFonts w:ascii="Times New Roman" w:hAnsi="Times New Roman" w:cs="Times New Roman"/>
        </w:rPr>
        <w:t xml:space="preserve"> homotopes. The RO</w:t>
      </w:r>
      <w:r w:rsidR="00957464" w:rsidRPr="00975DA7">
        <w:rPr>
          <w:rFonts w:ascii="Times New Roman" w:hAnsi="Times New Roman" w:cs="Times New Roman"/>
        </w:rPr>
        <w:t xml:space="preserve">Is were identified using </w:t>
      </w:r>
      <w:r w:rsidRPr="00975DA7">
        <w:rPr>
          <w:rFonts w:ascii="Times New Roman" w:hAnsi="Times New Roman" w:cs="Times New Roman"/>
        </w:rPr>
        <w:t xml:space="preserve">activation likelihood estimation meta-analytic maps of semantic processing </w:t>
      </w:r>
      <w:r w:rsidRPr="00975DA7">
        <w:rPr>
          <w:rFonts w:ascii="Times New Roman" w:hAnsi="Times New Roman" w:cs="Times New Roman"/>
        </w:rPr>
        <w:fldChar w:fldCharType="begin" w:fldLock="1"/>
      </w:r>
      <w:r w:rsidR="00160F73" w:rsidRPr="00975DA7">
        <w:rPr>
          <w:rFonts w:ascii="Times New Roman" w:hAnsi="Times New Roman" w:cs="Times New Roman"/>
        </w:rPr>
        <w:instrText>ADDIN CSL_CITATION {"citationItems":[{"id":"ITEM-1","itemData":{"DOI":"10.1098/rstb.2017.0136","ISBN":"0000000159","ISSN":"1471-2970","abstract":"The anterior temporal lobes (ATLs) play a key role in conceptual knowledge representation. The hub-and-spoke theory suggests that the contribution of the ATLs to semantic representation is (a) transmodal, i.e. integrating information from multiple sensorimotor and verbal modalities, and (b) pancategorical, representing concepts from all categories. Another literature, however, suggests that this region’s responses are modality- and categoryselective; prominent examples include category selectivity for socially relevant concepts and face recognition. The predictions of each approach have never been directly compared. We used data from three studies to compare category-selective responses within the ATLs. Study 1 compared ATL responses to famous people versus another conceptual category (landmarks) from visual versus auditory inputs. Study 2 compared ATL responses to famous people from pictorial and written word inputs. Study 3 compared ATL responses to a different kind of socially relevant stimuli, namely abstract non-person-related words, in order to ascertain whether ATL subregions are engaged for social concepts more generally or only for personrelated knowledge. Across all three studies a dominant bilateral ventral ATL cluster responded to all categories in all modalities. Anterior to this ‘pan-category’ transmodal region, a second cluster responded more weakly overall yet selectively for people, but did so equally for spoken names and faces (Study 1). A third region in the anterior superior temporal gyrus responded selectively to abstract socially relevant words (Study 3), but did not respond to concrete socially relevant words (i.e. written names; Study 2). These findings can be accommodated by the graded hub-and-spoke model of concept representation. On this view, the ventral ATL is the centre point of a bilateral ATL hub, which contributes to conceptual representation through transmodal distillation of information arising from multiple modality-specific association cortices. Partial specialization occurs across the graded ATL hub as a consequence of gradedly differential connectivity across the region. This article is part of the theme issue ‘Varieties of abstract concepts: development, use and representation in the brain’","author":[{"dropping-particle":"","family":"Rice","given":"Grace E","non-dropping-particle":"","parse-names":false,"suffix":""},{"dropping-particle":"","family":"Hoffman","given":"Paul","non-dropping-particle":"","parse-names":false,"suffix":""},{"dropping-particle":"","family":"Binney","given":"Richard J","non-dropping-particle":"","parse-names":false,"suffix":""},{"dropping-particle":"","family":"Lambon Ralph","given":"Matthew A","non-dropping-particle":"","parse-names":false,"suffix":""}],"container-title":"Philos Trans R Soc Lond B Biol Sci","edition":"2018/06/18","id":"ITEM-1","issue":"1752","issued":{"date-parts":[["2018","8","5"]]},"language":"eng","page":"20170136","publisher":"The Royal Society","title":"Concrete versus abstract forms of social concept: an fMRI comparison of knowledge about people versus social terms","type":"article-journal","volume":"373"},"uris":["http://www.mendeley.com/documents/?uuid=7345185b-873f-4ca2-96cf-9e0c22339652"]},{"id":"ITEM-2","itemData":{"DOI":"10.1093/cercor/bhu198","ISBN":"1460-2199 (Electronic) 1047-3211 (Linking)","ISSN":"14602199","PMID":"25205661","abstract":"How is higher cognitive function organized in the human parietal cortex? A century of neuropsychology and 30 years of functional neuroimaging has implicated the parietal lobe in many different verbal and nonverbal cognitive domains. There is little clarity, however, on how these functions are organized, that is, where do these functions coalesce (implying a shared, underpinning neurocomputation) and where do they divide (indicating different underlying neural functions). Until now, there has been no multi-domain synthesis in order to reveal where there is fusion or fission of functions in the parietal cortex. This aim was achieved through a large-scale activation likelihood estimation (ALE) analysis of 386 studies (3952 activation peaks) covering 8 cognitive domains. A tripartite, domain-general neuroanatomical division and 5 principles of cognitive organization were established, and these are discussed with respect to a unified theory of parietal functional organization.","author":[{"dropping-particle":"","family":"Humphreys","given":"Gina F.","non-dropping-particle":"","parse-names":false,"suffix":""},{"dropping-particle":"","family":"Lambon Ralph","given":"Matthew A.","non-dropping-particle":"","parse-names":false,"suffix":""}],"container-title":"Cerebral Cortex","id":"ITEM-2","issue":"10","issued":{"date-parts":[["2015"]]},"page":"3547-3560","title":"Fusion and fission of cognitive functions in the human parietal cortex","type":"article-journal","volume":"25"},"uris":["http://www.mendeley.com/documents/?uuid=f9b07b36-fb1b-4684-89f7-37f77e829899"]},{"id":"ITEM-3","itemData":{"DOI":"10.1162/jocn","ISBN":"1530-8898 (Electronic)\\r0898-929X (Linking)","ISSN":"0898-929X","PMID":"23647519","abstract":"Semantic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Neuroscience","id":"ITEM-3","issue":"11","issued":{"date-parts":[["2013"]]},"page":"1824-50","title":"Going beyond Inferior Prefrontal Involvement in Semantic Control: Evidence for the Additional Contribution of Dorsal Angular Gyrus and Posterior Middle Temporal Cortex","type":"article-journal","volume":"25"},"uris":["http://www.mendeley.com/documents/?uuid=0a5edd06-04ea-4fbd-85ab-b04fecaa9c01"]}],"mendeley":{"formattedCitation":"(Humphreys and Lambon Ralph, 2015; Noonan et al., 2013; Rice et al., 2018b)","plainTextFormattedCitation":"(Humphreys and Lambon Ralph, 2015; Noonan et al., 2013; Rice et al., 2018b)","previouslyFormattedCitation":"(Humphreys and Lambon Ralph, 2015; Noonan et al., 2013; Rice et al., 2018b)"},"properties":{"noteIndex":0},"schema":"https://github.com/citation-style-language/schema/raw/master/csl-citation.json"}</w:instrText>
      </w:r>
      <w:r w:rsidRPr="00975DA7">
        <w:rPr>
          <w:rFonts w:ascii="Times New Roman" w:hAnsi="Times New Roman" w:cs="Times New Roman"/>
        </w:rPr>
        <w:fldChar w:fldCharType="separate"/>
      </w:r>
      <w:r w:rsidR="00450643" w:rsidRPr="00975DA7">
        <w:rPr>
          <w:rFonts w:ascii="Times New Roman" w:hAnsi="Times New Roman" w:cs="Times New Roman"/>
          <w:noProof/>
        </w:rPr>
        <w:t>(Humphreys and Lambon Ralph, 2015; Noonan et al., 2013; Rice et al., 2018b)</w:t>
      </w:r>
      <w:r w:rsidRPr="00975DA7">
        <w:rPr>
          <w:rFonts w:ascii="Times New Roman" w:hAnsi="Times New Roman" w:cs="Times New Roman"/>
        </w:rPr>
        <w:fldChar w:fldCharType="end"/>
      </w:r>
      <w:r w:rsidRPr="00975DA7">
        <w:rPr>
          <w:rFonts w:ascii="Times New Roman" w:hAnsi="Times New Roman" w:cs="Times New Roman"/>
        </w:rPr>
        <w:t>.</w:t>
      </w:r>
      <w:r w:rsidR="00D1506C" w:rsidRPr="00975DA7">
        <w:rPr>
          <w:rFonts w:ascii="Times New Roman" w:hAnsi="Times New Roman" w:cs="Times New Roman"/>
        </w:rPr>
        <w:t xml:space="preserve"> We compared patterns of connectivity across pairs of seeds implicated in semantic control (pMTG and IFG) </w:t>
      </w:r>
      <w:r w:rsidR="009A4035" w:rsidRPr="00975DA7">
        <w:rPr>
          <w:rFonts w:ascii="Times New Roman" w:hAnsi="Times New Roman" w:cs="Times New Roman"/>
        </w:rPr>
        <w:t>and not implicated in semantic control</w:t>
      </w:r>
      <w:r w:rsidR="00D1506C" w:rsidRPr="00975DA7">
        <w:rPr>
          <w:rFonts w:ascii="Times New Roman" w:hAnsi="Times New Roman" w:cs="Times New Roman"/>
        </w:rPr>
        <w:t xml:space="preserve"> (ATL and AG). </w:t>
      </w:r>
      <w:r w:rsidR="009A4035" w:rsidRPr="00975DA7">
        <w:rPr>
          <w:rFonts w:ascii="Times New Roman" w:hAnsi="Times New Roman" w:cs="Times New Roman"/>
        </w:rPr>
        <w:t xml:space="preserve">(ii) </w:t>
      </w:r>
      <w:r w:rsidR="00D1506C" w:rsidRPr="00975DA7">
        <w:rPr>
          <w:rFonts w:ascii="Times New Roman" w:hAnsi="Times New Roman" w:cs="Times New Roman"/>
        </w:rPr>
        <w:t>We also quantified the extent to which LH seeds and</w:t>
      </w:r>
      <w:r w:rsidR="009A4035" w:rsidRPr="00975DA7">
        <w:rPr>
          <w:rFonts w:ascii="Times New Roman" w:hAnsi="Times New Roman" w:cs="Times New Roman"/>
        </w:rPr>
        <w:t xml:space="preserve"> </w:t>
      </w:r>
      <w:r w:rsidR="00D1506C" w:rsidRPr="00975DA7">
        <w:rPr>
          <w:rFonts w:ascii="Times New Roman" w:hAnsi="Times New Roman" w:cs="Times New Roman"/>
        </w:rPr>
        <w:t>their RH homotopes showed symmetrical patterns of connectivity.</w:t>
      </w:r>
      <w:r w:rsidR="00957464" w:rsidRPr="00975DA7">
        <w:rPr>
          <w:rFonts w:ascii="Times New Roman" w:hAnsi="Times New Roman" w:cs="Times New Roman"/>
        </w:rPr>
        <w:t xml:space="preserve"> </w:t>
      </w:r>
      <w:r w:rsidRPr="00975DA7">
        <w:rPr>
          <w:rFonts w:ascii="Times New Roman" w:hAnsi="Times New Roman" w:cs="Times New Roman"/>
        </w:rPr>
        <w:t xml:space="preserve">We performed </w:t>
      </w:r>
      <w:r w:rsidR="00763DE6" w:rsidRPr="00975DA7">
        <w:rPr>
          <w:rFonts w:ascii="Times New Roman" w:hAnsi="Times New Roman" w:cs="Times New Roman"/>
        </w:rPr>
        <w:t>meta-analytic</w:t>
      </w:r>
      <w:r w:rsidRPr="00975DA7">
        <w:rPr>
          <w:rFonts w:ascii="Times New Roman" w:hAnsi="Times New Roman" w:cs="Times New Roman"/>
        </w:rPr>
        <w:t xml:space="preserve"> decoding</w:t>
      </w:r>
      <w:r w:rsidR="00763DE6" w:rsidRPr="00975DA7">
        <w:rPr>
          <w:rFonts w:ascii="Times New Roman" w:hAnsi="Times New Roman" w:cs="Times New Roman"/>
        </w:rPr>
        <w:t xml:space="preserve"> using Neurosynth</w:t>
      </w:r>
      <w:r w:rsidRPr="00975DA7">
        <w:rPr>
          <w:rFonts w:ascii="Times New Roman" w:hAnsi="Times New Roman" w:cs="Times New Roman"/>
        </w:rPr>
        <w:t xml:space="preserve"> </w:t>
      </w:r>
      <w:r w:rsidR="005747F5" w:rsidRPr="00975DA7">
        <w:rPr>
          <w:rFonts w:ascii="Times New Roman" w:hAnsi="Times New Roman" w:cs="Times New Roman"/>
        </w:rPr>
        <w:fldChar w:fldCharType="begin" w:fldLock="1"/>
      </w:r>
      <w:r w:rsidR="00B67EB9" w:rsidRPr="00975DA7">
        <w:rPr>
          <w:rFonts w:ascii="Times New Roman" w:hAnsi="Times New Roman" w:cs="Times New Roman"/>
        </w:rPr>
        <w:instrText>ADDIN CSL_CITATION {"citationItems":[{"id":"ITEM-1","itemData":{"DOI":"10.1038/nmeth.1635","ISBN":"1548-7105 (Electronic)$\\$r1548-7091 (Linking)","ISSN":"1548-7105","PMID":"21706013","abstract":"The rapid growth of the literature on neuroimaging in humans has led to major advances in our understanding of human brain function but has also made it increasingly difficult to aggregate and synthesize neuroimaging findings. Here we describe and validate an automated brain-mapping framework that uses text-mining, meta-analysis and machine-learning techniques to generate a large database of mappings between neural and cognitive states. We show that our approach can be used to automatically conduct large-scale, high-quality neuroimaging meta-analyses, address long-standing inferential problems in the neuroimaging literature and support accurate 'decoding' of broad cognitive states from brain activity in both entire studies and individual human subjects. Collectively, our results have validated a powerful and generative framework for synthesizing human neuroimaging data on an unprecedented scale.","author":[{"dropping-particle":"","family":"Yarkoni","given":"Tal","non-dropping-particle":"","parse-names":false,"suffix":""},{"dropping-particle":"","family":"Poldrack","given":"Russell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 Methods","id":"ITEM-1","issue":"8","issued":{"date-parts":[["2011"]]},"page":"665-670","title":"Large-scale automated synthesis of human functional neuroimaging data.","type":"article-journal","volume":"8"},"uris":["http://www.mendeley.com/documents/?uuid=c4e23555-ec22-4112-b1a5-49bf9d874bbc"]},{"id":"ITEM-2","itemData":{"DOI":"10.3389/fninf.2015.00008","ISBN":"1662-5196 (Electronic)\\r1662-5196 (Linking)","ISSN":"1662-5196","PMID":"25914639","abstract":"Here we present NeuroVault — a web based repository that allows researchers to store, share, visualise, and decode statistical maps of the human brain. NeuroVault is easy to use and employs modern web technologies to provide informative visualisation of data without the need to install additional software. In addition it leverages the power of the Neurosynth database to provide cognitive decoding of deposited maps. NeuroVault is also a resource for researchers interested in conducting meta- and coactivation analyses. All of the data is exposed through a public REST API enabling other services and tools to take advantage of it.","author":[{"dropping-particle":"","family":"Gorgolewski","given":"Krzysztof J.","non-dropping-particle":"","parse-names":false,"suffix":""},{"dropping-particle":"","family":"Varoquaux","given":"Gael","non-dropping-particle":"","parse-names":false,"suffix":""},{"dropping-particle":"","family":"Rivera","given":"Gabriel","non-dropping-particle":"","parse-names":false,"suffix":""},{"dropping-particle":"","family":"Schwarz","given":"Yannick","non-dropping-particle":"","parse-names":false,"suffix":""},{"dropping-particle":"","family":"Ghosh","given":"Satrajit S.","non-dropping-particle":"","parse-names":false,"suffix":""},{"dropping-particle":"","family":"Maumet","given":"Camille","non-dropping-particle":"","parse-names":false,"suffix":""},{"dropping-particle":"V.","family":"Sochat","given":"Vanessa","non-dropping-particle":"","parse-names":false,"suffix":""},{"dropping-particle":"","family":"Nichols","given":"Thomas E.","non-dropping-particle":"","parse-names":false,"suffix":""},{"dropping-particle":"","family":"Poldrack","given":"Russell A.","non-dropping-particle":"","parse-names":false,"suffix":""},{"dropping-particle":"","family":"Poline","given":"Jean-Baptiste","non-dropping-particle":"","parse-names":false,"suffix":""},{"dropping-particle":"","family":"Yarkoni","given":"Tal","non-dropping-particle":"","parse-names":false,"suffix":""},{"dropping-particle":"","family":"Margulies","given":"Daniel S.","non-dropping-particle":"","parse-names":false,"suffix":""}],"container-title":"Frontiers in Neuroinformatics","id":"ITEM-2","issue":"April","issued":{"date-parts":[["2015"]]},"page":"1-9","title":"NeuroVault.org: a web-based repository for collecting and sharing unthresholded statistical maps of the human brain","type":"article-journal","volume":"9"},"uris":["http://www.mendeley.com/documents/?uuid=c5eee111-0439-49f7-9170-441b660b1288"]}],"mendeley":{"formattedCitation":"(Gorgolewski et al., 2015; Yarkoni et al., 2011)","manualFormatting":"(Gorgolewski et al., 2015; Yarkoni et al., 2011)","plainTextFormattedCitation":"(Gorgolewski et al., 2015; Yarkoni et al., 2011)","previouslyFormattedCitation":"(Gorgolewski et al., 2015; Yarkoni et al., 2011)"},"properties":{"noteIndex":0},"schema":"https://github.com/citation-style-language/schema/raw/master/csl-citation.json"}</w:instrText>
      </w:r>
      <w:r w:rsidR="005747F5" w:rsidRPr="00975DA7">
        <w:rPr>
          <w:rFonts w:ascii="Times New Roman" w:hAnsi="Times New Roman" w:cs="Times New Roman"/>
        </w:rPr>
        <w:fldChar w:fldCharType="separate"/>
      </w:r>
      <w:r w:rsidR="005747F5" w:rsidRPr="00975DA7">
        <w:rPr>
          <w:rFonts w:ascii="Times New Roman" w:hAnsi="Times New Roman" w:cs="Times New Roman"/>
          <w:noProof/>
        </w:rPr>
        <w:t>(Gorgolewski et al., 2015; Yarkoni et al., 2011)</w:t>
      </w:r>
      <w:r w:rsidR="005747F5" w:rsidRPr="00975DA7">
        <w:rPr>
          <w:rFonts w:ascii="Times New Roman" w:hAnsi="Times New Roman" w:cs="Times New Roman"/>
        </w:rPr>
        <w:fldChar w:fldCharType="end"/>
      </w:r>
      <w:r w:rsidR="005747F5" w:rsidRPr="00975DA7">
        <w:rPr>
          <w:rFonts w:ascii="Times New Roman" w:hAnsi="Times New Roman" w:cs="Times New Roman"/>
        </w:rPr>
        <w:t xml:space="preserve"> </w:t>
      </w:r>
      <w:r w:rsidRPr="00975DA7">
        <w:rPr>
          <w:rFonts w:ascii="Times New Roman" w:hAnsi="Times New Roman" w:cs="Times New Roman"/>
        </w:rPr>
        <w:t xml:space="preserve">to identify psychological terms associated with </w:t>
      </w:r>
      <w:r w:rsidR="004D1ADA" w:rsidRPr="00975DA7">
        <w:rPr>
          <w:rFonts w:ascii="Times New Roman" w:hAnsi="Times New Roman" w:cs="Times New Roman"/>
        </w:rPr>
        <w:t>LH</w:t>
      </w:r>
      <w:r w:rsidRPr="00975DA7">
        <w:rPr>
          <w:rFonts w:ascii="Times New Roman" w:hAnsi="Times New Roman" w:cs="Times New Roman"/>
        </w:rPr>
        <w:t xml:space="preserve"> vs. </w:t>
      </w:r>
      <w:r w:rsidR="004D1ADA" w:rsidRPr="00975DA7">
        <w:rPr>
          <w:rFonts w:ascii="Times New Roman" w:hAnsi="Times New Roman" w:cs="Times New Roman"/>
        </w:rPr>
        <w:t>RH</w:t>
      </w:r>
      <w:r w:rsidRPr="00975DA7">
        <w:rPr>
          <w:rFonts w:ascii="Times New Roman" w:hAnsi="Times New Roman" w:cs="Times New Roman"/>
        </w:rPr>
        <w:t xml:space="preserve"> connectivity from these individual seeds. </w:t>
      </w:r>
      <w:r w:rsidR="00763DE6" w:rsidRPr="00975DA7">
        <w:rPr>
          <w:rFonts w:ascii="Times New Roman" w:hAnsi="Times New Roman" w:cs="Times New Roman"/>
        </w:rPr>
        <w:t xml:space="preserve">(iii) </w:t>
      </w:r>
      <w:r w:rsidRPr="00975DA7">
        <w:rPr>
          <w:rFonts w:ascii="Times New Roman" w:hAnsi="Times New Roman" w:cs="Times New Roman"/>
        </w:rPr>
        <w:t xml:space="preserve">We then assessed whether individual differences in </w:t>
      </w:r>
      <w:r w:rsidR="004D1ADA" w:rsidRPr="00975DA7">
        <w:rPr>
          <w:rFonts w:ascii="Times New Roman" w:hAnsi="Times New Roman" w:cs="Times New Roman"/>
        </w:rPr>
        <w:t xml:space="preserve">the </w:t>
      </w:r>
      <w:r w:rsidRPr="00975DA7">
        <w:rPr>
          <w:rFonts w:ascii="Times New Roman" w:hAnsi="Times New Roman" w:cs="Times New Roman"/>
        </w:rPr>
        <w:t xml:space="preserve">intrinsic functional connectivity </w:t>
      </w:r>
      <w:r w:rsidR="004D1ADA" w:rsidRPr="00975DA7">
        <w:rPr>
          <w:rFonts w:ascii="Times New Roman" w:hAnsi="Times New Roman" w:cs="Times New Roman"/>
        </w:rPr>
        <w:t xml:space="preserve">of the LH seeds </w:t>
      </w:r>
      <w:r w:rsidRPr="00975DA7">
        <w:rPr>
          <w:rFonts w:ascii="Times New Roman" w:hAnsi="Times New Roman" w:cs="Times New Roman"/>
        </w:rPr>
        <w:t>would predict variation in performance on semantic and non-semantic tasks. Our semantic battery allowed a comparison not only of semantic and non-semantic decisions, but also of different types of semantic judgement (</w:t>
      </w:r>
      <w:r w:rsidR="004D1ADA" w:rsidRPr="00975DA7">
        <w:rPr>
          <w:rFonts w:ascii="Times New Roman" w:hAnsi="Times New Roman" w:cs="Times New Roman"/>
        </w:rPr>
        <w:t xml:space="preserve">strong and weak thematic associations, which differ in their requirement for controlled semantic retrieval, and </w:t>
      </w:r>
      <w:r w:rsidRPr="00975DA7">
        <w:rPr>
          <w:rFonts w:ascii="Times New Roman" w:hAnsi="Times New Roman" w:cs="Times New Roman"/>
        </w:rPr>
        <w:t>word vs. picture-based jud</w:t>
      </w:r>
      <w:r w:rsidR="00763DE6" w:rsidRPr="00975DA7">
        <w:rPr>
          <w:rFonts w:ascii="Times New Roman" w:hAnsi="Times New Roman" w:cs="Times New Roman"/>
        </w:rPr>
        <w:t>gements</w:t>
      </w:r>
      <w:r w:rsidRPr="00975DA7">
        <w:rPr>
          <w:rFonts w:ascii="Times New Roman" w:hAnsi="Times New Roman" w:cs="Times New Roman"/>
        </w:rPr>
        <w:t xml:space="preserve">). </w:t>
      </w:r>
      <w:r w:rsidR="004D1ADA" w:rsidRPr="00975DA7">
        <w:rPr>
          <w:rFonts w:ascii="Times New Roman" w:hAnsi="Times New Roman" w:cs="Times New Roman"/>
        </w:rPr>
        <w:t>If semantic control is strongly left-lateralised, we might expect within-hemisphere connectivity to show an association with better performance, while cross-hemisphere connectivity from LH seeds to semantic homotopes in the RH might relate to poorer control over retrieval.</w:t>
      </w:r>
      <w:r w:rsidR="009A4035" w:rsidRPr="00975DA7">
        <w:rPr>
          <w:rFonts w:ascii="Times New Roman" w:hAnsi="Times New Roman" w:cs="Times New Roman"/>
        </w:rPr>
        <w:t xml:space="preserve"> We elected to focus on LH seeds since all four LH seeds are implicated in semantic processing, while this is not the case for all the RH seeds. This decision also allowed us to avoid the inflation of type I error which would arise from examining many seeds. </w:t>
      </w:r>
      <w:r w:rsidR="009A4035" w:rsidRPr="00975DA7">
        <w:rPr>
          <w:rFonts w:ascii="Times New Roman" w:hAnsi="Times New Roman" w:cs="Times New Roman"/>
          <w:bCs/>
          <w:color w:val="222222"/>
          <w:shd w:val="clear" w:color="auto" w:fill="FFFFFF"/>
        </w:rPr>
        <w:t>Since bilateral ATL is implicated in semantic processing, we also examined behavioural associations with right ATL connectivity in a supplementary analysis, but found no significant effects.</w:t>
      </w:r>
    </w:p>
    <w:p w14:paraId="5F178B36" w14:textId="77777777" w:rsidR="0059177E" w:rsidRPr="00975DA7" w:rsidRDefault="0059177E" w:rsidP="00DD7FA8">
      <w:pPr>
        <w:spacing w:line="360" w:lineRule="auto"/>
        <w:rPr>
          <w:rFonts w:ascii="Times New Roman" w:hAnsi="Times New Roman" w:cs="Times New Roman"/>
        </w:rPr>
      </w:pPr>
    </w:p>
    <w:p w14:paraId="254480A5" w14:textId="0A9BC929" w:rsidR="0059177E" w:rsidRPr="00975DA7" w:rsidRDefault="00FC5D50" w:rsidP="00DD7FA8">
      <w:pPr>
        <w:keepNext/>
        <w:spacing w:line="360" w:lineRule="auto"/>
        <w:rPr>
          <w:rFonts w:ascii="Times New Roman" w:hAnsi="Times New Roman" w:cs="Times New Roman"/>
        </w:rPr>
      </w:pPr>
      <w:r w:rsidRPr="00975DA7">
        <w:rPr>
          <w:rFonts w:ascii="Times New Roman" w:hAnsi="Times New Roman" w:cs="Times New Roman"/>
        </w:rPr>
        <w:lastRenderedPageBreak/>
        <w:t>2.</w:t>
      </w:r>
      <w:r w:rsidR="0059177E" w:rsidRPr="00975DA7">
        <w:rPr>
          <w:rFonts w:ascii="Times New Roman" w:hAnsi="Times New Roman" w:cs="Times New Roman"/>
        </w:rPr>
        <w:t>2. Participants</w:t>
      </w:r>
    </w:p>
    <w:p w14:paraId="5007EE3E" w14:textId="0B81BD20" w:rsidR="0059177E" w:rsidRPr="00975DA7" w:rsidRDefault="0059177E" w:rsidP="00DD7FA8">
      <w:pPr>
        <w:keepNext/>
        <w:spacing w:line="360" w:lineRule="auto"/>
        <w:rPr>
          <w:rFonts w:ascii="Times New Roman" w:hAnsi="Times New Roman" w:cs="Times New Roman"/>
        </w:rPr>
      </w:pPr>
      <w:r w:rsidRPr="00975DA7">
        <w:rPr>
          <w:rFonts w:ascii="Times New Roman" w:hAnsi="Times New Roman" w:cs="Times New Roman"/>
        </w:rPr>
        <w:t>The analysis was based on 196 participants out of 207 (126 females; mean ± SD age = 20.1 ± 2.3 years), recruited from the undergraduate and postgraduate student body at the University of York. The participants were right handed, native English speakers with normal/corrected vision. None of them had a history of psychiatric or neurological illness, severe claustrophobia, drug use that could alter cognitive functioning, or pregnancy.</w:t>
      </w:r>
      <w:r w:rsidR="007D3474" w:rsidRPr="00975DA7">
        <w:rPr>
          <w:rFonts w:ascii="Times New Roman" w:hAnsi="Times New Roman" w:cs="Times New Roman"/>
        </w:rPr>
        <w:t xml:space="preserve"> We excluded eleven participants: two due to missing MRI data and nine due to missing behavioural data.</w:t>
      </w:r>
      <w:r w:rsidRPr="00975DA7">
        <w:rPr>
          <w:rFonts w:ascii="Times New Roman" w:hAnsi="Times New Roman" w:cs="Times New Roman"/>
        </w:rPr>
        <w:t xml:space="preserve"> All volunteers provided written informed consent and were either paid or given course credit for their participation.</w:t>
      </w:r>
    </w:p>
    <w:p w14:paraId="5B4B921E" w14:textId="77777777" w:rsidR="0059177E" w:rsidRPr="00975DA7" w:rsidRDefault="0059177E" w:rsidP="00DD7FA8">
      <w:pPr>
        <w:spacing w:line="360" w:lineRule="auto"/>
        <w:rPr>
          <w:rFonts w:ascii="Times New Roman" w:hAnsi="Times New Roman" w:cs="Times New Roman"/>
        </w:rPr>
      </w:pPr>
    </w:p>
    <w:p w14:paraId="7D3181AE" w14:textId="0B493C3B" w:rsidR="0059177E" w:rsidRPr="00975DA7" w:rsidRDefault="00FC5D50" w:rsidP="00DD7FA8">
      <w:pPr>
        <w:keepNext/>
        <w:spacing w:line="360" w:lineRule="auto"/>
        <w:rPr>
          <w:rFonts w:ascii="Times New Roman" w:hAnsi="Times New Roman" w:cs="Times New Roman"/>
        </w:rPr>
      </w:pPr>
      <w:r w:rsidRPr="00975DA7">
        <w:rPr>
          <w:rFonts w:ascii="Times New Roman" w:hAnsi="Times New Roman" w:cs="Times New Roman"/>
        </w:rPr>
        <w:t>2.</w:t>
      </w:r>
      <w:r w:rsidR="0059177E" w:rsidRPr="00975DA7">
        <w:rPr>
          <w:rFonts w:ascii="Times New Roman" w:hAnsi="Times New Roman" w:cs="Times New Roman"/>
        </w:rPr>
        <w:t>3. Procedure</w:t>
      </w:r>
    </w:p>
    <w:p w14:paraId="6F48E8EB" w14:textId="54C14433" w:rsidR="0059177E" w:rsidRPr="00975DA7" w:rsidRDefault="0059177E" w:rsidP="00DD7FA8">
      <w:pPr>
        <w:keepNext/>
        <w:spacing w:line="360" w:lineRule="auto"/>
        <w:rPr>
          <w:rFonts w:ascii="Times New Roman" w:hAnsi="Times New Roman" w:cs="Times New Roman"/>
        </w:rPr>
      </w:pPr>
      <w:r w:rsidRPr="00975DA7">
        <w:rPr>
          <w:rFonts w:ascii="Times New Roman" w:hAnsi="Times New Roman" w:cs="Times New Roman"/>
        </w:rPr>
        <w:t>The participants first took part in a neuroimaging session, where we acquired structural images and a resting-state scan. Participants then completed numerous cognitive assessments across three sessions, each lasting around two hours, with the order of the sessions counterbalanced across participants.</w:t>
      </w:r>
      <w:r w:rsidR="00763DE6" w:rsidRPr="00975DA7">
        <w:rPr>
          <w:rFonts w:ascii="Times New Roman" w:hAnsi="Times New Roman" w:cs="Times New Roman"/>
        </w:rPr>
        <w:t xml:space="preserve"> This study provides an analysis of the</w:t>
      </w:r>
      <w:r w:rsidRPr="00975DA7">
        <w:rPr>
          <w:rFonts w:ascii="Times New Roman" w:hAnsi="Times New Roman" w:cs="Times New Roman"/>
        </w:rPr>
        <w:t xml:space="preserve"> semantic battery administered as part of this protocol. </w:t>
      </w:r>
      <w:r w:rsidRPr="00975DA7" w:rsidDel="002D2EDF">
        <w:rPr>
          <w:rFonts w:ascii="Times New Roman" w:hAnsi="Times New Roman" w:cs="Times New Roman"/>
        </w:rPr>
        <w:t xml:space="preserve"> </w:t>
      </w:r>
    </w:p>
    <w:p w14:paraId="5B1C7130" w14:textId="77777777" w:rsidR="0059177E" w:rsidRPr="00975DA7" w:rsidRDefault="0059177E" w:rsidP="00DD7FA8">
      <w:pPr>
        <w:spacing w:line="360" w:lineRule="auto"/>
        <w:rPr>
          <w:rFonts w:ascii="Times New Roman" w:hAnsi="Times New Roman" w:cs="Times New Roman"/>
        </w:rPr>
      </w:pPr>
    </w:p>
    <w:p w14:paraId="6D2F14FA" w14:textId="57508E8C" w:rsidR="0059177E" w:rsidRPr="00975DA7" w:rsidRDefault="00FC5D50" w:rsidP="00DD7FA8">
      <w:pPr>
        <w:keepNext/>
        <w:spacing w:line="360" w:lineRule="auto"/>
        <w:rPr>
          <w:rFonts w:ascii="Times New Roman" w:hAnsi="Times New Roman" w:cs="Times New Roman"/>
        </w:rPr>
      </w:pPr>
      <w:r w:rsidRPr="00975DA7">
        <w:rPr>
          <w:rFonts w:ascii="Times New Roman" w:hAnsi="Times New Roman" w:cs="Times New Roman"/>
        </w:rPr>
        <w:t>2.</w:t>
      </w:r>
      <w:r w:rsidR="0059177E" w:rsidRPr="00975DA7">
        <w:rPr>
          <w:rFonts w:ascii="Times New Roman" w:hAnsi="Times New Roman" w:cs="Times New Roman"/>
        </w:rPr>
        <w:t>4. Tasks</w:t>
      </w:r>
    </w:p>
    <w:p w14:paraId="4244B328" w14:textId="41FCF66B" w:rsidR="0059177E" w:rsidRPr="00975DA7" w:rsidRDefault="0059177E" w:rsidP="00DD7FA8">
      <w:pPr>
        <w:keepNext/>
        <w:spacing w:line="360" w:lineRule="auto"/>
        <w:rPr>
          <w:rFonts w:ascii="Times New Roman" w:hAnsi="Times New Roman" w:cs="Times New Roman"/>
        </w:rPr>
      </w:pPr>
      <w:r w:rsidRPr="00975DA7">
        <w:rPr>
          <w:rFonts w:ascii="Times New Roman" w:hAnsi="Times New Roman" w:cs="Times New Roman"/>
        </w:rPr>
        <w:t xml:space="preserve">We manipulated decision type (semantic/non-semantic), modality (words/pictures) and strength of association (weak/strong associates). All tasks employed a three-alternative forced-choice design: participants matched a probe stimulus on the screen with one of three possible targets, </w:t>
      </w:r>
      <w:r w:rsidR="00763DE6" w:rsidRPr="00975DA7">
        <w:rPr>
          <w:rFonts w:ascii="Times New Roman" w:hAnsi="Times New Roman" w:cs="Times New Roman"/>
        </w:rPr>
        <w:t>and pressed</w:t>
      </w:r>
      <w:r w:rsidRPr="00975DA7">
        <w:rPr>
          <w:rFonts w:ascii="Times New Roman" w:hAnsi="Times New Roman" w:cs="Times New Roman"/>
        </w:rPr>
        <w:t xml:space="preserve"> buttons to indicate their choice. </w:t>
      </w:r>
    </w:p>
    <w:p w14:paraId="087D23CF" w14:textId="52A4DFD1" w:rsidR="0059177E" w:rsidRPr="00975DA7" w:rsidRDefault="0059177E" w:rsidP="00DD7FA8">
      <w:pPr>
        <w:spacing w:line="360" w:lineRule="auto"/>
        <w:rPr>
          <w:rFonts w:ascii="Times New Roman" w:hAnsi="Times New Roman" w:cs="Times New Roman"/>
        </w:rPr>
      </w:pPr>
      <w:r w:rsidRPr="00975DA7">
        <w:rPr>
          <w:rFonts w:ascii="Times New Roman" w:hAnsi="Times New Roman" w:cs="Times New Roman"/>
        </w:rPr>
        <w:t xml:space="preserve">We compared semantic relatedness judgements to words and pictures to verify whether patterns of connectivity from heteromodal </w:t>
      </w:r>
      <w:r w:rsidR="00763DE6" w:rsidRPr="00975DA7">
        <w:rPr>
          <w:rFonts w:ascii="Times New Roman" w:hAnsi="Times New Roman" w:cs="Times New Roman"/>
        </w:rPr>
        <w:t>LH seeds</w:t>
      </w:r>
      <w:r w:rsidRPr="00975DA7">
        <w:rPr>
          <w:rFonts w:ascii="Times New Roman" w:hAnsi="Times New Roman" w:cs="Times New Roman"/>
        </w:rPr>
        <w:t xml:space="preserve"> predicte</w:t>
      </w:r>
      <w:r w:rsidR="0018686F" w:rsidRPr="00975DA7">
        <w:rPr>
          <w:rFonts w:ascii="Times New Roman" w:hAnsi="Times New Roman" w:cs="Times New Roman"/>
        </w:rPr>
        <w:t>d performance across modalities</w:t>
      </w:r>
      <w:r w:rsidRPr="00975DA7">
        <w:rPr>
          <w:rFonts w:ascii="Times New Roman" w:hAnsi="Times New Roman" w:cs="Times New Roman"/>
        </w:rPr>
        <w:t xml:space="preserve"> </w:t>
      </w:r>
      <w:r w:rsidRPr="00975DA7">
        <w:rPr>
          <w:rFonts w:ascii="Times New Roman" w:hAnsi="Times New Roman" w:cs="Times New Roman"/>
        </w:rPr>
        <w:fldChar w:fldCharType="begin" w:fldLock="1"/>
      </w:r>
      <w:r w:rsidR="000730D9" w:rsidRPr="00975DA7">
        <w:rPr>
          <w:rFonts w:ascii="Times New Roman" w:hAnsi="Times New Roman" w:cs="Times New Roman"/>
        </w:rPr>
        <w:instrText>ADDIN CSL_CITATION {"citationItems":[{"id":"ITEM-1","itemData":{"DOI":"10.1093/cercor/bhv024","ISBN":"1047-3211","ISSN":"1047-3211","PMID":"25771223","abstract":"The roles of the right and left anterior temporal lobes (ATLs) in conceptual knowledge are a source of debate between 4 conflicting accounts. Possible ATL specializations include: (1) Processing of verbal versus non-verbal inputs; (2) the involvement of word retrieval; and (3) the social content of the stimuli. Conversely, the “hub-and-spoke” account holds that both ATLs form a bilateral functionally unified system. Using activation likelihood estimation (ALE) to compare the probability of left and right ATL activation, we analyzed 97 functional neuroimaging studies of conceptual knowledge, organized according to the predictions of the three specialized hypotheses. The primary result was that ATL activation was predominately bilateral and highly overlapping for all stimulus types. Secondary to this bilateral representation, there were subtle gradations both between and within the ATLs. Activations were more likely to be left lateralized when the input was a written word or when word retrieval was required. These data are best accommodated by a graded version of the hub-and-spoke account, whereby representation of conceptual knowledge is supported through bilateral yet graded connectivity between the ATLs and various modality-specific sensory, motor, and limbic cortices.","author":[{"dropping-particle":"","family":"Rice","given":"Grace E.","non-dropping-particle":"","parse-names":false,"suffix":""},{"dropping-particle":"","family":"Lambon Ralph","given":"Matthew A.","non-dropping-particle":"","parse-names":false,"suffix":""},{"dropping-particle":"","family":"Hoffman","given":"Paul.","non-dropping-particle":"","parse-names":false,"suffix":""}],"container-title":"Cerebral Cortex","id":"ITEM-1","issue":"11","issued":{"date-parts":[["2015","11","1"]]},"note":"From Duplicate 1 (The Roles of Left Versus Right Anterior Temporal Lobes in Conceptual Knowledge: An ALE Meta-analysis of 97 Functional Neuroimaging Studies - Rice, G. E.; Lambon Ralph, M. a.; Hoffman, P.)\n\nRead and annotated\n\nFrom Duplicate 2 (The Roles of Left Versus Right Anterior Temporal Lobes in Conceptual Knowledge: An ALE Meta-analysis of 97 Functional Neuroimaging Studies - Rice, Grace E; Lambon Ralph, Matthew A; Hoffman, Paul)\n\n10.1093/cercor/bhv024","page":"4374-4391","title":"The Roles of Left Versus Right Anterior Temporal Lobes in Conceptual Knowledge: An ALE Meta-analysis of 97 Functional Neuroimaging Studies","type":"article-journal","volume":"25"},"uris":["http://www.mendeley.com/documents/?uuid=e9295c73-b60f-49e9-bc8c-d96748f8db19"]}],"mendeley":{"formattedCitation":"(Rice et al., 2015b)","plainTextFormattedCitation":"(Rice et al., 2015b)","previouslyFormattedCitation":"(Rice et al., 2015b)"},"properties":{"noteIndex":0},"schema":"https://github.com/citation-style-language/schema/raw/master/csl-citation.json"}</w:instrText>
      </w:r>
      <w:r w:rsidRPr="00975DA7">
        <w:rPr>
          <w:rFonts w:ascii="Times New Roman" w:hAnsi="Times New Roman" w:cs="Times New Roman"/>
        </w:rPr>
        <w:fldChar w:fldCharType="separate"/>
      </w:r>
      <w:r w:rsidR="000730D9" w:rsidRPr="00975DA7">
        <w:rPr>
          <w:rFonts w:ascii="Times New Roman" w:hAnsi="Times New Roman" w:cs="Times New Roman"/>
          <w:noProof/>
        </w:rPr>
        <w:t>(Rice et al., 2015b)</w:t>
      </w:r>
      <w:r w:rsidRPr="00975DA7">
        <w:rPr>
          <w:rFonts w:ascii="Times New Roman" w:hAnsi="Times New Roman" w:cs="Times New Roman"/>
        </w:rPr>
        <w:fldChar w:fldCharType="end"/>
      </w:r>
      <w:r w:rsidRPr="00975DA7">
        <w:rPr>
          <w:rFonts w:ascii="Times New Roman" w:hAnsi="Times New Roman" w:cs="Times New Roman"/>
        </w:rPr>
        <w:t>. We also manipulated strength of association</w:t>
      </w:r>
      <w:r w:rsidR="00763DE6" w:rsidRPr="00975DA7">
        <w:rPr>
          <w:rFonts w:ascii="Times New Roman" w:hAnsi="Times New Roman" w:cs="Times New Roman"/>
        </w:rPr>
        <w:t xml:space="preserve"> in a picture-word matching task</w:t>
      </w:r>
      <w:r w:rsidRPr="00975DA7">
        <w:rPr>
          <w:rFonts w:ascii="Times New Roman" w:hAnsi="Times New Roman" w:cs="Times New Roman"/>
        </w:rPr>
        <w:t xml:space="preserve">. Strength of association is thought to modulate the ‘controlled retrieval’ demands of semantic judgements; weak associations elicit stronger activation in the semantic control network, in both left pMTG and IFG </w:t>
      </w:r>
      <w:r w:rsidR="00097B60" w:rsidRPr="00975DA7">
        <w:rPr>
          <w:rFonts w:ascii="Times New Roman" w:hAnsi="Times New Roman" w:cs="Times New Roman"/>
        </w:rPr>
        <w:fldChar w:fldCharType="begin" w:fldLock="1"/>
      </w:r>
      <w:r w:rsidR="0065649F" w:rsidRPr="00975DA7">
        <w:rPr>
          <w:rFonts w:ascii="Times New Roman" w:hAnsi="Times New Roman" w:cs="Times New Roman"/>
        </w:rPr>
        <w:instrText>ADDIN CSL_CITATION {"citationItems":[{"id":"ITEM-1","itemData":{"DOI":"10.1016/j.neuron.2005.07.023","ISSN":"08966273","author":[{"dropping-particle":"","family":"Badre","given":"David","non-dropping-particle":"","parse-names":false,"suffix":""},{"dropping-particle":"","family":"Poldrack","given":"Russell A.","non-dropping-particle":"","parse-names":false,"suffix":""},{"dropping-particle":"","family":"Paré-Blagoev","given":"E. Juliana","non-dropping-particle":"","parse-names":false,"suffix":""},{"dropping-particle":"","family":"Insler","given":"Rachel Z.","non-dropping-particle":"","parse-names":false,"suffix":""},{"dropping-particle":"","family":"Wagner","given":"Anthony D.","non-dropping-particle":"","parse-names":false,"suffix":""}],"container-title":"Neuron","id":"ITEM-1","issue":"6","issued":{"date-parts":[["2005"]]},"page":"907-918","title":"Dissociable Controlled Retrieval and Generalized Selection Mechanisms in Ventrolateral Prefrontal Cortex","type":"article-journal","volume":"47"},"uris":["http://www.mendeley.com/documents/?uuid=dad4b99f-f3d5-490a-8b0d-0c90293d55a2"]},{"id":"ITEM-2","itemData":{"DOI":"10.1016/j.neuroimage.2016.05.051","ISSN":"10959572","PMID":"27236083","abstract":"Making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-2","issued":{"date-parts":[["2016"]]},"page":"165-177","publisher":"The Authors","title":"Exploring the role of the posterior middle temporal gyrus in semantic cognition: Integration of anterior temporal lobe with executive processes","type":"article-journal","volume":"137"},"uris":["http://www.mendeley.com/documents/?uuid=9e53ba0b-097a-4b9d-bd73-0a81c2a24447"]},{"id":"ITEM-3","itemData":{"DOI":"10.1016/j.neuropsychologia.2003.12.014","ISBN":"0028-3932 (Print)\\r0028-3932 (Linking)","ISSN":"00283932","PMID":"15178178","abstract":"Semantic retrieval consistently activates left inferior frontal regions, yet lesions to these areas do not typically result in semantic deficits. This discrepancy has led to the hypothesis that left prefrontal areas are primarily involved in executive processes while semantic information is retrieved from temporal cortices. We investigated semantic executive processing by changing, over trials, the semantic association to a stimulus. Using fMRI and PET, we demonstrate that changes in semantic association increased activation in temporal as well as frontal areas. The similar effects in temporal and frontal areas suggest that semantic executive processes are not confined to the left inferior frontal cortex but might be distributed throughout the semantic system. © 2004 Elsevier Ltd. All rights reserved.","author":[{"dropping-particle":"","family":"Noppeney","given":"U.","non-dropping-particle":"","parse-names":false,"suffix":""},{"dropping-particle":"","family":"Phillips","given":"J.","non-dropping-particle":"","parse-names":false,"suffix":""},{"dropping-particle":"","family":"Price","given":"C.","non-dropping-particle":"","parse-names":false,"suffix":""}],"container-title":"Neuropsychologia","id":"ITEM-3","issue":"9","issued":{"date-parts":[["2004"]]},"page":"1269-1280","title":"The neural areas that control the retrieval and selection of semantics","type":"article-journal","volume":"42"},"uris":["http://www.mendeley.com/documents/?uuid=a53ff1ca-2e28-40e0-b1b6-a6875cc95a7a"]},{"id":"ITEM-4","itemData":{"DOI":"10.1016/S0896-6273(01)00359-2","ISBN":"0896-6273 (Print)","ISSN":"08966273","PMID":"11502262","abstract":"Prefrontal cortex plays a central role in mnemonic control, with left inferior prefrontal cortex (LIPC) mediating control of semantic knowledge. One prominent theory posits that LIPC does not mediate semantic retrieval per se, but rather subserves the selection of task-relevant knowledge from amidst competing knowledge. The present event-related fMRI study provides evidence for an alternative hypothesis: LIPC guides controlled semantic retrieval irrespective of whether retrieval requires selection against competing representations. With selection demands held constant, LIPC activation increased with semantic retrieval demands and with the level of control required during retrieval. LIPC mediates a top-down bias signal that is recruited to the extent that the recovery of meaning demands controlled retrieval. Selection may reflect a specific instantiation of this mechanism.","author":[{"dropping-particle":"","family":"Wagner","given":"Anthony D","non-dropping-particle":"","parse-names":false,"suffix":""},{"dropping-particle":"","family":"Paré-Blagoev","given":"E.Juliana","non-dropping-particle":"","parse-names":false,"suffix":""},{"dropping-particle":"","family":"Clark","given":"Jill","non-dropping-particle":"","parse-names":false,"suffix":""},{"dropping-particle":"","family":"Poldrack","given":"Russell A","non-dropping-particle":"","parse-names":false,"suffix":""}],"container-title":"Neuron","id":"ITEM-4","issue":"2","issued":{"date-parts":[["2001"]]},"page":"329-338","title":"Recovering Meaning","type":"article-journal","volume":"31"},"uris":["http://www.mendeley.com/documents/?uuid=180cd3e1-85d5-4644-8332-5361bd636e7b"]}],"mendeley":{"formattedCitation":"(Badre et al., 2005; Davey et al., 2016; Noppeney et al., 2004; Wagner et al., 2001)","plainTextFormattedCitation":"(Badre et al., 2005; Davey et al., 2016; Noppeney et al., 2004; Wagner et al., 2001)","previouslyFormattedCitation":"(Badre et al., 2005; Davey et al., 2016; Noppeney et al., 2004; Wagner et al., 2001)"},"properties":{"noteIndex":0},"schema":"https://github.com/citation-style-language/schema/raw/master/csl-citation.json"}</w:instrText>
      </w:r>
      <w:r w:rsidR="00097B60" w:rsidRPr="00975DA7">
        <w:rPr>
          <w:rFonts w:ascii="Times New Roman" w:hAnsi="Times New Roman" w:cs="Times New Roman"/>
        </w:rPr>
        <w:fldChar w:fldCharType="separate"/>
      </w:r>
      <w:r w:rsidR="00097B60" w:rsidRPr="00975DA7">
        <w:rPr>
          <w:rFonts w:ascii="Times New Roman" w:hAnsi="Times New Roman" w:cs="Times New Roman"/>
          <w:noProof/>
        </w:rPr>
        <w:t>(Badre et al., 2005; Davey et al., 2016; Noppeney et al., 2004; Wagner et al., 2001)</w:t>
      </w:r>
      <w:r w:rsidR="00097B60" w:rsidRPr="00975DA7">
        <w:rPr>
          <w:rFonts w:ascii="Times New Roman" w:hAnsi="Times New Roman" w:cs="Times New Roman"/>
        </w:rPr>
        <w:fldChar w:fldCharType="end"/>
      </w:r>
      <w:r w:rsidRPr="00975DA7">
        <w:rPr>
          <w:rFonts w:ascii="Times New Roman" w:hAnsi="Times New Roman" w:cs="Times New Roman"/>
        </w:rPr>
        <w:t xml:space="preserve">. In contrast, semantic control demands are minimised during the retrieval of strong associations, since the target is a dominant associate of the probe. </w:t>
      </w:r>
      <w:r w:rsidR="00763DE6" w:rsidRPr="00975DA7">
        <w:rPr>
          <w:rFonts w:ascii="Times New Roman" w:hAnsi="Times New Roman" w:cs="Times New Roman"/>
        </w:rPr>
        <w:t xml:space="preserve">Consequently, individual differences in intrinsic connectivity from LH </w:t>
      </w:r>
      <w:r w:rsidR="00EF2514" w:rsidRPr="00975DA7">
        <w:rPr>
          <w:rFonts w:ascii="Times New Roman" w:hAnsi="Times New Roman" w:cs="Times New Roman"/>
        </w:rPr>
        <w:t xml:space="preserve">semantic control </w:t>
      </w:r>
      <w:r w:rsidR="00763DE6" w:rsidRPr="00975DA7">
        <w:rPr>
          <w:rFonts w:ascii="Times New Roman" w:hAnsi="Times New Roman" w:cs="Times New Roman"/>
        </w:rPr>
        <w:t xml:space="preserve">seeds </w:t>
      </w:r>
      <w:r w:rsidR="00EF2514" w:rsidRPr="00975DA7">
        <w:rPr>
          <w:rFonts w:ascii="Times New Roman" w:hAnsi="Times New Roman" w:cs="Times New Roman"/>
        </w:rPr>
        <w:t xml:space="preserve">might relate to performance differences between weak and strong associations. </w:t>
      </w:r>
      <w:r w:rsidRPr="00975DA7">
        <w:rPr>
          <w:rFonts w:ascii="Times New Roman" w:hAnsi="Times New Roman" w:cs="Times New Roman"/>
        </w:rPr>
        <w:t>Finally, we included a non-semantic task involving perceptual judgements. Participants were asked to select which scrambled picture was an exact match to a probe image.</w:t>
      </w:r>
    </w:p>
    <w:p w14:paraId="2410B342" w14:textId="68695F2D" w:rsidR="0059177E" w:rsidRPr="00975DA7" w:rsidRDefault="0059177E" w:rsidP="00DD7FA8">
      <w:pPr>
        <w:spacing w:line="360" w:lineRule="auto"/>
        <w:rPr>
          <w:rFonts w:ascii="Times New Roman" w:hAnsi="Times New Roman" w:cs="Times New Roman"/>
        </w:rPr>
      </w:pPr>
      <w:r w:rsidRPr="00975DA7">
        <w:rPr>
          <w:rFonts w:ascii="Times New Roman" w:hAnsi="Times New Roman" w:cs="Times New Roman"/>
        </w:rPr>
        <w:t>In all tasks, each trial consisted of a centrally-presented probe presented with a ta</w:t>
      </w:r>
      <w:r w:rsidR="009A4035" w:rsidRPr="00975DA7">
        <w:rPr>
          <w:rFonts w:ascii="Times New Roman" w:hAnsi="Times New Roman" w:cs="Times New Roman"/>
        </w:rPr>
        <w:t>rget and two unrelated distracto</w:t>
      </w:r>
      <w:r w:rsidRPr="00975DA7">
        <w:rPr>
          <w:rFonts w:ascii="Times New Roman" w:hAnsi="Times New Roman" w:cs="Times New Roman"/>
        </w:rPr>
        <w:t xml:space="preserve">rs, which were targets in other trials. Each trial started with a blank screen for </w:t>
      </w:r>
      <w:r w:rsidRPr="00975DA7">
        <w:rPr>
          <w:rFonts w:ascii="Times New Roman" w:hAnsi="Times New Roman" w:cs="Times New Roman"/>
        </w:rPr>
        <w:lastRenderedPageBreak/>
        <w:t>500ms. The response options were subsequently presented at the bottom of the screen for 900ms (with the three options aligned horizontally, and the target in each location equally often). Finally, the probe was pre</w:t>
      </w:r>
      <w:r w:rsidR="00EF2514" w:rsidRPr="00975DA7">
        <w:rPr>
          <w:rFonts w:ascii="Times New Roman" w:hAnsi="Times New Roman" w:cs="Times New Roman"/>
        </w:rPr>
        <w:t>sented at the top of the screen</w:t>
      </w:r>
      <w:r w:rsidRPr="00975DA7">
        <w:rPr>
          <w:rFonts w:ascii="Times New Roman" w:hAnsi="Times New Roman" w:cs="Times New Roman"/>
        </w:rPr>
        <w:t xml:space="preserve">. The probe and choices remained visible until the participant responded, or for a maximum of 3 seconds. Both response time (RT) and accuracy were recorded, and an efficiency score was calculated for each participant in each condition by dividing response times by accuracy (note: </w:t>
      </w:r>
      <w:r w:rsidR="009420CD" w:rsidRPr="00975DA7">
        <w:rPr>
          <w:rFonts w:ascii="Times New Roman" w:hAnsi="Times New Roman" w:cs="Times New Roman"/>
        </w:rPr>
        <w:t xml:space="preserve">in brain analyses, </w:t>
      </w:r>
      <w:r w:rsidRPr="00975DA7">
        <w:rPr>
          <w:rFonts w:ascii="Times New Roman" w:hAnsi="Times New Roman" w:cs="Times New Roman"/>
        </w:rPr>
        <w:t xml:space="preserve">this efficiency score was inverted </w:t>
      </w:r>
      <w:r w:rsidR="009420CD" w:rsidRPr="00975DA7">
        <w:rPr>
          <w:rFonts w:ascii="Times New Roman" w:hAnsi="Times New Roman" w:cs="Times New Roman"/>
        </w:rPr>
        <w:t>to aid</w:t>
      </w:r>
      <w:r w:rsidRPr="00975DA7">
        <w:rPr>
          <w:rFonts w:ascii="Times New Roman" w:hAnsi="Times New Roman" w:cs="Times New Roman"/>
        </w:rPr>
        <w:t xml:space="preserve"> the interpretation of the results</w:t>
      </w:r>
      <w:r w:rsidR="009420CD" w:rsidRPr="00975DA7">
        <w:rPr>
          <w:rFonts w:ascii="Times New Roman" w:hAnsi="Times New Roman" w:cs="Times New Roman"/>
        </w:rPr>
        <w:t>, such that</w:t>
      </w:r>
      <w:r w:rsidRPr="00975DA7">
        <w:rPr>
          <w:rFonts w:ascii="Times New Roman" w:hAnsi="Times New Roman" w:cs="Times New Roman"/>
        </w:rPr>
        <w:t xml:space="preserve"> a higher score correspond</w:t>
      </w:r>
      <w:r w:rsidR="009420CD" w:rsidRPr="00975DA7">
        <w:rPr>
          <w:rFonts w:ascii="Times New Roman" w:hAnsi="Times New Roman" w:cs="Times New Roman"/>
        </w:rPr>
        <w:t>ed</w:t>
      </w:r>
      <w:r w:rsidRPr="00975DA7">
        <w:rPr>
          <w:rFonts w:ascii="Times New Roman" w:hAnsi="Times New Roman" w:cs="Times New Roman"/>
        </w:rPr>
        <w:t xml:space="preserve"> to better performance). Figure 1 </w:t>
      </w:r>
      <w:r w:rsidR="00EF2514" w:rsidRPr="00975DA7">
        <w:rPr>
          <w:rFonts w:ascii="Times New Roman" w:hAnsi="Times New Roman" w:cs="Times New Roman"/>
        </w:rPr>
        <w:t>illustrates the tasks and summarises</w:t>
      </w:r>
      <w:r w:rsidRPr="00975DA7">
        <w:rPr>
          <w:rFonts w:ascii="Times New Roman" w:hAnsi="Times New Roman" w:cs="Times New Roman"/>
        </w:rPr>
        <w:t xml:space="preserve"> the behavioural results.</w:t>
      </w:r>
    </w:p>
    <w:p w14:paraId="2FB9BF1F" w14:textId="0E5D6265" w:rsidR="0059177E" w:rsidRPr="00975DA7" w:rsidRDefault="0059177E" w:rsidP="0059177E"/>
    <w:p w14:paraId="2F946F58" w14:textId="0470A442" w:rsidR="00FA73E1" w:rsidRPr="00975DA7" w:rsidRDefault="00FA73E1" w:rsidP="0059177E">
      <w:r w:rsidRPr="00975DA7">
        <w:rPr>
          <w:noProof/>
          <w:lang w:eastAsia="en-GB"/>
        </w:rPr>
        <w:drawing>
          <wp:inline distT="0" distB="0" distL="0" distR="0" wp14:anchorId="0BA1AD7D" wp14:editId="53D1BF13">
            <wp:extent cx="5731510" cy="2175396"/>
            <wp:effectExtent l="0" t="0" r="2540" b="0"/>
            <wp:docPr id="13" name="Picture 13" descr="C:\Users\trga500\Google Drive\Publications\Laterality_Cohort_RS\Submission_Draft_Feb\Figures\MethodsFigure0\FiguresForPaper_Draft2_FigureMethods1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ga500\Google Drive\Publications\Laterality_Cohort_RS\Submission_Draft_Feb\Figures\MethodsFigure0\FiguresForPaper_Draft2_FigureMethods1v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75396"/>
                    </a:xfrm>
                    <a:prstGeom prst="rect">
                      <a:avLst/>
                    </a:prstGeom>
                    <a:noFill/>
                    <a:ln>
                      <a:noFill/>
                    </a:ln>
                  </pic:spPr>
                </pic:pic>
              </a:graphicData>
            </a:graphic>
          </wp:inline>
        </w:drawing>
      </w:r>
    </w:p>
    <w:p w14:paraId="2505F248" w14:textId="5340664B" w:rsidR="0059177E" w:rsidRPr="00975DA7" w:rsidRDefault="0059177E" w:rsidP="0059177E">
      <w:pPr>
        <w:keepNext/>
        <w:keepLines/>
        <w:rPr>
          <w:rFonts w:ascii="Times New Roman" w:hAnsi="Times New Roman" w:cs="Times New Roman"/>
        </w:rPr>
      </w:pPr>
      <w:r w:rsidRPr="00975DA7">
        <w:rPr>
          <w:rFonts w:ascii="Times New Roman" w:hAnsi="Times New Roman" w:cs="Times New Roman"/>
        </w:rPr>
        <w:t xml:space="preserve">Figure 1. Top row: Illustration of the behavioural tasks. For all the tasks, correct answers are underlined. The weak and strong associations </w:t>
      </w:r>
      <w:r w:rsidR="009420CD" w:rsidRPr="00975DA7">
        <w:rPr>
          <w:rFonts w:ascii="Times New Roman" w:hAnsi="Times New Roman" w:cs="Times New Roman"/>
        </w:rPr>
        <w:t>involved Picture-Word matching</w:t>
      </w:r>
      <w:r w:rsidRPr="00975DA7">
        <w:rPr>
          <w:rFonts w:ascii="Times New Roman" w:hAnsi="Times New Roman" w:cs="Times New Roman"/>
        </w:rPr>
        <w:t>. The layout of the Word-Word and Picture-Picture conditions was identical, except all the stimul</w:t>
      </w:r>
      <w:r w:rsidR="009420CD" w:rsidRPr="00975DA7">
        <w:rPr>
          <w:rFonts w:ascii="Times New Roman" w:hAnsi="Times New Roman" w:cs="Times New Roman"/>
        </w:rPr>
        <w:t>i were either words or pictures</w:t>
      </w:r>
      <w:r w:rsidRPr="00975DA7">
        <w:rPr>
          <w:rFonts w:ascii="Times New Roman" w:hAnsi="Times New Roman" w:cs="Times New Roman"/>
        </w:rPr>
        <w:t xml:space="preserve">. </w:t>
      </w:r>
      <w:r w:rsidR="009420CD" w:rsidRPr="00975DA7">
        <w:rPr>
          <w:rFonts w:ascii="Times New Roman" w:hAnsi="Times New Roman" w:cs="Times New Roman"/>
        </w:rPr>
        <w:t>The perceptual matching task required participants to identify a</w:t>
      </w:r>
      <w:r w:rsidR="00131F5B" w:rsidRPr="00975DA7">
        <w:rPr>
          <w:rFonts w:ascii="Times New Roman" w:hAnsi="Times New Roman" w:cs="Times New Roman"/>
        </w:rPr>
        <w:t xml:space="preserve"> complex item that was visually </w:t>
      </w:r>
      <w:r w:rsidR="009420CD" w:rsidRPr="00975DA7">
        <w:rPr>
          <w:rFonts w:ascii="Times New Roman" w:hAnsi="Times New Roman" w:cs="Times New Roman"/>
        </w:rPr>
        <w:t xml:space="preserve">identical to the probe. </w:t>
      </w:r>
      <w:r w:rsidRPr="00975DA7">
        <w:rPr>
          <w:rFonts w:ascii="Times New Roman" w:hAnsi="Times New Roman" w:cs="Times New Roman"/>
        </w:rPr>
        <w:t xml:space="preserve">Bottom row: Plots depicting the mean accuracy, reaction time and efficiency score (not reversed) for each task. The colour of each bar corresponds to the </w:t>
      </w:r>
      <w:r w:rsidR="009420CD" w:rsidRPr="00975DA7">
        <w:rPr>
          <w:rFonts w:ascii="Times New Roman" w:hAnsi="Times New Roman" w:cs="Times New Roman"/>
        </w:rPr>
        <w:t>names of the tasks</w:t>
      </w:r>
      <w:r w:rsidRPr="00975DA7">
        <w:rPr>
          <w:rFonts w:ascii="Times New Roman" w:hAnsi="Times New Roman" w:cs="Times New Roman"/>
        </w:rPr>
        <w:t xml:space="preserve"> in the top row. Error bars represent 95% confidence intervals.</w:t>
      </w:r>
      <w:r w:rsidR="002530E3" w:rsidRPr="00975DA7">
        <w:rPr>
          <w:rFonts w:ascii="Times New Roman" w:hAnsi="Times New Roman" w:cs="Times New Roman"/>
        </w:rPr>
        <w:t xml:space="preserve"> All conditions were significantly different to each other in a</w:t>
      </w:r>
      <w:r w:rsidR="00AF5420" w:rsidRPr="00975DA7">
        <w:rPr>
          <w:rFonts w:ascii="Times New Roman" w:hAnsi="Times New Roman" w:cs="Times New Roman"/>
        </w:rPr>
        <w:t>v</w:t>
      </w:r>
      <w:r w:rsidR="007C135E" w:rsidRPr="00975DA7">
        <w:rPr>
          <w:rFonts w:ascii="Times New Roman" w:hAnsi="Times New Roman" w:cs="Times New Roman"/>
        </w:rPr>
        <w:t>erage efficiency score (p &lt; .001,</w:t>
      </w:r>
      <w:r w:rsidR="00C12358" w:rsidRPr="00975DA7">
        <w:rPr>
          <w:rFonts w:ascii="Times New Roman" w:hAnsi="Times New Roman" w:cs="Times New Roman"/>
        </w:rPr>
        <w:t xml:space="preserve"> see Results </w:t>
      </w:r>
      <w:r w:rsidR="007C135E" w:rsidRPr="00975DA7">
        <w:rPr>
          <w:rFonts w:ascii="Times New Roman" w:hAnsi="Times New Roman" w:cs="Times New Roman"/>
        </w:rPr>
        <w:t xml:space="preserve">section </w:t>
      </w:r>
      <w:r w:rsidR="00C12358" w:rsidRPr="00975DA7">
        <w:rPr>
          <w:rFonts w:ascii="Times New Roman" w:hAnsi="Times New Roman" w:cs="Times New Roman"/>
        </w:rPr>
        <w:t>below)</w:t>
      </w:r>
      <w:r w:rsidR="002530E3" w:rsidRPr="00975DA7">
        <w:rPr>
          <w:rFonts w:ascii="Times New Roman" w:hAnsi="Times New Roman" w:cs="Times New Roman"/>
        </w:rPr>
        <w:t>.</w:t>
      </w:r>
    </w:p>
    <w:p w14:paraId="702C8C45" w14:textId="77777777" w:rsidR="0059177E" w:rsidRPr="00975DA7" w:rsidRDefault="0059177E" w:rsidP="0059177E">
      <w:pPr>
        <w:rPr>
          <w:rFonts w:ascii="Times New Roman" w:hAnsi="Times New Roman" w:cs="Times New Roman"/>
        </w:rPr>
      </w:pPr>
    </w:p>
    <w:p w14:paraId="780E2448" w14:textId="27133E75" w:rsidR="0059177E" w:rsidRPr="00975DA7" w:rsidRDefault="0059177E" w:rsidP="00036AA4">
      <w:pPr>
        <w:spacing w:line="360" w:lineRule="auto"/>
        <w:rPr>
          <w:rFonts w:ascii="Times New Roman" w:hAnsi="Times New Roman" w:cs="Times New Roman"/>
        </w:rPr>
      </w:pPr>
      <w:r w:rsidRPr="00975DA7">
        <w:rPr>
          <w:rFonts w:ascii="Times New Roman" w:hAnsi="Times New Roman" w:cs="Times New Roman"/>
        </w:rPr>
        <w:t xml:space="preserve">The stimuli employed in the tasks were selected from a larger dataset of words and photographs used in previous experiments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{"citationItems":[{"id":"ITEM-1","itemData":{"DOI":"10.1523/JNEUROSCI.4705-14.2015","ISBN":"0270-6474","ISSN":"1529-2401","PMID":"26586812","abstract":"UNLABELLED: Semantic retrieval involves both (1) automatic spreading activation between highly related concepts and (2) executive control processes that tailor this activation to suit the current context or goals. Two structures in left temporoparietal cortex, angular gyrus (AG) and posterior middle temporal gyrus (pMTG), are thought to be crucial to semantic retrieval and are often recruited together during semantic tasks; however, they show strikingly different patterns of functional connectivity at rest (coupling with the \"default mode network\" and \"frontoparietal control system,\" respectively). Here, transcranial magnetic stimulation (TMS) was used to establish a causal yet dissociable role for these sites in semantic cognition in human volunteers. TMS to AG disrupted thematic judgments particularly when the link between probe and target was strong (e.g., a picture of an Alsatian with a bone), and impaired the identification of objects at a specific but not a superordinate level (for the verbal label \"Alsatian\" not \"animal\"). In contrast, TMS to pMTG disrupted thematic judgments for weak but not strong associations (e.g., a picture of an Alsatian with razor wire), and impaired identity matching for both superordinate and specific-level labels. Thus, stimulation to AG interfered with the automatic retrieval of specific concepts from the semantic store while stimulation of pMTG impaired semantic cognition when there was a requirement to flexibly shape conceptual activation in line with the task requirements. These results demonstrate that AG and pMTG make a dissociable contribution to automatic and controlled aspects of semantic retrieval.\\n\\nSIGNIFICANCE STATEMENT: We demonstrate a novel functional dissociation between the angular gyrus (AG) and posterior middle temporal gyrus (pMTG) in conceptual processing. These sites are often coactivated during neuroimaging studies using semantic tasks, but their individual contributions are unclear. Using transcranial magnetic stimulation and tasks designed to assess different aspects of semantics (item identity and thematic matching), we tested two alternative theoretical accounts. Neither site showed the pattern expected for a \"thematic hub\" (i.e., a site storing associations between concepts) since stimulation disrupted both tasks. Instead, the data indicated that pMTG contributes to the controlled retrieval of conceptual knowledge, while AG is critical for the efficient automatic retrieval of specific seman…","author":[{"dropping-particle":"","family":"Davey","given":"James","non-dropping-particle":"","parse-names":false,"suffix":""},{"dropping-particle":"","family":"Cornelissen","given":"Piers L","non-dropping-particle":"","parse-names":false,"suffix":""},{"dropping-particle":"","family":"Thompson","given":"Hannah E","non-dropping-particle":"","parse-names":false,"suffix":""},{"dropping-particle":"","family":"Sonkusare","given":"Saurabh","non-dropping-particle":"","parse-names":false,"suffix":""},{"dropping-particle":"","family":"Hallam","given":"Glyn","non-dropping-particle":"","parse-names":false,"suffix":""},{"dropping-particle":"","family":"Smallwood","given":"Jonathan","non-dropping-particle":"","parse-names":false,"suffix":""},{"dropping-particle":"","family":"Jefferies","given":"Elizabeth","non-dropping-particle":"","parse-names":false,"suffix":""}],"container-title":"The Journal of neuroscience : the official journal of the Society for Neuroscience","id":"ITEM-1","issue":"46","issued":{"date-parts":[["2015"]]},"page":"15230-9","title":"Automatic and Controlled Semantic Retrieval: TMS Reveals Distinct Contributions of Posterior Middle Temporal Gyrus and Angular Gyrus.","type":"article-journal","volume":"35"},"uris":["http://www.mendeley.com/documents/?uuid=c52dfdce-3018-4bcf-8c88-799a925bff60"]},{"id":"ITEM-2","itemData":{"DOI":"10.1016/j.neuropsychologia.2015.02.030","ISSN":"1873-3514","PMID":"25726898","abstract":"Controlled semantic retrieval to words elicits co-activation of inferior frontal (IFG) and left posterior temporal cortex (pMTG), but research has not yet established (i) the distinct contributions of these regions or (ii) whether the same processes are recruited for non-verbal stimuli. Words have relatively flexible meanings - as a consequence, identifying the context that links two specific words is relatively demanding. In contrast, pictures are richer stimuli and their precise meaning is better specified by their visible features - however, not all of these features will be relevant to uncovering a given association, tapping selection/inhibition processes. To explore potential differences across modalities, we took a commonly-used manipulation of controlled retrieval demands, namely the identification of weak vs. strong associations, and compared word and picture versions. There were 4 key findings: (1) Regions of interest (ROIs) in posterior IFG (BA44) showed graded effects of modality (e.g., words&gt;pictures in left BA44; pictures&gt;words in right BA44). (2) An equivalent response was observed in left mid-IFG (BA45) across modalities, consistent with the multimodal semantic control deficits that typically follow LIFG lesions. (3) The anterior IFG (BA47) ROI showed a stronger response to verbal than pictorial associations, potentially reflecting a role for this region in establishing a meaningful context that can be used to direct semantic retrieval. (4) The left pMTG ROI also responded to difficulty across modalities yet showed a stronger response overall to verbal stimuli, helping to reconcile two distinct literatures that have implicated this site in semantic control and lexical-semantic access respectively. We propose that left anterior IFG and pMTG work together to maintain a meaningful context that shapes ongoing semantic processing, and that this process is more strongly taxed by word than picture associations.","author":[{"dropping-particle":"","family":"Krieger-Redwood","given":"Katya","non-dropping-particle":"","parse-names":false,"suffix":""},{"dropping-particle":"","family":"Teige","given":"Catarina","non-dropping-particle":"","parse-names":false,"suffix":""},{"dropping-particle":"","family":"Davey","given":"James","non-dropping-particle":"","parse-names":false,"suffix":""},{"dropping-particle":"","family":"Hymers","given":"Mark","non-dropping-particle":"","parse-names":false,"suffix":""},{"dropping-particle":"","family":"Jefferies","given":"Elizabeth","non-dropping-particle":"","parse-names":false,"suffix":""}],"container-title":"Neuropsychologia","id":"ITEM-2","issued":{"date-parts":[["2015"]]},"page":"92-107","publisher":"Elsevier","title":"Conceptual control across modalities: graded specialisation for pictures and words in inferior frontal and posterior temporal cortex.","type":"article-journal","volume":"76"},"uris":["http://www.mendeley.com/documents/?uuid=71c8b1ed-d17a-4dcf-b06c-c0fa165207a1"]}],"mendeley":{"formattedCitation":"(Davey et al., 2015; Krieger-Redwood et al., 2015)","plainTextFormattedCitation":"(Davey et al., 2015; Krieger-Redwood et al., 2015)","previouslyFormattedCitation":"(Davey et al., 2015; Krieger-Redwood et al., 2015)"},"properties":{"noteIndex":0},"schema":"https://github.com/citation-style-language/schema/raw/master/csl-citation.json"}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(Davey et al., 2015; Krieger-Redwood et al., 2015)</w:t>
      </w:r>
      <w:r w:rsidRPr="00975DA7">
        <w:rPr>
          <w:rFonts w:ascii="Times New Roman" w:hAnsi="Times New Roman" w:cs="Times New Roman"/>
        </w:rPr>
        <w:fldChar w:fldCharType="end"/>
      </w:r>
      <w:r w:rsidRPr="00975DA7">
        <w:rPr>
          <w:rFonts w:ascii="Times New Roman" w:hAnsi="Times New Roman" w:cs="Times New Roman"/>
        </w:rPr>
        <w:t xml:space="preserve">. The pictures were coloured photographs collected from the internet and re-sized to fit the trial structure (200 pixels, 72 dpi). All the coloured pictures and words were rated for familiarity using 7-point Likert scales, and imageability (&gt;500) from the MRC psycholinguistic database </w:t>
      </w:r>
      <w:r w:rsidRPr="00975DA7">
        <w:rPr>
          <w:rFonts w:ascii="Times New Roman" w:hAnsi="Times New Roman" w:cs="Times New Roman"/>
        </w:rPr>
        <w:fldChar w:fldCharType="begin" w:fldLock="1"/>
      </w:r>
      <w:r w:rsidR="00DB4411" w:rsidRPr="00975DA7">
        <w:rPr>
          <w:rFonts w:ascii="Times New Roman" w:hAnsi="Times New Roman" w:cs="Times New Roman"/>
        </w:rPr>
        <w:instrText>ADDIN CSL_CITATION {"citationItems":[{"id":"ITEM-1","itemData":{"abstract":"The MRCmachine-usable dictionary contains 150,837 words and up 26 linguistic and psycholinguistic attributes for each. The attributes are from sources that are publicly available but are difficult to obtain and structure into a single dictionary, Three utility programs are described that permit the selection of words defined by a set of specified attribute values and the selection of attribute values for a set of specified words. These programs permit the construction of word sets for psycholinguistic experiments that control for the attributes specified in the dictionary. The dictionary may also be of use to researchers in artificial intelligence and computer science who require psychological and linguistic descriptions of words","author":[{"dropping-particle":"","family":"Wilson","given":"Michael","non-dropping-particle":"","parse-names":false,"suffix":""}],"container-title":"Behavior Research Methods, Instruments, &amp; Computers","id":"ITEM-1","issue":"1","issued":{"date-parts":[["1988"]]},"page":"6-10","title":"MRC Psycholinguistic Database : Machine-usable dictionary , version 2 . 00","type":"article-journal","volume":"20"},"uris":["http://www.mendeley.com/documents/?uuid=ea7174f9-e215-4e82-97de-a6663c2b5a98","http://www.mendeley.com/documents/?uuid=fde5568b-30ac-4384-868e-c79e8903bd11"]},{"id":"ITEM-2","itemData":{"DOI":"10.1080/14640748108400805","ISSN":"0272-4987","author":[{"dropping-particle":"","family":"Coltheart","given":"Max","non-dropping-particle":"","parse-names":false,"suffix":""}],"container-title":"The Quarterly Journal of Experimental Psychology Section A","id":"ITEM-2","issue":"4","issued":{"date-parts":[["1981","11","1"]]},"note":"doi: 10.1080/14640748108400805","page":"497-505","publisher":"Routledge","title":"The MRC psycholinguistic database","type":"article-journal","volume":"33"},"uris":["http://www.mendeley.com/documents/?uuid=63b927a4-d21e-42dd-8558-4ff28727931d","http://www.mendeley.com/documents/?uuid=e846caac-1f80-4aeb-81f1-8646db740838"]}],"mendeley":{"formattedCitation":"(Coltheart, 1981; Wilson, 1988)","plainTextFormattedCitation":"(Coltheart, 1981; Wilson, 1988)","previouslyFormattedCitation":"(Coltheart, 1981; Wilson, 1988)"},"properties":{"noteIndex":0},"schema":"https://github.com/citation-style-language/schema/raw/master/csl-citation.json"}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(Coltheart, 1981; Wilson, 1988)</w:t>
      </w:r>
      <w:r w:rsidRPr="00975DA7">
        <w:rPr>
          <w:rFonts w:ascii="Times New Roman" w:hAnsi="Times New Roman" w:cs="Times New Roman"/>
        </w:rPr>
        <w:fldChar w:fldCharType="end"/>
      </w:r>
      <w:r w:rsidRPr="00975DA7">
        <w:rPr>
          <w:rFonts w:ascii="Times New Roman" w:hAnsi="Times New Roman" w:cs="Times New Roman"/>
        </w:rPr>
        <w:t xml:space="preserve">. Lexical frequency for the words was obtained by the SUBTLEX-UK database </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{"citationItems":[{"id":"ITEM-1","itemData":{"DOI":"10.1080/17470218.2013.850521","ISBN":"1747-0218","ISSN":"17470226","PMID":"24417251","abstract":"We present word frequencies based on subtitles of British television programmes. We show that the SUBTLEX-UK word frequencies explain more of the variance in the lexical decision times of the British Lexicon Project than the word frequencies based on the British National Corpus and the SUBTLEX-US frequencies. In addition to the word form frequencies, we also present measures of con-textual diversity part-of-speech specific word frequencies, word frequencies in children programmes, and word bigram frequencies, giving researchers of British English access to the full range of norms recently made available for other languages. Finally, we introduce a new measure of word frequency, the Zipf scale, which we hope will stop the current misunderstandings of the word frequency effect. Word frequency arguably is the most important variable in word recognition research (Brysbaert, Buchmeier, et al., 2011). Words that are often encountered are processed faster than words that are rarely encountered. Figure 1 shows the course of the word frequency effect. It includes mean stan-dardized reaction times (z-values) for samples of 1000 words going from an average frequency of 0.06 per million words (a log10 value of −1.2) to an average frequency of nearly 1000 per million words (a log10 value of nearly 3.0). The reaction times come from the English Lexicon Project (ELP; circles; Balota et al., 2007) and the British Lexicon Project (BLP; squares; Keuleers, Lacey, Rastle, &amp; Brysbaert, 2012), which contain lexical decision times to over 40 thousand words of American English (ELP) or over 28 thousand monosyllabic and disyllabic words of British English (BLP). The word frequencies come from the British National Corpus (BNC; Kilgarriff, 2006), a 100-million-word collection of samples of mostly written and some spoken language from a wide range of sources, collected between 1991 and 1994 and designed to represent a wide cross-section of British English at that time. Another database of word frequency norms often used for British English is the CELEX lexical database (Baayen, Piepenbrock, &amp; Gulikers, 1995), based on a corpus of 17.9 million words assembled along the same criteria as those for the BNC. Research in American English and other languages has suggested that word frequencies based on film and television subtitles are better pre-dictors of word processing times than word fre-quencies based on books and other written sources (Brysbaert, Buchmeier, et al., 2011;","author":[{"dropping-particle":"","family":"Heuven","given":"Walter J.B.","non-dropping-particle":"van","parse-names":false,"suffix":""},{"dropping-particle":"","family":"Mandera","given":"Pawel","non-dropping-particle":"","parse-names":false,"suffix":""},{"dropping-particle":"","family":"Keuleers","given":"Emmanuel","non-dropping-particle":"","parse-names":false,"suffix":""},{"dropping-particle":"","family":"Brysbaert","given":"Marc","non-dropping-particle":"","parse-names":false,"suffix":""}],"container-title":"Quarterly Journal of Experimental Psychology","id":"ITEM-1","issue":"6","issued":{"date-parts":[["2014"]]},"page":"1176-1190","publisher":"Taylor &amp; Francis","title":"SUBTLEX-UK: A new and improved word frequency database for British English","type":"article-journal","volume":"67"},"uris":["http://www.mendeley.com/documents/?uuid=2b29ff44-e6a6-445f-bee7-9d517c68decc"]}],"mendeley":{"formattedCitation":"(van Heuven et al., 2014)","plainTextFormattedCitation":"(van Heuven et al., 2014)","previouslyFormattedCitation":"(van Heuven et al., 2014)"},"properties":{"noteIndex":0},"schema":"https://github.com/citation-style-language/schema/raw/master/csl-citation.json"}</w:instrText>
      </w:r>
      <w:r w:rsidRPr="00975DA7">
        <w:rPr>
          <w:rFonts w:ascii="Times New Roman" w:hAnsi="Times New Roman" w:cs="Times New Roman"/>
        </w:rPr>
        <w:fldChar w:fldCharType="separate"/>
      </w:r>
      <w:r w:rsidR="00554B3E" w:rsidRPr="00975DA7">
        <w:rPr>
          <w:rFonts w:ascii="Times New Roman" w:hAnsi="Times New Roman" w:cs="Times New Roman"/>
          <w:noProof/>
        </w:rPr>
        <w:t>(van Heuven et al., 2014)</w:t>
      </w:r>
      <w:r w:rsidRPr="00975DA7">
        <w:rPr>
          <w:rFonts w:ascii="Times New Roman" w:hAnsi="Times New Roman" w:cs="Times New Roman"/>
        </w:rPr>
        <w:fldChar w:fldCharType="end"/>
      </w:r>
      <w:r w:rsidR="009420CD" w:rsidRPr="00975DA7">
        <w:rPr>
          <w:rFonts w:ascii="Times New Roman" w:hAnsi="Times New Roman" w:cs="Times New Roman"/>
        </w:rPr>
        <w:t xml:space="preserve"> to allow matching </w:t>
      </w:r>
      <w:r w:rsidR="00A472D8" w:rsidRPr="00975DA7">
        <w:rPr>
          <w:rFonts w:ascii="Times New Roman" w:hAnsi="Times New Roman" w:cs="Times New Roman"/>
        </w:rPr>
        <w:t>on psycholinguistic properties</w:t>
      </w:r>
      <w:r w:rsidRPr="00975DA7">
        <w:rPr>
          <w:rFonts w:ascii="Times New Roman" w:hAnsi="Times New Roman" w:cs="Times New Roman"/>
        </w:rPr>
        <w:t>.</w:t>
      </w:r>
      <w:r w:rsidR="00A472D8" w:rsidRPr="00975DA7">
        <w:rPr>
          <w:rFonts w:ascii="Times New Roman" w:hAnsi="Times New Roman" w:cs="Times New Roman"/>
        </w:rPr>
        <w:t xml:space="preserve"> Specific details for each task are provide</w:t>
      </w:r>
      <w:r w:rsidR="00036AA4" w:rsidRPr="00975DA7">
        <w:rPr>
          <w:rFonts w:ascii="Times New Roman" w:hAnsi="Times New Roman" w:cs="Times New Roman"/>
        </w:rPr>
        <w:t>d</w:t>
      </w:r>
      <w:r w:rsidR="00A472D8" w:rsidRPr="00975DA7">
        <w:rPr>
          <w:rFonts w:ascii="Times New Roman" w:hAnsi="Times New Roman" w:cs="Times New Roman"/>
        </w:rPr>
        <w:t xml:space="preserve"> below.</w:t>
      </w:r>
    </w:p>
    <w:p w14:paraId="5192C9AD" w14:textId="77777777" w:rsidR="0059177E" w:rsidRPr="00975DA7" w:rsidRDefault="0059177E" w:rsidP="00036AA4">
      <w:pPr>
        <w:spacing w:line="360" w:lineRule="auto"/>
        <w:rPr>
          <w:rFonts w:ascii="Times New Roman" w:hAnsi="Times New Roman" w:cs="Times New Roman"/>
        </w:rPr>
      </w:pPr>
    </w:p>
    <w:p w14:paraId="074FE4DE" w14:textId="43FF8CE8" w:rsidR="0059177E" w:rsidRPr="00975DA7" w:rsidRDefault="00FC5D50" w:rsidP="00036AA4">
      <w:pPr>
        <w:keepNext/>
        <w:spacing w:line="360" w:lineRule="auto"/>
        <w:rPr>
          <w:rFonts w:ascii="Times New Roman" w:hAnsi="Times New Roman" w:cs="Times New Roman"/>
          <w:i/>
        </w:rPr>
      </w:pPr>
      <w:r w:rsidRPr="00975DA7">
        <w:rPr>
          <w:rFonts w:ascii="Times New Roman" w:hAnsi="Times New Roman" w:cs="Times New Roman"/>
          <w:i/>
        </w:rPr>
        <w:lastRenderedPageBreak/>
        <w:t>2.</w:t>
      </w:r>
      <w:r w:rsidR="0059177E" w:rsidRPr="00975DA7">
        <w:rPr>
          <w:rFonts w:ascii="Times New Roman" w:hAnsi="Times New Roman" w:cs="Times New Roman"/>
          <w:i/>
        </w:rPr>
        <w:t xml:space="preserve">4.1. Word-Picture Matching </w:t>
      </w:r>
      <w:r w:rsidR="007A5F30" w:rsidRPr="00975DA7">
        <w:rPr>
          <w:rFonts w:ascii="Times New Roman" w:hAnsi="Times New Roman" w:cs="Times New Roman"/>
          <w:i/>
        </w:rPr>
        <w:t>Manipulating Strength of Association</w:t>
      </w:r>
    </w:p>
    <w:p w14:paraId="21976554" w14:textId="081C9C32" w:rsidR="0059177E" w:rsidRPr="00975DA7" w:rsidRDefault="0059177E" w:rsidP="00C01845">
      <w:pPr>
        <w:keepNext/>
        <w:spacing w:line="360" w:lineRule="auto"/>
        <w:rPr>
          <w:rFonts w:ascii="Times New Roman" w:hAnsi="Times New Roman" w:cs="Times New Roman"/>
        </w:rPr>
      </w:pPr>
      <w:r w:rsidRPr="00975DA7">
        <w:rPr>
          <w:rFonts w:ascii="Times New Roman" w:hAnsi="Times New Roman" w:cs="Times New Roman"/>
        </w:rPr>
        <w:t>Participants were asked to select the target word that was most strongly associated with a probe picture. The probe list included 60 coloured pictures (e.g., dog) which were paired with 60 strongly related (e.g., bone) and 60 weakly related targets (e.g., ball)</w:t>
      </w:r>
      <w:r w:rsidR="007A5F30" w:rsidRPr="00975DA7">
        <w:rPr>
          <w:rFonts w:ascii="Times New Roman" w:hAnsi="Times New Roman" w:cs="Times New Roman"/>
        </w:rPr>
        <w:t>,</w:t>
      </w:r>
      <w:r w:rsidRPr="00975DA7">
        <w:rPr>
          <w:rFonts w:ascii="Times New Roman" w:hAnsi="Times New Roman" w:cs="Times New Roman"/>
        </w:rPr>
        <w:t xml:space="preserve"> presented as written words. The strength of association between probe-target pairs was assessed using a 7-point Likert scale</w:t>
      </w:r>
      <w:r w:rsidR="007A5F30" w:rsidRPr="00975DA7">
        <w:rPr>
          <w:rFonts w:ascii="Times New Roman" w:hAnsi="Times New Roman" w:cs="Times New Roman"/>
        </w:rPr>
        <w:t xml:space="preserve"> and differed significantly between conditions (Table 1)</w:t>
      </w:r>
      <w:r w:rsidRPr="00975DA7">
        <w:rPr>
          <w:rFonts w:ascii="Times New Roman" w:hAnsi="Times New Roman" w:cs="Times New Roman"/>
        </w:rPr>
        <w:t xml:space="preserve">. There were no differences </w:t>
      </w:r>
      <w:r w:rsidR="007A5F30" w:rsidRPr="00975DA7">
        <w:rPr>
          <w:rFonts w:ascii="Times New Roman" w:hAnsi="Times New Roman" w:cs="Times New Roman"/>
        </w:rPr>
        <w:t xml:space="preserve">between strong and weak associations </w:t>
      </w:r>
      <w:r w:rsidRPr="00975DA7">
        <w:rPr>
          <w:rFonts w:ascii="Times New Roman" w:hAnsi="Times New Roman" w:cs="Times New Roman"/>
        </w:rPr>
        <w:t xml:space="preserve">in word length, familiarity, imageability or lexical frequency (Table 1). </w:t>
      </w:r>
      <w:r w:rsidR="009420CD" w:rsidRPr="00975DA7">
        <w:rPr>
          <w:rFonts w:ascii="Times New Roman" w:hAnsi="Times New Roman" w:cs="Times New Roman"/>
        </w:rPr>
        <w:t>These 120 trials were</w:t>
      </w:r>
      <w:r w:rsidRPr="00975DA7">
        <w:rPr>
          <w:rFonts w:ascii="Times New Roman" w:hAnsi="Times New Roman" w:cs="Times New Roman"/>
        </w:rPr>
        <w:t xml:space="preserve"> presented in four blocks of thirty trials each</w:t>
      </w:r>
      <w:r w:rsidR="007A5F30" w:rsidRPr="00975DA7">
        <w:rPr>
          <w:rFonts w:ascii="Times New Roman" w:hAnsi="Times New Roman" w:cs="Times New Roman"/>
        </w:rPr>
        <w:t>, and both strong and weak associations were presented in each block</w:t>
      </w:r>
      <w:r w:rsidRPr="00975DA7">
        <w:rPr>
          <w:rFonts w:ascii="Times New Roman" w:hAnsi="Times New Roman" w:cs="Times New Roman"/>
        </w:rPr>
        <w:t xml:space="preserve">. The order of trials within </w:t>
      </w:r>
      <w:r w:rsidR="007A5F30" w:rsidRPr="00975DA7">
        <w:rPr>
          <w:rFonts w:ascii="Times New Roman" w:hAnsi="Times New Roman" w:cs="Times New Roman"/>
        </w:rPr>
        <w:t>the</w:t>
      </w:r>
      <w:r w:rsidRPr="00975DA7">
        <w:rPr>
          <w:rFonts w:ascii="Times New Roman" w:hAnsi="Times New Roman" w:cs="Times New Roman"/>
        </w:rPr>
        <w:t xml:space="preserve"> block</w:t>
      </w:r>
      <w:r w:rsidR="007A5F30" w:rsidRPr="00975DA7">
        <w:rPr>
          <w:rFonts w:ascii="Times New Roman" w:hAnsi="Times New Roman" w:cs="Times New Roman"/>
        </w:rPr>
        <w:t>s</w:t>
      </w:r>
      <w:r w:rsidRPr="00975DA7">
        <w:rPr>
          <w:rFonts w:ascii="Times New Roman" w:hAnsi="Times New Roman" w:cs="Times New Roman"/>
        </w:rPr>
        <w:t xml:space="preserve"> was randomized across subjects. The presentation of the blocks was interleaved with blocks of the other semantic and non-semantic judgements.</w:t>
      </w:r>
    </w:p>
    <w:p w14:paraId="4CA0D28D" w14:textId="77777777" w:rsidR="00C01845" w:rsidRPr="00975DA7" w:rsidRDefault="00C01845" w:rsidP="00C01845">
      <w:pPr>
        <w:keepNext/>
        <w:spacing w:line="360" w:lineRule="auto"/>
        <w:rPr>
          <w:rFonts w:ascii="Times New Roman" w:hAnsi="Times New Roman" w:cs="Times New Roman"/>
        </w:rPr>
      </w:pPr>
    </w:p>
    <w:tbl>
      <w:tblPr>
        <w:tblStyle w:val="PlainTable22"/>
        <w:tblW w:w="9445" w:type="dxa"/>
        <w:tblLook w:val="04A0" w:firstRow="1" w:lastRow="0" w:firstColumn="1" w:lastColumn="0" w:noHBand="0" w:noVBand="1"/>
      </w:tblPr>
      <w:tblGrid>
        <w:gridCol w:w="1833"/>
        <w:gridCol w:w="1139"/>
        <w:gridCol w:w="1222"/>
        <w:gridCol w:w="718"/>
        <w:gridCol w:w="707"/>
        <w:gridCol w:w="1146"/>
        <w:gridCol w:w="1182"/>
        <w:gridCol w:w="789"/>
        <w:gridCol w:w="709"/>
      </w:tblGrid>
      <w:tr w:rsidR="0059177E" w:rsidRPr="00975DA7" w14:paraId="1FEA2902" w14:textId="77777777" w:rsidTr="00843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tcPr>
          <w:p w14:paraId="3488155E" w14:textId="77777777" w:rsidR="0059177E" w:rsidRPr="00975DA7" w:rsidRDefault="0059177E" w:rsidP="002E281B">
            <w:pPr>
              <w:keepNext/>
              <w:keepLines/>
              <w:jc w:val="center"/>
              <w:rPr>
                <w:rFonts w:ascii="Times New Roman" w:hAnsi="Times New Roman" w:cs="Times New Roman"/>
              </w:rPr>
            </w:pPr>
          </w:p>
        </w:tc>
        <w:tc>
          <w:tcPr>
            <w:tcW w:w="3786" w:type="dxa"/>
            <w:gridSpan w:val="4"/>
          </w:tcPr>
          <w:p w14:paraId="63A89781" w14:textId="1D43C9B6" w:rsidR="0059177E" w:rsidRPr="00975DA7" w:rsidRDefault="007A5F30" w:rsidP="002E281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Strength of association</w:t>
            </w:r>
          </w:p>
        </w:tc>
        <w:tc>
          <w:tcPr>
            <w:tcW w:w="3826" w:type="dxa"/>
            <w:gridSpan w:val="4"/>
          </w:tcPr>
          <w:p w14:paraId="55C92054" w14:textId="77777777" w:rsidR="0059177E" w:rsidRPr="00975DA7" w:rsidRDefault="0059177E" w:rsidP="002E281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Modality</w:t>
            </w:r>
          </w:p>
        </w:tc>
      </w:tr>
      <w:tr w:rsidR="0059177E" w:rsidRPr="00975DA7" w14:paraId="5B54DDC4" w14:textId="77777777" w:rsidTr="0084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Pr>
          <w:p w14:paraId="7533FA2E" w14:textId="77777777" w:rsidR="0059177E" w:rsidRPr="00975DA7" w:rsidRDefault="0059177E" w:rsidP="002E281B">
            <w:pPr>
              <w:keepNext/>
              <w:keepLines/>
              <w:jc w:val="center"/>
              <w:rPr>
                <w:rFonts w:ascii="Times New Roman" w:hAnsi="Times New Roman" w:cs="Times New Roman"/>
              </w:rPr>
            </w:pPr>
          </w:p>
        </w:tc>
        <w:tc>
          <w:tcPr>
            <w:tcW w:w="1139" w:type="dxa"/>
          </w:tcPr>
          <w:p w14:paraId="6611A959"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Strong</w:t>
            </w:r>
          </w:p>
        </w:tc>
        <w:tc>
          <w:tcPr>
            <w:tcW w:w="1222" w:type="dxa"/>
          </w:tcPr>
          <w:p w14:paraId="4E9AB83D"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Weak</w:t>
            </w:r>
          </w:p>
        </w:tc>
        <w:tc>
          <w:tcPr>
            <w:tcW w:w="718" w:type="dxa"/>
            <w:vMerge w:val="restart"/>
          </w:tcPr>
          <w:p w14:paraId="209ACE22"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t</w:t>
            </w:r>
          </w:p>
        </w:tc>
        <w:tc>
          <w:tcPr>
            <w:tcW w:w="707" w:type="dxa"/>
            <w:vMerge w:val="restart"/>
          </w:tcPr>
          <w:p w14:paraId="6DE2BD40"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Sig.</w:t>
            </w:r>
          </w:p>
        </w:tc>
        <w:tc>
          <w:tcPr>
            <w:tcW w:w="1146" w:type="dxa"/>
          </w:tcPr>
          <w:p w14:paraId="2E83245B"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Word</w:t>
            </w:r>
          </w:p>
        </w:tc>
        <w:tc>
          <w:tcPr>
            <w:tcW w:w="1182" w:type="dxa"/>
          </w:tcPr>
          <w:p w14:paraId="7816844E"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Picture</w:t>
            </w:r>
          </w:p>
        </w:tc>
        <w:tc>
          <w:tcPr>
            <w:tcW w:w="789" w:type="dxa"/>
            <w:vMerge w:val="restart"/>
          </w:tcPr>
          <w:p w14:paraId="12DEAEF5"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t</w:t>
            </w:r>
          </w:p>
        </w:tc>
        <w:tc>
          <w:tcPr>
            <w:tcW w:w="709" w:type="dxa"/>
            <w:vMerge w:val="restart"/>
          </w:tcPr>
          <w:p w14:paraId="03EAA1FB"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Sig.</w:t>
            </w:r>
          </w:p>
        </w:tc>
      </w:tr>
      <w:tr w:rsidR="0059177E" w:rsidRPr="00975DA7" w14:paraId="4D30E07E" w14:textId="77777777" w:rsidTr="00843F4F">
        <w:tc>
          <w:tcPr>
            <w:cnfStyle w:val="001000000000" w:firstRow="0" w:lastRow="0" w:firstColumn="1" w:lastColumn="0" w:oddVBand="0" w:evenVBand="0" w:oddHBand="0" w:evenHBand="0" w:firstRowFirstColumn="0" w:firstRowLastColumn="0" w:lastRowFirstColumn="0" w:lastRowLastColumn="0"/>
            <w:tcW w:w="1833" w:type="dxa"/>
            <w:vMerge/>
          </w:tcPr>
          <w:p w14:paraId="61CCA242" w14:textId="77777777" w:rsidR="0059177E" w:rsidRPr="00975DA7" w:rsidRDefault="0059177E" w:rsidP="002E281B">
            <w:pPr>
              <w:keepNext/>
              <w:keepLines/>
              <w:jc w:val="center"/>
              <w:rPr>
                <w:rFonts w:ascii="Times New Roman" w:hAnsi="Times New Roman" w:cs="Times New Roman"/>
              </w:rPr>
            </w:pPr>
          </w:p>
        </w:tc>
        <w:tc>
          <w:tcPr>
            <w:tcW w:w="2361" w:type="dxa"/>
            <w:gridSpan w:val="2"/>
          </w:tcPr>
          <w:p w14:paraId="0279BA10"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Mean (Standard errors)</w:t>
            </w:r>
          </w:p>
        </w:tc>
        <w:tc>
          <w:tcPr>
            <w:tcW w:w="718" w:type="dxa"/>
            <w:vMerge/>
          </w:tcPr>
          <w:p w14:paraId="12E3A380"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7" w:type="dxa"/>
            <w:vMerge/>
          </w:tcPr>
          <w:p w14:paraId="42041502"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28" w:type="dxa"/>
            <w:gridSpan w:val="2"/>
          </w:tcPr>
          <w:p w14:paraId="31A6BE5A"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Mean (Standard errors)</w:t>
            </w:r>
          </w:p>
        </w:tc>
        <w:tc>
          <w:tcPr>
            <w:tcW w:w="789" w:type="dxa"/>
            <w:vMerge/>
          </w:tcPr>
          <w:p w14:paraId="64E14741"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09" w:type="dxa"/>
            <w:vMerge/>
          </w:tcPr>
          <w:p w14:paraId="31776A2C"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9177E" w:rsidRPr="00975DA7" w14:paraId="0BDA621B" w14:textId="77777777" w:rsidTr="0084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72118B0" w14:textId="77777777" w:rsidR="0059177E" w:rsidRPr="00975DA7" w:rsidRDefault="0059177E" w:rsidP="002E281B">
            <w:pPr>
              <w:keepNext/>
              <w:keepLines/>
              <w:jc w:val="center"/>
              <w:rPr>
                <w:rFonts w:ascii="Times New Roman" w:hAnsi="Times New Roman" w:cs="Times New Roman"/>
              </w:rPr>
            </w:pPr>
            <w:r w:rsidRPr="00975DA7">
              <w:rPr>
                <w:rFonts w:ascii="Times New Roman" w:hAnsi="Times New Roman" w:cs="Times New Roman"/>
              </w:rPr>
              <w:t>Word Length</w:t>
            </w:r>
          </w:p>
        </w:tc>
        <w:tc>
          <w:tcPr>
            <w:tcW w:w="1139" w:type="dxa"/>
          </w:tcPr>
          <w:p w14:paraId="7BBD0CBF"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6.43 (.39)</w:t>
            </w:r>
          </w:p>
        </w:tc>
        <w:tc>
          <w:tcPr>
            <w:tcW w:w="1222" w:type="dxa"/>
          </w:tcPr>
          <w:p w14:paraId="1E9F0269"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6.6 (.34)</w:t>
            </w:r>
          </w:p>
        </w:tc>
        <w:tc>
          <w:tcPr>
            <w:tcW w:w="718" w:type="dxa"/>
          </w:tcPr>
          <w:p w14:paraId="552C35E8"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-.16</w:t>
            </w:r>
          </w:p>
        </w:tc>
        <w:tc>
          <w:tcPr>
            <w:tcW w:w="707" w:type="dxa"/>
          </w:tcPr>
          <w:p w14:paraId="1C1CF53A"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.873</w:t>
            </w:r>
          </w:p>
        </w:tc>
        <w:tc>
          <w:tcPr>
            <w:tcW w:w="1146" w:type="dxa"/>
          </w:tcPr>
          <w:p w14:paraId="1DF873C9"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6.08 (.31)</w:t>
            </w:r>
          </w:p>
        </w:tc>
        <w:tc>
          <w:tcPr>
            <w:tcW w:w="1182" w:type="dxa"/>
          </w:tcPr>
          <w:p w14:paraId="5F7EA4F5"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6.4 (.32)</w:t>
            </w:r>
          </w:p>
        </w:tc>
        <w:tc>
          <w:tcPr>
            <w:tcW w:w="789" w:type="dxa"/>
          </w:tcPr>
          <w:p w14:paraId="188B3B06"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-.69</w:t>
            </w:r>
          </w:p>
        </w:tc>
        <w:tc>
          <w:tcPr>
            <w:tcW w:w="709" w:type="dxa"/>
          </w:tcPr>
          <w:p w14:paraId="30641DDD"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.490</w:t>
            </w:r>
          </w:p>
        </w:tc>
      </w:tr>
      <w:tr w:rsidR="0059177E" w:rsidRPr="00975DA7" w14:paraId="47C9B06B" w14:textId="77777777" w:rsidTr="00843F4F">
        <w:tc>
          <w:tcPr>
            <w:cnfStyle w:val="001000000000" w:firstRow="0" w:lastRow="0" w:firstColumn="1" w:lastColumn="0" w:oddVBand="0" w:evenVBand="0" w:oddHBand="0" w:evenHBand="0" w:firstRowFirstColumn="0" w:firstRowLastColumn="0" w:lastRowFirstColumn="0" w:lastRowLastColumn="0"/>
            <w:tcW w:w="1833" w:type="dxa"/>
          </w:tcPr>
          <w:p w14:paraId="53F26FD6" w14:textId="77777777" w:rsidR="0059177E" w:rsidRPr="00975DA7" w:rsidRDefault="0059177E" w:rsidP="002E281B">
            <w:pPr>
              <w:keepNext/>
              <w:keepLines/>
              <w:jc w:val="center"/>
              <w:rPr>
                <w:rFonts w:ascii="Times New Roman" w:hAnsi="Times New Roman" w:cs="Times New Roman"/>
              </w:rPr>
            </w:pPr>
            <w:r w:rsidRPr="00975DA7">
              <w:rPr>
                <w:rFonts w:ascii="Times New Roman" w:hAnsi="Times New Roman" w:cs="Times New Roman"/>
              </w:rPr>
              <w:t>Lexical Frequency</w:t>
            </w:r>
          </w:p>
        </w:tc>
        <w:tc>
          <w:tcPr>
            <w:tcW w:w="1139" w:type="dxa"/>
          </w:tcPr>
          <w:p w14:paraId="16B95044"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13564.8 (1887)</w:t>
            </w:r>
          </w:p>
        </w:tc>
        <w:tc>
          <w:tcPr>
            <w:tcW w:w="1222" w:type="dxa"/>
          </w:tcPr>
          <w:p w14:paraId="5E490D47"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11233.6 (1805)</w:t>
            </w:r>
          </w:p>
        </w:tc>
        <w:tc>
          <w:tcPr>
            <w:tcW w:w="718" w:type="dxa"/>
          </w:tcPr>
          <w:p w14:paraId="338F4F0F"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.89</w:t>
            </w:r>
          </w:p>
        </w:tc>
        <w:tc>
          <w:tcPr>
            <w:tcW w:w="707" w:type="dxa"/>
          </w:tcPr>
          <w:p w14:paraId="1BD8CC5E"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.374</w:t>
            </w:r>
          </w:p>
        </w:tc>
        <w:tc>
          <w:tcPr>
            <w:tcW w:w="1146" w:type="dxa"/>
          </w:tcPr>
          <w:p w14:paraId="6724E46C"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4619.8 (823.1)</w:t>
            </w:r>
          </w:p>
        </w:tc>
        <w:tc>
          <w:tcPr>
            <w:tcW w:w="1182" w:type="dxa"/>
          </w:tcPr>
          <w:p w14:paraId="0D5BFEDF"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6458.7 (827.5)</w:t>
            </w:r>
          </w:p>
        </w:tc>
        <w:tc>
          <w:tcPr>
            <w:tcW w:w="789" w:type="dxa"/>
          </w:tcPr>
          <w:p w14:paraId="1D4D5940"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-1.56</w:t>
            </w:r>
          </w:p>
        </w:tc>
        <w:tc>
          <w:tcPr>
            <w:tcW w:w="709" w:type="dxa"/>
          </w:tcPr>
          <w:p w14:paraId="3B65B47B"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.122</w:t>
            </w:r>
          </w:p>
        </w:tc>
      </w:tr>
      <w:tr w:rsidR="0059177E" w:rsidRPr="00975DA7" w14:paraId="2A61A152" w14:textId="77777777" w:rsidTr="0084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F81DBA1" w14:textId="77777777" w:rsidR="0059177E" w:rsidRPr="00975DA7" w:rsidRDefault="0059177E" w:rsidP="002E281B">
            <w:pPr>
              <w:keepNext/>
              <w:keepLines/>
              <w:jc w:val="center"/>
              <w:rPr>
                <w:rFonts w:ascii="Times New Roman" w:hAnsi="Times New Roman" w:cs="Times New Roman"/>
              </w:rPr>
            </w:pPr>
            <w:r w:rsidRPr="00975DA7">
              <w:rPr>
                <w:rFonts w:ascii="Times New Roman" w:hAnsi="Times New Roman" w:cs="Times New Roman"/>
              </w:rPr>
              <w:t>Familiarity</w:t>
            </w:r>
          </w:p>
        </w:tc>
        <w:tc>
          <w:tcPr>
            <w:tcW w:w="1139" w:type="dxa"/>
          </w:tcPr>
          <w:p w14:paraId="53D37266"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6.02 (.09)</w:t>
            </w:r>
          </w:p>
        </w:tc>
        <w:tc>
          <w:tcPr>
            <w:tcW w:w="1222" w:type="dxa"/>
          </w:tcPr>
          <w:p w14:paraId="71D894C2"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6.12 (.08)</w:t>
            </w:r>
          </w:p>
        </w:tc>
        <w:tc>
          <w:tcPr>
            <w:tcW w:w="718" w:type="dxa"/>
          </w:tcPr>
          <w:p w14:paraId="1CCFD149"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-.88</w:t>
            </w:r>
          </w:p>
        </w:tc>
        <w:tc>
          <w:tcPr>
            <w:tcW w:w="707" w:type="dxa"/>
          </w:tcPr>
          <w:p w14:paraId="6B9CAC44"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.381</w:t>
            </w:r>
          </w:p>
        </w:tc>
        <w:tc>
          <w:tcPr>
            <w:tcW w:w="1146" w:type="dxa"/>
          </w:tcPr>
          <w:p w14:paraId="7489A93B"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6.04 (.1)</w:t>
            </w:r>
          </w:p>
        </w:tc>
        <w:tc>
          <w:tcPr>
            <w:tcW w:w="1182" w:type="dxa"/>
          </w:tcPr>
          <w:p w14:paraId="602E3870"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5.98 (.1)</w:t>
            </w:r>
          </w:p>
        </w:tc>
        <w:tc>
          <w:tcPr>
            <w:tcW w:w="789" w:type="dxa"/>
          </w:tcPr>
          <w:p w14:paraId="68381234"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.40</w:t>
            </w:r>
          </w:p>
        </w:tc>
        <w:tc>
          <w:tcPr>
            <w:tcW w:w="709" w:type="dxa"/>
          </w:tcPr>
          <w:p w14:paraId="4A1F35D9"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.688</w:t>
            </w:r>
          </w:p>
        </w:tc>
      </w:tr>
      <w:tr w:rsidR="0059177E" w:rsidRPr="00975DA7" w14:paraId="5B7836CF" w14:textId="77777777" w:rsidTr="00843F4F">
        <w:tc>
          <w:tcPr>
            <w:cnfStyle w:val="001000000000" w:firstRow="0" w:lastRow="0" w:firstColumn="1" w:lastColumn="0" w:oddVBand="0" w:evenVBand="0" w:oddHBand="0" w:evenHBand="0" w:firstRowFirstColumn="0" w:firstRowLastColumn="0" w:lastRowFirstColumn="0" w:lastRowLastColumn="0"/>
            <w:tcW w:w="1833" w:type="dxa"/>
          </w:tcPr>
          <w:p w14:paraId="7E76984F" w14:textId="77777777" w:rsidR="0059177E" w:rsidRPr="00975DA7" w:rsidRDefault="0059177E" w:rsidP="002E281B">
            <w:pPr>
              <w:keepNext/>
              <w:keepLines/>
              <w:jc w:val="center"/>
              <w:rPr>
                <w:rFonts w:ascii="Times New Roman" w:hAnsi="Times New Roman" w:cs="Times New Roman"/>
              </w:rPr>
            </w:pPr>
            <w:r w:rsidRPr="00975DA7">
              <w:rPr>
                <w:rFonts w:ascii="Times New Roman" w:hAnsi="Times New Roman" w:cs="Times New Roman"/>
              </w:rPr>
              <w:t>Imageability</w:t>
            </w:r>
          </w:p>
        </w:tc>
        <w:tc>
          <w:tcPr>
            <w:tcW w:w="1139" w:type="dxa"/>
          </w:tcPr>
          <w:p w14:paraId="26BE0084"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5.16 (.13)</w:t>
            </w:r>
          </w:p>
        </w:tc>
        <w:tc>
          <w:tcPr>
            <w:tcW w:w="1222" w:type="dxa"/>
          </w:tcPr>
          <w:p w14:paraId="62269E7E"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4.96 (.13)</w:t>
            </w:r>
          </w:p>
        </w:tc>
        <w:tc>
          <w:tcPr>
            <w:tcW w:w="718" w:type="dxa"/>
          </w:tcPr>
          <w:p w14:paraId="7E9B401B"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1.07</w:t>
            </w:r>
          </w:p>
        </w:tc>
        <w:tc>
          <w:tcPr>
            <w:tcW w:w="707" w:type="dxa"/>
          </w:tcPr>
          <w:p w14:paraId="24F74113"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.287</w:t>
            </w:r>
          </w:p>
        </w:tc>
        <w:tc>
          <w:tcPr>
            <w:tcW w:w="1146" w:type="dxa"/>
          </w:tcPr>
          <w:p w14:paraId="3C8833B8"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4.96 (.13)</w:t>
            </w:r>
          </w:p>
        </w:tc>
        <w:tc>
          <w:tcPr>
            <w:tcW w:w="1182" w:type="dxa"/>
          </w:tcPr>
          <w:p w14:paraId="5034EE10"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4.97 (.12)</w:t>
            </w:r>
          </w:p>
        </w:tc>
        <w:tc>
          <w:tcPr>
            <w:tcW w:w="789" w:type="dxa"/>
          </w:tcPr>
          <w:p w14:paraId="199DBBF3"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-.07</w:t>
            </w:r>
          </w:p>
        </w:tc>
        <w:tc>
          <w:tcPr>
            <w:tcW w:w="709" w:type="dxa"/>
          </w:tcPr>
          <w:p w14:paraId="53400E7A" w14:textId="77777777" w:rsidR="0059177E" w:rsidRPr="00975DA7" w:rsidRDefault="0059177E" w:rsidP="002E281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.948</w:t>
            </w:r>
          </w:p>
        </w:tc>
      </w:tr>
      <w:tr w:rsidR="0059177E" w:rsidRPr="00975DA7" w14:paraId="4089D053" w14:textId="77777777" w:rsidTr="00843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DDB90E5" w14:textId="77777777" w:rsidR="0059177E" w:rsidRPr="00975DA7" w:rsidRDefault="0059177E" w:rsidP="002E281B">
            <w:pPr>
              <w:keepNext/>
              <w:keepLines/>
              <w:jc w:val="center"/>
              <w:rPr>
                <w:rFonts w:ascii="Times New Roman" w:hAnsi="Times New Roman" w:cs="Times New Roman"/>
              </w:rPr>
            </w:pPr>
            <w:r w:rsidRPr="00975DA7">
              <w:rPr>
                <w:rFonts w:ascii="Times New Roman" w:hAnsi="Times New Roman" w:cs="Times New Roman"/>
              </w:rPr>
              <w:t>Semantic Association</w:t>
            </w:r>
          </w:p>
        </w:tc>
        <w:tc>
          <w:tcPr>
            <w:tcW w:w="1139" w:type="dxa"/>
          </w:tcPr>
          <w:p w14:paraId="5B527808"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6.02 (.07)</w:t>
            </w:r>
          </w:p>
        </w:tc>
        <w:tc>
          <w:tcPr>
            <w:tcW w:w="1222" w:type="dxa"/>
          </w:tcPr>
          <w:p w14:paraId="05D3B8C1"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3.32 (.10)</w:t>
            </w:r>
          </w:p>
        </w:tc>
        <w:tc>
          <w:tcPr>
            <w:tcW w:w="718" w:type="dxa"/>
          </w:tcPr>
          <w:p w14:paraId="26638288"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21.74</w:t>
            </w:r>
          </w:p>
        </w:tc>
        <w:tc>
          <w:tcPr>
            <w:tcW w:w="707" w:type="dxa"/>
          </w:tcPr>
          <w:p w14:paraId="52935AA5"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.000</w:t>
            </w:r>
          </w:p>
        </w:tc>
        <w:tc>
          <w:tcPr>
            <w:tcW w:w="1146" w:type="dxa"/>
          </w:tcPr>
          <w:p w14:paraId="7A095177"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4.80 (.14)</w:t>
            </w:r>
          </w:p>
        </w:tc>
        <w:tc>
          <w:tcPr>
            <w:tcW w:w="1182" w:type="dxa"/>
          </w:tcPr>
          <w:p w14:paraId="52874727"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4.95 (.15)</w:t>
            </w:r>
          </w:p>
        </w:tc>
        <w:tc>
          <w:tcPr>
            <w:tcW w:w="789" w:type="dxa"/>
          </w:tcPr>
          <w:p w14:paraId="2AC18600"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-.76</w:t>
            </w:r>
          </w:p>
        </w:tc>
        <w:tc>
          <w:tcPr>
            <w:tcW w:w="709" w:type="dxa"/>
          </w:tcPr>
          <w:p w14:paraId="5D3E77E1" w14:textId="77777777" w:rsidR="0059177E" w:rsidRPr="00975DA7" w:rsidRDefault="0059177E" w:rsidP="002E281B">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.447</w:t>
            </w:r>
          </w:p>
        </w:tc>
      </w:tr>
    </w:tbl>
    <w:p w14:paraId="0209D4FA" w14:textId="50473DB5" w:rsidR="0059177E" w:rsidRPr="00975DA7" w:rsidRDefault="00C01845" w:rsidP="0059177E">
      <w:pPr>
        <w:rPr>
          <w:rFonts w:ascii="Times New Roman" w:hAnsi="Times New Roman" w:cs="Times New Roman"/>
        </w:rPr>
      </w:pPr>
      <w:r w:rsidRPr="00975DA7">
        <w:rPr>
          <w:rFonts w:ascii="Times New Roman" w:hAnsi="Times New Roman" w:cs="Times New Roman"/>
        </w:rPr>
        <w:t>Table 1. Psycholinguistic variables for our semantic battery by strength of association and modality.</w:t>
      </w:r>
    </w:p>
    <w:p w14:paraId="0CCD396B" w14:textId="77777777" w:rsidR="00C01845" w:rsidRPr="00975DA7" w:rsidRDefault="00C01845" w:rsidP="00036AA4">
      <w:pPr>
        <w:keepNext/>
        <w:spacing w:line="360" w:lineRule="auto"/>
        <w:rPr>
          <w:rFonts w:ascii="Times New Roman" w:hAnsi="Times New Roman" w:cs="Times New Roman"/>
          <w:i/>
        </w:rPr>
      </w:pPr>
    </w:p>
    <w:p w14:paraId="4E3C1F9C" w14:textId="5817315A" w:rsidR="0059177E" w:rsidRPr="00975DA7" w:rsidRDefault="00FC5D50" w:rsidP="00036AA4">
      <w:pPr>
        <w:keepNext/>
        <w:spacing w:line="360" w:lineRule="auto"/>
        <w:rPr>
          <w:rFonts w:ascii="Times New Roman" w:hAnsi="Times New Roman" w:cs="Times New Roman"/>
          <w:i/>
        </w:rPr>
      </w:pPr>
      <w:r w:rsidRPr="00975DA7">
        <w:rPr>
          <w:rFonts w:ascii="Times New Roman" w:hAnsi="Times New Roman" w:cs="Times New Roman"/>
          <w:i/>
        </w:rPr>
        <w:t>2.</w:t>
      </w:r>
      <w:r w:rsidR="0059177E" w:rsidRPr="00975DA7">
        <w:rPr>
          <w:rFonts w:ascii="Times New Roman" w:hAnsi="Times New Roman" w:cs="Times New Roman"/>
          <w:i/>
        </w:rPr>
        <w:t xml:space="preserve">4.2. </w:t>
      </w:r>
      <w:r w:rsidR="007A5F30" w:rsidRPr="00975DA7">
        <w:rPr>
          <w:rFonts w:ascii="Times New Roman" w:hAnsi="Times New Roman" w:cs="Times New Roman"/>
          <w:i/>
        </w:rPr>
        <w:t xml:space="preserve">Input Modality: </w:t>
      </w:r>
      <w:r w:rsidR="0059177E" w:rsidRPr="00975DA7">
        <w:rPr>
          <w:rFonts w:ascii="Times New Roman" w:hAnsi="Times New Roman" w:cs="Times New Roman"/>
          <w:i/>
        </w:rPr>
        <w:t xml:space="preserve">Picture-Picture </w:t>
      </w:r>
      <w:r w:rsidR="007A5F30" w:rsidRPr="00975DA7">
        <w:rPr>
          <w:rFonts w:ascii="Times New Roman" w:hAnsi="Times New Roman" w:cs="Times New Roman"/>
          <w:i/>
        </w:rPr>
        <w:t>vs.</w:t>
      </w:r>
      <w:r w:rsidR="0059177E" w:rsidRPr="00975DA7">
        <w:rPr>
          <w:rFonts w:ascii="Times New Roman" w:hAnsi="Times New Roman" w:cs="Times New Roman"/>
          <w:i/>
        </w:rPr>
        <w:t xml:space="preserve"> Word-Word Association Matching</w:t>
      </w:r>
    </w:p>
    <w:p w14:paraId="54C30637" w14:textId="5F396CE5" w:rsidR="00A472D8" w:rsidRPr="00975DA7" w:rsidRDefault="00A472D8" w:rsidP="00036AA4">
      <w:pPr>
        <w:keepNext/>
        <w:spacing w:line="360" w:lineRule="auto"/>
        <w:rPr>
          <w:rFonts w:ascii="Times New Roman" w:hAnsi="Times New Roman" w:cs="Times New Roman"/>
        </w:rPr>
      </w:pPr>
      <w:r w:rsidRPr="00975DA7">
        <w:rPr>
          <w:rFonts w:ascii="Times New Roman" w:hAnsi="Times New Roman" w:cs="Times New Roman"/>
        </w:rPr>
        <w:t xml:space="preserve">Additional judgements of </w:t>
      </w:r>
      <w:r w:rsidR="007A5F30" w:rsidRPr="00975DA7">
        <w:rPr>
          <w:rFonts w:ascii="Times New Roman" w:hAnsi="Times New Roman" w:cs="Times New Roman"/>
        </w:rPr>
        <w:t xml:space="preserve">semantic association were presented </w:t>
      </w:r>
      <w:r w:rsidRPr="00975DA7">
        <w:rPr>
          <w:rFonts w:ascii="Times New Roman" w:hAnsi="Times New Roman" w:cs="Times New Roman"/>
        </w:rPr>
        <w:t>using</w:t>
      </w:r>
      <w:r w:rsidR="007A5F30" w:rsidRPr="00975DA7">
        <w:rPr>
          <w:rFonts w:ascii="Times New Roman" w:hAnsi="Times New Roman" w:cs="Times New Roman"/>
        </w:rPr>
        <w:t xml:space="preserve"> </w:t>
      </w:r>
      <w:r w:rsidRPr="00975DA7">
        <w:rPr>
          <w:rFonts w:ascii="Times New Roman" w:hAnsi="Times New Roman" w:cs="Times New Roman"/>
        </w:rPr>
        <w:t xml:space="preserve">only </w:t>
      </w:r>
      <w:r w:rsidR="007A5F30" w:rsidRPr="00975DA7">
        <w:rPr>
          <w:rFonts w:ascii="Times New Roman" w:hAnsi="Times New Roman" w:cs="Times New Roman"/>
        </w:rPr>
        <w:t xml:space="preserve">written words, </w:t>
      </w:r>
      <w:r w:rsidRPr="00975DA7">
        <w:rPr>
          <w:rFonts w:ascii="Times New Roman" w:hAnsi="Times New Roman" w:cs="Times New Roman"/>
        </w:rPr>
        <w:t>or</w:t>
      </w:r>
      <w:r w:rsidR="007A5F30" w:rsidRPr="00975DA7">
        <w:rPr>
          <w:rFonts w:ascii="Times New Roman" w:hAnsi="Times New Roman" w:cs="Times New Roman"/>
        </w:rPr>
        <w:t xml:space="preserve"> coloured pictures</w:t>
      </w:r>
      <w:r w:rsidRPr="00975DA7">
        <w:rPr>
          <w:rFonts w:ascii="Times New Roman" w:hAnsi="Times New Roman" w:cs="Times New Roman"/>
        </w:rPr>
        <w:t xml:space="preserve"> (60 trials for each)</w:t>
      </w:r>
      <w:r w:rsidR="007A5F30" w:rsidRPr="00975DA7">
        <w:rPr>
          <w:rFonts w:ascii="Times New Roman" w:hAnsi="Times New Roman" w:cs="Times New Roman"/>
        </w:rPr>
        <w:t xml:space="preserve">. </w:t>
      </w:r>
      <w:r w:rsidRPr="00975DA7">
        <w:rPr>
          <w:rFonts w:ascii="Times New Roman" w:hAnsi="Times New Roman" w:cs="Times New Roman"/>
        </w:rPr>
        <w:t xml:space="preserve">In these trials, </w:t>
      </w:r>
      <w:r w:rsidR="0059177E" w:rsidRPr="00975DA7">
        <w:rPr>
          <w:rFonts w:ascii="Times New Roman" w:hAnsi="Times New Roman" w:cs="Times New Roman"/>
        </w:rPr>
        <w:t xml:space="preserve">the probe and the response options were </w:t>
      </w:r>
      <w:r w:rsidRPr="00975DA7">
        <w:rPr>
          <w:rFonts w:ascii="Times New Roman" w:hAnsi="Times New Roman" w:cs="Times New Roman"/>
        </w:rPr>
        <w:t xml:space="preserve">all </w:t>
      </w:r>
      <w:r w:rsidR="0059177E" w:rsidRPr="00975DA7">
        <w:rPr>
          <w:rFonts w:ascii="Times New Roman" w:hAnsi="Times New Roman" w:cs="Times New Roman"/>
        </w:rPr>
        <w:t xml:space="preserve">presented in the same modality (i.e., word probes were presented with word responses). </w:t>
      </w:r>
      <w:r w:rsidRPr="00975DA7">
        <w:rPr>
          <w:rFonts w:ascii="Times New Roman" w:hAnsi="Times New Roman" w:cs="Times New Roman"/>
        </w:rPr>
        <w:t>The two sets of target concepts did not differ</w:t>
      </w:r>
      <w:r w:rsidR="0059177E" w:rsidRPr="00975DA7">
        <w:rPr>
          <w:rFonts w:ascii="Times New Roman" w:hAnsi="Times New Roman" w:cs="Times New Roman"/>
        </w:rPr>
        <w:t xml:space="preserve"> in terms of mean word length, familiarity, imageability, lexical frequency and s</w:t>
      </w:r>
      <w:r w:rsidRPr="00975DA7">
        <w:rPr>
          <w:rFonts w:ascii="Times New Roman" w:hAnsi="Times New Roman" w:cs="Times New Roman"/>
        </w:rPr>
        <w:t>trength of association (Table 1</w:t>
      </w:r>
      <w:r w:rsidR="0059177E" w:rsidRPr="00975DA7">
        <w:rPr>
          <w:rFonts w:ascii="Times New Roman" w:hAnsi="Times New Roman" w:cs="Times New Roman"/>
        </w:rPr>
        <w:t>).</w:t>
      </w:r>
      <w:r w:rsidRPr="00975DA7">
        <w:rPr>
          <w:rFonts w:ascii="Times New Roman" w:hAnsi="Times New Roman" w:cs="Times New Roman"/>
        </w:rPr>
        <w:t xml:space="preserve"> The task was split in four blocks of 30 trials each. </w:t>
      </w:r>
      <w:r w:rsidR="00646C51" w:rsidRPr="00975DA7">
        <w:rPr>
          <w:rFonts w:ascii="Times New Roman" w:hAnsi="Times New Roman" w:cs="Times New Roman"/>
        </w:rPr>
        <w:t xml:space="preserve">The order of trials within the blocks was randomized across subjects. </w:t>
      </w:r>
      <w:r w:rsidRPr="00975DA7">
        <w:rPr>
          <w:rFonts w:ascii="Times New Roman" w:hAnsi="Times New Roman" w:cs="Times New Roman"/>
        </w:rPr>
        <w:t>The presentation of the blocks was interleaved with the blocks of the other tasks.</w:t>
      </w:r>
    </w:p>
    <w:p w14:paraId="4A0E06FA" w14:textId="77777777" w:rsidR="0059177E" w:rsidRPr="00975DA7" w:rsidRDefault="0059177E" w:rsidP="00036AA4">
      <w:pPr>
        <w:spacing w:line="360" w:lineRule="auto"/>
        <w:rPr>
          <w:rFonts w:ascii="Times New Roman" w:hAnsi="Times New Roman" w:cs="Times New Roman"/>
        </w:rPr>
      </w:pPr>
    </w:p>
    <w:p w14:paraId="172E93A4" w14:textId="2CA59C38" w:rsidR="0059177E" w:rsidRPr="00975DA7" w:rsidRDefault="00FC5D50" w:rsidP="00036AA4">
      <w:pPr>
        <w:keepNext/>
        <w:spacing w:line="360" w:lineRule="auto"/>
        <w:rPr>
          <w:rFonts w:ascii="Times New Roman" w:hAnsi="Times New Roman" w:cs="Times New Roman"/>
          <w:i/>
        </w:rPr>
      </w:pPr>
      <w:r w:rsidRPr="00975DA7">
        <w:rPr>
          <w:rFonts w:ascii="Times New Roman" w:hAnsi="Times New Roman" w:cs="Times New Roman"/>
          <w:i/>
        </w:rPr>
        <w:t>2.</w:t>
      </w:r>
      <w:r w:rsidR="0059177E" w:rsidRPr="00975DA7">
        <w:rPr>
          <w:rFonts w:ascii="Times New Roman" w:hAnsi="Times New Roman" w:cs="Times New Roman"/>
          <w:i/>
        </w:rPr>
        <w:t>4.3. Non-semantic Perceptual Matching Task</w:t>
      </w:r>
    </w:p>
    <w:p w14:paraId="70E2C6DA" w14:textId="7121DE1F" w:rsidR="0059177E" w:rsidRPr="00975DA7" w:rsidRDefault="0059177E" w:rsidP="00036AA4">
      <w:pPr>
        <w:keepNext/>
        <w:spacing w:line="360" w:lineRule="auto"/>
        <w:rPr>
          <w:rFonts w:ascii="Times New Roman" w:hAnsi="Times New Roman" w:cs="Times New Roman"/>
        </w:rPr>
      </w:pPr>
      <w:r w:rsidRPr="00975DA7">
        <w:rPr>
          <w:rFonts w:ascii="Times New Roman" w:hAnsi="Times New Roman" w:cs="Times New Roman"/>
        </w:rPr>
        <w:t xml:space="preserve">This perceptual control task had decision-making demands that were similar to the semantic judgments </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{"citationItems":[{"id":"ITEM-1","itemData":{"DOI":"10.1162/jocn_a_00244","ISBN":"1530-8898 (Electronic)\\r0898-929X (Linking)","ISSN":"0898-929X","PMID":"22621260","abstract":"Most contemporary theories of semantic memory assume that concepts are formed from the distillation of information arising in distinct sensory and verbal modalities. The neural basis of this distillation or convergence of information was the focus of this study. Specifically, we explored two commonly posed hypotheses: (a) that the human middle temporal gyrus (MTG) provides a crucial semantic interface given the fact that it interposes auditory and visual processing streams and (b) that the anterior temporal region-especially its ventral surface (vATL)-provides a critical region for the multimodal integration of information. By utilizing distortion-corrected fMRI and an established semantic association assessment (commonly used in neuropsychological investigations), we compared the activation patterns observed for both the verbal and nonverbal versions of the same task. The results are consistent with the two hypotheses simultaneously: Both MTG and vATL are activated in common for word and picture semantic processing. Additional planned, ROI analyses show that this result follows from two principal axes of convergence in the temporal lobe: both lateral (toward MTG) and longitudinal (toward the anterior temporal lobe).","author":[{"dropping-particle":"","family":"Visser","given":"Maya","non-dropping-particle":"","parse-names":false,"suffix":""},{"dropping-particle":"","family":"Jefferies","given":"Elizabeth","non-dropping-particle":"","parse-names":false,"suffix":""},{"dropping-particle":"V.","family":"Embleton","given":"Karl","non-dropping-particle":"","parse-names":false,"suffix":""},{"dropping-particle":"","family":"Lambon Ralph","given":"Matthew a.","non-dropping-particle":"","parse-names":false,"suffix":""}],"container-title":"Journal of Cognitive Neuroscience","id":"ITEM-1","issue":"8","issued":{"date-parts":[["2012"]]},"page":"1766-1778","title":"Both the Middle Temporal Gyrus and the Ventral Anterior Temporal Area Are Crucial for Multimodal Semantic Processing: Distortion-corrected fMRI Evidence for a Double Gradient of Information Convergence in the Temporal Lobes","type":"article-journal","volume":"24"},"uris":["http://www.mendeley.com/documents/?uuid=b18e165e-0378-4393-9790-57878bcd39e1"]}],"mendeley":{"formattedCitation":"(Visser et al., 2012)","manualFormatting":"(cf. Visser et al., 2012)","plainTextFormattedCitation":"(Visser et al., 2012)","previouslyFormattedCitation":"(Visser et al., 2012)"},"properties":{"noteIndex":0},"schema":"https://github.com/citation-style-language/schema/raw/master/csl-citation.json"}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(cf. Visser et al., 2012)</w:t>
      </w:r>
      <w:r w:rsidRPr="00975DA7">
        <w:rPr>
          <w:rFonts w:ascii="Times New Roman" w:hAnsi="Times New Roman" w:cs="Times New Roman"/>
        </w:rPr>
        <w:fldChar w:fldCharType="end"/>
      </w:r>
      <w:r w:rsidRPr="00975DA7">
        <w:rPr>
          <w:rFonts w:ascii="Times New Roman" w:hAnsi="Times New Roman" w:cs="Times New Roman"/>
        </w:rPr>
        <w:t xml:space="preserve">. The stimuli were 60 pixelated and scrambled black-and-white </w:t>
      </w:r>
      <w:r w:rsidRPr="00975DA7">
        <w:rPr>
          <w:rFonts w:ascii="Times New Roman" w:hAnsi="Times New Roman" w:cs="Times New Roman"/>
        </w:rPr>
        <w:lastRenderedPageBreak/>
        <w:t>photographs of faces. Participants were asked to select the target that was ident</w:t>
      </w:r>
      <w:r w:rsidR="009A4035" w:rsidRPr="00975DA7">
        <w:rPr>
          <w:rFonts w:ascii="Times New Roman" w:hAnsi="Times New Roman" w:cs="Times New Roman"/>
        </w:rPr>
        <w:t>ical to the probe; the distracto</w:t>
      </w:r>
      <w:r w:rsidRPr="00975DA7">
        <w:rPr>
          <w:rFonts w:ascii="Times New Roman" w:hAnsi="Times New Roman" w:cs="Times New Roman"/>
        </w:rPr>
        <w:t>rs were the same images rotated by 180° or 270°</w:t>
      </w:r>
      <w:r w:rsidR="00FC5D50" w:rsidRPr="00975DA7">
        <w:rPr>
          <w:rFonts w:ascii="Times New Roman" w:hAnsi="Times New Roman" w:cs="Times New Roman"/>
        </w:rPr>
        <w:t xml:space="preserve"> (see Figure 1 for an example)</w:t>
      </w:r>
      <w:r w:rsidRPr="00975DA7">
        <w:rPr>
          <w:rFonts w:ascii="Times New Roman" w:hAnsi="Times New Roman" w:cs="Times New Roman"/>
        </w:rPr>
        <w:t>. The task was split in two blocks of 30 trials each. The presentation of the blocks was interleaved with the blocks of the other tasks.</w:t>
      </w:r>
    </w:p>
    <w:p w14:paraId="46F395F3" w14:textId="77777777" w:rsidR="0059177E" w:rsidRPr="00975DA7" w:rsidRDefault="0059177E" w:rsidP="00036AA4">
      <w:pPr>
        <w:spacing w:line="360" w:lineRule="auto"/>
        <w:rPr>
          <w:rFonts w:ascii="Times New Roman" w:hAnsi="Times New Roman" w:cs="Times New Roman"/>
        </w:rPr>
      </w:pPr>
    </w:p>
    <w:p w14:paraId="09CC75C1" w14:textId="4BD1A5AC" w:rsidR="0059177E" w:rsidRPr="00975DA7" w:rsidRDefault="00FC5D50" w:rsidP="00036AA4">
      <w:pPr>
        <w:keepNext/>
        <w:spacing w:line="360" w:lineRule="auto"/>
        <w:rPr>
          <w:rFonts w:ascii="Times New Roman" w:hAnsi="Times New Roman" w:cs="Times New Roman"/>
        </w:rPr>
      </w:pPr>
      <w:r w:rsidRPr="00975DA7">
        <w:rPr>
          <w:rFonts w:ascii="Times New Roman" w:hAnsi="Times New Roman" w:cs="Times New Roman"/>
        </w:rPr>
        <w:t>2.</w:t>
      </w:r>
      <w:r w:rsidR="0059177E" w:rsidRPr="00975DA7">
        <w:rPr>
          <w:rFonts w:ascii="Times New Roman" w:hAnsi="Times New Roman" w:cs="Times New Roman"/>
        </w:rPr>
        <w:t>5. Neuroimaging</w:t>
      </w:r>
    </w:p>
    <w:p w14:paraId="03CE24DD" w14:textId="1F27397D" w:rsidR="0059177E" w:rsidRPr="00975DA7" w:rsidRDefault="00FC5D50" w:rsidP="00036AA4">
      <w:pPr>
        <w:keepNext/>
        <w:spacing w:line="360" w:lineRule="auto"/>
        <w:rPr>
          <w:rFonts w:ascii="Times New Roman" w:hAnsi="Times New Roman" w:cs="Times New Roman"/>
        </w:rPr>
      </w:pPr>
      <w:r w:rsidRPr="00975DA7">
        <w:rPr>
          <w:rFonts w:ascii="Times New Roman" w:hAnsi="Times New Roman" w:cs="Times New Roman"/>
          <w:i/>
        </w:rPr>
        <w:t>2.</w:t>
      </w:r>
      <w:r w:rsidR="0059177E" w:rsidRPr="00975DA7">
        <w:rPr>
          <w:rFonts w:ascii="Times New Roman" w:hAnsi="Times New Roman" w:cs="Times New Roman"/>
          <w:i/>
        </w:rPr>
        <w:t>5.1. MRI data acquisition</w:t>
      </w:r>
    </w:p>
    <w:p w14:paraId="1668EB29" w14:textId="77777777" w:rsidR="0059177E" w:rsidRPr="00975DA7" w:rsidRDefault="0059177E" w:rsidP="00036AA4">
      <w:pPr>
        <w:keepNext/>
        <w:spacing w:line="360" w:lineRule="auto"/>
        <w:rPr>
          <w:rFonts w:ascii="Times New Roman" w:hAnsi="Times New Roman" w:cs="Times New Roman"/>
        </w:rPr>
      </w:pPr>
      <w:r w:rsidRPr="00975DA7">
        <w:rPr>
          <w:rFonts w:ascii="Times New Roman" w:hAnsi="Times New Roman" w:cs="Times New Roman"/>
        </w:rPr>
        <w:t>MRI data was acquired using a 3T GE HDx Excite Magnetic Resonance Imaging (MRI) system utilising an eight-channel phased array head coil tuned to 127.4 MHz, at the York Neuroimaging Centre, University of York. Structural MRI acquisition in all participants was based on a T1-weighted 3D fast spoiled gradient echo sequence (TR = 7.8 s, TE = minimum full, flip angle = 20°, matrix size = 256 × 256, 176 slices, voxel size = 1.13 × 1.13 × 1 mm). A nine-minute resting state fMRI scan was carried out using single-shot 2D gradient-echo-planar imaging (TR = 3s, TE = minimum full, flip angle = 90°, matrix size = 64 × 64, 60 slices, voxel size = 3 × 3 × 3 mm</w:t>
      </w:r>
      <w:r w:rsidRPr="00975DA7">
        <w:rPr>
          <w:rFonts w:ascii="Times New Roman" w:hAnsi="Times New Roman" w:cs="Times New Roman"/>
          <w:vertAlign w:val="superscript"/>
        </w:rPr>
        <w:t>3</w:t>
      </w:r>
      <w:r w:rsidRPr="00975DA7">
        <w:rPr>
          <w:rFonts w:ascii="Times New Roman" w:hAnsi="Times New Roman" w:cs="Times New Roman"/>
        </w:rPr>
        <w:t>, 180 volumes). Participants were asked to passively view a fixation cross and not to think of anything in particular during the resting-state scan. A FLAIR scan with the same orientation as the functional scans was collected to improve co-registration between subject-specific structural and functional scans.</w:t>
      </w:r>
    </w:p>
    <w:p w14:paraId="52123233" w14:textId="77777777" w:rsidR="0059177E" w:rsidRPr="00975DA7" w:rsidRDefault="0059177E" w:rsidP="00036AA4">
      <w:pPr>
        <w:spacing w:line="360" w:lineRule="auto"/>
        <w:rPr>
          <w:rFonts w:ascii="Times New Roman" w:hAnsi="Times New Roman" w:cs="Times New Roman"/>
        </w:rPr>
      </w:pPr>
    </w:p>
    <w:p w14:paraId="1F1CB21C" w14:textId="13529BAE" w:rsidR="0059177E" w:rsidRPr="00975DA7" w:rsidRDefault="00FC5D50" w:rsidP="00036AA4">
      <w:pPr>
        <w:keepNext/>
        <w:spacing w:line="360" w:lineRule="auto"/>
        <w:rPr>
          <w:rFonts w:ascii="Times New Roman" w:hAnsi="Times New Roman" w:cs="Times New Roman"/>
          <w:color w:val="FF0000"/>
        </w:rPr>
      </w:pPr>
      <w:r w:rsidRPr="00975DA7">
        <w:rPr>
          <w:rFonts w:ascii="Times New Roman" w:hAnsi="Times New Roman" w:cs="Times New Roman"/>
          <w:i/>
        </w:rPr>
        <w:t>2.</w:t>
      </w:r>
      <w:r w:rsidR="0059177E" w:rsidRPr="00975DA7">
        <w:rPr>
          <w:rFonts w:ascii="Times New Roman" w:hAnsi="Times New Roman" w:cs="Times New Roman"/>
          <w:i/>
        </w:rPr>
        <w:t>5.2. Pre-Processing</w:t>
      </w:r>
    </w:p>
    <w:p w14:paraId="2AE99F02" w14:textId="20B30296" w:rsidR="0059177E" w:rsidRPr="00975DA7" w:rsidRDefault="0059177E" w:rsidP="00036AA4">
      <w:pPr>
        <w:keepNext/>
        <w:spacing w:line="360" w:lineRule="auto"/>
        <w:rPr>
          <w:rFonts w:ascii="Times New Roman" w:hAnsi="Times New Roman" w:cs="Times New Roman"/>
          <w:strike/>
        </w:rPr>
      </w:pPr>
      <w:r w:rsidRPr="00975DA7">
        <w:rPr>
          <w:rFonts w:ascii="Times New Roman" w:hAnsi="Times New Roman" w:cs="Times New Roman"/>
        </w:rPr>
        <w:t>All pre-processing of resting-state data used FMRIB S</w:t>
      </w:r>
      <w:r w:rsidR="003F6CAB" w:rsidRPr="00975DA7">
        <w:rPr>
          <w:rFonts w:ascii="Times New Roman" w:hAnsi="Times New Roman" w:cs="Times New Roman"/>
        </w:rPr>
        <w:t>oftware Library (FSL version 4.1</w:t>
      </w:r>
      <w:r w:rsidRPr="00975DA7">
        <w:rPr>
          <w:rFonts w:ascii="Times New Roman" w:hAnsi="Times New Roman" w:cs="Times New Roman"/>
        </w:rPr>
        <w:t xml:space="preserve">, </w:t>
      </w:r>
      <w:hyperlink r:id="rId12" w:history="1">
        <w:r w:rsidR="00341103" w:rsidRPr="00975DA7">
          <w:rPr>
            <w:rStyle w:val="Hyperlink"/>
            <w:rFonts w:ascii="Times New Roman" w:hAnsi="Times New Roman" w:cs="Times New Roman"/>
          </w:rPr>
          <w:t>http://fsl.fmrib.ox.ac.uk/fsl/</w:t>
        </w:r>
      </w:hyperlink>
      <w:r w:rsidRPr="00975DA7">
        <w:rPr>
          <w:rFonts w:ascii="Times New Roman" w:hAnsi="Times New Roman" w:cs="Times New Roman"/>
        </w:rPr>
        <w:t xml:space="preserve">). The Brain Extraction Tool (BET) was used to extract individual FLAIR and T1 weighted structural brain images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{"citationItems":[{"id":"ITEM-1","itemData":{"DOI":"10.1002/hbm.10062","ISBN":"1065-9471 (Print) 1065-9471 (Linking)","ISSN":"10659471","PMID":"12391568","abstract":"An automated method for segmenting magnetic resonance head images into brain and non-brain has been developed. It is very robust and accurate and has been tested on thousands of data sets from a wide variety of scanners and taken with a wide variety of MR sequences. The method, Brain Extraction Tool (BET), uses a deformable model that evolves to fit the brain's surface by the application of a set of locally adaptive model forces. The method is very fast and requires no preregistration or other pre-processing before being applied. We describe the new method and give examples of results and the results of extensive quantitative testing against \"gold-standard\" hand segmentations, and two other popular automated methods.","author":[{"dropping-particle":"","family":"Smith","given":"Stephen M.","non-dropping-particle":"","parse-names":false,"suffix":""}],"container-title":"Human Brain Mapping","id":"ITEM-1","issue":"3","issued":{"date-parts":[["2002"]]},"page":"143-155","title":"Fast robust automated brain extraction","type":"article-journal","volume":"17"},"uris":["http://www.mendeley.com/documents/?uuid=62efae96-e7ae-4389-9946-a14d1c3b7ecb"]}],"mendeley":{"formattedCitation":"(Smith, 2002)","plainTextFormattedCitation":"(Smith, 2002)","previouslyFormattedCitation":"(Smith, 2002)"},"properties":{"noteIndex":0},"schema":"https://github.com/citation-style-language/schema/raw/master/csl-citation.json"}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(Smith, 2002)</w:t>
      </w:r>
      <w:r w:rsidRPr="00975DA7">
        <w:rPr>
          <w:rFonts w:ascii="Times New Roman" w:hAnsi="Times New Roman" w:cs="Times New Roman"/>
        </w:rPr>
        <w:fldChar w:fldCharType="end"/>
      </w:r>
      <w:r w:rsidRPr="00975DA7">
        <w:rPr>
          <w:rFonts w:ascii="Times New Roman" w:hAnsi="Times New Roman" w:cs="Times New Roman"/>
        </w:rPr>
        <w:t xml:space="preserve">. Structural images were linearly co-registered to the MNI 152 standard template using FMRIB's Linear Image Registration Tool </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{"citationItems":[{"id":"ITEM-1","itemData":{"DOI":"10.1016/S1361-8415(01)00036-6","ISBN":"1441865222739","ISSN":"13618415","PMID":"11516708","abstract":"Registration is an important component of medical image analysis and for analysing large amounts of data it is desirable to have fully automatic registration methods. Many different automatic registration methods have been proposed to date, and almost all share a common mathematical framework - one of optimising a cost function. To date little attention has been focused on the optimisation method itself, even though the success of most registration methods hinges on the quality of this optimisation. This paper examines the assumptions underlying the problem of registration for brain images using inter-modal voxel similarity measures. It is demonstrated that the use of local optimisation methods together with the standard multi-resolution approach is not sufficient to reliably find the global minimum. To address this problem, a global optimisation method is proposed that is specifically tailored to this form of registration. A full discussion of all the necessary implementation details is included as this is an important part of any practical method. Furthermore, results are presented for inter-modal, inter-subject registration experiments that show that the proposed method is more reliable at finding the global minimum than several of the currently available registration packages in common usage. © 2001 Elsevier Science B.V. All rights reserved.","author":[{"dropping-particle":"","family":"Jenkinson","given":"Mark","non-dropping-particle":"","parse-names":false,"suffix":""},{"dropping-particle":"","family":"Smith","given":"Stephen","non-dropping-particle":"","parse-names":false,"suffix":""}],"container-title":"Medical Image Analysis","id":"ITEM-1","issue":"2","issued":{"date-parts":[["2001"]]},"page":"143-156","title":"A global optimisation method for robust affine registration of brain images","type":"article-journal","volume":"5"},"uris":["http://www.mendeley.com/documents/?uuid=d56f2b36-e1bd-4134-bbcf-353ac0e29f01"]},{"id":"ITEM-2","itemData":{"DOI":"10.1016/S1053-8119(02)91132-8","ISBN":"1053-8119 (Print) 1053-8119 (Linking)","ISSN":"10538119","PMID":"12377157","abstract":"Linear registration and motion correction are important components of structural and functional brain image analysis. Most modern methods optimize some intensity-based cost function to determine the best registration. To date, little attention has been focused on the optimization method itself, even though the success of most registration methods hinges on the quality of this optimization. This paper examines the optimization process in detail and demonstrates that the commonly used multiresolution local optimization methods can, and do, get trapped in local minima. To address this problem, two approaches are taken: (1) to apodize the cost function and (2) to employ a novel hybrid global-local optimization method. This new optimization method is specifically designed for registering whole brain images. It substantially reduces the likelihood of producing misregistrations due to being trapped by local minima. The increased robustness of the method, compared to other commonly used methods, is demonstrated by a consistency test. In addition, the accuracy of the registration is demonstrated by a series of experiments with motion correction. These motion correction experiments also investigate how the results are affected by different cost functions and interpolation methods. ?? 2002 Elsevier Science (USA).","author":[{"dropping-particle":"","family":"Jenkinson","given":"Mark","non-dropping-particle":"","parse-names":false,"suffix":""},{"dropping-particle":"","family":"Bannister","given":"Peter","non-dropping-particle":"","parse-names":false,"suffix":""},{"dropping-particle":"","family":"Brady","given":"Michael","non-dropping-particle":"","parse-names":false,"suffix":""},{"dropping-particle":"","family":"Smith","given":"Stephen","non-dropping-particle":"","parse-names":false,"suffix":""}],"container-title":"NeuroImage","id":"ITEM-2","issue":"2","issued":{"date-parts":[["2002"]]},"page":"825-841","title":"Improved optimization for the robust and accurate linear registration and motion correction of brain images","type":"article-journal","volume":"17"},"uris":["http://www.mendeley.com/documents/?uuid=ca4b36b6-a736-4019-8eb5-1fe027bfce1f"]}],"mendeley":{"formattedCitation":"(Jenkinson et al., 2002; Jenkinson and Smith, 2001)","manualFormatting":"(FLIRT, Jenkinson et al., 2002; Jenkinson and Smith, 2001)","plainTextFormattedCitation":"(Jenkinson et al., 2002; Jenkinson and Smith, 2001)","previouslyFormattedCitation":"(Jenkinson et al., 2002; Jenkinson and Smith, 2001)"},"properties":{"noteIndex":0},"schema":"https://github.com/citation-style-language/schema/raw/master/csl-citation.json"}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(FLIRT, Jenkinson et al., 2002; Jenkinson and Smith, 2001)</w:t>
      </w:r>
      <w:r w:rsidRPr="00975DA7">
        <w:rPr>
          <w:rFonts w:ascii="Times New Roman" w:hAnsi="Times New Roman" w:cs="Times New Roman"/>
        </w:rPr>
        <w:fldChar w:fldCharType="end"/>
      </w:r>
      <w:r w:rsidRPr="00975DA7">
        <w:rPr>
          <w:rFonts w:ascii="Times New Roman" w:hAnsi="Times New Roman" w:cs="Times New Roman"/>
        </w:rPr>
        <w:t xml:space="preserve">. FMRI Expert Analysis Tool (FEAT Version 5.98, part of FSL) was used to perform the following standard analysis steps: (1) correcting for head movement using MCFLIRT </w:t>
      </w:r>
      <w:r w:rsidRPr="00975DA7">
        <w:rPr>
          <w:rFonts w:ascii="Times New Roman" w:hAnsi="Times New Roman" w:cs="Times New Roman"/>
        </w:rPr>
        <w:fldChar w:fldCharType="begin" w:fldLock="1"/>
      </w:r>
      <w:r w:rsidRPr="00975DA7">
        <w:rPr>
          <w:rFonts w:ascii="Times New Roman" w:hAnsi="Times New Roman" w:cs="Times New Roman"/>
        </w:rPr>
        <w:instrText>ADDIN CSL_CITATION {"citationItems":[{"id":"ITEM-1","itemData":{"DOI":"10.1016/S1053-8119(02)91132-8","ISBN":"1053-8119 (Print) 1053-8119 (Linking)","ISSN":"10538119","PMID":"12377157","abstract":"Linear registration and motion correction are important components of structural and functional brain image analysis. Most modern methods optimize some intensity-based cost function to determine the best registration. To date, little attention has been focused on the optimization method itself, even though the success of most registration methods hinges on the quality of this optimization. This paper examines the optimization process in detail and demonstrates that the commonly used multiresolution local optimization methods can, and do, get trapped in local minima. To address this problem, two approaches are taken: (1) to apodize the cost function and (2) to employ a novel hybrid global-local optimization method. This new optimization method is specifically designed for registering whole brain images. It substantially reduces the likelihood of producing misregistrations due to being trapped by local minima. The increased robustness of the method, compared to other commonly used methods, is demonstrated by a consistency test. In addition, the accuracy of the registration is demonstrated by a series of experiments with motion correction. These motion correction experiments also investigate how the results are affected by different cost functions and interpolation methods. ?? 2002 Elsevier Science (USA).","author":[{"dropping-particle":"","family":"Jenkinson","given":"Mark","non-dropping-particle":"","parse-names":false,"suffix":""},{"dropping-particle":"","family":"Bannister","given":"Peter","non-dropping-particle":"","parse-names":false,"suffix":""},{"dropping-particle":"","family":"Brady","given":"Michael","non-dropping-particle":"","parse-names":false,"suffix":""},{"dropping-particle":"","family":"Smith","given":"Stephen","non-dropping-particle":"","parse-names":false,"suffix":""}],"container-title":"NeuroImage","id":"ITEM-1","issue":"2","issued":{"date-parts":[["2002"]]},"page":"825-841","title":"Improved optimization for the robust and accurate linear registration and motion correction of brain images","type":"article-journal","volume":"17"},"uris":["http://www.mendeley.com/documents/?uuid=ca4b36b6-a736-4019-8eb5-1fe027bfce1f"]}],"mendeley":{"formattedCitation":"(Jenkinson et al., 2002)","plainTextFormattedCitation":"(Jenkinson et al., 2002)","previouslyFormattedCitation":"(Jenkinson et al., 2002)"},"properties":{"noteIndex":0},"schema":"https://github.com/citation-style-language/schema/raw/master/csl-citation.json"}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(Jenkinson et al., 2002)</w:t>
      </w:r>
      <w:r w:rsidRPr="00975DA7">
        <w:rPr>
          <w:rFonts w:ascii="Times New Roman" w:hAnsi="Times New Roman" w:cs="Times New Roman"/>
        </w:rPr>
        <w:fldChar w:fldCharType="end"/>
      </w:r>
      <w:r w:rsidRPr="00975DA7">
        <w:rPr>
          <w:rFonts w:ascii="Times New Roman" w:hAnsi="Times New Roman" w:cs="Times New Roman"/>
        </w:rPr>
        <w:t xml:space="preserve">; (2) slice timing correction using Fourier space time-series phase-shifting; (3) spatial smoothing with a 6mm full-width half-maximum (FWHM) Gaussian kernel; (4) grand mean intensity normalisation of the entire 4D dataset by a single multiplicative factor; (5) high pass (sigma = 100s) and low pass (sigma = 2.8s) temporal filtering (Gaussian-weighted least-squares straight line fitting). </w:t>
      </w:r>
    </w:p>
    <w:p w14:paraId="5F85EA77" w14:textId="77777777" w:rsidR="0059177E" w:rsidRPr="00975DA7" w:rsidRDefault="0059177E" w:rsidP="00036AA4">
      <w:pPr>
        <w:spacing w:line="360" w:lineRule="auto"/>
        <w:rPr>
          <w:rFonts w:ascii="Times New Roman" w:hAnsi="Times New Roman" w:cs="Times New Roman"/>
        </w:rPr>
      </w:pPr>
    </w:p>
    <w:p w14:paraId="2F80AFCC" w14:textId="75AE9E31" w:rsidR="0059177E" w:rsidRPr="00975DA7" w:rsidRDefault="003F6CAB" w:rsidP="00036AA4">
      <w:pPr>
        <w:keepNext/>
        <w:spacing w:line="360" w:lineRule="auto"/>
        <w:rPr>
          <w:rFonts w:ascii="Times New Roman" w:hAnsi="Times New Roman" w:cs="Times New Roman"/>
          <w:color w:val="FF0000"/>
        </w:rPr>
      </w:pPr>
      <w:r w:rsidRPr="00975DA7">
        <w:rPr>
          <w:rFonts w:ascii="Times New Roman" w:hAnsi="Times New Roman" w:cs="Times New Roman"/>
          <w:i/>
        </w:rPr>
        <w:lastRenderedPageBreak/>
        <w:t>2.</w:t>
      </w:r>
      <w:r w:rsidR="0059177E" w:rsidRPr="00975DA7">
        <w:rPr>
          <w:rFonts w:ascii="Times New Roman" w:hAnsi="Times New Roman" w:cs="Times New Roman"/>
          <w:i/>
        </w:rPr>
        <w:t>5.3. ROI Selection</w:t>
      </w:r>
    </w:p>
    <w:p w14:paraId="76E4F368" w14:textId="3A982116" w:rsidR="0059177E" w:rsidRPr="00975DA7" w:rsidRDefault="0059177E" w:rsidP="00036AA4">
      <w:pPr>
        <w:keepNext/>
        <w:spacing w:line="360" w:lineRule="auto"/>
        <w:rPr>
          <w:rFonts w:ascii="Times New Roman" w:hAnsi="Times New Roman" w:cs="Times New Roman"/>
        </w:rPr>
      </w:pPr>
      <w:r w:rsidRPr="00975DA7">
        <w:rPr>
          <w:rFonts w:ascii="Times New Roman" w:hAnsi="Times New Roman" w:cs="Times New Roman"/>
        </w:rPr>
        <w:t>Figure 3 (</w:t>
      </w:r>
      <w:r w:rsidR="00ED3BFA" w:rsidRPr="00975DA7">
        <w:rPr>
          <w:rFonts w:ascii="Times New Roman" w:hAnsi="Times New Roman" w:cs="Times New Roman"/>
        </w:rPr>
        <w:t>top row</w:t>
      </w:r>
      <w:r w:rsidRPr="00975DA7">
        <w:rPr>
          <w:rFonts w:ascii="Times New Roman" w:hAnsi="Times New Roman" w:cs="Times New Roman"/>
        </w:rPr>
        <w:t xml:space="preserve">) shows an automated meta-analysis for the term “semantic”. There is a strongly left-lateralised response </w:t>
      </w:r>
      <w:r w:rsidR="00ED3BFA" w:rsidRPr="00975DA7">
        <w:rPr>
          <w:rFonts w:ascii="Times New Roman" w:hAnsi="Times New Roman" w:cs="Times New Roman"/>
        </w:rPr>
        <w:t xml:space="preserve">to semantic tasks </w:t>
      </w:r>
      <w:r w:rsidRPr="00975DA7">
        <w:rPr>
          <w:rFonts w:ascii="Times New Roman" w:hAnsi="Times New Roman" w:cs="Times New Roman"/>
        </w:rPr>
        <w:t>in four key regions: ATL, AG, IFG and pMTG</w:t>
      </w:r>
      <w:r w:rsidR="00ED3BFA" w:rsidRPr="00975DA7">
        <w:rPr>
          <w:rFonts w:ascii="Times New Roman" w:hAnsi="Times New Roman" w:cs="Times New Roman"/>
        </w:rPr>
        <w:t>, which we investigated in this study</w:t>
      </w:r>
      <w:r w:rsidRPr="00975DA7">
        <w:rPr>
          <w:rFonts w:ascii="Times New Roman" w:hAnsi="Times New Roman" w:cs="Times New Roman"/>
        </w:rPr>
        <w:t>. Semantic cognition also elicits a response in dorsal anterior cingulate; however, since our focus was on hemispheric asymmetry, we excluded this medial region.</w:t>
      </w:r>
    </w:p>
    <w:p w14:paraId="36B1B00A" w14:textId="0B5D22EA" w:rsidR="002530E3" w:rsidRPr="00975DA7" w:rsidRDefault="0059177E" w:rsidP="00036AA4">
      <w:pPr>
        <w:spacing w:line="360" w:lineRule="auto"/>
        <w:rPr>
          <w:rFonts w:ascii="Times New Roman" w:hAnsi="Times New Roman" w:cs="Times New Roman"/>
        </w:rPr>
      </w:pPr>
      <w:r w:rsidRPr="00975DA7">
        <w:rPr>
          <w:rFonts w:ascii="Times New Roman" w:hAnsi="Times New Roman" w:cs="Times New Roman"/>
        </w:rPr>
        <w:t xml:space="preserve">We </w:t>
      </w:r>
      <w:r w:rsidR="00ED3BFA" w:rsidRPr="00975DA7">
        <w:rPr>
          <w:rFonts w:ascii="Times New Roman" w:hAnsi="Times New Roman" w:cs="Times New Roman"/>
        </w:rPr>
        <w:t>identified co-ordinates for</w:t>
      </w:r>
      <w:r w:rsidRPr="00975DA7">
        <w:rPr>
          <w:rFonts w:ascii="Times New Roman" w:hAnsi="Times New Roman" w:cs="Times New Roman"/>
        </w:rPr>
        <w:t xml:space="preserve"> our ROIs from three neuroimaging meta-analyses of semantic cognition. (i) </w:t>
      </w:r>
      <w:r w:rsidR="00ED3BFA" w:rsidRPr="00975DA7">
        <w:rPr>
          <w:rFonts w:ascii="Times New Roman" w:hAnsi="Times New Roman" w:cs="Times New Roman"/>
        </w:rPr>
        <w:t>W</w:t>
      </w:r>
      <w:r w:rsidRPr="00975DA7">
        <w:rPr>
          <w:rFonts w:ascii="Times New Roman" w:hAnsi="Times New Roman" w:cs="Times New Roman"/>
        </w:rPr>
        <w:t xml:space="preserve">e selected an ATL seed from an average of peaks </w:t>
      </w:r>
      <w:r w:rsidR="00ED3BFA" w:rsidRPr="00975DA7">
        <w:rPr>
          <w:rFonts w:ascii="Times New Roman" w:hAnsi="Times New Roman" w:cs="Times New Roman"/>
        </w:rPr>
        <w:t>across</w:t>
      </w:r>
      <w:r w:rsidRPr="00975DA7">
        <w:rPr>
          <w:rFonts w:ascii="Times New Roman" w:hAnsi="Times New Roman" w:cs="Times New Roman"/>
        </w:rPr>
        <w:t xml:space="preserve"> eight studies that included a semantic &gt; non-semantic</w:t>
      </w:r>
      <w:r w:rsidR="00ED3BFA" w:rsidRPr="00975DA7">
        <w:rPr>
          <w:rFonts w:ascii="Times New Roman" w:hAnsi="Times New Roman" w:cs="Times New Roman"/>
        </w:rPr>
        <w:t xml:space="preserve"> contrast </w:t>
      </w:r>
      <w:r w:rsidRPr="00975DA7">
        <w:rPr>
          <w:rFonts w:ascii="Times New Roman" w:hAnsi="Times New Roman" w:cs="Times New Roman"/>
        </w:rPr>
        <w:fldChar w:fldCharType="begin" w:fldLock="1"/>
      </w:r>
      <w:r w:rsidR="00450643" w:rsidRPr="00975DA7">
        <w:rPr>
          <w:rFonts w:ascii="Times New Roman" w:hAnsi="Times New Roman" w:cs="Times New Roman"/>
        </w:rPr>
        <w:instrText>ADDIN CSL_CITATION {"citationItems":[{"id":"ITEM-1","itemData":{"DOI":"10.1098/rstb.2017.0136","ISBN":"0000000159","ISSN":"1471-2970","abstract":"The anterior temporal lobes (ATLs) play a key role in conceptual knowledge representation. The hub-and-spoke theory suggests that the contribution of the ATLs to semantic representation is (a) transmodal, i.e. integrating information from multiple sensorimotor and verbal modalities, and (b) pancategorical, representing concepts from all categories. Another literature, however, suggests that this region’s responses are modality- and categoryselective; prominent examples include category selectivity for socially relevant concepts and face recognition. The predictions of each approach have never been directly compared. We used data from three studies to compare category-selective responses within the ATLs. Study 1 compared ATL responses to famous people versus another conceptual category (landmarks) from visual versus auditory inputs. Study 2 compared ATL responses to famous people from pictorial and written word inputs. Study 3 compared ATL responses to a different kind of socially relevant stimuli, namely abstract non-person-related words, in order to ascertain whether ATL subregions are engaged for social concepts more generally or only for personrelated knowledge. Across all three studies a dominant bilateral ventral ATL cluster responded to all categories in all modalities. Anterior to this ‘pan-category’ transmodal region, a second cluster responded more weakly overall yet selectively for people, but did so equally for spoken names and faces (Study 1). A third region in the anterior superior temporal gyrus responded selectively to abstract socially relevant words (Study 3), but did not respond to concrete socially relevant words (i.e. written names; Study 2). These findings can be accommodated by the graded hub-and-spoke model of concept representation. On this view, the ventral ATL is the centre point of a bilateral ATL hub, which contributes to conceptual representation through transmodal distillation of information arising from multiple modality-specific association cortices. Partial specialization occurs across the graded ATL hub as a consequence of gradedly differential connectivity across the region. This article is part of the theme issue ‘Varieties of abstract concepts: development, use and representation in the brain’","author":[{"dropping-particle":"","family":"Rice","given":"Grace E","non-dropping-particle":"","parse-names":false,"suffix":""},{"dropping-particle":"","family":"Hoffman","given":"Paul","non-dropping-particle":"","parse-names":false,"suffix":""},{"dropping-particle":"","family":"Binney","given":"Richard J","non-dropping-particle":"","parse-names":false,"suffix":""},{"dropping-particle":"","family":"Lambon Ralph","given":"Matthew A","non-dropping-particle":"","parse-names":false,"suffix":""}],"container-title":"Philos Trans R Soc Lond B Biol Sci","edition":"2018/06/18","id":"ITEM-1","issue":"1752","issued":{"date-parts":[["2018","8","5"]]},"language":"eng","page":"20170136","publisher":"The Royal Society","title":"Concrete versus abstract forms of social concept: an fMRI comparison of knowledge about people versus social terms","type":"article-journal","volume":"373"},"uris":["http://www.mendeley.com/documents/?uuid=7345185b-873f-4ca2-96cf-9e0c22339652"]}],"mendeley":{"formattedCitation":"(Rice et al., 2018b)","plainTextFormattedCitation":"(Rice et al., 2018b)","previouslyFormattedCitation":"(Rice et al., 2018b)"},"properties":{"noteIndex":0},"schema":"https://github.com/citation-style-language/schema/raw/master/csl-citation.json"}</w:instrText>
      </w:r>
      <w:r w:rsidRPr="00975DA7">
        <w:rPr>
          <w:rFonts w:ascii="Times New Roman" w:hAnsi="Times New Roman" w:cs="Times New Roman"/>
        </w:rPr>
        <w:fldChar w:fldCharType="separate"/>
      </w:r>
      <w:r w:rsidR="006C5629" w:rsidRPr="00975DA7">
        <w:rPr>
          <w:rFonts w:ascii="Times New Roman" w:hAnsi="Times New Roman" w:cs="Times New Roman"/>
          <w:noProof/>
        </w:rPr>
        <w:t>(Rice et al., 2018b)</w:t>
      </w:r>
      <w:r w:rsidRPr="00975DA7">
        <w:rPr>
          <w:rFonts w:ascii="Times New Roman" w:hAnsi="Times New Roman" w:cs="Times New Roman"/>
        </w:rPr>
        <w:fldChar w:fldCharType="end"/>
      </w:r>
      <w:r w:rsidR="00D70CC5" w:rsidRPr="00975DA7">
        <w:rPr>
          <w:rFonts w:ascii="Times New Roman" w:hAnsi="Times New Roman" w:cs="Times New Roman"/>
        </w:rPr>
        <w:t xml:space="preserve">, providing a </w:t>
      </w:r>
      <w:r w:rsidRPr="00975DA7">
        <w:rPr>
          <w:rFonts w:ascii="Times New Roman" w:hAnsi="Times New Roman" w:cs="Times New Roman"/>
        </w:rPr>
        <w:t xml:space="preserve">peak response in left ventral ATL (MNI coordinates -41, -15, -31). (ii) Left AG also commonly shows activation during semantic tasks, </w:t>
      </w:r>
      <w:r w:rsidR="00D70CC5" w:rsidRPr="00975DA7">
        <w:rPr>
          <w:rFonts w:ascii="Times New Roman" w:hAnsi="Times New Roman" w:cs="Times New Roman"/>
        </w:rPr>
        <w:t xml:space="preserve">when </w:t>
      </w:r>
      <w:r w:rsidRPr="00975DA7">
        <w:rPr>
          <w:rFonts w:ascii="Times New Roman" w:hAnsi="Times New Roman" w:cs="Times New Roman"/>
        </w:rPr>
        <w:t xml:space="preserve">contrasted with non-semantic decisions that are at least as difficult </w:t>
      </w:r>
      <w:r w:rsidRPr="00975DA7">
        <w:rPr>
          <w:rFonts w:ascii="Times New Roman" w:hAnsi="Times New Roman" w:cs="Times New Roman"/>
        </w:rPr>
        <w:fldChar w:fldCharType="begin" w:fldLock="1"/>
      </w:r>
      <w:r w:rsidR="006C5629" w:rsidRPr="00975DA7">
        <w:rPr>
          <w:rFonts w:ascii="Times New Roman" w:hAnsi="Times New Roman" w:cs="Times New Roman"/>
        </w:rPr>
        <w:instrText>ADDIN CSL_CITATION {"citationItems":[{"id":"ITEM-1","itemData":{"DOI":"10.1093/cercor/bhp055","ISBN":"1460-2199 (Electronic)\\r1460-2199 (Linking)","ISSN":"10473211","PMID":"19329570","abstract":"Semantic memory refers to knowledge about people, objects, actions, relations, self, and culture acquired through experience. The neural systems that store and retrieve this information have been studied for many years, but a consensus regarding their identity has not been reached. Using strict inclusion criteria, we analyzed 120 functional neuroimaging studies focusing on semantic processing. Reliable areas of activation in these studies were identified using the activation likelihood estimate (ALE) technique. These activations formed a distinct, left-lateralized network comprised of 7 regions: posterior inferior parietal lobe, middle temporal gyrus, fusiform and parahippocampal gyri, dorsomedial prefrontal cortex, inferior frontal gyrus, ventromedial prefrontal cortex, and posterior cingulate gyrus. Secondary analyses showed specific subregions of this network associated with knowledge of actions, manipulable artifacts, abstract concepts, and concrete concepts. The cortical regions involved in semantic processing can be grouped into 3 broad categories: posterior multimodal and heteromodal association cortex, heteromodal prefrontal cortex, and medial limbic regions. The expansion of these regions in the human relative to the nonhuman primate brain may explain uniquely human capacities to use language productively, plan, solve problems, and create cultural and technological artifacts, all of which depend on the fluid and efficient retrieval and manipulation of semantic knowledge.","author":[{"dropping-particle":"","family":"Binder","given":"Jeffrey R.","non-dropping-particle":"","parse-names":false,"suffix":""},{"dropping-particle":"","family":"Desai","given":"Rutvik H.","non-dropping-particle":"","parse-names":false,"suffix":""},{"dropping-particle":"","family":"Graves","given":"William W.","non-dropping-particle":"","parse-names":false,"suffix":""},{"dropping-particle":"","family":"Conant","given":"Lisa L.","non-dropping-particle":"","parse-names":false,"suffix":""}],"container-title":"Cerebral Cortex","id":"ITEM-1","issue":"12","issued":{"date-parts":[["2009"]]},"page":"2767-2796","title":"Where is the semantic system? A critical review and meta-analysis of 120 functional neuroimaging studies","type":"article-journal","volume":"19"},"uris":["http://www.mendeley.com/documents/?uuid=efbf2662-f169-495f-acdf-d325d1aef056"]}],"mendeley":{"formattedCitation":"(Binder et al., 2009)","plainTextFormattedCitation":"(Binder et al., 2009)","previouslyFormattedCitation":"(Binder et al., 2009)"},"properties":{"noteIndex":0},"schema":"https://github.com/citation-style-language/schema/raw/master/csl-citation.json"}</w:instrText>
      </w:r>
      <w:r w:rsidRPr="00975DA7">
        <w:rPr>
          <w:rFonts w:ascii="Times New Roman" w:hAnsi="Times New Roman" w:cs="Times New Roman"/>
        </w:rPr>
        <w:fldChar w:fldCharType="separate"/>
      </w:r>
      <w:r w:rsidR="007D3474" w:rsidRPr="00975DA7">
        <w:rPr>
          <w:rFonts w:ascii="Times New Roman" w:hAnsi="Times New Roman" w:cs="Times New Roman"/>
          <w:noProof/>
        </w:rPr>
        <w:t>(Binder et al., 2009)</w:t>
      </w:r>
      <w:r w:rsidRPr="00975DA7">
        <w:rPr>
          <w:rFonts w:ascii="Times New Roman" w:hAnsi="Times New Roman" w:cs="Times New Roman"/>
        </w:rPr>
        <w:fldChar w:fldCharType="end"/>
      </w:r>
      <w:r w:rsidRPr="00975DA7">
        <w:rPr>
          <w:rFonts w:ascii="Times New Roman" w:hAnsi="Times New Roman" w:cs="Times New Roman"/>
        </w:rPr>
        <w:t xml:space="preserve">. Our AG seed was taken from an ALE meta-analysis </w:t>
      </w:r>
      <w:r w:rsidR="00D70CC5" w:rsidRPr="00975DA7">
        <w:rPr>
          <w:rFonts w:ascii="Times New Roman" w:hAnsi="Times New Roman" w:cs="Times New Roman"/>
        </w:rPr>
        <w:t xml:space="preserve">of 386 studies </w:t>
      </w:r>
      <w:r w:rsidRPr="00975DA7">
        <w:rPr>
          <w:rFonts w:ascii="Times New Roman" w:hAnsi="Times New Roman" w:cs="Times New Roman"/>
        </w:rPr>
        <w:t>(</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{"citationItems":[{"id":"ITEM-1","itemData":{"DOI":"10.1093/cercor/bhu198","ISBN":"1460-2199 (Electronic) 1047-3211 (Linking)","ISSN":"14602199","PMID":"25205661","abstract":"How is higher cognitive function organized in the human parietal cortex? A century of neuropsychology and 30 years of functional neuroimaging has implicated the parietal lobe in many different verbal and nonverbal cognitive domains. There is little clarity, however, on how these functions are organized, that is, where do these functions coalesce (implying a shared, underpinning neurocomputation) and where do they divide (indicating different underlying neural functions). Until now, there has been no multi-domain synthesis in order to reveal where there is fusion or fission of functions in the parietal cortex. This aim was achieved through a large-scale activation likelihood estimation (ALE) analysis of 386 studies (3952 activation peaks) covering 8 cognitive domains. A tripartite, domain-general neuroanatomical division and 5 principles of cognitive organization were established, and these are discussed with respect to a unified theory of parietal functional organization.","author":[{"dropping-particle":"","family":"Humphreys","given":"Gina F.","non-dropping-particle":"","parse-names":false,"suffix":""},{"dropping-particle":"","family":"Lambon Ralph","given":"Matthew A.","non-dropping-particle":"","parse-names":false,"suffix":""}],"container-title":"Cerebral Cortex","id":"ITEM-1","issue":"10","issued":{"date-parts":[["2015"]]},"page":"3547-3560","title":"Fusion and fission of cognitive functions in the human parietal cortex","type":"article-journal","volume":"25"},"uris":["http://www.mendeley.com/documents/?uuid=f9b07b36-fb1b-4684-89f7-37f77e829899"]}],"mendeley":{"formattedCitation":"(Humphreys and Lambon Ralph, 2015)","manualFormatting":"Humphreys and Lambon Ralph, 2015)","plainTextFormattedCitation":"(Humphreys and Lambon Ralph, 2015)","previouslyFormattedCitation":"(Humphreys and Lambon Ralph, 2015)"},"properties":{"noteIndex":0},"schema":"https://github.com/citation-style-language/schema/raw/master/csl-citation.json"}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Humphreys and Lambon Ralph, 2015)</w:t>
      </w:r>
      <w:r w:rsidRPr="00975DA7">
        <w:rPr>
          <w:rFonts w:ascii="Times New Roman" w:hAnsi="Times New Roman" w:cs="Times New Roman"/>
        </w:rPr>
        <w:fldChar w:fldCharType="end"/>
      </w:r>
      <w:r w:rsidRPr="00975DA7">
        <w:rPr>
          <w:rFonts w:ascii="Times New Roman" w:hAnsi="Times New Roman" w:cs="Times New Roman"/>
        </w:rPr>
        <w:t xml:space="preserve">, which identified a peak for automatic semantic retrieval in left AG (MNI -48, -68, 28). (iii) To identify ROIs associated with semantic control, we used an ALE meta-analysis of 53 studies </w:t>
      </w:r>
      <w:r w:rsidRPr="00975DA7">
        <w:rPr>
          <w:rFonts w:ascii="Times New Roman" w:hAnsi="Times New Roman" w:cs="Times New Roman"/>
        </w:rPr>
        <w:fldChar w:fldCharType="begin" w:fldLock="1"/>
      </w:r>
      <w:r w:rsidR="00B67EB9" w:rsidRPr="00975DA7">
        <w:rPr>
          <w:rFonts w:ascii="Times New Roman" w:hAnsi="Times New Roman" w:cs="Times New Roman"/>
        </w:rPr>
        <w:instrText>ADDIN CSL_CITATION {"citationItems":[{"id":"ITEM-1","itemData":{"DOI":"10.1162/jocn","ISBN":"1530-8898 (Electronic)\\r0898-929X (Linking)","ISSN":"0898-929X","PMID":"23647519","abstract":"Semantic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Neuroscience","id":"ITEM-1","issue":"11","issued":{"date-parts":[["2013"]]},"page":"1824-50","title":"Going beyond Inferior Prefrontal Involvement in Semantic Control: Evidence for the Additional Contribution of Dorsal Angular Gyrus and Posterior Middle Temporal Cortex","type":"article-journal","volume":"25"},"uris":["http://www.mendeley.com/documents/?uuid=0a5edd06-04ea-4fbd-85ab-b04fecaa9c01"]}],"mendeley":{"formattedCitation":"(Noonan et al., 2013)","manualFormatting":"(Noonan et al., 2013)","plainTextFormattedCitation":"(Noonan et al., 2013)","previouslyFormattedCitation":"(Noonan et al., 2013)"},"properties":{"noteIndex":0},"schema":"https://github.com/citation-style-language/schema/raw/master/csl-citation.json"}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(Noonan et al., 2013)</w:t>
      </w:r>
      <w:r w:rsidRPr="00975DA7">
        <w:rPr>
          <w:rFonts w:ascii="Times New Roman" w:hAnsi="Times New Roman" w:cs="Times New Roman"/>
        </w:rPr>
        <w:fldChar w:fldCharType="end"/>
      </w:r>
      <w:r w:rsidRPr="00975DA7">
        <w:rPr>
          <w:rFonts w:ascii="Times New Roman" w:hAnsi="Times New Roman" w:cs="Times New Roman"/>
        </w:rPr>
        <w:t>, which manipulated the control demands of semantic judgements in diverse ways (strength of association, ambiguous words, strength of distractors). This identified activation peaks in left IFG (MNI -47, 21, 18) and pMTG (MNI -58, -49, -9). To create ROIs, we placed a binarised spherical mask with a radius of 3mm, centred on the MNI coordinates of the peak response in each site. We generated right-hemisphere homotopic spheres for each seed by following the same procedure, but flipping the sign of the x coordinate in MNI space from n</w:t>
      </w:r>
      <w:r w:rsidR="002530E3" w:rsidRPr="00975DA7">
        <w:rPr>
          <w:rFonts w:ascii="Times New Roman" w:hAnsi="Times New Roman" w:cs="Times New Roman"/>
        </w:rPr>
        <w:t xml:space="preserve">egative to positive. </w:t>
      </w:r>
      <w:r w:rsidR="00202945" w:rsidRPr="00975DA7">
        <w:rPr>
          <w:rFonts w:ascii="Times New Roman" w:hAnsi="Times New Roman" w:cs="Times New Roman"/>
        </w:rPr>
        <w:t>An advantage of</w:t>
      </w:r>
      <w:r w:rsidR="00442D9C" w:rsidRPr="00975DA7">
        <w:rPr>
          <w:rFonts w:ascii="Times New Roman" w:hAnsi="Times New Roman" w:cs="Times New Roman"/>
        </w:rPr>
        <w:t xml:space="preserve"> this sign-flipping method </w:t>
      </w:r>
      <w:r w:rsidR="00202945" w:rsidRPr="00975DA7">
        <w:rPr>
          <w:rFonts w:ascii="Times New Roman" w:hAnsi="Times New Roman" w:cs="Times New Roman"/>
        </w:rPr>
        <w:t>is that it allowed us to gener</w:t>
      </w:r>
      <w:r w:rsidR="009A4035" w:rsidRPr="00975DA7">
        <w:rPr>
          <w:rFonts w:ascii="Times New Roman" w:hAnsi="Times New Roman" w:cs="Times New Roman"/>
        </w:rPr>
        <w:t>ate</w:t>
      </w:r>
      <w:r w:rsidR="00202945" w:rsidRPr="00975DA7">
        <w:rPr>
          <w:rFonts w:ascii="Times New Roman" w:hAnsi="Times New Roman" w:cs="Times New Roman"/>
        </w:rPr>
        <w:t xml:space="preserve"> symmetrical seeds for all sites in a comparable way, even for sites that </w:t>
      </w:r>
      <w:r w:rsidR="00955AF5" w:rsidRPr="00975DA7">
        <w:rPr>
          <w:rFonts w:ascii="Times New Roman" w:hAnsi="Times New Roman" w:cs="Times New Roman"/>
        </w:rPr>
        <w:t xml:space="preserve">typically </w:t>
      </w:r>
      <w:r w:rsidR="00202945" w:rsidRPr="00975DA7">
        <w:rPr>
          <w:rFonts w:ascii="Times New Roman" w:hAnsi="Times New Roman" w:cs="Times New Roman"/>
        </w:rPr>
        <w:t>do not show a semantic response in the RH (e.g. for pMTG). H</w:t>
      </w:r>
      <w:r w:rsidR="00442D9C" w:rsidRPr="00975DA7">
        <w:rPr>
          <w:rFonts w:ascii="Times New Roman" w:hAnsi="Times New Roman" w:cs="Times New Roman"/>
        </w:rPr>
        <w:t xml:space="preserve">owever, </w:t>
      </w:r>
      <w:r w:rsidR="00202945" w:rsidRPr="00975DA7">
        <w:rPr>
          <w:rFonts w:ascii="Times New Roman" w:hAnsi="Times New Roman" w:cs="Times New Roman"/>
        </w:rPr>
        <w:t xml:space="preserve">there is good evidence of bilateral engagement </w:t>
      </w:r>
      <w:r w:rsidR="00955AF5" w:rsidRPr="00975DA7">
        <w:rPr>
          <w:rFonts w:ascii="Times New Roman" w:hAnsi="Times New Roman" w:cs="Times New Roman"/>
        </w:rPr>
        <w:t xml:space="preserve">of ATL </w:t>
      </w:r>
      <w:r w:rsidR="00202945" w:rsidRPr="00975DA7">
        <w:rPr>
          <w:rFonts w:ascii="Times New Roman" w:hAnsi="Times New Roman" w:cs="Times New Roman"/>
        </w:rPr>
        <w:t xml:space="preserve">in semantic cognition. Moreover, </w:t>
      </w:r>
      <w:r w:rsidR="00442D9C" w:rsidRPr="00975DA7">
        <w:rPr>
          <w:rFonts w:ascii="Times New Roman" w:hAnsi="Times New Roman" w:cs="Times New Roman"/>
        </w:rPr>
        <w:t xml:space="preserve">Rice et al. (2018b) </w:t>
      </w:r>
      <w:r w:rsidR="00955AF5" w:rsidRPr="00975DA7">
        <w:rPr>
          <w:rFonts w:ascii="Times New Roman" w:hAnsi="Times New Roman" w:cs="Times New Roman"/>
        </w:rPr>
        <w:t>identified a</w:t>
      </w:r>
      <w:r w:rsidR="00442D9C" w:rsidRPr="00975DA7">
        <w:rPr>
          <w:rFonts w:ascii="Times New Roman" w:hAnsi="Times New Roman" w:cs="Times New Roman"/>
        </w:rPr>
        <w:t xml:space="preserve"> </w:t>
      </w:r>
      <w:r w:rsidR="00955AF5" w:rsidRPr="00975DA7">
        <w:rPr>
          <w:rFonts w:ascii="Times New Roman" w:hAnsi="Times New Roman" w:cs="Times New Roman"/>
        </w:rPr>
        <w:t>right</w:t>
      </w:r>
      <w:r w:rsidR="00442D9C" w:rsidRPr="00975DA7">
        <w:rPr>
          <w:rFonts w:ascii="Times New Roman" w:hAnsi="Times New Roman" w:cs="Times New Roman"/>
        </w:rPr>
        <w:t xml:space="preserve"> </w:t>
      </w:r>
      <w:r w:rsidR="00202945" w:rsidRPr="00975DA7">
        <w:rPr>
          <w:rFonts w:ascii="Times New Roman" w:hAnsi="Times New Roman" w:cs="Times New Roman"/>
        </w:rPr>
        <w:t>ATL peak</w:t>
      </w:r>
      <w:r w:rsidR="00955AF5" w:rsidRPr="00975DA7">
        <w:rPr>
          <w:rFonts w:ascii="Times New Roman" w:hAnsi="Times New Roman" w:cs="Times New Roman"/>
        </w:rPr>
        <w:t xml:space="preserve"> (MNI </w:t>
      </w:r>
      <w:r w:rsidR="00F2518B" w:rsidRPr="00975DA7">
        <w:rPr>
          <w:rFonts w:ascii="Times New Roman" w:hAnsi="Times New Roman" w:cs="Times New Roman"/>
        </w:rPr>
        <w:t xml:space="preserve">44, </w:t>
      </w:r>
      <w:r w:rsidR="00955AF5" w:rsidRPr="00975DA7">
        <w:rPr>
          <w:rFonts w:ascii="Times New Roman" w:hAnsi="Times New Roman" w:cs="Times New Roman"/>
        </w:rPr>
        <w:t>-</w:t>
      </w:r>
      <w:r w:rsidR="00F2518B" w:rsidRPr="00975DA7">
        <w:rPr>
          <w:rFonts w:ascii="Times New Roman" w:hAnsi="Times New Roman" w:cs="Times New Roman"/>
        </w:rPr>
        <w:t>1</w:t>
      </w:r>
      <w:r w:rsidR="00955AF5" w:rsidRPr="00975DA7">
        <w:rPr>
          <w:rFonts w:ascii="Times New Roman" w:hAnsi="Times New Roman" w:cs="Times New Roman"/>
        </w:rPr>
        <w:t xml:space="preserve">1, </w:t>
      </w:r>
      <w:r w:rsidR="00F2518B" w:rsidRPr="00975DA7">
        <w:rPr>
          <w:rFonts w:ascii="Times New Roman" w:hAnsi="Times New Roman" w:cs="Times New Roman"/>
        </w:rPr>
        <w:t>-36</w:t>
      </w:r>
      <w:r w:rsidR="00955AF5" w:rsidRPr="00975DA7">
        <w:rPr>
          <w:rFonts w:ascii="Times New Roman" w:hAnsi="Times New Roman" w:cs="Times New Roman"/>
        </w:rPr>
        <w:t>)</w:t>
      </w:r>
      <w:r w:rsidR="00202945" w:rsidRPr="00975DA7">
        <w:rPr>
          <w:rFonts w:ascii="Times New Roman" w:hAnsi="Times New Roman" w:cs="Times New Roman"/>
        </w:rPr>
        <w:t>, which was not in an identical location to that in the LH</w:t>
      </w:r>
      <w:r w:rsidR="00955AF5" w:rsidRPr="00975DA7">
        <w:rPr>
          <w:rFonts w:ascii="Times New Roman" w:hAnsi="Times New Roman" w:cs="Times New Roman"/>
        </w:rPr>
        <w:t>. W</w:t>
      </w:r>
      <w:r w:rsidR="00442D9C" w:rsidRPr="00975DA7">
        <w:rPr>
          <w:rFonts w:ascii="Times New Roman" w:hAnsi="Times New Roman" w:cs="Times New Roman"/>
        </w:rPr>
        <w:t>e replicated all of our analysis in the pipeline using this RH seed</w:t>
      </w:r>
      <w:r w:rsidR="00955AF5" w:rsidRPr="00975DA7">
        <w:rPr>
          <w:rFonts w:ascii="Times New Roman" w:hAnsi="Times New Roman" w:cs="Times New Roman"/>
        </w:rPr>
        <w:t>,</w:t>
      </w:r>
      <w:r w:rsidR="00442D9C" w:rsidRPr="00975DA7">
        <w:rPr>
          <w:rFonts w:ascii="Times New Roman" w:hAnsi="Times New Roman" w:cs="Times New Roman"/>
        </w:rPr>
        <w:t xml:space="preserve"> instead of the sign-flipped homotope</w:t>
      </w:r>
      <w:r w:rsidR="00955AF5" w:rsidRPr="00975DA7">
        <w:rPr>
          <w:rFonts w:ascii="Times New Roman" w:hAnsi="Times New Roman" w:cs="Times New Roman"/>
        </w:rPr>
        <w:t>, in Supplementary A</w:t>
      </w:r>
      <w:r w:rsidR="00442D9C" w:rsidRPr="00975DA7">
        <w:rPr>
          <w:rFonts w:ascii="Times New Roman" w:hAnsi="Times New Roman" w:cs="Times New Roman"/>
        </w:rPr>
        <w:t xml:space="preserve">nalysis S1. </w:t>
      </w:r>
      <w:r w:rsidR="00955AF5" w:rsidRPr="00975DA7">
        <w:rPr>
          <w:rFonts w:ascii="Times New Roman" w:hAnsi="Times New Roman" w:cs="Times New Roman"/>
        </w:rPr>
        <w:t>The results acros</w:t>
      </w:r>
      <w:r w:rsidR="00903C93" w:rsidRPr="00975DA7">
        <w:rPr>
          <w:rFonts w:ascii="Times New Roman" w:hAnsi="Times New Roman" w:cs="Times New Roman"/>
        </w:rPr>
        <w:t xml:space="preserve">s the two ATL seeds were </w:t>
      </w:r>
      <w:r w:rsidR="00955AF5" w:rsidRPr="00975DA7">
        <w:rPr>
          <w:rFonts w:ascii="Times New Roman" w:hAnsi="Times New Roman" w:cs="Times New Roman"/>
        </w:rPr>
        <w:t>similar.</w:t>
      </w:r>
    </w:p>
    <w:p w14:paraId="1A34CF1F" w14:textId="77777777" w:rsidR="0059177E" w:rsidRPr="00975DA7" w:rsidRDefault="0059177E" w:rsidP="00036AA4">
      <w:pPr>
        <w:spacing w:line="360" w:lineRule="auto"/>
        <w:rPr>
          <w:rFonts w:ascii="Times New Roman" w:hAnsi="Times New Roman" w:cs="Times New Roman"/>
        </w:rPr>
      </w:pPr>
    </w:p>
    <w:p w14:paraId="76FAA942" w14:textId="263EA0C5" w:rsidR="0059177E" w:rsidRPr="00975DA7" w:rsidRDefault="003F6CAB" w:rsidP="00036AA4">
      <w:pPr>
        <w:keepNext/>
        <w:spacing w:line="360" w:lineRule="auto"/>
        <w:rPr>
          <w:rFonts w:ascii="Times New Roman" w:hAnsi="Times New Roman" w:cs="Times New Roman"/>
          <w:color w:val="FF0000"/>
        </w:rPr>
      </w:pPr>
      <w:r w:rsidRPr="00975DA7">
        <w:rPr>
          <w:rFonts w:ascii="Times New Roman" w:hAnsi="Times New Roman" w:cs="Times New Roman"/>
          <w:i/>
        </w:rPr>
        <w:t>2.</w:t>
      </w:r>
      <w:r w:rsidR="0059177E" w:rsidRPr="00975DA7">
        <w:rPr>
          <w:rFonts w:ascii="Times New Roman" w:hAnsi="Times New Roman" w:cs="Times New Roman"/>
          <w:i/>
        </w:rPr>
        <w:t xml:space="preserve">5.4. Analysis of intrinsic connectivity of ROIs </w:t>
      </w:r>
    </w:p>
    <w:p w14:paraId="3A6480B4" w14:textId="77777777" w:rsidR="008F3F3D" w:rsidRPr="00975DA7" w:rsidRDefault="0059177E" w:rsidP="00036AA4">
      <w:pPr>
        <w:keepNext/>
        <w:spacing w:line="360" w:lineRule="auto"/>
        <w:rPr>
          <w:rFonts w:ascii="Times New Roman" w:hAnsi="Times New Roman" w:cs="Times New Roman"/>
        </w:rPr>
      </w:pPr>
      <w:r w:rsidRPr="00975DA7">
        <w:rPr>
          <w:rFonts w:ascii="Times New Roman" w:hAnsi="Times New Roman" w:cs="Times New Roman"/>
        </w:rPr>
        <w:t xml:space="preserve">In a first-level analysis, we extracted the time series from each ROI. These were used as Explanatory Variables (EVs) in separate connectivity analyses for each seed (eight seeds in total: four </w:t>
      </w:r>
      <w:r w:rsidR="00D70CC5" w:rsidRPr="00975DA7">
        <w:rPr>
          <w:rFonts w:ascii="Times New Roman" w:hAnsi="Times New Roman" w:cs="Times New Roman"/>
        </w:rPr>
        <w:t>LH</w:t>
      </w:r>
      <w:r w:rsidRPr="00975DA7">
        <w:rPr>
          <w:rFonts w:ascii="Times New Roman" w:hAnsi="Times New Roman" w:cs="Times New Roman"/>
        </w:rPr>
        <w:t xml:space="preserve"> seeds and their </w:t>
      </w:r>
      <w:r w:rsidR="00D70CC5" w:rsidRPr="00975DA7">
        <w:rPr>
          <w:rFonts w:ascii="Times New Roman" w:hAnsi="Times New Roman" w:cs="Times New Roman"/>
        </w:rPr>
        <w:t>RH</w:t>
      </w:r>
      <w:r w:rsidRPr="00975DA7">
        <w:rPr>
          <w:rFonts w:ascii="Times New Roman" w:hAnsi="Times New Roman" w:cs="Times New Roman"/>
        </w:rPr>
        <w:t xml:space="preserve"> homotopes). In each analysis, eleven nuisance regressors were removed, including the confounding six head motion parameters and the top five principal components extracted from white matter (WM) and cerebrospinal fluid (CSF) masks using the CompCor method </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{"citationItems":[{"id":"ITEM-1","itemData":{"DOI":"10.1016/j.neuroimage.2007.04.042","ISBN":"1053-8119 (Print)\\n1053-8119 (Linking)","ISSN":"10538119","PMID":"17560126","abstract":"A component based method (CompCor) for the reduction of noise in both blood oxygenation level-dependent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 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 ?? 2007 Elsevier Inc. All rights reserved.","author":[{"dropping-particle":"","family":"Behzadi","given":"Yashar","non-dropping-particle":"","parse-names":false,"suffix":""},{"dropping-particle":"","family":"Restom","given":"Khaled","non-dropping-particle":"","parse-names":false,"suffix":""},{"dropping-particle":"","family":"Liau","given":"Joy","non-dropping-particle":"","parse-names":false,"suffix":""},{"dropping-particle":"","family":"Liu","given":"Thomas T.","non-dropping-particle":"","parse-names":false,"suffix":""}],"container-title":"NeuroImage","id":"ITEM-1","issue":"1","issued":{"date-parts":[["2007"]]},"page":"90-101","publisher":"Elsevier Inc.","title":"A component based noise correction method (CompCor) for BOLD and perfusion based fMRI","type":"article-journal","volume":"37"},"uris":["http://www.mendeley.com/documents/?uuid=c5611065-58f1-4e62-ab26-cc0f91789e91"]}],"mendeley":{"formattedCitation":"(Behzadi et al., 2007)","plainTextFormattedCitation":"(Behzadi et al., 2007)","previouslyFormattedCitation":"(Behzadi et al., 2007)"},"properties":{"noteIndex":0},"schema":"https://github.com/citation-style-language/schema/raw/master/csl-citation.json"}</w:instrText>
      </w:r>
      <w:r w:rsidRPr="00975DA7">
        <w:rPr>
          <w:rFonts w:ascii="Times New Roman" w:hAnsi="Times New Roman" w:cs="Times New Roman"/>
        </w:rPr>
        <w:fldChar w:fldCharType="separate"/>
      </w:r>
      <w:r w:rsidR="00554B3E" w:rsidRPr="00975DA7">
        <w:rPr>
          <w:rFonts w:ascii="Times New Roman" w:hAnsi="Times New Roman" w:cs="Times New Roman"/>
          <w:noProof/>
        </w:rPr>
        <w:t>(Behzadi et al., 2007)</w:t>
      </w:r>
      <w:r w:rsidRPr="00975DA7">
        <w:rPr>
          <w:rFonts w:ascii="Times New Roman" w:hAnsi="Times New Roman" w:cs="Times New Roman"/>
        </w:rPr>
        <w:fldChar w:fldCharType="end"/>
      </w:r>
      <w:r w:rsidRPr="00975DA7">
        <w:rPr>
          <w:rFonts w:ascii="Times New Roman" w:hAnsi="Times New Roman" w:cs="Times New Roman"/>
        </w:rPr>
        <w:t xml:space="preserve">. These masks were generated from each individual’s structural image </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{"citationItems":[{"id":"ITEM-1","itemData":{"DOI":"10.1109/42.906424","ISBN":"0278-0062 (Print) 0278-0062 (Linking)","ISSN":"02780062","PMID":"11293691","abstract":"The finite mixture (FM) model is the most commonly used model for statistical segmentation of brain magnetic resonance (MR) images because of its simple mathematical form and the piecewise constant nature of ideal brain MR images. However, being a histogram-based model, the FM has an intrinsic limitation-no spatial information is taken into account. This causes the FM model to work only on well-defined images with low levels of noise; unfortunately, this is often not the case due to artifacts such as partial volume effect and bias field distortion. Under these conditions, FM model-based methods produce unreliable results. In this paper, we propose a novel hidden Markov random field (HMRF) model, which is a stochastic process generated by a MRF whose state sequence cannot be observed directly but which can be indirectly estimated through observations. Mathematically, it can be shown that the FM model is a degenerate version of the HMRF model. The advantage of the HMRF model derives from the way in which the spatial information is encoded through the mutual influences of neighboring sites. Although MRF modeling has been employed in MR image segmentation by other researchers, most reported methods are limited to using MRF as a general prior in an FM model-based approach. To fit the HMRF model, an EM algorithm is used. We show that by incorporating both the HMRF model and the EM algorithm into a HMRF-EM framework, an accurate and robust segmentation can be achieved. More importantly, the HMRF-EM framework can easily be combined with other techniques. As an example, we show how the bias field correction algorithm of Guillemaud and Brady (1997) can be incorporated into this framework to achieve a three-dimensional fully automated approach for brain MR image segmentation.","author":[{"dropping-particle":"","family":"Zhang","given":"Y.","non-dropping-particle":"","parse-names":false,"suffix":""},{"dropping-particle":"","family":"Brady","given":"M.","non-dropping-particle":"","parse-names":false,"suffix":""},{"dropping-particle":"","family":"Smith","given":"S.","non-dropping-particle":"","parse-names":false,"suffix":""}],"container-title":"IEEE Transactions on Medical Imaging","id":"ITEM-1","issue":"1","issued":{"date-parts":[["2001"]]},"page":"45-57","title":"Segmentation of brain MR images through a hidden Markov random field model and the expectation-maximization algorithm","type":"article-journal","volume":"20"},"uris":["http://www.mendeley.com/documents/?uuid=aa4b19c0-ada0-4299-a7cd-b873f4d96ea1"]}],"mendeley":{"formattedCitation":"(Zhang et al., 2001)","plainTextFormattedCitation":"(Zhang et al., 2001)","previouslyFormattedCitation":"(Zhang et al., 2001)"},"properties":{"noteIndex":0},"schema":"https://github.com/citation-style-language/schema/raw/master/csl-citation.json"}</w:instrText>
      </w:r>
      <w:r w:rsidRPr="00975DA7">
        <w:rPr>
          <w:rFonts w:ascii="Times New Roman" w:hAnsi="Times New Roman" w:cs="Times New Roman"/>
        </w:rPr>
        <w:fldChar w:fldCharType="separate"/>
      </w:r>
      <w:r w:rsidR="00554B3E" w:rsidRPr="00975DA7">
        <w:rPr>
          <w:rFonts w:ascii="Times New Roman" w:hAnsi="Times New Roman" w:cs="Times New Roman"/>
          <w:noProof/>
        </w:rPr>
        <w:t>(Zhang et al., 2001)</w:t>
      </w:r>
      <w:r w:rsidRPr="00975DA7">
        <w:rPr>
          <w:rFonts w:ascii="Times New Roman" w:hAnsi="Times New Roman" w:cs="Times New Roman"/>
        </w:rPr>
        <w:fldChar w:fldCharType="end"/>
      </w:r>
      <w:r w:rsidRPr="00975DA7">
        <w:rPr>
          <w:rFonts w:ascii="Times New Roman" w:hAnsi="Times New Roman" w:cs="Times New Roman"/>
        </w:rPr>
        <w:t xml:space="preserve">. We did not </w:t>
      </w:r>
      <w:r w:rsidRPr="00975DA7">
        <w:rPr>
          <w:rFonts w:ascii="Times New Roman" w:hAnsi="Times New Roman" w:cs="Times New Roman"/>
        </w:rPr>
        <w:lastRenderedPageBreak/>
        <w:t xml:space="preserve">perform global signal regression which has been reported to introduce spurious anti-correlations </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{"citationItems":[{"id":"ITEM-1","itemData":{"DOI":"10.1016/j.neuroimage.2008.09.036","ISBN":"1095-9572 (Electronic)\\r1053-8119 (Linking)","ISSN":"10538119","PMID":"18976716","abstract":"Low-frequency fluctuations in fMRI signal have been used to map several consistent resting state networks in the brain. Using the posterior cingulate cortex as a seed region, functional connectivity analyses have found not only positive correlations in the default mode network but negative correlations in another resting state network related to attentional processes. The interpretation is that the human brain is intrinsically organized into dynamic, anti-correlated functional networks. Global variations of the BOLD signal are often considered nuisance effects and are commonly removed using a general linear model (GLM) technique. This global signal regression method has been shown to introduce negative activation measures in standard fMRI analyses. The topic of this paper is whether such a correction technique could be the cause of anti-correlated resting state networks in functional connectivity analyses. Here we show that, after global signal regression, correlation values to a seed voxel must sum to a negative value. Simulations also show that small phase differences between regions can lead to spurious negative correlation values. A combination breath holding and visual task demonstrates that the relative phase of global and local signals can affect connectivity measures and that, experimentally, global signal regression leads to bell-shaped correlation value distributions, centred on zero. Finally, analyses of negatively correlated networks in resting state data show that global signal regression is most likely the cause of anti-correlations. These results call into question the interpretation of negatively correlated regions in the brain when using global signal regression as an initial processing step. ?? 2008.","author":[{"dropping-particle":"","family":"Murphy","given":"Kevin","non-dropping-particle":"","parse-names":false,"suffix":""},{"dropping-particle":"","family":"Birn","given":"Rasmus M.","non-dropping-particle":"","parse-names":false,"suffix":""},{"dropping-particle":"","family":"Handwerker","given":"Daniel A.","non-dropping-particle":"","parse-names":false,"suffix":""},{"dropping-particle":"","family":"Jones","given":"Tyler B.","non-dropping-particle":"","parse-names":false,"suffix":""},{"dropping-particle":"","family":"Bandettini","given":"Peter A.","non-dropping-particle":"","parse-names":false,"suffix":""}],"container-title":"NeuroImage","id":"ITEM-1","issue":"3","issued":{"date-parts":[["2009"]]},"page":"893-905","publisher":"Elsevier B.V.","title":"The impact of global signal regression on resting state correlations: Are anti-correlated networks introduced?","type":"article-journal","volume":"44"},"uris":["http://www.mendeley.com/documents/?uuid=62cd1b3d-49ba-46be-84ac-cc7c8fae49b9"]}],"mendeley":{"formattedCitation":"(Murphy et al., 2009)","plainTextFormattedCitation":"(Murphy et al., 2009)","previouslyFormattedCitation":"(Murphy et al., 2009)"},"properties":{"noteIndex":0},"schema":"https://github.com/citation-style-language/schema/raw/master/csl-citation.json"}</w:instrText>
      </w:r>
      <w:r w:rsidRPr="00975DA7">
        <w:rPr>
          <w:rFonts w:ascii="Times New Roman" w:hAnsi="Times New Roman" w:cs="Times New Roman"/>
        </w:rPr>
        <w:fldChar w:fldCharType="separate"/>
      </w:r>
      <w:r w:rsidR="00554B3E" w:rsidRPr="00975DA7">
        <w:rPr>
          <w:rFonts w:ascii="Times New Roman" w:hAnsi="Times New Roman" w:cs="Times New Roman"/>
          <w:noProof/>
        </w:rPr>
        <w:t>(Murphy et al., 2009)</w:t>
      </w:r>
      <w:r w:rsidRPr="00975DA7">
        <w:rPr>
          <w:rFonts w:ascii="Times New Roman" w:hAnsi="Times New Roman" w:cs="Times New Roman"/>
        </w:rPr>
        <w:fldChar w:fldCharType="end"/>
      </w:r>
      <w:r w:rsidRPr="00975DA7">
        <w:rPr>
          <w:rFonts w:ascii="Times New Roman" w:hAnsi="Times New Roman" w:cs="Times New Roman"/>
        </w:rPr>
        <w:t>.</w:t>
      </w:r>
      <w:r w:rsidR="00036AA4" w:rsidRPr="00975DA7">
        <w:rPr>
          <w:rFonts w:ascii="Times New Roman" w:hAnsi="Times New Roman" w:cs="Times New Roman"/>
        </w:rPr>
        <w:t xml:space="preserve"> </w:t>
      </w:r>
    </w:p>
    <w:p w14:paraId="02780E30" w14:textId="52EFBD12" w:rsidR="0059177E" w:rsidRPr="00975DA7" w:rsidRDefault="0059177E" w:rsidP="00036AA4">
      <w:pPr>
        <w:keepNext/>
        <w:spacing w:line="360" w:lineRule="auto"/>
        <w:rPr>
          <w:rFonts w:ascii="Times New Roman" w:hAnsi="Times New Roman" w:cs="Times New Roman"/>
        </w:rPr>
      </w:pPr>
      <w:r w:rsidRPr="00975DA7">
        <w:rPr>
          <w:rFonts w:ascii="Times New Roman" w:hAnsi="Times New Roman" w:cs="Times New Roman"/>
        </w:rPr>
        <w:t xml:space="preserve">At the group level, analyses were carried out using FMRIB's Local Analysis of Mixed Effects (FLAME1) with automatic outlier detection </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{"citationItems":[{"id":"ITEM-1","itemData":{"DOI":"10.1016/S1053-8119(03)00435-X","abstract":"This article discusses general modeling of multisubject and/or multisession FMRI data. In particular, we show that a two-level mixed-effects model (where parameters of interest at the group level are estimated from parameter and variance estimates from the single-session level) can be made equivalent to a single complete mixed-effects model (where parameters of interest at the group level are estimated directly from all of the original single sessions' time series data) if the (co-)variance at the second level is set equal to the sum of the (co-)variances in the single-level form, using the BLUE with known covariances. This result has significant implications for group studies in FMRI, since it shows that the group analysis requires only values of the parameter estimates and their (co-)variance from the first level, generalizing the well-established “summary statistics” approach in FMRI. The simple and generalized framework allows different prewhitening and different first-level regressors to be used for each subject. The framework incorporates multiple levels and cases such as repeated measures, paired or unpaired t tests and F tests at the group level; explicit examples of such models are given in the article. Using numerical simulations based on typical first-level covariance structures from real FMRI data we demonstrate that by taking into account lower-level covariances and heterogeneity a substantial increase in higher-level Z score is possible.","author":[{"dropping-particle":"","family":"Beckmann","given":"Christian F","non-dropping-particle":"","parse-names":false,"suffix":""},{"dropping-particle":"","family":"Jenkinson","given":"Mark","non-dropping-particle":"","parse-names":false,"suffix":""},{"dropping-particle":"","family":"Smith","given":"Stephen M","non-dropping-particle":"","parse-names":false,"suffix":""}],"container-title":"NeuroImage","id":"ITEM-1","issue":"2","issued":{"date-parts":[["2003"]]},"page":"1052-1063","title":"General multilevel linear modeling for group analysis in FMRI","type":"article-journal","volume":"20"},"uris":["http://www.mendeley.com/documents/?uuid=eca49212-cff5-4643-a564-aae3a3d2cdbb"]},{"id":"ITEM-2","itemData":{"DOI":"10.1016/j.neuroimage.2003.12.023","abstract":"Functional magnetic resonance imaging studies often involve the acquisition of data from multiple sessions and/or multiple subjects. A hierarchical approach can be taken to modelling such data with a general linear model (GLM) at each level of the hierarchy introducing different random effects variance components. Inferring on these models is nontrivial with frequentist solutions being unavailable. A solution is to use a Bayesian framework. One important ingredient in this is the choice of prior on the variance components and top-level regression parameters. Due to the typically small numbers of sessions or subjects in neuroimaging, the choice of prior is critical. To alleviate this problem, we introduce to neuroimage modelling the approach of reference priors, which drives the choice of prior such that it is noninformative in an information-theoretic sense. We propose two inference techniques at the top level for multilevel hierarchies (a fast approach and a slower more accurate approach). We also demonstrate that we can infer on the top level of multilevel hierarchies by inferring on the levels of the hierarchy separately and passing summary statistics of a noncentral multivariate t distribution between them.","author":[{"dropping-particle":"","family":"Woolrich","given":"Mark W","non-dropping-particle":"","parse-names":false,"suffix":""},{"dropping-particle":"","family":"Behrens","given":"Timothy E J","non-dropping-particle":"","parse-names":false,"suffix":""},{"dropping-particle":"","family":"Beckmann","given":"Christian F","non-dropping-particle":"","parse-names":false,"suffix":""},{"dropping-particle":"","family":"Jenkinson","given":"Mark","non-dropping-particle":"","parse-names":false,"suffix":""},{"dropping-particle":"","family":"Smith","given":"Stephen M","non-dropping-particle":"","parse-names":false,"suffix":""}],"container-title":"NeuroImage","id":"ITEM-2","issue":"4","issued":{"date-parts":[["2004"]]},"page":"1732-1747","title":"Multilevel linear modelling for FMRI group analysis using Bayesian inference","type":"article-journal","volume":"21"},"uris":["http://www.mendeley.com/documents/?uuid=6a816805-fac6-458b-a10c-79d31eec3250"]},{"id":"ITEM-3","itemData":{"DOI":"10.1016/j.neuroimage.2008.02.042","abstract":"Neuroimaging group studies are typically performed with the assumption that subjects used are randomly drawn from a population of subjects. The population of subjects is assumed to have a distribution of effect sizes associated with it that are Gaussian distributed. However, in practice, group studies can include “outlier” subjects whose effect sizes are completely at odds with the general population for reasons that are not of experimental interest. If ignored, these outliers can dramatically affect the inference results. To solve this problem, we propose a group inference approach which includes inference of outliers using a robust general linear model (GLM) approach. This approach models the errors as being a mixture of two Gaussian distributions, one for the normal population and one for the outliers. Crucially the robust GLM is part of a traditional hierarchical group model which uses GLMs at each level of the hierarchy. This combines the benefits of outlier inference with the benefits of using variance information from lower levels in the hierarchy. A Bayesian inference framework is used to infer on the robust GLM, while using the lower level variance information. The performance of the method is demonstrated on simulated and fMRI data and is compared with iterative reweighted least squares and permutation testing.","author":[{"dropping-particle":"","family":"Woolrich","given":"Mark","non-dropping-particle":"","parse-names":false,"suffix":""}],"container-title":"NeuroImage","id":"ITEM-3","issue":"2","issued":{"date-parts":[["2008"]]},"page":"286-301","title":"Robust group analysis using outlier inference","type":"article-journal","volume":"41"},"uris":["http://www.mendeley.com/documents/?uuid=2b1e229c-bc03-44b9-b038-ef86b3ab1354"]}],"mendeley":{"formattedCitation":"(Beckmann et al., 2003; Woolrich, 2008; Woolrich et al., 2004)","plainTextFormattedCitation":"(Beckmann et al., 2003; Woolrich, 2008; Woolrich et al., 2004)","previouslyFormattedCitation":"(Beckmann et al., 2003; Woolrich, 2008; Woolrich et al., 2004)"},"properties":{"noteIndex":0},"schema":"https://github.com/citation-style-language/schema/raw/master/csl-citation.json"}</w:instrText>
      </w:r>
      <w:r w:rsidRPr="00975DA7">
        <w:rPr>
          <w:rFonts w:ascii="Times New Roman" w:hAnsi="Times New Roman" w:cs="Times New Roman"/>
        </w:rPr>
        <w:fldChar w:fldCharType="separate"/>
      </w:r>
      <w:r w:rsidR="00554B3E" w:rsidRPr="00975DA7">
        <w:rPr>
          <w:rFonts w:ascii="Times New Roman" w:hAnsi="Times New Roman" w:cs="Times New Roman"/>
          <w:noProof/>
        </w:rPr>
        <w:t>(Beckmann et al., 2003; Woolrich, 2008; Woolrich et al., 2004)</w:t>
      </w:r>
      <w:r w:rsidRPr="00975DA7">
        <w:rPr>
          <w:rFonts w:ascii="Times New Roman" w:hAnsi="Times New Roman" w:cs="Times New Roman"/>
        </w:rPr>
        <w:fldChar w:fldCharType="end"/>
      </w:r>
      <w:r w:rsidRPr="00975DA7">
        <w:rPr>
          <w:rFonts w:ascii="Times New Roman" w:hAnsi="Times New Roman" w:cs="Times New Roman"/>
        </w:rPr>
        <w:t>. Significant clusters (p &lt; .05) were defined using Gaussian random field theory with a voxel inclusion threshold of z = 3.1 to define contiguous clusters</w:t>
      </w:r>
      <w:r w:rsidR="001F3E8C" w:rsidRPr="00975DA7">
        <w:rPr>
          <w:rFonts w:ascii="Times New Roman" w:hAnsi="Times New Roman" w:cs="Times New Roman"/>
        </w:rPr>
        <w:t xml:space="preserve"> </w:t>
      </w:r>
      <w:r w:rsidR="001F3E8C" w:rsidRPr="00975DA7">
        <w:rPr>
          <w:rFonts w:ascii="Times New Roman" w:hAnsi="Times New Roman" w:cs="Times New Roman"/>
        </w:rPr>
        <w:fldChar w:fldCharType="begin" w:fldLock="1"/>
      </w:r>
      <w:r w:rsidR="0029640B" w:rsidRPr="00975DA7">
        <w:rPr>
          <w:rFonts w:ascii="Times New Roman" w:hAnsi="Times New Roman" w:cs="Times New Roman"/>
        </w:rPr>
        <w:instrText>ADDIN CSL_CITATION {"citationItems":[{"id":"ITEM-1","itemData":{"DOI":"10.1073/pnas.1602413113","ISSN":"0027-8424","PMID":"27357684","author":[{"dropping-particle":"","family":"Eklund","given":"Anders","non-dropping-particle":"","parse-names":false,"suffix":""},{"dropping-particle":"","family":"Nichols","given":"Thomas E.","non-dropping-particle":"","parse-names":false,"suffix":""},{"dropping-particle":"","family":"Knutsson","given":"Hans","non-dropping-particle":"","parse-names":false,"suffix":""}],"container-title":"Proceedings of the National Academy of Sciences","id":"ITEM-1","issued":{"date-parts":[["2016"]]},"page":"201602413","title":"Cluster failure: Why fMRI inferences for spatial extent have inflated false-positive rates","type":"article-journal"},"uris":["http://www.mendeley.com/documents/?uuid=2708f722-24e6-4061-87e3-33eb7a959128"]}],"mendeley":{"formattedCitation":"(Eklund et al., 2016)","plainTextFormattedCitation":"(Eklund et al., 2016)","previouslyFormattedCitation":"(Eklund et al., 2016)"},"properties":{"noteIndex":0},"schema":"https://github.com/citation-style-language/schema/raw/master/csl-citation.json"}</w:instrText>
      </w:r>
      <w:r w:rsidR="001F3E8C" w:rsidRPr="00975DA7">
        <w:rPr>
          <w:rFonts w:ascii="Times New Roman" w:hAnsi="Times New Roman" w:cs="Times New Roman"/>
        </w:rPr>
        <w:fldChar w:fldCharType="separate"/>
      </w:r>
      <w:r w:rsidR="001F3E8C" w:rsidRPr="00975DA7">
        <w:rPr>
          <w:rFonts w:ascii="Times New Roman" w:hAnsi="Times New Roman" w:cs="Times New Roman"/>
          <w:noProof/>
        </w:rPr>
        <w:t>(Eklund et al., 2016)</w:t>
      </w:r>
      <w:r w:rsidR="001F3E8C" w:rsidRPr="00975DA7">
        <w:rPr>
          <w:rFonts w:ascii="Times New Roman" w:hAnsi="Times New Roman" w:cs="Times New Roman"/>
        </w:rPr>
        <w:fldChar w:fldCharType="end"/>
      </w:r>
      <w:r w:rsidRPr="00975DA7">
        <w:rPr>
          <w:rFonts w:ascii="Times New Roman" w:hAnsi="Times New Roman" w:cs="Times New Roman"/>
        </w:rPr>
        <w:t xml:space="preserve">. </w:t>
      </w:r>
    </w:p>
    <w:p w14:paraId="52C4E662" w14:textId="77777777" w:rsidR="0059177E" w:rsidRPr="00975DA7" w:rsidRDefault="0059177E" w:rsidP="00036AA4">
      <w:pPr>
        <w:spacing w:line="360" w:lineRule="auto"/>
        <w:rPr>
          <w:rFonts w:ascii="Times New Roman" w:hAnsi="Times New Roman" w:cs="Times New Roman"/>
        </w:rPr>
      </w:pPr>
    </w:p>
    <w:p w14:paraId="66C7181E" w14:textId="663A6A72" w:rsidR="0059177E" w:rsidRPr="00975DA7" w:rsidRDefault="00805596" w:rsidP="00036AA4">
      <w:pPr>
        <w:keepNext/>
        <w:spacing w:line="360" w:lineRule="auto"/>
        <w:rPr>
          <w:rFonts w:ascii="Times New Roman" w:hAnsi="Times New Roman" w:cs="Times New Roman"/>
          <w:i/>
        </w:rPr>
      </w:pPr>
      <w:r w:rsidRPr="00975DA7">
        <w:rPr>
          <w:rFonts w:ascii="Times New Roman" w:hAnsi="Times New Roman" w:cs="Times New Roman"/>
          <w:i/>
        </w:rPr>
        <w:t>2.</w:t>
      </w:r>
      <w:r w:rsidR="0059177E" w:rsidRPr="00975DA7">
        <w:rPr>
          <w:rFonts w:ascii="Times New Roman" w:hAnsi="Times New Roman" w:cs="Times New Roman"/>
          <w:i/>
        </w:rPr>
        <w:t xml:space="preserve">5.5. Characterising hemispheric </w:t>
      </w:r>
      <w:r w:rsidR="00300AC4" w:rsidRPr="00975DA7">
        <w:rPr>
          <w:rFonts w:ascii="Times New Roman" w:hAnsi="Times New Roman" w:cs="Times New Roman"/>
          <w:i/>
        </w:rPr>
        <w:t xml:space="preserve">similarities and </w:t>
      </w:r>
      <w:r w:rsidR="0059177E" w:rsidRPr="00975DA7">
        <w:rPr>
          <w:rFonts w:ascii="Times New Roman" w:hAnsi="Times New Roman" w:cs="Times New Roman"/>
          <w:i/>
        </w:rPr>
        <w:t xml:space="preserve">differences in intrinsic connectivity </w:t>
      </w:r>
    </w:p>
    <w:p w14:paraId="7EF5118F" w14:textId="3CA87005" w:rsidR="0059177E" w:rsidRPr="00975DA7" w:rsidRDefault="008F3F3D" w:rsidP="00036AA4">
      <w:pPr>
        <w:keepNext/>
        <w:spacing w:line="360" w:lineRule="auto"/>
        <w:rPr>
          <w:rFonts w:ascii="Times New Roman" w:hAnsi="Times New Roman" w:cs="Times New Roman"/>
        </w:rPr>
      </w:pPr>
      <w:r w:rsidRPr="00975DA7">
        <w:rPr>
          <w:rFonts w:ascii="Times New Roman" w:hAnsi="Times New Roman" w:cs="Times New Roman"/>
        </w:rPr>
        <w:t>Having characterised the whole-brain intrinsic connectivity of each site, we directly compared  connectivity across the hemispheres</w:t>
      </w:r>
      <w:r w:rsidR="0059177E" w:rsidRPr="00975DA7">
        <w:rPr>
          <w:rFonts w:ascii="Times New Roman" w:hAnsi="Times New Roman" w:cs="Times New Roman"/>
        </w:rPr>
        <w:t xml:space="preserve">. We took the intrinsic connectivity of single seeds at the individual level and defined a second level analysis </w:t>
      </w:r>
      <w:r w:rsidRPr="00975DA7">
        <w:rPr>
          <w:rFonts w:ascii="Times New Roman" w:hAnsi="Times New Roman" w:cs="Times New Roman"/>
        </w:rPr>
        <w:t>including the</w:t>
      </w:r>
      <w:r w:rsidR="0059177E" w:rsidRPr="00975DA7">
        <w:rPr>
          <w:rFonts w:ascii="Times New Roman" w:hAnsi="Times New Roman" w:cs="Times New Roman"/>
        </w:rPr>
        <w:t xml:space="preserve"> </w:t>
      </w:r>
      <w:r w:rsidR="008C6D7B" w:rsidRPr="00975DA7">
        <w:rPr>
          <w:rFonts w:ascii="Times New Roman" w:hAnsi="Times New Roman" w:cs="Times New Roman"/>
        </w:rPr>
        <w:t>LH</w:t>
      </w:r>
      <w:r w:rsidR="0059177E" w:rsidRPr="00975DA7">
        <w:rPr>
          <w:rFonts w:ascii="Times New Roman" w:hAnsi="Times New Roman" w:cs="Times New Roman"/>
        </w:rPr>
        <w:t xml:space="preserve"> and </w:t>
      </w:r>
      <w:r w:rsidR="008C6D7B" w:rsidRPr="00975DA7">
        <w:rPr>
          <w:rFonts w:ascii="Times New Roman" w:hAnsi="Times New Roman" w:cs="Times New Roman"/>
        </w:rPr>
        <w:t>RH</w:t>
      </w:r>
      <w:r w:rsidR="0059177E" w:rsidRPr="00975DA7">
        <w:rPr>
          <w:rFonts w:ascii="Times New Roman" w:hAnsi="Times New Roman" w:cs="Times New Roman"/>
        </w:rPr>
        <w:t xml:space="preserve"> seeds as two EVs</w:t>
      </w:r>
      <w:r w:rsidRPr="00975DA7">
        <w:rPr>
          <w:rFonts w:ascii="Times New Roman" w:hAnsi="Times New Roman" w:cs="Times New Roman"/>
        </w:rPr>
        <w:t xml:space="preserve">, including </w:t>
      </w:r>
      <w:r w:rsidR="0059177E" w:rsidRPr="00975DA7">
        <w:rPr>
          <w:rFonts w:ascii="Times New Roman" w:hAnsi="Times New Roman" w:cs="Times New Roman"/>
        </w:rPr>
        <w:t>two contrasts: left &gt; right seed connectivity and the reverse. Significant clusters at the group level were defined as above.</w:t>
      </w:r>
    </w:p>
    <w:p w14:paraId="121B8965" w14:textId="5CD970EF" w:rsidR="0059177E" w:rsidRPr="00975DA7" w:rsidRDefault="0059177E" w:rsidP="00E735E3">
      <w:pPr>
        <w:spacing w:line="360" w:lineRule="auto"/>
        <w:rPr>
          <w:rFonts w:ascii="Times New Roman" w:hAnsi="Times New Roman" w:cs="Times New Roman"/>
        </w:rPr>
      </w:pPr>
      <w:r w:rsidRPr="00975DA7">
        <w:rPr>
          <w:rFonts w:ascii="Times New Roman" w:hAnsi="Times New Roman" w:cs="Times New Roman"/>
        </w:rPr>
        <w:t xml:space="preserve">This direct comparison of </w:t>
      </w:r>
      <w:r w:rsidR="00300AC4" w:rsidRPr="00975DA7">
        <w:rPr>
          <w:rFonts w:ascii="Times New Roman" w:hAnsi="Times New Roman" w:cs="Times New Roman"/>
        </w:rPr>
        <w:t>LH</w:t>
      </w:r>
      <w:r w:rsidRPr="00975DA7">
        <w:rPr>
          <w:rFonts w:ascii="Times New Roman" w:hAnsi="Times New Roman" w:cs="Times New Roman"/>
        </w:rPr>
        <w:t xml:space="preserve"> and </w:t>
      </w:r>
      <w:r w:rsidR="00300AC4" w:rsidRPr="00975DA7">
        <w:rPr>
          <w:rFonts w:ascii="Times New Roman" w:hAnsi="Times New Roman" w:cs="Times New Roman"/>
        </w:rPr>
        <w:t>RH</w:t>
      </w:r>
      <w:r w:rsidRPr="00975DA7">
        <w:rPr>
          <w:rFonts w:ascii="Times New Roman" w:hAnsi="Times New Roman" w:cs="Times New Roman"/>
        </w:rPr>
        <w:t xml:space="preserve"> seeds yielded largely left-lateralised regions for the left &gt; right connectivity contrast and largely right-lateralised regions for the reverse contrast. These two lateralised maps had similar shapes, although there were some asymmetries. In order to identify regions in which these patterns of differential connectivity varied across the hemispheres, we performed a second difference analysis. We </w:t>
      </w:r>
      <w:r w:rsidR="00422720" w:rsidRPr="00975DA7">
        <w:rPr>
          <w:rFonts w:ascii="Times New Roman" w:hAnsi="Times New Roman" w:cs="Times New Roman"/>
        </w:rPr>
        <w:t>projected</w:t>
      </w:r>
      <w:r w:rsidRPr="00975DA7">
        <w:rPr>
          <w:rFonts w:ascii="Times New Roman" w:hAnsi="Times New Roman" w:cs="Times New Roman"/>
        </w:rPr>
        <w:t xml:space="preserve"> the </w:t>
      </w:r>
      <w:r w:rsidR="00D61D8B" w:rsidRPr="00975DA7">
        <w:rPr>
          <w:rFonts w:ascii="Times New Roman" w:hAnsi="Times New Roman" w:cs="Times New Roman"/>
        </w:rPr>
        <w:t>RH</w:t>
      </w:r>
      <w:r w:rsidRPr="00975DA7">
        <w:rPr>
          <w:rFonts w:ascii="Times New Roman" w:hAnsi="Times New Roman" w:cs="Times New Roman"/>
        </w:rPr>
        <w:t xml:space="preserve"> connectivity map into </w:t>
      </w:r>
      <w:r w:rsidR="006C5629" w:rsidRPr="00975DA7">
        <w:rPr>
          <w:rFonts w:ascii="Times New Roman" w:hAnsi="Times New Roman" w:cs="Times New Roman"/>
        </w:rPr>
        <w:t>LH</w:t>
      </w:r>
      <w:r w:rsidRPr="00975DA7">
        <w:rPr>
          <w:rFonts w:ascii="Times New Roman" w:hAnsi="Times New Roman" w:cs="Times New Roman"/>
        </w:rPr>
        <w:t xml:space="preserve"> coordinate space for each participant (using </w:t>
      </w:r>
      <w:r w:rsidR="00B82B2D" w:rsidRPr="00975DA7">
        <w:rPr>
          <w:rFonts w:ascii="Times New Roman" w:hAnsi="Times New Roman" w:cs="Times New Roman"/>
        </w:rPr>
        <w:t>the tool ‘fslswapdim’ in FSL 4.1</w:t>
      </w:r>
      <w:r w:rsidRPr="00975DA7">
        <w:rPr>
          <w:rFonts w:ascii="Times New Roman" w:hAnsi="Times New Roman" w:cs="Times New Roman"/>
        </w:rPr>
        <w:t xml:space="preserve">. specifying as the only transformation the inversion of the x axis). This allowed us to perform a direct comparison of the shapes of the connectivity patterns for </w:t>
      </w:r>
      <w:r w:rsidR="00300AC4" w:rsidRPr="00975DA7">
        <w:rPr>
          <w:rFonts w:ascii="Times New Roman" w:hAnsi="Times New Roman" w:cs="Times New Roman"/>
        </w:rPr>
        <w:t>LH</w:t>
      </w:r>
      <w:r w:rsidRPr="00975DA7">
        <w:rPr>
          <w:rFonts w:ascii="Times New Roman" w:hAnsi="Times New Roman" w:cs="Times New Roman"/>
        </w:rPr>
        <w:t xml:space="preserve"> and </w:t>
      </w:r>
      <w:r w:rsidR="00300AC4" w:rsidRPr="00975DA7">
        <w:rPr>
          <w:rFonts w:ascii="Times New Roman" w:hAnsi="Times New Roman" w:cs="Times New Roman"/>
        </w:rPr>
        <w:t>RH</w:t>
      </w:r>
      <w:r w:rsidRPr="00975DA7">
        <w:rPr>
          <w:rFonts w:ascii="Times New Roman" w:hAnsi="Times New Roman" w:cs="Times New Roman"/>
        </w:rPr>
        <w:t xml:space="preserve">. This is akin to the ‘Flip Method’ described in </w:t>
      </w:r>
      <w:r w:rsidRPr="00975DA7">
        <w:rPr>
          <w:rFonts w:ascii="Times New Roman" w:hAnsi="Times New Roman" w:cs="Times New Roman"/>
        </w:rPr>
        <w:fldChar w:fldCharType="begin" w:fldLock="1"/>
      </w:r>
      <w:r w:rsidR="00E05F20" w:rsidRPr="00975DA7">
        <w:rPr>
          <w:rFonts w:ascii="Times New Roman" w:hAnsi="Times New Roman" w:cs="Times New Roman"/>
        </w:rPr>
        <w:instrText>ADDIN CSL_CITATION {"citationItems":[{"id":"ITEM-1","itemData":{"DOI":"10.1016/j.ejrad.2004.11.004","ISBN":"0720-048X","ISSN":"0720048X","PMID":"16036149","abstract":"We evaluated two methods for quantifying the hemispheric language dominance in healthy subjects, by using a rhyme detection (deciding whether couple of words rhyme) and a word fluency (generating words starting with a given letter) task. One of methods called \"flip method\" (FM) was based on the direct statistical comparison between hemispheres' activity. The second one, the classical lateralization indices method (LIM), was based on calculating lateralization indices by taking into account the number of activated pixels within hemispheres. The main difference between methods is the statistical assessment of the inter-hemispheric difference: while FM shows if the difference between hemispheres' activity is statistically significant, LIM shows only that if there is a difference between hemispheres. The robustness of LIM and FM was assessed by calculating correlation coefficients between LIs obtained with each of these methods and manual lateralization indices MLI obtained with Edinburgh inventory. Our results showed significant correlation between LIs provided by each method and the MIL, suggesting that both methods are robust for quantifying hemispheric dominance for language in healthy subjects. In the present study we also evaluated the effect of spatial normalization, smoothing and \"clustering\" (NSC) on the intra-hemispheric location of activated regions and inter-hemispheric asymmetry of the activation. Our results have shown that NSC did not affect the hemispheric specialization but increased the value of the inter-hemispheric difference. © 2004 Elsevier Ireland Ltd. All rights reserved.","author":[{"dropping-particle":"","family":"Baciu","given":"Monica","non-dropping-particle":"","parse-names":false,"suffix":""},{"dropping-particle":"","family":"Juphard","given":"Alexandra","non-dropping-particle":"","parse-names":false,"suffix":""},{"dropping-particle":"","family":"Cousin","given":"Emilie","non-dropping-particle":"","parse-names":false,"suffix":""},{"dropping-particle":"","family":"Bas","given":"Jean François","non-dropping-particle":"Le","parse-names":false,"suffix":""}],"container-title":"European Journal of Radiology","id":"ITEM-1","issue":"2","issued":{"date-parts":[["2005"]]},"page":"209-218","title":"Evaluating fMRI methods for assessing hemispheric language dominance in healthy subjects","type":"article-journal","volume":"55"},"uris":["http://www.mendeley.com/documents/?uuid=095b14a0-6588-4e30-b976-6b79330fd399"]}],"mendeley":{"formattedCitation":"(Baciu et al., 2005)","manualFormatting":"Baciu et al., 2005. ","plainTextFormattedCitation":"(Baciu et al., 2005)","previouslyFormattedCitation":"(Baciu et al., 2005)"},"properties":{"noteIndex":0},"schema":"https://github.com/citation-style-language/schema/raw/master/csl-citation.json"}</w:instrText>
      </w:r>
      <w:r w:rsidRPr="00975DA7">
        <w:rPr>
          <w:rFonts w:ascii="Times New Roman" w:hAnsi="Times New Roman" w:cs="Times New Roman"/>
        </w:rPr>
        <w:fldChar w:fldCharType="separate"/>
      </w:r>
      <w:r w:rsidRPr="00975DA7">
        <w:rPr>
          <w:rFonts w:ascii="Times New Roman" w:hAnsi="Times New Roman" w:cs="Times New Roman"/>
          <w:noProof/>
        </w:rPr>
        <w:t xml:space="preserve">Baciu et al., 2005. </w:t>
      </w:r>
      <w:r w:rsidRPr="00975DA7">
        <w:rPr>
          <w:rFonts w:ascii="Times New Roman" w:hAnsi="Times New Roman" w:cs="Times New Roman"/>
        </w:rPr>
        <w:fldChar w:fldCharType="end"/>
      </w:r>
      <w:r w:rsidRPr="00975DA7">
        <w:rPr>
          <w:rFonts w:ascii="Times New Roman" w:hAnsi="Times New Roman" w:cs="Times New Roman"/>
        </w:rPr>
        <w:t xml:space="preserve">At the group level, we again defined two contrasts: left &gt; right flipped hemisphere connectivity and the reverse. </w:t>
      </w:r>
      <w:r w:rsidR="00C32BE4" w:rsidRPr="00975DA7">
        <w:rPr>
          <w:rFonts w:ascii="Times New Roman" w:hAnsi="Times New Roman" w:cs="Times New Roman"/>
        </w:rPr>
        <w:t xml:space="preserve">The flip method </w:t>
      </w:r>
      <w:r w:rsidR="00F6172D" w:rsidRPr="00975DA7">
        <w:rPr>
          <w:rFonts w:ascii="Times New Roman" w:hAnsi="Times New Roman" w:cs="Times New Roman"/>
        </w:rPr>
        <w:t>therefore</w:t>
      </w:r>
      <w:r w:rsidR="00C32BE4" w:rsidRPr="00975DA7">
        <w:rPr>
          <w:rFonts w:ascii="Times New Roman" w:hAnsi="Times New Roman" w:cs="Times New Roman"/>
        </w:rPr>
        <w:t xml:space="preserve"> identified regions where LH seeds showed heightened connectivity, compared to </w:t>
      </w:r>
      <w:r w:rsidR="00F6172D" w:rsidRPr="00975DA7">
        <w:rPr>
          <w:rFonts w:ascii="Times New Roman" w:hAnsi="Times New Roman" w:cs="Times New Roman"/>
        </w:rPr>
        <w:t>the expected pattern from RH</w:t>
      </w:r>
      <w:r w:rsidR="00C32BE4" w:rsidRPr="00975DA7">
        <w:rPr>
          <w:rFonts w:ascii="Times New Roman" w:hAnsi="Times New Roman" w:cs="Times New Roman"/>
        </w:rPr>
        <w:t>. Figure 2 provides a summary of the analysis pipeline.</w:t>
      </w:r>
    </w:p>
    <w:p w14:paraId="1CCE575E" w14:textId="77777777" w:rsidR="00E735E3" w:rsidRPr="00975DA7" w:rsidRDefault="00E735E3" w:rsidP="00E735E3">
      <w:pPr>
        <w:spacing w:line="360" w:lineRule="auto"/>
      </w:pPr>
    </w:p>
    <w:p w14:paraId="4572AEF3" w14:textId="77777777" w:rsidR="0059177E" w:rsidRPr="00975DA7" w:rsidRDefault="0059177E" w:rsidP="00E735E3">
      <w:r w:rsidRPr="00975DA7">
        <w:rPr>
          <w:noProof/>
          <w:lang w:eastAsia="en-GB"/>
        </w:rPr>
        <w:lastRenderedPageBreak/>
        <w:drawing>
          <wp:inline distT="114300" distB="114300" distL="114300" distR="114300" wp14:anchorId="6A99FB6C" wp14:editId="304F3CF2">
            <wp:extent cx="5734050" cy="3200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734050" cy="3200400"/>
                    </a:xfrm>
                    <a:prstGeom prst="rect">
                      <a:avLst/>
                    </a:prstGeom>
                    <a:ln/>
                  </pic:spPr>
                </pic:pic>
              </a:graphicData>
            </a:graphic>
          </wp:inline>
        </w:drawing>
      </w:r>
    </w:p>
    <w:p w14:paraId="5BAE7026" w14:textId="4C1B30D5" w:rsidR="0059177E" w:rsidRPr="00975DA7" w:rsidRDefault="0059177E" w:rsidP="00E735E3">
      <w:pPr>
        <w:rPr>
          <w:rFonts w:ascii="Times New Roman" w:hAnsi="Times New Roman" w:cs="Times New Roman"/>
        </w:rPr>
      </w:pPr>
      <w:r w:rsidRPr="00975DA7">
        <w:rPr>
          <w:rFonts w:ascii="Times New Roman" w:hAnsi="Times New Roman" w:cs="Times New Roman"/>
        </w:rPr>
        <w:t>Figure 2. Analysis pipeline for the single seed correlation analysis and for the difference analyses using posterior middle temporal gyrus as an example. The A and B columns illustrate our single seed analyses, while A&gt;B and A&gt;C show our direct and flipped difference analyses respectively. The green arrow describes our pipeline for the direct comparison difference maps</w:t>
      </w:r>
      <w:r w:rsidR="00D1316D" w:rsidRPr="00975DA7">
        <w:rPr>
          <w:rFonts w:ascii="Times New Roman" w:hAnsi="Times New Roman" w:cs="Times New Roman"/>
        </w:rPr>
        <w:t>, which highlight</w:t>
      </w:r>
      <w:r w:rsidR="00506176" w:rsidRPr="00975DA7">
        <w:rPr>
          <w:rFonts w:ascii="Times New Roman" w:hAnsi="Times New Roman" w:cs="Times New Roman"/>
        </w:rPr>
        <w:t xml:space="preserve"> the differences in the topography</w:t>
      </w:r>
      <w:r w:rsidR="00D1316D" w:rsidRPr="00975DA7">
        <w:rPr>
          <w:rFonts w:ascii="Times New Roman" w:hAnsi="Times New Roman" w:cs="Times New Roman"/>
        </w:rPr>
        <w:t xml:space="preserve"> of connectivity for left and right seeds</w:t>
      </w:r>
      <w:r w:rsidRPr="00975DA7">
        <w:rPr>
          <w:rFonts w:ascii="Times New Roman" w:hAnsi="Times New Roman" w:cs="Times New Roman"/>
        </w:rPr>
        <w:t>, while the yellow shows the one for the flipped difference maps</w:t>
      </w:r>
      <w:r w:rsidR="00D1316D" w:rsidRPr="00975DA7">
        <w:rPr>
          <w:rFonts w:ascii="Times New Roman" w:hAnsi="Times New Roman" w:cs="Times New Roman"/>
        </w:rPr>
        <w:t xml:space="preserve">, which reveal differences in the shape of these </w:t>
      </w:r>
      <w:r w:rsidR="00506176" w:rsidRPr="00975DA7">
        <w:rPr>
          <w:rFonts w:ascii="Times New Roman" w:hAnsi="Times New Roman" w:cs="Times New Roman"/>
        </w:rPr>
        <w:t>topographies</w:t>
      </w:r>
      <w:r w:rsidR="00D1316D" w:rsidRPr="00975DA7">
        <w:rPr>
          <w:rFonts w:ascii="Times New Roman" w:hAnsi="Times New Roman" w:cs="Times New Roman"/>
        </w:rPr>
        <w:t xml:space="preserve"> for left and right seeds</w:t>
      </w:r>
      <w:r w:rsidRPr="00975DA7">
        <w:rPr>
          <w:rFonts w:ascii="Times New Roman" w:hAnsi="Times New Roman" w:cs="Times New Roman"/>
        </w:rPr>
        <w:t>.</w:t>
      </w:r>
    </w:p>
    <w:p w14:paraId="43880BAD" w14:textId="77777777" w:rsidR="001D66A8" w:rsidRPr="00975DA7" w:rsidRDefault="001D66A8" w:rsidP="0059177E">
      <w:pPr>
        <w:rPr>
          <w:rFonts w:ascii="Times New Roman" w:hAnsi="Times New Roman" w:cs="Times New Roman"/>
        </w:rPr>
      </w:pPr>
    </w:p>
    <w:p w14:paraId="6FC8A1DA" w14:textId="32A2A925" w:rsidR="00D0766E" w:rsidRPr="00975DA7" w:rsidRDefault="001D66A8" w:rsidP="009A4035">
      <w:pPr>
        <w:spacing w:line="360" w:lineRule="auto"/>
        <w:rPr>
          <w:rFonts w:ascii="Times New Roman" w:hAnsi="Times New Roman" w:cs="Times New Roman"/>
        </w:rPr>
      </w:pPr>
      <w:r w:rsidRPr="00975DA7">
        <w:rPr>
          <w:rFonts w:ascii="Times New Roman" w:hAnsi="Times New Roman" w:cs="Times New Roman"/>
        </w:rPr>
        <w:t xml:space="preserve">We examined the conjunctions for pairs of seed regions allied to (i) </w:t>
      </w:r>
      <w:r w:rsidR="009A4035" w:rsidRPr="00975DA7">
        <w:rPr>
          <w:rFonts w:ascii="Times New Roman" w:hAnsi="Times New Roman" w:cs="Times New Roman"/>
        </w:rPr>
        <w:t>the semantic control network (IFG and pMTG) and (ii) not implicated in semantic control (ATL and AG)</w:t>
      </w:r>
      <w:r w:rsidRPr="00975DA7">
        <w:rPr>
          <w:rFonts w:ascii="Times New Roman" w:hAnsi="Times New Roman" w:cs="Times New Roman"/>
        </w:rPr>
        <w:t xml:space="preserve">, to identify voxels connected to </w:t>
      </w:r>
      <w:r w:rsidR="006811EE" w:rsidRPr="00975DA7">
        <w:rPr>
          <w:rFonts w:ascii="Times New Roman" w:hAnsi="Times New Roman" w:cs="Times New Roman"/>
        </w:rPr>
        <w:t xml:space="preserve">both </w:t>
      </w:r>
      <w:r w:rsidRPr="00975DA7">
        <w:rPr>
          <w:rFonts w:ascii="Times New Roman" w:hAnsi="Times New Roman" w:cs="Times New Roman"/>
        </w:rPr>
        <w:t>regions using the ‘easythresh_conj’ tool in FSL</w:t>
      </w:r>
      <w:r w:rsidR="00D0766E" w:rsidRPr="00975DA7">
        <w:rPr>
          <w:rFonts w:ascii="Times New Roman" w:hAnsi="Times New Roman" w:cs="Times New Roman"/>
        </w:rPr>
        <w:t xml:space="preserve"> (Z=3.1, p=.05)</w:t>
      </w:r>
      <w:r w:rsidR="0098172D" w:rsidRPr="00975DA7">
        <w:rPr>
          <w:rFonts w:ascii="Times New Roman" w:hAnsi="Times New Roman" w:cs="Times New Roman"/>
        </w:rPr>
        <w:t xml:space="preserve">; we did this for the LH and RH </w:t>
      </w:r>
      <w:r w:rsidR="00CC0A4B" w:rsidRPr="00975DA7">
        <w:rPr>
          <w:rFonts w:ascii="Times New Roman" w:hAnsi="Times New Roman" w:cs="Times New Roman"/>
        </w:rPr>
        <w:t>group maps resulting from 2.5.4</w:t>
      </w:r>
      <w:r w:rsidR="0098172D" w:rsidRPr="00975DA7">
        <w:rPr>
          <w:rFonts w:ascii="Times New Roman" w:hAnsi="Times New Roman" w:cs="Times New Roman"/>
        </w:rPr>
        <w:t xml:space="preserve"> separately</w:t>
      </w:r>
      <w:r w:rsidRPr="00975DA7">
        <w:rPr>
          <w:rFonts w:ascii="Times New Roman" w:hAnsi="Times New Roman" w:cs="Times New Roman"/>
        </w:rPr>
        <w:t>.</w:t>
      </w:r>
      <w:r w:rsidR="00D0766E" w:rsidRPr="00975DA7">
        <w:rPr>
          <w:rFonts w:ascii="Times New Roman" w:hAnsi="Times New Roman" w:cs="Times New Roman"/>
        </w:rPr>
        <w:t xml:space="preserve"> We then computed voxels that were common for each conjunction in both hemispheres performing a binarised multiplication of the LH and the RH conjunction maps for each conjunction separately.</w:t>
      </w:r>
      <w:r w:rsidR="00AF5420" w:rsidRPr="00975DA7">
        <w:rPr>
          <w:rFonts w:ascii="Times New Roman" w:hAnsi="Times New Roman" w:cs="Times New Roman"/>
        </w:rPr>
        <w:t xml:space="preserve"> </w:t>
      </w:r>
      <w:r w:rsidR="00137BCE" w:rsidRPr="00975DA7">
        <w:rPr>
          <w:rFonts w:ascii="Times New Roman" w:hAnsi="Times New Roman" w:cs="Times New Roman"/>
        </w:rPr>
        <w:t>Supplementary Analysis S3</w:t>
      </w:r>
      <w:r w:rsidR="009A4035" w:rsidRPr="00975DA7">
        <w:rPr>
          <w:rFonts w:ascii="Times New Roman" w:hAnsi="Times New Roman" w:cs="Times New Roman"/>
        </w:rPr>
        <w:t xml:space="preserve"> provides the shared connectivity of each LH seed and its RH homotope; these maps are also available on </w:t>
      </w:r>
      <w:r w:rsidR="000B233B" w:rsidRPr="00975DA7">
        <w:rPr>
          <w:rFonts w:ascii="Times New Roman" w:hAnsi="Times New Roman" w:cs="Times New Roman"/>
        </w:rPr>
        <w:t>NeuroVault (</w:t>
      </w:r>
      <w:hyperlink r:id="rId14" w:history="1">
        <w:r w:rsidR="000B233B" w:rsidRPr="00975DA7">
          <w:rPr>
            <w:rStyle w:val="Hyperlink"/>
          </w:rPr>
          <w:t>https://neurovault.org/collections/4683/</w:t>
        </w:r>
      </w:hyperlink>
      <w:r w:rsidR="000B233B" w:rsidRPr="00975DA7">
        <w:t>)</w:t>
      </w:r>
      <w:r w:rsidR="00AF5420" w:rsidRPr="00975DA7">
        <w:rPr>
          <w:rFonts w:ascii="Times New Roman" w:hAnsi="Times New Roman" w:cs="Times New Roman"/>
        </w:rPr>
        <w:t xml:space="preserve">. </w:t>
      </w:r>
    </w:p>
    <w:p w14:paraId="60D44838" w14:textId="77777777" w:rsidR="0059177E" w:rsidRPr="00975DA7" w:rsidRDefault="0059177E" w:rsidP="002C1867">
      <w:pPr>
        <w:spacing w:line="360" w:lineRule="auto"/>
        <w:rPr>
          <w:rFonts w:ascii="Times New Roman" w:hAnsi="Times New Roman" w:cs="Times New Roman"/>
        </w:rPr>
      </w:pPr>
    </w:p>
    <w:p w14:paraId="4AE380A2" w14:textId="15CAF807" w:rsidR="0059177E" w:rsidRPr="00975DA7" w:rsidRDefault="00805596" w:rsidP="002C1867">
      <w:pPr>
        <w:keepNext/>
        <w:spacing w:line="360" w:lineRule="auto"/>
        <w:rPr>
          <w:rFonts w:ascii="Times New Roman" w:hAnsi="Times New Roman" w:cs="Times New Roman"/>
          <w:i/>
          <w:u w:val="single"/>
        </w:rPr>
      </w:pPr>
      <w:r w:rsidRPr="00975DA7">
        <w:rPr>
          <w:rFonts w:ascii="Times New Roman" w:hAnsi="Times New Roman" w:cs="Times New Roman"/>
          <w:i/>
        </w:rPr>
        <w:t>2.</w:t>
      </w:r>
      <w:r w:rsidR="0059177E" w:rsidRPr="00975DA7">
        <w:rPr>
          <w:rFonts w:ascii="Times New Roman" w:hAnsi="Times New Roman" w:cs="Times New Roman"/>
          <w:i/>
        </w:rPr>
        <w:t>5.6</w:t>
      </w:r>
      <w:r w:rsidRPr="00975DA7">
        <w:rPr>
          <w:rFonts w:ascii="Times New Roman" w:hAnsi="Times New Roman" w:cs="Times New Roman"/>
          <w:i/>
        </w:rPr>
        <w:t>.</w:t>
      </w:r>
      <w:r w:rsidR="0059177E" w:rsidRPr="00975DA7">
        <w:rPr>
          <w:rFonts w:ascii="Times New Roman" w:hAnsi="Times New Roman" w:cs="Times New Roman"/>
          <w:i/>
        </w:rPr>
        <w:t xml:space="preserve"> Cognitive decoding and automated meta-analysis using Neurosynth</w:t>
      </w:r>
    </w:p>
    <w:p w14:paraId="0A52B47E" w14:textId="61ACBE74" w:rsidR="00F45B64" w:rsidRPr="00975DA7" w:rsidRDefault="0099461A" w:rsidP="002C1867">
      <w:pPr>
        <w:keepNext/>
        <w:spacing w:line="360" w:lineRule="auto"/>
        <w:rPr>
          <w:rFonts w:ascii="Times New Roman" w:hAnsi="Times New Roman" w:cs="Times New Roman"/>
        </w:rPr>
      </w:pPr>
      <w:r w:rsidRPr="00975DA7">
        <w:rPr>
          <w:rFonts w:ascii="Times New Roman" w:hAnsi="Times New Roman" w:cs="Times New Roman"/>
        </w:rPr>
        <w:t>C</w:t>
      </w:r>
      <w:r w:rsidR="0059177E" w:rsidRPr="00975DA7">
        <w:rPr>
          <w:rFonts w:ascii="Times New Roman" w:hAnsi="Times New Roman" w:cs="Times New Roman"/>
        </w:rPr>
        <w:t xml:space="preserve">onnectivity maps were uploaded to Neurovault </w:t>
      </w:r>
      <w:r w:rsidR="0059177E" w:rsidRPr="00975DA7">
        <w:rPr>
          <w:rFonts w:ascii="Times New Roman" w:hAnsi="Times New Roman" w:cs="Times New Roman"/>
        </w:rPr>
        <w:fldChar w:fldCharType="begin" w:fldLock="1"/>
      </w:r>
      <w:r w:rsidR="0059177E" w:rsidRPr="00975DA7">
        <w:rPr>
          <w:rFonts w:ascii="Times New Roman" w:hAnsi="Times New Roman" w:cs="Times New Roman"/>
        </w:rPr>
        <w:instrText>ADDIN CSL_CITATION {"citationItems":[{"id":"ITEM-1","itemData":{"DOI":"10.3389/fninf.2015.00008","ISBN":"1662-5196 (Electronic)\\r1662-5196 (Linking)","ISSN":"1662-5196","PMID":"25914639","abstract":"Here we present NeuroVault — a web based repository that allows researchers to store, share, visualise, and decode statistical maps of the human brain. NeuroVault is easy to use and employs modern web technologies to provide informative visualisation of data without the need to install additional software. In addition it leverages the power of the Neurosynth database to provide cognitive decoding of deposited maps. NeuroVault is also a resource for researchers interested in conducting meta- and coactivation analyses. All of the data is exposed through a public REST API enabling other services and tools to take advantage of it.","author":[{"dropping-particle":"","family":"Gorgolewski","given":"Krzysztof J.","non-dropping-particle":"","parse-names":false,"suffix":""},{"dropping-particle":"","family":"Varoquaux","given":"Gael","non-dropping-particle":"","parse-names":false,"suffix":""},{"dropping-particle":"","family":"Rivera","given":"Gabriel","non-dropping-particle":"","parse-names":false,"suffix":""},{"dropping-particle":"","family":"Schwarz","given":"Yannick","non-dropping-particle":"","parse-names":false,"suffix":""},{"dropping-particle":"","family":"Ghosh","given":"Satrajit S.","non-dropping-particle":"","parse-names":false,"suffix":""},{"dropping-particle":"","family":"Maumet","given":"Camille","non-dropping-particle":"","parse-names":false,"suffix":""},{"dropping-particle":"V.","family":"Sochat","given":"Vanessa","non-dropping-particle":"","parse-names":false,"suffix":""},{"dropping-particle":"","family":"Nichols","given":"Thomas E.","non-dropping-particle":"","parse-names":false,"suffix":""},{"dropping-particle":"","family":"Poldrack","given":"Russell A.","non-dropping-particle":"","parse-names":false,"suffix":""},{"dropping-particle":"","family":"Poline","given":"Jean-Baptiste","non-dropping-particle":"","parse-names":false,"suffix":""},{"dropping-particle":"","family":"Yarkoni","given":"Tal","non-dropping-particle":"","parse-names":false,"suffix":""},{"dropping-particle":"","family":"Margulies","given":"Daniel S.","non-dropping-particle":"","parse-names":false,"suffix":""}],"container-title":"Frontiers in Neuroinformatics","id":"ITEM-1","issue":"April","issued":{"date-parts":[["2015"]]},"page":"1-9","title":"NeuroVault.org: a web-based repository for collecting and sharing unthresholded statistical maps of the human brain","type":"article-journal","volume":"9"},"uris":["http://www.mendeley.com/documents/?uuid=c5eee111-0439-49f7-9170-441b660b1288"]}],"mendeley":{"formattedCitation":"(Gorgolewski et al., 2015)","manualFormatting":"(Gorgolewski et al., 2015, https://neurovault.org/collections/4683/)","plainTextFormattedCitation":"(Gorgolewski et al., 2015)","previouslyFormattedCitation":"(Gorgolewski et al., 2015)"},"properties":{"noteIndex":0},"schema":"https://github.com/citation-style-language/schema/raw/master/csl-citation.json"}</w:instrText>
      </w:r>
      <w:r w:rsidR="0059177E" w:rsidRPr="00975DA7">
        <w:rPr>
          <w:rFonts w:ascii="Times New Roman" w:hAnsi="Times New Roman" w:cs="Times New Roman"/>
        </w:rPr>
        <w:fldChar w:fldCharType="separate"/>
      </w:r>
      <w:r w:rsidR="0059177E" w:rsidRPr="00975DA7">
        <w:rPr>
          <w:rFonts w:ascii="Times New Roman" w:hAnsi="Times New Roman" w:cs="Times New Roman"/>
          <w:noProof/>
        </w:rPr>
        <w:t>(Gorgolewski et al., 2015, https://neurovault.org/collections/4683/)</w:t>
      </w:r>
      <w:r w:rsidR="0059177E" w:rsidRPr="00975DA7">
        <w:rPr>
          <w:rFonts w:ascii="Times New Roman" w:hAnsi="Times New Roman" w:cs="Times New Roman"/>
        </w:rPr>
        <w:fldChar w:fldCharType="end"/>
      </w:r>
      <w:r w:rsidR="0059177E" w:rsidRPr="00975DA7">
        <w:rPr>
          <w:rFonts w:ascii="Times New Roman" w:hAnsi="Times New Roman" w:cs="Times New Roman"/>
        </w:rPr>
        <w:t xml:space="preserve"> and decoded using Neurosynth </w:t>
      </w:r>
      <w:r w:rsidR="0059177E" w:rsidRPr="00975DA7">
        <w:rPr>
          <w:rFonts w:ascii="Times New Roman" w:hAnsi="Times New Roman" w:cs="Times New Roman"/>
        </w:rPr>
        <w:fldChar w:fldCharType="begin" w:fldLock="1"/>
      </w:r>
      <w:r w:rsidR="00B67EB9" w:rsidRPr="00975DA7">
        <w:rPr>
          <w:rFonts w:ascii="Times New Roman" w:hAnsi="Times New Roman" w:cs="Times New Roman"/>
        </w:rPr>
        <w:instrText>ADDIN CSL_CITATION {"citationItems":[{"id":"ITEM-1","itemData":{"DOI":"10.1038/nmeth.1635","ISBN":"1548-7105 (Electronic)$\\$r1548-7091 (Linking)","ISSN":"1548-7105","PMID":"21706013","abstract":"The rapid growth of the literature on neuroimaging in humans has led to major advances in our understanding of human brain function but has also made it increasingly difficult to aggregate and synthesize neuroimaging findings. Here we describe and validate an automated brain-mapping framework that uses text-mining, meta-analysis and machine-learning techniques to generate a large database of mappings between neural and cognitive states. We show that our approach can be used to automatically conduct large-scale, high-quality neuroimaging meta-analyses, address long-standing inferential problems in the neuroimaging literature and support accurate 'decoding' of broad cognitive states from brain activity in both entire studies and individual human subjects. Collectively, our results have validated a powerful and generative framework for synthesizing human neuroimaging data on an unprecedented scale.","author":[{"dropping-particle":"","family":"Yarkoni","given":"Tal","non-dropping-particle":"","parse-names":false,"suffix":""},{"dropping-particle":"","family":"Poldrack","given":"Russell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 Methods","id":"ITEM-1","issue":"8","issued":{"date-parts":[["2011"]]},"page":"665-670","title":"Large-scale automated synthesis of human functional neuroimaging data.","type":"article-journal","volume":"8"},"uris":["http://www.mendeley.com/documents/?uuid=c4e23555-ec22-4112-b1a5-49bf9d874bbc"]}],"mendeley":{"formattedCitation":"(Yarkoni et al., 2011)","manualFormatting":"(Yarkoni et al., 2011)","plainTextFormattedCitation":"(Yarkoni et al., 2011)","previouslyFormattedCitation":"(Yarkoni et al., 2011)"},"properties":{"noteIndex":0},"schema":"https://github.com/citation-style-language/schema/raw/master/csl-citation.json"}</w:instrText>
      </w:r>
      <w:r w:rsidR="0059177E" w:rsidRPr="00975DA7">
        <w:rPr>
          <w:rFonts w:ascii="Times New Roman" w:hAnsi="Times New Roman" w:cs="Times New Roman"/>
        </w:rPr>
        <w:fldChar w:fldCharType="separate"/>
      </w:r>
      <w:r w:rsidR="00BD7309" w:rsidRPr="00975DA7">
        <w:rPr>
          <w:rFonts w:ascii="Times New Roman" w:hAnsi="Times New Roman" w:cs="Times New Roman"/>
          <w:noProof/>
        </w:rPr>
        <w:t>(</w:t>
      </w:r>
      <w:r w:rsidR="005747F5" w:rsidRPr="00975DA7">
        <w:rPr>
          <w:rFonts w:ascii="Times New Roman" w:hAnsi="Times New Roman" w:cs="Times New Roman"/>
          <w:noProof/>
        </w:rPr>
        <w:t>Yarkoni et al., 2011)</w:t>
      </w:r>
      <w:r w:rsidR="0059177E" w:rsidRPr="00975DA7">
        <w:rPr>
          <w:rFonts w:ascii="Times New Roman" w:hAnsi="Times New Roman" w:cs="Times New Roman"/>
        </w:rPr>
        <w:fldChar w:fldCharType="end"/>
      </w:r>
      <w:r w:rsidR="0059177E" w:rsidRPr="00975DA7">
        <w:rPr>
          <w:rFonts w:ascii="Times New Roman" w:hAnsi="Times New Roman" w:cs="Times New Roman"/>
        </w:rPr>
        <w:t>. Neurosynth</w:t>
      </w:r>
      <w:r w:rsidRPr="00975DA7">
        <w:rPr>
          <w:rFonts w:ascii="Times New Roman" w:hAnsi="Times New Roman" w:cs="Times New Roman"/>
        </w:rPr>
        <w:t xml:space="preserve"> is </w:t>
      </w:r>
      <w:r w:rsidR="0059177E" w:rsidRPr="00975DA7">
        <w:rPr>
          <w:rFonts w:ascii="Times New Roman" w:hAnsi="Times New Roman" w:cs="Times New Roman"/>
        </w:rPr>
        <w:t xml:space="preserve">an automated meta-analysis tool that uses text-mining </w:t>
      </w:r>
      <w:r w:rsidR="00F45B64" w:rsidRPr="00975DA7">
        <w:rPr>
          <w:rFonts w:ascii="Times New Roman" w:hAnsi="Times New Roman" w:cs="Times New Roman"/>
        </w:rPr>
        <w:t xml:space="preserve">approaches </w:t>
      </w:r>
      <w:r w:rsidR="0059177E" w:rsidRPr="00975DA7">
        <w:rPr>
          <w:rFonts w:ascii="Times New Roman" w:hAnsi="Times New Roman" w:cs="Times New Roman"/>
        </w:rPr>
        <w:t xml:space="preserve">to extract terms </w:t>
      </w:r>
      <w:r w:rsidR="002C1867" w:rsidRPr="00975DA7">
        <w:rPr>
          <w:rFonts w:ascii="Times New Roman" w:hAnsi="Times New Roman" w:cs="Times New Roman"/>
        </w:rPr>
        <w:t xml:space="preserve">from neuroimaging articles that typically co-occur with specific </w:t>
      </w:r>
      <w:r w:rsidR="0059177E" w:rsidRPr="00975DA7">
        <w:rPr>
          <w:rFonts w:ascii="Times New Roman" w:hAnsi="Times New Roman" w:cs="Times New Roman"/>
        </w:rPr>
        <w:t xml:space="preserve">peak coordinates of activation. </w:t>
      </w:r>
      <w:r w:rsidR="00F45B64" w:rsidRPr="00975DA7">
        <w:rPr>
          <w:rFonts w:ascii="Times New Roman" w:hAnsi="Times New Roman" w:cs="Times New Roman"/>
        </w:rPr>
        <w:t>It can be used to generate a set of terms frequently associated with a spatial map (as in Figure</w:t>
      </w:r>
      <w:r w:rsidR="00B9391F" w:rsidRPr="00975DA7">
        <w:rPr>
          <w:rFonts w:ascii="Times New Roman" w:hAnsi="Times New Roman" w:cs="Times New Roman"/>
        </w:rPr>
        <w:t xml:space="preserve">s </w:t>
      </w:r>
      <w:r w:rsidR="00C533F2" w:rsidRPr="00975DA7">
        <w:rPr>
          <w:rFonts w:ascii="Times New Roman" w:hAnsi="Times New Roman" w:cs="Times New Roman"/>
        </w:rPr>
        <w:t>5 and S3</w:t>
      </w:r>
      <w:r w:rsidR="00F45B64" w:rsidRPr="00975DA7">
        <w:rPr>
          <w:rFonts w:ascii="Times New Roman" w:hAnsi="Times New Roman" w:cs="Times New Roman"/>
        </w:rPr>
        <w:t xml:space="preserve">). The </w:t>
      </w:r>
      <w:r w:rsidR="00F45B64" w:rsidRPr="00975DA7">
        <w:rPr>
          <w:rFonts w:ascii="Times New Roman" w:hAnsi="Times New Roman" w:cs="Times New Roman"/>
        </w:rPr>
        <w:lastRenderedPageBreak/>
        <w:t xml:space="preserve">results of cognitive decoding were rendered as word clouds using R. We manually excluded terms referring to neuroanatomy (e.g., “inferior” or “sulcus”), as well as repeated terms (e.g., “semantic” and “semantics”). The size of each word in the word cloud relates to the frequency of that term across studies. </w:t>
      </w:r>
    </w:p>
    <w:p w14:paraId="12217CA1" w14:textId="5FCB3BC4" w:rsidR="0099461A" w:rsidRPr="00975DA7" w:rsidRDefault="00F45B64" w:rsidP="002C1867">
      <w:pPr>
        <w:keepNext/>
        <w:spacing w:line="360" w:lineRule="auto"/>
        <w:rPr>
          <w:rFonts w:ascii="Times New Roman" w:hAnsi="Times New Roman" w:cs="Times New Roman"/>
        </w:rPr>
      </w:pPr>
      <w:r w:rsidRPr="00975DA7">
        <w:rPr>
          <w:rFonts w:ascii="Times New Roman" w:hAnsi="Times New Roman" w:cs="Times New Roman"/>
        </w:rPr>
        <w:t xml:space="preserve">Neurosynth </w:t>
      </w:r>
      <w:r w:rsidR="0059177E" w:rsidRPr="00975DA7">
        <w:rPr>
          <w:rFonts w:ascii="Times New Roman" w:hAnsi="Times New Roman" w:cs="Times New Roman"/>
        </w:rPr>
        <w:t>can</w:t>
      </w:r>
      <w:r w:rsidRPr="00975DA7">
        <w:rPr>
          <w:rFonts w:ascii="Times New Roman" w:hAnsi="Times New Roman" w:cs="Times New Roman"/>
        </w:rPr>
        <w:t xml:space="preserve"> also</w:t>
      </w:r>
      <w:r w:rsidR="0059177E" w:rsidRPr="00975DA7">
        <w:rPr>
          <w:rFonts w:ascii="Times New Roman" w:hAnsi="Times New Roman" w:cs="Times New Roman"/>
        </w:rPr>
        <w:t xml:space="preserve"> generate ‘reverse inference’ maps associated with a particular term,</w:t>
      </w:r>
      <w:r w:rsidRPr="00975DA7">
        <w:rPr>
          <w:rFonts w:ascii="Times New Roman" w:hAnsi="Times New Roman" w:cs="Times New Roman"/>
        </w:rPr>
        <w:t xml:space="preserve"> such as “semantic”. This</w:t>
      </w:r>
      <w:r w:rsidR="0059177E" w:rsidRPr="00975DA7">
        <w:rPr>
          <w:rFonts w:ascii="Times New Roman" w:hAnsi="Times New Roman" w:cs="Times New Roman"/>
        </w:rPr>
        <w:t xml:space="preserve"> </w:t>
      </w:r>
      <w:r w:rsidRPr="00975DA7">
        <w:rPr>
          <w:rFonts w:ascii="Times New Roman" w:hAnsi="Times New Roman" w:cs="Times New Roman"/>
        </w:rPr>
        <w:t>approach highlights</w:t>
      </w:r>
      <w:r w:rsidR="0059177E" w:rsidRPr="00975DA7">
        <w:rPr>
          <w:rFonts w:ascii="Times New Roman" w:hAnsi="Times New Roman" w:cs="Times New Roman"/>
        </w:rPr>
        <w:t xml:space="preserve"> regions that are more likely to be activated for that particular term than for others (</w:t>
      </w:r>
      <w:r w:rsidRPr="00975DA7">
        <w:rPr>
          <w:rFonts w:ascii="Times New Roman" w:hAnsi="Times New Roman" w:cs="Times New Roman"/>
        </w:rPr>
        <w:t>as in</w:t>
      </w:r>
      <w:r w:rsidR="0059177E" w:rsidRPr="00975DA7">
        <w:rPr>
          <w:rFonts w:ascii="Times New Roman" w:hAnsi="Times New Roman" w:cs="Times New Roman"/>
        </w:rPr>
        <w:t xml:space="preserve"> Figure 3</w:t>
      </w:r>
      <w:r w:rsidRPr="00975DA7">
        <w:rPr>
          <w:rFonts w:ascii="Times New Roman" w:hAnsi="Times New Roman" w:cs="Times New Roman"/>
        </w:rPr>
        <w:t>)</w:t>
      </w:r>
      <w:r w:rsidR="0059177E" w:rsidRPr="00975DA7">
        <w:rPr>
          <w:rFonts w:ascii="Times New Roman" w:hAnsi="Times New Roman" w:cs="Times New Roman"/>
        </w:rPr>
        <w:t xml:space="preserve">. </w:t>
      </w:r>
    </w:p>
    <w:p w14:paraId="2B409D53" w14:textId="77777777" w:rsidR="0059177E" w:rsidRPr="00975DA7" w:rsidRDefault="0059177E" w:rsidP="002C1867">
      <w:pPr>
        <w:spacing w:line="360" w:lineRule="auto"/>
        <w:rPr>
          <w:rFonts w:ascii="Times New Roman" w:hAnsi="Times New Roman" w:cs="Times New Roman"/>
        </w:rPr>
      </w:pPr>
    </w:p>
    <w:p w14:paraId="68E0547D" w14:textId="7A1A65CB" w:rsidR="0059177E" w:rsidRPr="00975DA7" w:rsidRDefault="00805596" w:rsidP="002C1867">
      <w:pPr>
        <w:keepNext/>
        <w:spacing w:line="360" w:lineRule="auto"/>
        <w:rPr>
          <w:rFonts w:ascii="Times New Roman" w:hAnsi="Times New Roman" w:cs="Times New Roman"/>
          <w:i/>
        </w:rPr>
      </w:pPr>
      <w:r w:rsidRPr="00975DA7">
        <w:rPr>
          <w:rFonts w:ascii="Times New Roman" w:hAnsi="Times New Roman" w:cs="Times New Roman"/>
          <w:i/>
        </w:rPr>
        <w:t>2.</w:t>
      </w:r>
      <w:r w:rsidR="0059177E" w:rsidRPr="00975DA7">
        <w:rPr>
          <w:rFonts w:ascii="Times New Roman" w:hAnsi="Times New Roman" w:cs="Times New Roman"/>
          <w:i/>
        </w:rPr>
        <w:t>5.7. Associations between connectivity and behavioural performance</w:t>
      </w:r>
    </w:p>
    <w:p w14:paraId="0116295D" w14:textId="5DEC7A40" w:rsidR="0059177E" w:rsidRPr="00975DA7" w:rsidRDefault="00265FEA" w:rsidP="002C1867">
      <w:pPr>
        <w:keepNext/>
        <w:spacing w:line="360" w:lineRule="auto"/>
        <w:rPr>
          <w:rFonts w:ascii="Times New Roman" w:hAnsi="Times New Roman" w:cs="Times New Roman"/>
        </w:rPr>
      </w:pPr>
      <w:r w:rsidRPr="00975DA7">
        <w:rPr>
          <w:rFonts w:ascii="Times New Roman" w:hAnsi="Times New Roman" w:cs="Times New Roman"/>
        </w:rPr>
        <w:t xml:space="preserve">In a final step, we considered </w:t>
      </w:r>
      <w:r w:rsidR="0059177E" w:rsidRPr="00975DA7">
        <w:rPr>
          <w:rFonts w:ascii="Times New Roman" w:hAnsi="Times New Roman" w:cs="Times New Roman"/>
        </w:rPr>
        <w:t xml:space="preserve">whether individual differences in </w:t>
      </w:r>
      <w:r w:rsidRPr="00975DA7">
        <w:rPr>
          <w:rFonts w:ascii="Times New Roman" w:hAnsi="Times New Roman" w:cs="Times New Roman"/>
        </w:rPr>
        <w:t xml:space="preserve">intrinsic </w:t>
      </w:r>
      <w:r w:rsidR="0059177E" w:rsidRPr="00975DA7">
        <w:rPr>
          <w:rFonts w:ascii="Times New Roman" w:hAnsi="Times New Roman" w:cs="Times New Roman"/>
        </w:rPr>
        <w:t xml:space="preserve">connectivity </w:t>
      </w:r>
      <w:r w:rsidRPr="00975DA7">
        <w:rPr>
          <w:rFonts w:ascii="Times New Roman" w:hAnsi="Times New Roman" w:cs="Times New Roman"/>
        </w:rPr>
        <w:t xml:space="preserve">from our LH seeds </w:t>
      </w:r>
      <w:r w:rsidR="0059177E" w:rsidRPr="00975DA7">
        <w:rPr>
          <w:rFonts w:ascii="Times New Roman" w:hAnsi="Times New Roman" w:cs="Times New Roman"/>
        </w:rPr>
        <w:t>correlated with behavioural performance</w:t>
      </w:r>
      <w:r w:rsidRPr="00975DA7">
        <w:rPr>
          <w:rFonts w:ascii="Times New Roman" w:hAnsi="Times New Roman" w:cs="Times New Roman"/>
        </w:rPr>
        <w:t xml:space="preserve">. </w:t>
      </w:r>
      <w:r w:rsidR="004B4D05" w:rsidRPr="00975DA7">
        <w:rPr>
          <w:rFonts w:ascii="Times New Roman" w:hAnsi="Times New Roman" w:cs="Times New Roman"/>
        </w:rPr>
        <w:t xml:space="preserve">We elected to focus on LH seeds </w:t>
      </w:r>
      <w:r w:rsidR="002D00C0" w:rsidRPr="00975DA7">
        <w:rPr>
          <w:rFonts w:ascii="Times New Roman" w:hAnsi="Times New Roman" w:cs="Times New Roman"/>
        </w:rPr>
        <w:t>since</w:t>
      </w:r>
      <w:r w:rsidR="004B4D05" w:rsidRPr="00975DA7">
        <w:rPr>
          <w:rFonts w:ascii="Times New Roman" w:hAnsi="Times New Roman" w:cs="Times New Roman"/>
        </w:rPr>
        <w:t xml:space="preserve"> </w:t>
      </w:r>
      <w:r w:rsidR="002D00C0" w:rsidRPr="00975DA7">
        <w:rPr>
          <w:rFonts w:ascii="Times New Roman" w:hAnsi="Times New Roman" w:cs="Times New Roman"/>
        </w:rPr>
        <w:t>all four LH seeds are implicated in semantic processing, while this is not the case for all the RH seeds. This decision also allowed us to avoid the inflation of type I error which would arise from examining many seeds. However, seeding the LH semantic sites still allows us to test the hypothesis that</w:t>
      </w:r>
      <w:r w:rsidR="002D00C0" w:rsidRPr="00975DA7">
        <w:rPr>
          <w:rFonts w:ascii="Times New Roman" w:hAnsi="Times New Roman" w:cs="Times New Roman"/>
          <w:bCs/>
          <w:color w:val="222222"/>
          <w:shd w:val="clear" w:color="auto" w:fill="FFFFFF"/>
        </w:rPr>
        <w:t xml:space="preserve"> lateralisation of connectivity has functional consequences, since we can consider individual differences in the extent to which these LH seeds couple with other LH semantic and language sites, vs. homologous regions in the RH. We might expect for a highly-lateralized seed like pMTG, connectivity to other LH regions might be associated with good performance, while strong intrinsic connectivity to RH homologues of semantic regions might be associated with poor performance. Since bilateral ATL is implicated in semantic processing, we also examined behavioural associations with right ATL connectivity in a supplementary analysis</w:t>
      </w:r>
      <w:r w:rsidR="00A73CD7" w:rsidRPr="00975DA7">
        <w:rPr>
          <w:rFonts w:ascii="Times New Roman" w:hAnsi="Times New Roman" w:cs="Times New Roman"/>
          <w:bCs/>
          <w:color w:val="222222"/>
          <w:shd w:val="clear" w:color="auto" w:fill="FFFFFF"/>
        </w:rPr>
        <w:t xml:space="preserve"> (following reviewers’ comments)</w:t>
      </w:r>
      <w:r w:rsidR="002D00C0" w:rsidRPr="00975DA7">
        <w:rPr>
          <w:rFonts w:ascii="Times New Roman" w:hAnsi="Times New Roman" w:cs="Times New Roman"/>
          <w:bCs/>
          <w:color w:val="222222"/>
          <w:shd w:val="clear" w:color="auto" w:fill="FFFFFF"/>
        </w:rPr>
        <w:t xml:space="preserve">, but found no significant effects. </w:t>
      </w:r>
      <w:r w:rsidR="0059177E" w:rsidRPr="00975DA7">
        <w:rPr>
          <w:rFonts w:ascii="Times New Roman" w:hAnsi="Times New Roman" w:cs="Times New Roman"/>
        </w:rPr>
        <w:t xml:space="preserve">In each analysis, we included as EVs the efficiency scores corresponding to the four semantic conditions (Weak and Strong associations, Picture and Word modalities of presentation), the non-semantic perceptual matching task as a control, and a motion regressor using the mean (across time/frames) of the absolute values for framewise displacement for each participant. We z-scored the behavioural data, and imputed all outliers exceeding z &gt; 2.5 with the </w:t>
      </w:r>
      <w:r w:rsidR="00853F2C" w:rsidRPr="00975DA7">
        <w:rPr>
          <w:rFonts w:ascii="Times New Roman" w:hAnsi="Times New Roman" w:cs="Times New Roman"/>
        </w:rPr>
        <w:t>cut-off</w:t>
      </w:r>
      <w:r w:rsidR="0059177E" w:rsidRPr="00975DA7">
        <w:rPr>
          <w:rFonts w:ascii="Times New Roman" w:hAnsi="Times New Roman" w:cs="Times New Roman"/>
        </w:rPr>
        <w:t xml:space="preserve"> value (except for the motion regressor). The resulting data was mean-centred and entered into a model where we defined as contrasts of interest: group intrinsic connectivity for the seed, semantic &gt; perceptual matching (with semantic performance estimated as the average of the four semantic conditions), weak &gt; strong associations, picture &gt; word modality and the reverse contrasts. Significant clusters were identified using the methods above</w:t>
      </w:r>
      <w:r w:rsidR="0099461A" w:rsidRPr="00975DA7">
        <w:rPr>
          <w:rFonts w:ascii="Times New Roman" w:hAnsi="Times New Roman" w:cs="Times New Roman"/>
        </w:rPr>
        <w:t xml:space="preserve">, </w:t>
      </w:r>
      <w:r w:rsidRPr="00975DA7">
        <w:rPr>
          <w:rFonts w:ascii="Times New Roman" w:hAnsi="Times New Roman" w:cs="Times New Roman"/>
        </w:rPr>
        <w:t>with the addition of</w:t>
      </w:r>
      <w:r w:rsidR="0099461A" w:rsidRPr="00975DA7">
        <w:rPr>
          <w:rFonts w:ascii="Times New Roman" w:hAnsi="Times New Roman" w:cs="Times New Roman"/>
        </w:rPr>
        <w:t xml:space="preserve"> a Bonferroni</w:t>
      </w:r>
      <w:r w:rsidR="00585CA0" w:rsidRPr="00975DA7">
        <w:rPr>
          <w:rFonts w:ascii="Times New Roman" w:hAnsi="Times New Roman" w:cs="Times New Roman"/>
        </w:rPr>
        <w:t xml:space="preserve"> correction </w:t>
      </w:r>
      <w:r w:rsidR="0099461A" w:rsidRPr="00975DA7">
        <w:rPr>
          <w:rFonts w:ascii="Times New Roman" w:hAnsi="Times New Roman" w:cs="Times New Roman"/>
        </w:rPr>
        <w:t xml:space="preserve">to account for </w:t>
      </w:r>
      <w:r w:rsidR="009C28A3" w:rsidRPr="00975DA7">
        <w:rPr>
          <w:rFonts w:ascii="Times New Roman" w:hAnsi="Times New Roman" w:cs="Times New Roman"/>
        </w:rPr>
        <w:t>the one</w:t>
      </w:r>
      <w:r w:rsidRPr="00975DA7">
        <w:rPr>
          <w:rFonts w:ascii="Times New Roman" w:hAnsi="Times New Roman" w:cs="Times New Roman"/>
        </w:rPr>
        <w:t xml:space="preserve">-tailed nature of our tests and </w:t>
      </w:r>
      <w:r w:rsidR="0099461A" w:rsidRPr="00975DA7">
        <w:rPr>
          <w:rFonts w:ascii="Times New Roman" w:hAnsi="Times New Roman" w:cs="Times New Roman"/>
        </w:rPr>
        <w:t xml:space="preserve">the fact that we </w:t>
      </w:r>
      <w:r w:rsidR="00A73CD7" w:rsidRPr="00975DA7">
        <w:rPr>
          <w:rFonts w:ascii="Times New Roman" w:hAnsi="Times New Roman" w:cs="Times New Roman"/>
        </w:rPr>
        <w:t xml:space="preserve">initially </w:t>
      </w:r>
      <w:r w:rsidR="0099461A" w:rsidRPr="00975DA7">
        <w:rPr>
          <w:rFonts w:ascii="Times New Roman" w:hAnsi="Times New Roman" w:cs="Times New Roman"/>
        </w:rPr>
        <w:t xml:space="preserve">examined </w:t>
      </w:r>
      <w:r w:rsidRPr="00975DA7">
        <w:rPr>
          <w:rFonts w:ascii="Times New Roman" w:hAnsi="Times New Roman" w:cs="Times New Roman"/>
        </w:rPr>
        <w:t>four seeds (ATL, AG, IFG, pMTG</w:t>
      </w:r>
      <w:r w:rsidR="0099461A" w:rsidRPr="00975DA7">
        <w:rPr>
          <w:rFonts w:ascii="Times New Roman" w:hAnsi="Times New Roman" w:cs="Times New Roman"/>
        </w:rPr>
        <w:t>)</w:t>
      </w:r>
      <w:r w:rsidR="00A73CD7" w:rsidRPr="00975DA7">
        <w:rPr>
          <w:rStyle w:val="FootnoteReference"/>
        </w:rPr>
        <w:footnoteReference w:id="1"/>
      </w:r>
      <w:r w:rsidR="0059177E" w:rsidRPr="00975DA7">
        <w:rPr>
          <w:rFonts w:ascii="Times New Roman" w:hAnsi="Times New Roman" w:cs="Times New Roman"/>
        </w:rPr>
        <w:t xml:space="preserve">. </w:t>
      </w:r>
      <w:r w:rsidR="00A22AE8" w:rsidRPr="00975DA7">
        <w:rPr>
          <w:rFonts w:ascii="Times New Roman" w:hAnsi="Times New Roman" w:cs="Times New Roman"/>
        </w:rPr>
        <w:t>We therefore accepted p = .0063 (p = .05/8) as reach</w:t>
      </w:r>
      <w:bookmarkStart w:id="0" w:name="_GoBack"/>
      <w:bookmarkEnd w:id="0"/>
      <w:r w:rsidR="00A22AE8" w:rsidRPr="00975DA7">
        <w:rPr>
          <w:rFonts w:ascii="Times New Roman" w:hAnsi="Times New Roman" w:cs="Times New Roman"/>
        </w:rPr>
        <w:t xml:space="preserve">ing the threshold for significance. </w:t>
      </w:r>
      <w:r w:rsidR="002530E3" w:rsidRPr="00975DA7">
        <w:rPr>
          <w:rFonts w:ascii="Times New Roman" w:hAnsi="Times New Roman" w:cs="Times New Roman"/>
        </w:rPr>
        <w:t xml:space="preserve">Since the average </w:t>
      </w:r>
      <w:r w:rsidR="002530E3" w:rsidRPr="00975DA7">
        <w:rPr>
          <w:rFonts w:ascii="Times New Roman" w:hAnsi="Times New Roman" w:cs="Times New Roman"/>
        </w:rPr>
        <w:lastRenderedPageBreak/>
        <w:t xml:space="preserve">efficiency scores were significantly different </w:t>
      </w:r>
      <w:r w:rsidR="00BE33A2" w:rsidRPr="00975DA7">
        <w:rPr>
          <w:rFonts w:ascii="Times New Roman" w:hAnsi="Times New Roman" w:cs="Times New Roman"/>
        </w:rPr>
        <w:t>across</w:t>
      </w:r>
      <w:r w:rsidR="002530E3" w:rsidRPr="00975DA7">
        <w:rPr>
          <w:rFonts w:ascii="Times New Roman" w:hAnsi="Times New Roman" w:cs="Times New Roman"/>
        </w:rPr>
        <w:t xml:space="preserve"> conditions, we included two extra contrasts to control for difficulty: Given that the weak and strong associations conditions were the hardest and easiest respectively, and the perceptual task was </w:t>
      </w:r>
      <w:r w:rsidR="00BE33A2" w:rsidRPr="00975DA7">
        <w:rPr>
          <w:rFonts w:ascii="Times New Roman" w:hAnsi="Times New Roman" w:cs="Times New Roman"/>
        </w:rPr>
        <w:t>mid</w:t>
      </w:r>
      <w:r w:rsidR="002530E3" w:rsidRPr="00975DA7">
        <w:rPr>
          <w:rFonts w:ascii="Times New Roman" w:hAnsi="Times New Roman" w:cs="Times New Roman"/>
        </w:rPr>
        <w:t>point between the two, we contrasted strong &gt; perceptual</w:t>
      </w:r>
      <w:r w:rsidR="00BE33A2" w:rsidRPr="00975DA7">
        <w:rPr>
          <w:rFonts w:ascii="Times New Roman" w:hAnsi="Times New Roman" w:cs="Times New Roman"/>
        </w:rPr>
        <w:t xml:space="preserve"> and perceptual &gt; weak,</w:t>
      </w:r>
      <w:r w:rsidR="002530E3" w:rsidRPr="00975DA7">
        <w:rPr>
          <w:rFonts w:ascii="Times New Roman" w:hAnsi="Times New Roman" w:cs="Times New Roman"/>
        </w:rPr>
        <w:t xml:space="preserve"> to </w:t>
      </w:r>
      <w:r w:rsidR="00BE33A2" w:rsidRPr="00975DA7">
        <w:rPr>
          <w:rFonts w:ascii="Times New Roman" w:hAnsi="Times New Roman" w:cs="Times New Roman"/>
        </w:rPr>
        <w:t>establish</w:t>
      </w:r>
      <w:r w:rsidR="002530E3" w:rsidRPr="00975DA7">
        <w:rPr>
          <w:rFonts w:ascii="Times New Roman" w:hAnsi="Times New Roman" w:cs="Times New Roman"/>
        </w:rPr>
        <w:t xml:space="preserve"> </w:t>
      </w:r>
      <w:r w:rsidR="00BE33A2" w:rsidRPr="00975DA7">
        <w:rPr>
          <w:rFonts w:ascii="Times New Roman" w:hAnsi="Times New Roman" w:cs="Times New Roman"/>
        </w:rPr>
        <w:t>if effects could be attributed to difficulty.</w:t>
      </w:r>
    </w:p>
    <w:p w14:paraId="4A3D821E" w14:textId="6E41FC3C" w:rsidR="0059177E" w:rsidRPr="00975DA7" w:rsidRDefault="0059177E" w:rsidP="002C1867">
      <w:pPr>
        <w:spacing w:line="360" w:lineRule="auto"/>
        <w:rPr>
          <w:rFonts w:ascii="Times New Roman" w:hAnsi="Times New Roman" w:cs="Times New Roman"/>
        </w:rPr>
      </w:pPr>
    </w:p>
    <w:p w14:paraId="74767CA9" w14:textId="4B6A83BA" w:rsidR="001637AD" w:rsidRPr="00975DA7" w:rsidRDefault="001637AD" w:rsidP="001637AD">
      <w:pPr>
        <w:keepNext/>
        <w:spacing w:line="360" w:lineRule="auto"/>
        <w:rPr>
          <w:rFonts w:ascii="Times New Roman" w:hAnsi="Times New Roman" w:cs="Times New Roman"/>
        </w:rPr>
      </w:pPr>
      <w:r w:rsidRPr="00975DA7">
        <w:rPr>
          <w:rFonts w:ascii="Times New Roman" w:hAnsi="Times New Roman" w:cs="Times New Roman"/>
        </w:rPr>
        <w:t>2.6. Data and Code Availability Statement</w:t>
      </w:r>
    </w:p>
    <w:p w14:paraId="57C88D1F" w14:textId="77777777" w:rsidR="001637AD" w:rsidRPr="00975DA7" w:rsidRDefault="001637AD" w:rsidP="001637AD">
      <w:pPr>
        <w:keepNext/>
        <w:shd w:val="clear" w:color="auto" w:fill="FFFFFF"/>
        <w:spacing w:line="360" w:lineRule="auto"/>
        <w:rPr>
          <w:rFonts w:ascii="Times New Roman" w:hAnsi="Times New Roman" w:cs="Times New Roman"/>
        </w:rPr>
      </w:pPr>
      <w:r w:rsidRPr="00975DA7">
        <w:rPr>
          <w:rFonts w:ascii="Times New Roman" w:hAnsi="Times New Roman" w:cs="Times New Roman"/>
        </w:rPr>
        <w:t xml:space="preserve">Neuroimaging data at the group level are openly available in Neurovault at </w:t>
      </w:r>
      <w:hyperlink r:id="rId15" w:history="1">
        <w:r w:rsidRPr="00975DA7">
          <w:rPr>
            <w:rStyle w:val="Hyperlink"/>
            <w:rFonts w:ascii="Times New Roman" w:hAnsi="Times New Roman" w:cs="Times New Roman"/>
          </w:rPr>
          <w:t>https://neurovault.org/collections/4683/</w:t>
        </w:r>
      </w:hyperlink>
      <w:r w:rsidRPr="00975DA7">
        <w:rPr>
          <w:rFonts w:ascii="Times New Roman" w:hAnsi="Times New Roman" w:cs="Times New Roman"/>
        </w:rPr>
        <w:t xml:space="preserve">. </w:t>
      </w:r>
      <w:r w:rsidRPr="00975DA7">
        <w:rPr>
          <w:rFonts w:ascii="Times New Roman" w:eastAsia="Times New Roman" w:hAnsi="Times New Roman" w:cs="Times New Roman"/>
          <w:color w:val="222222"/>
          <w:lang w:eastAsia="en-GB"/>
        </w:rPr>
        <w:t>The conditions of our ethical approval do not permit public archiving of the raw data because participants did not provide sufficient consent. Researchers who wish to access the data and analysis scripts should contact the Research Ethics and Governance Committee of the York Neuroimaging Centre, University of York, or the corresponding author, Beth Jefferies. Data will be released to researchers when this is possible under the terms of the GDPR (General Data Protection Regulation).</w:t>
      </w:r>
    </w:p>
    <w:p w14:paraId="69C70AC1" w14:textId="77777777" w:rsidR="001637AD" w:rsidRPr="00975DA7" w:rsidRDefault="001637AD" w:rsidP="002C1867">
      <w:pPr>
        <w:spacing w:line="360" w:lineRule="auto"/>
        <w:rPr>
          <w:rFonts w:ascii="Times New Roman" w:hAnsi="Times New Roman" w:cs="Times New Roman"/>
        </w:rPr>
      </w:pPr>
    </w:p>
    <w:p w14:paraId="34B58E9E" w14:textId="5E9B9FBD" w:rsidR="0059177E" w:rsidRPr="00975DA7" w:rsidRDefault="0059177E">
      <w:pPr>
        <w:rPr>
          <w:rFonts w:ascii="Times New Roman" w:hAnsi="Times New Roman" w:cs="Times New Roman"/>
          <w:b/>
        </w:rPr>
      </w:pPr>
    </w:p>
    <w:p w14:paraId="7E3284A6" w14:textId="77777777" w:rsidR="00925CE2" w:rsidRPr="00975DA7" w:rsidRDefault="00925CE2">
      <w:pPr>
        <w:rPr>
          <w:b/>
        </w:rPr>
      </w:pPr>
      <w:r w:rsidRPr="00975DA7">
        <w:rPr>
          <w:b/>
        </w:rPr>
        <w:br w:type="page"/>
      </w:r>
    </w:p>
    <w:p w14:paraId="342D20E9" w14:textId="608C374E" w:rsidR="0059177E" w:rsidRPr="00975DA7" w:rsidRDefault="00704FF6" w:rsidP="0059177E">
      <w:pPr>
        <w:keepLines/>
        <w:jc w:val="center"/>
        <w:rPr>
          <w:rFonts w:ascii="Times New Roman" w:hAnsi="Times New Roman" w:cs="Times New Roman"/>
          <w:b/>
        </w:rPr>
      </w:pPr>
      <w:r w:rsidRPr="00975DA7">
        <w:rPr>
          <w:rFonts w:ascii="Times New Roman" w:hAnsi="Times New Roman" w:cs="Times New Roman"/>
          <w:b/>
        </w:rPr>
        <w:lastRenderedPageBreak/>
        <w:t xml:space="preserve">3. </w:t>
      </w:r>
      <w:r w:rsidR="0059177E" w:rsidRPr="00975DA7">
        <w:rPr>
          <w:rFonts w:ascii="Times New Roman" w:hAnsi="Times New Roman" w:cs="Times New Roman"/>
          <w:b/>
        </w:rPr>
        <w:t>Results</w:t>
      </w:r>
    </w:p>
    <w:p w14:paraId="38D3CF69" w14:textId="6B82FF17" w:rsidR="0059177E" w:rsidRPr="00975DA7" w:rsidRDefault="00704FF6" w:rsidP="00265FEA">
      <w:pPr>
        <w:keepNext/>
        <w:spacing w:line="360" w:lineRule="auto"/>
        <w:rPr>
          <w:rFonts w:ascii="Times New Roman" w:hAnsi="Times New Roman" w:cs="Times New Roman"/>
          <w:i/>
        </w:rPr>
      </w:pPr>
      <w:r w:rsidRPr="00975DA7">
        <w:rPr>
          <w:rFonts w:ascii="Times New Roman" w:hAnsi="Times New Roman" w:cs="Times New Roman"/>
          <w:i/>
        </w:rPr>
        <w:t>3.</w:t>
      </w:r>
      <w:r w:rsidR="0059177E" w:rsidRPr="00975DA7">
        <w:rPr>
          <w:rFonts w:ascii="Times New Roman" w:hAnsi="Times New Roman" w:cs="Times New Roman"/>
          <w:i/>
        </w:rPr>
        <w:t xml:space="preserve">1. Intrinsic Connectivity of </w:t>
      </w:r>
      <w:r w:rsidR="00F41C40" w:rsidRPr="00975DA7">
        <w:rPr>
          <w:rFonts w:ascii="Times New Roman" w:hAnsi="Times New Roman" w:cs="Times New Roman"/>
          <w:i/>
        </w:rPr>
        <w:t xml:space="preserve">LH and RH </w:t>
      </w:r>
      <w:r w:rsidR="000F6903" w:rsidRPr="00975DA7">
        <w:rPr>
          <w:rFonts w:ascii="Times New Roman" w:hAnsi="Times New Roman" w:cs="Times New Roman"/>
          <w:i/>
        </w:rPr>
        <w:t>Seed R</w:t>
      </w:r>
      <w:r w:rsidR="0059177E" w:rsidRPr="00975DA7">
        <w:rPr>
          <w:rFonts w:ascii="Times New Roman" w:hAnsi="Times New Roman" w:cs="Times New Roman"/>
          <w:i/>
        </w:rPr>
        <w:t xml:space="preserve">egions </w:t>
      </w:r>
    </w:p>
    <w:p w14:paraId="6BA5102D" w14:textId="11859E3C" w:rsidR="000F6903" w:rsidRPr="00975DA7" w:rsidRDefault="000F6903" w:rsidP="000F43B3">
      <w:pPr>
        <w:spacing w:line="360" w:lineRule="auto"/>
        <w:rPr>
          <w:rFonts w:ascii="Times New Roman" w:hAnsi="Times New Roman" w:cs="Times New Roman"/>
        </w:rPr>
      </w:pPr>
      <w:r w:rsidRPr="00975DA7">
        <w:rPr>
          <w:rFonts w:ascii="Times New Roman" w:hAnsi="Times New Roman" w:cs="Times New Roman"/>
        </w:rPr>
        <w:t xml:space="preserve">Figure 3 shows the intrinsic connectivity maps for </w:t>
      </w:r>
      <w:r w:rsidR="0059177E" w:rsidRPr="00975DA7">
        <w:rPr>
          <w:rFonts w:ascii="Times New Roman" w:hAnsi="Times New Roman" w:cs="Times New Roman"/>
        </w:rPr>
        <w:t xml:space="preserve">the </w:t>
      </w:r>
      <w:r w:rsidR="00A41554" w:rsidRPr="00975DA7">
        <w:rPr>
          <w:rFonts w:ascii="Times New Roman" w:hAnsi="Times New Roman" w:cs="Times New Roman"/>
        </w:rPr>
        <w:t xml:space="preserve">four </w:t>
      </w:r>
      <w:r w:rsidRPr="00975DA7">
        <w:rPr>
          <w:rFonts w:ascii="Times New Roman" w:hAnsi="Times New Roman" w:cs="Times New Roman"/>
        </w:rPr>
        <w:t>LH</w:t>
      </w:r>
      <w:r w:rsidR="0059177E" w:rsidRPr="00975DA7">
        <w:rPr>
          <w:rFonts w:ascii="Times New Roman" w:hAnsi="Times New Roman" w:cs="Times New Roman"/>
        </w:rPr>
        <w:t xml:space="preserve"> seeds</w:t>
      </w:r>
      <w:r w:rsidR="00A41554" w:rsidRPr="00975DA7">
        <w:rPr>
          <w:rFonts w:ascii="Times New Roman" w:hAnsi="Times New Roman" w:cs="Times New Roman"/>
        </w:rPr>
        <w:t xml:space="preserve"> and their RH homotopes</w:t>
      </w:r>
      <w:r w:rsidRPr="00975DA7">
        <w:rPr>
          <w:rFonts w:ascii="Times New Roman" w:hAnsi="Times New Roman" w:cs="Times New Roman"/>
        </w:rPr>
        <w:t xml:space="preserve">. The connectivity maps </w:t>
      </w:r>
      <w:r w:rsidR="00A41554" w:rsidRPr="00975DA7">
        <w:rPr>
          <w:rFonts w:ascii="Times New Roman" w:hAnsi="Times New Roman" w:cs="Times New Roman"/>
        </w:rPr>
        <w:t>and all results discussed in this section can be found</w:t>
      </w:r>
      <w:r w:rsidRPr="00975DA7">
        <w:rPr>
          <w:rFonts w:ascii="Times New Roman" w:hAnsi="Times New Roman" w:cs="Times New Roman"/>
        </w:rPr>
        <w:t xml:space="preserve"> in Neurovault</w:t>
      </w:r>
      <w:r w:rsidR="00FA3552" w:rsidRPr="00975DA7">
        <w:rPr>
          <w:rFonts w:ascii="Times New Roman" w:hAnsi="Times New Roman" w:cs="Times New Roman"/>
        </w:rPr>
        <w:t xml:space="preserve"> (</w:t>
      </w:r>
      <w:hyperlink r:id="rId16" w:history="1">
        <w:r w:rsidR="00FA3552" w:rsidRPr="00975DA7">
          <w:rPr>
            <w:rStyle w:val="Hyperlink"/>
            <w:rFonts w:ascii="Times New Roman" w:hAnsi="Times New Roman" w:cs="Times New Roman"/>
          </w:rPr>
          <w:t>https://neurovault.org/collections/4683/</w:t>
        </w:r>
      </w:hyperlink>
      <w:r w:rsidR="00FA3552" w:rsidRPr="00975DA7">
        <w:rPr>
          <w:rStyle w:val="Hyperlink"/>
          <w:rFonts w:ascii="Times New Roman" w:hAnsi="Times New Roman" w:cs="Times New Roman"/>
        </w:rPr>
        <w:t>)</w:t>
      </w:r>
      <w:r w:rsidRPr="00975DA7">
        <w:rPr>
          <w:rFonts w:ascii="Times New Roman" w:hAnsi="Times New Roman" w:cs="Times New Roman"/>
        </w:rPr>
        <w:t xml:space="preserve">. All LH seeds showed </w:t>
      </w:r>
      <w:r w:rsidR="0059177E" w:rsidRPr="00975DA7">
        <w:rPr>
          <w:rFonts w:ascii="Times New Roman" w:hAnsi="Times New Roman" w:cs="Times New Roman"/>
        </w:rPr>
        <w:t xml:space="preserve">intrinsic connectivity with other left-lateralised semantic regions (i.e. ATL, AG, IFG, pMTG), as well as with their </w:t>
      </w:r>
      <w:r w:rsidR="00D61D8B" w:rsidRPr="00975DA7">
        <w:rPr>
          <w:rFonts w:ascii="Times New Roman" w:hAnsi="Times New Roman" w:cs="Times New Roman"/>
        </w:rPr>
        <w:t>RH</w:t>
      </w:r>
      <w:r w:rsidR="0059177E" w:rsidRPr="00975DA7">
        <w:rPr>
          <w:rFonts w:ascii="Times New Roman" w:hAnsi="Times New Roman" w:cs="Times New Roman"/>
        </w:rPr>
        <w:t xml:space="preserve"> homotopes (Figure 3, rows 2-5</w:t>
      </w:r>
      <w:r w:rsidR="00327EEA" w:rsidRPr="00975DA7">
        <w:rPr>
          <w:rFonts w:ascii="Times New Roman" w:hAnsi="Times New Roman" w:cs="Times New Roman"/>
        </w:rPr>
        <w:t>).</w:t>
      </w:r>
      <w:r w:rsidRPr="00975DA7">
        <w:rPr>
          <w:rFonts w:ascii="Times New Roman" w:hAnsi="Times New Roman" w:cs="Times New Roman"/>
        </w:rPr>
        <w:t xml:space="preserve"> </w:t>
      </w:r>
      <w:r w:rsidR="00327EEA" w:rsidRPr="00975DA7">
        <w:rPr>
          <w:rFonts w:ascii="Times New Roman" w:hAnsi="Times New Roman" w:cs="Times New Roman"/>
        </w:rPr>
        <w:t>Th</w:t>
      </w:r>
      <w:r w:rsidR="00435CAE" w:rsidRPr="00975DA7">
        <w:rPr>
          <w:rFonts w:ascii="Times New Roman" w:hAnsi="Times New Roman" w:cs="Times New Roman"/>
        </w:rPr>
        <w:t xml:space="preserve">e intrinsic connectivity of these regions showed </w:t>
      </w:r>
      <w:r w:rsidRPr="00975DA7">
        <w:rPr>
          <w:rFonts w:ascii="Times New Roman" w:hAnsi="Times New Roman" w:cs="Times New Roman"/>
        </w:rPr>
        <w:t>clear</w:t>
      </w:r>
      <w:r w:rsidR="00435CAE" w:rsidRPr="00975DA7">
        <w:rPr>
          <w:rFonts w:ascii="Times New Roman" w:hAnsi="Times New Roman" w:cs="Times New Roman"/>
        </w:rPr>
        <w:t xml:space="preserve"> overlap with </w:t>
      </w:r>
      <w:r w:rsidR="00442C3F" w:rsidRPr="00975DA7">
        <w:rPr>
          <w:rFonts w:ascii="Times New Roman" w:hAnsi="Times New Roman" w:cs="Times New Roman"/>
        </w:rPr>
        <w:t xml:space="preserve">an </w:t>
      </w:r>
      <w:r w:rsidR="0059177E" w:rsidRPr="00975DA7">
        <w:rPr>
          <w:rFonts w:ascii="Times New Roman" w:hAnsi="Times New Roman" w:cs="Times New Roman"/>
        </w:rPr>
        <w:t xml:space="preserve">automated meta-analysis </w:t>
      </w:r>
      <w:r w:rsidR="00435CAE" w:rsidRPr="00975DA7">
        <w:rPr>
          <w:rFonts w:ascii="Times New Roman" w:hAnsi="Times New Roman" w:cs="Times New Roman"/>
        </w:rPr>
        <w:t>for the term ‘semantic’ performed using</w:t>
      </w:r>
      <w:r w:rsidR="0059177E" w:rsidRPr="00975DA7">
        <w:rPr>
          <w:rFonts w:ascii="Times New Roman" w:hAnsi="Times New Roman" w:cs="Times New Roman"/>
        </w:rPr>
        <w:t xml:space="preserve"> Neurosynth </w:t>
      </w:r>
      <w:r w:rsidR="00435CAE" w:rsidRPr="00975DA7">
        <w:rPr>
          <w:rFonts w:ascii="Times New Roman" w:hAnsi="Times New Roman" w:cs="Times New Roman"/>
        </w:rPr>
        <w:t>(row 1</w:t>
      </w:r>
      <w:r w:rsidR="0059177E" w:rsidRPr="00975DA7">
        <w:rPr>
          <w:rFonts w:ascii="Times New Roman" w:hAnsi="Times New Roman" w:cs="Times New Roman"/>
        </w:rPr>
        <w:t>). Left ATL showed relatively strong connectivity to other temporal lobe regions and IFG</w:t>
      </w:r>
      <w:r w:rsidR="0087203B" w:rsidRPr="00975DA7">
        <w:rPr>
          <w:rFonts w:ascii="Times New Roman" w:hAnsi="Times New Roman" w:cs="Times New Roman"/>
        </w:rPr>
        <w:t xml:space="preserve"> (see </w:t>
      </w:r>
      <w:r w:rsidR="00350806" w:rsidRPr="00975DA7">
        <w:rPr>
          <w:rFonts w:ascii="Times New Roman" w:hAnsi="Times New Roman" w:cs="Times New Roman"/>
        </w:rPr>
        <w:fldChar w:fldCharType="begin" w:fldLock="1"/>
      </w:r>
      <w:r w:rsidR="003457FC" w:rsidRPr="00975DA7">
        <w:rPr>
          <w:rFonts w:ascii="Times New Roman" w:hAnsi="Times New Roman" w:cs="Times New Roman"/>
        </w:rPr>
        <w:instrText>ADDIN CSL_CITATION {"citationItems":[{"id":"ITEM-1","itemData":{"DOI":"10.1523/JNEUROSCI.2999-15.2016","ISBN":"0270-6474","ISSN":"1529-2401","PMID":"26843633","abstract":"UNLABELLED: The anterior temporal lobe (ATL) makes a critical contribution to semantic cognition. However, the functional connectivity of the ATL and the functional network underlying semantic cognition has not been elucidated. In addition, subregions of the ATL have distinct functional properties and thus the potential differential connectivity between these subregions requires investigation. We explored these aims using both resting-state and active semantic task data in humans in combination with a dual-echo gradient echo planar imaging (EPI) paradigm designed to ensure signal throughout the ATL. In the resting-state analysis, the ventral ATL (vATL) and anterior middle temporal gyrus (MTG) were shown to connect to areas responsible for multimodal semantic cognition, including bilateral ATL, inferior frontal gyrus, medial prefrontal cortex, angular gyrus, posterior MTG, and medial temporal lobes. In contrast, the anterior superior temporal gyrus (STG)/superior temporal sulcus was connected to a distinct set of auditory and language-related areas, including bilateral STG, precentral and postcentral gyri, supplementary motor area, supramarginal gyrus, posterior temporal cortex, and inferior and middle frontal gyri. Complementary analyses of functional connectivity during an active semantic task were performed using a psychophysiological interaction (PPI) analysis. The PPI analysis highlighted the same semantic regions suggesting a core semantic network active during rest and task states. This supports the necessity for semantic cognition in internal processes occurring during rest. The PPI analysis showed additional connectivity of the vATL to regions of occipital and frontal cortex. These areas strongly overlap with regions found to be sensitive to executively demanding, controlled semantic processing.\\n\\nSIGNIFICANCE STATEMENT: Previous studies have shown that semantic cognition depends on subregions of the anterior temporal lobe (ATL). However, the network of regions functionally connected to these subregions has not been demarcated. Here, we show that these ventrolateral anterior temporal subregions form part of a network responsible for semantic processing during both rest and an explicit semantic task. This demonstrates the existence of a core functional network responsible for multimodal semantic cognition regardless of state. Distinct connectivity is identified in the superior ATL, which is connected to auditory and language areas. Understanding…","author":[{"dropping-particle":"","family":"Jackson","given":"Rebecca L","non-dropping-particle":"","parse-names":false,"suffix":""},{"dropping-particle":"","family":"Hoffman","given":"Paul","non-dropping-particle":"","parse-names":false,"suffix":""},{"dropping-particle":"","family":"Pobric","given":"Gorana","non-dropping-particle":"","parse-names":false,"suffix":""},{"dropping-particle":"","family":"Lambon Ralph","given":"Matthew A","non-dropping-particle":"","parse-names":false,"suffix":""}],"container-title":"The Journal of Neuroscience","id":"ITEM-1","issue":"5","issued":{"date-parts":[["2016"]]},"note":"- If no other studies have described the connectivity of the semantic network at rest, shouldn't we be trying to emphasise that?\n\nMETHODS\n\nSample\n- Smaller sample\n- Bigger age range\n- More biased to females\n- SD 56 years for behavioural???\n\nProcedure\n- 32 channels in acquisition\n- Noise cancelling headphones worn\n- plane of acquisition tilted 45 up of AC-PC to reduce ghosting\n- non isotropic functional voxels of 3x3x4\n- shorter RS (6.3 min)\n- Dual echo gradient EPI used\n\nROIs:\n- their spheres were 10mm in diameter (3x ours)\n- they used Binney's basal area (-39) ATL seed!\n\nData analysis\n- they regressed global signal, and included 24 motion parameters + scrubbing\n- smoothing at 8mm\n- Analyses restricted to positive correlations bc of global signal regression\n- Their FWE-correction for clusters was p .05 (z=2.6)!\n- 6mm ROIs are consistent with PPI analyses (see citations)\n- although the authors did RS with 6mm too, they don't share these maps so we have no way to check if they're more similar to ours.","page":"1490-501","title":"The Semantic Network at Work and Rest: Differential Connectivity of Anterior Temporal Lobe Subregions.","type":"article-journal","volume":"36"},"uris":["http://www.mendeley.com/documents/?uuid=1d9e4837-ce8d-44a4-bc4e-571863cd746e"]}],"mendeley":{"formattedCitation":"(Jackson et al., 2016)","manualFormatting":"Jackson et al., 2016","plainTextFormattedCitation":"(Jackson et al., 2016)","previouslyFormattedCitation":"(Jackson et al., 2016)"},"properties":{"noteIndex":0},"schema":"https://github.com/citation-style-language/schema/raw/master/csl-citation.json"}</w:instrText>
      </w:r>
      <w:r w:rsidR="00350806" w:rsidRPr="00975DA7">
        <w:rPr>
          <w:rFonts w:ascii="Times New Roman" w:hAnsi="Times New Roman" w:cs="Times New Roman"/>
        </w:rPr>
        <w:fldChar w:fldCharType="separate"/>
      </w:r>
      <w:r w:rsidR="00350806" w:rsidRPr="00975DA7">
        <w:rPr>
          <w:rFonts w:ascii="Times New Roman" w:hAnsi="Times New Roman" w:cs="Times New Roman"/>
          <w:noProof/>
        </w:rPr>
        <w:t>Jackson et al., 2016</w:t>
      </w:r>
      <w:r w:rsidR="00350806" w:rsidRPr="00975DA7">
        <w:rPr>
          <w:rFonts w:ascii="Times New Roman" w:hAnsi="Times New Roman" w:cs="Times New Roman"/>
        </w:rPr>
        <w:fldChar w:fldCharType="end"/>
      </w:r>
      <w:r w:rsidR="0087203B" w:rsidRPr="00975DA7">
        <w:rPr>
          <w:rFonts w:ascii="Times New Roman" w:hAnsi="Times New Roman" w:cs="Times New Roman"/>
        </w:rPr>
        <w:t xml:space="preserve"> for similar results – although unlike that study, we did not observe strong intrinsic connectivity between left ATL and dorsomedial prefrontal cortex</w:t>
      </w:r>
      <w:r w:rsidR="00C649D3" w:rsidRPr="00975DA7">
        <w:rPr>
          <w:rFonts w:ascii="Times New Roman" w:hAnsi="Times New Roman" w:cs="Times New Roman"/>
        </w:rPr>
        <w:t>; see also Supplementary Figure S1</w:t>
      </w:r>
      <w:r w:rsidR="0087203B" w:rsidRPr="00975DA7">
        <w:rPr>
          <w:rFonts w:ascii="Times New Roman" w:hAnsi="Times New Roman" w:cs="Times New Roman"/>
        </w:rPr>
        <w:t>)</w:t>
      </w:r>
      <w:r w:rsidR="0059177E" w:rsidRPr="00975DA7">
        <w:rPr>
          <w:rFonts w:ascii="Times New Roman" w:hAnsi="Times New Roman" w:cs="Times New Roman"/>
        </w:rPr>
        <w:t>. AG showed strong connectivity to all other semantic seeds and to medial default network regions in posterior cingulate and medial prefrontal cortex. Left pMTG and IFG showed highly similar patterns of connectivity, consistent with the proposal that these brain areas form a distributed network underpinning semantic control. Along with left-lateralised semantic regions, both pMTG and IFG showed strong connectivity to dorsal medial prefrontal cortex,</w:t>
      </w:r>
      <w:r w:rsidR="000F43B3" w:rsidRPr="00975DA7">
        <w:rPr>
          <w:rFonts w:ascii="Times New Roman" w:hAnsi="Times New Roman" w:cs="Times New Roman"/>
        </w:rPr>
        <w:t xml:space="preserve"> </w:t>
      </w:r>
      <w:r w:rsidR="0059177E" w:rsidRPr="00975DA7">
        <w:rPr>
          <w:rFonts w:ascii="Times New Roman" w:hAnsi="Times New Roman" w:cs="Times New Roman"/>
        </w:rPr>
        <w:t xml:space="preserve">bordering preSMA, and to lateral prefrontal regions in the </w:t>
      </w:r>
      <w:r w:rsidR="00D61D8B" w:rsidRPr="00975DA7">
        <w:rPr>
          <w:rFonts w:ascii="Times New Roman" w:hAnsi="Times New Roman" w:cs="Times New Roman"/>
        </w:rPr>
        <w:t>RH</w:t>
      </w:r>
      <w:r w:rsidR="0059177E" w:rsidRPr="00975DA7">
        <w:rPr>
          <w:rFonts w:ascii="Times New Roman" w:hAnsi="Times New Roman" w:cs="Times New Roman"/>
        </w:rPr>
        <w:t xml:space="preserve">, which are implicated in the control of memory </w:t>
      </w:r>
      <w:r w:rsidR="0059177E" w:rsidRPr="00975DA7">
        <w:rPr>
          <w:rFonts w:ascii="Times New Roman" w:hAnsi="Times New Roman" w:cs="Times New Roman"/>
        </w:rPr>
        <w:fldChar w:fldCharType="begin" w:fldLock="1"/>
      </w:r>
      <w:r w:rsidR="00B67EB9" w:rsidRPr="00975DA7">
        <w:rPr>
          <w:rFonts w:ascii="Times New Roman" w:hAnsi="Times New Roman" w:cs="Times New Roman"/>
        </w:rPr>
        <w:instrText>ADDIN CSL_CITATION {"citationItems":[{"id":"ITEM-1","itemData":{"DOI":"10.1162/jocn","ISBN":"1530-8898 (Electronic)\\r0898-929X (Linking)","ISSN":"0898-929X","PMID":"23647519","abstract":"Semantic cognition requires a combination of semantic rep- resentations and executive control processes to direct activa- tion in a task- and time-appropriate fashion [Jefferies, E., &amp; Lambon Ralph, M. A. Semantic impairment in stroke aphasia versus semantic dementia: A case-series comparison. Brain, 129, 2132–2147, 2006]. We undertook a formal meta-analysis to investigate which regions within the large-scale semantic net- work are specifically associated with the executive component of semantic cognition. Previous studies have described in detail the role of left ventral pFC in semantic regulation. We examined 53 studies that contrasted semantic tasks with high &gt; low ex- ecutive requirements to determine whether cortical regions beyond the left pFC show the same response profile to execu- tive semantic demands. Our findings revealed that right pFC, posterior middle temporal gyrus (pMTG) and dorsal angular gyrus (bordering intraparietal sulcus) were also consistently recruited by executively demanding semantic tasks, demon- strating patterns of activation that were highly similar to the left ventral pFC. These regions overlap with the lesions in apha- sic patients who exhibit multimodal semantic impairment be- cause of impaired regulatory control (semantic aphasia)— providing important convergence between functional neuro- imaging and neuropsychological studies of semantic cognition. Activation in dorsal angular gyrus and left ventral pFC was con- sistent across all types of executive semantic manipulation, regardless of whether the task was receptive or expressive, whereas pMTG activation was only observed for manipulation of control demands within receptive tasks. Second, we con- trasted executively demanding tasks tapping semantics and phonology. Our findings revealed substantial overlap between the two sets of contrasts within left ventral pFC, suggesting this region underpins domain-general control mechanisms. In con- trast, we observed relative specialization for semantic control within pMTG as well as the most ventral aspects of left pFC (BA 47), consistent with our proposal of a distributed network underpinning semantic control.","author":[{"dropping-particle":"","family":"Noonan","given":"Krist A","non-dropping-particle":"","parse-names":false,"suffix":""},{"dropping-particle":"","family":"Jefferies","given":"Elizabeth","non-dropping-particle":"","parse-names":false,"suffix":""},{"dropping-particle":"","family":"Visser","given":"Maya","non-dropping-particle":"","parse-names":false,"suffix":""},{"dropping-particle":"","family":"Lambon Ralph","given":"Matthew A.","non-dropping-particle":"","parse-names":false,"suffix":""}],"container-title":"Journal of Cognitive Neuroscience","id":"ITEM-1","issue":"11","issued":{"date-parts":[["2013"]]},"page":"1824-50","title":"Going beyond Inferior Prefrontal Involvement in Semantic Control: Evidence for the Additional Contribution of Dorsal Angular Gyrus and Posterior Middle Temporal Cortex","type":"article-journal","volume":"25"},"uris":["http://www.mendeley.com/documents/?uuid=0a5edd06-04ea-4fbd-85ab-b04fecaa9c01"]}],"mendeley":{"formattedCitation":"(Noonan et al., 2013)","manualFormatting":"(Noonan et al., 2013)","plainTextFormattedCitation":"(Noonan et al., 2013)","previouslyFormattedCitation":"(Noonan et al., 2013)"},"properties":{"noteIndex":0},"schema":"https://github.com/citation-style-language/schema/raw/master/csl-citation.json"}</w:instrText>
      </w:r>
      <w:r w:rsidR="0059177E" w:rsidRPr="00975DA7">
        <w:rPr>
          <w:rFonts w:ascii="Times New Roman" w:hAnsi="Times New Roman" w:cs="Times New Roman"/>
        </w:rPr>
        <w:fldChar w:fldCharType="separate"/>
      </w:r>
      <w:r w:rsidR="0059177E" w:rsidRPr="00975DA7">
        <w:rPr>
          <w:rFonts w:ascii="Times New Roman" w:hAnsi="Times New Roman" w:cs="Times New Roman"/>
          <w:noProof/>
        </w:rPr>
        <w:t>(Noonan et al., 2013)</w:t>
      </w:r>
      <w:r w:rsidR="0059177E" w:rsidRPr="00975DA7">
        <w:rPr>
          <w:rFonts w:ascii="Times New Roman" w:hAnsi="Times New Roman" w:cs="Times New Roman"/>
        </w:rPr>
        <w:fldChar w:fldCharType="end"/>
      </w:r>
      <w:r w:rsidR="0059177E" w:rsidRPr="00975DA7">
        <w:rPr>
          <w:rFonts w:ascii="Times New Roman" w:hAnsi="Times New Roman" w:cs="Times New Roman"/>
        </w:rPr>
        <w:t>.</w:t>
      </w:r>
      <w:r w:rsidRPr="00975DA7">
        <w:rPr>
          <w:rFonts w:ascii="Times New Roman" w:hAnsi="Times New Roman" w:cs="Times New Roman"/>
        </w:rPr>
        <w:t xml:space="preserve"> </w:t>
      </w:r>
    </w:p>
    <w:p w14:paraId="47CDE8FF" w14:textId="77777777" w:rsidR="0091651E" w:rsidRPr="00975DA7" w:rsidRDefault="0091651E" w:rsidP="000F43B3">
      <w:pPr>
        <w:spacing w:line="360" w:lineRule="auto"/>
        <w:rPr>
          <w:rFonts w:ascii="Times New Roman" w:hAnsi="Times New Roman" w:cs="Times New Roman"/>
        </w:rPr>
      </w:pPr>
    </w:p>
    <w:p w14:paraId="0367792F" w14:textId="14CD1742" w:rsidR="00A22AE8" w:rsidRPr="00975DA7" w:rsidRDefault="00975DA7" w:rsidP="00E735E3">
      <w:r w:rsidRPr="00975DA7">
        <w:pict w14:anchorId="42005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225.4pt">
            <v:imagedata r:id="rId17" o:title="Figure_3_Horizontal_Rev3"/>
          </v:shape>
        </w:pict>
      </w:r>
    </w:p>
    <w:p w14:paraId="33A0A1B8" w14:textId="522B5F64" w:rsidR="00A22AE8" w:rsidRPr="00975DA7" w:rsidRDefault="00A22AE8" w:rsidP="00E735E3">
      <w:pPr>
        <w:rPr>
          <w:rFonts w:ascii="Times New Roman" w:hAnsi="Times New Roman" w:cs="Times New Roman"/>
        </w:rPr>
      </w:pPr>
      <w:r w:rsidRPr="00975DA7">
        <w:rPr>
          <w:rFonts w:ascii="Times New Roman" w:hAnsi="Times New Roman" w:cs="Times New Roman"/>
        </w:rPr>
        <w:t xml:space="preserve">Figure 3. </w:t>
      </w:r>
      <w:r w:rsidR="00CA1CB5" w:rsidRPr="00975DA7">
        <w:rPr>
          <w:rFonts w:ascii="Times New Roman" w:hAnsi="Times New Roman" w:cs="Times New Roman"/>
        </w:rPr>
        <w:t>The top row depicts the</w:t>
      </w:r>
      <w:r w:rsidR="00252C86" w:rsidRPr="00975DA7">
        <w:rPr>
          <w:rFonts w:ascii="Times New Roman" w:hAnsi="Times New Roman" w:cs="Times New Roman"/>
        </w:rPr>
        <w:t xml:space="preserve"> meta-analytic map for the term ‘semantic’ extracted from Neurosynth</w:t>
      </w:r>
      <w:r w:rsidR="00CA1CB5" w:rsidRPr="00975DA7">
        <w:rPr>
          <w:rFonts w:ascii="Times New Roman" w:hAnsi="Times New Roman" w:cs="Times New Roman"/>
        </w:rPr>
        <w:t>, with the</w:t>
      </w:r>
      <w:r w:rsidR="00252C86" w:rsidRPr="00975DA7">
        <w:rPr>
          <w:rFonts w:ascii="Times New Roman" w:hAnsi="Times New Roman" w:cs="Times New Roman"/>
        </w:rPr>
        <w:t xml:space="preserve"> location of the LH and RH seeds</w:t>
      </w:r>
      <w:r w:rsidR="00CA1CB5" w:rsidRPr="00975DA7">
        <w:rPr>
          <w:rFonts w:ascii="Times New Roman" w:hAnsi="Times New Roman" w:cs="Times New Roman"/>
        </w:rPr>
        <w:t xml:space="preserve"> indicated</w:t>
      </w:r>
      <w:r w:rsidR="00252C86" w:rsidRPr="00975DA7">
        <w:rPr>
          <w:rFonts w:ascii="Times New Roman" w:hAnsi="Times New Roman" w:cs="Times New Roman"/>
        </w:rPr>
        <w:t>. The bottom panel shows the group mean intrinsic connectivity maps for these LH and RH seeds, projected to the surface using BrainNet. These connectivity maps present</w:t>
      </w:r>
      <w:r w:rsidRPr="00975DA7">
        <w:rPr>
          <w:rFonts w:ascii="Times New Roman" w:hAnsi="Times New Roman" w:cs="Times New Roman"/>
        </w:rPr>
        <w:t xml:space="preserve"> Z values</w:t>
      </w:r>
      <w:r w:rsidR="00FA54DE" w:rsidRPr="00975DA7">
        <w:rPr>
          <w:rFonts w:ascii="Times New Roman" w:hAnsi="Times New Roman" w:cs="Times New Roman"/>
        </w:rPr>
        <w:t xml:space="preserve"> (unthresholded)</w:t>
      </w:r>
      <w:r w:rsidR="00252C86" w:rsidRPr="00975DA7">
        <w:rPr>
          <w:rFonts w:ascii="Times New Roman" w:hAnsi="Times New Roman" w:cs="Times New Roman"/>
        </w:rPr>
        <w:t>.</w:t>
      </w:r>
    </w:p>
    <w:p w14:paraId="0AF234A4" w14:textId="35EEBB88" w:rsidR="00A22AE8" w:rsidRPr="00975DA7" w:rsidRDefault="00A22AE8" w:rsidP="00265FEA">
      <w:pPr>
        <w:keepNext/>
        <w:spacing w:line="360" w:lineRule="auto"/>
        <w:rPr>
          <w:rFonts w:ascii="Times New Roman" w:hAnsi="Times New Roman" w:cs="Times New Roman"/>
        </w:rPr>
      </w:pPr>
    </w:p>
    <w:p w14:paraId="09851EBE" w14:textId="179D892B" w:rsidR="004D6BAE" w:rsidRPr="00975DA7" w:rsidRDefault="00153F35" w:rsidP="005E04AB">
      <w:pPr>
        <w:keepNext/>
        <w:spacing w:line="360" w:lineRule="auto"/>
        <w:rPr>
          <w:rFonts w:ascii="Times New Roman" w:hAnsi="Times New Roman" w:cs="Times New Roman"/>
        </w:rPr>
      </w:pPr>
      <w:r w:rsidRPr="00975DA7">
        <w:rPr>
          <w:rFonts w:ascii="Times New Roman" w:hAnsi="Times New Roman" w:cs="Times New Roman"/>
        </w:rPr>
        <w:t xml:space="preserve">We next </w:t>
      </w:r>
      <w:r w:rsidR="009D428C" w:rsidRPr="00975DA7">
        <w:rPr>
          <w:rFonts w:ascii="Times New Roman" w:hAnsi="Times New Roman" w:cs="Times New Roman"/>
        </w:rPr>
        <w:t xml:space="preserve">quantified the degree to which patterns of intrinsic connectivity are similar across </w:t>
      </w:r>
      <w:r w:rsidR="001A528C" w:rsidRPr="00975DA7">
        <w:rPr>
          <w:rFonts w:ascii="Times New Roman" w:hAnsi="Times New Roman" w:cs="Times New Roman"/>
        </w:rPr>
        <w:t>pairs of</w:t>
      </w:r>
      <w:r w:rsidR="0011088F" w:rsidRPr="00975DA7">
        <w:rPr>
          <w:rFonts w:ascii="Times New Roman" w:hAnsi="Times New Roman" w:cs="Times New Roman"/>
        </w:rPr>
        <w:t xml:space="preserve"> seeds implicated in sem</w:t>
      </w:r>
      <w:r w:rsidR="001A528C" w:rsidRPr="00975DA7">
        <w:rPr>
          <w:rFonts w:ascii="Times New Roman" w:hAnsi="Times New Roman" w:cs="Times New Roman"/>
        </w:rPr>
        <w:t>antic control (IFG and pMTG) or</w:t>
      </w:r>
      <w:r w:rsidR="0011088F" w:rsidRPr="00975DA7">
        <w:rPr>
          <w:rFonts w:ascii="Times New Roman" w:hAnsi="Times New Roman" w:cs="Times New Roman"/>
        </w:rPr>
        <w:t xml:space="preserve"> </w:t>
      </w:r>
      <w:r w:rsidR="00BE33A2" w:rsidRPr="00975DA7">
        <w:rPr>
          <w:rFonts w:ascii="Times New Roman" w:hAnsi="Times New Roman" w:cs="Times New Roman"/>
        </w:rPr>
        <w:t>not associated with control</w:t>
      </w:r>
      <w:r w:rsidR="0011088F" w:rsidRPr="00975DA7">
        <w:rPr>
          <w:rFonts w:ascii="Times New Roman" w:hAnsi="Times New Roman" w:cs="Times New Roman"/>
        </w:rPr>
        <w:t xml:space="preserve"> (ATL and AG</w:t>
      </w:r>
      <w:r w:rsidR="001A528C" w:rsidRPr="00975DA7">
        <w:rPr>
          <w:rFonts w:ascii="Times New Roman" w:hAnsi="Times New Roman" w:cs="Times New Roman"/>
        </w:rPr>
        <w:t>; see Figure 4</w:t>
      </w:r>
      <w:r w:rsidR="0011088F" w:rsidRPr="00975DA7">
        <w:rPr>
          <w:rFonts w:ascii="Times New Roman" w:hAnsi="Times New Roman" w:cs="Times New Roman"/>
        </w:rPr>
        <w:t xml:space="preserve">). </w:t>
      </w:r>
      <w:r w:rsidR="00BE33A2" w:rsidRPr="00975DA7">
        <w:rPr>
          <w:rFonts w:ascii="Times New Roman" w:hAnsi="Times New Roman" w:cs="Times New Roman"/>
        </w:rPr>
        <w:t>W</w:t>
      </w:r>
      <w:r w:rsidR="004D6BAE" w:rsidRPr="00975DA7">
        <w:rPr>
          <w:rFonts w:ascii="Times New Roman" w:hAnsi="Times New Roman" w:cs="Times New Roman"/>
        </w:rPr>
        <w:t xml:space="preserve">e correlated </w:t>
      </w:r>
      <w:r w:rsidR="001A528C" w:rsidRPr="00975DA7">
        <w:rPr>
          <w:rFonts w:ascii="Times New Roman" w:hAnsi="Times New Roman" w:cs="Times New Roman"/>
        </w:rPr>
        <w:t xml:space="preserve">the intrinsic connectivity </w:t>
      </w:r>
      <w:r w:rsidR="008A697D" w:rsidRPr="00975DA7">
        <w:rPr>
          <w:rFonts w:ascii="Times New Roman" w:hAnsi="Times New Roman" w:cs="Times New Roman"/>
        </w:rPr>
        <w:t>of</w:t>
      </w:r>
      <w:r w:rsidR="001A528C" w:rsidRPr="00975DA7">
        <w:rPr>
          <w:rFonts w:ascii="Times New Roman" w:hAnsi="Times New Roman" w:cs="Times New Roman"/>
        </w:rPr>
        <w:t xml:space="preserve"> </w:t>
      </w:r>
      <w:r w:rsidR="004D6BAE" w:rsidRPr="00975DA7">
        <w:rPr>
          <w:rFonts w:ascii="Times New Roman" w:hAnsi="Times New Roman" w:cs="Times New Roman"/>
        </w:rPr>
        <w:t>each seed</w:t>
      </w:r>
      <w:r w:rsidR="001A528C" w:rsidRPr="00975DA7">
        <w:rPr>
          <w:rFonts w:ascii="Times New Roman" w:hAnsi="Times New Roman" w:cs="Times New Roman"/>
        </w:rPr>
        <w:t xml:space="preserve"> with </w:t>
      </w:r>
      <w:r w:rsidR="008A697D" w:rsidRPr="00975DA7">
        <w:rPr>
          <w:rFonts w:ascii="Times New Roman" w:hAnsi="Times New Roman" w:cs="Times New Roman"/>
        </w:rPr>
        <w:t>the three</w:t>
      </w:r>
      <w:r w:rsidR="004D6BAE" w:rsidRPr="00975DA7">
        <w:rPr>
          <w:rFonts w:ascii="Times New Roman" w:hAnsi="Times New Roman" w:cs="Times New Roman"/>
        </w:rPr>
        <w:t xml:space="preserve"> other seed</w:t>
      </w:r>
      <w:r w:rsidR="001A528C" w:rsidRPr="00975DA7">
        <w:rPr>
          <w:rFonts w:ascii="Times New Roman" w:hAnsi="Times New Roman" w:cs="Times New Roman"/>
        </w:rPr>
        <w:t>s</w:t>
      </w:r>
      <w:r w:rsidR="004D6BAE" w:rsidRPr="00975DA7">
        <w:rPr>
          <w:rFonts w:ascii="Times New Roman" w:hAnsi="Times New Roman" w:cs="Times New Roman"/>
        </w:rPr>
        <w:t xml:space="preserve"> within the same hemisphere (for example, we </w:t>
      </w:r>
      <w:r w:rsidR="001A528C" w:rsidRPr="00975DA7">
        <w:rPr>
          <w:rFonts w:ascii="Times New Roman" w:hAnsi="Times New Roman" w:cs="Times New Roman"/>
        </w:rPr>
        <w:t xml:space="preserve">compared </w:t>
      </w:r>
      <w:r w:rsidR="008A697D" w:rsidRPr="00975DA7">
        <w:rPr>
          <w:rFonts w:ascii="Times New Roman" w:hAnsi="Times New Roman" w:cs="Times New Roman"/>
        </w:rPr>
        <w:t xml:space="preserve">left </w:t>
      </w:r>
      <w:r w:rsidR="005E04AB" w:rsidRPr="00975DA7">
        <w:rPr>
          <w:rFonts w:ascii="Times New Roman" w:hAnsi="Times New Roman" w:cs="Times New Roman"/>
        </w:rPr>
        <w:t>IFG-pMTG with left IFG-AG and left IFG-ATL)</w:t>
      </w:r>
      <w:r w:rsidR="0016546F" w:rsidRPr="00975DA7">
        <w:rPr>
          <w:rFonts w:ascii="Times New Roman" w:hAnsi="Times New Roman" w:cs="Times New Roman"/>
        </w:rPr>
        <w:t xml:space="preserve"> and tested for significant differences between these correlations using the Fisher r-to-z transformation</w:t>
      </w:r>
      <w:r w:rsidR="005E04AB" w:rsidRPr="00975DA7">
        <w:rPr>
          <w:rFonts w:ascii="Times New Roman" w:hAnsi="Times New Roman" w:cs="Times New Roman"/>
        </w:rPr>
        <w:t>.</w:t>
      </w:r>
      <w:r w:rsidR="0016546F" w:rsidRPr="00975DA7">
        <w:rPr>
          <w:rFonts w:ascii="Times New Roman" w:hAnsi="Times New Roman" w:cs="Times New Roman"/>
        </w:rPr>
        <w:t xml:space="preserve"> </w:t>
      </w:r>
      <w:r w:rsidR="007A1D7B" w:rsidRPr="00975DA7">
        <w:rPr>
          <w:rFonts w:ascii="Times New Roman" w:hAnsi="Times New Roman" w:cs="Times New Roman"/>
        </w:rPr>
        <w:t>Table 2 shows the correlations between all the different pairs of intrinsic connectivity maps.</w:t>
      </w:r>
      <w:r w:rsidR="004D6BAE" w:rsidRPr="00975DA7">
        <w:rPr>
          <w:rFonts w:ascii="Times New Roman" w:hAnsi="Times New Roman" w:cs="Times New Roman"/>
        </w:rPr>
        <w:t xml:space="preserve"> </w:t>
      </w:r>
    </w:p>
    <w:p w14:paraId="79465151" w14:textId="47DC5DB1" w:rsidR="004B547B" w:rsidRPr="00975DA7" w:rsidRDefault="00802D54" w:rsidP="004B547B">
      <w:pPr>
        <w:keepNext/>
        <w:spacing w:line="360" w:lineRule="auto"/>
        <w:rPr>
          <w:rFonts w:ascii="Times New Roman" w:hAnsi="Times New Roman" w:cs="Times New Roman"/>
        </w:rPr>
      </w:pPr>
      <w:r w:rsidRPr="00975DA7">
        <w:rPr>
          <w:rFonts w:ascii="Times New Roman" w:hAnsi="Times New Roman" w:cs="Times New Roman"/>
        </w:rPr>
        <w:t>There wa</w:t>
      </w:r>
      <w:r w:rsidR="0011088F" w:rsidRPr="00975DA7">
        <w:rPr>
          <w:rFonts w:ascii="Times New Roman" w:hAnsi="Times New Roman" w:cs="Times New Roman"/>
        </w:rPr>
        <w:t xml:space="preserve">s extensive </w:t>
      </w:r>
      <w:r w:rsidR="00153F35" w:rsidRPr="00975DA7">
        <w:rPr>
          <w:rFonts w:ascii="Times New Roman" w:hAnsi="Times New Roman" w:cs="Times New Roman"/>
        </w:rPr>
        <w:t xml:space="preserve">shared </w:t>
      </w:r>
      <w:r w:rsidR="0011088F" w:rsidRPr="00975DA7">
        <w:rPr>
          <w:rFonts w:ascii="Times New Roman" w:hAnsi="Times New Roman" w:cs="Times New Roman"/>
        </w:rPr>
        <w:t xml:space="preserve">connectivity </w:t>
      </w:r>
      <w:r w:rsidR="00153F35" w:rsidRPr="00975DA7">
        <w:rPr>
          <w:rFonts w:ascii="Times New Roman" w:hAnsi="Times New Roman" w:cs="Times New Roman"/>
        </w:rPr>
        <w:t>for</w:t>
      </w:r>
      <w:r w:rsidR="0011088F" w:rsidRPr="00975DA7">
        <w:rPr>
          <w:rFonts w:ascii="Times New Roman" w:hAnsi="Times New Roman" w:cs="Times New Roman"/>
        </w:rPr>
        <w:t xml:space="preserve"> pMTG and IFG, in both hemispheres.</w:t>
      </w:r>
      <w:r w:rsidR="00BC2C84" w:rsidRPr="00975DA7">
        <w:rPr>
          <w:rFonts w:ascii="Times New Roman" w:hAnsi="Times New Roman" w:cs="Times New Roman"/>
        </w:rPr>
        <w:t xml:space="preserve"> Overlap between IFG and pMTG was seen within these two seed regions, but also within other regions implicated in executive control, such as intraparietal sulcus and pre-supplementary motor area, in both hemispheres</w:t>
      </w:r>
      <w:r w:rsidR="007D245F" w:rsidRPr="00975DA7">
        <w:rPr>
          <w:rFonts w:ascii="Times New Roman" w:hAnsi="Times New Roman" w:cs="Times New Roman"/>
        </w:rPr>
        <w:t xml:space="preserve"> (see Figure 4)</w:t>
      </w:r>
      <w:r w:rsidR="00BC2C84" w:rsidRPr="00975DA7">
        <w:rPr>
          <w:rFonts w:ascii="Times New Roman" w:hAnsi="Times New Roman" w:cs="Times New Roman"/>
        </w:rPr>
        <w:t xml:space="preserve">. </w:t>
      </w:r>
      <w:r w:rsidR="007D245F" w:rsidRPr="00975DA7">
        <w:rPr>
          <w:rFonts w:ascii="Times New Roman" w:hAnsi="Times New Roman" w:cs="Times New Roman"/>
        </w:rPr>
        <w:t>The intrinsic connectivity patterns of</w:t>
      </w:r>
      <w:r w:rsidR="00BC2C84" w:rsidRPr="00975DA7">
        <w:rPr>
          <w:rFonts w:ascii="Times New Roman" w:hAnsi="Times New Roman" w:cs="Times New Roman"/>
        </w:rPr>
        <w:t xml:space="preserve"> IFG and pMTG </w:t>
      </w:r>
      <w:r w:rsidR="007D245F" w:rsidRPr="00975DA7">
        <w:rPr>
          <w:rFonts w:ascii="Times New Roman" w:hAnsi="Times New Roman" w:cs="Times New Roman"/>
        </w:rPr>
        <w:t>showed higher correlations</w:t>
      </w:r>
      <w:r w:rsidR="00BC2C84" w:rsidRPr="00975DA7">
        <w:rPr>
          <w:rFonts w:ascii="Times New Roman" w:hAnsi="Times New Roman" w:cs="Times New Roman"/>
        </w:rPr>
        <w:t xml:space="preserve"> with each other than with other semantic sites. </w:t>
      </w:r>
      <w:r w:rsidR="008A60F7" w:rsidRPr="00975DA7">
        <w:rPr>
          <w:rFonts w:ascii="Times New Roman" w:hAnsi="Times New Roman" w:cs="Times New Roman"/>
        </w:rPr>
        <w:t xml:space="preserve">In both hemispheres, IFG was significantly more correlated with pMTG than with </w:t>
      </w:r>
      <w:r w:rsidR="00A22AE8" w:rsidRPr="00975DA7">
        <w:rPr>
          <w:rFonts w:ascii="Times New Roman" w:hAnsi="Times New Roman" w:cs="Times New Roman"/>
        </w:rPr>
        <w:t>either</w:t>
      </w:r>
      <w:r w:rsidR="00872EBB" w:rsidRPr="00975DA7">
        <w:rPr>
          <w:rFonts w:ascii="Times New Roman" w:hAnsi="Times New Roman" w:cs="Times New Roman"/>
        </w:rPr>
        <w:t xml:space="preserve"> </w:t>
      </w:r>
      <w:r w:rsidR="008A60F7" w:rsidRPr="00975DA7">
        <w:rPr>
          <w:rFonts w:ascii="Times New Roman" w:hAnsi="Times New Roman" w:cs="Times New Roman"/>
        </w:rPr>
        <w:t xml:space="preserve">AG (LH: z = 7.72, p &lt; .001; RH: z = 5.33, p &lt; .001) </w:t>
      </w:r>
      <w:r w:rsidR="00A22AE8" w:rsidRPr="00975DA7">
        <w:rPr>
          <w:rFonts w:ascii="Times New Roman" w:hAnsi="Times New Roman" w:cs="Times New Roman"/>
        </w:rPr>
        <w:t>or</w:t>
      </w:r>
      <w:r w:rsidR="008A60F7" w:rsidRPr="00975DA7">
        <w:rPr>
          <w:rFonts w:ascii="Times New Roman" w:hAnsi="Times New Roman" w:cs="Times New Roman"/>
        </w:rPr>
        <w:t xml:space="preserve"> ATL (LH: z = 9.57, p &lt; .001; RH: z = 7.91, p &lt; .001). </w:t>
      </w:r>
      <w:r w:rsidR="00A13AF9" w:rsidRPr="00975DA7">
        <w:rPr>
          <w:rFonts w:ascii="Times New Roman" w:hAnsi="Times New Roman" w:cs="Times New Roman"/>
        </w:rPr>
        <w:t xml:space="preserve">Likewise, pMTG </w:t>
      </w:r>
      <w:r w:rsidR="001842C0" w:rsidRPr="00975DA7">
        <w:rPr>
          <w:rFonts w:ascii="Times New Roman" w:hAnsi="Times New Roman" w:cs="Times New Roman"/>
        </w:rPr>
        <w:t>was more correlated with IFG than with</w:t>
      </w:r>
      <w:r w:rsidR="00A13AF9" w:rsidRPr="00975DA7">
        <w:rPr>
          <w:rFonts w:ascii="Times New Roman" w:hAnsi="Times New Roman" w:cs="Times New Roman"/>
        </w:rPr>
        <w:t xml:space="preserve"> AG (LH: z = 5.48, p &lt; .001; RH: z = 3.15, p = .002) </w:t>
      </w:r>
      <w:r w:rsidR="00872EBB" w:rsidRPr="00975DA7">
        <w:rPr>
          <w:rFonts w:ascii="Times New Roman" w:hAnsi="Times New Roman" w:cs="Times New Roman"/>
        </w:rPr>
        <w:t>and</w:t>
      </w:r>
      <w:r w:rsidR="00A13AF9" w:rsidRPr="00975DA7">
        <w:rPr>
          <w:rFonts w:ascii="Times New Roman" w:hAnsi="Times New Roman" w:cs="Times New Roman"/>
        </w:rPr>
        <w:t xml:space="preserve"> ATL (LH: z = 7.68, p &lt; .001; RH: z = 5.01, p &lt; .001). </w:t>
      </w:r>
      <w:r w:rsidR="004B547B" w:rsidRPr="00975DA7">
        <w:rPr>
          <w:rFonts w:ascii="Times New Roman" w:hAnsi="Times New Roman" w:cs="Times New Roman"/>
        </w:rPr>
        <w:t>These results demonstrate that the semantic network is not homogeneous: LH sites implicated in semantic control are more connected to each other than to other semantic regions, and the same pattern is seen for their RH homologues.</w:t>
      </w:r>
    </w:p>
    <w:p w14:paraId="5AE7E7B3" w14:textId="75BBA135" w:rsidR="0016546F" w:rsidRPr="00975DA7" w:rsidRDefault="004B547B" w:rsidP="0016546F">
      <w:pPr>
        <w:spacing w:line="360" w:lineRule="auto"/>
        <w:rPr>
          <w:rFonts w:ascii="Times New Roman" w:hAnsi="Times New Roman" w:cs="Times New Roman"/>
        </w:rPr>
      </w:pPr>
      <w:r w:rsidRPr="00975DA7">
        <w:rPr>
          <w:rFonts w:ascii="Times New Roman" w:hAnsi="Times New Roman" w:cs="Times New Roman"/>
        </w:rPr>
        <w:t xml:space="preserve">ATL and AG </w:t>
      </w:r>
      <w:r w:rsidR="008B5840" w:rsidRPr="00975DA7">
        <w:rPr>
          <w:rFonts w:ascii="Times New Roman" w:hAnsi="Times New Roman" w:cs="Times New Roman"/>
        </w:rPr>
        <w:t xml:space="preserve">are not implicated in semantic control </w:t>
      </w:r>
      <w:r w:rsidRPr="00975DA7">
        <w:rPr>
          <w:rFonts w:ascii="Times New Roman" w:hAnsi="Times New Roman" w:cs="Times New Roman"/>
        </w:rPr>
        <w:t>and Figure 4 shows that these sites overlap with DMN sites – including within ATL</w:t>
      </w:r>
      <w:r w:rsidR="001A2709" w:rsidRPr="00975DA7">
        <w:rPr>
          <w:rFonts w:ascii="Times New Roman" w:hAnsi="Times New Roman" w:cs="Times New Roman"/>
        </w:rPr>
        <w:t xml:space="preserve">, </w:t>
      </w:r>
      <w:r w:rsidRPr="00975DA7">
        <w:rPr>
          <w:rFonts w:ascii="Times New Roman" w:hAnsi="Times New Roman" w:cs="Times New Roman"/>
        </w:rPr>
        <w:t>medial prefrontal cortex</w:t>
      </w:r>
      <w:r w:rsidR="001A2709" w:rsidRPr="00975DA7">
        <w:rPr>
          <w:rFonts w:ascii="Times New Roman" w:hAnsi="Times New Roman" w:cs="Times New Roman"/>
        </w:rPr>
        <w:t xml:space="preserve">, </w:t>
      </w:r>
      <w:r w:rsidRPr="00975DA7">
        <w:rPr>
          <w:rFonts w:ascii="Times New Roman" w:hAnsi="Times New Roman" w:cs="Times New Roman"/>
        </w:rPr>
        <w:t>AG and hippocampus. However, comparisons of the correlations in Table 2 suggest that ATL and AG are not always more connected to each other than to other semantic sites</w:t>
      </w:r>
      <w:r w:rsidR="009F0C7A" w:rsidRPr="00975DA7">
        <w:rPr>
          <w:rFonts w:ascii="Times New Roman" w:hAnsi="Times New Roman" w:cs="Times New Roman"/>
        </w:rPr>
        <w:t xml:space="preserve">, and in this way, they do not appear to form a strong sub-network within the semantic system. </w:t>
      </w:r>
      <w:r w:rsidRPr="00975DA7">
        <w:rPr>
          <w:rFonts w:ascii="Times New Roman" w:hAnsi="Times New Roman" w:cs="Times New Roman"/>
        </w:rPr>
        <w:t>In the LH, there was a difference between AG-ATL and AG-IFG coupling which approached significance (z = -1.73, p = .08)</w:t>
      </w:r>
      <w:r w:rsidR="00304BBC" w:rsidRPr="00975DA7">
        <w:rPr>
          <w:rFonts w:ascii="Times New Roman" w:hAnsi="Times New Roman" w:cs="Times New Roman"/>
        </w:rPr>
        <w:t>, while i</w:t>
      </w:r>
      <w:r w:rsidRPr="00975DA7">
        <w:rPr>
          <w:rFonts w:ascii="Times New Roman" w:hAnsi="Times New Roman" w:cs="Times New Roman"/>
        </w:rPr>
        <w:t xml:space="preserve">n the RH, there was no evidence that AG was more correlated with ATL than IFG (z = -0.58, p &gt; .1). In both hemispheres, AG showed stronger intrinsic connectivity with pMTG (a nearby site) than with ATL (LH: z = -3.94, p = .0001; RH: -2.77, p = .0056). The </w:t>
      </w:r>
      <w:r w:rsidR="00304BBC" w:rsidRPr="00975DA7">
        <w:rPr>
          <w:rFonts w:ascii="Times New Roman" w:hAnsi="Times New Roman" w:cs="Times New Roman"/>
        </w:rPr>
        <w:t xml:space="preserve">LH </w:t>
      </w:r>
      <w:r w:rsidRPr="00975DA7">
        <w:rPr>
          <w:rFonts w:ascii="Times New Roman" w:hAnsi="Times New Roman" w:cs="Times New Roman"/>
        </w:rPr>
        <w:t>correlation for ATL-AG was not statistically different from ATL-IFG (z = -0.12, p &gt; .1)</w:t>
      </w:r>
      <w:r w:rsidR="001A2709" w:rsidRPr="00975DA7">
        <w:rPr>
          <w:rFonts w:ascii="Times New Roman" w:hAnsi="Times New Roman" w:cs="Times New Roman"/>
        </w:rPr>
        <w:t xml:space="preserve">, </w:t>
      </w:r>
      <w:r w:rsidR="00304BBC" w:rsidRPr="00975DA7">
        <w:rPr>
          <w:rFonts w:ascii="Times New Roman" w:hAnsi="Times New Roman" w:cs="Times New Roman"/>
        </w:rPr>
        <w:t>although</w:t>
      </w:r>
      <w:r w:rsidR="001A2709" w:rsidRPr="00975DA7">
        <w:rPr>
          <w:rFonts w:ascii="Times New Roman" w:hAnsi="Times New Roman" w:cs="Times New Roman"/>
        </w:rPr>
        <w:t xml:space="preserve"> in the RH, we found a marginally stronger correlation for ATL-AG than AG-IFG (z=2.0, p = .0</w:t>
      </w:r>
      <w:r w:rsidR="00304BBC" w:rsidRPr="00975DA7">
        <w:rPr>
          <w:rFonts w:ascii="Times New Roman" w:hAnsi="Times New Roman" w:cs="Times New Roman"/>
        </w:rPr>
        <w:t>5</w:t>
      </w:r>
      <w:r w:rsidR="001A2709" w:rsidRPr="00975DA7">
        <w:rPr>
          <w:rFonts w:ascii="Times New Roman" w:hAnsi="Times New Roman" w:cs="Times New Roman"/>
        </w:rPr>
        <w:t xml:space="preserve">). </w:t>
      </w:r>
      <w:r w:rsidR="00304BBC" w:rsidRPr="00975DA7">
        <w:rPr>
          <w:rFonts w:ascii="Times New Roman" w:hAnsi="Times New Roman" w:cs="Times New Roman"/>
        </w:rPr>
        <w:t xml:space="preserve">Finally, </w:t>
      </w:r>
      <w:r w:rsidR="00E400EE" w:rsidRPr="00975DA7">
        <w:rPr>
          <w:rFonts w:ascii="Times New Roman" w:hAnsi="Times New Roman" w:cs="Times New Roman"/>
        </w:rPr>
        <w:t>there was no evidence that ATL-AG correlations were stronger than ATL-pMTG</w:t>
      </w:r>
      <w:r w:rsidR="0016546F" w:rsidRPr="00975DA7">
        <w:rPr>
          <w:rFonts w:ascii="Times New Roman" w:hAnsi="Times New Roman" w:cs="Times New Roman"/>
        </w:rPr>
        <w:t xml:space="preserve"> correlations</w:t>
      </w:r>
      <w:r w:rsidR="00E400EE" w:rsidRPr="00975DA7">
        <w:rPr>
          <w:rFonts w:ascii="Times New Roman" w:hAnsi="Times New Roman" w:cs="Times New Roman"/>
        </w:rPr>
        <w:t xml:space="preserve">, in </w:t>
      </w:r>
      <w:r w:rsidR="0016546F" w:rsidRPr="00975DA7">
        <w:rPr>
          <w:rFonts w:ascii="Times New Roman" w:hAnsi="Times New Roman" w:cs="Times New Roman"/>
        </w:rPr>
        <w:t xml:space="preserve">both </w:t>
      </w:r>
      <w:r w:rsidR="00E400EE" w:rsidRPr="00975DA7">
        <w:rPr>
          <w:rFonts w:ascii="Times New Roman" w:hAnsi="Times New Roman" w:cs="Times New Roman"/>
        </w:rPr>
        <w:t xml:space="preserve">LH </w:t>
      </w:r>
      <w:r w:rsidRPr="00975DA7">
        <w:rPr>
          <w:rFonts w:ascii="Times New Roman" w:hAnsi="Times New Roman" w:cs="Times New Roman"/>
        </w:rPr>
        <w:t>(</w:t>
      </w:r>
      <w:r w:rsidR="0016546F" w:rsidRPr="00975DA7">
        <w:rPr>
          <w:rFonts w:ascii="Times New Roman" w:hAnsi="Times New Roman" w:cs="Times New Roman"/>
        </w:rPr>
        <w:t xml:space="preserve">where there was a trend in the opposite direction; </w:t>
      </w:r>
      <w:r w:rsidRPr="00975DA7">
        <w:rPr>
          <w:rFonts w:ascii="Times New Roman" w:hAnsi="Times New Roman" w:cs="Times New Roman"/>
        </w:rPr>
        <w:t>z = -1.74, p = 0.8)</w:t>
      </w:r>
      <w:r w:rsidR="00E400EE" w:rsidRPr="00975DA7">
        <w:rPr>
          <w:rFonts w:ascii="Times New Roman" w:hAnsi="Times New Roman" w:cs="Times New Roman"/>
        </w:rPr>
        <w:t xml:space="preserve"> </w:t>
      </w:r>
      <w:r w:rsidR="0016546F" w:rsidRPr="00975DA7">
        <w:rPr>
          <w:rFonts w:ascii="Times New Roman" w:hAnsi="Times New Roman" w:cs="Times New Roman"/>
        </w:rPr>
        <w:t>and</w:t>
      </w:r>
      <w:r w:rsidR="00E400EE" w:rsidRPr="00975DA7">
        <w:rPr>
          <w:rFonts w:ascii="Times New Roman" w:hAnsi="Times New Roman" w:cs="Times New Roman"/>
        </w:rPr>
        <w:t xml:space="preserve"> RH </w:t>
      </w:r>
      <w:r w:rsidRPr="00975DA7">
        <w:rPr>
          <w:rFonts w:ascii="Times New Roman" w:hAnsi="Times New Roman" w:cs="Times New Roman"/>
        </w:rPr>
        <w:t>(z = 0.90, p &gt; .1</w:t>
      </w:r>
      <w:r w:rsidR="00E400EE" w:rsidRPr="00975DA7">
        <w:rPr>
          <w:rFonts w:ascii="Times New Roman" w:hAnsi="Times New Roman" w:cs="Times New Roman"/>
        </w:rPr>
        <w:t xml:space="preserve">). </w:t>
      </w:r>
      <w:r w:rsidR="00F54E35" w:rsidRPr="00975DA7">
        <w:rPr>
          <w:rFonts w:ascii="Times New Roman" w:hAnsi="Times New Roman" w:cs="Times New Roman"/>
        </w:rPr>
        <w:t xml:space="preserve"> </w:t>
      </w:r>
    </w:p>
    <w:p w14:paraId="4F64FBC7" w14:textId="611D8A88" w:rsidR="0016546F" w:rsidRPr="00975DA7" w:rsidRDefault="008B5840" w:rsidP="0016546F">
      <w:pPr>
        <w:spacing w:line="360" w:lineRule="auto"/>
        <w:rPr>
          <w:rFonts w:ascii="Times New Roman" w:hAnsi="Times New Roman" w:cs="Times New Roman"/>
        </w:rPr>
      </w:pPr>
      <w:r w:rsidRPr="00975DA7">
        <w:rPr>
          <w:rFonts w:ascii="Times New Roman" w:hAnsi="Times New Roman" w:cs="Times New Roman"/>
        </w:rPr>
        <w:t xml:space="preserve">In a final step, we compared the patterns of shared connectivity for IFG-pMTG </w:t>
      </w:r>
      <w:r w:rsidR="00C12358" w:rsidRPr="00975DA7">
        <w:rPr>
          <w:rFonts w:ascii="Times New Roman" w:hAnsi="Times New Roman" w:cs="Times New Roman"/>
        </w:rPr>
        <w:t xml:space="preserve">(implicated in semantic control) </w:t>
      </w:r>
      <w:r w:rsidRPr="00975DA7">
        <w:rPr>
          <w:rFonts w:ascii="Times New Roman" w:hAnsi="Times New Roman" w:cs="Times New Roman"/>
        </w:rPr>
        <w:t xml:space="preserve">and for ATL-AG </w:t>
      </w:r>
      <w:r w:rsidR="00C12358" w:rsidRPr="00975DA7">
        <w:rPr>
          <w:rFonts w:ascii="Times New Roman" w:hAnsi="Times New Roman" w:cs="Times New Roman"/>
        </w:rPr>
        <w:t xml:space="preserve">(not implicated in control) </w:t>
      </w:r>
      <w:r w:rsidRPr="00975DA7">
        <w:rPr>
          <w:rFonts w:ascii="Times New Roman" w:hAnsi="Times New Roman" w:cs="Times New Roman"/>
        </w:rPr>
        <w:t>in the LH and RH</w:t>
      </w:r>
      <w:r w:rsidR="00AD661E" w:rsidRPr="00975DA7">
        <w:rPr>
          <w:rFonts w:ascii="Times New Roman" w:hAnsi="Times New Roman" w:cs="Times New Roman"/>
        </w:rPr>
        <w:t>,</w:t>
      </w:r>
      <w:r w:rsidRPr="00975DA7">
        <w:rPr>
          <w:rFonts w:ascii="Times New Roman" w:hAnsi="Times New Roman" w:cs="Times New Roman"/>
        </w:rPr>
        <w:t xml:space="preserve"> </w:t>
      </w:r>
      <w:r w:rsidR="00AD661E" w:rsidRPr="00975DA7">
        <w:rPr>
          <w:rFonts w:ascii="Times New Roman" w:hAnsi="Times New Roman" w:cs="Times New Roman"/>
        </w:rPr>
        <w:t xml:space="preserve">with canonical networks derived from a parcellation of resting-state connectivity (Yeo et al. 2011; </w:t>
      </w:r>
      <w:r w:rsidRPr="00975DA7">
        <w:rPr>
          <w:rFonts w:ascii="Times New Roman" w:hAnsi="Times New Roman" w:cs="Times New Roman"/>
        </w:rPr>
        <w:t xml:space="preserve">Figure 4). The </w:t>
      </w:r>
      <w:r w:rsidRPr="00975DA7">
        <w:rPr>
          <w:rFonts w:ascii="Times New Roman" w:hAnsi="Times New Roman" w:cs="Times New Roman"/>
        </w:rPr>
        <w:lastRenderedPageBreak/>
        <w:t xml:space="preserve">left-lateralised semantic control sites (IFG and pMTG) showed </w:t>
      </w:r>
      <w:r w:rsidR="00A73CD7" w:rsidRPr="00975DA7">
        <w:rPr>
          <w:rFonts w:ascii="Times New Roman" w:hAnsi="Times New Roman" w:cs="Times New Roman"/>
        </w:rPr>
        <w:t>a high degree of overlap with</w:t>
      </w:r>
      <w:r w:rsidRPr="00975DA7">
        <w:rPr>
          <w:rFonts w:ascii="Times New Roman" w:hAnsi="Times New Roman" w:cs="Times New Roman"/>
        </w:rPr>
        <w:t xml:space="preserve"> both DMN and control networks, supporting the view that these regions sit at the intersection of networks tha</w:t>
      </w:r>
      <w:r w:rsidR="00296D1C" w:rsidRPr="00975DA7">
        <w:rPr>
          <w:rFonts w:ascii="Times New Roman" w:hAnsi="Times New Roman" w:cs="Times New Roman"/>
        </w:rPr>
        <w:t xml:space="preserve">t are typically anti-correlated </w:t>
      </w:r>
      <w:r w:rsidRPr="00975DA7">
        <w:rPr>
          <w:rFonts w:ascii="Times New Roman" w:hAnsi="Times New Roman" w:cs="Times New Roman"/>
        </w:rPr>
        <w:t xml:space="preserve">yet recruited together during semantic tasks (Davey et al., 2016). The RH homologue regions showed </w:t>
      </w:r>
      <w:r w:rsidR="004553AE" w:rsidRPr="00975DA7">
        <w:rPr>
          <w:rFonts w:ascii="Times New Roman" w:hAnsi="Times New Roman" w:cs="Times New Roman"/>
        </w:rPr>
        <w:t>a high degree of overlap with</w:t>
      </w:r>
      <w:r w:rsidRPr="00975DA7">
        <w:rPr>
          <w:rFonts w:ascii="Times New Roman" w:hAnsi="Times New Roman" w:cs="Times New Roman"/>
        </w:rPr>
        <w:t xml:space="preserve"> control networks (frontoparietal and dorsal attention network) </w:t>
      </w:r>
      <w:r w:rsidR="004553AE" w:rsidRPr="00975DA7">
        <w:rPr>
          <w:rFonts w:ascii="Times New Roman" w:hAnsi="Times New Roman" w:cs="Times New Roman"/>
        </w:rPr>
        <w:t>but not</w:t>
      </w:r>
      <w:r w:rsidRPr="00975DA7">
        <w:rPr>
          <w:rFonts w:ascii="Times New Roman" w:hAnsi="Times New Roman" w:cs="Times New Roman"/>
        </w:rPr>
        <w:t xml:space="preserve"> with DMN. The connectivity patterns of </w:t>
      </w:r>
      <w:r w:rsidR="004553AE" w:rsidRPr="00975DA7">
        <w:rPr>
          <w:rFonts w:ascii="Times New Roman" w:hAnsi="Times New Roman" w:cs="Times New Roman"/>
        </w:rPr>
        <w:t xml:space="preserve">LH </w:t>
      </w:r>
      <w:r w:rsidRPr="00975DA7">
        <w:rPr>
          <w:rFonts w:ascii="Times New Roman" w:hAnsi="Times New Roman" w:cs="Times New Roman"/>
        </w:rPr>
        <w:t xml:space="preserve">non-control semantic regions (AG and ATL) </w:t>
      </w:r>
      <w:r w:rsidR="004553AE" w:rsidRPr="00975DA7">
        <w:rPr>
          <w:rFonts w:ascii="Times New Roman" w:hAnsi="Times New Roman" w:cs="Times New Roman"/>
        </w:rPr>
        <w:t>showed high overlap with</w:t>
      </w:r>
      <w:r w:rsidR="00AD661E" w:rsidRPr="00975DA7">
        <w:rPr>
          <w:rFonts w:ascii="Times New Roman" w:hAnsi="Times New Roman" w:cs="Times New Roman"/>
        </w:rPr>
        <w:t xml:space="preserve"> lateral default mode regions, not core DMN regions, such as posterior cingulate cortex. The RH homologue regions showed </w:t>
      </w:r>
      <w:r w:rsidR="004553AE" w:rsidRPr="00975DA7">
        <w:rPr>
          <w:rFonts w:ascii="Times New Roman" w:hAnsi="Times New Roman" w:cs="Times New Roman"/>
        </w:rPr>
        <w:t>a similar degree of overlap with</w:t>
      </w:r>
      <w:r w:rsidR="00AD661E" w:rsidRPr="00975DA7">
        <w:rPr>
          <w:rFonts w:ascii="Times New Roman" w:hAnsi="Times New Roman" w:cs="Times New Roman"/>
        </w:rPr>
        <w:t xml:space="preserve"> </w:t>
      </w:r>
      <w:r w:rsidR="00C12358" w:rsidRPr="00975DA7">
        <w:rPr>
          <w:rFonts w:ascii="Times New Roman" w:hAnsi="Times New Roman" w:cs="Times New Roman"/>
        </w:rPr>
        <w:t>lateral, core and medial DMN networks</w:t>
      </w:r>
      <w:r w:rsidR="00AD661E" w:rsidRPr="00975DA7">
        <w:rPr>
          <w:rFonts w:ascii="Times New Roman" w:hAnsi="Times New Roman" w:cs="Times New Roman"/>
        </w:rPr>
        <w:t xml:space="preserve">, and also </w:t>
      </w:r>
      <w:r w:rsidR="004553AE" w:rsidRPr="00975DA7">
        <w:rPr>
          <w:rFonts w:ascii="Times New Roman" w:hAnsi="Times New Roman" w:cs="Times New Roman"/>
        </w:rPr>
        <w:t>strong overlap</w:t>
      </w:r>
      <w:r w:rsidR="00AD661E" w:rsidRPr="00975DA7">
        <w:rPr>
          <w:rFonts w:ascii="Times New Roman" w:hAnsi="Times New Roman" w:cs="Times New Roman"/>
        </w:rPr>
        <w:t xml:space="preserve"> with the dorsal attention network.</w:t>
      </w:r>
    </w:p>
    <w:p w14:paraId="45587E97" w14:textId="77777777" w:rsidR="000B2772" w:rsidRPr="00975DA7" w:rsidRDefault="000B2772" w:rsidP="0016546F">
      <w:pPr>
        <w:spacing w:line="360" w:lineRule="auto"/>
        <w:rPr>
          <w:rFonts w:ascii="Times New Roman" w:hAnsi="Times New Roman" w:cs="Times New Roman"/>
        </w:rPr>
      </w:pPr>
    </w:p>
    <w:p w14:paraId="7FB6384C" w14:textId="7DF53D68" w:rsidR="008B5840" w:rsidRPr="00975DA7" w:rsidRDefault="000B2772" w:rsidP="0016546F">
      <w:pPr>
        <w:spacing w:line="360" w:lineRule="auto"/>
        <w:rPr>
          <w:rFonts w:ascii="Times New Roman" w:hAnsi="Times New Roman" w:cs="Times New Roman"/>
        </w:rPr>
      </w:pPr>
      <w:r w:rsidRPr="00975DA7">
        <w:rPr>
          <w:rFonts w:ascii="Times New Roman" w:hAnsi="Times New Roman" w:cs="Times New Roman"/>
          <w:noProof/>
          <w:lang w:eastAsia="en-GB"/>
        </w:rPr>
        <w:drawing>
          <wp:inline distT="0" distB="0" distL="0" distR="0" wp14:anchorId="1160341A" wp14:editId="0915E8B4">
            <wp:extent cx="5731510" cy="3313379"/>
            <wp:effectExtent l="0" t="0" r="2540" b="1905"/>
            <wp:docPr id="7" name="Picture 7" descr="C:\Users\trga500\Google Drive\Publications\Laterality_Cohort_RS\Submission_Final\Reviewers\Figures\Figure 4\Figure_4_Rev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rga500\Google Drive\Publications\Laterality_Cohort_RS\Submission_Final\Reviewers\Figures\Figure 4\Figure_4_Rev_Fin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13379"/>
                    </a:xfrm>
                    <a:prstGeom prst="rect">
                      <a:avLst/>
                    </a:prstGeom>
                    <a:noFill/>
                    <a:ln>
                      <a:noFill/>
                    </a:ln>
                  </pic:spPr>
                </pic:pic>
              </a:graphicData>
            </a:graphic>
          </wp:inline>
        </w:drawing>
      </w:r>
    </w:p>
    <w:p w14:paraId="0EB4CBCB" w14:textId="706FE447" w:rsidR="00EB5CA2" w:rsidRPr="00975DA7" w:rsidRDefault="0011635F" w:rsidP="00FA54DE">
      <w:pPr>
        <w:spacing w:line="240" w:lineRule="auto"/>
        <w:rPr>
          <w:rFonts w:ascii="Times New Roman" w:hAnsi="Times New Roman" w:cs="Times New Roman"/>
        </w:rPr>
      </w:pPr>
      <w:r w:rsidRPr="00975DA7">
        <w:rPr>
          <w:rFonts w:ascii="Times New Roman" w:hAnsi="Times New Roman" w:cs="Times New Roman"/>
        </w:rPr>
        <w:t xml:space="preserve">Figure 4. The maps in the </w:t>
      </w:r>
      <w:r w:rsidR="00624A7B" w:rsidRPr="00975DA7">
        <w:rPr>
          <w:rFonts w:ascii="Times New Roman" w:hAnsi="Times New Roman" w:cs="Times New Roman"/>
        </w:rPr>
        <w:t>left-hand</w:t>
      </w:r>
      <w:r w:rsidR="004A0D81" w:rsidRPr="00975DA7">
        <w:rPr>
          <w:rFonts w:ascii="Times New Roman" w:hAnsi="Times New Roman" w:cs="Times New Roman"/>
        </w:rPr>
        <w:t xml:space="preserve"> column </w:t>
      </w:r>
      <w:r w:rsidRPr="00975DA7">
        <w:rPr>
          <w:rFonts w:ascii="Times New Roman" w:hAnsi="Times New Roman" w:cs="Times New Roman"/>
        </w:rPr>
        <w:t>depict</w:t>
      </w:r>
      <w:r w:rsidR="001A005B" w:rsidRPr="00975DA7">
        <w:rPr>
          <w:rFonts w:ascii="Times New Roman" w:hAnsi="Times New Roman" w:cs="Times New Roman"/>
        </w:rPr>
        <w:t xml:space="preserve"> conjunctions</w:t>
      </w:r>
      <w:r w:rsidR="00EB5CA2" w:rsidRPr="00975DA7">
        <w:rPr>
          <w:rFonts w:ascii="Times New Roman" w:hAnsi="Times New Roman" w:cs="Times New Roman"/>
        </w:rPr>
        <w:t xml:space="preserve"> of group mean intrinsic connectivity for pairs of ROIs located in distant parts of cortex </w:t>
      </w:r>
      <w:r w:rsidR="00296D1C" w:rsidRPr="00975DA7">
        <w:rPr>
          <w:rFonts w:ascii="Times New Roman" w:hAnsi="Times New Roman" w:cs="Times New Roman"/>
        </w:rPr>
        <w:t>(semantic control sites, IFG and pMTG; and sites outside the semantic control network, in AG and ATL)</w:t>
      </w:r>
      <w:r w:rsidR="00EB5CA2" w:rsidRPr="00975DA7">
        <w:rPr>
          <w:rFonts w:ascii="Times New Roman" w:hAnsi="Times New Roman" w:cs="Times New Roman"/>
        </w:rPr>
        <w:t xml:space="preserve">. </w:t>
      </w:r>
      <w:r w:rsidRPr="00975DA7">
        <w:rPr>
          <w:rFonts w:ascii="Times New Roman" w:hAnsi="Times New Roman" w:cs="Times New Roman"/>
        </w:rPr>
        <w:t>Orange</w:t>
      </w:r>
      <w:r w:rsidR="00BC2C84" w:rsidRPr="00975DA7">
        <w:rPr>
          <w:rFonts w:ascii="Times New Roman" w:hAnsi="Times New Roman" w:cs="Times New Roman"/>
        </w:rPr>
        <w:t xml:space="preserve"> shows regions of overlap </w:t>
      </w:r>
      <w:r w:rsidR="002D16F6" w:rsidRPr="00975DA7">
        <w:rPr>
          <w:rFonts w:ascii="Times New Roman" w:hAnsi="Times New Roman" w:cs="Times New Roman"/>
        </w:rPr>
        <w:t>between</w:t>
      </w:r>
      <w:r w:rsidR="004F71C2" w:rsidRPr="00975DA7">
        <w:rPr>
          <w:rFonts w:ascii="Times New Roman" w:hAnsi="Times New Roman" w:cs="Times New Roman"/>
        </w:rPr>
        <w:t xml:space="preserve"> </w:t>
      </w:r>
      <w:r w:rsidR="00BC2C84" w:rsidRPr="00975DA7">
        <w:rPr>
          <w:rFonts w:ascii="Times New Roman" w:hAnsi="Times New Roman" w:cs="Times New Roman"/>
        </w:rPr>
        <w:t xml:space="preserve">LH </w:t>
      </w:r>
      <w:r w:rsidR="002D16F6" w:rsidRPr="00975DA7">
        <w:rPr>
          <w:rFonts w:ascii="Times New Roman" w:hAnsi="Times New Roman" w:cs="Times New Roman"/>
        </w:rPr>
        <w:t xml:space="preserve">seeds </w:t>
      </w:r>
      <w:r w:rsidR="00BC2C84" w:rsidRPr="00975DA7">
        <w:rPr>
          <w:rFonts w:ascii="Times New Roman" w:hAnsi="Times New Roman" w:cs="Times New Roman"/>
        </w:rPr>
        <w:t xml:space="preserve">while blue shows overlap </w:t>
      </w:r>
      <w:r w:rsidR="002D16F6" w:rsidRPr="00975DA7">
        <w:rPr>
          <w:rFonts w:ascii="Times New Roman" w:hAnsi="Times New Roman" w:cs="Times New Roman"/>
        </w:rPr>
        <w:t>between</w:t>
      </w:r>
      <w:r w:rsidR="00BC2C84" w:rsidRPr="00975DA7">
        <w:rPr>
          <w:rFonts w:ascii="Times New Roman" w:hAnsi="Times New Roman" w:cs="Times New Roman"/>
        </w:rPr>
        <w:t xml:space="preserve"> RH </w:t>
      </w:r>
      <w:r w:rsidR="002D16F6" w:rsidRPr="00975DA7">
        <w:rPr>
          <w:rFonts w:ascii="Times New Roman" w:hAnsi="Times New Roman" w:cs="Times New Roman"/>
        </w:rPr>
        <w:t>seeds (</w:t>
      </w:r>
      <w:r w:rsidR="00BC2C84" w:rsidRPr="00975DA7">
        <w:rPr>
          <w:rFonts w:ascii="Times New Roman" w:hAnsi="Times New Roman" w:cs="Times New Roman"/>
        </w:rPr>
        <w:t xml:space="preserve">pink </w:t>
      </w:r>
      <w:r w:rsidR="002D16F6" w:rsidRPr="00975DA7">
        <w:rPr>
          <w:rFonts w:ascii="Times New Roman" w:hAnsi="Times New Roman" w:cs="Times New Roman"/>
        </w:rPr>
        <w:t>shows regions of overlap between pairs of semantic seeds that were present for</w:t>
      </w:r>
      <w:r w:rsidR="00BC2C84" w:rsidRPr="00975DA7">
        <w:rPr>
          <w:rFonts w:ascii="Times New Roman" w:hAnsi="Times New Roman" w:cs="Times New Roman"/>
        </w:rPr>
        <w:t xml:space="preserve"> both </w:t>
      </w:r>
      <w:r w:rsidR="002D16F6" w:rsidRPr="00975DA7">
        <w:rPr>
          <w:rFonts w:ascii="Times New Roman" w:hAnsi="Times New Roman" w:cs="Times New Roman"/>
        </w:rPr>
        <w:t>LH and RH conjunctions)</w:t>
      </w:r>
      <w:r w:rsidR="00BC2C84" w:rsidRPr="00975DA7">
        <w:rPr>
          <w:rFonts w:ascii="Times New Roman" w:hAnsi="Times New Roman" w:cs="Times New Roman"/>
        </w:rPr>
        <w:t xml:space="preserve">. </w:t>
      </w:r>
      <w:r w:rsidRPr="00975DA7">
        <w:rPr>
          <w:rFonts w:ascii="Times New Roman" w:hAnsi="Times New Roman" w:cs="Times New Roman"/>
        </w:rPr>
        <w:t xml:space="preserve">The bar plots </w:t>
      </w:r>
      <w:r w:rsidR="004A0D81" w:rsidRPr="00975DA7">
        <w:rPr>
          <w:rFonts w:ascii="Times New Roman" w:hAnsi="Times New Roman" w:cs="Times New Roman"/>
        </w:rPr>
        <w:t>adjacent to each conjunction map show the</w:t>
      </w:r>
      <w:r w:rsidR="001A005B" w:rsidRPr="00975DA7">
        <w:rPr>
          <w:rFonts w:ascii="Times New Roman" w:hAnsi="Times New Roman" w:cs="Times New Roman"/>
        </w:rPr>
        <w:t xml:space="preserve"> proportion of</w:t>
      </w:r>
      <w:r w:rsidR="004A0D81" w:rsidRPr="00975DA7">
        <w:rPr>
          <w:rFonts w:ascii="Times New Roman" w:hAnsi="Times New Roman" w:cs="Times New Roman"/>
        </w:rPr>
        <w:t xml:space="preserve"> </w:t>
      </w:r>
      <w:r w:rsidR="001A005B" w:rsidRPr="00975DA7">
        <w:rPr>
          <w:rFonts w:ascii="Times New Roman" w:hAnsi="Times New Roman" w:cs="Times New Roman"/>
        </w:rPr>
        <w:t>voxels</w:t>
      </w:r>
      <w:r w:rsidR="004A0D81" w:rsidRPr="00975DA7">
        <w:rPr>
          <w:rFonts w:ascii="Times New Roman" w:hAnsi="Times New Roman" w:cs="Times New Roman"/>
        </w:rPr>
        <w:t xml:space="preserve"> of </w:t>
      </w:r>
      <w:r w:rsidRPr="00975DA7">
        <w:rPr>
          <w:rFonts w:ascii="Times New Roman" w:hAnsi="Times New Roman" w:cs="Times New Roman"/>
        </w:rPr>
        <w:t xml:space="preserve">this map </w:t>
      </w:r>
      <w:r w:rsidR="002D16F6" w:rsidRPr="00975DA7">
        <w:rPr>
          <w:rFonts w:ascii="Times New Roman" w:hAnsi="Times New Roman" w:cs="Times New Roman"/>
        </w:rPr>
        <w:t xml:space="preserve">that overlap with networks from </w:t>
      </w:r>
      <w:r w:rsidRPr="00975DA7">
        <w:rPr>
          <w:rFonts w:ascii="Times New Roman" w:hAnsi="Times New Roman" w:cs="Times New Roman"/>
        </w:rPr>
        <w:t xml:space="preserve">the </w:t>
      </w:r>
      <w:r w:rsidR="00076DE3" w:rsidRPr="00975DA7">
        <w:rPr>
          <w:rFonts w:ascii="Times New Roman" w:hAnsi="Times New Roman" w:cs="Times New Roman"/>
        </w:rPr>
        <w:t>17-</w:t>
      </w:r>
      <w:r w:rsidRPr="00975DA7">
        <w:rPr>
          <w:rFonts w:ascii="Times New Roman" w:hAnsi="Times New Roman" w:cs="Times New Roman"/>
        </w:rPr>
        <w:t>n</w:t>
      </w:r>
      <w:r w:rsidR="004A0D81" w:rsidRPr="00975DA7">
        <w:rPr>
          <w:rFonts w:ascii="Times New Roman" w:hAnsi="Times New Roman" w:cs="Times New Roman"/>
        </w:rPr>
        <w:t>et</w:t>
      </w:r>
      <w:r w:rsidR="00076DE3" w:rsidRPr="00975DA7">
        <w:rPr>
          <w:rFonts w:ascii="Times New Roman" w:hAnsi="Times New Roman" w:cs="Times New Roman"/>
        </w:rPr>
        <w:t>work parcellation describe</w:t>
      </w:r>
      <w:r w:rsidR="004A0D81" w:rsidRPr="00975DA7">
        <w:rPr>
          <w:rFonts w:ascii="Times New Roman" w:hAnsi="Times New Roman" w:cs="Times New Roman"/>
        </w:rPr>
        <w:t xml:space="preserve">d by </w:t>
      </w:r>
      <w:r w:rsidR="002530E3" w:rsidRPr="00975DA7">
        <w:rPr>
          <w:rFonts w:ascii="Times New Roman" w:hAnsi="Times New Roman" w:cs="Times New Roman"/>
        </w:rPr>
        <w:fldChar w:fldCharType="begin" w:fldLock="1"/>
      </w:r>
      <w:r w:rsidR="00450643" w:rsidRPr="00975DA7">
        <w:rPr>
          <w:rFonts w:ascii="Times New Roman" w:hAnsi="Times New Roman" w:cs="Times New Roman"/>
        </w:rPr>
        <w:instrText>ADDIN CSL_CITATION {"citationItems":[{"id":"ITEM-1","itemData":{"DOI":"10.1152/jn.00338.2011.","ISBN":"1522-1598 (Electronic)\\r0022-3077 (Linking)","ISSN":"1522-1598","PMID":"21653723","abstract":"Information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cognition.","author":[{"dropping-particle":"","family":"Yeo","given":"B.T. Thomas","non-dropping-particle":"","parse-names":false,"suffix":""},{"dropping-particle":"","family":"Krienen","given":"Fenna M.","non-dropping-particle":"","parse-names":false,"suffix":""},{"dropping-particle":"","family":"Sepulcre","given":"Jorge","non-dropping-particle":"","parse-names":false,"suffix":""},{"dropping-particle":"","family":"Sabuncu","given":"Mert R.","non-dropping-particle":"","parse-names":false,"suffix":""},{"dropping-particle":"","family":"Lashkari","given":"D.","non-dropping-particle":"","parse-names":false,"suffix":""},{"dropping-particle":"","family":"Hollinshead","given":"Marisa","non-dropping-particle":"","parse-names":false,"suffix":""},{"dropping-particle":"","family":"Roffman","given":"Joshua L.","non-dropping-particle":"","parse-names":false,"suffix":""},{"dropping-particle":"","family":"Smoller","given":"Jordan W.","non-dropping-particle":"","parse-names":false,"suffix":""},{"dropping-particle":"","family":"Zollei","given":"Lilla","non-dropping-particle":"","parse-names":false,"suffix":""},{"dropping-particle":"","family":"Polimeni","given":"Jonathan R.","non-dropping-particle":"","parse-names":false,"suffix":""},{"dropping-particle":"","family":"Fischl","given":"Bruce","non-dropping-particle":"","parse-names":false,"suffix":""},{"dropping-particle":"","family":"Liu","given":"Hesheng","non-dropping-particle":"","parse-names":false,"suffix":""},{"dropping-particle":"","family":"Buckner","given":"Randy L.","non-dropping-particle":"","parse-names":false,"suffix":""}],"container-title":"Journal of Neurophysiology","id":"ITEM-1","issue":"3","issued":{"date-parts":[["2011"]]},"page":"1125-1165","title":"The organization of the human cerebral cortex estimated by intrinsic functional connectivity","type":"article-journal","volume":"106"},"uris":["http://www.mendeley.com/documents/?uuid=74d6d262-8fd3-424a-be62-6d3c9664d9fb"]}],"mendeley":{"formattedCitation":"(Yeo et al., 2011)","manualFormatting":"Yeo et al. (2011","plainTextFormattedCitation":"(Yeo et al., 2011)","previouslyFormattedCitation":"(Yeo et al., 2011)"},"properties":{"noteIndex":0},"schema":"https://github.com/citation-style-language/schema/raw/master/csl-citation.json"}</w:instrText>
      </w:r>
      <w:r w:rsidR="002530E3" w:rsidRPr="00975DA7">
        <w:rPr>
          <w:rFonts w:ascii="Times New Roman" w:hAnsi="Times New Roman" w:cs="Times New Roman"/>
        </w:rPr>
        <w:fldChar w:fldCharType="separate"/>
      </w:r>
      <w:r w:rsidR="002530E3" w:rsidRPr="00975DA7">
        <w:rPr>
          <w:rFonts w:ascii="Times New Roman" w:hAnsi="Times New Roman" w:cs="Times New Roman"/>
          <w:noProof/>
        </w:rPr>
        <w:t>Yeo et al. (2011</w:t>
      </w:r>
      <w:r w:rsidR="002530E3" w:rsidRPr="00975DA7">
        <w:rPr>
          <w:rFonts w:ascii="Times New Roman" w:hAnsi="Times New Roman" w:cs="Times New Roman"/>
        </w:rPr>
        <w:fldChar w:fldCharType="end"/>
      </w:r>
      <w:r w:rsidRPr="00975DA7">
        <w:rPr>
          <w:rFonts w:ascii="Times New Roman" w:hAnsi="Times New Roman" w:cs="Times New Roman"/>
        </w:rPr>
        <w:t>, depicted in the bottom row</w:t>
      </w:r>
      <w:r w:rsidR="00507B6A" w:rsidRPr="00975DA7">
        <w:rPr>
          <w:rFonts w:ascii="Times New Roman" w:hAnsi="Times New Roman" w:cs="Times New Roman"/>
        </w:rPr>
        <w:t>, colour-coded to match the bar plots</w:t>
      </w:r>
      <w:r w:rsidR="00076DE3" w:rsidRPr="00975DA7">
        <w:rPr>
          <w:rFonts w:ascii="Times New Roman" w:hAnsi="Times New Roman" w:cs="Times New Roman"/>
        </w:rPr>
        <w:t xml:space="preserve">; the network names and colour codes for these maps and the corresponding bar plots above can be consulted in detail in </w:t>
      </w:r>
      <w:r w:rsidR="00076DE3" w:rsidRPr="00975DA7">
        <w:rPr>
          <w:rFonts w:ascii="Times New Roman" w:hAnsi="Times New Roman" w:cs="Times New Roman"/>
        </w:rPr>
        <w:fldChar w:fldCharType="begin" w:fldLock="1"/>
      </w:r>
      <w:r w:rsidR="00155DD4" w:rsidRPr="00975DA7">
        <w:rPr>
          <w:rFonts w:ascii="Times New Roman" w:hAnsi="Times New Roman" w:cs="Times New Roman"/>
        </w:rPr>
        <w:instrText>ADDIN CSL_CITATION {"citationItems":[{"id":"ITEM-1","itemData":{"DOI":"10.3389/fnhum.2015.00134","abstract":"Schizophrenia is a devastating illness characterized by disturbances in multiple domains. The cerebellum is involved in both motor and non-motor functions, and the ``cognitive dysmetria'' and ``dysmetria of thought'' models propose that abnormalities of the cerebellum may contribute to schizophrenia signs and symptoms. The cerebellum and cerebral cortex are reciprocally connected via a modular, closed-loop network architecture, but few schizophrenia neuroimaging studies have taken into account the topographical and functional heterogeneity of the cerebellum. In this study, using a previously defined 17-network cerebral cortical parcellation system as the basis for our functional connectivity seeds, we systematically investigated connectivity abnormalities within the cerebellum of 44 schizophrenia patients and 28 healthy control participants. We found selective alterations in cerebro-cerebellar functional connectivity. Specifically, schizophrenia patients showed decreased cerebro-cerebellar functional connectivity in higher level association networks (ventral attention, salience, control, and default mode networks) relative to healthy control participants. Schizophrenia patients also showed increased cerebro-cerebellar connectivity in somatomotor and default mode networks, with the latter showing no overlap with the regions found to be hypoconnected within the same default mode network. Finally, we found evidence to suggest that somatomotor and default mode networks may be inappropriately linked in schizophrenia. The relationship of these dysconnectivities to schizophrenia symptoms, such as neurological soft signs and altered sense of agency, is discussed. We conclude that the cerebellum ought to be considered for analysis in all future studies of network abnormalities in SZ, and further suggest the cerebellum as a potential target for further elucidation, and possibly treatment, of the underlying mechanisms and network abnormalities producing symptoms of schizophrenia.","author":[{"dropping-particle":"","family":"Shinn","given":"Ann K.","non-dropping-particle":"","parse-names":false,"suffix":""},{"dropping-particle":"","family":"Baker","given":"Justin T.","non-dropping-particle":"","parse-names":false,"suffix":""},{"dropping-particle":"","family":"Lewandowski","given":"Kathryn E.","non-dropping-particle":"","parse-names":false,"suffix":""},{"dropping-particle":"","family":"Öngür","given":"Dost","non-dropping-particle":"","parse-names":false,"suffix":""},{"dropping-particle":"","family":"Cohen","given":"Bruce M.","non-dropping-particle":"","parse-names":false,"suffix":""}],"container-title":"Frontiers in Human Neuroscience","id":"ITEM-1","issue":"March","issued":{"date-parts":[["2015"]]},"page":"1-16","title":"Aberrant cerebellar connectivity in motor and association networks in schizophrenia","type":"article-journal","volume":"9"},"uris":["http://www.mendeley.com/documents/?uuid=aa72842b-0dd3-43c0-8856-7802577f13f1","http://www.mendeley.com/documents/?uuid=94799033-c99a-4c0f-ba8b-7b6e07ac8e8c"]}],"mendeley":{"formattedCitation":"(Shinn et al., 2015)","manualFormatting":"Shinn et al., 2015","plainTextFormattedCitation":"(Shinn et al., 2015)","previouslyFormattedCitation":"(Shinn et al., 2015)"},"properties":{"noteIndex":0},"schema":"https://github.com/citation-style-language/schema/raw/master/csl-citation.json"}</w:instrText>
      </w:r>
      <w:r w:rsidR="00076DE3" w:rsidRPr="00975DA7">
        <w:rPr>
          <w:rFonts w:ascii="Times New Roman" w:hAnsi="Times New Roman" w:cs="Times New Roman"/>
        </w:rPr>
        <w:fldChar w:fldCharType="separate"/>
      </w:r>
      <w:r w:rsidR="00F32B70" w:rsidRPr="00975DA7">
        <w:rPr>
          <w:rFonts w:ascii="Times New Roman" w:hAnsi="Times New Roman" w:cs="Times New Roman"/>
          <w:noProof/>
        </w:rPr>
        <w:t>Shinn et al., 2015</w:t>
      </w:r>
      <w:r w:rsidR="00076DE3" w:rsidRPr="00975DA7">
        <w:rPr>
          <w:rFonts w:ascii="Times New Roman" w:hAnsi="Times New Roman" w:cs="Times New Roman"/>
        </w:rPr>
        <w:fldChar w:fldCharType="end"/>
      </w:r>
      <w:r w:rsidR="002D16F6" w:rsidRPr="00975DA7">
        <w:rPr>
          <w:rFonts w:ascii="Times New Roman" w:hAnsi="Times New Roman" w:cs="Times New Roman"/>
        </w:rPr>
        <w:t>). To simply this figure, we only</w:t>
      </w:r>
      <w:r w:rsidR="001271F9" w:rsidRPr="00975DA7">
        <w:rPr>
          <w:rFonts w:ascii="Times New Roman" w:hAnsi="Times New Roman" w:cs="Times New Roman"/>
        </w:rPr>
        <w:t xml:space="preserve"> show </w:t>
      </w:r>
      <w:r w:rsidR="002D16F6" w:rsidRPr="00975DA7">
        <w:rPr>
          <w:rFonts w:ascii="Times New Roman" w:hAnsi="Times New Roman" w:cs="Times New Roman"/>
        </w:rPr>
        <w:t xml:space="preserve">those </w:t>
      </w:r>
      <w:r w:rsidR="001271F9" w:rsidRPr="00975DA7">
        <w:rPr>
          <w:rFonts w:ascii="Times New Roman" w:hAnsi="Times New Roman" w:cs="Times New Roman"/>
        </w:rPr>
        <w:t xml:space="preserve">networks for which at least 5% of the voxels in </w:t>
      </w:r>
      <w:r w:rsidR="002D16F6" w:rsidRPr="00975DA7">
        <w:rPr>
          <w:rFonts w:ascii="Times New Roman" w:hAnsi="Times New Roman" w:cs="Times New Roman"/>
        </w:rPr>
        <w:t xml:space="preserve">at least </w:t>
      </w:r>
      <w:r w:rsidR="001271F9" w:rsidRPr="00975DA7">
        <w:rPr>
          <w:rFonts w:ascii="Times New Roman" w:hAnsi="Times New Roman" w:cs="Times New Roman"/>
        </w:rPr>
        <w:t>one connectivity map show</w:t>
      </w:r>
      <w:r w:rsidR="002D16F6" w:rsidRPr="00975DA7">
        <w:rPr>
          <w:rFonts w:ascii="Times New Roman" w:hAnsi="Times New Roman" w:cs="Times New Roman"/>
        </w:rPr>
        <w:t>ed</w:t>
      </w:r>
      <w:r w:rsidR="001271F9" w:rsidRPr="00975DA7">
        <w:rPr>
          <w:rFonts w:ascii="Times New Roman" w:hAnsi="Times New Roman" w:cs="Times New Roman"/>
        </w:rPr>
        <w:t xml:space="preserve"> overlap</w:t>
      </w:r>
      <w:r w:rsidRPr="00975DA7">
        <w:rPr>
          <w:rFonts w:ascii="Times New Roman" w:hAnsi="Times New Roman" w:cs="Times New Roman"/>
        </w:rPr>
        <w:t xml:space="preserve">. </w:t>
      </w:r>
      <w:r w:rsidR="00EB5CA2" w:rsidRPr="00975DA7">
        <w:rPr>
          <w:rFonts w:ascii="Times New Roman" w:hAnsi="Times New Roman" w:cs="Times New Roman"/>
        </w:rPr>
        <w:t>Connectivity maps are</w:t>
      </w:r>
      <w:r w:rsidRPr="00975DA7">
        <w:rPr>
          <w:rFonts w:ascii="Times New Roman" w:hAnsi="Times New Roman" w:cs="Times New Roman"/>
        </w:rPr>
        <w:t xml:space="preserve"> projected to the surface and plotted using BrainNet</w:t>
      </w:r>
      <w:r w:rsidR="00EB5CA2" w:rsidRPr="00975DA7">
        <w:rPr>
          <w:rFonts w:ascii="Times New Roman" w:hAnsi="Times New Roman" w:cs="Times New Roman"/>
        </w:rPr>
        <w:t xml:space="preserve">. </w:t>
      </w:r>
    </w:p>
    <w:p w14:paraId="60CFA8DC" w14:textId="77777777" w:rsidR="00A22AE8" w:rsidRPr="00975DA7" w:rsidRDefault="00A22AE8" w:rsidP="00265FEA">
      <w:pPr>
        <w:keepNext/>
        <w:spacing w:line="360" w:lineRule="auto"/>
        <w:rPr>
          <w:rFonts w:ascii="Times New Roman" w:hAnsi="Times New Roman" w:cs="Times New Roman"/>
          <w:i/>
        </w:rPr>
      </w:pPr>
    </w:p>
    <w:p w14:paraId="682D12F0" w14:textId="3EDFB095" w:rsidR="00F41C40" w:rsidRPr="00975DA7" w:rsidRDefault="00F41C40" w:rsidP="00265FEA">
      <w:pPr>
        <w:keepNext/>
        <w:spacing w:line="360" w:lineRule="auto"/>
        <w:rPr>
          <w:rFonts w:ascii="Times New Roman" w:hAnsi="Times New Roman" w:cs="Times New Roman"/>
          <w:i/>
        </w:rPr>
      </w:pPr>
      <w:r w:rsidRPr="00975DA7">
        <w:rPr>
          <w:rFonts w:ascii="Times New Roman" w:hAnsi="Times New Roman" w:cs="Times New Roman"/>
          <w:i/>
        </w:rPr>
        <w:t xml:space="preserve">3.2. Similarities and differences in intrinsic connectivity </w:t>
      </w:r>
      <w:r w:rsidR="009D428C" w:rsidRPr="00975DA7">
        <w:rPr>
          <w:rFonts w:ascii="Times New Roman" w:hAnsi="Times New Roman" w:cs="Times New Roman"/>
          <w:i/>
        </w:rPr>
        <w:t>across hemispheres</w:t>
      </w:r>
    </w:p>
    <w:p w14:paraId="680E5AA7" w14:textId="5F9F3E0A" w:rsidR="00D94C63" w:rsidRPr="00975DA7" w:rsidRDefault="0059177E" w:rsidP="00265FEA">
      <w:pPr>
        <w:keepNext/>
        <w:spacing w:line="360" w:lineRule="auto"/>
        <w:rPr>
          <w:rFonts w:ascii="Times New Roman" w:hAnsi="Times New Roman" w:cs="Times New Roman"/>
        </w:rPr>
      </w:pPr>
      <w:r w:rsidRPr="00975DA7">
        <w:rPr>
          <w:rFonts w:ascii="Times New Roman" w:hAnsi="Times New Roman" w:cs="Times New Roman"/>
        </w:rPr>
        <w:t>The left and right hemisphere maps were largely symmetrical</w:t>
      </w:r>
      <w:r w:rsidR="002F101C" w:rsidRPr="00975DA7">
        <w:rPr>
          <w:rFonts w:ascii="Times New Roman" w:hAnsi="Times New Roman" w:cs="Times New Roman"/>
        </w:rPr>
        <w:t xml:space="preserve"> (see Figure 3</w:t>
      </w:r>
      <w:r w:rsidR="00F005C4" w:rsidRPr="00975DA7">
        <w:rPr>
          <w:rFonts w:ascii="Times New Roman" w:hAnsi="Times New Roman" w:cs="Times New Roman"/>
        </w:rPr>
        <w:t xml:space="preserve"> and Supplementary Figure S1</w:t>
      </w:r>
      <w:r w:rsidR="002F101C" w:rsidRPr="00975DA7">
        <w:rPr>
          <w:rFonts w:ascii="Times New Roman" w:hAnsi="Times New Roman" w:cs="Times New Roman"/>
        </w:rPr>
        <w:t>)</w:t>
      </w:r>
      <w:r w:rsidRPr="00975DA7">
        <w:rPr>
          <w:rFonts w:ascii="Times New Roman" w:hAnsi="Times New Roman" w:cs="Times New Roman"/>
        </w:rPr>
        <w:t xml:space="preserve">. We </w:t>
      </w:r>
      <w:r w:rsidR="00BC31D0" w:rsidRPr="00975DA7">
        <w:rPr>
          <w:rFonts w:ascii="Times New Roman" w:hAnsi="Times New Roman" w:cs="Times New Roman"/>
        </w:rPr>
        <w:t xml:space="preserve">tested for any significant differences in the strength of the correlation between particular pairs of seeds in the LH and RH </w:t>
      </w:r>
      <w:r w:rsidR="0016546F" w:rsidRPr="00975DA7">
        <w:rPr>
          <w:rFonts w:ascii="Times New Roman" w:hAnsi="Times New Roman" w:cs="Times New Roman"/>
        </w:rPr>
        <w:t>using the Fisher r-to-z transformation</w:t>
      </w:r>
      <w:r w:rsidR="00BC31D0" w:rsidRPr="00975DA7">
        <w:rPr>
          <w:rFonts w:ascii="Times New Roman" w:hAnsi="Times New Roman" w:cs="Times New Roman"/>
        </w:rPr>
        <w:t xml:space="preserve">. We also </w:t>
      </w:r>
      <w:r w:rsidR="0016546F" w:rsidRPr="00975DA7">
        <w:rPr>
          <w:rFonts w:ascii="Times New Roman" w:hAnsi="Times New Roman" w:cs="Times New Roman"/>
        </w:rPr>
        <w:t xml:space="preserve">tested for equivalence between </w:t>
      </w:r>
      <w:r w:rsidR="00BC31D0" w:rsidRPr="00975DA7">
        <w:rPr>
          <w:rFonts w:ascii="Times New Roman" w:hAnsi="Times New Roman" w:cs="Times New Roman"/>
        </w:rPr>
        <w:t xml:space="preserve">the </w:t>
      </w:r>
      <w:r w:rsidR="0016546F" w:rsidRPr="00975DA7">
        <w:rPr>
          <w:rFonts w:ascii="Times New Roman" w:hAnsi="Times New Roman" w:cs="Times New Roman"/>
        </w:rPr>
        <w:t xml:space="preserve">correlations </w:t>
      </w:r>
      <w:r w:rsidR="00BC31D0" w:rsidRPr="00975DA7">
        <w:rPr>
          <w:rFonts w:ascii="Times New Roman" w:hAnsi="Times New Roman" w:cs="Times New Roman"/>
        </w:rPr>
        <w:t xml:space="preserve">in each hemisphere </w:t>
      </w:r>
      <w:r w:rsidR="0016546F" w:rsidRPr="00975DA7">
        <w:rPr>
          <w:rFonts w:ascii="Times New Roman" w:hAnsi="Times New Roman" w:cs="Times New Roman"/>
        </w:rPr>
        <w:t xml:space="preserve">using the Two One-Sided Tests (TOST) approach as implemented by </w:t>
      </w:r>
      <w:r w:rsidR="0016546F" w:rsidRPr="00975DA7">
        <w:rPr>
          <w:rFonts w:ascii="Times New Roman" w:hAnsi="Times New Roman" w:cs="Times New Roman"/>
        </w:rPr>
        <w:fldChar w:fldCharType="begin" w:fldLock="1"/>
      </w:r>
      <w:r w:rsidR="00B77CBD" w:rsidRPr="00975DA7">
        <w:rPr>
          <w:rFonts w:ascii="Times New Roman" w:hAnsi="Times New Roman" w:cs="Times New Roman"/>
        </w:rPr>
        <w:instrText>ADDIN CSL_CITATION {"citationItems":[{"id":"ITEM-1","itemData":{"DOI":"10.1177/1948550617697177","ISBN":"1948-5506\r1948-5514","ISSN":"1948-5506","PMID":"28736600","abstract":"Scientists should be able to provide support for the absence of a meaningful effect. Currently, researchers often incorrectly conclude an effect is absent based a nonsignificant result. A widely recommended approach within a frequentist framework is to test for equivalence. In equivalence tests, such as the two one-sided tests (TOST) procedure discussed in this article, an upper and lower equivalence bound is specified based on the smallest effect size of interest. The TOST procedure can be used to statistically reject the presence of effects large enough to be considered worthwhile. This practical primer with accompanying spreadsheet and R package enables psychologists to easily perform equivalence tests (and power analyses) by setting equivalence bounds based on standardized effect sizes and provides recommendations to prespecify equivalence bounds. Extending your statistical tool kit with equivalence tests is an easy way to improve your statistical and theoretical inferences.","author":[{"dropping-particle":"","family":"Lakens","given":"Daniël","non-dropping-particle":"","parse-names":false,"suffix":""}],"container-title":"Social Psychological and Personality Science","id":"ITEM-1","issue":"4","issued":{"date-parts":[["2017"]]},"page":"355-362","title":"Equivalence Tests","type":"article-journal","volume":"8"},"uris":["http://www.mendeley.com/documents/?uuid=cd882bdb-7fda-450f-b0d5-0ddb2ecd958e"]}],"mendeley":{"formattedCitation":"(Lakens, 2017)","manualFormatting":"Lakens (2017)","plainTextFormattedCitation":"(Lakens, 2017)","previouslyFormattedCitation":"(Lakens, 2017)"},"properties":{"noteIndex":0},"schema":"https://github.com/citation-style-language/schema/raw/master/csl-citation.json"}</w:instrText>
      </w:r>
      <w:r w:rsidR="0016546F" w:rsidRPr="00975DA7">
        <w:rPr>
          <w:rFonts w:ascii="Times New Roman" w:hAnsi="Times New Roman" w:cs="Times New Roman"/>
        </w:rPr>
        <w:fldChar w:fldCharType="separate"/>
      </w:r>
      <w:r w:rsidR="0016546F" w:rsidRPr="00975DA7">
        <w:rPr>
          <w:rFonts w:ascii="Times New Roman" w:hAnsi="Times New Roman" w:cs="Times New Roman"/>
          <w:noProof/>
        </w:rPr>
        <w:t>Lakens (2017)</w:t>
      </w:r>
      <w:r w:rsidR="0016546F" w:rsidRPr="00975DA7">
        <w:rPr>
          <w:rFonts w:ascii="Times New Roman" w:hAnsi="Times New Roman" w:cs="Times New Roman"/>
        </w:rPr>
        <w:fldChar w:fldCharType="end"/>
      </w:r>
      <w:r w:rsidR="0016546F" w:rsidRPr="00975DA7">
        <w:rPr>
          <w:rFonts w:ascii="Times New Roman" w:hAnsi="Times New Roman" w:cs="Times New Roman"/>
        </w:rPr>
        <w:t>.</w:t>
      </w:r>
      <w:r w:rsidR="00BC31D0" w:rsidRPr="00975DA7">
        <w:rPr>
          <w:rFonts w:ascii="Times New Roman" w:hAnsi="Times New Roman" w:cs="Times New Roman"/>
        </w:rPr>
        <w:t xml:space="preserve"> </w:t>
      </w:r>
      <w:r w:rsidRPr="00975DA7">
        <w:rPr>
          <w:rFonts w:ascii="Times New Roman" w:hAnsi="Times New Roman" w:cs="Times New Roman"/>
        </w:rPr>
        <w:t>ATL showed the most symmetrical pattern of connectivity (Pearson’s r: ATL = 0.85, AG = 0.46, IFG = 0.43 and pMTG = 0.52, all p &lt; .001)</w:t>
      </w:r>
      <w:r w:rsidR="003C7F70" w:rsidRPr="00975DA7">
        <w:rPr>
          <w:rFonts w:ascii="Times New Roman" w:hAnsi="Times New Roman" w:cs="Times New Roman"/>
        </w:rPr>
        <w:t>: this site had</w:t>
      </w:r>
      <w:r w:rsidR="00F41C40" w:rsidRPr="00975DA7">
        <w:rPr>
          <w:rFonts w:ascii="Times New Roman" w:hAnsi="Times New Roman" w:cs="Times New Roman"/>
        </w:rPr>
        <w:t xml:space="preserve"> </w:t>
      </w:r>
      <w:r w:rsidR="00D94C63" w:rsidRPr="00975DA7">
        <w:rPr>
          <w:rFonts w:ascii="Times New Roman" w:hAnsi="Times New Roman" w:cs="Times New Roman"/>
        </w:rPr>
        <w:t xml:space="preserve">a significantly higher correlation across LH and RH seeds than </w:t>
      </w:r>
      <w:r w:rsidR="003C7F70" w:rsidRPr="00975DA7">
        <w:rPr>
          <w:rFonts w:ascii="Times New Roman" w:hAnsi="Times New Roman" w:cs="Times New Roman"/>
        </w:rPr>
        <w:t>all</w:t>
      </w:r>
      <w:r w:rsidR="00D94C63" w:rsidRPr="00975DA7">
        <w:rPr>
          <w:rFonts w:ascii="Times New Roman" w:hAnsi="Times New Roman" w:cs="Times New Roman"/>
        </w:rPr>
        <w:t xml:space="preserve"> of the other </w:t>
      </w:r>
      <w:r w:rsidR="00F41C40" w:rsidRPr="00975DA7">
        <w:rPr>
          <w:rFonts w:ascii="Times New Roman" w:hAnsi="Times New Roman" w:cs="Times New Roman"/>
        </w:rPr>
        <w:t>sites</w:t>
      </w:r>
      <w:r w:rsidR="00D94C63" w:rsidRPr="00975DA7">
        <w:rPr>
          <w:rFonts w:ascii="Times New Roman" w:hAnsi="Times New Roman" w:cs="Times New Roman"/>
        </w:rPr>
        <w:t xml:space="preserve"> (using a Fisher to z transform, z &gt; 6.68, p &lt; .001). The </w:t>
      </w:r>
      <w:r w:rsidR="007F3641" w:rsidRPr="00975DA7">
        <w:rPr>
          <w:rFonts w:ascii="Times New Roman" w:hAnsi="Times New Roman" w:cs="Times New Roman"/>
        </w:rPr>
        <w:t xml:space="preserve">strength of </w:t>
      </w:r>
      <w:r w:rsidR="00D94C63" w:rsidRPr="00975DA7">
        <w:rPr>
          <w:rFonts w:ascii="Times New Roman" w:hAnsi="Times New Roman" w:cs="Times New Roman"/>
        </w:rPr>
        <w:t xml:space="preserve">cross-hemisphere correlations for the other seeds were not significantly different </w:t>
      </w:r>
      <w:r w:rsidR="00802D54" w:rsidRPr="00975DA7">
        <w:rPr>
          <w:rFonts w:ascii="Times New Roman" w:hAnsi="Times New Roman" w:cs="Times New Roman"/>
        </w:rPr>
        <w:t xml:space="preserve">from each other </w:t>
      </w:r>
      <w:r w:rsidR="00D94C63" w:rsidRPr="00975DA7">
        <w:rPr>
          <w:rFonts w:ascii="Times New Roman" w:hAnsi="Times New Roman" w:cs="Times New Roman"/>
        </w:rPr>
        <w:t>(z &lt; 1.15, p &gt; .2</w:t>
      </w:r>
      <w:r w:rsidR="00BC31D0" w:rsidRPr="00975DA7">
        <w:rPr>
          <w:rFonts w:ascii="Times New Roman" w:hAnsi="Times New Roman" w:cs="Times New Roman"/>
        </w:rPr>
        <w:t>; all</w:t>
      </w:r>
      <w:r w:rsidR="00591B8C" w:rsidRPr="00975DA7">
        <w:rPr>
          <w:rFonts w:ascii="Times New Roman" w:hAnsi="Times New Roman" w:cs="Times New Roman"/>
        </w:rPr>
        <w:t xml:space="preserve"> statistically equivalent,</w:t>
      </w:r>
      <w:r w:rsidR="00B6330A" w:rsidRPr="00975DA7">
        <w:rPr>
          <w:rFonts w:ascii="Times New Roman" w:hAnsi="Times New Roman" w:cs="Times New Roman"/>
        </w:rPr>
        <w:t xml:space="preserve"> p &lt; .05)</w:t>
      </w:r>
      <w:r w:rsidR="00D94C63" w:rsidRPr="00975DA7">
        <w:rPr>
          <w:rFonts w:ascii="Times New Roman" w:hAnsi="Times New Roman" w:cs="Times New Roman"/>
        </w:rPr>
        <w:t xml:space="preserve">. </w:t>
      </w:r>
    </w:p>
    <w:p w14:paraId="4E0DC9F8" w14:textId="7975B40C" w:rsidR="00B1546A" w:rsidRPr="00975DA7" w:rsidRDefault="0059177E" w:rsidP="00265FEA">
      <w:pPr>
        <w:keepLines/>
        <w:spacing w:line="360" w:lineRule="auto"/>
        <w:rPr>
          <w:rFonts w:ascii="Times New Roman" w:hAnsi="Times New Roman" w:cs="Times New Roman"/>
        </w:rPr>
      </w:pPr>
      <w:r w:rsidRPr="00975DA7">
        <w:rPr>
          <w:rFonts w:ascii="Times New Roman" w:hAnsi="Times New Roman" w:cs="Times New Roman"/>
        </w:rPr>
        <w:t xml:space="preserve">We also compared the strength of correlation between </w:t>
      </w:r>
      <w:r w:rsidR="00802D54" w:rsidRPr="00975DA7">
        <w:rPr>
          <w:rFonts w:ascii="Times New Roman" w:hAnsi="Times New Roman" w:cs="Times New Roman"/>
        </w:rPr>
        <w:t xml:space="preserve">different </w:t>
      </w:r>
      <w:r w:rsidR="00BC31D0" w:rsidRPr="00975DA7">
        <w:rPr>
          <w:rFonts w:ascii="Times New Roman" w:hAnsi="Times New Roman" w:cs="Times New Roman"/>
        </w:rPr>
        <w:t xml:space="preserve">pairs of </w:t>
      </w:r>
      <w:r w:rsidR="00802D54" w:rsidRPr="00975DA7">
        <w:rPr>
          <w:rFonts w:ascii="Times New Roman" w:hAnsi="Times New Roman" w:cs="Times New Roman"/>
        </w:rPr>
        <w:t xml:space="preserve">seeds in </w:t>
      </w:r>
      <w:r w:rsidR="00BB3CFA" w:rsidRPr="00975DA7">
        <w:rPr>
          <w:rFonts w:ascii="Times New Roman" w:hAnsi="Times New Roman" w:cs="Times New Roman"/>
        </w:rPr>
        <w:t>LH and RH</w:t>
      </w:r>
      <w:r w:rsidRPr="00975DA7">
        <w:rPr>
          <w:rFonts w:ascii="Times New Roman" w:hAnsi="Times New Roman" w:cs="Times New Roman"/>
        </w:rPr>
        <w:t xml:space="preserve">. </w:t>
      </w:r>
      <w:r w:rsidR="00BB3CFA" w:rsidRPr="00975DA7">
        <w:rPr>
          <w:rFonts w:ascii="Times New Roman" w:hAnsi="Times New Roman" w:cs="Times New Roman"/>
        </w:rPr>
        <w:t>T</w:t>
      </w:r>
      <w:r w:rsidR="00B1546A" w:rsidRPr="00975DA7">
        <w:rPr>
          <w:rFonts w:ascii="Times New Roman" w:hAnsi="Times New Roman" w:cs="Times New Roman"/>
        </w:rPr>
        <w:t>he</w:t>
      </w:r>
      <w:r w:rsidR="00BF14D8" w:rsidRPr="00975DA7">
        <w:rPr>
          <w:rFonts w:ascii="Times New Roman" w:hAnsi="Times New Roman" w:cs="Times New Roman"/>
        </w:rPr>
        <w:t xml:space="preserve"> correlation</w:t>
      </w:r>
      <w:r w:rsidRPr="00975DA7">
        <w:rPr>
          <w:rFonts w:ascii="Times New Roman" w:hAnsi="Times New Roman" w:cs="Times New Roman"/>
        </w:rPr>
        <w:t xml:space="preserve"> </w:t>
      </w:r>
      <w:r w:rsidR="00BF14D8" w:rsidRPr="00975DA7">
        <w:rPr>
          <w:rFonts w:ascii="Times New Roman" w:hAnsi="Times New Roman" w:cs="Times New Roman"/>
        </w:rPr>
        <w:t xml:space="preserve">between IFG and pMTG was </w:t>
      </w:r>
      <w:r w:rsidR="00F41C40" w:rsidRPr="00975DA7">
        <w:rPr>
          <w:rFonts w:ascii="Times New Roman" w:hAnsi="Times New Roman" w:cs="Times New Roman"/>
        </w:rPr>
        <w:t xml:space="preserve">significantly </w:t>
      </w:r>
      <w:r w:rsidR="00BF14D8" w:rsidRPr="00975DA7">
        <w:rPr>
          <w:rFonts w:ascii="Times New Roman" w:hAnsi="Times New Roman" w:cs="Times New Roman"/>
        </w:rPr>
        <w:t xml:space="preserve">higher in the LH than the </w:t>
      </w:r>
      <w:r w:rsidR="00BB3CFA" w:rsidRPr="00975DA7">
        <w:rPr>
          <w:rFonts w:ascii="Times New Roman" w:hAnsi="Times New Roman" w:cs="Times New Roman"/>
        </w:rPr>
        <w:t>RH</w:t>
      </w:r>
      <w:r w:rsidR="00BC31D0" w:rsidRPr="00975DA7">
        <w:rPr>
          <w:rFonts w:ascii="Times New Roman" w:hAnsi="Times New Roman" w:cs="Times New Roman"/>
        </w:rPr>
        <w:t xml:space="preserve"> (results of analysis shown in Table 2)</w:t>
      </w:r>
      <w:r w:rsidR="00BB3CFA" w:rsidRPr="00975DA7">
        <w:rPr>
          <w:rFonts w:ascii="Times New Roman" w:hAnsi="Times New Roman" w:cs="Times New Roman"/>
        </w:rPr>
        <w:t xml:space="preserve">, </w:t>
      </w:r>
      <w:r w:rsidR="00BF14D8" w:rsidRPr="00975DA7">
        <w:rPr>
          <w:rFonts w:ascii="Times New Roman" w:hAnsi="Times New Roman" w:cs="Times New Roman"/>
        </w:rPr>
        <w:t>consistent with the hypothesis that the semantic control system is particularly left-lateralised. The</w:t>
      </w:r>
      <w:r w:rsidR="00BB3CFA" w:rsidRPr="00975DA7">
        <w:rPr>
          <w:rFonts w:ascii="Times New Roman" w:hAnsi="Times New Roman" w:cs="Times New Roman"/>
        </w:rPr>
        <w:t xml:space="preserve"> strength of</w:t>
      </w:r>
      <w:r w:rsidR="00BF14D8" w:rsidRPr="00975DA7">
        <w:rPr>
          <w:rFonts w:ascii="Times New Roman" w:hAnsi="Times New Roman" w:cs="Times New Roman"/>
        </w:rPr>
        <w:t xml:space="preserve"> correlations across other seeds </w:t>
      </w:r>
      <w:r w:rsidR="00BB3CFA" w:rsidRPr="00975DA7">
        <w:rPr>
          <w:rFonts w:ascii="Times New Roman" w:hAnsi="Times New Roman" w:cs="Times New Roman"/>
        </w:rPr>
        <w:t>was</w:t>
      </w:r>
      <w:r w:rsidR="00BF14D8" w:rsidRPr="00975DA7">
        <w:rPr>
          <w:rFonts w:ascii="Times New Roman" w:hAnsi="Times New Roman" w:cs="Times New Roman"/>
        </w:rPr>
        <w:t xml:space="preserve"> not significantly different in the LH and RH</w:t>
      </w:r>
      <w:r w:rsidR="007F3641" w:rsidRPr="00975DA7">
        <w:rPr>
          <w:rFonts w:ascii="Times New Roman" w:hAnsi="Times New Roman" w:cs="Times New Roman"/>
        </w:rPr>
        <w:t>, and in most cases they were statistically equivalent (with one exception: ATL to IFG showed a numerically higher correlation in the LH, which was not statistically equivalent to RH)</w:t>
      </w:r>
      <w:r w:rsidR="00BF14D8" w:rsidRPr="00975DA7">
        <w:rPr>
          <w:rFonts w:ascii="Times New Roman" w:hAnsi="Times New Roman" w:cs="Times New Roman"/>
        </w:rPr>
        <w:t>.</w:t>
      </w:r>
      <w:r w:rsidR="00B1546A" w:rsidRPr="00975DA7">
        <w:rPr>
          <w:rFonts w:ascii="Times New Roman" w:hAnsi="Times New Roman" w:cs="Times New Roman"/>
        </w:rPr>
        <w:t xml:space="preserve"> All correlations were positive except</w:t>
      </w:r>
      <w:r w:rsidR="00BB3CFA" w:rsidRPr="00975DA7">
        <w:rPr>
          <w:rFonts w:ascii="Times New Roman" w:hAnsi="Times New Roman" w:cs="Times New Roman"/>
        </w:rPr>
        <w:t xml:space="preserve"> between</w:t>
      </w:r>
      <w:r w:rsidR="00B1546A" w:rsidRPr="00975DA7">
        <w:rPr>
          <w:rFonts w:ascii="Times New Roman" w:hAnsi="Times New Roman" w:cs="Times New Roman"/>
        </w:rPr>
        <w:t xml:space="preserve"> IFG and ATL in the </w:t>
      </w:r>
      <w:r w:rsidR="006103A7" w:rsidRPr="00975DA7">
        <w:rPr>
          <w:rFonts w:ascii="Times New Roman" w:hAnsi="Times New Roman" w:cs="Times New Roman"/>
        </w:rPr>
        <w:t>RH</w:t>
      </w:r>
      <w:r w:rsidR="00B1546A" w:rsidRPr="00975DA7">
        <w:rPr>
          <w:rFonts w:ascii="Times New Roman" w:hAnsi="Times New Roman" w:cs="Times New Roman"/>
        </w:rPr>
        <w:t>, which showed a negative correlation.</w:t>
      </w:r>
    </w:p>
    <w:p w14:paraId="0DF13929" w14:textId="788751CA" w:rsidR="0059177E" w:rsidRPr="00975DA7" w:rsidRDefault="0059177E" w:rsidP="007F3641">
      <w:pPr>
        <w:keepNext/>
        <w:keepLines/>
        <w:rPr>
          <w:rFonts w:ascii="Times New Roman" w:hAnsi="Times New Roman" w:cs="Times New Roman"/>
          <w:color w:val="FF0000"/>
        </w:rPr>
      </w:pPr>
    </w:p>
    <w:tbl>
      <w:tblPr>
        <w:tblStyle w:val="PlainTable21"/>
        <w:tblW w:w="9180" w:type="dxa"/>
        <w:tblLook w:val="04A0" w:firstRow="1" w:lastRow="0" w:firstColumn="1" w:lastColumn="0" w:noHBand="0" w:noVBand="1"/>
      </w:tblPr>
      <w:tblGrid>
        <w:gridCol w:w="3823"/>
        <w:gridCol w:w="708"/>
        <w:gridCol w:w="779"/>
        <w:gridCol w:w="1620"/>
        <w:gridCol w:w="2250"/>
      </w:tblGrid>
      <w:tr w:rsidR="0095719C" w:rsidRPr="00975DA7" w14:paraId="33F7EA54" w14:textId="6AF0F3D3" w:rsidTr="00DB6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A2A94B6" w14:textId="77777777" w:rsidR="0095719C" w:rsidRPr="00975DA7" w:rsidRDefault="0095719C" w:rsidP="0059177E">
            <w:pPr>
              <w:keepNext/>
              <w:keepLines/>
              <w:spacing w:line="276" w:lineRule="auto"/>
              <w:contextualSpacing/>
              <w:rPr>
                <w:rFonts w:ascii="Times New Roman" w:eastAsia="Arial" w:hAnsi="Times New Roman" w:cs="Times New Roman"/>
                <w:lang w:eastAsia="en-GB"/>
              </w:rPr>
            </w:pPr>
          </w:p>
        </w:tc>
        <w:tc>
          <w:tcPr>
            <w:tcW w:w="708" w:type="dxa"/>
          </w:tcPr>
          <w:p w14:paraId="4E97FA82" w14:textId="77777777" w:rsidR="0095719C" w:rsidRPr="00975DA7" w:rsidRDefault="0095719C" w:rsidP="0059177E">
            <w:pPr>
              <w:keepNext/>
              <w:keepLine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LH</w:t>
            </w:r>
          </w:p>
        </w:tc>
        <w:tc>
          <w:tcPr>
            <w:tcW w:w="779" w:type="dxa"/>
          </w:tcPr>
          <w:p w14:paraId="377238C0" w14:textId="77777777" w:rsidR="0095719C" w:rsidRPr="00975DA7" w:rsidRDefault="0095719C" w:rsidP="0059177E">
            <w:pPr>
              <w:keepNext/>
              <w:keepLine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RH</w:t>
            </w:r>
          </w:p>
        </w:tc>
        <w:tc>
          <w:tcPr>
            <w:tcW w:w="1620" w:type="dxa"/>
          </w:tcPr>
          <w:p w14:paraId="49F95700" w14:textId="0EA1C252" w:rsidR="0095719C" w:rsidRPr="00975DA7" w:rsidRDefault="0095719C" w:rsidP="0059177E">
            <w:pPr>
              <w:keepNext/>
              <w:keepLine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LH vs. RH: Fisher r to z</w:t>
            </w:r>
          </w:p>
        </w:tc>
        <w:tc>
          <w:tcPr>
            <w:tcW w:w="2250" w:type="dxa"/>
          </w:tcPr>
          <w:p w14:paraId="38C6DAEA" w14:textId="1D6791A9" w:rsidR="0095719C" w:rsidRPr="00975DA7" w:rsidRDefault="004B2D04" w:rsidP="0059177E">
            <w:pPr>
              <w:keepNext/>
              <w:keepLine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Equivalence t</w:t>
            </w:r>
            <w:r w:rsidR="0095719C" w:rsidRPr="00975DA7">
              <w:rPr>
                <w:rFonts w:ascii="Times New Roman" w:eastAsia="Arial" w:hAnsi="Times New Roman" w:cs="Times New Roman"/>
                <w:lang w:eastAsia="en-GB"/>
              </w:rPr>
              <w:t xml:space="preserve">est for </w:t>
            </w:r>
            <w:r w:rsidR="005D49ED" w:rsidRPr="00975DA7">
              <w:rPr>
                <w:rFonts w:ascii="Times New Roman" w:eastAsia="Arial" w:hAnsi="Times New Roman" w:cs="Times New Roman"/>
                <w:lang w:eastAsia="en-GB"/>
              </w:rPr>
              <w:t xml:space="preserve">difference in </w:t>
            </w:r>
            <w:r w:rsidR="0095719C" w:rsidRPr="00975DA7">
              <w:rPr>
                <w:rFonts w:ascii="Times New Roman" w:eastAsia="Arial" w:hAnsi="Times New Roman" w:cs="Times New Roman"/>
                <w:lang w:eastAsia="en-GB"/>
              </w:rPr>
              <w:t>r (TOST)</w:t>
            </w:r>
          </w:p>
        </w:tc>
      </w:tr>
      <w:tr w:rsidR="00D021C6" w:rsidRPr="00975DA7" w14:paraId="238E49AA" w14:textId="3FC92730" w:rsidTr="00DB6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8E5646B" w14:textId="77777777" w:rsidR="00D021C6" w:rsidRPr="00975DA7" w:rsidRDefault="00D021C6" w:rsidP="00D021C6">
            <w:pPr>
              <w:keepNext/>
              <w:keepLines/>
              <w:spacing w:line="276" w:lineRule="auto"/>
              <w:contextualSpacing/>
              <w:rPr>
                <w:rFonts w:ascii="Times New Roman" w:eastAsia="Arial" w:hAnsi="Times New Roman" w:cs="Times New Roman"/>
                <w:lang w:eastAsia="en-GB"/>
              </w:rPr>
            </w:pPr>
            <w:r w:rsidRPr="00975DA7">
              <w:rPr>
                <w:rFonts w:ascii="Times New Roman" w:eastAsia="Arial" w:hAnsi="Times New Roman" w:cs="Times New Roman"/>
                <w:lang w:eastAsia="en-GB"/>
              </w:rPr>
              <w:t>IFG to pMTG</w:t>
            </w:r>
          </w:p>
        </w:tc>
        <w:tc>
          <w:tcPr>
            <w:tcW w:w="708" w:type="dxa"/>
          </w:tcPr>
          <w:p w14:paraId="234A36CA" w14:textId="7777777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.795</w:t>
            </w:r>
          </w:p>
        </w:tc>
        <w:tc>
          <w:tcPr>
            <w:tcW w:w="779" w:type="dxa"/>
          </w:tcPr>
          <w:p w14:paraId="712495A8" w14:textId="3FE98CA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.640</w:t>
            </w:r>
          </w:p>
        </w:tc>
        <w:tc>
          <w:tcPr>
            <w:tcW w:w="1620" w:type="dxa"/>
          </w:tcPr>
          <w:p w14:paraId="6C2A9576" w14:textId="0858503E" w:rsidR="00D021C6" w:rsidRPr="00975DA7" w:rsidRDefault="00DB650B"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lang w:eastAsia="en-GB"/>
              </w:rPr>
            </w:pPr>
            <w:r w:rsidRPr="00975DA7">
              <w:rPr>
                <w:rFonts w:ascii="Times New Roman" w:eastAsia="Arial" w:hAnsi="Times New Roman" w:cs="Times New Roman"/>
                <w:b/>
                <w:lang w:eastAsia="en-GB"/>
              </w:rPr>
              <w:t xml:space="preserve">z=3.21, </w:t>
            </w:r>
            <w:r w:rsidR="00D021C6" w:rsidRPr="00975DA7">
              <w:rPr>
                <w:rFonts w:ascii="Times New Roman" w:eastAsia="Arial" w:hAnsi="Times New Roman" w:cs="Times New Roman"/>
                <w:b/>
                <w:lang w:eastAsia="en-GB"/>
              </w:rPr>
              <w:t>p=.001</w:t>
            </w:r>
          </w:p>
        </w:tc>
        <w:tc>
          <w:tcPr>
            <w:tcW w:w="2250" w:type="dxa"/>
          </w:tcPr>
          <w:p w14:paraId="22F130A9" w14:textId="3619EFEE"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lang w:eastAsia="en-GB"/>
              </w:rPr>
            </w:pPr>
            <w:r w:rsidRPr="00975DA7">
              <w:rPr>
                <w:rFonts w:ascii="Times New Roman" w:eastAsia="Arial" w:hAnsi="Times New Roman" w:cs="Times New Roman"/>
                <w:b/>
                <w:lang w:eastAsia="en-GB"/>
              </w:rPr>
              <w:t>r(194)=0.16, p=.223</w:t>
            </w:r>
          </w:p>
        </w:tc>
      </w:tr>
      <w:tr w:rsidR="00D021C6" w:rsidRPr="00975DA7" w14:paraId="60C1A094" w14:textId="19E47D2B" w:rsidTr="00DB650B">
        <w:tc>
          <w:tcPr>
            <w:cnfStyle w:val="001000000000" w:firstRow="0" w:lastRow="0" w:firstColumn="1" w:lastColumn="0" w:oddVBand="0" w:evenVBand="0" w:oddHBand="0" w:evenHBand="0" w:firstRowFirstColumn="0" w:firstRowLastColumn="0" w:lastRowFirstColumn="0" w:lastRowLastColumn="0"/>
            <w:tcW w:w="3823" w:type="dxa"/>
          </w:tcPr>
          <w:p w14:paraId="24ACCD82" w14:textId="77777777" w:rsidR="00D021C6" w:rsidRPr="00975DA7" w:rsidRDefault="00D021C6" w:rsidP="00D021C6">
            <w:pPr>
              <w:keepNext/>
              <w:keepLines/>
              <w:spacing w:line="276" w:lineRule="auto"/>
              <w:contextualSpacing/>
              <w:rPr>
                <w:rFonts w:ascii="Times New Roman" w:eastAsia="Arial" w:hAnsi="Times New Roman" w:cs="Times New Roman"/>
                <w:lang w:eastAsia="en-GB"/>
              </w:rPr>
            </w:pPr>
            <w:r w:rsidRPr="00975DA7">
              <w:rPr>
                <w:rFonts w:ascii="Times New Roman" w:eastAsia="Arial" w:hAnsi="Times New Roman" w:cs="Times New Roman"/>
                <w:lang w:eastAsia="en-GB"/>
              </w:rPr>
              <w:t>IFG to AG</w:t>
            </w:r>
          </w:p>
        </w:tc>
        <w:tc>
          <w:tcPr>
            <w:tcW w:w="708" w:type="dxa"/>
          </w:tcPr>
          <w:p w14:paraId="1454CA66" w14:textId="77777777"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.293</w:t>
            </w:r>
          </w:p>
        </w:tc>
        <w:tc>
          <w:tcPr>
            <w:tcW w:w="779" w:type="dxa"/>
          </w:tcPr>
          <w:p w14:paraId="13E55A30" w14:textId="77777777"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.212</w:t>
            </w:r>
          </w:p>
        </w:tc>
        <w:tc>
          <w:tcPr>
            <w:tcW w:w="1620" w:type="dxa"/>
          </w:tcPr>
          <w:p w14:paraId="0A7421BD" w14:textId="395C2104"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z=0.85, p&gt;.1</w:t>
            </w:r>
          </w:p>
        </w:tc>
        <w:tc>
          <w:tcPr>
            <w:tcW w:w="2250" w:type="dxa"/>
          </w:tcPr>
          <w:p w14:paraId="6DA28FD1" w14:textId="3D693DF1"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r(194)=0.08, p=.036</w:t>
            </w:r>
          </w:p>
        </w:tc>
      </w:tr>
      <w:tr w:rsidR="00D021C6" w:rsidRPr="00975DA7" w14:paraId="1B6AF028" w14:textId="107443C8" w:rsidTr="00DB6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F3A2FFE" w14:textId="77777777" w:rsidR="00D021C6" w:rsidRPr="00975DA7" w:rsidRDefault="00D021C6" w:rsidP="00D021C6">
            <w:pPr>
              <w:keepNext/>
              <w:keepLines/>
              <w:spacing w:line="276" w:lineRule="auto"/>
              <w:contextualSpacing/>
              <w:rPr>
                <w:rFonts w:ascii="Times New Roman" w:eastAsia="Arial" w:hAnsi="Times New Roman" w:cs="Times New Roman"/>
                <w:lang w:eastAsia="en-GB"/>
              </w:rPr>
            </w:pPr>
            <w:r w:rsidRPr="00975DA7">
              <w:rPr>
                <w:rFonts w:ascii="Times New Roman" w:eastAsia="Arial" w:hAnsi="Times New Roman" w:cs="Times New Roman"/>
                <w:lang w:eastAsia="en-GB"/>
              </w:rPr>
              <w:t>IFG to ATL</w:t>
            </w:r>
          </w:p>
        </w:tc>
        <w:tc>
          <w:tcPr>
            <w:tcW w:w="708" w:type="dxa"/>
          </w:tcPr>
          <w:p w14:paraId="7650287E" w14:textId="7777777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.113</w:t>
            </w:r>
          </w:p>
        </w:tc>
        <w:tc>
          <w:tcPr>
            <w:tcW w:w="779" w:type="dxa"/>
          </w:tcPr>
          <w:p w14:paraId="7C2E6879" w14:textId="7777777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-.047</w:t>
            </w:r>
          </w:p>
        </w:tc>
        <w:tc>
          <w:tcPr>
            <w:tcW w:w="1620" w:type="dxa"/>
          </w:tcPr>
          <w:p w14:paraId="225F30C2" w14:textId="1A6B3C10"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z=1.58, p=.1</w:t>
            </w:r>
          </w:p>
        </w:tc>
        <w:tc>
          <w:tcPr>
            <w:tcW w:w="2250" w:type="dxa"/>
          </w:tcPr>
          <w:p w14:paraId="57591710" w14:textId="1AA7D0B8"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lang w:eastAsia="en-GB"/>
              </w:rPr>
            </w:pPr>
            <w:r w:rsidRPr="00975DA7">
              <w:rPr>
                <w:rFonts w:ascii="Times New Roman" w:eastAsia="Arial" w:hAnsi="Times New Roman" w:cs="Times New Roman"/>
                <w:b/>
                <w:lang w:eastAsia="en-GB"/>
              </w:rPr>
              <w:t>r(194)=0.16, p=.245</w:t>
            </w:r>
          </w:p>
        </w:tc>
      </w:tr>
      <w:tr w:rsidR="00D021C6" w:rsidRPr="00975DA7" w14:paraId="4E0956A2" w14:textId="0FD69EA0" w:rsidTr="00DB650B">
        <w:tc>
          <w:tcPr>
            <w:cnfStyle w:val="001000000000" w:firstRow="0" w:lastRow="0" w:firstColumn="1" w:lastColumn="0" w:oddVBand="0" w:evenVBand="0" w:oddHBand="0" w:evenHBand="0" w:firstRowFirstColumn="0" w:firstRowLastColumn="0" w:lastRowFirstColumn="0" w:lastRowLastColumn="0"/>
            <w:tcW w:w="3823" w:type="dxa"/>
          </w:tcPr>
          <w:p w14:paraId="708BEE4B" w14:textId="77777777" w:rsidR="00D021C6" w:rsidRPr="00975DA7" w:rsidRDefault="00D021C6" w:rsidP="00D021C6">
            <w:pPr>
              <w:keepNext/>
              <w:keepLines/>
              <w:spacing w:line="276" w:lineRule="auto"/>
              <w:contextualSpacing/>
              <w:rPr>
                <w:rFonts w:ascii="Times New Roman" w:eastAsia="Arial" w:hAnsi="Times New Roman" w:cs="Times New Roman"/>
                <w:lang w:eastAsia="en-GB"/>
              </w:rPr>
            </w:pPr>
            <w:r w:rsidRPr="00975DA7">
              <w:rPr>
                <w:rFonts w:ascii="Times New Roman" w:eastAsia="Arial" w:hAnsi="Times New Roman" w:cs="Times New Roman"/>
                <w:lang w:eastAsia="en-GB"/>
              </w:rPr>
              <w:t>pMTG to AG</w:t>
            </w:r>
          </w:p>
        </w:tc>
        <w:tc>
          <w:tcPr>
            <w:tcW w:w="708" w:type="dxa"/>
          </w:tcPr>
          <w:p w14:paraId="4341A330" w14:textId="77777777"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.483</w:t>
            </w:r>
          </w:p>
        </w:tc>
        <w:tc>
          <w:tcPr>
            <w:tcW w:w="779" w:type="dxa"/>
          </w:tcPr>
          <w:p w14:paraId="481E50AA" w14:textId="77777777"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.412</w:t>
            </w:r>
          </w:p>
        </w:tc>
        <w:tc>
          <w:tcPr>
            <w:tcW w:w="1620" w:type="dxa"/>
          </w:tcPr>
          <w:p w14:paraId="40DF76C5" w14:textId="0815BD6F"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z=0.87, p&gt;.1</w:t>
            </w:r>
          </w:p>
        </w:tc>
        <w:tc>
          <w:tcPr>
            <w:tcW w:w="2250" w:type="dxa"/>
          </w:tcPr>
          <w:p w14:paraId="3790237D" w14:textId="23FFC98B"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r(194)=0.07, p=.026</w:t>
            </w:r>
          </w:p>
        </w:tc>
      </w:tr>
      <w:tr w:rsidR="00D021C6" w:rsidRPr="00975DA7" w14:paraId="39FFA2C6" w14:textId="2FAE3134" w:rsidTr="00DB6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74D6CA0" w14:textId="77777777" w:rsidR="00D021C6" w:rsidRPr="00975DA7" w:rsidRDefault="00D021C6" w:rsidP="00D021C6">
            <w:pPr>
              <w:keepNext/>
              <w:keepLines/>
              <w:spacing w:line="276" w:lineRule="auto"/>
              <w:contextualSpacing/>
              <w:rPr>
                <w:rFonts w:ascii="Times New Roman" w:eastAsia="Arial" w:hAnsi="Times New Roman" w:cs="Times New Roman"/>
                <w:lang w:eastAsia="en-GB"/>
              </w:rPr>
            </w:pPr>
            <w:r w:rsidRPr="00975DA7">
              <w:rPr>
                <w:rFonts w:ascii="Times New Roman" w:eastAsia="Arial" w:hAnsi="Times New Roman" w:cs="Times New Roman"/>
                <w:lang w:eastAsia="en-GB"/>
              </w:rPr>
              <w:t>pMTG to ATL</w:t>
            </w:r>
          </w:p>
        </w:tc>
        <w:tc>
          <w:tcPr>
            <w:tcW w:w="708" w:type="dxa"/>
          </w:tcPr>
          <w:p w14:paraId="504D25EB" w14:textId="7777777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.294</w:t>
            </w:r>
          </w:p>
        </w:tc>
        <w:tc>
          <w:tcPr>
            <w:tcW w:w="779" w:type="dxa"/>
          </w:tcPr>
          <w:p w14:paraId="3AB48283" w14:textId="7777777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.243</w:t>
            </w:r>
          </w:p>
        </w:tc>
        <w:tc>
          <w:tcPr>
            <w:tcW w:w="1620" w:type="dxa"/>
          </w:tcPr>
          <w:p w14:paraId="34B14D09" w14:textId="13B7EA66"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z=0.54, p&gt;.1</w:t>
            </w:r>
          </w:p>
        </w:tc>
        <w:tc>
          <w:tcPr>
            <w:tcW w:w="2250" w:type="dxa"/>
          </w:tcPr>
          <w:p w14:paraId="48A2539C" w14:textId="0655B396"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r(194)=0.05, p=.013</w:t>
            </w:r>
          </w:p>
        </w:tc>
      </w:tr>
      <w:tr w:rsidR="00D021C6" w:rsidRPr="00975DA7" w14:paraId="1E6534A0" w14:textId="166E5899" w:rsidTr="00DB650B">
        <w:tc>
          <w:tcPr>
            <w:cnfStyle w:val="001000000000" w:firstRow="0" w:lastRow="0" w:firstColumn="1" w:lastColumn="0" w:oddVBand="0" w:evenVBand="0" w:oddHBand="0" w:evenHBand="0" w:firstRowFirstColumn="0" w:firstRowLastColumn="0" w:lastRowFirstColumn="0" w:lastRowLastColumn="0"/>
            <w:tcW w:w="3823" w:type="dxa"/>
          </w:tcPr>
          <w:p w14:paraId="1F144ED6" w14:textId="77777777" w:rsidR="00D021C6" w:rsidRPr="00975DA7" w:rsidRDefault="00D021C6" w:rsidP="00D021C6">
            <w:pPr>
              <w:keepNext/>
              <w:keepLines/>
              <w:spacing w:line="276" w:lineRule="auto"/>
              <w:contextualSpacing/>
              <w:rPr>
                <w:rFonts w:ascii="Times New Roman" w:eastAsia="Arial" w:hAnsi="Times New Roman" w:cs="Times New Roman"/>
                <w:lang w:eastAsia="en-GB"/>
              </w:rPr>
            </w:pPr>
            <w:r w:rsidRPr="00975DA7">
              <w:rPr>
                <w:rFonts w:ascii="Times New Roman" w:eastAsia="Arial" w:hAnsi="Times New Roman" w:cs="Times New Roman"/>
                <w:lang w:eastAsia="en-GB"/>
              </w:rPr>
              <w:t>ATL to AG</w:t>
            </w:r>
          </w:p>
        </w:tc>
        <w:tc>
          <w:tcPr>
            <w:tcW w:w="708" w:type="dxa"/>
          </w:tcPr>
          <w:p w14:paraId="69213777" w14:textId="77777777"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.125</w:t>
            </w:r>
          </w:p>
        </w:tc>
        <w:tc>
          <w:tcPr>
            <w:tcW w:w="779" w:type="dxa"/>
          </w:tcPr>
          <w:p w14:paraId="3A59B443" w14:textId="77777777"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.155</w:t>
            </w:r>
          </w:p>
        </w:tc>
        <w:tc>
          <w:tcPr>
            <w:tcW w:w="1620" w:type="dxa"/>
          </w:tcPr>
          <w:p w14:paraId="414A71D2" w14:textId="01457E68"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z=-0.30, p&gt;.1</w:t>
            </w:r>
          </w:p>
        </w:tc>
        <w:tc>
          <w:tcPr>
            <w:tcW w:w="2250" w:type="dxa"/>
          </w:tcPr>
          <w:p w14:paraId="22499FA7" w14:textId="790F972C" w:rsidR="00D021C6" w:rsidRPr="00975DA7" w:rsidRDefault="00D021C6" w:rsidP="00D021C6">
            <w:pPr>
              <w:keepNext/>
              <w:keepLine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r(194)=-0.03, p=.006</w:t>
            </w:r>
          </w:p>
        </w:tc>
      </w:tr>
      <w:tr w:rsidR="00D021C6" w:rsidRPr="00975DA7" w14:paraId="5BD32AF1" w14:textId="7D7E9ABD" w:rsidTr="00DB6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BA0A023" w14:textId="6F7AFBCE" w:rsidR="00D021C6" w:rsidRPr="00975DA7" w:rsidRDefault="00D021C6" w:rsidP="00D021C6">
            <w:pPr>
              <w:keepNext/>
              <w:keepLines/>
              <w:spacing w:line="276" w:lineRule="auto"/>
              <w:contextualSpacing/>
              <w:rPr>
                <w:rFonts w:ascii="Times New Roman" w:eastAsia="Arial" w:hAnsi="Times New Roman" w:cs="Times New Roman"/>
                <w:lang w:eastAsia="en-GB"/>
              </w:rPr>
            </w:pPr>
            <w:r w:rsidRPr="00975DA7">
              <w:rPr>
                <w:rFonts w:ascii="Times New Roman" w:eastAsia="Arial" w:hAnsi="Times New Roman" w:cs="Times New Roman"/>
                <w:lang w:eastAsia="en-GB"/>
              </w:rPr>
              <w:t>Average intra-hemispheric correlation</w:t>
            </w:r>
          </w:p>
        </w:tc>
        <w:tc>
          <w:tcPr>
            <w:tcW w:w="708" w:type="dxa"/>
          </w:tcPr>
          <w:p w14:paraId="4C2C3987" w14:textId="7777777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.351</w:t>
            </w:r>
          </w:p>
        </w:tc>
        <w:tc>
          <w:tcPr>
            <w:tcW w:w="779" w:type="dxa"/>
          </w:tcPr>
          <w:p w14:paraId="57A7CF93" w14:textId="7777777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r w:rsidRPr="00975DA7">
              <w:rPr>
                <w:rFonts w:ascii="Times New Roman" w:eastAsia="Arial" w:hAnsi="Times New Roman" w:cs="Times New Roman"/>
                <w:lang w:eastAsia="en-GB"/>
              </w:rPr>
              <w:t>.269</w:t>
            </w:r>
          </w:p>
        </w:tc>
        <w:tc>
          <w:tcPr>
            <w:tcW w:w="1620" w:type="dxa"/>
          </w:tcPr>
          <w:p w14:paraId="15C16BF7" w14:textId="7777777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lang w:eastAsia="en-GB"/>
              </w:rPr>
            </w:pPr>
          </w:p>
        </w:tc>
        <w:tc>
          <w:tcPr>
            <w:tcW w:w="2250" w:type="dxa"/>
          </w:tcPr>
          <w:p w14:paraId="7D033307" w14:textId="77777777" w:rsidR="00D021C6" w:rsidRPr="00975DA7" w:rsidRDefault="00D021C6" w:rsidP="00D021C6">
            <w:pPr>
              <w:keepNext/>
              <w:keepLine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FF0000"/>
                <w:lang w:eastAsia="en-GB"/>
              </w:rPr>
            </w:pPr>
          </w:p>
        </w:tc>
      </w:tr>
    </w:tbl>
    <w:p w14:paraId="4F235902" w14:textId="24891A1C" w:rsidR="0059177E" w:rsidRPr="00975DA7" w:rsidRDefault="00C01845" w:rsidP="0059177E">
      <w:pPr>
        <w:rPr>
          <w:rFonts w:ascii="Times New Roman" w:hAnsi="Times New Roman" w:cs="Times New Roman"/>
        </w:rPr>
      </w:pPr>
      <w:r w:rsidRPr="00975DA7">
        <w:rPr>
          <w:rFonts w:ascii="Times New Roman" w:hAnsi="Times New Roman" w:cs="Times New Roman"/>
        </w:rPr>
        <w:t>Table 2. Within-hemisphere correlations for our four ROIs group mean connectivity maps. All correlations are significant at p &lt; .001. Correlations that are different between LH and RH, and those that are not statistically equivalent across hemispheres, are highlighted in bold.</w:t>
      </w:r>
      <w:r w:rsidR="008B3EE7" w:rsidRPr="00975DA7">
        <w:rPr>
          <w:rFonts w:ascii="Times New Roman" w:hAnsi="Times New Roman" w:cs="Times New Roman"/>
        </w:rPr>
        <w:t xml:space="preserve"> The correlations reported here are not corrected for multiple comparisons, although applying Bonferroni correction does not change the outcome.  </w:t>
      </w:r>
    </w:p>
    <w:p w14:paraId="09D5B65A" w14:textId="77777777" w:rsidR="00C01845" w:rsidRPr="00975DA7" w:rsidRDefault="00C01845" w:rsidP="003C7F70">
      <w:pPr>
        <w:spacing w:line="360" w:lineRule="auto"/>
        <w:rPr>
          <w:rFonts w:ascii="Times New Roman" w:hAnsi="Times New Roman" w:cs="Times New Roman"/>
        </w:rPr>
      </w:pPr>
    </w:p>
    <w:p w14:paraId="3321FAE7" w14:textId="5F66E7C1" w:rsidR="00F41C40" w:rsidRPr="00975DA7" w:rsidRDefault="00F41C40" w:rsidP="003C7F70">
      <w:pPr>
        <w:spacing w:line="360" w:lineRule="auto"/>
        <w:rPr>
          <w:rFonts w:ascii="Times New Roman" w:hAnsi="Times New Roman" w:cs="Times New Roman"/>
        </w:rPr>
      </w:pPr>
      <w:r w:rsidRPr="00975DA7">
        <w:rPr>
          <w:rFonts w:ascii="Times New Roman" w:hAnsi="Times New Roman" w:cs="Times New Roman"/>
        </w:rPr>
        <w:lastRenderedPageBreak/>
        <w:t xml:space="preserve">In summary, the analysis </w:t>
      </w:r>
      <w:r w:rsidR="0011088F" w:rsidRPr="00975DA7">
        <w:rPr>
          <w:rFonts w:ascii="Times New Roman" w:hAnsi="Times New Roman" w:cs="Times New Roman"/>
        </w:rPr>
        <w:t>so far</w:t>
      </w:r>
      <w:r w:rsidR="00F007A2" w:rsidRPr="00975DA7">
        <w:rPr>
          <w:rFonts w:ascii="Times New Roman" w:hAnsi="Times New Roman" w:cs="Times New Roman"/>
        </w:rPr>
        <w:t xml:space="preserve"> </w:t>
      </w:r>
      <w:r w:rsidRPr="00975DA7">
        <w:rPr>
          <w:rFonts w:ascii="Times New Roman" w:hAnsi="Times New Roman" w:cs="Times New Roman"/>
        </w:rPr>
        <w:t xml:space="preserve">shows (i) the semantic system is not homogeneous, with higher </w:t>
      </w:r>
      <w:r w:rsidR="00E350E7" w:rsidRPr="00975DA7">
        <w:rPr>
          <w:rFonts w:ascii="Times New Roman" w:hAnsi="Times New Roman" w:cs="Times New Roman"/>
        </w:rPr>
        <w:t>similarity between the intrinsic connectivity patterns of</w:t>
      </w:r>
      <w:r w:rsidRPr="00975DA7">
        <w:rPr>
          <w:rFonts w:ascii="Times New Roman" w:hAnsi="Times New Roman" w:cs="Times New Roman"/>
        </w:rPr>
        <w:t xml:space="preserve"> </w:t>
      </w:r>
      <w:r w:rsidR="00E350E7" w:rsidRPr="00975DA7">
        <w:rPr>
          <w:rFonts w:ascii="Times New Roman" w:hAnsi="Times New Roman" w:cs="Times New Roman"/>
        </w:rPr>
        <w:t>t</w:t>
      </w:r>
      <w:r w:rsidRPr="00975DA7">
        <w:rPr>
          <w:rFonts w:ascii="Times New Roman" w:hAnsi="Times New Roman" w:cs="Times New Roman"/>
        </w:rPr>
        <w:t xml:space="preserve">he semantic control sites (IFG and pMTG); (ii) ATL shows a more </w:t>
      </w:r>
      <w:r w:rsidR="00F007A2" w:rsidRPr="00975DA7">
        <w:rPr>
          <w:rFonts w:ascii="Times New Roman" w:hAnsi="Times New Roman" w:cs="Times New Roman"/>
        </w:rPr>
        <w:t>symmetrical</w:t>
      </w:r>
      <w:r w:rsidRPr="00975DA7">
        <w:rPr>
          <w:rFonts w:ascii="Times New Roman" w:hAnsi="Times New Roman" w:cs="Times New Roman"/>
        </w:rPr>
        <w:t xml:space="preserve"> pattern of connectivity</w:t>
      </w:r>
      <w:r w:rsidR="00F007A2" w:rsidRPr="00975DA7">
        <w:rPr>
          <w:rFonts w:ascii="Times New Roman" w:hAnsi="Times New Roman" w:cs="Times New Roman"/>
        </w:rPr>
        <w:t xml:space="preserve"> than other sites</w:t>
      </w:r>
      <w:r w:rsidRPr="00975DA7">
        <w:rPr>
          <w:rFonts w:ascii="Times New Roman" w:hAnsi="Times New Roman" w:cs="Times New Roman"/>
        </w:rPr>
        <w:t xml:space="preserve">, in line with the view this site is a bilateral semantic hub; (iii) </w:t>
      </w:r>
      <w:r w:rsidR="00F007A2" w:rsidRPr="00975DA7">
        <w:rPr>
          <w:rFonts w:ascii="Times New Roman" w:hAnsi="Times New Roman" w:cs="Times New Roman"/>
        </w:rPr>
        <w:t>the connectivity pattern underpinning the semantic control network is highly lateralised</w:t>
      </w:r>
      <w:r w:rsidR="0011088F" w:rsidRPr="00975DA7">
        <w:rPr>
          <w:rFonts w:ascii="Times New Roman" w:hAnsi="Times New Roman" w:cs="Times New Roman"/>
        </w:rPr>
        <w:t xml:space="preserve"> to the LH</w:t>
      </w:r>
      <w:r w:rsidR="00F007A2" w:rsidRPr="00975DA7">
        <w:rPr>
          <w:rFonts w:ascii="Times New Roman" w:hAnsi="Times New Roman" w:cs="Times New Roman"/>
        </w:rPr>
        <w:t>.</w:t>
      </w:r>
    </w:p>
    <w:p w14:paraId="4A720A4C" w14:textId="77777777" w:rsidR="00F41C40" w:rsidRPr="00975DA7" w:rsidRDefault="00F41C40" w:rsidP="006B258F">
      <w:pPr>
        <w:spacing w:line="360" w:lineRule="auto"/>
        <w:rPr>
          <w:rFonts w:ascii="Times New Roman" w:hAnsi="Times New Roman" w:cs="Times New Roman"/>
        </w:rPr>
      </w:pPr>
    </w:p>
    <w:p w14:paraId="1A1A8C6D" w14:textId="043B8EA7" w:rsidR="0059177E" w:rsidRPr="00975DA7" w:rsidRDefault="00704FF6" w:rsidP="006B258F">
      <w:pPr>
        <w:keepNext/>
        <w:spacing w:line="360" w:lineRule="auto"/>
        <w:rPr>
          <w:rFonts w:ascii="Times New Roman" w:hAnsi="Times New Roman" w:cs="Times New Roman"/>
          <w:i/>
        </w:rPr>
      </w:pPr>
      <w:r w:rsidRPr="00975DA7">
        <w:rPr>
          <w:rFonts w:ascii="Times New Roman" w:hAnsi="Times New Roman" w:cs="Times New Roman"/>
          <w:i/>
        </w:rPr>
        <w:t>3.</w:t>
      </w:r>
      <w:r w:rsidR="00F007A2" w:rsidRPr="00975DA7">
        <w:rPr>
          <w:rFonts w:ascii="Times New Roman" w:hAnsi="Times New Roman" w:cs="Times New Roman"/>
          <w:i/>
        </w:rPr>
        <w:t>3</w:t>
      </w:r>
      <w:r w:rsidR="0059177E" w:rsidRPr="00975DA7">
        <w:rPr>
          <w:rFonts w:ascii="Times New Roman" w:hAnsi="Times New Roman" w:cs="Times New Roman"/>
          <w:i/>
        </w:rPr>
        <w:t xml:space="preserve">. Differences in </w:t>
      </w:r>
      <w:r w:rsidR="00F007A2" w:rsidRPr="00975DA7">
        <w:rPr>
          <w:rFonts w:ascii="Times New Roman" w:hAnsi="Times New Roman" w:cs="Times New Roman"/>
          <w:i/>
        </w:rPr>
        <w:t xml:space="preserve">network </w:t>
      </w:r>
      <w:r w:rsidR="00506176" w:rsidRPr="00975DA7">
        <w:rPr>
          <w:rFonts w:ascii="Times New Roman" w:hAnsi="Times New Roman" w:cs="Times New Roman"/>
          <w:i/>
        </w:rPr>
        <w:t>topography</w:t>
      </w:r>
      <w:r w:rsidR="00F007A2" w:rsidRPr="00975DA7">
        <w:rPr>
          <w:rFonts w:ascii="Times New Roman" w:hAnsi="Times New Roman" w:cs="Times New Roman"/>
          <w:i/>
        </w:rPr>
        <w:t xml:space="preserve"> between hemispheres</w:t>
      </w:r>
    </w:p>
    <w:p w14:paraId="092B5444" w14:textId="33E73D4B" w:rsidR="009F5FB4" w:rsidRPr="00975DA7" w:rsidRDefault="0059177E" w:rsidP="009F5FB4">
      <w:pPr>
        <w:keepNext/>
        <w:spacing w:line="360" w:lineRule="auto"/>
        <w:rPr>
          <w:rFonts w:ascii="Times New Roman" w:hAnsi="Times New Roman" w:cs="Times New Roman"/>
        </w:rPr>
      </w:pPr>
      <w:r w:rsidRPr="00975DA7">
        <w:rPr>
          <w:rFonts w:ascii="Times New Roman" w:hAnsi="Times New Roman" w:cs="Times New Roman"/>
        </w:rPr>
        <w:t xml:space="preserve">To characterise any differences in the topographical organisation of connectivity from left lateralised semantic regions and their homotopes in </w:t>
      </w:r>
      <w:r w:rsidR="00B1546A" w:rsidRPr="00975DA7">
        <w:rPr>
          <w:rFonts w:ascii="Times New Roman" w:hAnsi="Times New Roman" w:cs="Times New Roman"/>
        </w:rPr>
        <w:t>RH</w:t>
      </w:r>
      <w:r w:rsidRPr="00975DA7">
        <w:rPr>
          <w:rFonts w:ascii="Times New Roman" w:hAnsi="Times New Roman" w:cs="Times New Roman"/>
        </w:rPr>
        <w:t xml:space="preserve">, we directly contrasted the connectivity of </w:t>
      </w:r>
      <w:r w:rsidR="00B1546A" w:rsidRPr="00975DA7">
        <w:rPr>
          <w:rFonts w:ascii="Times New Roman" w:hAnsi="Times New Roman" w:cs="Times New Roman"/>
        </w:rPr>
        <w:t>LH</w:t>
      </w:r>
      <w:r w:rsidRPr="00975DA7">
        <w:rPr>
          <w:rFonts w:ascii="Times New Roman" w:hAnsi="Times New Roman" w:cs="Times New Roman"/>
        </w:rPr>
        <w:t xml:space="preserve"> and </w:t>
      </w:r>
      <w:r w:rsidR="00B1546A" w:rsidRPr="00975DA7">
        <w:rPr>
          <w:rFonts w:ascii="Times New Roman" w:hAnsi="Times New Roman" w:cs="Times New Roman"/>
        </w:rPr>
        <w:t>RH</w:t>
      </w:r>
      <w:r w:rsidRPr="00975DA7">
        <w:rPr>
          <w:rFonts w:ascii="Times New Roman" w:hAnsi="Times New Roman" w:cs="Times New Roman"/>
        </w:rPr>
        <w:t xml:space="preserve"> for each seed location. </w:t>
      </w:r>
      <w:r w:rsidR="00597BA4" w:rsidRPr="00975DA7">
        <w:rPr>
          <w:rFonts w:ascii="Times New Roman" w:hAnsi="Times New Roman" w:cs="Times New Roman"/>
        </w:rPr>
        <w:t>In a basic analysis, we computed the simple differen</w:t>
      </w:r>
      <w:r w:rsidR="003C7F70" w:rsidRPr="00975DA7">
        <w:rPr>
          <w:rFonts w:ascii="Times New Roman" w:hAnsi="Times New Roman" w:cs="Times New Roman"/>
        </w:rPr>
        <w:t>ce maps between LH and RH seeds</w:t>
      </w:r>
      <w:r w:rsidR="00597BA4" w:rsidRPr="00975DA7">
        <w:rPr>
          <w:rFonts w:ascii="Times New Roman" w:hAnsi="Times New Roman" w:cs="Times New Roman"/>
        </w:rPr>
        <w:t>. The contrasts of LH&gt;RH and RH&gt;LH produced largely symmetrical maps, which are provided in the Supplementary Materials</w:t>
      </w:r>
      <w:r w:rsidR="003C7F70" w:rsidRPr="00975DA7">
        <w:rPr>
          <w:rFonts w:ascii="Times New Roman" w:hAnsi="Times New Roman" w:cs="Times New Roman"/>
        </w:rPr>
        <w:t xml:space="preserve"> (</w:t>
      </w:r>
      <w:r w:rsidR="003B12C9" w:rsidRPr="00975DA7">
        <w:rPr>
          <w:rFonts w:ascii="Times New Roman" w:hAnsi="Times New Roman" w:cs="Times New Roman"/>
        </w:rPr>
        <w:t>Supplementary Analysis S2, Figure S3</w:t>
      </w:r>
      <w:r w:rsidR="003C7F70" w:rsidRPr="00975DA7">
        <w:rPr>
          <w:rFonts w:ascii="Times New Roman" w:hAnsi="Times New Roman" w:cs="Times New Roman"/>
        </w:rPr>
        <w:t>)</w:t>
      </w:r>
      <w:r w:rsidR="00597BA4" w:rsidRPr="00975DA7">
        <w:rPr>
          <w:rFonts w:ascii="Times New Roman" w:hAnsi="Times New Roman" w:cs="Times New Roman"/>
        </w:rPr>
        <w:t xml:space="preserve">. All LH sites showed strong connectivity to semantic sites, </w:t>
      </w:r>
      <w:r w:rsidR="00A8022F" w:rsidRPr="00975DA7">
        <w:rPr>
          <w:rFonts w:ascii="Times New Roman" w:hAnsi="Times New Roman" w:cs="Times New Roman"/>
        </w:rPr>
        <w:t>while</w:t>
      </w:r>
      <w:r w:rsidR="00597BA4" w:rsidRPr="00975DA7">
        <w:rPr>
          <w:rFonts w:ascii="Times New Roman" w:hAnsi="Times New Roman" w:cs="Times New Roman"/>
        </w:rPr>
        <w:t xml:space="preserve"> right-lateralised seeds showed strong connectivity to the homotopic sites in the RH (indicated by the symmetry of the red</w:t>
      </w:r>
      <w:r w:rsidR="00A8022F" w:rsidRPr="00975DA7">
        <w:rPr>
          <w:rFonts w:ascii="Times New Roman" w:hAnsi="Times New Roman" w:cs="Times New Roman"/>
        </w:rPr>
        <w:t xml:space="preserve"> and blue regions</w:t>
      </w:r>
      <w:r w:rsidR="00597BA4" w:rsidRPr="00975DA7">
        <w:rPr>
          <w:rFonts w:ascii="Times New Roman" w:hAnsi="Times New Roman" w:cs="Times New Roman"/>
        </w:rPr>
        <w:t>).</w:t>
      </w:r>
      <w:r w:rsidR="00D83687" w:rsidRPr="00975DA7">
        <w:rPr>
          <w:rFonts w:ascii="Times New Roman" w:hAnsi="Times New Roman" w:cs="Times New Roman"/>
        </w:rPr>
        <w:t xml:space="preserve"> </w:t>
      </w:r>
      <w:r w:rsidR="00597BA4" w:rsidRPr="00975DA7">
        <w:rPr>
          <w:rFonts w:ascii="Times New Roman" w:hAnsi="Times New Roman" w:cs="Times New Roman"/>
        </w:rPr>
        <w:t>In order to compare the shapes of connectivity patterns directly, w</w:t>
      </w:r>
      <w:r w:rsidRPr="00975DA7">
        <w:rPr>
          <w:rFonts w:ascii="Times New Roman" w:hAnsi="Times New Roman" w:cs="Times New Roman"/>
        </w:rPr>
        <w:t xml:space="preserve">e flipped the connectivity map of the </w:t>
      </w:r>
      <w:r w:rsidR="00B1546A" w:rsidRPr="00975DA7">
        <w:rPr>
          <w:rFonts w:ascii="Times New Roman" w:hAnsi="Times New Roman" w:cs="Times New Roman"/>
        </w:rPr>
        <w:t>RH</w:t>
      </w:r>
      <w:r w:rsidRPr="00975DA7">
        <w:rPr>
          <w:rFonts w:ascii="Times New Roman" w:hAnsi="Times New Roman" w:cs="Times New Roman"/>
        </w:rPr>
        <w:t xml:space="preserve"> seeds into </w:t>
      </w:r>
      <w:r w:rsidR="00B1546A" w:rsidRPr="00975DA7">
        <w:rPr>
          <w:rFonts w:ascii="Times New Roman" w:hAnsi="Times New Roman" w:cs="Times New Roman"/>
        </w:rPr>
        <w:t>LH</w:t>
      </w:r>
      <w:r w:rsidRPr="00975DA7">
        <w:rPr>
          <w:rFonts w:ascii="Times New Roman" w:hAnsi="Times New Roman" w:cs="Times New Roman"/>
        </w:rPr>
        <w:t xml:space="preserve"> space, and subtracted one map from the other, to identify regions of stronger and weaker connectivity in </w:t>
      </w:r>
      <w:r w:rsidR="00B1546A" w:rsidRPr="00975DA7">
        <w:rPr>
          <w:rFonts w:ascii="Times New Roman" w:hAnsi="Times New Roman" w:cs="Times New Roman"/>
        </w:rPr>
        <w:t>LH</w:t>
      </w:r>
      <w:r w:rsidRPr="00975DA7">
        <w:rPr>
          <w:rFonts w:ascii="Times New Roman" w:hAnsi="Times New Roman" w:cs="Times New Roman"/>
        </w:rPr>
        <w:t xml:space="preserve">, relative to the pattern for the </w:t>
      </w:r>
      <w:r w:rsidR="00B1546A" w:rsidRPr="00975DA7">
        <w:rPr>
          <w:rFonts w:ascii="Times New Roman" w:hAnsi="Times New Roman" w:cs="Times New Roman"/>
        </w:rPr>
        <w:t>RH</w:t>
      </w:r>
      <w:r w:rsidR="006B258F" w:rsidRPr="00975DA7">
        <w:rPr>
          <w:rFonts w:ascii="Times New Roman" w:hAnsi="Times New Roman" w:cs="Times New Roman"/>
        </w:rPr>
        <w:t>.</w:t>
      </w:r>
      <w:r w:rsidR="00C53466" w:rsidRPr="00975DA7">
        <w:rPr>
          <w:rFonts w:ascii="Times New Roman" w:hAnsi="Times New Roman" w:cs="Times New Roman"/>
        </w:rPr>
        <w:t xml:space="preserve"> </w:t>
      </w:r>
      <w:r w:rsidR="009F5FB4" w:rsidRPr="00975DA7">
        <w:rPr>
          <w:rFonts w:ascii="Times New Roman" w:hAnsi="Times New Roman" w:cs="Times New Roman"/>
        </w:rPr>
        <w:t>F</w:t>
      </w:r>
      <w:r w:rsidR="00C53466" w:rsidRPr="00975DA7">
        <w:rPr>
          <w:rFonts w:ascii="Times New Roman" w:hAnsi="Times New Roman" w:cs="Times New Roman"/>
        </w:rPr>
        <w:t xml:space="preserve">or example, a </w:t>
      </w:r>
      <w:r w:rsidR="00C70DCE" w:rsidRPr="00975DA7">
        <w:rPr>
          <w:rFonts w:ascii="Times New Roman" w:hAnsi="Times New Roman" w:cs="Times New Roman"/>
        </w:rPr>
        <w:t xml:space="preserve">region like left IFG </w:t>
      </w:r>
      <w:r w:rsidR="009F5FB4" w:rsidRPr="00975DA7">
        <w:rPr>
          <w:rFonts w:ascii="Times New Roman" w:hAnsi="Times New Roman" w:cs="Times New Roman"/>
        </w:rPr>
        <w:t xml:space="preserve">might show stronger intrinsic connectivity to left ATL than would be expected from the pattern of connectivity between right IFG and right ATL. This </w:t>
      </w:r>
      <w:r w:rsidR="00D83687" w:rsidRPr="00975DA7">
        <w:rPr>
          <w:rFonts w:ascii="Times New Roman" w:hAnsi="Times New Roman" w:cs="Times New Roman"/>
        </w:rPr>
        <w:t>difference in network topography</w:t>
      </w:r>
      <w:r w:rsidR="009F5FB4" w:rsidRPr="00975DA7">
        <w:rPr>
          <w:rFonts w:ascii="Times New Roman" w:hAnsi="Times New Roman" w:cs="Times New Roman"/>
        </w:rPr>
        <w:t xml:space="preserve"> can be highlighted through a comparison of the connectivity maps for left and right IFG by flipping the RH seed map </w:t>
      </w:r>
      <w:r w:rsidR="00C70DCE" w:rsidRPr="00975DA7">
        <w:rPr>
          <w:rFonts w:ascii="Times New Roman" w:hAnsi="Times New Roman" w:cs="Times New Roman"/>
        </w:rPr>
        <w:t xml:space="preserve">along the x </w:t>
      </w:r>
      <w:r w:rsidR="009F5FB4" w:rsidRPr="00975DA7">
        <w:rPr>
          <w:rFonts w:ascii="Times New Roman" w:hAnsi="Times New Roman" w:cs="Times New Roman"/>
        </w:rPr>
        <w:t xml:space="preserve">axis (see Figure 2, which illustrates this method). </w:t>
      </w:r>
      <w:r w:rsidR="006B258F" w:rsidRPr="00975DA7">
        <w:rPr>
          <w:rFonts w:ascii="Times New Roman" w:hAnsi="Times New Roman" w:cs="Times New Roman"/>
        </w:rPr>
        <w:t xml:space="preserve">The results are shown in </w:t>
      </w:r>
      <w:r w:rsidRPr="00975DA7">
        <w:rPr>
          <w:rFonts w:ascii="Times New Roman" w:hAnsi="Times New Roman" w:cs="Times New Roman"/>
        </w:rPr>
        <w:t xml:space="preserve">Figure 5. </w:t>
      </w:r>
      <w:r w:rsidR="002D16F6" w:rsidRPr="00975DA7">
        <w:rPr>
          <w:rFonts w:ascii="Times New Roman" w:hAnsi="Times New Roman" w:cs="Times New Roman"/>
        </w:rPr>
        <w:t xml:space="preserve">We then compared these connectivity difference maps with the </w:t>
      </w:r>
      <w:r w:rsidR="003870C1" w:rsidRPr="00975DA7">
        <w:rPr>
          <w:rFonts w:ascii="Times New Roman" w:hAnsi="Times New Roman" w:cs="Times New Roman"/>
        </w:rPr>
        <w:t xml:space="preserve">network parcellation provided by Yeo et al. (2011). In Figure 5, we show differences in network overlap </w:t>
      </w:r>
      <w:r w:rsidR="008E1E88" w:rsidRPr="00975DA7">
        <w:rPr>
          <w:rFonts w:ascii="Times New Roman" w:hAnsi="Times New Roman" w:cs="Times New Roman"/>
        </w:rPr>
        <w:t>for</w:t>
      </w:r>
      <w:r w:rsidR="003870C1" w:rsidRPr="00975DA7">
        <w:rPr>
          <w:rFonts w:ascii="Times New Roman" w:hAnsi="Times New Roman" w:cs="Times New Roman"/>
        </w:rPr>
        <w:t xml:space="preserve"> regions with stronger than expected connectivity to the LH seed given the pattern for the RH seed, and the reverse. Networks overlapping with both L&gt;R and R&gt;L maps to an equal degree </w:t>
      </w:r>
      <w:r w:rsidR="004964FB" w:rsidRPr="00975DA7">
        <w:rPr>
          <w:rFonts w:ascii="Times New Roman" w:hAnsi="Times New Roman" w:cs="Times New Roman"/>
        </w:rPr>
        <w:t>fall at the zero point of these charts, since our focus is on network differences.</w:t>
      </w:r>
      <w:r w:rsidR="003870C1" w:rsidRPr="00975DA7">
        <w:rPr>
          <w:rFonts w:ascii="Times New Roman" w:hAnsi="Times New Roman" w:cs="Times New Roman"/>
        </w:rPr>
        <w:t xml:space="preserve">   </w:t>
      </w:r>
    </w:p>
    <w:p w14:paraId="4768709E" w14:textId="69002515" w:rsidR="004964FB" w:rsidRPr="00975DA7" w:rsidRDefault="0059177E" w:rsidP="008E1E88">
      <w:pPr>
        <w:keepNext/>
        <w:spacing w:line="360" w:lineRule="auto"/>
        <w:rPr>
          <w:rFonts w:ascii="Times New Roman" w:hAnsi="Times New Roman" w:cs="Times New Roman"/>
        </w:rPr>
      </w:pPr>
      <w:r w:rsidRPr="00975DA7">
        <w:rPr>
          <w:rFonts w:ascii="Times New Roman" w:hAnsi="Times New Roman" w:cs="Times New Roman"/>
        </w:rPr>
        <w:t>Left ATL showed stronger connectivity to medial temporal cortex, right ATL, left ventral IFG/insula and left int</w:t>
      </w:r>
      <w:r w:rsidR="00B1546A" w:rsidRPr="00975DA7">
        <w:rPr>
          <w:rFonts w:ascii="Times New Roman" w:hAnsi="Times New Roman" w:cs="Times New Roman"/>
        </w:rPr>
        <w:t>raparietal sulcus, relative to the</w:t>
      </w:r>
      <w:r w:rsidRPr="00975DA7">
        <w:rPr>
          <w:rFonts w:ascii="Times New Roman" w:hAnsi="Times New Roman" w:cs="Times New Roman"/>
        </w:rPr>
        <w:t xml:space="preserve"> connectivity </w:t>
      </w:r>
      <w:r w:rsidR="00A8022F" w:rsidRPr="00975DA7">
        <w:rPr>
          <w:rFonts w:ascii="Times New Roman" w:hAnsi="Times New Roman" w:cs="Times New Roman"/>
        </w:rPr>
        <w:t>of</w:t>
      </w:r>
      <w:r w:rsidRPr="00975DA7">
        <w:rPr>
          <w:rFonts w:ascii="Times New Roman" w:hAnsi="Times New Roman" w:cs="Times New Roman"/>
        </w:rPr>
        <w:t xml:space="preserve"> right ATL flipped into </w:t>
      </w:r>
      <w:r w:rsidR="006C5629" w:rsidRPr="00975DA7">
        <w:rPr>
          <w:rFonts w:ascii="Times New Roman" w:hAnsi="Times New Roman" w:cs="Times New Roman"/>
        </w:rPr>
        <w:t>LH</w:t>
      </w:r>
      <w:r w:rsidRPr="00975DA7">
        <w:rPr>
          <w:rFonts w:ascii="Times New Roman" w:hAnsi="Times New Roman" w:cs="Times New Roman"/>
        </w:rPr>
        <w:t xml:space="preserve"> space. </w:t>
      </w:r>
      <w:r w:rsidR="00B1546A" w:rsidRPr="00975DA7">
        <w:rPr>
          <w:rFonts w:ascii="Times New Roman" w:hAnsi="Times New Roman" w:cs="Times New Roman"/>
        </w:rPr>
        <w:t xml:space="preserve">This </w:t>
      </w:r>
      <w:r w:rsidR="00F007A2" w:rsidRPr="00975DA7">
        <w:rPr>
          <w:rFonts w:ascii="Times New Roman" w:hAnsi="Times New Roman" w:cs="Times New Roman"/>
        </w:rPr>
        <w:t>is consistent with</w:t>
      </w:r>
      <w:r w:rsidR="00B1546A" w:rsidRPr="00975DA7">
        <w:rPr>
          <w:rFonts w:ascii="Times New Roman" w:hAnsi="Times New Roman" w:cs="Times New Roman"/>
        </w:rPr>
        <w:t xml:space="preserve"> the low correlation between right ATL and IFG reported above.</w:t>
      </w:r>
      <w:r w:rsidR="00F007A2" w:rsidRPr="00975DA7">
        <w:rPr>
          <w:rFonts w:ascii="Times New Roman" w:hAnsi="Times New Roman" w:cs="Times New Roman"/>
        </w:rPr>
        <w:t xml:space="preserve"> </w:t>
      </w:r>
      <w:r w:rsidR="008E1E88" w:rsidRPr="00975DA7">
        <w:rPr>
          <w:rFonts w:ascii="Times New Roman" w:hAnsi="Times New Roman" w:cs="Times New Roman"/>
        </w:rPr>
        <w:t xml:space="preserve">The right ATL (flipped into LH space) showed stronger connectivity to AG and dorsomedial prefrontal cortex, relative to the pattern of connectivity seen for left ATL. </w:t>
      </w:r>
      <w:r w:rsidR="00266835" w:rsidRPr="00975DA7">
        <w:rPr>
          <w:rFonts w:ascii="Times New Roman" w:hAnsi="Times New Roman" w:cs="Times New Roman"/>
        </w:rPr>
        <w:t xml:space="preserve">The regions with stronger left-lateralised ATL connectivity </w:t>
      </w:r>
      <w:r w:rsidR="00AB7C50" w:rsidRPr="00975DA7">
        <w:rPr>
          <w:rFonts w:ascii="Times New Roman" w:hAnsi="Times New Roman" w:cs="Times New Roman"/>
        </w:rPr>
        <w:t>showed more extensive overlap</w:t>
      </w:r>
      <w:r w:rsidR="00266835" w:rsidRPr="00975DA7">
        <w:rPr>
          <w:rFonts w:ascii="Times New Roman" w:hAnsi="Times New Roman" w:cs="Times New Roman"/>
        </w:rPr>
        <w:t xml:space="preserve"> with lateral DMN and limbic networks, while the </w:t>
      </w:r>
      <w:r w:rsidR="008E1E88" w:rsidRPr="00975DA7">
        <w:rPr>
          <w:rFonts w:ascii="Times New Roman" w:hAnsi="Times New Roman" w:cs="Times New Roman"/>
        </w:rPr>
        <w:lastRenderedPageBreak/>
        <w:t xml:space="preserve">regions </w:t>
      </w:r>
      <w:r w:rsidR="00266835" w:rsidRPr="00975DA7">
        <w:rPr>
          <w:rFonts w:ascii="Times New Roman" w:hAnsi="Times New Roman" w:cs="Times New Roman"/>
        </w:rPr>
        <w:t>with stronger</w:t>
      </w:r>
      <w:r w:rsidR="008E1E88" w:rsidRPr="00975DA7">
        <w:rPr>
          <w:rFonts w:ascii="Times New Roman" w:hAnsi="Times New Roman" w:cs="Times New Roman"/>
        </w:rPr>
        <w:t xml:space="preserve"> right-lateralised </w:t>
      </w:r>
      <w:r w:rsidR="00266835" w:rsidRPr="00975DA7">
        <w:rPr>
          <w:rFonts w:ascii="Times New Roman" w:hAnsi="Times New Roman" w:cs="Times New Roman"/>
        </w:rPr>
        <w:t xml:space="preserve">ATL </w:t>
      </w:r>
      <w:r w:rsidR="008E1E88" w:rsidRPr="00975DA7">
        <w:rPr>
          <w:rFonts w:ascii="Times New Roman" w:hAnsi="Times New Roman" w:cs="Times New Roman"/>
        </w:rPr>
        <w:t xml:space="preserve">connectivity overlapped to a greater extent with </w:t>
      </w:r>
      <w:r w:rsidR="00266835" w:rsidRPr="00975DA7">
        <w:rPr>
          <w:rFonts w:ascii="Times New Roman" w:hAnsi="Times New Roman" w:cs="Times New Roman"/>
        </w:rPr>
        <w:t>multiple</w:t>
      </w:r>
      <w:r w:rsidR="008E1E88" w:rsidRPr="00975DA7">
        <w:rPr>
          <w:rFonts w:ascii="Times New Roman" w:hAnsi="Times New Roman" w:cs="Times New Roman"/>
        </w:rPr>
        <w:t xml:space="preserve"> control and attention networks. </w:t>
      </w:r>
    </w:p>
    <w:p w14:paraId="196FD36E" w14:textId="688641FA" w:rsidR="00B1546A" w:rsidRPr="00975DA7" w:rsidRDefault="0059177E" w:rsidP="006B258F">
      <w:pPr>
        <w:keepNext/>
        <w:spacing w:line="360" w:lineRule="auto"/>
        <w:rPr>
          <w:rFonts w:ascii="Times New Roman" w:hAnsi="Times New Roman" w:cs="Times New Roman"/>
        </w:rPr>
      </w:pPr>
      <w:r w:rsidRPr="00975DA7">
        <w:rPr>
          <w:rFonts w:ascii="Times New Roman" w:hAnsi="Times New Roman" w:cs="Times New Roman"/>
        </w:rPr>
        <w:t>Left AG showed stronger connectivity to left and right lateral occipital-temporal cortex, right ATL, left and right IFG, left and right dorsal medial prefrontal cortex and portions of somatomotor cortex</w:t>
      </w:r>
      <w:r w:rsidR="00266835" w:rsidRPr="00975DA7">
        <w:rPr>
          <w:rFonts w:ascii="Times New Roman" w:hAnsi="Times New Roman" w:cs="Times New Roman"/>
        </w:rPr>
        <w:t>, relative to right AG flipped into LH space</w:t>
      </w:r>
      <w:r w:rsidRPr="00975DA7">
        <w:rPr>
          <w:rFonts w:ascii="Times New Roman" w:hAnsi="Times New Roman" w:cs="Times New Roman"/>
        </w:rPr>
        <w:t xml:space="preserve">. </w:t>
      </w:r>
      <w:r w:rsidR="00266835" w:rsidRPr="00975DA7">
        <w:rPr>
          <w:rFonts w:ascii="Times New Roman" w:hAnsi="Times New Roman" w:cs="Times New Roman"/>
        </w:rPr>
        <w:t xml:space="preserve">The right AG (flipped into LH space) showed stronger connectivity to precuneus and posterior cingulate cortex, plus medial temporal lobe regions. The regions with stronger left-lateralised AG connectivity </w:t>
      </w:r>
      <w:r w:rsidR="00AB7C50" w:rsidRPr="00975DA7">
        <w:rPr>
          <w:rFonts w:ascii="Times New Roman" w:hAnsi="Times New Roman" w:cs="Times New Roman"/>
        </w:rPr>
        <w:t>showed more extensive overlap</w:t>
      </w:r>
      <w:r w:rsidR="00266835" w:rsidRPr="00975DA7">
        <w:rPr>
          <w:rFonts w:ascii="Times New Roman" w:hAnsi="Times New Roman" w:cs="Times New Roman"/>
        </w:rPr>
        <w:t xml:space="preserve"> with lateral DMN and the ventral attention network. The regions with stronger right-lateralised AG connectivity showed greater overlap with visual, control and core/medial DMN networks.</w:t>
      </w:r>
    </w:p>
    <w:p w14:paraId="0789FE41" w14:textId="23B66DC0" w:rsidR="0059177E" w:rsidRPr="00975DA7" w:rsidRDefault="0059177E" w:rsidP="006B258F">
      <w:pPr>
        <w:keepNext/>
        <w:spacing w:line="360" w:lineRule="auto"/>
        <w:rPr>
          <w:rFonts w:ascii="Times New Roman" w:hAnsi="Times New Roman" w:cs="Times New Roman"/>
        </w:rPr>
      </w:pPr>
      <w:r w:rsidRPr="00975DA7">
        <w:rPr>
          <w:rFonts w:ascii="Times New Roman" w:hAnsi="Times New Roman" w:cs="Times New Roman"/>
        </w:rPr>
        <w:t xml:space="preserve">Left IFG showed stronger connectivity to left motor cortex, extending into left dorsal medial prefrontal cortex, and to left inferior frontal cortex. Left pMTG showed a similar pattern, extending further into left IFG, right pMTG and left and right lingual gyrus/cuneus. </w:t>
      </w:r>
      <w:r w:rsidR="006C5629" w:rsidRPr="00975DA7">
        <w:rPr>
          <w:rFonts w:ascii="Times New Roman" w:hAnsi="Times New Roman" w:cs="Times New Roman"/>
        </w:rPr>
        <w:t>LH</w:t>
      </w:r>
      <w:r w:rsidRPr="00975DA7">
        <w:rPr>
          <w:rFonts w:ascii="Times New Roman" w:hAnsi="Times New Roman" w:cs="Times New Roman"/>
        </w:rPr>
        <w:t xml:space="preserve"> </w:t>
      </w:r>
      <w:r w:rsidR="00AB7C50" w:rsidRPr="00975DA7">
        <w:rPr>
          <w:rFonts w:ascii="Times New Roman" w:hAnsi="Times New Roman" w:cs="Times New Roman"/>
        </w:rPr>
        <w:t xml:space="preserve">IFG and pMTG </w:t>
      </w:r>
      <w:r w:rsidRPr="00975DA7">
        <w:rPr>
          <w:rFonts w:ascii="Times New Roman" w:hAnsi="Times New Roman" w:cs="Times New Roman"/>
        </w:rPr>
        <w:t xml:space="preserve">seeds also showed weaker connectivity to parietal-occipital fissure, intraparietal sulcus, precuneus, posterior cingulate and medial prefrontal cortex, both within and across hemispheres, compared with right-hemisphere seeds (indicated by the presence of blue in Figure 5). </w:t>
      </w:r>
      <w:r w:rsidR="00AB7C50" w:rsidRPr="00975DA7">
        <w:rPr>
          <w:rFonts w:ascii="Times New Roman" w:hAnsi="Times New Roman" w:cs="Times New Roman"/>
        </w:rPr>
        <w:t>R</w:t>
      </w:r>
      <w:r w:rsidR="00266835" w:rsidRPr="00975DA7">
        <w:rPr>
          <w:rFonts w:ascii="Times New Roman" w:hAnsi="Times New Roman" w:cs="Times New Roman"/>
        </w:rPr>
        <w:t xml:space="preserve">egions with stronger left-lateralised IFG connectivity </w:t>
      </w:r>
      <w:r w:rsidR="00AB7C50" w:rsidRPr="00975DA7">
        <w:rPr>
          <w:rFonts w:ascii="Times New Roman" w:hAnsi="Times New Roman" w:cs="Times New Roman"/>
        </w:rPr>
        <w:t xml:space="preserve">showed more extensive overlap with control, ventral attention, medial visual and somatomotor networks, while sites with more right-lateralised IFG connectivity showed greater overlap with core DMN and lateral visual regions. Regions with stronger left-lateralised pMTG connectivity showed greater overlap with lateral DMN, while sites with more right-lateralised pMTG connectivity showed greater overlap with dorsal attention and lateral visual networks.   </w:t>
      </w:r>
    </w:p>
    <w:p w14:paraId="5B489E31" w14:textId="7BDA49B9" w:rsidR="00ED3884" w:rsidRPr="00975DA7" w:rsidRDefault="00ED3884" w:rsidP="003E5B49">
      <w:pPr>
        <w:spacing w:line="360" w:lineRule="auto"/>
        <w:rPr>
          <w:rFonts w:ascii="Times New Roman" w:hAnsi="Times New Roman" w:cs="Times New Roman"/>
        </w:rPr>
      </w:pPr>
      <w:r w:rsidRPr="00975DA7">
        <w:rPr>
          <w:rFonts w:ascii="Times New Roman" w:hAnsi="Times New Roman" w:cs="Times New Roman"/>
        </w:rPr>
        <w:t>We applied cognitive decoding to these maps using Neurosynth</w:t>
      </w:r>
      <w:r w:rsidR="003E5B49" w:rsidRPr="00975DA7">
        <w:rPr>
          <w:rFonts w:ascii="Times New Roman" w:hAnsi="Times New Roman" w:cs="Times New Roman"/>
        </w:rPr>
        <w:t xml:space="preserve"> (see word clouds in Figure 5)</w:t>
      </w:r>
      <w:r w:rsidRPr="00975DA7">
        <w:rPr>
          <w:rFonts w:ascii="Times New Roman" w:hAnsi="Times New Roman" w:cs="Times New Roman"/>
        </w:rPr>
        <w:t xml:space="preserve">. </w:t>
      </w:r>
      <w:r w:rsidR="003E5B49" w:rsidRPr="00975DA7">
        <w:rPr>
          <w:rFonts w:ascii="Times New Roman" w:hAnsi="Times New Roman" w:cs="Times New Roman"/>
        </w:rPr>
        <w:t>The set of b</w:t>
      </w:r>
      <w:r w:rsidRPr="00975DA7">
        <w:rPr>
          <w:rFonts w:ascii="Times New Roman" w:hAnsi="Times New Roman" w:cs="Times New Roman"/>
        </w:rPr>
        <w:t xml:space="preserve">rain regions showing stronger connectivity with LH seeds were associated with </w:t>
      </w:r>
      <w:r w:rsidR="003E5B49" w:rsidRPr="00975DA7">
        <w:rPr>
          <w:rFonts w:ascii="Times New Roman" w:hAnsi="Times New Roman" w:cs="Times New Roman"/>
        </w:rPr>
        <w:t>semantic and language terms (pMTG and ATL)</w:t>
      </w:r>
      <w:r w:rsidRPr="00975DA7">
        <w:rPr>
          <w:rFonts w:ascii="Times New Roman" w:hAnsi="Times New Roman" w:cs="Times New Roman"/>
        </w:rPr>
        <w:t xml:space="preserve"> </w:t>
      </w:r>
      <w:r w:rsidR="003E5B49" w:rsidRPr="00975DA7">
        <w:rPr>
          <w:rFonts w:ascii="Times New Roman" w:hAnsi="Times New Roman" w:cs="Times New Roman"/>
        </w:rPr>
        <w:t>and</w:t>
      </w:r>
      <w:r w:rsidRPr="00975DA7">
        <w:rPr>
          <w:rFonts w:ascii="Times New Roman" w:hAnsi="Times New Roman" w:cs="Times New Roman"/>
        </w:rPr>
        <w:t xml:space="preserve"> somatomotor processing </w:t>
      </w:r>
      <w:r w:rsidR="003E5B49" w:rsidRPr="00975DA7">
        <w:rPr>
          <w:rFonts w:ascii="Times New Roman" w:hAnsi="Times New Roman" w:cs="Times New Roman"/>
        </w:rPr>
        <w:t>(for IFG and AG)</w:t>
      </w:r>
      <w:r w:rsidRPr="00975DA7">
        <w:rPr>
          <w:rFonts w:ascii="Times New Roman" w:hAnsi="Times New Roman" w:cs="Times New Roman"/>
        </w:rPr>
        <w:t xml:space="preserve">. Brain regions showing stronger connectivity to RH seeds were associated with terms relating to visual-spatial processing. </w:t>
      </w:r>
      <w:r w:rsidR="003E5B49" w:rsidRPr="00975DA7">
        <w:rPr>
          <w:rFonts w:ascii="Times New Roman" w:hAnsi="Times New Roman" w:cs="Times New Roman"/>
        </w:rPr>
        <w:t>This association between left-lateralised connectivity and somatomotor processing as well as semantics and language has previously been reported by Gotts et al.</w:t>
      </w:r>
      <w:r w:rsidR="00970D1C" w:rsidRPr="00975DA7">
        <w:rPr>
          <w:rFonts w:ascii="Times New Roman" w:hAnsi="Times New Roman" w:cs="Times New Roman"/>
        </w:rPr>
        <w:t xml:space="preserve"> </w:t>
      </w:r>
      <w:r w:rsidR="00970D1C" w:rsidRPr="00975DA7">
        <w:rPr>
          <w:rFonts w:ascii="Times New Roman" w:hAnsi="Times New Roman" w:cs="Times New Roman"/>
        </w:rPr>
        <w:fldChar w:fldCharType="begin" w:fldLock="1"/>
      </w:r>
      <w:r w:rsidR="00821264" w:rsidRPr="00975DA7">
        <w:rPr>
          <w:rFonts w:ascii="Times New Roman" w:hAnsi="Times New Roman" w:cs="Times New Roman"/>
        </w:rPr>
        <w:instrText>ADDIN CSL_CITATION {"citationItems":[{"id":"ITEM-1","itemData":{"DOI":"10.1073/pnas.1302581110","ISBN":"1091-6490 (Electronic)\\r0027-8424 (Linking)","ISSN":"0027-8424","PMID":"23959883","abstract":"The hemispheric lateralization of certain faculties in the human brain has long been held to be beneficial for functioning. However, quantitative relationships between the degree of lateralization in particular brain regions and the level of functioning have yet to be established. Here we demonstrate that two distinct forms of functional lateralization are present in the left vs. the right cerebral hemisphere, with the left hemisphere showing a preference to interact more exclusively with itself, particularly for cortical regions involved in language and fine motor coordination. In contrast, right-hemisphere cortical regions involved in visuospatial and attentional processing interact in a more integrative fashion with both hemispheres. The degree of lateralization present in these distinct systems selectively predicted behavioral measures of verbal and visuospatial ability, providing direct evidence that lateralization is associated with enhanced cognitive ability.","author":[{"dropping-particle":"","family":"Gotts","given":"Stephen J","non-dropping-particle":"","parse-names":false,"suffix":""},{"dropping-particle":"","family":"Jo","given":"Hang Joon","non-dropping-particle":"","parse-names":false,"suffix":""},{"dropping-particle":"","family":"Wallace","given":"Gregory L","non-dropping-particle":"","parse-names":false,"suffix":""},{"dropping-particle":"","family":"Saad","given":"Ziad S","non-dropping-particle":"","parse-names":false,"suffix":""},{"dropping-particle":"","family":"Cox","given":"Robert W","non-dropping-particle":"","parse-names":false,"suffix":""},{"dropping-particle":"","family":"Martin","given":"Alex","non-dropping-particle":"","parse-names":false,"suffix":""}],"container-title":"Proceedings of the National Academy of Sciences of the United States of America","id":"ITEM-1","issue":"36","issued":{"date-parts":[["2013"]]},"note":"There are 2 forms of functional lateralization:\n-The LH prefers to speak exclusively with itself\n-The RH more integrative with both.\nThe degree of lateralization in these 2 systems predicts behavioural measures of verbal and visuospatial ability.\n\nIntroduction\nLateralisation is a fact: Left for language and hand (associated), Right for visuospatial/attention.\nIts mechanisms are unknown: Computational benefits (Division of labour improves performance)?\nIf this is true, degree of lateralisation should predict cognitive performance. Indeed, this happens with hand and language.\nThere are problems to investigate this: no clear method to establish homotopic locations; previous research has looked at a simplified version of lateralisation, but hemispheres differ qualitatively, so there may be 2.\n\nCurrent study: RSFCA of 62 right handed participants, measures of verbal and visuospatial ability acquired offline. Lateralisation of interactions was determined through description of homotopic 'nodes (36k per hemisphere), then probing the correlations of each node with all other nodes in the brain, averaging these correlations separately per location; then lat was quantified at homotopic locations using 2 separate metrics (&amp;quot;segregation&amp;quot; and &amp;quot;integration&amp;quot;).\n\nMethods\nn=62 right handed males, no psych or neuro disease, normal vision.\nWASI to 44 participants: Vocabulary, Similarities, Block design, Matrix reasoning.\nfMRI of rest, TR 3.5s, echo 27ms. 3mm slice thickness, FOV = 22cm. Each RS scan lasted 8min 10s, participants stared at a fixation cross and instructed to rest.\nPreprocessing: Aligned anatomical images were then processed with FreeSurfer’s automated pipeline for generating cortical surface models and whole brain segmentation. standard-mesh surfaces of 36,002 nodes per hemisphere were created with AFNI Surface Mapper, or SUMA. A similar process was applied to the N27 template brain, allowing the display of the results onto the template’s surfaces.\nHomotopic determination: Redefined location of each node on cortical surface instead of cartesian coordinate; assigned to each cortical node a 74-dimension label vector with geodesic distance in the surface from that node to each centroid of the 74 cortical parcelations in freesurfer. Then you look in the other hemisphere for the node whose label vector is the most similar (largest pearson correlation) with the original node's label vector.\nMeasuring lateralisation: take each node as a seed, and estimate the correlation with each other node as targets. Average the correlations within and across hemisphere for each seed, estimating the average strenght of intra and interhemispheric interactions of that seed. Z transform it, then calculate within and across hemisphere contrasts for each participant between homotopic locations in L Vs R.\n\nResults\nSeveral large left-lateralised brain regions, dominated by segregation metric (stronger intrahemispheric correlations, and weaker interh):\nLanguage\n- LIFG\n-pM/STG\nSocial processing and communication\n-PCC\n-Medial frontal\n- Ventral temporal (includes fusiform)\nSomatosensory and Motor\nMedial occipital near calcarine\nIn contrast, virtually all right-lateralised regions observed with the integration metric (stronger intra and interhemispheric correlations with the right hemisphere).:\nVisuospatial and Attention\n-Right superior parietal\n-Occipital\n-Ventral temporal, including fusiform and parahippocampal\n\nResults from Fig 2 are statistically significant between metrics, which reveals 2 distinct forms of lateralization to the R and L hemisphere.\n\nThen, examined relationships of these significant LH and RH regions. MDS and cluster analyses to identify regions that had similar patterns of correlation with the others, to find regions that belong to a common processing circuit.\n1-sample nodes within the region and calculate correlations\n2-cluster with kmeans algorithm\n3-repeat 100 times\n4-MonteCarlo simulations to random tada\n5-MDS and final clustering\nFour cluster solution was best. LH language regions clustered together with social processing and communication; left somatosensory/motor with ventral temporal that are active when viewing, naming and thinking about manipulable objects. Early visual and high level visuospatial regions formed 2 separate clusters (but see bonferroni correction). This indicates that the 18 lateralised regions are not uniformly related to one another, they organise into a smaller number of functionally related groups (i.e. language cluster 1, visuospatial cluster 4).\n\nNext, they checked how the lateralisation in regions of language and visuospatial (that they identified) could predict behaviour). They applied the WASI (Vocabulary, Block design). Constrained the analyses to cluster 1 (language) and 4 (viso); they checked the correlation between segregation and the vocabulary score:\n-LIFG\n-Lateral temporal cortex (3 gyri)\n-pSTG.\nAfter partial correlation, Left lateral temporal region and left pSTG (IFG didn't make it).\nOnly segregation was associated with vocabulary However, since segregation is an aggregate between L and R seeds, it's important to dissociate which seed contributes. Significant correlations for LL-LR and vocabulary, but not with RR-RL (with left, but not right).\nIn summary, the magnitude of lateralization in two cluster 1 regions was selectively associated with better vocabulary scores, but only when examining the lateralization metric appropriate for these regions (i.e., segregation)..\nFor the RH, significant correlation between cluster 4 regions and block design scores:\n-Ventral temporal cortex\n-Fusiform gyrus\n-Anterior transverse collateral sulcus\n-ITG\nThis pattern was not observed for Segregation. It was driven by RH portion of Integration (RR+RL). To check for alpha inflation, they also investigated the matrix reasoning subtest, finding the semae results (+ parietal).\n\nThe common pattern observed across this series of region-of-\ninterest (ROI) tests was highly replicable: (i) significant partial correlation with the metric used to identify the lateralized re- gion, (ii) the lack of a significant partial correlation with the opposite metric (P &amp;gt; 0.1), (iii) a significant partial correlation with the same-sided component of the full laterality metric, and (iv) the lack of a significant partial correlation with the opposite- sided component metric (P &amp;gt; 0.1). These observations strongly suggest that the observed behavioral correlations are not due to chance.\n\nA permutation test shows that the likelyhood of getting these joint results is significantly small. This survives Bonferroni correction (though not the lower level analysis in which this is based).\n\nThey examined the extent to which it's possible to predict the magnitude of lateralization in one functional domain using the magnitude from another (&amp;quot;Functional crowding&amp;quot; hypothesis). The magnitude of lateralization in cluster 1 regions strongly predicted the magnitude of lateraliza- tion in cluster 2 regions across participants. In contrast, neither the cluster 1 nor the cluster 2 regions predicted the magnitude of lateralization in cluster 4 regions associated with high-level visuospatial processing. \nthese results fail to support the functional crowding hypothesis for typical right-handed participants. Instead, they provide evidence for independent mechanisms of functional lateralization in the left vs. right hemispheres.\n\nDiscussion\nThe left hemisphere has a greater preference for within-hemisphere interactions whereas the right hemisphere has interactions that are more strongly bilateral. At a macroscopic scale, cortical representations are more focal in the left hemisphere and more diffuse in the right hemisphere.\nHemispheric lateralization of verbal and visuospatial function is quantitatively beneficial for these functions when examining the appropriate lateralization metrics.\nPerformance in speeded manual and/or pronunciation tasks should be directly related to the segregation metric calculated for this part of the brain (though they didn't test).\nSee explanation of the clusters in the middle of page 7.\nAlthough language and motor coordination of the limbs are clearly distinct functions, the\nmagnitude of lateralization measured from the corresponding brain regions was found to be tightly interrelated across participants, consistent with the well-known relationship between\nhandedness and language lateralization. \nThe fact that these left-hemisphere regions were all identified with the segregation metric, indicating interactions that are predominantly restricted to the left hemisphere, concords well with previous proposals that more spatially restricted, focal cortical representations could be beneficial for systems that require temporally rapid interactions in the service of sequential behaviors.\n2 visuospatial clusters: 1 basic and 1 higher, independent of lateralisation magnitude in left hemisphere language and motor regions. \nseparate genetic and/or neural mechanisms are responsible for driving lateralization in the two hemispheres. (Or for different cognitive processes, or networks, or modules).\nIndeed, it will be important for future\nstudies to examine the agreement of laterality measures taken during the performance of explicit tasks vs. those taken at rest.\nWhich results would vary in tasks or contexts? Although RS activity reflects connectivity, it's possible that this connectivity is implemented differently in the context of a task. However, the fact that RS lateralised interactions correlate with behavioural performance indicate there's an invariant component; this allows to investigate development and animals.\nThere is only partial independence of verbal and nonverbal abilities, with portions of both shared and distinct variability (and they're related to hand skill).\n\nResults are broadly consistent with computational theories of functional specialization that hold that information processing is more effective and efficient when larger functions can be decomposed into smaller independent processes, reducing\nfunctional interference. Hemispheric lateralization can be thought of as a special case of functional specialization, like the division of labor in visual system (space vs form).\n\nThese 2 qualitatively distinct forms of lateralisation vary quantitatively over participants; could be consistents with a developmental bias and/or plasticity mechanisms that varies qualitatively by hemisphere and is optimized through experience.\nFunctions with a strong reliance on rapid, sequential interactions, such as speech production and comprehension and fine motor control, may come to be represented in the left hemisphere by virtue of the bias toward intrahemispheric interactions with shorter average synaptic delays. In contrast, visuospatial processing that depends more prominently on information representation in space rather than in time may benefit more from the spatial conjunction of many synaptic inputs from both hemispheres, better matching the bias of the right hemisphere. Focal representations in the left hemisphere, and more diffuse in the right\n\n##############################\n\nSimilarities and differences\n\nMETHODS\n1 (DD) Smaller sample (62)\n2 (SS) RS and behaviour acquired in separate sessions\n3 (DD) WASI applied to 44 of the 62 participants: Verbal (vocabulary, similarities) // Performance (block design, matrix reasoning); only vocabulary and block design used\n4 (DD) Slightly different acquisition parameters (ie 3.5 vs 3s TR, 1.3mm structural voxels, etc) and fMRI pre-processing parameters (FS pipeline, AFNI, ANATICOR, etc)\n5 (DD) IMPORTANT: They determined homotopic locations through a sophisticated geodesic distance method\n\n6 (DD) IMPORTANT: Their laterality metric was a summary measure, calculated as the correlation for each node with all other nodes in the entire hemisphere averaged, and then also the same for the contralateral hemisphere; then they subtracted (LL-LR) - (RR-RL) for segregation, and integration as (LL+LR) - (RR+RL) (???)\n\n7 (DD) They performed cluster analyses to cluster together the areas that showed similar patterns of integration/segregation, arriving at a 4 cluster solution\n\n8 (DD) They performed partial correlations with their behavioural metrics in the resulting clusters\n\nRESULTS\n9 (DD) They found several large left-lateralised brain regions for segregation:: LH language regions (IFG, pMTG, pSTG). social processing and communication (PCC, medial frontal, ventral Temporal); L-somatosensory, motor; medial occipital calcarine;. All RH regions showed integration metric: visuospatial and attn processing (RH superior parietal, occipital, ventral temporal).\n\n10 (DD) Cluster analysis identified that the regions described through these metrics were grouped into 4 clusters that behave similarly: LH language/communication, somatosensory/motor/ventral temporal,; RH/Bilaretal early visual (bilateral medial occipital) and high level visuspatial regions (RH occipital, ventral temporal and parietal.\n\n11 (DD) They selected the two most relevant clusters (communication/language and high level visuospatial) and did partial correlations of vocabulary and block design behavioural scores with the lateralisation metrics inside each of these 2 clusters. 3 language regions showed significant correlations between segregation index and vocabulary (integration wasn't). 1 large ventral temporal high visuospatial region showed significant correlation between integration index and block design scores. In both cases, only the relevant hemisphere component of the laterality metric drove the correlation, and not the contralateral part.\n\n12 (DD). They found that the magnitude of lateralization in language regions strongly predicts the magnitude of lateralisation in motor regions across participants, but neither of these predicts lateralisation in high-level visuospatial regions with the opposite metric.","page":"E3435-44","title":"Two distinct forms of functional lateralization in the human brain","type":"article-journal","volume":"110"},"uris":["http://www.mendeley.com/documents/?uuid=150e0357-a5e6-4b24-8a3c-f623fbf4b72a"]}],"mendeley":{"formattedCitation":"(Gotts et al., 2013)","manualFormatting":"(2013)","plainTextFormattedCitation":"(Gotts et al., 2013)","previouslyFormattedCitation":"(Gotts et al., 2013)"},"properties":{"noteIndex":0},"schema":"https://github.com/citation-style-language/schema/raw/master/csl-citation.json"}</w:instrText>
      </w:r>
      <w:r w:rsidR="00970D1C" w:rsidRPr="00975DA7">
        <w:rPr>
          <w:rFonts w:ascii="Times New Roman" w:hAnsi="Times New Roman" w:cs="Times New Roman"/>
        </w:rPr>
        <w:fldChar w:fldCharType="separate"/>
      </w:r>
      <w:r w:rsidR="00970D1C" w:rsidRPr="00975DA7">
        <w:rPr>
          <w:rFonts w:ascii="Times New Roman" w:hAnsi="Times New Roman" w:cs="Times New Roman"/>
          <w:noProof/>
        </w:rPr>
        <w:t>(2013)</w:t>
      </w:r>
      <w:r w:rsidR="00970D1C" w:rsidRPr="00975DA7">
        <w:rPr>
          <w:rFonts w:ascii="Times New Roman" w:hAnsi="Times New Roman" w:cs="Times New Roman"/>
        </w:rPr>
        <w:fldChar w:fldCharType="end"/>
      </w:r>
      <w:r w:rsidR="00970D1C" w:rsidRPr="00975DA7">
        <w:rPr>
          <w:rFonts w:ascii="Times New Roman" w:hAnsi="Times New Roman" w:cs="Times New Roman"/>
        </w:rPr>
        <w:t>.</w:t>
      </w:r>
      <w:r w:rsidR="003E5B49" w:rsidRPr="00975DA7">
        <w:rPr>
          <w:rFonts w:ascii="Times New Roman" w:hAnsi="Times New Roman" w:cs="Times New Roman"/>
        </w:rPr>
        <w:t xml:space="preserve"> To quantify these differences, we obtained meta-analytic maps from Neurosynth for key terms thought to show strong lateralisation </w:t>
      </w:r>
      <w:r w:rsidRPr="00975DA7">
        <w:rPr>
          <w:rFonts w:ascii="Times New Roman" w:hAnsi="Times New Roman" w:cs="Times New Roman"/>
        </w:rPr>
        <w:t>(</w:t>
      </w:r>
      <w:r w:rsidR="003E5B49" w:rsidRPr="00975DA7">
        <w:rPr>
          <w:rFonts w:ascii="Times New Roman" w:hAnsi="Times New Roman" w:cs="Times New Roman"/>
        </w:rPr>
        <w:t xml:space="preserve">terms with presumed LH lateralisation: </w:t>
      </w:r>
      <w:r w:rsidRPr="00975DA7">
        <w:rPr>
          <w:rFonts w:ascii="Times New Roman" w:hAnsi="Times New Roman" w:cs="Times New Roman"/>
        </w:rPr>
        <w:t xml:space="preserve">semantic, language, words; </w:t>
      </w:r>
      <w:r w:rsidR="003E5B49" w:rsidRPr="00975DA7">
        <w:rPr>
          <w:rFonts w:ascii="Times New Roman" w:hAnsi="Times New Roman" w:cs="Times New Roman"/>
        </w:rPr>
        <w:t xml:space="preserve">terms with presumed RH lateralisation: </w:t>
      </w:r>
      <w:r w:rsidRPr="00975DA7">
        <w:rPr>
          <w:rFonts w:ascii="Times New Roman" w:hAnsi="Times New Roman" w:cs="Times New Roman"/>
        </w:rPr>
        <w:t xml:space="preserve">visual, spatial, attention) and we computed their correlation with our </w:t>
      </w:r>
      <w:r w:rsidR="003E5B49" w:rsidRPr="00975DA7">
        <w:rPr>
          <w:rFonts w:ascii="Times New Roman" w:hAnsi="Times New Roman" w:cs="Times New Roman"/>
        </w:rPr>
        <w:t xml:space="preserve">connectivity </w:t>
      </w:r>
      <w:r w:rsidRPr="00975DA7">
        <w:rPr>
          <w:rFonts w:ascii="Times New Roman" w:hAnsi="Times New Roman" w:cs="Times New Roman"/>
        </w:rPr>
        <w:t xml:space="preserve">difference maps. We found that brain regions showing stronger </w:t>
      </w:r>
      <w:r w:rsidR="008E1E88" w:rsidRPr="00975DA7">
        <w:rPr>
          <w:rFonts w:ascii="Times New Roman" w:hAnsi="Times New Roman" w:cs="Times New Roman"/>
        </w:rPr>
        <w:t>connectivity with LH seeds had</w:t>
      </w:r>
      <w:r w:rsidRPr="00975DA7">
        <w:rPr>
          <w:rFonts w:ascii="Times New Roman" w:hAnsi="Times New Roman" w:cs="Times New Roman"/>
        </w:rPr>
        <w:t xml:space="preserve"> positive correlations with these left-lateralised terms (average for the four seeds: r = .13) and negative correlations with right-lateralised terms (average: r = -.11); the reverse was true for regions with stronger connectivity to RH seeds (average correlation with right lateralised terms: r = .1; with left-lateralised terms: r = -.14). These findings are consistent with the view that different patterns of connectivity from homotopic regions in left and right hemisphere relate to functional distinctions </w:t>
      </w:r>
      <w:r w:rsidRPr="00975DA7">
        <w:rPr>
          <w:rFonts w:ascii="Times New Roman" w:hAnsi="Times New Roman" w:cs="Times New Roman"/>
        </w:rPr>
        <w:lastRenderedPageBreak/>
        <w:t>observed in neuropsychological investigations (where spatial neglect is more associated with right-lateralised lesions, and semantic-language dysfunction with left-lateralised lesions).</w:t>
      </w:r>
    </w:p>
    <w:p w14:paraId="004B4A41" w14:textId="06BC77B9" w:rsidR="00522CAF" w:rsidRPr="00975DA7" w:rsidRDefault="00522CAF" w:rsidP="003E5B49">
      <w:pPr>
        <w:spacing w:line="360" w:lineRule="auto"/>
        <w:rPr>
          <w:rFonts w:ascii="Times New Roman" w:hAnsi="Times New Roman" w:cs="Times New Roman"/>
        </w:rPr>
      </w:pPr>
    </w:p>
    <w:p w14:paraId="07499FBF" w14:textId="016950DF" w:rsidR="00522CAF" w:rsidRPr="00975DA7" w:rsidRDefault="00975DA7" w:rsidP="003E5B49">
      <w:pPr>
        <w:spacing w:line="360" w:lineRule="auto"/>
        <w:rPr>
          <w:rFonts w:ascii="Times New Roman" w:hAnsi="Times New Roman" w:cs="Times New Roman"/>
        </w:rPr>
      </w:pPr>
      <w:r w:rsidRPr="00975DA7">
        <w:rPr>
          <w:rFonts w:ascii="Times New Roman" w:hAnsi="Times New Roman" w:cs="Times New Roman"/>
        </w:rPr>
        <w:lastRenderedPageBreak/>
        <w:pict w14:anchorId="35BCC51C">
          <v:shape id="_x0000_i1026" type="#_x0000_t75" style="width:450.8pt;height:651.15pt">
            <v:imagedata r:id="rId19" o:title="Figure_5_Rev3_Final"/>
          </v:shape>
        </w:pict>
      </w:r>
    </w:p>
    <w:p w14:paraId="68B18B69" w14:textId="0587E200" w:rsidR="00427BB0" w:rsidRPr="00975DA7" w:rsidRDefault="0059177E" w:rsidP="00427BB0">
      <w:pPr>
        <w:keepNext/>
        <w:keepLines/>
        <w:rPr>
          <w:rFonts w:ascii="Times New Roman" w:hAnsi="Times New Roman" w:cs="Times New Roman"/>
        </w:rPr>
      </w:pPr>
      <w:r w:rsidRPr="00975DA7">
        <w:rPr>
          <w:rFonts w:ascii="Times New Roman" w:hAnsi="Times New Roman" w:cs="Times New Roman"/>
        </w:rPr>
        <w:lastRenderedPageBreak/>
        <w:t xml:space="preserve">Figure 5. Intrinsic connectivity group maps showing differences in the </w:t>
      </w:r>
      <w:r w:rsidR="00C53466" w:rsidRPr="00975DA7">
        <w:rPr>
          <w:rFonts w:ascii="Times New Roman" w:hAnsi="Times New Roman" w:cs="Times New Roman"/>
        </w:rPr>
        <w:t>network topo</w:t>
      </w:r>
      <w:r w:rsidR="00506176" w:rsidRPr="00975DA7">
        <w:rPr>
          <w:rFonts w:ascii="Times New Roman" w:hAnsi="Times New Roman" w:cs="Times New Roman"/>
        </w:rPr>
        <w:t>graphy</w:t>
      </w:r>
      <w:r w:rsidR="00C53466" w:rsidRPr="00975DA7">
        <w:rPr>
          <w:rFonts w:ascii="Times New Roman" w:hAnsi="Times New Roman" w:cs="Times New Roman"/>
        </w:rPr>
        <w:t xml:space="preserve"> (</w:t>
      </w:r>
      <w:r w:rsidRPr="00975DA7">
        <w:rPr>
          <w:rFonts w:ascii="Times New Roman" w:hAnsi="Times New Roman" w:cs="Times New Roman"/>
        </w:rPr>
        <w:t>shape/magnitude</w:t>
      </w:r>
      <w:r w:rsidR="00C53466" w:rsidRPr="00975DA7">
        <w:rPr>
          <w:rFonts w:ascii="Times New Roman" w:hAnsi="Times New Roman" w:cs="Times New Roman"/>
        </w:rPr>
        <w:t>)</w:t>
      </w:r>
      <w:r w:rsidRPr="00975DA7">
        <w:rPr>
          <w:rFonts w:ascii="Times New Roman" w:hAnsi="Times New Roman" w:cs="Times New Roman"/>
        </w:rPr>
        <w:t xml:space="preserve"> of connectivity patterns for left and right hemisphere seeds. The connectivity patterns for right hemisphere seeds were ‘flipped’ into left hemisphere space, and the maps therefore characterise differences in the shapes and magnitudes of largely symmetrical patterns of connectivity for the two hemispheres (z = 3.1, p &lt; .05)</w:t>
      </w:r>
      <w:r w:rsidR="00B8381B" w:rsidRPr="00975DA7">
        <w:rPr>
          <w:rFonts w:ascii="Times New Roman" w:hAnsi="Times New Roman" w:cs="Times New Roman"/>
        </w:rPr>
        <w:t>; these pa</w:t>
      </w:r>
      <w:r w:rsidR="001229D6" w:rsidRPr="00975DA7">
        <w:rPr>
          <w:rFonts w:ascii="Times New Roman" w:hAnsi="Times New Roman" w:cs="Times New Roman"/>
        </w:rPr>
        <w:t>tterns are depicted in Figure S3</w:t>
      </w:r>
      <w:r w:rsidRPr="00975DA7">
        <w:rPr>
          <w:rFonts w:ascii="Times New Roman" w:hAnsi="Times New Roman" w:cs="Times New Roman"/>
        </w:rPr>
        <w:t xml:space="preserve">. The results of cognitive decoding using Neurosynth </w:t>
      </w:r>
      <w:r w:rsidRPr="00975DA7">
        <w:rPr>
          <w:rFonts w:ascii="Times New Roman" w:hAnsi="Times New Roman" w:cs="Times New Roman"/>
        </w:rPr>
        <w:fldChar w:fldCharType="begin" w:fldLock="1"/>
      </w:r>
      <w:r w:rsidR="00B67EB9" w:rsidRPr="00975DA7">
        <w:rPr>
          <w:rFonts w:ascii="Times New Roman" w:hAnsi="Times New Roman" w:cs="Times New Roman"/>
        </w:rPr>
        <w:instrText>ADDIN CSL_CITATION {"citationItems":[{"id":"ITEM-1","itemData":{"DOI":"10.1038/nmeth.1635","ISBN":"1548-7105 (Electronic)$\\$r1548-7091 (Linking)","ISSN":"1548-7105","PMID":"21706013","abstract":"The rapid growth of the literature on neuroimaging in humans has led to major advances in our understanding of human brain function but has also made it increasingly difficult to aggregate and synthesize neuroimaging findings. Here we describe and validate an automated brain-mapping framework that uses text-mining, meta-analysis and machine-learning techniques to generate a large database of mappings between neural and cognitive states. We show that our approach can be used to automatically conduct large-scale, high-quality neuroimaging meta-analyses, address long-standing inferential problems in the neuroimaging literature and support accurate 'decoding' of broad cognitive states from brain activity in both entire studies and individual human subjects. Collectively, our results have validated a powerful and generative framework for synthesizing human neuroimaging data on an unprecedented scale.","author":[{"dropping-particle":"","family":"Yarkoni","given":"Tal","non-dropping-particle":"","parse-names":false,"suffix":""},{"dropping-particle":"","family":"Poldrack","given":"Russell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 Methods","id":"ITEM-1","issue":"8","issued":{"date-parts":[["2011"]]},"page":"665-670","title":"Large-scale automated synthesis of human functional neuroimaging data.","type":"article-journal","volume":"8"},"uris":["http://www.mendeley.com/documents/?uuid=c4e23555-ec22-4112-b1a5-49bf9d874bbc"]}],"mendeley":{"formattedCitation":"(Yarkoni et al., 2011)","manualFormatting":"(Yarkoni et al., 2011)","plainTextFormattedCitation":"(Yarkoni et al., 2011)","previouslyFormattedCitation":"(Yarkoni et al., 2011)"},"properties":{"noteIndex":0},"schema":"https://github.com/citation-style-language/schema/raw/master/csl-citation.json"}</w:instrText>
      </w:r>
      <w:r w:rsidRPr="00975DA7">
        <w:rPr>
          <w:rFonts w:ascii="Times New Roman" w:hAnsi="Times New Roman" w:cs="Times New Roman"/>
        </w:rPr>
        <w:fldChar w:fldCharType="separate"/>
      </w:r>
      <w:r w:rsidR="00C814D9" w:rsidRPr="00975DA7">
        <w:rPr>
          <w:rFonts w:ascii="Times New Roman" w:hAnsi="Times New Roman" w:cs="Times New Roman"/>
          <w:noProof/>
        </w:rPr>
        <w:t>(</w:t>
      </w:r>
      <w:r w:rsidR="005747F5" w:rsidRPr="00975DA7">
        <w:rPr>
          <w:rFonts w:ascii="Times New Roman" w:hAnsi="Times New Roman" w:cs="Times New Roman"/>
          <w:noProof/>
        </w:rPr>
        <w:t>Yarkoni et al., 2011)</w:t>
      </w:r>
      <w:r w:rsidRPr="00975DA7">
        <w:rPr>
          <w:rFonts w:ascii="Times New Roman" w:hAnsi="Times New Roman" w:cs="Times New Roman"/>
        </w:rPr>
        <w:fldChar w:fldCharType="end"/>
      </w:r>
      <w:r w:rsidRPr="00975DA7">
        <w:rPr>
          <w:rFonts w:ascii="Times New Roman" w:hAnsi="Times New Roman" w:cs="Times New Roman"/>
        </w:rPr>
        <w:t xml:space="preserve"> are shown in the word clouds</w:t>
      </w:r>
      <w:r w:rsidR="00C814D9" w:rsidRPr="00975DA7">
        <w:rPr>
          <w:rFonts w:ascii="Times New Roman" w:hAnsi="Times New Roman" w:cs="Times New Roman"/>
        </w:rPr>
        <w:t xml:space="preserve"> below the colour bars</w:t>
      </w:r>
      <w:r w:rsidRPr="00975DA7">
        <w:rPr>
          <w:rFonts w:ascii="Times New Roman" w:hAnsi="Times New Roman" w:cs="Times New Roman"/>
        </w:rPr>
        <w:t>.</w:t>
      </w:r>
      <w:r w:rsidR="00AB7C50" w:rsidRPr="00975DA7">
        <w:rPr>
          <w:rFonts w:ascii="Times New Roman" w:hAnsi="Times New Roman" w:cs="Times New Roman"/>
        </w:rPr>
        <w:t xml:space="preserve"> The charts for each seed show a comparison</w:t>
      </w:r>
      <w:r w:rsidR="00427BB0" w:rsidRPr="00975DA7">
        <w:rPr>
          <w:rFonts w:ascii="Times New Roman" w:hAnsi="Times New Roman" w:cs="Times New Roman"/>
        </w:rPr>
        <w:t xml:space="preserve"> of these spatial maps</w:t>
      </w:r>
      <w:r w:rsidR="00AB7C50" w:rsidRPr="00975DA7">
        <w:rPr>
          <w:rFonts w:ascii="Times New Roman" w:hAnsi="Times New Roman" w:cs="Times New Roman"/>
        </w:rPr>
        <w:t xml:space="preserve"> with the Yeo et al. (2011) 17 networks</w:t>
      </w:r>
      <w:r w:rsidR="00427BB0" w:rsidRPr="00975DA7">
        <w:rPr>
          <w:rFonts w:ascii="Times New Roman" w:hAnsi="Times New Roman" w:cs="Times New Roman"/>
        </w:rPr>
        <w:t xml:space="preserve"> (depicted in the bottom row, colour-coded to match the bar plots)</w:t>
      </w:r>
      <w:r w:rsidR="00AB7C50" w:rsidRPr="00975DA7">
        <w:rPr>
          <w:rFonts w:ascii="Times New Roman" w:hAnsi="Times New Roman" w:cs="Times New Roman"/>
        </w:rPr>
        <w:t xml:space="preserve">. </w:t>
      </w:r>
      <w:r w:rsidR="00427BB0" w:rsidRPr="00975DA7">
        <w:rPr>
          <w:rFonts w:ascii="Times New Roman" w:hAnsi="Times New Roman" w:cs="Times New Roman"/>
        </w:rPr>
        <w:t xml:space="preserve">Each chart plots </w:t>
      </w:r>
      <w:r w:rsidR="00AB7C50" w:rsidRPr="00975DA7">
        <w:rPr>
          <w:rFonts w:ascii="Times New Roman" w:hAnsi="Times New Roman" w:cs="Times New Roman"/>
        </w:rPr>
        <w:t xml:space="preserve">the difference </w:t>
      </w:r>
      <w:r w:rsidR="00427BB0" w:rsidRPr="00975DA7">
        <w:rPr>
          <w:rFonts w:ascii="Times New Roman" w:hAnsi="Times New Roman" w:cs="Times New Roman"/>
        </w:rPr>
        <w:t>in overlap for each network from Yeo et al., comparing</w:t>
      </w:r>
      <w:r w:rsidR="00AB7C50" w:rsidRPr="00975DA7">
        <w:rPr>
          <w:rFonts w:ascii="Times New Roman" w:hAnsi="Times New Roman" w:cs="Times New Roman"/>
        </w:rPr>
        <w:t xml:space="preserve"> the LH &gt; RH and RH &gt; LH connectivity maps</w:t>
      </w:r>
      <w:r w:rsidR="00427BB0" w:rsidRPr="00975DA7">
        <w:rPr>
          <w:rFonts w:ascii="Times New Roman" w:hAnsi="Times New Roman" w:cs="Times New Roman"/>
        </w:rPr>
        <w:t>. A left-facing bar corresponds to more extensive overlap with the left-lateralised connectivity</w:t>
      </w:r>
      <w:r w:rsidR="00AB7C50" w:rsidRPr="00975DA7">
        <w:rPr>
          <w:rFonts w:ascii="Times New Roman" w:hAnsi="Times New Roman" w:cs="Times New Roman"/>
        </w:rPr>
        <w:t xml:space="preserve"> </w:t>
      </w:r>
      <w:r w:rsidR="00427BB0" w:rsidRPr="00975DA7">
        <w:rPr>
          <w:rFonts w:ascii="Times New Roman" w:hAnsi="Times New Roman" w:cs="Times New Roman"/>
        </w:rPr>
        <w:t xml:space="preserve">map, while a right-facing bar corresponds to more extensive overlap with the right-lateralised connectivity map. The network names and colour codes are taken from </w:t>
      </w:r>
      <w:r w:rsidR="00427BB0" w:rsidRPr="00975DA7">
        <w:rPr>
          <w:rFonts w:ascii="Times New Roman" w:hAnsi="Times New Roman" w:cs="Times New Roman"/>
        </w:rPr>
        <w:fldChar w:fldCharType="begin" w:fldLock="1"/>
      </w:r>
      <w:r w:rsidR="00427BB0" w:rsidRPr="00975DA7">
        <w:rPr>
          <w:rFonts w:ascii="Times New Roman" w:hAnsi="Times New Roman" w:cs="Times New Roman"/>
        </w:rPr>
        <w:instrText>ADDIN CSL_CITATION {"citationItems":[{"id":"ITEM-1","itemData":{"DOI":"10.3389/fnhum.2015.00134","abstract":"Schizophrenia is a devastating illness characterized by disturbances in multiple domains. The cerebellum is involved in both motor and non-motor functions, and the ``cognitive dysmetria'' and ``dysmetria of thought'' models propose that abnormalities of the cerebellum may contribute to schizophrenia signs and symptoms. The cerebellum and cerebral cortex are reciprocally connected via a modular, closed-loop network architecture, but few schizophrenia neuroimaging studies have taken into account the topographical and functional heterogeneity of the cerebellum. In this study, using a previously defined 17-network cerebral cortical parcellation system as the basis for our functional connectivity seeds, we systematically investigated connectivity abnormalities within the cerebellum of 44 schizophrenia patients and 28 healthy control participants. We found selective alterations in cerebro-cerebellar functional connectivity. Specifically, schizophrenia patients showed decreased cerebro-cerebellar functional connectivity in higher level association networks (ventral attention, salience, control, and default mode networks) relative to healthy control participants. Schizophrenia patients also showed increased cerebro-cerebellar connectivity in somatomotor and default mode networks, with the latter showing no overlap with the regions found to be hypoconnected within the same default mode network. Finally, we found evidence to suggest that somatomotor and default mode networks may be inappropriately linked in schizophrenia. The relationship of these dysconnectivities to schizophrenia symptoms, such as neurological soft signs and altered sense of agency, is discussed. We conclude that the cerebellum ought to be considered for analysis in all future studies of network abnormalities in SZ, and further suggest the cerebellum as a potential target for further elucidation, and possibly treatment, of the underlying mechanisms and network abnormalities producing symptoms of schizophrenia.","author":[{"dropping-particle":"","family":"Shinn","given":"Ann K.","non-dropping-particle":"","parse-names":false,"suffix":""},{"dropping-particle":"","family":"Baker","given":"Justin T.","non-dropping-particle":"","parse-names":false,"suffix":""},{"dropping-particle":"","family":"Lewandowski","given":"Kathryn E.","non-dropping-particle":"","parse-names":false,"suffix":""},{"dropping-particle":"","family":"Öngür","given":"Dost","non-dropping-particle":"","parse-names":false,"suffix":""},{"dropping-particle":"","family":"Cohen","given":"Bruce M.","non-dropping-particle":"","parse-names":false,"suffix":""}],"container-title":"Frontiers in Human Neuroscience","id":"ITEM-1","issue":"March","issued":{"date-parts":[["2015"]]},"page":"1-16","title":"Aberrant cerebellar connectivity in motor and association networks in schizophrenia","type":"article-journal","volume":"9"},"uris":["http://www.mendeley.com/documents/?uuid=aa72842b-0dd3-43c0-8856-7802577f13f1","http://www.mendeley.com/documents/?uuid=94799033-c99a-4c0f-ba8b-7b6e07ac8e8c"]}],"mendeley":{"formattedCitation":"(Shinn et al., 2015)","manualFormatting":"Shinn et al., 2015","plainTextFormattedCitation":"(Shinn et al., 2015)","previouslyFormattedCitation":"(Shinn et al., 2015)"},"properties":{"noteIndex":0},"schema":"https://github.com/citation-style-language/schema/raw/master/csl-citation.json"}</w:instrText>
      </w:r>
      <w:r w:rsidR="00427BB0" w:rsidRPr="00975DA7">
        <w:rPr>
          <w:rFonts w:ascii="Times New Roman" w:hAnsi="Times New Roman" w:cs="Times New Roman"/>
        </w:rPr>
        <w:fldChar w:fldCharType="separate"/>
      </w:r>
      <w:r w:rsidR="00427BB0" w:rsidRPr="00975DA7">
        <w:rPr>
          <w:rFonts w:ascii="Times New Roman" w:hAnsi="Times New Roman" w:cs="Times New Roman"/>
          <w:noProof/>
        </w:rPr>
        <w:t>Shinn et al., 2015</w:t>
      </w:r>
      <w:r w:rsidR="00427BB0" w:rsidRPr="00975DA7">
        <w:rPr>
          <w:rFonts w:ascii="Times New Roman" w:hAnsi="Times New Roman" w:cs="Times New Roman"/>
        </w:rPr>
        <w:fldChar w:fldCharType="end"/>
      </w:r>
      <w:r w:rsidR="00427BB0" w:rsidRPr="00975DA7">
        <w:rPr>
          <w:rFonts w:ascii="Times New Roman" w:hAnsi="Times New Roman" w:cs="Times New Roman"/>
        </w:rPr>
        <w:t>.</w:t>
      </w:r>
    </w:p>
    <w:p w14:paraId="159A54E0" w14:textId="77777777" w:rsidR="00427BB0" w:rsidRPr="00975DA7" w:rsidRDefault="00427BB0" w:rsidP="0059177E">
      <w:pPr>
        <w:rPr>
          <w:rFonts w:ascii="Times New Roman" w:hAnsi="Times New Roman" w:cs="Times New Roman"/>
        </w:rPr>
      </w:pPr>
    </w:p>
    <w:p w14:paraId="3F624A66" w14:textId="5CC5D991" w:rsidR="0059177E" w:rsidRPr="00975DA7" w:rsidRDefault="00F007A2" w:rsidP="002832CC">
      <w:pPr>
        <w:keepNext/>
        <w:spacing w:line="360" w:lineRule="auto"/>
        <w:rPr>
          <w:rFonts w:ascii="Times New Roman" w:hAnsi="Times New Roman" w:cs="Times New Roman"/>
          <w:i/>
        </w:rPr>
      </w:pPr>
      <w:r w:rsidRPr="00975DA7">
        <w:rPr>
          <w:rFonts w:ascii="Times New Roman" w:hAnsi="Times New Roman" w:cs="Times New Roman"/>
          <w:i/>
        </w:rPr>
        <w:t>3.</w:t>
      </w:r>
      <w:r w:rsidR="009279C0" w:rsidRPr="00975DA7">
        <w:rPr>
          <w:rFonts w:ascii="Times New Roman" w:hAnsi="Times New Roman" w:cs="Times New Roman"/>
          <w:i/>
        </w:rPr>
        <w:t>4</w:t>
      </w:r>
      <w:r w:rsidR="0059177E" w:rsidRPr="00975DA7">
        <w:rPr>
          <w:rFonts w:ascii="Times New Roman" w:hAnsi="Times New Roman" w:cs="Times New Roman"/>
          <w:i/>
        </w:rPr>
        <w:t xml:space="preserve">. Intrinsic connectivity of semantic </w:t>
      </w:r>
      <w:r w:rsidR="004F0D85" w:rsidRPr="00975DA7">
        <w:rPr>
          <w:rFonts w:ascii="Times New Roman" w:hAnsi="Times New Roman" w:cs="Times New Roman"/>
          <w:i/>
        </w:rPr>
        <w:t>seeds</w:t>
      </w:r>
      <w:r w:rsidR="0059177E" w:rsidRPr="00975DA7">
        <w:rPr>
          <w:rFonts w:ascii="Times New Roman" w:hAnsi="Times New Roman" w:cs="Times New Roman"/>
          <w:i/>
        </w:rPr>
        <w:t xml:space="preserve"> regions predicts behavioural efficiency </w:t>
      </w:r>
    </w:p>
    <w:p w14:paraId="315CC759" w14:textId="77777777" w:rsidR="004B2A1D" w:rsidRPr="00975DA7" w:rsidRDefault="00AA76EA" w:rsidP="004B2A1D">
      <w:pPr>
        <w:pStyle w:val="NormalWeb"/>
        <w:spacing w:before="0" w:beforeAutospacing="0" w:afterLines="160" w:after="384" w:afterAutospacing="0" w:line="360" w:lineRule="auto"/>
        <w:rPr>
          <w:sz w:val="22"/>
          <w:szCs w:val="22"/>
        </w:rPr>
      </w:pPr>
      <w:r w:rsidRPr="00975DA7">
        <w:rPr>
          <w:sz w:val="22"/>
          <w:szCs w:val="22"/>
        </w:rPr>
        <w:t xml:space="preserve">We analysed the </w:t>
      </w:r>
      <w:r w:rsidR="004553AE" w:rsidRPr="00975DA7">
        <w:rPr>
          <w:sz w:val="22"/>
          <w:szCs w:val="22"/>
        </w:rPr>
        <w:t xml:space="preserve">behavioural </w:t>
      </w:r>
      <w:r w:rsidRPr="00975DA7">
        <w:rPr>
          <w:sz w:val="22"/>
          <w:szCs w:val="22"/>
        </w:rPr>
        <w:t>results of our task</w:t>
      </w:r>
      <w:r w:rsidR="004553AE" w:rsidRPr="00975DA7">
        <w:rPr>
          <w:sz w:val="22"/>
          <w:szCs w:val="22"/>
        </w:rPr>
        <w:t>s</w:t>
      </w:r>
      <w:r w:rsidRPr="00975DA7">
        <w:rPr>
          <w:sz w:val="22"/>
          <w:szCs w:val="22"/>
        </w:rPr>
        <w:t xml:space="preserve"> u</w:t>
      </w:r>
      <w:r w:rsidR="00704C50" w:rsidRPr="00975DA7">
        <w:rPr>
          <w:sz w:val="22"/>
          <w:szCs w:val="22"/>
        </w:rPr>
        <w:t xml:space="preserve">sing </w:t>
      </w:r>
      <w:r w:rsidRPr="00975DA7">
        <w:rPr>
          <w:sz w:val="22"/>
          <w:szCs w:val="22"/>
        </w:rPr>
        <w:t>repeated-measures ANOVA</w:t>
      </w:r>
      <w:r w:rsidR="00704C50" w:rsidRPr="00975DA7">
        <w:rPr>
          <w:sz w:val="22"/>
          <w:szCs w:val="22"/>
        </w:rPr>
        <w:t>s</w:t>
      </w:r>
      <w:r w:rsidRPr="00975DA7">
        <w:rPr>
          <w:sz w:val="22"/>
          <w:szCs w:val="22"/>
        </w:rPr>
        <w:t xml:space="preserve"> </w:t>
      </w:r>
      <w:r w:rsidR="00704C50" w:rsidRPr="00975DA7">
        <w:rPr>
          <w:sz w:val="22"/>
          <w:szCs w:val="22"/>
        </w:rPr>
        <w:t xml:space="preserve">with </w:t>
      </w:r>
      <w:r w:rsidRPr="00975DA7">
        <w:rPr>
          <w:sz w:val="22"/>
          <w:szCs w:val="22"/>
        </w:rPr>
        <w:t xml:space="preserve">Greenhouse-Geisser correction to test for significant differences between conditions. </w:t>
      </w:r>
      <w:r w:rsidR="00704C50" w:rsidRPr="00975DA7">
        <w:rPr>
          <w:sz w:val="22"/>
          <w:szCs w:val="22"/>
        </w:rPr>
        <w:t xml:space="preserve">There was an effect of condition for both accuracy (F(2.92, 574.24) = 303.33, p = .000) and RT (F(2.74, 540.08) = 420.85, p = .000). </w:t>
      </w:r>
      <w:r w:rsidR="00704C50" w:rsidRPr="00975DA7">
        <w:rPr>
          <w:bCs/>
          <w:color w:val="000000"/>
          <w:sz w:val="22"/>
          <w:szCs w:val="22"/>
          <w:shd w:val="clear" w:color="auto" w:fill="FFFFFF"/>
        </w:rPr>
        <w:t xml:space="preserve">Speed and accuracy may be traded off in different ways across tasks and individuals. </w:t>
      </w:r>
      <w:r w:rsidR="00064D4D" w:rsidRPr="00975DA7">
        <w:rPr>
          <w:bCs/>
          <w:color w:val="000000"/>
          <w:sz w:val="22"/>
          <w:szCs w:val="22"/>
          <w:shd w:val="clear" w:color="auto" w:fill="FFFFFF"/>
        </w:rPr>
        <w:t xml:space="preserve">We overcame this issue by </w:t>
      </w:r>
      <w:r w:rsidR="00704C50" w:rsidRPr="00975DA7">
        <w:rPr>
          <w:bCs/>
          <w:color w:val="000000"/>
          <w:sz w:val="22"/>
          <w:szCs w:val="22"/>
          <w:shd w:val="clear" w:color="auto" w:fill="FFFFFF"/>
        </w:rPr>
        <w:t xml:space="preserve">using </w:t>
      </w:r>
      <w:r w:rsidR="00064D4D" w:rsidRPr="00975DA7">
        <w:rPr>
          <w:bCs/>
          <w:color w:val="000000"/>
          <w:sz w:val="22"/>
          <w:szCs w:val="22"/>
          <w:shd w:val="clear" w:color="auto" w:fill="FFFFFF"/>
        </w:rPr>
        <w:t xml:space="preserve">inverse </w:t>
      </w:r>
      <w:r w:rsidR="00704C50" w:rsidRPr="00975DA7">
        <w:rPr>
          <w:bCs/>
          <w:color w:val="000000"/>
          <w:sz w:val="22"/>
          <w:szCs w:val="22"/>
          <w:shd w:val="clear" w:color="auto" w:fill="FFFFFF"/>
        </w:rPr>
        <w:t>response efficiency to ca</w:t>
      </w:r>
      <w:r w:rsidR="00064D4D" w:rsidRPr="00975DA7">
        <w:rPr>
          <w:bCs/>
          <w:color w:val="000000"/>
          <w:sz w:val="22"/>
          <w:szCs w:val="22"/>
          <w:shd w:val="clear" w:color="auto" w:fill="FFFFFF"/>
        </w:rPr>
        <w:t>pture global performance (RT divided by accuracy, multiplied by -1</w:t>
      </w:r>
      <w:r w:rsidR="00427BB0" w:rsidRPr="00975DA7">
        <w:rPr>
          <w:bCs/>
          <w:color w:val="000000"/>
          <w:sz w:val="22"/>
          <w:szCs w:val="22"/>
          <w:shd w:val="clear" w:color="auto" w:fill="FFFFFF"/>
        </w:rPr>
        <w:t>;</w:t>
      </w:r>
      <w:r w:rsidR="00064D4D" w:rsidRPr="00975DA7">
        <w:rPr>
          <w:bCs/>
          <w:color w:val="000000"/>
          <w:sz w:val="22"/>
          <w:szCs w:val="22"/>
          <w:shd w:val="clear" w:color="auto" w:fill="FFFFFF"/>
        </w:rPr>
        <w:t xml:space="preserve"> high scores reflect good performance)</w:t>
      </w:r>
      <w:r w:rsidR="00704C50" w:rsidRPr="00975DA7">
        <w:rPr>
          <w:bCs/>
          <w:color w:val="000000"/>
          <w:sz w:val="22"/>
          <w:szCs w:val="22"/>
          <w:shd w:val="clear" w:color="auto" w:fill="FFFFFF"/>
        </w:rPr>
        <w:t>. We have successfully used this approach in other recent studies</w:t>
      </w:r>
      <w:r w:rsidR="00821264" w:rsidRPr="00975DA7">
        <w:rPr>
          <w:bCs/>
          <w:color w:val="000000"/>
          <w:sz w:val="22"/>
          <w:szCs w:val="22"/>
          <w:shd w:val="clear" w:color="auto" w:fill="FFFFFF"/>
        </w:rPr>
        <w:t xml:space="preserve"> </w:t>
      </w:r>
      <w:r w:rsidR="00821264" w:rsidRPr="00975DA7">
        <w:rPr>
          <w:bCs/>
          <w:color w:val="000000"/>
          <w:sz w:val="22"/>
          <w:szCs w:val="22"/>
          <w:shd w:val="clear" w:color="auto" w:fill="FFFFFF"/>
        </w:rPr>
        <w:fldChar w:fldCharType="begin" w:fldLock="1"/>
      </w:r>
      <w:r w:rsidR="00301590" w:rsidRPr="00975DA7">
        <w:rPr>
          <w:bCs/>
          <w:color w:val="000000"/>
          <w:sz w:val="22"/>
          <w:szCs w:val="22"/>
          <w:shd w:val="clear" w:color="auto" w:fill="FFFFFF"/>
        </w:rPr>
        <w:instrText>ADDIN CSL_CITATION {"citationItems":[{"id":"ITEM-1","itemData":{"DOI":"10.1016/j.neuroimage.2018.06.074","ISSN":"10538119","abstract":"We frequently guide our decisions about when and how to act based on the meanings of perceptual inputs: we might avoid treading on a flower, but not on a leaf. However, most research on response inhibition has used simple perceptual stimuli devoid of meaning. In two Go/No-Go experiments, we examined whether the neural mechanisms supporting response inhibition are influenced by the relevance of meaning to the decision, and by presentation modality (whether concepts were presented as words or images). In an on-line fMRI experiment, we found common regions for response inhibition across perceptual and conceptual decisions. These included the bilateral intraparietal sulcus and the right inferior frontal sulcus, whose neural responses have been linked to diverse cognitive demands in previous studies. In addition, we identified a cluster in ventral lateral occipital cortex that was sensitive to the modality of input, with a stronger response to No-Go than Go trials for meaningful images, compared to words with the same semantic content. In a second experiment, using resting-state fMRI, we explored how individual variation in the intrinsic connectivity of these activated regions related to variation in behavioural performance. Participants who showed stronger connectivity between common inhibition regions and limbic areas in medial temporal and subgenual anterior cingulate cortex were better at inhibition when this was driven by the meaning of the items. In addition, regions with a specific role in picture inhibition were more connected to a cluster in the thalamus/caudate for participants who were better at performing the picture task outside of the scanner. Together these studies indicate that the capacity to appropriately withhold action depends on interactions between common control regions, which are important across multiple types of input and decision, and other brain regions linked to specific inputs (i.e., visual features) or representations (e.g., memory).","author":[{"dropping-particle":"","family":"Gonzalez Alam","given":"Tirso","non-dropping-particle":"","parse-names":false,"suffix":""},{"dropping-particle":"","family":"Murphy","given":"Charlotte","non-dropping-particle":"","parse-names":false,"suffix":""},{"dropping-particle":"","family":"Smallwood","given":"Jonathan","non-dropping-particle":"","parse-names":false,"suffix":""},{"dropping-particle":"","family":"Jefferies","given":"Elizabeth","non-dropping-particle":"","parse-names":false,"suffix":""}],"container-title":"NeuroImage","id":"ITEM-1","issue":"February","issued":{"date-parts":[["2018"]]},"page":"108-119","publisher":"Elsevier Ltd","title":"Meaningful inhibition: Exploring the role of meaning and modality in response inhibition","type":"article-journal","volume":"181"},"uris":["http://www.mendeley.com/documents/?uuid=d7efd538-c927-49ec-a698-f44e04281dec"]},{"id":"ITEM-2","itemData":{"DOI":"10.1016/j.neuroimage.2018.07.044","ISSN":"10959572","abstract":"Semantic control allows us to shape our conceptual retrieval to suit the circumstances in a flexible way. Tasks requiring semantic control activate a large-scale network including left inferior prefrontal gyrus (IFG) and posterior middle temporal gyrus (pMTG) – this network responds when retrieval is focussed on weak as opposed to dominant associations. However, little is known about the biological basis of individual differences in this cognitive capacity: regions that are commonly activated in task-based fMRI may not relate to variation in controlled retrieval. The current study combined analyses of MRI-based cortical thickness with resting-state fMRI connectivity to identify structural markers of individual differences in semantic control. We found that participants who performed relatively well on tests of controlled semantic retrieval showed increased structural covariance between left pMTG and left anterior middle frontal gyrus (aMFG). This pattern of structural covariance was specific to semantic control and did not predict performance when harder non-semantic judgements were contrasted with easier semantic judgements. The intrinsic functional connectivity of these two regions forming a structural covariance network overlapped with previously-described semantic control regions, including bilateral IFG and intraparietal sulcus, and left posterior temporal cortex. These results add to our knowledge of the neural basis of semantic control in three ways: (i) Semantic control performance was predicted by the structural covariance network of left pMTG, a site that is less consistently activated than left IFG across studies. (ii) Our results provide further evidence that semantic control is at least partially separable from domain-general executive control. (iii) More flexible patterns of memory retrieval occurred when pMTG co-varied with distant regions in aMFG, as opposed to nearby visual, temporal or parietal lobe regions, providing further evidence that left prefrontal and posterior temporal areas form a distributed network for semantic control.","author":[{"dropping-particle":"","family":"Wang","given":"Xiuyi","non-dropping-particle":"","parse-names":false,"suffix":""},{"dropping-particle":"","family":"Bernhardt","given":"Boris C.","non-dropping-particle":"","parse-names":false,"suffix":""},{"dropping-particle":"","family":"Karapanagiotidis","given":"Theodoros","non-dropping-particle":"","parse-names":false,"suffix":""},{"dropping-particle":"","family":"Caso","given":"Irene","non-dropping-particle":"De","parse-names":false,"suffix":""},{"dropping-particle":"","family":"Gonzalez Alam","given":"Tirso Rene del Jesus","non-dropping-particle":"","parse-names":false,"suffix":""},{"dropping-particle":"","family":"Cotter","given":"Zacharria","non-dropping-particle":"","parse-names":false,"suffix":""},{"dropping-particle":"","family":"Smallwood","given":"Jonathan","non-dropping-particle":"","parse-names":false,"suffix":""},{"dropping-particle":"","family":"Jefferies","given":"Elizabeth","non-dropping-particle":"","parse-names":false,"suffix":""}],"container-title":"NeuroImage","id":"ITEM-2","issue":"July","issued":{"date-parts":[["2018"]]},"page":"480-489","publisher":"Elsevier Ltd","title":"The structural basis of semantic control: Evidence from individual differences in cortical thickness","type":"article-journal","volume":"181"},"uris":["http://www.mendeley.com/documents/?uuid=9c49a421-ea63-456d-a3c8-217eb239f7e3"]},{"id":"ITEM-3","itemData":{"DOI":"10.1016/j.neuroimage.2018.01.017","ISSN":"10538119","abstract":"The default mode network supports a variety of mental operations such as semantic processing, episodic memory retrieval, mental time travel and mind-wandering, yet the commonalities between these functions remains unclear. One possibility is that this system supports cognition that is independent of the immediate environment; alternatively or additionally, it might support higher-order conceptual representations that draw together multiple features. We tested these accounts using a novel paradigm that separately manipulated the availability of perceptual information to guide decision-making and the representational complexity of this information. Using task based imaging we established regions that respond when cognition combines both stimulus independence with multi-modal information. These included left and right angular gyri and the left middle temporal gyrus. Although these sites were within the default mode network, they showed a stronger response to demanding memory judgements than to an easier perceptual task, contrary to the view that they support automatic aspects of cognition. In a subsequent analysis, we showed that these regions were located at the extreme end of a macroscale gradient, which describes gradual transitions from sensorimotor to transmodal cortex. This shift in the focus of neural activity towards transmodal, default mode, regions might reflect a process of where the functional distance from specific sensory enables conceptually rich and detailed cognitive states to be generated in the absence of input.","author":[{"dropping-particle":"","family":"Murphy","given":"Charlotte","non-dropping-particle":"","parse-names":false,"suffix":""},{"dropping-particle":"","family":"Jefferies","given":"Elizabeth","non-dropping-particle":"","parse-names":false,"suffix":""},{"dropping-particle":"","family":"Rueschemeyer","given":"Shirley-Ann","non-dropping-particle":"","parse-names":false,"suffix":""},{"dropping-particle":"","family":"Sormaz","given":"Mladen","non-dropping-particle":"","parse-names":false,"suffix":""},{"dropping-particle":"","family":"Wang","given":"Hao-ting","non-dropping-particle":"","parse-names":false,"suffix":""},{"dropping-particle":"","family":"Margulies","given":"Daniel S.","non-dropping-particle":"","parse-names":false,"suffix":""},{"dropping-particle":"","family":"Smallwood","given":"Jonathan","non-dropping-particle":"","parse-names":false,"suffix":""}],"container-title":"NeuroImage","id":"ITEM-3","issue":"June 2017","issued":{"date-parts":[["2018"]]},"page":"393-401","publisher":"Elsevier Ltd","title":"Distant from input: Evidence of regions within the default mode network supporting perceptually-decoupled and conceptually-guided cognition","type":"article-journal","volume":"171"},"uris":["http://www.mendeley.com/documents/?uuid=89f957e4-ec8b-4b88-b123-5a86cc81d6a8"]},{"id":"ITEM-4","itemData":{"DOI":"10.1016/j.neuroimage.2017.06.067","ISSN":"1053-8119","abstract":"Contemporary theories assume that semantic cognition emerges from a neural architecture in which differentcomponent processes are combined to produce aspects of conceptual thought and behaviour. In addition to thestate-level, momentary variation in brain connectivity, individuals may also differ in their propensity to generateparticular conﬁgurations of such components, and these trait-level differences may relate to individual differencesin semantic cognition. We tested this view by exploring how variation in intrinsic brain functional connectivitybetween semantic nodes in fMRI was related to performance on a battery of semantic tasks in 154 healthy par-ticipants. Through simultaneous decomposition of brain functional connectivity and semantic task performance,we identiﬁed distinct components of semantic cognition at rest. In a subsequent validation step, these data-drivencomponents demonstrated explanatory power for neural responses in an fMRI-based semantic localiser task andvariation in self-generated thoughts during the resting-state scan. Our ﬁndings showed that good performance onharder semantic tasks was associated with relative segregation at rest between frontal brain regions implicated incontrolled semantic retrieval and the default mode network. Poor performance on easier tasks was linked togreater coupling between the same frontal regions and the anterior temporal lobe; a pattern associated withdeliberate, verbal thematic thoughts at rest. We also identiﬁed components that related to qualities of semanticcognition: relatively good performance on pictorial semantic tasks was associated with greater separation ofangular gyrus from frontal control sites and greater integration with posterior cingulate and anterior temporalcortex. In contrast, good speech production was linked to the separation of angular gyrus, posterior cingulate andtemporal lobe regions. Together these data show that quantitative and qualitative variation in semantic cognitionacross individuals emerges from variations in the interaction of nodes within distinct functional brain networks.","author":[{"dropping-particle":"","family":"Vatansever","given":"Deniz","non-dropping-particle":"","parse-names":false,"suffix":""},{"dropping-particle":"","family":"Bzdok","given":"Danilo","non-dropping-particle":"","parse-names":false,"suffix":""},{"dropping-particle":"","family":"Wang","given":"Hao-ting","non-dropping-particle":"","parse-names":false,"suffix":""},{"dropping-particle":"","family":"Mollo","given":"Giovanna","non-dropping-particle":"","parse-names":false,"suffix":""},{"dropping-particle":"","family":"Sormaz","given":"Mladen","non-dropping-particle":"","parse-names":false,"suffix":""},{"dropping-particle":"","family":"Murphy","given":"Charlotte","non-dropping-particle":"","parse-names":false,"suffix":""},{"dropping-particle":"","family":"Karapanagiotidis","given":"Theodoros","non-dropping-particle":"","parse-names":false,"suffix":""},{"dropping-particle":"","family":"Smallwood","given":"Jonathan","non-dropping-particle":"","parse-names":false,"suffix":""},{"dropping-particle":"","family":"Jefferies","given":"Elizabeth","non-dropping-particle":"","parse-names":false,"suffix":""}],"container-title":"NeuroImage","id":"ITEM-4","issue":"January","issued":{"date-parts":[["2017"]]},"page":"1-11","publisher":"Elsevier Ltd","title":"Varieties of semantic cognition revealed through simultaneous decomposition of intrinsic brain connectivity and behaviour","type":"article-journal","volume":"158"},"uris":["http://www.mendeley.com/documents/?uuid=f26ff958-6c9b-4996-9e34-a79a761df9b2"]},{"id":"ITEM-5","itemData":{"DOI":"10.1177/0956797617728727","ISBN":"0956-7976","ISSN":"14679280","PMID":"29131720","abstract":"The tendency for the mind to wander to concerns other than the task at hand is a fundamental feature of human cognition, yet the consequences of variations in its experiential content for psychological functioning are not well understood. Here, we adopted multivariate pattern analysis to simultaneously decompose experience-sampling data and neural functional-connectivity data, which revealed dimensions that simultaneously describe individual variation in self-reported experience and default-mode-network connectivity. We identified dimensions corresponding to traits of positive-habitual thoughts and spontaneous task-unrelated thoughts. These dimensions were uniquely related to aspects of cognition, such as executive control and the ability to generate information in a creative fashion, and independently distinguished well-being measures. These data provide the most convincing evidence to date for an ontological view of the mind-wandering state as encompassing a broad range of different experiences and show...","author":[{"dropping-particle":"","family":"Wang","given":"Hao Ting","non-dropping-particle":"","parse-names":false,"suffix":""},{"dropping-particle":"","family":"Poerio","given":"Giulia","non-dropping-particle":"","parse-names":false,"suffix":""},{"dropping-particle":"","family":"Murphy","given":"Charlotte","non-dropping-particle":"","parse-names":false,"suffix":""},{"dropping-particle":"","family":"Bzdok","given":"Danilo","non-dropping-particle":"","parse-names":false,"suffix":""},{"dropping-particle":"","family":"Jefferies","given":"Elizabeth","non-dropping-particle":"","parse-names":false,"suffix":""},{"dropping-particle":"","family":"Smallwood","given":"Jonathan","non-dropping-particle":"","parse-names":false,"suffix":""}],"container-title":"Psychological Science","id":"ITEM-5","issue":"1","issued":{"date-parts":[["2018"]]},"page":"56-71","title":"Dimensions of Experience: Exploring the Heterogeneity of the Wandering Mind","type":"article-journal","volume":"29"},"uris":["http://www.mendeley.com/documents/?uuid=8110d180-9ae6-477b-81d5-909a8ee4761b"]},{"id":"ITEM-6","itemData":{"DOI":"10.1016/j.neuropsychologia.2019.05.030","ISSN":"18733514","abstract":"Visuo-spatial context and emotional valence are powerful cues to episodic retrieval, but the contribution of these inputs to semantic cognition has not been widely investigated. We examined the impact of visuo-spatial, facial emotion and prosody cues and miscues on the retrieval of dominant and subordinate meanings of ambiguous words. Cue photographs provided relevant visuo-spatial or emotional information, consistent with the interpretation of the ambiguous word being probed, while miscues were consistent with an alternative interpretation. We compared the impact of these cues in healthy controls and semantic aphasia patients with deficient control over semantic retrieval following left-hemisphere stroke. Patients showed greater deficits in retrieving the subordinate meanings of ambiguous words, and stronger effects of cueing and miscuing relative to healthy controls. These findings suggest that contextual cues that guide retrieval to the appropriate semantic information reduce the need to constrain semantic retrieval internally, while miscues that are not aligned with the task increase the need for semantic control. Moreover, both valence and visuo-spatial context can prime particular semantic interpretations, in line with theoretical frameworks that argue meaning is computed through the integration of these features. In semantic aphasia, residual comprehension relies heavily on facial expressions and visuospatial cues. This has important implications for patients, their families and clinicians when developing new or more effective modes of communication.","author":[{"dropping-particle":"","family":"Lanzoni","given":"Lucilla","non-dropping-particle":"","parse-names":false,"suffix":""},{"dropping-particle":"","family":"Thompson","given":"Hannah","non-dropping-particle":"","parse-names":false,"suffix":""},{"dropping-particle":"","family":"Beintari","given":"Danai","non-dropping-particle":"","parse-names":false,"suffix":""},{"dropping-particle":"","family":"Berwick","given":"Katrina","non-dropping-particle":"","parse-names":false,"suffix":""},{"dropping-particle":"","family":"Demnitz-King","given":"Harriet","non-dropping-particle":"","parse-names":false,"suffix":""},{"dropping-particle":"","family":"Raspin","given":"Hannah","non-dropping-particle":"","parse-names":false,"suffix":""},{"dropping-particle":"","family":"Taha","given":"Maria","non-dropping-particle":"","parse-names":false,"suffix":""},{"dropping-particle":"","family":"Stampacchia","given":"Sara","non-dropping-particle":"","parse-names":false,"suffix":""},{"dropping-particle":"","family":"Smallwood","given":"Jonathan","non-dropping-particle":"","parse-names":false,"suffix":""},{"dropping-particle":"","family":"Jefferies","given":"Elizabeth","non-dropping-particle":"","parse-names":false,"suffix":""}],"container-title":"Neuropsychologia","id":"ITEM-6","issue":"January","issued":{"date-parts":[["2019"]]},"page":"294-305","publisher":"Elsevier Ltd","title":"Emotion and location cues bias conceptual retrieval in people with deficient semantic control","type":"article-journal","volume":"131"},"uris":["http://www.mendeley.com/documents/?uuid=7b531e8f-9bb3-4a69-b72c-af891d5381a0"]},{"id":"ITEM-7","itemData":{"DOI":"10.1093/scan/nsx041","ISSN":"17495024","PMID":"22652025","abstract":"There has been a growing interest in the role that shared family mealtimes may play in promoting the health and well-being of children. Families that regularly eat their main meal together four or more times a week are more likely to have children who do better in school, are of average weight, less likely to use drugs and alcohol at an early age, and consume more fruits and vegetables. The mere fact that families eat together does not address the process by which shared family mealtimes may protect children from unhealthy weight gain. Just as there is no simple explanation for the rising rates of obesity, the link between shared family mealtimes and childhood obesity is a complex one including socioeconomic and cultural context. In this paper, we provide an overview of how shared family mealtimes are embedded in a socio-cultural context that may either support or derail healthy eating patterns for children and youth. Evidence from an observational study of 200 family mealtimes demonstrates the complex interplay between socio-economic factors, family mealtime behaviors, and child obesity status. Families who had a child of healthy weight spent more time engaged with each other during the meal, expressed more positive communication, and considered mealtimes more important and meaningful than families who had a child who was overweight or obese. Using a cumulative risk model, it was found that the combination of family level and neighborhood risk factors predicted child overweight status. Recommendations are made for future research directions and policies directed toward families living in diverse economic circumstances.","author":[{"dropping-particle":"","family":"Poerio","given":"Giulia L.","non-dropping-particle":"","parse-names":false,"suffix":""},{"dropping-particle":"","family":"Sormaz","given":"Mladen","non-dropping-particle":"","parse-names":false,"suffix":""},{"dropping-particle":"","family":"Wang","given":"Hao Ting","non-dropping-particle</w:instrText>
      </w:r>
      <w:r w:rsidR="00301590" w:rsidRPr="00975DA7">
        <w:rPr>
          <w:bCs/>
          <w:color w:val="000000"/>
          <w:sz w:val="22"/>
          <w:szCs w:val="22"/>
          <w:shd w:val="clear" w:color="auto" w:fill="FFFFFF"/>
          <w:lang w:val="es-MX"/>
        </w:rPr>
        <w:instrText>":"","parse-names":false,"suffix":""},{"dropping-particle":"","family":"Margulies","given":"Daniel","non-dropping-particle":"","parse-names":false,"suffix":""},{"dropping-particle":"","family":"Jefferies","given":"Elizabeth","non-dropping-particle":"","parse-names":false,"suffix":""},{"dropping-particle":"","family":"Smallwood","given":"Jonathan","non-dropping-particle":"","parse-names":false,"suffix":""}],"container-title":"Social Cognitive and Affective Neuroscience","id":"ITEM-7","issue":"7","issued":{"date-parts":[["2017"]]},"page":"1047-1062","title":"The role of the default mode network in component processes underlying the wandering mind","type":"article-journal","volume":"12"},"uris":["http://www.mendeley.com/documents/?uuid=c2a495e0-1549-4d18-afac-2a10f42a7762"]}],"mendeley":{"formattedCitation":"(Gonzalez Alam et al., 2018; Lanzoni et al., 2019; Murphy et al., 2018; Poerio et al., 2017; Vatansever et al., 2017; H. T. Wang et al., 2018b; X. Wang et al., 2018)","plainTextFormattedCitation":"(Gonzalez Alam et al., 2018; Lanzoni et al., 2019; Murphy et al., 2018; Poerio et al., 2017; Vatansever et al., 2017; H. T. Wang et al., 2018b; X. Wang et al., 2018)","previouslyFormattedCitation":"(Gonzalez Alam et al., 2018; Lanzoni et al., 2019; Murphy et al., 2018; Poerio et al., 2017; Vatansever et al., 2017; H. T. Wang et al., 2018b; X. Wang et al., 2018)"},"properties":{"noteIndex":0},"schema":"https://github.com/citation-style-language/schema/raw/master/csl-citation.json"}</w:instrText>
      </w:r>
      <w:r w:rsidR="00821264" w:rsidRPr="00975DA7">
        <w:rPr>
          <w:bCs/>
          <w:color w:val="000000"/>
          <w:sz w:val="22"/>
          <w:szCs w:val="22"/>
          <w:shd w:val="clear" w:color="auto" w:fill="FFFFFF"/>
        </w:rPr>
        <w:fldChar w:fldCharType="separate"/>
      </w:r>
      <w:r w:rsidR="00301590" w:rsidRPr="00975DA7">
        <w:rPr>
          <w:bCs/>
          <w:noProof/>
          <w:color w:val="000000"/>
          <w:sz w:val="22"/>
          <w:szCs w:val="22"/>
          <w:shd w:val="clear" w:color="auto" w:fill="FFFFFF"/>
          <w:lang w:val="es-MX"/>
        </w:rPr>
        <w:t>(Gonzalez Alam et al., 2018; Lanzoni et al., 2019; Murphy et al., 2018; Poerio et al., 2017; Vatansever et al., 2017; H. T. Wang et al., 2018b; X. Wang et al., 2018)</w:t>
      </w:r>
      <w:r w:rsidR="00821264" w:rsidRPr="00975DA7">
        <w:rPr>
          <w:bCs/>
          <w:color w:val="000000"/>
          <w:sz w:val="22"/>
          <w:szCs w:val="22"/>
          <w:shd w:val="clear" w:color="auto" w:fill="FFFFFF"/>
        </w:rPr>
        <w:fldChar w:fldCharType="end"/>
      </w:r>
      <w:r w:rsidR="00704C50" w:rsidRPr="00975DA7">
        <w:rPr>
          <w:bCs/>
          <w:color w:val="000000"/>
          <w:sz w:val="22"/>
          <w:szCs w:val="22"/>
          <w:shd w:val="clear" w:color="auto" w:fill="FFFFFF"/>
          <w:lang w:val="es-MX"/>
        </w:rPr>
        <w:t xml:space="preserve">. </w:t>
      </w:r>
      <w:r w:rsidRPr="00975DA7">
        <w:rPr>
          <w:sz w:val="22"/>
          <w:szCs w:val="22"/>
        </w:rPr>
        <w:t xml:space="preserve">There was a </w:t>
      </w:r>
      <w:r w:rsidR="00427BB0" w:rsidRPr="00975DA7">
        <w:rPr>
          <w:sz w:val="22"/>
          <w:szCs w:val="22"/>
        </w:rPr>
        <w:t>difference in response</w:t>
      </w:r>
      <w:r w:rsidRPr="00975DA7">
        <w:rPr>
          <w:sz w:val="22"/>
          <w:szCs w:val="22"/>
        </w:rPr>
        <w:t xml:space="preserve"> efficiency </w:t>
      </w:r>
      <w:r w:rsidR="00427BB0" w:rsidRPr="00975DA7">
        <w:rPr>
          <w:sz w:val="22"/>
          <w:szCs w:val="22"/>
        </w:rPr>
        <w:t>across conditions</w:t>
      </w:r>
      <w:r w:rsidRPr="00975DA7">
        <w:rPr>
          <w:sz w:val="22"/>
          <w:szCs w:val="22"/>
        </w:rPr>
        <w:t xml:space="preserve"> (F(2.64,</w:t>
      </w:r>
      <w:r w:rsidR="004553AE" w:rsidRPr="00975DA7">
        <w:rPr>
          <w:sz w:val="22"/>
          <w:szCs w:val="22"/>
        </w:rPr>
        <w:t xml:space="preserve"> </w:t>
      </w:r>
      <w:r w:rsidRPr="00975DA7">
        <w:rPr>
          <w:sz w:val="22"/>
          <w:szCs w:val="22"/>
        </w:rPr>
        <w:t>519.45)</w:t>
      </w:r>
      <w:r w:rsidR="004553AE" w:rsidRPr="00975DA7">
        <w:rPr>
          <w:sz w:val="22"/>
          <w:szCs w:val="22"/>
        </w:rPr>
        <w:t xml:space="preserve"> </w:t>
      </w:r>
      <w:r w:rsidRPr="00975DA7">
        <w:rPr>
          <w:sz w:val="22"/>
          <w:szCs w:val="22"/>
        </w:rPr>
        <w:t>=</w:t>
      </w:r>
      <w:r w:rsidR="004553AE" w:rsidRPr="00975DA7">
        <w:rPr>
          <w:sz w:val="22"/>
          <w:szCs w:val="22"/>
        </w:rPr>
        <w:t xml:space="preserve"> </w:t>
      </w:r>
      <w:r w:rsidRPr="00975DA7">
        <w:rPr>
          <w:sz w:val="22"/>
          <w:szCs w:val="22"/>
        </w:rPr>
        <w:t>398.05, p</w:t>
      </w:r>
      <w:r w:rsidR="004553AE" w:rsidRPr="00975DA7">
        <w:rPr>
          <w:sz w:val="22"/>
          <w:szCs w:val="22"/>
        </w:rPr>
        <w:t xml:space="preserve"> </w:t>
      </w:r>
      <w:r w:rsidRPr="00975DA7">
        <w:rPr>
          <w:sz w:val="22"/>
          <w:szCs w:val="22"/>
        </w:rPr>
        <w:t>=</w:t>
      </w:r>
      <w:r w:rsidR="004553AE" w:rsidRPr="00975DA7">
        <w:rPr>
          <w:sz w:val="22"/>
          <w:szCs w:val="22"/>
        </w:rPr>
        <w:t xml:space="preserve"> </w:t>
      </w:r>
      <w:r w:rsidRPr="00975DA7">
        <w:rPr>
          <w:sz w:val="22"/>
          <w:szCs w:val="22"/>
        </w:rPr>
        <w:t xml:space="preserve">.000). </w:t>
      </w:r>
      <w:r w:rsidR="004553AE" w:rsidRPr="00975DA7">
        <w:rPr>
          <w:sz w:val="22"/>
          <w:szCs w:val="22"/>
        </w:rPr>
        <w:t>Bonferroni corrected t-tests</w:t>
      </w:r>
      <w:r w:rsidRPr="00975DA7">
        <w:rPr>
          <w:sz w:val="22"/>
          <w:szCs w:val="22"/>
        </w:rPr>
        <w:t xml:space="preserve"> revealed part</w:t>
      </w:r>
      <w:r w:rsidR="004553AE" w:rsidRPr="00975DA7">
        <w:rPr>
          <w:sz w:val="22"/>
          <w:szCs w:val="22"/>
        </w:rPr>
        <w:t xml:space="preserve">icipants were less efficient </w:t>
      </w:r>
      <w:r w:rsidR="00427BB0" w:rsidRPr="00975DA7">
        <w:rPr>
          <w:sz w:val="22"/>
          <w:szCs w:val="22"/>
        </w:rPr>
        <w:t>for</w:t>
      </w:r>
      <w:r w:rsidR="004553AE" w:rsidRPr="00975DA7">
        <w:rPr>
          <w:sz w:val="22"/>
          <w:szCs w:val="22"/>
        </w:rPr>
        <w:t xml:space="preserve"> </w:t>
      </w:r>
      <w:r w:rsidRPr="00975DA7">
        <w:rPr>
          <w:sz w:val="22"/>
          <w:szCs w:val="22"/>
        </w:rPr>
        <w:t>weak than strong associat</w:t>
      </w:r>
      <w:r w:rsidR="004553AE" w:rsidRPr="00975DA7">
        <w:rPr>
          <w:sz w:val="22"/>
          <w:szCs w:val="22"/>
        </w:rPr>
        <w:t xml:space="preserve">ions </w:t>
      </w:r>
      <w:r w:rsidR="00887A9A" w:rsidRPr="00975DA7">
        <w:rPr>
          <w:sz w:val="22"/>
          <w:szCs w:val="22"/>
        </w:rPr>
        <w:t>(t(195) = 30.02, p</w:t>
      </w:r>
      <w:r w:rsidR="008716E2" w:rsidRPr="00975DA7">
        <w:rPr>
          <w:sz w:val="22"/>
          <w:szCs w:val="22"/>
        </w:rPr>
        <w:t xml:space="preserve"> =</w:t>
      </w:r>
      <w:r w:rsidR="00887A9A" w:rsidRPr="00975DA7">
        <w:rPr>
          <w:sz w:val="22"/>
          <w:szCs w:val="22"/>
        </w:rPr>
        <w:t xml:space="preserve"> .</w:t>
      </w:r>
      <w:r w:rsidR="008716E2" w:rsidRPr="00975DA7">
        <w:rPr>
          <w:sz w:val="22"/>
          <w:szCs w:val="22"/>
        </w:rPr>
        <w:t>000</w:t>
      </w:r>
      <w:r w:rsidR="00887A9A" w:rsidRPr="00975DA7">
        <w:rPr>
          <w:sz w:val="22"/>
          <w:szCs w:val="22"/>
        </w:rPr>
        <w:t>)</w:t>
      </w:r>
      <w:r w:rsidRPr="00975DA7">
        <w:rPr>
          <w:sz w:val="22"/>
          <w:szCs w:val="22"/>
        </w:rPr>
        <w:t xml:space="preserve">, </w:t>
      </w:r>
      <w:r w:rsidR="004553AE" w:rsidRPr="00975DA7">
        <w:rPr>
          <w:sz w:val="22"/>
          <w:szCs w:val="22"/>
        </w:rPr>
        <w:t xml:space="preserve">and less efficient for word than picture decisions </w:t>
      </w:r>
      <w:r w:rsidR="008716E2" w:rsidRPr="00975DA7">
        <w:rPr>
          <w:sz w:val="22"/>
          <w:szCs w:val="22"/>
        </w:rPr>
        <w:t>(t(195) = 17.95, p = .000)</w:t>
      </w:r>
      <w:r w:rsidRPr="00975DA7">
        <w:rPr>
          <w:sz w:val="22"/>
          <w:szCs w:val="22"/>
        </w:rPr>
        <w:t xml:space="preserve">. </w:t>
      </w:r>
      <w:r w:rsidR="00704C50" w:rsidRPr="00975DA7">
        <w:rPr>
          <w:sz w:val="22"/>
          <w:szCs w:val="22"/>
        </w:rPr>
        <w:t xml:space="preserve">Participants were also more efficient in three of the four semantic tasks </w:t>
      </w:r>
      <w:r w:rsidR="00427BB0" w:rsidRPr="00975DA7">
        <w:rPr>
          <w:sz w:val="22"/>
          <w:szCs w:val="22"/>
        </w:rPr>
        <w:t xml:space="preserve">relative to perceptual judgements </w:t>
      </w:r>
      <w:r w:rsidR="008716E2" w:rsidRPr="00975DA7">
        <w:rPr>
          <w:sz w:val="22"/>
          <w:szCs w:val="22"/>
        </w:rPr>
        <w:t>(t(195) = 5.58 – 19.01, p = .000)</w:t>
      </w:r>
      <w:r w:rsidR="00427BB0" w:rsidRPr="00975DA7">
        <w:rPr>
          <w:sz w:val="22"/>
          <w:szCs w:val="22"/>
        </w:rPr>
        <w:t>, yet</w:t>
      </w:r>
      <w:r w:rsidR="00704C50" w:rsidRPr="00975DA7">
        <w:rPr>
          <w:sz w:val="22"/>
          <w:szCs w:val="22"/>
        </w:rPr>
        <w:t xml:space="preserve"> less efficient for weak associations </w:t>
      </w:r>
      <w:r w:rsidR="00427BB0" w:rsidRPr="00975DA7">
        <w:rPr>
          <w:sz w:val="22"/>
          <w:szCs w:val="22"/>
        </w:rPr>
        <w:t xml:space="preserve">relative to perceptual trials </w:t>
      </w:r>
      <w:r w:rsidR="008716E2" w:rsidRPr="00975DA7">
        <w:rPr>
          <w:sz w:val="22"/>
          <w:szCs w:val="22"/>
        </w:rPr>
        <w:t>(t(195) = 10.28, p = .000)</w:t>
      </w:r>
      <w:r w:rsidR="00704C50" w:rsidRPr="00975DA7">
        <w:rPr>
          <w:sz w:val="22"/>
          <w:szCs w:val="22"/>
        </w:rPr>
        <w:t>.</w:t>
      </w:r>
    </w:p>
    <w:p w14:paraId="5CDF2808" w14:textId="3A5D88FB" w:rsidR="00A23B0C" w:rsidRPr="00975DA7" w:rsidRDefault="00064D4D" w:rsidP="004B2A1D">
      <w:pPr>
        <w:pStyle w:val="NormalWeb"/>
        <w:spacing w:before="0" w:beforeAutospacing="0" w:afterLines="160" w:after="384" w:afterAutospacing="0" w:line="360" w:lineRule="auto"/>
        <w:rPr>
          <w:sz w:val="22"/>
          <w:szCs w:val="22"/>
        </w:rPr>
      </w:pPr>
      <w:r w:rsidRPr="00975DA7">
        <w:rPr>
          <w:sz w:val="22"/>
          <w:szCs w:val="22"/>
        </w:rPr>
        <w:t>W</w:t>
      </w:r>
      <w:r w:rsidR="0059177E" w:rsidRPr="00975DA7">
        <w:rPr>
          <w:sz w:val="22"/>
          <w:szCs w:val="22"/>
        </w:rPr>
        <w:t xml:space="preserve">e examined the relationship between the intrinsic connectivity of each of our four </w:t>
      </w:r>
      <w:r w:rsidR="006C5629" w:rsidRPr="00975DA7">
        <w:rPr>
          <w:sz w:val="22"/>
          <w:szCs w:val="22"/>
        </w:rPr>
        <w:t>LH</w:t>
      </w:r>
      <w:r w:rsidR="0059177E" w:rsidRPr="00975DA7">
        <w:rPr>
          <w:sz w:val="22"/>
          <w:szCs w:val="22"/>
        </w:rPr>
        <w:t xml:space="preserve"> ROIs and </w:t>
      </w:r>
      <w:r w:rsidR="006B258F" w:rsidRPr="00975DA7">
        <w:rPr>
          <w:sz w:val="22"/>
          <w:szCs w:val="22"/>
        </w:rPr>
        <w:t>task performance</w:t>
      </w:r>
      <w:r w:rsidR="0059177E" w:rsidRPr="00975DA7">
        <w:rPr>
          <w:sz w:val="22"/>
          <w:szCs w:val="22"/>
        </w:rPr>
        <w:t xml:space="preserve"> outside the scanner</w:t>
      </w:r>
      <w:r w:rsidR="007C03AB" w:rsidRPr="00975DA7">
        <w:rPr>
          <w:sz w:val="22"/>
          <w:szCs w:val="22"/>
        </w:rPr>
        <w:t xml:space="preserve">, to test the hypothesis that stronger connectivity </w:t>
      </w:r>
      <w:r w:rsidR="007C03AB" w:rsidRPr="00975DA7">
        <w:rPr>
          <w:i/>
          <w:sz w:val="22"/>
          <w:szCs w:val="22"/>
        </w:rPr>
        <w:t>within</w:t>
      </w:r>
      <w:r w:rsidR="007C03AB" w:rsidRPr="00975DA7">
        <w:rPr>
          <w:sz w:val="22"/>
          <w:szCs w:val="22"/>
        </w:rPr>
        <w:t xml:space="preserve"> LH cortical regions is associated with efficient semantic retrieval, while stronger connectivity </w:t>
      </w:r>
      <w:r w:rsidR="007C03AB" w:rsidRPr="00975DA7">
        <w:rPr>
          <w:i/>
          <w:sz w:val="22"/>
          <w:szCs w:val="22"/>
        </w:rPr>
        <w:t>between</w:t>
      </w:r>
      <w:r w:rsidR="007C03AB" w:rsidRPr="00975DA7">
        <w:rPr>
          <w:sz w:val="22"/>
          <w:szCs w:val="22"/>
        </w:rPr>
        <w:t xml:space="preserve"> LH seeds and RH regions disrupts </w:t>
      </w:r>
      <w:r w:rsidR="000539FA" w:rsidRPr="00975DA7">
        <w:rPr>
          <w:sz w:val="22"/>
          <w:szCs w:val="22"/>
        </w:rPr>
        <w:t>semantic control</w:t>
      </w:r>
      <w:r w:rsidR="0059177E" w:rsidRPr="00975DA7">
        <w:rPr>
          <w:sz w:val="22"/>
          <w:szCs w:val="22"/>
        </w:rPr>
        <w:t xml:space="preserve">. </w:t>
      </w:r>
      <w:r w:rsidR="00B3085A" w:rsidRPr="00975DA7">
        <w:rPr>
          <w:sz w:val="22"/>
          <w:szCs w:val="22"/>
        </w:rPr>
        <w:t xml:space="preserve">The results are summarised in Figure 6. Supplementary analyses to confirm that these effects did not solely reflect differences in task difficulty are shown in Table </w:t>
      </w:r>
      <w:r w:rsidR="00843F4F" w:rsidRPr="00975DA7">
        <w:rPr>
          <w:sz w:val="22"/>
          <w:szCs w:val="22"/>
        </w:rPr>
        <w:t>3</w:t>
      </w:r>
      <w:r w:rsidR="00B3085A" w:rsidRPr="00975DA7">
        <w:rPr>
          <w:sz w:val="22"/>
          <w:szCs w:val="22"/>
        </w:rPr>
        <w:t>.</w:t>
      </w:r>
    </w:p>
    <w:p w14:paraId="26C275BB" w14:textId="77BD2D8D" w:rsidR="0059177E" w:rsidRPr="00975DA7" w:rsidRDefault="0059177E" w:rsidP="002832CC">
      <w:pPr>
        <w:keepNext/>
        <w:spacing w:line="360" w:lineRule="auto"/>
        <w:rPr>
          <w:rFonts w:ascii="Times New Roman" w:hAnsi="Times New Roman" w:cs="Times New Roman"/>
        </w:rPr>
      </w:pPr>
      <w:r w:rsidRPr="00975DA7">
        <w:rPr>
          <w:rFonts w:ascii="Times New Roman" w:hAnsi="Times New Roman" w:cs="Times New Roman"/>
        </w:rPr>
        <w:t>We found a significant relationship between the strength of intrinsic</w:t>
      </w:r>
      <w:r w:rsidR="00953DA1" w:rsidRPr="00975DA7">
        <w:rPr>
          <w:rFonts w:ascii="Times New Roman" w:hAnsi="Times New Roman" w:cs="Times New Roman"/>
        </w:rPr>
        <w:t xml:space="preserve"> </w:t>
      </w:r>
      <w:r w:rsidRPr="00975DA7">
        <w:rPr>
          <w:rFonts w:ascii="Times New Roman" w:hAnsi="Times New Roman" w:cs="Times New Roman"/>
        </w:rPr>
        <w:t xml:space="preserve">connectivity of two semantic </w:t>
      </w:r>
      <w:r w:rsidR="00A23B0C" w:rsidRPr="00975DA7">
        <w:rPr>
          <w:rFonts w:ascii="Times New Roman" w:hAnsi="Times New Roman" w:cs="Times New Roman"/>
        </w:rPr>
        <w:t>seeds</w:t>
      </w:r>
      <w:r w:rsidRPr="00975DA7">
        <w:rPr>
          <w:rFonts w:ascii="Times New Roman" w:hAnsi="Times New Roman" w:cs="Times New Roman"/>
        </w:rPr>
        <w:t xml:space="preserve"> – AG and pMTG – and individual differences in participants’ efficiency when performing </w:t>
      </w:r>
      <w:r w:rsidRPr="00975DA7">
        <w:rPr>
          <w:rFonts w:ascii="Times New Roman" w:hAnsi="Times New Roman" w:cs="Times New Roman"/>
        </w:rPr>
        <w:lastRenderedPageBreak/>
        <w:t>semantic and perceptual tasks</w:t>
      </w:r>
      <w:r w:rsidR="00A23B0C" w:rsidRPr="00975DA7">
        <w:rPr>
          <w:rFonts w:ascii="Times New Roman" w:hAnsi="Times New Roman" w:cs="Times New Roman"/>
        </w:rPr>
        <w:t>, in whole-brain analyses</w:t>
      </w:r>
      <w:r w:rsidRPr="00975DA7">
        <w:rPr>
          <w:rFonts w:ascii="Times New Roman" w:hAnsi="Times New Roman" w:cs="Times New Roman"/>
        </w:rPr>
        <w:t>. Connectivity from left AG to bilateral medial occipital regions was associated with differential performance on percept</w:t>
      </w:r>
      <w:r w:rsidR="009279C0" w:rsidRPr="00975DA7">
        <w:rPr>
          <w:rFonts w:ascii="Times New Roman" w:hAnsi="Times New Roman" w:cs="Times New Roman"/>
        </w:rPr>
        <w:t>ual and semantic tasks (Figure 6</w:t>
      </w:r>
      <w:r w:rsidRPr="00975DA7">
        <w:rPr>
          <w:rFonts w:ascii="Times New Roman" w:hAnsi="Times New Roman" w:cs="Times New Roman"/>
        </w:rPr>
        <w:t xml:space="preserve">; </w:t>
      </w:r>
      <w:r w:rsidR="006D4D68" w:rsidRPr="00975DA7">
        <w:rPr>
          <w:rFonts w:ascii="Times New Roman" w:hAnsi="Times New Roman" w:cs="Times New Roman"/>
        </w:rPr>
        <w:t>dark blue</w:t>
      </w:r>
      <w:r w:rsidRPr="00975DA7">
        <w:rPr>
          <w:rFonts w:ascii="Times New Roman" w:hAnsi="Times New Roman" w:cs="Times New Roman"/>
        </w:rPr>
        <w:t>). Participants w</w:t>
      </w:r>
      <w:r w:rsidR="00247CF3" w:rsidRPr="00975DA7">
        <w:rPr>
          <w:rFonts w:ascii="Times New Roman" w:hAnsi="Times New Roman" w:cs="Times New Roman"/>
        </w:rPr>
        <w:t xml:space="preserve">ith poorer performance on perceptual </w:t>
      </w:r>
      <w:r w:rsidRPr="00975DA7">
        <w:rPr>
          <w:rFonts w:ascii="Times New Roman" w:hAnsi="Times New Roman" w:cs="Times New Roman"/>
        </w:rPr>
        <w:t>decisions, relative to semantic decisions, showed stronger connectivity from left AG to bilateral occipital cortex. An overlapping cluster predicted weak performanc</w:t>
      </w:r>
      <w:r w:rsidR="009279C0" w:rsidRPr="00975DA7">
        <w:rPr>
          <w:rFonts w:ascii="Times New Roman" w:hAnsi="Times New Roman" w:cs="Times New Roman"/>
        </w:rPr>
        <w:t>e on perceptual trials (Figure 6</w:t>
      </w:r>
      <w:r w:rsidRPr="00975DA7">
        <w:rPr>
          <w:rFonts w:ascii="Times New Roman" w:hAnsi="Times New Roman" w:cs="Times New Roman"/>
        </w:rPr>
        <w:t xml:space="preserve">; </w:t>
      </w:r>
      <w:r w:rsidR="006D4D68" w:rsidRPr="00975DA7">
        <w:rPr>
          <w:rFonts w:ascii="Times New Roman" w:hAnsi="Times New Roman" w:cs="Times New Roman"/>
        </w:rPr>
        <w:t>light blue</w:t>
      </w:r>
      <w:r w:rsidRPr="00975DA7">
        <w:rPr>
          <w:rFonts w:ascii="Times New Roman" w:hAnsi="Times New Roman" w:cs="Times New Roman"/>
        </w:rPr>
        <w:t xml:space="preserve">). </w:t>
      </w:r>
      <w:r w:rsidR="00B3085A" w:rsidRPr="00975DA7">
        <w:rPr>
          <w:rFonts w:ascii="Times New Roman" w:hAnsi="Times New Roman" w:cs="Times New Roman"/>
        </w:rPr>
        <w:t>Since the perceptual decisions were more difficult than the semantic decisions overall, it is possible that th</w:t>
      </w:r>
      <w:r w:rsidR="00F41D2D" w:rsidRPr="00975DA7">
        <w:rPr>
          <w:rFonts w:ascii="Times New Roman" w:hAnsi="Times New Roman" w:cs="Times New Roman"/>
        </w:rPr>
        <w:t>is contrast</w:t>
      </w:r>
      <w:r w:rsidR="00B3085A" w:rsidRPr="00975DA7">
        <w:rPr>
          <w:rFonts w:ascii="Times New Roman" w:hAnsi="Times New Roman" w:cs="Times New Roman"/>
        </w:rPr>
        <w:t xml:space="preserve"> reflect</w:t>
      </w:r>
      <w:r w:rsidR="00F41D2D" w:rsidRPr="00975DA7">
        <w:rPr>
          <w:rFonts w:ascii="Times New Roman" w:hAnsi="Times New Roman" w:cs="Times New Roman"/>
        </w:rPr>
        <w:t>ed</w:t>
      </w:r>
      <w:r w:rsidR="00B3085A" w:rsidRPr="00975DA7">
        <w:rPr>
          <w:rFonts w:ascii="Times New Roman" w:hAnsi="Times New Roman" w:cs="Times New Roman"/>
        </w:rPr>
        <w:t xml:space="preserve"> poorer performance on harder decisions in general</w:t>
      </w:r>
      <w:r w:rsidR="00F41D2D" w:rsidRPr="00975DA7">
        <w:rPr>
          <w:rFonts w:ascii="Times New Roman" w:hAnsi="Times New Roman" w:cs="Times New Roman"/>
        </w:rPr>
        <w:t>,</w:t>
      </w:r>
      <w:r w:rsidR="00B3085A" w:rsidRPr="00975DA7">
        <w:rPr>
          <w:rFonts w:ascii="Times New Roman" w:hAnsi="Times New Roman" w:cs="Times New Roman"/>
        </w:rPr>
        <w:t xml:space="preserve"> </w:t>
      </w:r>
      <w:r w:rsidR="001B495C" w:rsidRPr="00975DA7">
        <w:rPr>
          <w:rFonts w:ascii="Times New Roman" w:hAnsi="Times New Roman" w:cs="Times New Roman"/>
        </w:rPr>
        <w:t>in participants with weaker connectivity from</w:t>
      </w:r>
      <w:r w:rsidR="00B3085A" w:rsidRPr="00975DA7">
        <w:rPr>
          <w:rFonts w:ascii="Times New Roman" w:hAnsi="Times New Roman" w:cs="Times New Roman"/>
        </w:rPr>
        <w:t xml:space="preserve"> left AG to occipital </w:t>
      </w:r>
      <w:r w:rsidR="001B495C" w:rsidRPr="00975DA7">
        <w:rPr>
          <w:rFonts w:ascii="Times New Roman" w:hAnsi="Times New Roman" w:cs="Times New Roman"/>
        </w:rPr>
        <w:t>cortex</w:t>
      </w:r>
      <w:r w:rsidR="00B3085A" w:rsidRPr="00975DA7">
        <w:rPr>
          <w:rFonts w:ascii="Times New Roman" w:hAnsi="Times New Roman" w:cs="Times New Roman"/>
        </w:rPr>
        <w:t xml:space="preserve">. </w:t>
      </w:r>
      <w:r w:rsidR="00EE2E31" w:rsidRPr="00975DA7">
        <w:rPr>
          <w:rFonts w:ascii="Times New Roman" w:hAnsi="Times New Roman" w:cs="Times New Roman"/>
        </w:rPr>
        <w:t>As a control analysis, we compared weak associations (a harder semantic task) with perceptual matching</w:t>
      </w:r>
      <w:r w:rsidR="00F41D2D" w:rsidRPr="00975DA7">
        <w:rPr>
          <w:rFonts w:ascii="Times New Roman" w:hAnsi="Times New Roman" w:cs="Times New Roman"/>
        </w:rPr>
        <w:t xml:space="preserve"> and found the same positive correlation, suggesting that irrespective of difficulty, participants with poorer perceptual than semantic performance have stronger connectivity from left AG to occipital cortex.   </w:t>
      </w:r>
    </w:p>
    <w:p w14:paraId="1F333CD0" w14:textId="4D9A9418" w:rsidR="002832CC" w:rsidRPr="00975DA7" w:rsidRDefault="0059177E" w:rsidP="002832CC">
      <w:pPr>
        <w:spacing w:line="360" w:lineRule="auto"/>
        <w:rPr>
          <w:rFonts w:ascii="Times New Roman" w:hAnsi="Times New Roman" w:cs="Times New Roman"/>
        </w:rPr>
      </w:pPr>
      <w:r w:rsidRPr="00975DA7">
        <w:rPr>
          <w:rFonts w:ascii="Times New Roman" w:hAnsi="Times New Roman" w:cs="Times New Roman"/>
        </w:rPr>
        <w:t xml:space="preserve">Patterns of connectivity </w:t>
      </w:r>
      <w:r w:rsidR="00710AB7" w:rsidRPr="00975DA7">
        <w:rPr>
          <w:rFonts w:ascii="Times New Roman" w:hAnsi="Times New Roman" w:cs="Times New Roman"/>
        </w:rPr>
        <w:t xml:space="preserve">from pMTG – a key semantic control site – </w:t>
      </w:r>
      <w:r w:rsidRPr="00975DA7">
        <w:rPr>
          <w:rFonts w:ascii="Times New Roman" w:hAnsi="Times New Roman" w:cs="Times New Roman"/>
        </w:rPr>
        <w:t xml:space="preserve">also predicted the capacity to retrieve </w:t>
      </w:r>
      <w:r w:rsidR="00710AB7" w:rsidRPr="00975DA7">
        <w:rPr>
          <w:rFonts w:ascii="Times New Roman" w:hAnsi="Times New Roman" w:cs="Times New Roman"/>
        </w:rPr>
        <w:t>weak</w:t>
      </w:r>
      <w:r w:rsidRPr="00975DA7">
        <w:rPr>
          <w:rFonts w:ascii="Times New Roman" w:hAnsi="Times New Roman" w:cs="Times New Roman"/>
        </w:rPr>
        <w:t xml:space="preserve"> associations, relative to </w:t>
      </w:r>
      <w:r w:rsidR="00710AB7" w:rsidRPr="00975DA7">
        <w:rPr>
          <w:rFonts w:ascii="Times New Roman" w:hAnsi="Times New Roman" w:cs="Times New Roman"/>
        </w:rPr>
        <w:t>strong</w:t>
      </w:r>
      <w:r w:rsidRPr="00975DA7">
        <w:rPr>
          <w:rFonts w:ascii="Times New Roman" w:hAnsi="Times New Roman" w:cs="Times New Roman"/>
        </w:rPr>
        <w:t xml:space="preserve"> associations, and therefore the </w:t>
      </w:r>
      <w:r w:rsidR="00710AB7" w:rsidRPr="00975DA7">
        <w:rPr>
          <w:rFonts w:ascii="Times New Roman" w:hAnsi="Times New Roman" w:cs="Times New Roman"/>
        </w:rPr>
        <w:t>retrieval of</w:t>
      </w:r>
      <w:r w:rsidRPr="00975DA7">
        <w:rPr>
          <w:rFonts w:ascii="Times New Roman" w:hAnsi="Times New Roman" w:cs="Times New Roman"/>
        </w:rPr>
        <w:t xml:space="preserve"> non-dominant aspects of knowledge </w:t>
      </w:r>
      <w:r w:rsidR="00A40EA7" w:rsidRPr="00975DA7">
        <w:rPr>
          <w:rFonts w:ascii="Times New Roman" w:hAnsi="Times New Roman" w:cs="Times New Roman"/>
        </w:rPr>
        <w:t>in a controlled fashion</w:t>
      </w:r>
      <w:r w:rsidRPr="00975DA7">
        <w:rPr>
          <w:rFonts w:ascii="Times New Roman" w:hAnsi="Times New Roman" w:cs="Times New Roman"/>
        </w:rPr>
        <w:t xml:space="preserve"> to suit the circumstances. Stronger </w:t>
      </w:r>
      <w:r w:rsidR="00A40EA7" w:rsidRPr="00975DA7">
        <w:rPr>
          <w:rFonts w:ascii="Times New Roman" w:hAnsi="Times New Roman" w:cs="Times New Roman"/>
        </w:rPr>
        <w:t xml:space="preserve">within-hemisphere </w:t>
      </w:r>
      <w:r w:rsidRPr="00975DA7">
        <w:rPr>
          <w:rFonts w:ascii="Times New Roman" w:hAnsi="Times New Roman" w:cs="Times New Roman"/>
        </w:rPr>
        <w:t xml:space="preserve">coupling to left pSTG and </w:t>
      </w:r>
      <w:r w:rsidR="008B3EE7" w:rsidRPr="00975DA7">
        <w:rPr>
          <w:rFonts w:ascii="Times New Roman" w:hAnsi="Times New Roman" w:cs="Times New Roman"/>
        </w:rPr>
        <w:t>supramarginal gyrus</w:t>
      </w:r>
      <w:r w:rsidR="00F41D2D" w:rsidRPr="00975DA7">
        <w:rPr>
          <w:rFonts w:ascii="Times New Roman" w:hAnsi="Times New Roman" w:cs="Times New Roman"/>
        </w:rPr>
        <w:t>,</w:t>
      </w:r>
      <w:r w:rsidR="009279C0" w:rsidRPr="00975DA7">
        <w:rPr>
          <w:rFonts w:ascii="Times New Roman" w:hAnsi="Times New Roman" w:cs="Times New Roman"/>
        </w:rPr>
        <w:t xml:space="preserve"> </w:t>
      </w:r>
      <w:r w:rsidR="00F41D2D" w:rsidRPr="00975DA7">
        <w:rPr>
          <w:rFonts w:ascii="Times New Roman" w:hAnsi="Times New Roman" w:cs="Times New Roman"/>
        </w:rPr>
        <w:t xml:space="preserve">implicated in language </w:t>
      </w:r>
      <w:r w:rsidR="009279C0" w:rsidRPr="00975DA7">
        <w:rPr>
          <w:rFonts w:ascii="Times New Roman" w:hAnsi="Times New Roman" w:cs="Times New Roman"/>
        </w:rPr>
        <w:t>(Figure 6</w:t>
      </w:r>
      <w:r w:rsidR="00260B89" w:rsidRPr="00975DA7">
        <w:rPr>
          <w:rFonts w:ascii="Times New Roman" w:hAnsi="Times New Roman" w:cs="Times New Roman"/>
        </w:rPr>
        <w:t xml:space="preserve">, </w:t>
      </w:r>
      <w:r w:rsidR="00F41D2D" w:rsidRPr="00975DA7">
        <w:rPr>
          <w:rFonts w:ascii="Times New Roman" w:hAnsi="Times New Roman" w:cs="Times New Roman"/>
        </w:rPr>
        <w:t>green),</w:t>
      </w:r>
      <w:r w:rsidRPr="00975DA7">
        <w:rPr>
          <w:rFonts w:ascii="Times New Roman" w:hAnsi="Times New Roman" w:cs="Times New Roman"/>
        </w:rPr>
        <w:t xml:space="preserve"> was associated with the efficient retrieval of strong associations. In contrast, </w:t>
      </w:r>
      <w:r w:rsidR="00A40EA7" w:rsidRPr="00975DA7">
        <w:rPr>
          <w:rFonts w:ascii="Times New Roman" w:hAnsi="Times New Roman" w:cs="Times New Roman"/>
        </w:rPr>
        <w:t xml:space="preserve">cross-hemisphere </w:t>
      </w:r>
      <w:r w:rsidRPr="00975DA7">
        <w:rPr>
          <w:rFonts w:ascii="Times New Roman" w:hAnsi="Times New Roman" w:cs="Times New Roman"/>
        </w:rPr>
        <w:t xml:space="preserve">connectivity with right aSTG was associated with poorer performance on weak </w:t>
      </w:r>
      <w:r w:rsidR="00710AB7" w:rsidRPr="00975DA7">
        <w:rPr>
          <w:rFonts w:ascii="Times New Roman" w:hAnsi="Times New Roman" w:cs="Times New Roman"/>
        </w:rPr>
        <w:t xml:space="preserve">relative to strong </w:t>
      </w:r>
      <w:r w:rsidRPr="00975DA7">
        <w:rPr>
          <w:rFonts w:ascii="Times New Roman" w:hAnsi="Times New Roman" w:cs="Times New Roman"/>
        </w:rPr>
        <w:t>associations</w:t>
      </w:r>
      <w:r w:rsidR="009279C0" w:rsidRPr="00975DA7">
        <w:rPr>
          <w:rFonts w:ascii="Times New Roman" w:hAnsi="Times New Roman" w:cs="Times New Roman"/>
        </w:rPr>
        <w:t xml:space="preserve"> (Figure 6</w:t>
      </w:r>
      <w:r w:rsidR="006D4D68" w:rsidRPr="00975DA7">
        <w:rPr>
          <w:rFonts w:ascii="Times New Roman" w:hAnsi="Times New Roman" w:cs="Times New Roman"/>
        </w:rPr>
        <w:t xml:space="preserve">, </w:t>
      </w:r>
      <w:r w:rsidR="006D2174" w:rsidRPr="00975DA7">
        <w:rPr>
          <w:rFonts w:ascii="Times New Roman" w:hAnsi="Times New Roman" w:cs="Times New Roman"/>
        </w:rPr>
        <w:t xml:space="preserve">red and </w:t>
      </w:r>
      <w:r w:rsidR="006D4D68" w:rsidRPr="00975DA7">
        <w:rPr>
          <w:rFonts w:ascii="Times New Roman" w:hAnsi="Times New Roman" w:cs="Times New Roman"/>
        </w:rPr>
        <w:t>orange)</w:t>
      </w:r>
      <w:r w:rsidRPr="00975DA7">
        <w:rPr>
          <w:rFonts w:ascii="Times New Roman" w:hAnsi="Times New Roman" w:cs="Times New Roman"/>
        </w:rPr>
        <w:t xml:space="preserve">. </w:t>
      </w:r>
      <w:r w:rsidR="001B495C" w:rsidRPr="00975DA7">
        <w:rPr>
          <w:rFonts w:ascii="Times New Roman" w:hAnsi="Times New Roman" w:cs="Times New Roman"/>
        </w:rPr>
        <w:t xml:space="preserve">Since weak associations are harder than strong associations, we performed a supplementary analysis to test the effect of this cross-hemispheric connectivity pattern on demanding tasks in general. There was no correlation between this pattern of connectivity (defined by the strong vs. weak association contrast) and </w:t>
      </w:r>
      <w:r w:rsidR="008B3EE7" w:rsidRPr="00975DA7">
        <w:rPr>
          <w:rFonts w:ascii="Times New Roman" w:hAnsi="Times New Roman" w:cs="Times New Roman"/>
        </w:rPr>
        <w:t>performance on easy semantic vs. harder perceptual decisions</w:t>
      </w:r>
      <w:r w:rsidR="00043E2B" w:rsidRPr="00975DA7">
        <w:rPr>
          <w:rFonts w:ascii="Times New Roman" w:hAnsi="Times New Roman" w:cs="Times New Roman"/>
        </w:rPr>
        <w:t>, suggesting that the association between connectivity and performance was specific to demanding semantic judgements</w:t>
      </w:r>
      <w:r w:rsidR="008B3EE7" w:rsidRPr="00975DA7">
        <w:rPr>
          <w:rFonts w:ascii="Times New Roman" w:hAnsi="Times New Roman" w:cs="Times New Roman"/>
        </w:rPr>
        <w:t>.</w:t>
      </w:r>
    </w:p>
    <w:p w14:paraId="6A136DF0" w14:textId="77777777" w:rsidR="00B3085A" w:rsidRPr="00975DA7" w:rsidRDefault="00B3085A" w:rsidP="002832CC">
      <w:pPr>
        <w:spacing w:line="360" w:lineRule="auto"/>
        <w:rPr>
          <w:rFonts w:ascii="Times New Roman" w:hAnsi="Times New Roman" w:cs="Times New Roman"/>
        </w:rPr>
      </w:pPr>
    </w:p>
    <w:tbl>
      <w:tblPr>
        <w:tblStyle w:val="PlainTable2"/>
        <w:tblW w:w="0" w:type="auto"/>
        <w:tblLook w:val="04A0" w:firstRow="1" w:lastRow="0" w:firstColumn="1" w:lastColumn="0" w:noHBand="0" w:noVBand="1"/>
      </w:tblPr>
      <w:tblGrid>
        <w:gridCol w:w="960"/>
        <w:gridCol w:w="3435"/>
        <w:gridCol w:w="2268"/>
        <w:gridCol w:w="708"/>
        <w:gridCol w:w="988"/>
      </w:tblGrid>
      <w:tr w:rsidR="00BD085E" w:rsidRPr="00975DA7" w14:paraId="739E0EBC" w14:textId="77777777" w:rsidTr="00CD16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EBABE8" w14:textId="77777777" w:rsidR="00BD085E" w:rsidRPr="00975DA7" w:rsidRDefault="00BD085E" w:rsidP="00F2518B">
            <w:pPr>
              <w:rPr>
                <w:rFonts w:ascii="Times New Roman" w:hAnsi="Times New Roman" w:cs="Times New Roman"/>
              </w:rPr>
            </w:pPr>
            <w:r w:rsidRPr="00975DA7">
              <w:rPr>
                <w:rFonts w:ascii="Times New Roman" w:hAnsi="Times New Roman" w:cs="Times New Roman"/>
              </w:rPr>
              <w:t>Seed</w:t>
            </w:r>
          </w:p>
        </w:tc>
        <w:tc>
          <w:tcPr>
            <w:tcW w:w="3435" w:type="dxa"/>
            <w:noWrap/>
            <w:hideMark/>
          </w:tcPr>
          <w:p w14:paraId="412ED1F3" w14:textId="77777777" w:rsidR="00BD085E" w:rsidRPr="00975DA7" w:rsidRDefault="00BD085E" w:rsidP="00F251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Connectivity to:</w:t>
            </w:r>
          </w:p>
        </w:tc>
        <w:tc>
          <w:tcPr>
            <w:tcW w:w="2268" w:type="dxa"/>
            <w:noWrap/>
            <w:hideMark/>
          </w:tcPr>
          <w:p w14:paraId="3C393BFB" w14:textId="77777777" w:rsidR="00BD085E" w:rsidRPr="00975DA7" w:rsidRDefault="00BD085E" w:rsidP="00F251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Behavioural control</w:t>
            </w:r>
          </w:p>
        </w:tc>
        <w:tc>
          <w:tcPr>
            <w:tcW w:w="708" w:type="dxa"/>
            <w:noWrap/>
            <w:hideMark/>
          </w:tcPr>
          <w:p w14:paraId="7ABEEAD1" w14:textId="77777777" w:rsidR="00BD085E" w:rsidRPr="00975DA7" w:rsidRDefault="00BD085E" w:rsidP="00F251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r</w:t>
            </w:r>
          </w:p>
        </w:tc>
        <w:tc>
          <w:tcPr>
            <w:tcW w:w="988" w:type="dxa"/>
            <w:noWrap/>
            <w:hideMark/>
          </w:tcPr>
          <w:p w14:paraId="09433D94" w14:textId="77777777" w:rsidR="00BD085E" w:rsidRPr="00975DA7" w:rsidRDefault="00BD085E" w:rsidP="00F251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p</w:t>
            </w:r>
          </w:p>
        </w:tc>
      </w:tr>
      <w:tr w:rsidR="00BD085E" w:rsidRPr="00975DA7" w14:paraId="5B75F416" w14:textId="77777777" w:rsidTr="00CD16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A83670" w14:textId="77777777" w:rsidR="00BD085E" w:rsidRPr="00975DA7" w:rsidRDefault="00BD085E" w:rsidP="00F2518B">
            <w:pPr>
              <w:rPr>
                <w:rFonts w:ascii="Times New Roman" w:hAnsi="Times New Roman" w:cs="Times New Roman"/>
              </w:rPr>
            </w:pPr>
            <w:r w:rsidRPr="00975DA7">
              <w:rPr>
                <w:rFonts w:ascii="Times New Roman" w:hAnsi="Times New Roman" w:cs="Times New Roman"/>
              </w:rPr>
              <w:t>pMTG</w:t>
            </w:r>
          </w:p>
        </w:tc>
        <w:tc>
          <w:tcPr>
            <w:tcW w:w="3435" w:type="dxa"/>
            <w:noWrap/>
            <w:hideMark/>
          </w:tcPr>
          <w:p w14:paraId="7D3D2F24" w14:textId="77777777" w:rsidR="00BD085E" w:rsidRPr="00975DA7" w:rsidRDefault="00BD085E" w:rsidP="00F25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Strong &gt; Weak (RH)</w:t>
            </w:r>
          </w:p>
        </w:tc>
        <w:tc>
          <w:tcPr>
            <w:tcW w:w="2268" w:type="dxa"/>
            <w:noWrap/>
            <w:hideMark/>
          </w:tcPr>
          <w:p w14:paraId="2F466AB8" w14:textId="77777777" w:rsidR="00BD085E" w:rsidRPr="00975DA7" w:rsidRDefault="00BD085E" w:rsidP="00F25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Strong - Perceptual</w:t>
            </w:r>
          </w:p>
        </w:tc>
        <w:tc>
          <w:tcPr>
            <w:tcW w:w="708" w:type="dxa"/>
            <w:noWrap/>
            <w:hideMark/>
          </w:tcPr>
          <w:p w14:paraId="3B78EB63" w14:textId="77777777" w:rsidR="00BD085E" w:rsidRPr="00975DA7" w:rsidRDefault="00BD085E" w:rsidP="00F25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0.04</w:t>
            </w:r>
          </w:p>
        </w:tc>
        <w:tc>
          <w:tcPr>
            <w:tcW w:w="988" w:type="dxa"/>
            <w:noWrap/>
            <w:hideMark/>
          </w:tcPr>
          <w:p w14:paraId="28EB06F0" w14:textId="77777777" w:rsidR="00BD085E" w:rsidRPr="00975DA7" w:rsidRDefault="00BD085E" w:rsidP="00F25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0.62</w:t>
            </w:r>
          </w:p>
        </w:tc>
      </w:tr>
      <w:tr w:rsidR="00BD085E" w:rsidRPr="00975DA7" w14:paraId="2E76EF87" w14:textId="77777777" w:rsidTr="00CD16CF">
        <w:trPr>
          <w:trHeight w:val="300"/>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06270D1A" w14:textId="77777777" w:rsidR="00BD085E" w:rsidRPr="00975DA7" w:rsidRDefault="00BD085E" w:rsidP="00F2518B">
            <w:pPr>
              <w:rPr>
                <w:rFonts w:ascii="Times New Roman" w:hAnsi="Times New Roman" w:cs="Times New Roman"/>
              </w:rPr>
            </w:pPr>
            <w:r w:rsidRPr="00975DA7">
              <w:rPr>
                <w:rFonts w:ascii="Times New Roman" w:hAnsi="Times New Roman" w:cs="Times New Roman"/>
              </w:rPr>
              <w:t>AG</w:t>
            </w:r>
          </w:p>
        </w:tc>
        <w:tc>
          <w:tcPr>
            <w:tcW w:w="3435" w:type="dxa"/>
            <w:noWrap/>
            <w:hideMark/>
          </w:tcPr>
          <w:p w14:paraId="232E518C" w14:textId="77777777" w:rsidR="00BD085E" w:rsidRPr="00975DA7" w:rsidRDefault="00BD085E" w:rsidP="00F251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Weak &gt; Strong (Cerebellum)</w:t>
            </w:r>
          </w:p>
        </w:tc>
        <w:tc>
          <w:tcPr>
            <w:tcW w:w="2268" w:type="dxa"/>
            <w:noWrap/>
            <w:hideMark/>
          </w:tcPr>
          <w:p w14:paraId="42FB3D0E" w14:textId="77777777" w:rsidR="00BD085E" w:rsidRPr="00975DA7" w:rsidRDefault="00BD085E" w:rsidP="00F251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Weak - Perceptual</w:t>
            </w:r>
          </w:p>
        </w:tc>
        <w:tc>
          <w:tcPr>
            <w:tcW w:w="708" w:type="dxa"/>
            <w:noWrap/>
            <w:hideMark/>
          </w:tcPr>
          <w:p w14:paraId="3B6209B8" w14:textId="77777777" w:rsidR="00BD085E" w:rsidRPr="00975DA7" w:rsidRDefault="00BD085E" w:rsidP="00F251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0.09</w:t>
            </w:r>
          </w:p>
        </w:tc>
        <w:tc>
          <w:tcPr>
            <w:tcW w:w="988" w:type="dxa"/>
            <w:noWrap/>
            <w:hideMark/>
          </w:tcPr>
          <w:p w14:paraId="3B1BA432" w14:textId="77777777" w:rsidR="00BD085E" w:rsidRPr="00975DA7" w:rsidRDefault="00BD085E" w:rsidP="00F251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0.2</w:t>
            </w:r>
          </w:p>
        </w:tc>
      </w:tr>
      <w:tr w:rsidR="00BD085E" w:rsidRPr="00975DA7" w14:paraId="44CB957E" w14:textId="77777777" w:rsidTr="00CD16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vMerge/>
            <w:hideMark/>
          </w:tcPr>
          <w:p w14:paraId="23CFCDF5" w14:textId="77777777" w:rsidR="00BD085E" w:rsidRPr="00975DA7" w:rsidRDefault="00BD085E" w:rsidP="00F2518B">
            <w:pPr>
              <w:rPr>
                <w:rFonts w:ascii="Times New Roman" w:hAnsi="Times New Roman" w:cs="Times New Roman"/>
              </w:rPr>
            </w:pPr>
          </w:p>
        </w:tc>
        <w:tc>
          <w:tcPr>
            <w:tcW w:w="3435" w:type="dxa"/>
            <w:noWrap/>
            <w:hideMark/>
          </w:tcPr>
          <w:p w14:paraId="761D0784" w14:textId="19B90FA6" w:rsidR="00BD085E" w:rsidRPr="00975DA7" w:rsidRDefault="00BD085E" w:rsidP="00F25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75DA7">
              <w:rPr>
                <w:rFonts w:ascii="Times New Roman" w:hAnsi="Times New Roman" w:cs="Times New Roman"/>
                <w:bCs/>
              </w:rPr>
              <w:t>Semantic &gt; Perceptual</w:t>
            </w:r>
            <w:r w:rsidR="001B495C" w:rsidRPr="00975DA7">
              <w:rPr>
                <w:rFonts w:ascii="Times New Roman" w:hAnsi="Times New Roman" w:cs="Times New Roman"/>
                <w:bCs/>
              </w:rPr>
              <w:t xml:space="preserve"> (Occipital)</w:t>
            </w:r>
          </w:p>
        </w:tc>
        <w:tc>
          <w:tcPr>
            <w:tcW w:w="2268" w:type="dxa"/>
            <w:noWrap/>
            <w:hideMark/>
          </w:tcPr>
          <w:p w14:paraId="52B65926" w14:textId="777E6FF9" w:rsidR="00BD085E" w:rsidRPr="00975DA7" w:rsidRDefault="00BD085E" w:rsidP="00F25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75DA7">
              <w:rPr>
                <w:rFonts w:ascii="Times New Roman" w:hAnsi="Times New Roman" w:cs="Times New Roman"/>
                <w:bCs/>
              </w:rPr>
              <w:t>Weak</w:t>
            </w:r>
            <w:r w:rsidR="00CD16CF" w:rsidRPr="00975DA7">
              <w:rPr>
                <w:rFonts w:ascii="Times New Roman" w:hAnsi="Times New Roman" w:cs="Times New Roman"/>
                <w:bCs/>
              </w:rPr>
              <w:t xml:space="preserve"> - Perceptual</w:t>
            </w:r>
          </w:p>
        </w:tc>
        <w:tc>
          <w:tcPr>
            <w:tcW w:w="708" w:type="dxa"/>
            <w:noWrap/>
            <w:hideMark/>
          </w:tcPr>
          <w:p w14:paraId="3886ECEF" w14:textId="365902CE" w:rsidR="00BD085E" w:rsidRPr="00975DA7" w:rsidRDefault="00CD16CF" w:rsidP="00F25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75DA7">
              <w:rPr>
                <w:rFonts w:ascii="Times New Roman" w:hAnsi="Times New Roman" w:cs="Times New Roman"/>
                <w:bCs/>
              </w:rPr>
              <w:t>0.91</w:t>
            </w:r>
          </w:p>
        </w:tc>
        <w:tc>
          <w:tcPr>
            <w:tcW w:w="988" w:type="dxa"/>
            <w:noWrap/>
            <w:hideMark/>
          </w:tcPr>
          <w:p w14:paraId="2B3C5668" w14:textId="3C49A1F4" w:rsidR="00BD085E" w:rsidRPr="00975DA7" w:rsidRDefault="00CD16CF" w:rsidP="00F25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75DA7">
              <w:rPr>
                <w:rFonts w:ascii="Times New Roman" w:hAnsi="Times New Roman" w:cs="Times New Roman"/>
                <w:bCs/>
              </w:rPr>
              <w:t>&lt; 0.001</w:t>
            </w:r>
          </w:p>
        </w:tc>
      </w:tr>
    </w:tbl>
    <w:p w14:paraId="5D0C8B91" w14:textId="3199B6BA" w:rsidR="00BD085E" w:rsidRPr="00975DA7" w:rsidRDefault="00BD085E" w:rsidP="00103A8F">
      <w:pPr>
        <w:spacing w:line="360" w:lineRule="auto"/>
        <w:rPr>
          <w:rFonts w:ascii="Times New Roman" w:hAnsi="Times New Roman" w:cs="Times New Roman"/>
        </w:rPr>
      </w:pPr>
      <w:r w:rsidRPr="00975DA7">
        <w:rPr>
          <w:rFonts w:ascii="Times New Roman" w:hAnsi="Times New Roman" w:cs="Times New Roman"/>
        </w:rPr>
        <w:t xml:space="preserve">Table </w:t>
      </w:r>
      <w:r w:rsidR="00843F4F" w:rsidRPr="00975DA7">
        <w:rPr>
          <w:rFonts w:ascii="Times New Roman" w:hAnsi="Times New Roman" w:cs="Times New Roman"/>
        </w:rPr>
        <w:t>3</w:t>
      </w:r>
      <w:r w:rsidRPr="00975DA7">
        <w:rPr>
          <w:rFonts w:ascii="Times New Roman" w:hAnsi="Times New Roman" w:cs="Times New Roman"/>
        </w:rPr>
        <w:t>. Correlations to control for possible difficulty confounds in our behavioural regressions.</w:t>
      </w:r>
      <w:r w:rsidR="00043E2B" w:rsidRPr="00975DA7">
        <w:rPr>
          <w:rFonts w:ascii="Times New Roman" w:hAnsi="Times New Roman" w:cs="Times New Roman"/>
        </w:rPr>
        <w:t xml:space="preserve"> In these supplementary analyses, we took patterns of connectivity defined by the main analysis and computed correlations with different task effects.</w:t>
      </w:r>
    </w:p>
    <w:p w14:paraId="4D051251" w14:textId="77777777" w:rsidR="00043E2B" w:rsidRPr="00975DA7" w:rsidRDefault="00043E2B" w:rsidP="00103A8F">
      <w:pPr>
        <w:spacing w:line="360" w:lineRule="auto"/>
        <w:rPr>
          <w:rFonts w:ascii="Times New Roman" w:hAnsi="Times New Roman" w:cs="Times New Roman"/>
        </w:rPr>
      </w:pPr>
    </w:p>
    <w:p w14:paraId="545B4CA1" w14:textId="147960E0" w:rsidR="00103A8F" w:rsidRPr="00975DA7" w:rsidRDefault="00BD085E" w:rsidP="00BD085E">
      <w:pPr>
        <w:spacing w:line="360" w:lineRule="auto"/>
        <w:rPr>
          <w:rFonts w:ascii="Times New Roman" w:hAnsi="Times New Roman" w:cs="Times New Roman"/>
        </w:rPr>
      </w:pPr>
      <w:r w:rsidRPr="00975DA7">
        <w:rPr>
          <w:rFonts w:ascii="Times New Roman" w:hAnsi="Times New Roman" w:cs="Times New Roman"/>
        </w:rPr>
        <w:t xml:space="preserve">There was an additional effect which did not survive Bonferroni correction. AG’s connectivity to a left cerebellar cluster (Figure 6, brown) was positively associated with participants’ efficiency in retrieving weak associations (relative to strong associations), consistent with a role for the cerebellum </w:t>
      </w:r>
      <w:r w:rsidRPr="00975DA7">
        <w:rPr>
          <w:rFonts w:ascii="Times New Roman" w:hAnsi="Times New Roman" w:cs="Times New Roman"/>
        </w:rPr>
        <w:lastRenderedPageBreak/>
        <w:t>in semantic cognition. No patterns of connectivity predicted differences between word and picture performance. This null result perhaps reflects the heteromodal nature of the seeds we selected. Finally, i</w:t>
      </w:r>
      <w:r w:rsidR="00103A8F" w:rsidRPr="00975DA7">
        <w:rPr>
          <w:rFonts w:ascii="Times New Roman" w:hAnsi="Times New Roman" w:cs="Times New Roman"/>
        </w:rPr>
        <w:t xml:space="preserve">n order to increase our confidence that the results obtained </w:t>
      </w:r>
      <w:r w:rsidRPr="00975DA7">
        <w:rPr>
          <w:rFonts w:ascii="Times New Roman" w:hAnsi="Times New Roman" w:cs="Times New Roman"/>
        </w:rPr>
        <w:t xml:space="preserve">were not specific to a particular cluster-forming threshold, we </w:t>
      </w:r>
      <w:r w:rsidR="00103A8F" w:rsidRPr="00975DA7">
        <w:rPr>
          <w:rFonts w:ascii="Times New Roman" w:hAnsi="Times New Roman" w:cs="Times New Roman"/>
        </w:rPr>
        <w:t>conduct</w:t>
      </w:r>
      <w:r w:rsidR="0029640B" w:rsidRPr="00975DA7">
        <w:rPr>
          <w:rFonts w:ascii="Times New Roman" w:hAnsi="Times New Roman" w:cs="Times New Roman"/>
        </w:rPr>
        <w:t xml:space="preserve">ed additional </w:t>
      </w:r>
      <w:r w:rsidR="00103A8F" w:rsidRPr="00975DA7">
        <w:rPr>
          <w:rFonts w:ascii="Times New Roman" w:hAnsi="Times New Roman" w:cs="Times New Roman"/>
        </w:rPr>
        <w:t>analys</w:t>
      </w:r>
      <w:r w:rsidR="00981596" w:rsidRPr="00975DA7">
        <w:rPr>
          <w:rFonts w:ascii="Times New Roman" w:hAnsi="Times New Roman" w:cs="Times New Roman"/>
        </w:rPr>
        <w:t>e</w:t>
      </w:r>
      <w:r w:rsidR="00103A8F" w:rsidRPr="00975DA7">
        <w:rPr>
          <w:rFonts w:ascii="Times New Roman" w:hAnsi="Times New Roman" w:cs="Times New Roman"/>
        </w:rPr>
        <w:t>s using Threshold-F</w:t>
      </w:r>
      <w:r w:rsidR="0029640B" w:rsidRPr="00975DA7">
        <w:rPr>
          <w:rFonts w:ascii="Times New Roman" w:hAnsi="Times New Roman" w:cs="Times New Roman"/>
        </w:rPr>
        <w:t xml:space="preserve">ree Cluster Enhancement </w:t>
      </w:r>
      <w:r w:rsidR="0029640B" w:rsidRPr="00975DA7">
        <w:rPr>
          <w:rFonts w:ascii="Times New Roman" w:hAnsi="Times New Roman" w:cs="Times New Roman"/>
        </w:rPr>
        <w:fldChar w:fldCharType="begin" w:fldLock="1"/>
      </w:r>
      <w:r w:rsidR="002530E3" w:rsidRPr="00975DA7">
        <w:rPr>
          <w:rFonts w:ascii="Times New Roman" w:hAnsi="Times New Roman" w:cs="Times New Roman"/>
        </w:rPr>
        <w:instrText>ADDIN CSL_CITATION {"citationItems":[{"id":"ITEM-1","itemData":{"DOI":"10.1016/j.neuroimage.2008.03.061","ISSN":"10538119","abstract":"Many image enhancement and thresholding techniques make use of spatial neighbourhood information to boost belief in extended areas of signal. The most common such approach in neuroimaging is cluster-based thresholding, which is often more sensitive than voxel-wise thresholding. However, a limitation is the need to define the initial cluster-forming threshold. This threshold is arbitrary, and yet its exact choice can have a large impact on the results, particularly at the lower (e.g., t, z &lt; 4) cluster-forming thresholds frequently used. Furthermore, the amount of spatial pre-smoothing is also arbitrary (given that the expected signal extent is very rarely known in advance of the analysis). In the light of such problems, we propose a new method which attempts to keep the sensitivity benefits of cluster-based thresholding (and indeed the general concept of \"clusters\" of signal), while avoiding (or at least minimising) these problems. The method takes a raw statistic image and produces an output image in which the voxel-wise values represent the amount of cluster-like local spatial support. The method is thus referred to as \"threshold-free cluster enhancement\" (TFCE). We present the TFCE approach and discuss in detail ROC-based optimisation and comparisons with cluster-based and voxel-based thresholding. We find that TFCE gives generally better sensitivity than other methods over a wide range of test signal shapes and SNR values. We also show an example on a real imaging dataset, suggesting that TFCE does indeed provide not just improved sensitivity, but richer and more interpretable output than cluster-based thresholding. © 2008 Elsevier Inc. All rights reserved.","author":[{"dropping-particle":"","family":"Smith","given":"Stephen M.","non-dropping-particle":"","parse-names":false,"suffix":""},{"dropping-particle":"","family":"Nichols","given":"Thomas E.","non-dropping-particle":"","parse-names":false,"suffix":""}],"container-title":"NeuroImage","id":"ITEM-1","issue":"1","issued":{"date-parts":[["2009"]]},"page":"83-98","publisher":"Elsevier Inc.","title":"Threshold-free cluster enhancement: Addressing problems of smoothing, threshold dependence and localisation in cluster inference","type":"article-journal","volume":"44"},"uris":["http://www.mendeley.com/documents/?uuid=3e45d86f-4a6b-4326-900b-eb727a36fac3"]}],"mendeley":{"formattedCitation":"(Smith and Nichols, 2009)","plainTextFormattedCitation":"(Smith and Nichols, 2009)","previouslyFormattedCitation":"(Smith and Nichols, 2009)"},"properties":{"noteIndex":0},"schema":"https://github.com/citation-style-language/schema/raw/master/csl-citation.json"}</w:instrText>
      </w:r>
      <w:r w:rsidR="0029640B" w:rsidRPr="00975DA7">
        <w:rPr>
          <w:rFonts w:ascii="Times New Roman" w:hAnsi="Times New Roman" w:cs="Times New Roman"/>
        </w:rPr>
        <w:fldChar w:fldCharType="separate"/>
      </w:r>
      <w:r w:rsidR="0029640B" w:rsidRPr="00975DA7">
        <w:rPr>
          <w:rFonts w:ascii="Times New Roman" w:hAnsi="Times New Roman" w:cs="Times New Roman"/>
          <w:noProof/>
        </w:rPr>
        <w:t>(Smith and Nichols, 2009)</w:t>
      </w:r>
      <w:r w:rsidR="0029640B" w:rsidRPr="00975DA7">
        <w:rPr>
          <w:rFonts w:ascii="Times New Roman" w:hAnsi="Times New Roman" w:cs="Times New Roman"/>
        </w:rPr>
        <w:fldChar w:fldCharType="end"/>
      </w:r>
      <w:r w:rsidR="0029640B" w:rsidRPr="00975DA7">
        <w:rPr>
          <w:rFonts w:ascii="Times New Roman" w:hAnsi="Times New Roman" w:cs="Times New Roman"/>
        </w:rPr>
        <w:t>.</w:t>
      </w:r>
      <w:r w:rsidR="00103A8F" w:rsidRPr="00975DA7">
        <w:rPr>
          <w:rFonts w:ascii="Times New Roman" w:hAnsi="Times New Roman" w:cs="Times New Roman"/>
        </w:rPr>
        <w:t xml:space="preserve"> All of the results shown in Figure 6 replicated for 5,000 permutations. </w:t>
      </w:r>
      <w:r w:rsidRPr="00975DA7">
        <w:rPr>
          <w:rFonts w:ascii="Times New Roman" w:hAnsi="Times New Roman" w:cs="Times New Roman"/>
        </w:rPr>
        <w:t xml:space="preserve">Full results from this </w:t>
      </w:r>
      <w:r w:rsidR="00B3085A" w:rsidRPr="00975DA7">
        <w:rPr>
          <w:rFonts w:ascii="Times New Roman" w:hAnsi="Times New Roman" w:cs="Times New Roman"/>
        </w:rPr>
        <w:t xml:space="preserve">supplementary analysis </w:t>
      </w:r>
      <w:r w:rsidRPr="00975DA7">
        <w:rPr>
          <w:rFonts w:ascii="Times New Roman" w:hAnsi="Times New Roman" w:cs="Times New Roman"/>
        </w:rPr>
        <w:t>are provided</w:t>
      </w:r>
      <w:r w:rsidR="00103A8F" w:rsidRPr="00975DA7">
        <w:rPr>
          <w:rFonts w:ascii="Times New Roman" w:hAnsi="Times New Roman" w:cs="Times New Roman"/>
        </w:rPr>
        <w:t xml:space="preserve"> in NeuroVault (</w:t>
      </w:r>
      <w:hyperlink r:id="rId20" w:history="1">
        <w:r w:rsidR="00103A8F" w:rsidRPr="00975DA7">
          <w:rPr>
            <w:rStyle w:val="Hyperlink"/>
            <w:rFonts w:ascii="Times New Roman" w:hAnsi="Times New Roman" w:cs="Times New Roman"/>
            <w:color w:val="auto"/>
          </w:rPr>
          <w:t>https://neurovault.org/collections/4683/</w:t>
        </w:r>
      </w:hyperlink>
      <w:r w:rsidR="00103A8F" w:rsidRPr="00975DA7">
        <w:rPr>
          <w:rStyle w:val="Hyperlink"/>
          <w:rFonts w:ascii="Times New Roman" w:hAnsi="Times New Roman" w:cs="Times New Roman"/>
          <w:color w:val="auto"/>
        </w:rPr>
        <w:t>).</w:t>
      </w:r>
    </w:p>
    <w:p w14:paraId="32D4F7E7" w14:textId="2D750114" w:rsidR="0059177E" w:rsidRPr="00975DA7" w:rsidRDefault="0059177E" w:rsidP="00BD085E">
      <w:pPr>
        <w:spacing w:line="360" w:lineRule="auto"/>
      </w:pPr>
      <w:r w:rsidRPr="00975DA7">
        <w:rPr>
          <w:rFonts w:ascii="Times New Roman" w:hAnsi="Times New Roman" w:cs="Times New Roman"/>
        </w:rPr>
        <w:br w:type="page"/>
      </w:r>
      <w:r w:rsidRPr="00975DA7">
        <w:rPr>
          <w:noProof/>
        </w:rPr>
        <w:lastRenderedPageBreak/>
        <w:t xml:space="preserve"> </w:t>
      </w:r>
      <w:r w:rsidR="000E5A60" w:rsidRPr="00975DA7">
        <w:rPr>
          <w:noProof/>
          <w:lang w:eastAsia="en-GB"/>
        </w:rPr>
        <w:drawing>
          <wp:inline distT="0" distB="0" distL="0" distR="0" wp14:anchorId="112592A8" wp14:editId="2769C09E">
            <wp:extent cx="5731510" cy="5410275"/>
            <wp:effectExtent l="0" t="0" r="2540" b="0"/>
            <wp:docPr id="6" name="Picture 6" descr="C:\Users\trga500\Google Drive\Publications\Laterality_Cohort_RS\Submission_Final\Reviewers\Figures\Figure 7\Figure_7_Rev6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ga500\Google Drive\Publications\Laterality_Cohort_RS\Submission_Final\Reviewers\Figures\Figure 7\Figure_7_Rev6_Fin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410275"/>
                    </a:xfrm>
                    <a:prstGeom prst="rect">
                      <a:avLst/>
                    </a:prstGeom>
                    <a:noFill/>
                    <a:ln>
                      <a:noFill/>
                    </a:ln>
                  </pic:spPr>
                </pic:pic>
              </a:graphicData>
            </a:graphic>
          </wp:inline>
        </w:drawing>
      </w:r>
    </w:p>
    <w:p w14:paraId="2F372E6A" w14:textId="50CD2246" w:rsidR="0059177E" w:rsidRPr="00975DA7" w:rsidRDefault="009279C0" w:rsidP="0059177E">
      <w:pPr>
        <w:keepNext/>
        <w:keepLines/>
        <w:rPr>
          <w:rFonts w:ascii="Times New Roman" w:hAnsi="Times New Roman" w:cs="Times New Roman"/>
        </w:rPr>
      </w:pPr>
      <w:r w:rsidRPr="00975DA7">
        <w:rPr>
          <w:rFonts w:ascii="Times New Roman" w:hAnsi="Times New Roman" w:cs="Times New Roman"/>
        </w:rPr>
        <w:t>Figure 6</w:t>
      </w:r>
      <w:r w:rsidR="0059177E" w:rsidRPr="00975DA7">
        <w:rPr>
          <w:rFonts w:ascii="Times New Roman" w:hAnsi="Times New Roman" w:cs="Times New Roman"/>
        </w:rPr>
        <w:t xml:space="preserve">. Regions associated with behavioural performance in semantic tasks as a function of their connectivity with left angular gyrus and posterior middle temporal gyrus. The scatterplots show the mean connectivity of the seed to the cluster for each participant as a function of their behavioural efficiency score in the task condition depicted in the brain images. The top panel shows results by type of stimulus, and the bottom panel by strength of association. We found no significant results for ATL and IFG. The results were projected to the surface and displayed using SurfIce for ease of viewing (non-projected results can be seen in Neurovault: </w:t>
      </w:r>
      <w:hyperlink r:id="rId22" w:history="1">
        <w:r w:rsidR="0059177E" w:rsidRPr="00975DA7">
          <w:rPr>
            <w:rStyle w:val="Hyperlink"/>
            <w:rFonts w:ascii="Times New Roman" w:hAnsi="Times New Roman" w:cs="Times New Roman"/>
          </w:rPr>
          <w:t>https://neurovault.org/collections/4683/</w:t>
        </w:r>
      </w:hyperlink>
      <w:r w:rsidR="0059177E" w:rsidRPr="00975DA7">
        <w:rPr>
          <w:rFonts w:ascii="Times New Roman" w:hAnsi="Times New Roman" w:cs="Times New Roman"/>
        </w:rPr>
        <w:t xml:space="preserve"> and their peaks can be </w:t>
      </w:r>
      <w:r w:rsidR="0091651E" w:rsidRPr="00975DA7">
        <w:rPr>
          <w:rFonts w:ascii="Times New Roman" w:hAnsi="Times New Roman" w:cs="Times New Roman"/>
        </w:rPr>
        <w:t>consulted in Table 4</w:t>
      </w:r>
      <w:r w:rsidR="0059177E" w:rsidRPr="00975DA7">
        <w:rPr>
          <w:rFonts w:ascii="Times New Roman" w:hAnsi="Times New Roman" w:cs="Times New Roman"/>
        </w:rPr>
        <w:t xml:space="preserve">). The scatterplots were produced using </w:t>
      </w:r>
      <w:r w:rsidR="00D85EA8" w:rsidRPr="00975DA7">
        <w:rPr>
          <w:rFonts w:ascii="Times New Roman" w:hAnsi="Times New Roman" w:cs="Times New Roman"/>
        </w:rPr>
        <w:t xml:space="preserve">FSL’s </w:t>
      </w:r>
      <w:r w:rsidR="0059177E" w:rsidRPr="00975DA7">
        <w:rPr>
          <w:rFonts w:ascii="Times New Roman" w:hAnsi="Times New Roman" w:cs="Times New Roman"/>
        </w:rPr>
        <w:t>featquery to extract the mean strength of connectivity between the seed and cluster.</w:t>
      </w:r>
      <w:r w:rsidR="00857925" w:rsidRPr="00975DA7">
        <w:rPr>
          <w:rFonts w:ascii="Times New Roman" w:hAnsi="Times New Roman" w:cs="Times New Roman"/>
        </w:rPr>
        <w:t xml:space="preserve"> The effects survived Bonferroni correction for four seeds and the two-way nature of our tests, with the exception of the </w:t>
      </w:r>
      <w:r w:rsidR="005B35A5" w:rsidRPr="00975DA7">
        <w:rPr>
          <w:rFonts w:ascii="Times New Roman" w:hAnsi="Times New Roman" w:cs="Times New Roman"/>
        </w:rPr>
        <w:t>AG-cerebellar cluster (p = 0.059</w:t>
      </w:r>
      <w:r w:rsidR="00857925" w:rsidRPr="00975DA7">
        <w:rPr>
          <w:rFonts w:ascii="Times New Roman" w:hAnsi="Times New Roman" w:cs="Times New Roman"/>
        </w:rPr>
        <w:t xml:space="preserve">) and the </w:t>
      </w:r>
      <w:r w:rsidR="00247CF3" w:rsidRPr="00975DA7">
        <w:rPr>
          <w:rFonts w:ascii="Times New Roman" w:hAnsi="Times New Roman" w:cs="Times New Roman"/>
        </w:rPr>
        <w:t>pMTG-</w:t>
      </w:r>
      <w:r w:rsidR="00857925" w:rsidRPr="00975DA7">
        <w:rPr>
          <w:rFonts w:ascii="Times New Roman" w:hAnsi="Times New Roman" w:cs="Times New Roman"/>
        </w:rPr>
        <w:t xml:space="preserve">right aSTG cluster for the main effect of </w:t>
      </w:r>
      <w:r w:rsidR="004E235B" w:rsidRPr="00975DA7">
        <w:rPr>
          <w:rFonts w:ascii="Times New Roman" w:hAnsi="Times New Roman" w:cs="Times New Roman"/>
        </w:rPr>
        <w:t>poor</w:t>
      </w:r>
      <w:r w:rsidR="005B35A5" w:rsidRPr="00975DA7">
        <w:rPr>
          <w:rFonts w:ascii="Times New Roman" w:hAnsi="Times New Roman" w:cs="Times New Roman"/>
        </w:rPr>
        <w:t xml:space="preserve"> weak associations (p = 0.054</w:t>
      </w:r>
      <w:r w:rsidR="00857925" w:rsidRPr="00975DA7">
        <w:rPr>
          <w:rFonts w:ascii="Times New Roman" w:hAnsi="Times New Roman" w:cs="Times New Roman"/>
        </w:rPr>
        <w:t>).</w:t>
      </w:r>
      <w:r w:rsidR="00F7671B" w:rsidRPr="00975DA7">
        <w:rPr>
          <w:rFonts w:ascii="Times New Roman" w:hAnsi="Times New Roman" w:cs="Times New Roman"/>
        </w:rPr>
        <w:t xml:space="preserve"> The </w:t>
      </w:r>
      <w:r w:rsidR="00F7671B" w:rsidRPr="00975DA7">
        <w:rPr>
          <w:rFonts w:ascii="Times New Roman" w:hAnsi="Times New Roman" w:cs="Times New Roman"/>
          <w:i/>
        </w:rPr>
        <w:t>p</w:t>
      </w:r>
      <w:r w:rsidR="00F7671B" w:rsidRPr="00975DA7">
        <w:rPr>
          <w:rFonts w:ascii="Times New Roman" w:hAnsi="Times New Roman" w:cs="Times New Roman"/>
        </w:rPr>
        <w:t xml:space="preserve"> values in the figure are Bonferroni correct</w:t>
      </w:r>
      <w:r w:rsidR="004E235B" w:rsidRPr="00975DA7">
        <w:rPr>
          <w:rFonts w:ascii="Times New Roman" w:hAnsi="Times New Roman" w:cs="Times New Roman"/>
        </w:rPr>
        <w:t xml:space="preserve">ed </w:t>
      </w:r>
      <w:r w:rsidR="00F7671B" w:rsidRPr="00975DA7">
        <w:rPr>
          <w:rFonts w:ascii="Times New Roman" w:hAnsi="Times New Roman" w:cs="Times New Roman"/>
        </w:rPr>
        <w:t>for 8 multiple comparisons.</w:t>
      </w:r>
    </w:p>
    <w:p w14:paraId="05AA5B59" w14:textId="77777777" w:rsidR="00092524" w:rsidRPr="00975DA7" w:rsidRDefault="00092524" w:rsidP="00092524">
      <w:pPr>
        <w:spacing w:line="360" w:lineRule="auto"/>
        <w:rPr>
          <w:rFonts w:ascii="Times New Roman" w:hAnsi="Times New Roman" w:cs="Times New Roman"/>
        </w:rPr>
      </w:pPr>
    </w:p>
    <w:p w14:paraId="3C0C3DA1" w14:textId="77777777" w:rsidR="0091651E" w:rsidRPr="00975DA7" w:rsidRDefault="0059177E" w:rsidP="00092524">
      <w:pPr>
        <w:spacing w:line="360" w:lineRule="auto"/>
        <w:rPr>
          <w:rFonts w:ascii="Times New Roman" w:hAnsi="Times New Roman" w:cs="Times New Roman"/>
        </w:rPr>
      </w:pPr>
      <w:r w:rsidRPr="00975DA7">
        <w:rPr>
          <w:rFonts w:ascii="Times New Roman" w:hAnsi="Times New Roman" w:cs="Times New Roman"/>
        </w:rPr>
        <w:lastRenderedPageBreak/>
        <w:t xml:space="preserve">In summary, </w:t>
      </w:r>
      <w:r w:rsidR="00092524" w:rsidRPr="00975DA7">
        <w:rPr>
          <w:rFonts w:ascii="Times New Roman" w:hAnsi="Times New Roman" w:cs="Times New Roman"/>
        </w:rPr>
        <w:t xml:space="preserve">when connectivity from left pMTG </w:t>
      </w:r>
      <w:r w:rsidR="00BF012B" w:rsidRPr="00975DA7">
        <w:rPr>
          <w:rFonts w:ascii="Times New Roman" w:hAnsi="Times New Roman" w:cs="Times New Roman"/>
        </w:rPr>
        <w:t xml:space="preserve">to other LH language regions </w:t>
      </w:r>
      <w:r w:rsidR="00092524" w:rsidRPr="00975DA7">
        <w:rPr>
          <w:rFonts w:ascii="Times New Roman" w:hAnsi="Times New Roman" w:cs="Times New Roman"/>
        </w:rPr>
        <w:t xml:space="preserve">is </w:t>
      </w:r>
      <w:r w:rsidR="00BF012B" w:rsidRPr="00975DA7">
        <w:rPr>
          <w:rFonts w:ascii="Times New Roman" w:hAnsi="Times New Roman" w:cs="Times New Roman"/>
        </w:rPr>
        <w:t xml:space="preserve">relatively </w:t>
      </w:r>
      <w:r w:rsidR="00092524" w:rsidRPr="00975DA7">
        <w:rPr>
          <w:rFonts w:ascii="Times New Roman" w:hAnsi="Times New Roman" w:cs="Times New Roman"/>
        </w:rPr>
        <w:t xml:space="preserve">strong, </w:t>
      </w:r>
      <w:r w:rsidR="00BF012B" w:rsidRPr="00975DA7">
        <w:rPr>
          <w:rFonts w:ascii="Times New Roman" w:hAnsi="Times New Roman" w:cs="Times New Roman"/>
        </w:rPr>
        <w:t xml:space="preserve">participants tend to be good at retrieving </w:t>
      </w:r>
      <w:r w:rsidR="00092524" w:rsidRPr="00975DA7">
        <w:rPr>
          <w:rFonts w:ascii="Times New Roman" w:hAnsi="Times New Roman" w:cs="Times New Roman"/>
        </w:rPr>
        <w:t>strong associations</w:t>
      </w:r>
      <w:r w:rsidR="00BF012B" w:rsidRPr="00975DA7">
        <w:rPr>
          <w:rFonts w:ascii="Times New Roman" w:hAnsi="Times New Roman" w:cs="Times New Roman"/>
        </w:rPr>
        <w:t xml:space="preserve">. In contrast, when this region shows </w:t>
      </w:r>
      <w:r w:rsidR="00092524" w:rsidRPr="00975DA7">
        <w:rPr>
          <w:rFonts w:ascii="Times New Roman" w:hAnsi="Times New Roman" w:cs="Times New Roman"/>
        </w:rPr>
        <w:t>st</w:t>
      </w:r>
      <w:r w:rsidR="00BF012B" w:rsidRPr="00975DA7">
        <w:rPr>
          <w:rFonts w:ascii="Times New Roman" w:hAnsi="Times New Roman" w:cs="Times New Roman"/>
        </w:rPr>
        <w:t>r</w:t>
      </w:r>
      <w:r w:rsidR="00092524" w:rsidRPr="00975DA7">
        <w:rPr>
          <w:rFonts w:ascii="Times New Roman" w:hAnsi="Times New Roman" w:cs="Times New Roman"/>
        </w:rPr>
        <w:t>ong</w:t>
      </w:r>
      <w:r w:rsidR="00BF012B" w:rsidRPr="00975DA7">
        <w:rPr>
          <w:rFonts w:ascii="Times New Roman" w:hAnsi="Times New Roman" w:cs="Times New Roman"/>
        </w:rPr>
        <w:t>er</w:t>
      </w:r>
      <w:r w:rsidR="00092524" w:rsidRPr="00975DA7">
        <w:rPr>
          <w:rFonts w:ascii="Times New Roman" w:hAnsi="Times New Roman" w:cs="Times New Roman"/>
        </w:rPr>
        <w:t xml:space="preserve"> connectivity to RH homologues of semantic </w:t>
      </w:r>
      <w:r w:rsidR="00BF012B" w:rsidRPr="00975DA7">
        <w:rPr>
          <w:rFonts w:ascii="Times New Roman" w:hAnsi="Times New Roman" w:cs="Times New Roman"/>
        </w:rPr>
        <w:t xml:space="preserve">processing, the retrieval of weak associations </w:t>
      </w:r>
      <w:r w:rsidR="0011581C" w:rsidRPr="00975DA7">
        <w:rPr>
          <w:rFonts w:ascii="Times New Roman" w:hAnsi="Times New Roman" w:cs="Times New Roman"/>
        </w:rPr>
        <w:t>is</w:t>
      </w:r>
      <w:r w:rsidR="00BF012B" w:rsidRPr="00975DA7">
        <w:rPr>
          <w:rFonts w:ascii="Times New Roman" w:hAnsi="Times New Roman" w:cs="Times New Roman"/>
        </w:rPr>
        <w:t xml:space="preserve"> less efficient.  These results are consistent with the view that the semantic control system is strongly left-lateralised. We also found that </w:t>
      </w:r>
      <w:r w:rsidRPr="00975DA7">
        <w:rPr>
          <w:rFonts w:ascii="Times New Roman" w:hAnsi="Times New Roman" w:cs="Times New Roman"/>
        </w:rPr>
        <w:t xml:space="preserve">when </w:t>
      </w:r>
      <w:r w:rsidR="00092524" w:rsidRPr="00975DA7">
        <w:rPr>
          <w:rFonts w:ascii="Times New Roman" w:hAnsi="Times New Roman" w:cs="Times New Roman"/>
        </w:rPr>
        <w:t>left AG has</w:t>
      </w:r>
      <w:r w:rsidRPr="00975DA7">
        <w:rPr>
          <w:rFonts w:ascii="Times New Roman" w:hAnsi="Times New Roman" w:cs="Times New Roman"/>
        </w:rPr>
        <w:t xml:space="preserve"> stronger intrinsic connectivity to visual </w:t>
      </w:r>
      <w:r w:rsidR="00092524" w:rsidRPr="00975DA7">
        <w:rPr>
          <w:rFonts w:ascii="Times New Roman" w:hAnsi="Times New Roman" w:cs="Times New Roman"/>
        </w:rPr>
        <w:t>cortex</w:t>
      </w:r>
      <w:r w:rsidRPr="00975DA7">
        <w:rPr>
          <w:rFonts w:ascii="Times New Roman" w:hAnsi="Times New Roman" w:cs="Times New Roman"/>
        </w:rPr>
        <w:t xml:space="preserve">, participants tend to </w:t>
      </w:r>
      <w:r w:rsidR="00BF012B" w:rsidRPr="00975DA7">
        <w:rPr>
          <w:rFonts w:ascii="Times New Roman" w:hAnsi="Times New Roman" w:cs="Times New Roman"/>
        </w:rPr>
        <w:t>perform</w:t>
      </w:r>
      <w:r w:rsidRPr="00975DA7">
        <w:rPr>
          <w:rFonts w:ascii="Times New Roman" w:hAnsi="Times New Roman" w:cs="Times New Roman"/>
        </w:rPr>
        <w:t xml:space="preserve"> </w:t>
      </w:r>
      <w:r w:rsidR="00092524" w:rsidRPr="00975DA7">
        <w:rPr>
          <w:rFonts w:ascii="Times New Roman" w:hAnsi="Times New Roman" w:cs="Times New Roman"/>
        </w:rPr>
        <w:t>perceptual judgements</w:t>
      </w:r>
      <w:r w:rsidR="00BF012B" w:rsidRPr="00975DA7">
        <w:rPr>
          <w:rFonts w:ascii="Times New Roman" w:hAnsi="Times New Roman" w:cs="Times New Roman"/>
        </w:rPr>
        <w:t xml:space="preserve"> less efficiently</w:t>
      </w:r>
      <w:r w:rsidR="0011581C" w:rsidRPr="00975DA7">
        <w:rPr>
          <w:rFonts w:ascii="Times New Roman" w:hAnsi="Times New Roman" w:cs="Times New Roman"/>
        </w:rPr>
        <w:t xml:space="preserve">, suggesting </w:t>
      </w:r>
      <w:r w:rsidR="00092524" w:rsidRPr="00975DA7">
        <w:rPr>
          <w:rFonts w:ascii="Times New Roman" w:hAnsi="Times New Roman" w:cs="Times New Roman"/>
        </w:rPr>
        <w:t xml:space="preserve">that semantic and perceptual information </w:t>
      </w:r>
      <w:r w:rsidR="00A23B0C" w:rsidRPr="00975DA7">
        <w:rPr>
          <w:rFonts w:ascii="Times New Roman" w:hAnsi="Times New Roman" w:cs="Times New Roman"/>
        </w:rPr>
        <w:t>might</w:t>
      </w:r>
      <w:r w:rsidR="00092524" w:rsidRPr="00975DA7">
        <w:rPr>
          <w:rFonts w:ascii="Times New Roman" w:hAnsi="Times New Roman" w:cs="Times New Roman"/>
        </w:rPr>
        <w:t xml:space="preserve"> compete</w:t>
      </w:r>
      <w:r w:rsidR="00A23B0C" w:rsidRPr="00975DA7">
        <w:rPr>
          <w:rFonts w:ascii="Times New Roman" w:hAnsi="Times New Roman" w:cs="Times New Roman"/>
        </w:rPr>
        <w:t xml:space="preserve"> for processing</w:t>
      </w:r>
      <w:r w:rsidR="00BF012B" w:rsidRPr="00975DA7">
        <w:rPr>
          <w:rFonts w:ascii="Times New Roman" w:hAnsi="Times New Roman" w:cs="Times New Roman"/>
        </w:rPr>
        <w:t xml:space="preserve"> in left AG</w:t>
      </w:r>
      <w:r w:rsidR="00092524" w:rsidRPr="00975DA7">
        <w:rPr>
          <w:rFonts w:ascii="Times New Roman" w:hAnsi="Times New Roman" w:cs="Times New Roman"/>
        </w:rPr>
        <w:t>.</w:t>
      </w:r>
    </w:p>
    <w:p w14:paraId="03F9F931" w14:textId="473AF60C" w:rsidR="00092524" w:rsidRPr="00975DA7" w:rsidRDefault="00092524" w:rsidP="00092524">
      <w:pPr>
        <w:spacing w:line="360" w:lineRule="auto"/>
        <w:rPr>
          <w:rFonts w:ascii="Times New Roman" w:hAnsi="Times New Roman" w:cs="Times New Roman"/>
        </w:rPr>
      </w:pPr>
      <w:r w:rsidRPr="00975DA7">
        <w:rPr>
          <w:rFonts w:ascii="Times New Roman" w:hAnsi="Times New Roman" w:cs="Times New Roman"/>
        </w:rPr>
        <w:t xml:space="preserve"> </w:t>
      </w:r>
    </w:p>
    <w:tbl>
      <w:tblPr>
        <w:tblStyle w:val="PlainTable21"/>
        <w:tblpPr w:leftFromText="180" w:rightFromText="180" w:vertAnchor="text" w:horzAnchor="margin" w:tblpXSpec="center" w:tblpY="321"/>
        <w:tblW w:w="10514" w:type="dxa"/>
        <w:tblLayout w:type="fixed"/>
        <w:tblLook w:val="04A0" w:firstRow="1" w:lastRow="0" w:firstColumn="1" w:lastColumn="0" w:noHBand="0" w:noVBand="1"/>
      </w:tblPr>
      <w:tblGrid>
        <w:gridCol w:w="900"/>
        <w:gridCol w:w="2274"/>
        <w:gridCol w:w="709"/>
        <w:gridCol w:w="2071"/>
        <w:gridCol w:w="850"/>
        <w:gridCol w:w="875"/>
        <w:gridCol w:w="708"/>
        <w:gridCol w:w="709"/>
        <w:gridCol w:w="709"/>
        <w:gridCol w:w="709"/>
      </w:tblGrid>
      <w:tr w:rsidR="00A23B0C" w:rsidRPr="00975DA7" w14:paraId="2987124B" w14:textId="77777777" w:rsidTr="00341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60169F55" w14:textId="77777777" w:rsidR="00A23B0C" w:rsidRPr="00975DA7" w:rsidRDefault="00A23B0C" w:rsidP="00A23B0C">
            <w:pPr>
              <w:keepNext/>
              <w:keepLines/>
              <w:rPr>
                <w:rFonts w:ascii="Times New Roman" w:hAnsi="Times New Roman" w:cs="Times New Roman"/>
              </w:rPr>
            </w:pPr>
            <w:r w:rsidRPr="00975DA7">
              <w:rPr>
                <w:rFonts w:ascii="Times New Roman" w:hAnsi="Times New Roman" w:cs="Times New Roman"/>
              </w:rPr>
              <w:t>Seed</w:t>
            </w:r>
          </w:p>
        </w:tc>
        <w:tc>
          <w:tcPr>
            <w:tcW w:w="2274" w:type="dxa"/>
          </w:tcPr>
          <w:p w14:paraId="5EEB70DF" w14:textId="77777777" w:rsidR="00A23B0C" w:rsidRPr="00975DA7" w:rsidRDefault="00A23B0C" w:rsidP="00A23B0C">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Contrast</w:t>
            </w:r>
          </w:p>
        </w:tc>
        <w:tc>
          <w:tcPr>
            <w:tcW w:w="709" w:type="dxa"/>
          </w:tcPr>
          <w:p w14:paraId="0955F18F" w14:textId="77777777" w:rsidR="00A23B0C" w:rsidRPr="00975DA7" w:rsidRDefault="00A23B0C" w:rsidP="00A23B0C">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Hem.</w:t>
            </w:r>
          </w:p>
        </w:tc>
        <w:tc>
          <w:tcPr>
            <w:tcW w:w="2071" w:type="dxa"/>
          </w:tcPr>
          <w:p w14:paraId="4120A68F" w14:textId="77777777" w:rsidR="00A23B0C" w:rsidRPr="00975DA7" w:rsidRDefault="00A23B0C" w:rsidP="00A23B0C">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Connectivity</w:t>
            </w:r>
          </w:p>
        </w:tc>
        <w:tc>
          <w:tcPr>
            <w:tcW w:w="850" w:type="dxa"/>
          </w:tcPr>
          <w:p w14:paraId="1CA28ADA" w14:textId="77777777" w:rsidR="00A23B0C" w:rsidRPr="00975DA7" w:rsidRDefault="00A23B0C" w:rsidP="00A23B0C">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Voxels</w:t>
            </w:r>
          </w:p>
        </w:tc>
        <w:tc>
          <w:tcPr>
            <w:tcW w:w="875" w:type="dxa"/>
          </w:tcPr>
          <w:p w14:paraId="22B58AF0" w14:textId="77777777" w:rsidR="00A23B0C" w:rsidRPr="00975DA7" w:rsidRDefault="00A23B0C" w:rsidP="00A23B0C">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p</w:t>
            </w:r>
          </w:p>
        </w:tc>
        <w:tc>
          <w:tcPr>
            <w:tcW w:w="708" w:type="dxa"/>
          </w:tcPr>
          <w:p w14:paraId="299FE671" w14:textId="77777777" w:rsidR="00A23B0C" w:rsidRPr="00975DA7" w:rsidRDefault="00A23B0C" w:rsidP="00A23B0C">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z</w:t>
            </w:r>
          </w:p>
        </w:tc>
        <w:tc>
          <w:tcPr>
            <w:tcW w:w="709" w:type="dxa"/>
          </w:tcPr>
          <w:p w14:paraId="76583AF0" w14:textId="77777777" w:rsidR="00A23B0C" w:rsidRPr="00975DA7" w:rsidRDefault="00A23B0C" w:rsidP="00A23B0C">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x</w:t>
            </w:r>
          </w:p>
        </w:tc>
        <w:tc>
          <w:tcPr>
            <w:tcW w:w="709" w:type="dxa"/>
          </w:tcPr>
          <w:p w14:paraId="31DA0ABD" w14:textId="77777777" w:rsidR="00A23B0C" w:rsidRPr="00975DA7" w:rsidRDefault="00A23B0C" w:rsidP="00A23B0C">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y</w:t>
            </w:r>
          </w:p>
        </w:tc>
        <w:tc>
          <w:tcPr>
            <w:tcW w:w="709" w:type="dxa"/>
          </w:tcPr>
          <w:p w14:paraId="14DAD0C0" w14:textId="77777777" w:rsidR="00A23B0C" w:rsidRPr="00975DA7" w:rsidRDefault="00A23B0C" w:rsidP="00A23B0C">
            <w:pPr>
              <w:keepNext/>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z</w:t>
            </w:r>
          </w:p>
        </w:tc>
      </w:tr>
      <w:tr w:rsidR="00A23B0C" w:rsidRPr="00975DA7" w14:paraId="2DAE3F76" w14:textId="77777777" w:rsidTr="00341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3DD59818" w14:textId="77777777" w:rsidR="00A23B0C" w:rsidRPr="00975DA7" w:rsidRDefault="00A23B0C" w:rsidP="00A23B0C">
            <w:pPr>
              <w:keepNext/>
              <w:keepLines/>
              <w:rPr>
                <w:rFonts w:ascii="Times New Roman" w:hAnsi="Times New Roman" w:cs="Times New Roman"/>
              </w:rPr>
            </w:pPr>
          </w:p>
          <w:p w14:paraId="4638AA2F" w14:textId="77777777" w:rsidR="00A23B0C" w:rsidRPr="00975DA7" w:rsidRDefault="00A23B0C" w:rsidP="00A23B0C">
            <w:pPr>
              <w:keepNext/>
              <w:keepLines/>
              <w:rPr>
                <w:rFonts w:ascii="Times New Roman" w:hAnsi="Times New Roman" w:cs="Times New Roman"/>
              </w:rPr>
            </w:pPr>
            <w:r w:rsidRPr="00975DA7">
              <w:rPr>
                <w:rFonts w:ascii="Times New Roman" w:hAnsi="Times New Roman" w:cs="Times New Roman"/>
              </w:rPr>
              <w:t>AG</w:t>
            </w:r>
          </w:p>
        </w:tc>
        <w:tc>
          <w:tcPr>
            <w:tcW w:w="2274" w:type="dxa"/>
          </w:tcPr>
          <w:p w14:paraId="06E5A246"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Semantic &gt; Perceptual</w:t>
            </w:r>
          </w:p>
        </w:tc>
        <w:tc>
          <w:tcPr>
            <w:tcW w:w="709" w:type="dxa"/>
          </w:tcPr>
          <w:p w14:paraId="328EF8B3"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L</w:t>
            </w:r>
          </w:p>
        </w:tc>
        <w:tc>
          <w:tcPr>
            <w:tcW w:w="2071" w:type="dxa"/>
          </w:tcPr>
          <w:p w14:paraId="31E7B761"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Lingual Gyrus</w:t>
            </w:r>
          </w:p>
        </w:tc>
        <w:tc>
          <w:tcPr>
            <w:tcW w:w="850" w:type="dxa"/>
          </w:tcPr>
          <w:p w14:paraId="2172E19A"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497</w:t>
            </w:r>
          </w:p>
        </w:tc>
        <w:tc>
          <w:tcPr>
            <w:tcW w:w="875" w:type="dxa"/>
          </w:tcPr>
          <w:p w14:paraId="4F4590DC" w14:textId="62E26245" w:rsidR="00A23B0C" w:rsidRPr="00975DA7" w:rsidRDefault="005B35A5"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.018</w:t>
            </w:r>
          </w:p>
        </w:tc>
        <w:tc>
          <w:tcPr>
            <w:tcW w:w="708" w:type="dxa"/>
          </w:tcPr>
          <w:p w14:paraId="3AD31F70"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4.2</w:t>
            </w:r>
          </w:p>
        </w:tc>
        <w:tc>
          <w:tcPr>
            <w:tcW w:w="709" w:type="dxa"/>
          </w:tcPr>
          <w:p w14:paraId="5069EB85"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12</w:t>
            </w:r>
          </w:p>
        </w:tc>
        <w:tc>
          <w:tcPr>
            <w:tcW w:w="709" w:type="dxa"/>
          </w:tcPr>
          <w:p w14:paraId="0A7D335F"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-86</w:t>
            </w:r>
          </w:p>
        </w:tc>
        <w:tc>
          <w:tcPr>
            <w:tcW w:w="709" w:type="dxa"/>
          </w:tcPr>
          <w:p w14:paraId="00288621"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w:t>
            </w:r>
          </w:p>
        </w:tc>
      </w:tr>
      <w:tr w:rsidR="00A23B0C" w:rsidRPr="00975DA7" w14:paraId="72D06172" w14:textId="77777777" w:rsidTr="00341103">
        <w:tc>
          <w:tcPr>
            <w:cnfStyle w:val="001000000000" w:firstRow="0" w:lastRow="0" w:firstColumn="1" w:lastColumn="0" w:oddVBand="0" w:evenVBand="0" w:oddHBand="0" w:evenHBand="0" w:firstRowFirstColumn="0" w:firstRowLastColumn="0" w:lastRowFirstColumn="0" w:lastRowLastColumn="0"/>
            <w:tcW w:w="900" w:type="dxa"/>
            <w:vMerge/>
          </w:tcPr>
          <w:p w14:paraId="10C55070" w14:textId="77777777" w:rsidR="00A23B0C" w:rsidRPr="00975DA7" w:rsidRDefault="00A23B0C" w:rsidP="00A23B0C">
            <w:pPr>
              <w:keepNext/>
              <w:keepLines/>
              <w:rPr>
                <w:rFonts w:ascii="Times New Roman" w:hAnsi="Times New Roman" w:cs="Times New Roman"/>
              </w:rPr>
            </w:pPr>
          </w:p>
        </w:tc>
        <w:tc>
          <w:tcPr>
            <w:tcW w:w="2274" w:type="dxa"/>
          </w:tcPr>
          <w:p w14:paraId="7CAB8DE2"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Bad at Perceptual</w:t>
            </w:r>
          </w:p>
        </w:tc>
        <w:tc>
          <w:tcPr>
            <w:tcW w:w="709" w:type="dxa"/>
          </w:tcPr>
          <w:p w14:paraId="5C6F15F4"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L</w:t>
            </w:r>
          </w:p>
        </w:tc>
        <w:tc>
          <w:tcPr>
            <w:tcW w:w="2071" w:type="dxa"/>
          </w:tcPr>
          <w:p w14:paraId="2CAA1F69"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Lingual Gyrus</w:t>
            </w:r>
          </w:p>
        </w:tc>
        <w:tc>
          <w:tcPr>
            <w:tcW w:w="850" w:type="dxa"/>
          </w:tcPr>
          <w:p w14:paraId="1583DCF5"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606</w:t>
            </w:r>
          </w:p>
        </w:tc>
        <w:tc>
          <w:tcPr>
            <w:tcW w:w="875" w:type="dxa"/>
          </w:tcPr>
          <w:p w14:paraId="7EC0665C" w14:textId="65C94177" w:rsidR="00A23B0C" w:rsidRPr="00975DA7" w:rsidRDefault="005B35A5"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.006</w:t>
            </w:r>
          </w:p>
        </w:tc>
        <w:tc>
          <w:tcPr>
            <w:tcW w:w="708" w:type="dxa"/>
          </w:tcPr>
          <w:p w14:paraId="3623E2F0"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4.2</w:t>
            </w:r>
          </w:p>
        </w:tc>
        <w:tc>
          <w:tcPr>
            <w:tcW w:w="709" w:type="dxa"/>
          </w:tcPr>
          <w:p w14:paraId="19C5F36C"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12</w:t>
            </w:r>
          </w:p>
        </w:tc>
        <w:tc>
          <w:tcPr>
            <w:tcW w:w="709" w:type="dxa"/>
          </w:tcPr>
          <w:p w14:paraId="5A182EBB"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-86</w:t>
            </w:r>
          </w:p>
        </w:tc>
        <w:tc>
          <w:tcPr>
            <w:tcW w:w="709" w:type="dxa"/>
          </w:tcPr>
          <w:p w14:paraId="6CC5941F"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w:t>
            </w:r>
          </w:p>
        </w:tc>
      </w:tr>
      <w:tr w:rsidR="00A23B0C" w:rsidRPr="00975DA7" w14:paraId="216D268F" w14:textId="77777777" w:rsidTr="00341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Borders>
              <w:bottom w:val="single" w:sz="4" w:space="0" w:color="auto"/>
            </w:tcBorders>
          </w:tcPr>
          <w:p w14:paraId="3F3739BE" w14:textId="77777777" w:rsidR="00A23B0C" w:rsidRPr="00975DA7" w:rsidRDefault="00A23B0C" w:rsidP="00A23B0C">
            <w:pPr>
              <w:keepNext/>
              <w:keepLines/>
              <w:rPr>
                <w:rFonts w:ascii="Times New Roman" w:hAnsi="Times New Roman" w:cs="Times New Roman"/>
              </w:rPr>
            </w:pPr>
          </w:p>
        </w:tc>
        <w:tc>
          <w:tcPr>
            <w:tcW w:w="2274" w:type="dxa"/>
            <w:tcBorders>
              <w:bottom w:val="single" w:sz="4" w:space="0" w:color="auto"/>
            </w:tcBorders>
          </w:tcPr>
          <w:p w14:paraId="44AEF415"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Weak &gt; Strong</w:t>
            </w:r>
          </w:p>
        </w:tc>
        <w:tc>
          <w:tcPr>
            <w:tcW w:w="709" w:type="dxa"/>
          </w:tcPr>
          <w:p w14:paraId="06D69D1A"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L</w:t>
            </w:r>
          </w:p>
        </w:tc>
        <w:tc>
          <w:tcPr>
            <w:tcW w:w="2071" w:type="dxa"/>
          </w:tcPr>
          <w:p w14:paraId="7255AF41" w14:textId="00C53170"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Cerebellum Crus I</w:t>
            </w:r>
          </w:p>
        </w:tc>
        <w:tc>
          <w:tcPr>
            <w:tcW w:w="850" w:type="dxa"/>
          </w:tcPr>
          <w:p w14:paraId="5C315563"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380</w:t>
            </w:r>
          </w:p>
        </w:tc>
        <w:tc>
          <w:tcPr>
            <w:tcW w:w="875" w:type="dxa"/>
          </w:tcPr>
          <w:p w14:paraId="6BA58BB5" w14:textId="1D94F78E" w:rsidR="00A23B0C" w:rsidRPr="00975DA7" w:rsidRDefault="005B35A5" w:rsidP="004E235B">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.059</w:t>
            </w:r>
            <w:r w:rsidR="004E235B" w:rsidRPr="00975DA7">
              <w:rPr>
                <w:rFonts w:ascii="Times New Roman" w:hAnsi="Times New Roman" w:cs="Times New Roman"/>
              </w:rPr>
              <w:t>, n.s</w:t>
            </w:r>
          </w:p>
        </w:tc>
        <w:tc>
          <w:tcPr>
            <w:tcW w:w="708" w:type="dxa"/>
          </w:tcPr>
          <w:p w14:paraId="48ED894D"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4.27</w:t>
            </w:r>
          </w:p>
        </w:tc>
        <w:tc>
          <w:tcPr>
            <w:tcW w:w="709" w:type="dxa"/>
          </w:tcPr>
          <w:p w14:paraId="5BB93433"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-36</w:t>
            </w:r>
          </w:p>
        </w:tc>
        <w:tc>
          <w:tcPr>
            <w:tcW w:w="709" w:type="dxa"/>
          </w:tcPr>
          <w:p w14:paraId="6B147193"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-78</w:t>
            </w:r>
          </w:p>
        </w:tc>
        <w:tc>
          <w:tcPr>
            <w:tcW w:w="709" w:type="dxa"/>
          </w:tcPr>
          <w:p w14:paraId="0A560792"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-26</w:t>
            </w:r>
          </w:p>
        </w:tc>
      </w:tr>
      <w:tr w:rsidR="00A23B0C" w:rsidRPr="00975DA7" w14:paraId="7A5CD67E" w14:textId="77777777" w:rsidTr="00341103">
        <w:trPr>
          <w:trHeight w:val="313"/>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736D1077" w14:textId="77777777" w:rsidR="00A23B0C" w:rsidRPr="00975DA7" w:rsidRDefault="00A23B0C" w:rsidP="00A23B0C">
            <w:pPr>
              <w:keepNext/>
              <w:keepLines/>
              <w:rPr>
                <w:rFonts w:ascii="Times New Roman" w:hAnsi="Times New Roman" w:cs="Times New Roman"/>
              </w:rPr>
            </w:pPr>
          </w:p>
          <w:p w14:paraId="3A1DA13D" w14:textId="77777777" w:rsidR="00A23B0C" w:rsidRPr="00975DA7" w:rsidRDefault="00A23B0C" w:rsidP="00A23B0C">
            <w:pPr>
              <w:keepNext/>
              <w:keepLines/>
              <w:rPr>
                <w:rFonts w:ascii="Times New Roman" w:hAnsi="Times New Roman" w:cs="Times New Roman"/>
              </w:rPr>
            </w:pPr>
            <w:r w:rsidRPr="00975DA7">
              <w:rPr>
                <w:rFonts w:ascii="Times New Roman" w:hAnsi="Times New Roman" w:cs="Times New Roman"/>
              </w:rPr>
              <w:t>pMTG</w:t>
            </w:r>
          </w:p>
        </w:tc>
        <w:tc>
          <w:tcPr>
            <w:tcW w:w="2274" w:type="dxa"/>
          </w:tcPr>
          <w:p w14:paraId="1DBF6C51"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Strong &gt; Weak</w:t>
            </w:r>
          </w:p>
        </w:tc>
        <w:tc>
          <w:tcPr>
            <w:tcW w:w="709" w:type="dxa"/>
          </w:tcPr>
          <w:p w14:paraId="53AB1A05"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R</w:t>
            </w:r>
          </w:p>
        </w:tc>
        <w:tc>
          <w:tcPr>
            <w:tcW w:w="2071" w:type="dxa"/>
          </w:tcPr>
          <w:p w14:paraId="66120D4D"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Planum Polare</w:t>
            </w:r>
          </w:p>
        </w:tc>
        <w:tc>
          <w:tcPr>
            <w:tcW w:w="850" w:type="dxa"/>
          </w:tcPr>
          <w:p w14:paraId="5D953ADB"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396</w:t>
            </w:r>
          </w:p>
        </w:tc>
        <w:tc>
          <w:tcPr>
            <w:tcW w:w="875" w:type="dxa"/>
          </w:tcPr>
          <w:p w14:paraId="40FFD560"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.048</w:t>
            </w:r>
          </w:p>
        </w:tc>
        <w:tc>
          <w:tcPr>
            <w:tcW w:w="708" w:type="dxa"/>
          </w:tcPr>
          <w:p w14:paraId="31A99A58"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4.94</w:t>
            </w:r>
          </w:p>
        </w:tc>
        <w:tc>
          <w:tcPr>
            <w:tcW w:w="709" w:type="dxa"/>
          </w:tcPr>
          <w:p w14:paraId="5292ECF9"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46</w:t>
            </w:r>
          </w:p>
        </w:tc>
        <w:tc>
          <w:tcPr>
            <w:tcW w:w="709" w:type="dxa"/>
          </w:tcPr>
          <w:p w14:paraId="6999DF7A"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w:t>
            </w:r>
          </w:p>
        </w:tc>
        <w:tc>
          <w:tcPr>
            <w:tcW w:w="709" w:type="dxa"/>
          </w:tcPr>
          <w:p w14:paraId="4F1F2F0D"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-8</w:t>
            </w:r>
          </w:p>
        </w:tc>
      </w:tr>
      <w:tr w:rsidR="00A23B0C" w:rsidRPr="00975DA7" w14:paraId="56C7F040" w14:textId="77777777" w:rsidTr="00341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14:paraId="569D98A2" w14:textId="77777777" w:rsidR="00A23B0C" w:rsidRPr="00975DA7" w:rsidRDefault="00A23B0C" w:rsidP="00A23B0C">
            <w:pPr>
              <w:keepNext/>
              <w:keepLines/>
              <w:rPr>
                <w:rFonts w:ascii="Times New Roman" w:hAnsi="Times New Roman" w:cs="Times New Roman"/>
              </w:rPr>
            </w:pPr>
          </w:p>
        </w:tc>
        <w:tc>
          <w:tcPr>
            <w:tcW w:w="2274" w:type="dxa"/>
          </w:tcPr>
          <w:p w14:paraId="76F5583D"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Bad at Weak</w:t>
            </w:r>
          </w:p>
        </w:tc>
        <w:tc>
          <w:tcPr>
            <w:tcW w:w="709" w:type="dxa"/>
          </w:tcPr>
          <w:p w14:paraId="3D4710C0"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R</w:t>
            </w:r>
          </w:p>
        </w:tc>
        <w:tc>
          <w:tcPr>
            <w:tcW w:w="2071" w:type="dxa"/>
          </w:tcPr>
          <w:p w14:paraId="6A5A6180" w14:textId="11AADF08"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Planum Polare</w:t>
            </w:r>
          </w:p>
        </w:tc>
        <w:tc>
          <w:tcPr>
            <w:tcW w:w="850" w:type="dxa"/>
          </w:tcPr>
          <w:p w14:paraId="285B5DD8"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385</w:t>
            </w:r>
          </w:p>
        </w:tc>
        <w:tc>
          <w:tcPr>
            <w:tcW w:w="875" w:type="dxa"/>
          </w:tcPr>
          <w:p w14:paraId="542BE1FD" w14:textId="3BFE444A" w:rsidR="00A23B0C" w:rsidRPr="00975DA7" w:rsidRDefault="000F693F" w:rsidP="004E235B">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.054</w:t>
            </w:r>
            <w:r w:rsidR="004E235B" w:rsidRPr="00975DA7">
              <w:rPr>
                <w:rFonts w:ascii="Times New Roman" w:hAnsi="Times New Roman" w:cs="Times New Roman"/>
              </w:rPr>
              <w:t>, n.s</w:t>
            </w:r>
          </w:p>
        </w:tc>
        <w:tc>
          <w:tcPr>
            <w:tcW w:w="708" w:type="dxa"/>
          </w:tcPr>
          <w:p w14:paraId="32897B6E"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4.63</w:t>
            </w:r>
          </w:p>
        </w:tc>
        <w:tc>
          <w:tcPr>
            <w:tcW w:w="709" w:type="dxa"/>
          </w:tcPr>
          <w:p w14:paraId="5F51009A"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46</w:t>
            </w:r>
          </w:p>
        </w:tc>
        <w:tc>
          <w:tcPr>
            <w:tcW w:w="709" w:type="dxa"/>
          </w:tcPr>
          <w:p w14:paraId="41910563"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w:t>
            </w:r>
          </w:p>
        </w:tc>
        <w:tc>
          <w:tcPr>
            <w:tcW w:w="709" w:type="dxa"/>
          </w:tcPr>
          <w:p w14:paraId="738880F3" w14:textId="77777777" w:rsidR="00A23B0C" w:rsidRPr="00975DA7" w:rsidRDefault="00A23B0C" w:rsidP="00A23B0C">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-8</w:t>
            </w:r>
          </w:p>
        </w:tc>
      </w:tr>
      <w:tr w:rsidR="00A23B0C" w:rsidRPr="00975DA7" w14:paraId="2B48C0DF" w14:textId="77777777" w:rsidTr="00341103">
        <w:tc>
          <w:tcPr>
            <w:cnfStyle w:val="001000000000" w:firstRow="0" w:lastRow="0" w:firstColumn="1" w:lastColumn="0" w:oddVBand="0" w:evenVBand="0" w:oddHBand="0" w:evenHBand="0" w:firstRowFirstColumn="0" w:firstRowLastColumn="0" w:lastRowFirstColumn="0" w:lastRowLastColumn="0"/>
            <w:tcW w:w="900" w:type="dxa"/>
            <w:vMerge/>
          </w:tcPr>
          <w:p w14:paraId="4F589866" w14:textId="77777777" w:rsidR="00A23B0C" w:rsidRPr="00975DA7" w:rsidRDefault="00A23B0C" w:rsidP="00A23B0C">
            <w:pPr>
              <w:keepNext/>
              <w:keepLines/>
              <w:rPr>
                <w:rFonts w:ascii="Times New Roman" w:hAnsi="Times New Roman" w:cs="Times New Roman"/>
              </w:rPr>
            </w:pPr>
          </w:p>
        </w:tc>
        <w:tc>
          <w:tcPr>
            <w:tcW w:w="2274" w:type="dxa"/>
          </w:tcPr>
          <w:p w14:paraId="14DB5008"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 xml:space="preserve">Good at Strong </w:t>
            </w:r>
          </w:p>
        </w:tc>
        <w:tc>
          <w:tcPr>
            <w:tcW w:w="709" w:type="dxa"/>
          </w:tcPr>
          <w:p w14:paraId="3C9A079E"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L</w:t>
            </w:r>
          </w:p>
        </w:tc>
        <w:tc>
          <w:tcPr>
            <w:tcW w:w="2071" w:type="dxa"/>
          </w:tcPr>
          <w:p w14:paraId="7C230186"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Parietal Operculum</w:t>
            </w:r>
          </w:p>
        </w:tc>
        <w:tc>
          <w:tcPr>
            <w:tcW w:w="850" w:type="dxa"/>
          </w:tcPr>
          <w:p w14:paraId="65FE7CAB"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443</w:t>
            </w:r>
          </w:p>
        </w:tc>
        <w:tc>
          <w:tcPr>
            <w:tcW w:w="875" w:type="dxa"/>
          </w:tcPr>
          <w:p w14:paraId="6F01AA39" w14:textId="7FC34E0F" w:rsidR="00A23B0C" w:rsidRPr="00975DA7" w:rsidRDefault="000F693F"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.029</w:t>
            </w:r>
          </w:p>
        </w:tc>
        <w:tc>
          <w:tcPr>
            <w:tcW w:w="708" w:type="dxa"/>
          </w:tcPr>
          <w:p w14:paraId="2DEC4172"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4.96</w:t>
            </w:r>
          </w:p>
        </w:tc>
        <w:tc>
          <w:tcPr>
            <w:tcW w:w="709" w:type="dxa"/>
          </w:tcPr>
          <w:p w14:paraId="5B978C40"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-54</w:t>
            </w:r>
          </w:p>
        </w:tc>
        <w:tc>
          <w:tcPr>
            <w:tcW w:w="709" w:type="dxa"/>
          </w:tcPr>
          <w:p w14:paraId="5FEC6B49"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-34</w:t>
            </w:r>
          </w:p>
        </w:tc>
        <w:tc>
          <w:tcPr>
            <w:tcW w:w="709" w:type="dxa"/>
          </w:tcPr>
          <w:p w14:paraId="0BDCA8EA" w14:textId="77777777" w:rsidR="00A23B0C" w:rsidRPr="00975DA7" w:rsidRDefault="00A23B0C" w:rsidP="00A23B0C">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75DA7">
              <w:rPr>
                <w:rFonts w:ascii="Times New Roman" w:hAnsi="Times New Roman" w:cs="Times New Roman"/>
              </w:rPr>
              <w:t>20</w:t>
            </w:r>
          </w:p>
        </w:tc>
      </w:tr>
    </w:tbl>
    <w:p w14:paraId="10849DB5" w14:textId="77777777" w:rsidR="0059177E" w:rsidRPr="00975DA7" w:rsidRDefault="0059177E" w:rsidP="0059177E">
      <w:pPr>
        <w:rPr>
          <w:rFonts w:ascii="Times New Roman" w:hAnsi="Times New Roman" w:cs="Times New Roman"/>
        </w:rPr>
      </w:pPr>
    </w:p>
    <w:p w14:paraId="75704568" w14:textId="6184444C" w:rsidR="0059177E" w:rsidRPr="00975DA7" w:rsidRDefault="0091651E" w:rsidP="00F56DCA">
      <w:pPr>
        <w:keepNext/>
        <w:keepLines/>
        <w:rPr>
          <w:rFonts w:ascii="Times New Roman" w:hAnsi="Times New Roman" w:cs="Times New Roman"/>
        </w:rPr>
      </w:pPr>
      <w:r w:rsidRPr="00975DA7">
        <w:rPr>
          <w:rFonts w:ascii="Times New Roman" w:hAnsi="Times New Roman" w:cs="Times New Roman"/>
        </w:rPr>
        <w:t>Table 4</w:t>
      </w:r>
      <w:r w:rsidR="0059177E" w:rsidRPr="00975DA7">
        <w:rPr>
          <w:rFonts w:ascii="Times New Roman" w:hAnsi="Times New Roman" w:cs="Times New Roman"/>
        </w:rPr>
        <w:t xml:space="preserve">. Peak coordinates for </w:t>
      </w:r>
      <w:r w:rsidR="004E235B" w:rsidRPr="00975DA7">
        <w:rPr>
          <w:rFonts w:ascii="Times New Roman" w:hAnsi="Times New Roman" w:cs="Times New Roman"/>
        </w:rPr>
        <w:t xml:space="preserve">behavioural regression results. p values are reported after applying </w:t>
      </w:r>
      <w:r w:rsidR="00F56DCA" w:rsidRPr="00975DA7">
        <w:rPr>
          <w:rFonts w:ascii="Times New Roman" w:hAnsi="Times New Roman" w:cs="Times New Roman"/>
        </w:rPr>
        <w:t>Bonferroni</w:t>
      </w:r>
      <w:r w:rsidR="0059177E" w:rsidRPr="00975DA7">
        <w:rPr>
          <w:rFonts w:ascii="Times New Roman" w:hAnsi="Times New Roman" w:cs="Times New Roman"/>
        </w:rPr>
        <w:t xml:space="preserve"> correcti</w:t>
      </w:r>
      <w:r w:rsidR="006D4D68" w:rsidRPr="00975DA7">
        <w:rPr>
          <w:rFonts w:ascii="Times New Roman" w:hAnsi="Times New Roman" w:cs="Times New Roman"/>
        </w:rPr>
        <w:t xml:space="preserve">on for </w:t>
      </w:r>
      <w:r w:rsidR="00F56DCA" w:rsidRPr="00975DA7">
        <w:rPr>
          <w:rFonts w:ascii="Times New Roman" w:hAnsi="Times New Roman" w:cs="Times New Roman"/>
        </w:rPr>
        <w:t>8</w:t>
      </w:r>
      <w:r w:rsidR="006D4D68" w:rsidRPr="00975DA7">
        <w:rPr>
          <w:rFonts w:ascii="Times New Roman" w:hAnsi="Times New Roman" w:cs="Times New Roman"/>
        </w:rPr>
        <w:t xml:space="preserve"> multiple comparisons</w:t>
      </w:r>
      <w:r w:rsidR="00F56DCA" w:rsidRPr="00975DA7">
        <w:rPr>
          <w:rFonts w:ascii="Times New Roman" w:hAnsi="Times New Roman" w:cs="Times New Roman"/>
        </w:rPr>
        <w:t xml:space="preserve"> (to account for 4 seed regions and the two-tailed nature of our tests). </w:t>
      </w:r>
      <w:r w:rsidR="004E235B" w:rsidRPr="00975DA7">
        <w:rPr>
          <w:rFonts w:ascii="Times New Roman" w:hAnsi="Times New Roman" w:cs="Times New Roman"/>
        </w:rPr>
        <w:t xml:space="preserve">For completeness, all results where p &lt; .1 are shown, including </w:t>
      </w:r>
      <w:r w:rsidR="00464DAA" w:rsidRPr="00975DA7">
        <w:rPr>
          <w:rFonts w:ascii="Times New Roman" w:hAnsi="Times New Roman" w:cs="Times New Roman"/>
        </w:rPr>
        <w:t xml:space="preserve">two </w:t>
      </w:r>
      <w:r w:rsidR="004E235B" w:rsidRPr="00975DA7">
        <w:rPr>
          <w:rFonts w:ascii="Times New Roman" w:hAnsi="Times New Roman" w:cs="Times New Roman"/>
        </w:rPr>
        <w:t>non-significant results. T</w:t>
      </w:r>
      <w:r w:rsidR="0059177E" w:rsidRPr="00975DA7">
        <w:rPr>
          <w:rFonts w:ascii="Times New Roman" w:hAnsi="Times New Roman" w:cs="Times New Roman"/>
        </w:rPr>
        <w:t xml:space="preserve">he coordinates are given in MNI (mm) and the labels were obtained from the Harvard-Oxford Cortical Structural Atlas and Cerebellar Atlas in MNI152 space after normalisation with FLIRT. </w:t>
      </w:r>
      <w:r w:rsidR="004E235B" w:rsidRPr="00975DA7">
        <w:rPr>
          <w:rFonts w:ascii="Times New Roman" w:hAnsi="Times New Roman" w:cs="Times New Roman"/>
        </w:rPr>
        <w:t xml:space="preserve">Full maps </w:t>
      </w:r>
      <w:r w:rsidR="0059177E" w:rsidRPr="00975DA7">
        <w:rPr>
          <w:rFonts w:ascii="Times New Roman" w:hAnsi="Times New Roman" w:cs="Times New Roman"/>
        </w:rPr>
        <w:t>are provided on Neurovault (</w:t>
      </w:r>
      <w:hyperlink r:id="rId23" w:history="1">
        <w:r w:rsidR="0059177E" w:rsidRPr="00975DA7">
          <w:rPr>
            <w:rStyle w:val="Hyperlink"/>
            <w:rFonts w:ascii="Times New Roman" w:hAnsi="Times New Roman" w:cs="Times New Roman"/>
          </w:rPr>
          <w:t>https://neurovault.org/collections/4683/</w:t>
        </w:r>
      </w:hyperlink>
      <w:r w:rsidR="0059177E" w:rsidRPr="00975DA7">
        <w:rPr>
          <w:rFonts w:ascii="Times New Roman" w:hAnsi="Times New Roman" w:cs="Times New Roman"/>
        </w:rPr>
        <w:t>)</w:t>
      </w:r>
      <w:r w:rsidR="004E235B" w:rsidRPr="00975DA7">
        <w:rPr>
          <w:rFonts w:ascii="Times New Roman" w:hAnsi="Times New Roman" w:cs="Times New Roman"/>
        </w:rPr>
        <w:t>.</w:t>
      </w:r>
    </w:p>
    <w:p w14:paraId="6F238BC8" w14:textId="77777777" w:rsidR="0059177E" w:rsidRPr="00975DA7" w:rsidRDefault="0059177E" w:rsidP="0059177E">
      <w:pPr>
        <w:rPr>
          <w:rFonts w:ascii="Times New Roman" w:hAnsi="Times New Roman" w:cs="Times New Roman"/>
        </w:rPr>
      </w:pPr>
    </w:p>
    <w:p w14:paraId="69525073" w14:textId="77777777" w:rsidR="0059177E" w:rsidRPr="00975DA7" w:rsidRDefault="0059177E">
      <w:pPr>
        <w:rPr>
          <w:rFonts w:ascii="Times New Roman" w:hAnsi="Times New Roman" w:cs="Times New Roman"/>
          <w:b/>
        </w:rPr>
      </w:pPr>
      <w:r w:rsidRPr="00975DA7">
        <w:rPr>
          <w:rFonts w:ascii="Times New Roman" w:hAnsi="Times New Roman" w:cs="Times New Roman"/>
          <w:b/>
        </w:rPr>
        <w:br w:type="page"/>
      </w:r>
    </w:p>
    <w:p w14:paraId="15E53A13" w14:textId="75AE45FA" w:rsidR="0059177E" w:rsidRPr="00975DA7" w:rsidRDefault="005B44BE" w:rsidP="0059177E">
      <w:pPr>
        <w:jc w:val="center"/>
        <w:rPr>
          <w:rFonts w:ascii="Times New Roman" w:hAnsi="Times New Roman" w:cs="Times New Roman"/>
          <w:b/>
        </w:rPr>
      </w:pPr>
      <w:r w:rsidRPr="00975DA7">
        <w:rPr>
          <w:rFonts w:ascii="Times New Roman" w:hAnsi="Times New Roman" w:cs="Times New Roman"/>
          <w:b/>
        </w:rPr>
        <w:lastRenderedPageBreak/>
        <w:t xml:space="preserve">4. </w:t>
      </w:r>
      <w:r w:rsidR="0059177E" w:rsidRPr="00975DA7">
        <w:rPr>
          <w:rFonts w:ascii="Times New Roman" w:hAnsi="Times New Roman" w:cs="Times New Roman"/>
          <w:b/>
        </w:rPr>
        <w:t>Discussion</w:t>
      </w:r>
    </w:p>
    <w:p w14:paraId="143E0B11" w14:textId="1C0BED00" w:rsidR="004B60D0" w:rsidRPr="00975DA7" w:rsidRDefault="0059177E" w:rsidP="003C5F3C">
      <w:pPr>
        <w:spacing w:line="360" w:lineRule="auto"/>
        <w:rPr>
          <w:rFonts w:ascii="Times New Roman" w:hAnsi="Times New Roman" w:cs="Times New Roman"/>
        </w:rPr>
      </w:pPr>
      <w:r w:rsidRPr="00975DA7">
        <w:rPr>
          <w:rFonts w:ascii="Times New Roman" w:hAnsi="Times New Roman" w:cs="Times New Roman"/>
        </w:rPr>
        <w:t xml:space="preserve">This study </w:t>
      </w:r>
      <w:r w:rsidR="00D00BC4" w:rsidRPr="00975DA7">
        <w:rPr>
          <w:rFonts w:ascii="Times New Roman" w:hAnsi="Times New Roman" w:cs="Times New Roman"/>
        </w:rPr>
        <w:t>characterised</w:t>
      </w:r>
      <w:r w:rsidRPr="00975DA7">
        <w:rPr>
          <w:rFonts w:ascii="Times New Roman" w:hAnsi="Times New Roman" w:cs="Times New Roman"/>
        </w:rPr>
        <w:t xml:space="preserve"> </w:t>
      </w:r>
      <w:r w:rsidR="00D00BC4" w:rsidRPr="00975DA7">
        <w:rPr>
          <w:rFonts w:ascii="Times New Roman" w:hAnsi="Times New Roman" w:cs="Times New Roman"/>
        </w:rPr>
        <w:t xml:space="preserve">similarities and differences in intrinsic connectivity </w:t>
      </w:r>
      <w:r w:rsidR="00162212" w:rsidRPr="00975DA7">
        <w:rPr>
          <w:rFonts w:ascii="Times New Roman" w:hAnsi="Times New Roman" w:cs="Times New Roman"/>
        </w:rPr>
        <w:t>between</w:t>
      </w:r>
      <w:r w:rsidR="00D00BC4" w:rsidRPr="00975DA7">
        <w:rPr>
          <w:rFonts w:ascii="Times New Roman" w:hAnsi="Times New Roman" w:cs="Times New Roman"/>
        </w:rPr>
        <w:t xml:space="preserve"> LH sites implicated in semantic cognition, and their RH homotopes, and explored the functional significance of individual differences in </w:t>
      </w:r>
      <w:r w:rsidR="00162212" w:rsidRPr="00975DA7">
        <w:rPr>
          <w:rFonts w:ascii="Times New Roman" w:hAnsi="Times New Roman" w:cs="Times New Roman"/>
        </w:rPr>
        <w:t>these</w:t>
      </w:r>
      <w:r w:rsidR="00D00BC4" w:rsidRPr="00975DA7">
        <w:rPr>
          <w:rFonts w:ascii="Times New Roman" w:hAnsi="Times New Roman" w:cs="Times New Roman"/>
        </w:rPr>
        <w:t xml:space="preserve"> connectivity</w:t>
      </w:r>
      <w:r w:rsidR="00162212" w:rsidRPr="00975DA7">
        <w:rPr>
          <w:rFonts w:ascii="Times New Roman" w:hAnsi="Times New Roman" w:cs="Times New Roman"/>
        </w:rPr>
        <w:t xml:space="preserve"> patterns</w:t>
      </w:r>
      <w:r w:rsidR="00D00BC4" w:rsidRPr="00975DA7">
        <w:rPr>
          <w:rFonts w:ascii="Times New Roman" w:hAnsi="Times New Roman" w:cs="Times New Roman"/>
        </w:rPr>
        <w:t xml:space="preserve">. Since distinct neurocognitive components are thought to underpin semantic representation and control processes, we focussed on whether there are differences in the lateralisation of these components. </w:t>
      </w:r>
      <w:r w:rsidR="00B17956" w:rsidRPr="00975DA7">
        <w:rPr>
          <w:rFonts w:ascii="Times New Roman" w:hAnsi="Times New Roman" w:cs="Times New Roman"/>
        </w:rPr>
        <w:t xml:space="preserve">We found that intrinsic connectivity </w:t>
      </w:r>
      <w:r w:rsidR="00162212" w:rsidRPr="00975DA7">
        <w:rPr>
          <w:rFonts w:ascii="Times New Roman" w:hAnsi="Times New Roman" w:cs="Times New Roman"/>
        </w:rPr>
        <w:t>analyses</w:t>
      </w:r>
      <w:r w:rsidR="00B17956" w:rsidRPr="00975DA7">
        <w:rPr>
          <w:rFonts w:ascii="Times New Roman" w:hAnsi="Times New Roman" w:cs="Times New Roman"/>
        </w:rPr>
        <w:t xml:space="preserve"> were consistent with the view that the semantic system is not homogeneous</w:t>
      </w:r>
      <w:r w:rsidR="00EC5F26" w:rsidRPr="00975DA7">
        <w:rPr>
          <w:rFonts w:ascii="Times New Roman" w:hAnsi="Times New Roman" w:cs="Times New Roman"/>
        </w:rPr>
        <w:t>:</w:t>
      </w:r>
      <w:r w:rsidR="00B17956" w:rsidRPr="00975DA7">
        <w:rPr>
          <w:rFonts w:ascii="Times New Roman" w:hAnsi="Times New Roman" w:cs="Times New Roman"/>
        </w:rPr>
        <w:t xml:space="preserve"> sites implicated in semantic control – IFG and pMTG – were more strongly connected to each other than they were to </w:t>
      </w:r>
      <w:r w:rsidR="00EC5F26" w:rsidRPr="00975DA7">
        <w:rPr>
          <w:rFonts w:ascii="Times New Roman" w:hAnsi="Times New Roman" w:cs="Times New Roman"/>
        </w:rPr>
        <w:t xml:space="preserve">other </w:t>
      </w:r>
      <w:r w:rsidR="003C4F6C" w:rsidRPr="00975DA7">
        <w:rPr>
          <w:rFonts w:ascii="Times New Roman" w:hAnsi="Times New Roman" w:cs="Times New Roman"/>
        </w:rPr>
        <w:t xml:space="preserve">semantic </w:t>
      </w:r>
      <w:r w:rsidR="00EC5F26" w:rsidRPr="00975DA7">
        <w:rPr>
          <w:rFonts w:ascii="Times New Roman" w:hAnsi="Times New Roman" w:cs="Times New Roman"/>
        </w:rPr>
        <w:t>sites (ATL and AG). The</w:t>
      </w:r>
      <w:r w:rsidR="00B17956" w:rsidRPr="00975DA7">
        <w:rPr>
          <w:rFonts w:ascii="Times New Roman" w:hAnsi="Times New Roman" w:cs="Times New Roman"/>
        </w:rPr>
        <w:t xml:space="preserve"> semantic control network was also strongly left-lateralised, since the connectivity between IFG and pMTG was stronger in the LH than RH</w:t>
      </w:r>
      <w:r w:rsidR="003C4F6C" w:rsidRPr="00975DA7">
        <w:rPr>
          <w:rFonts w:ascii="Times New Roman" w:hAnsi="Times New Roman" w:cs="Times New Roman"/>
        </w:rPr>
        <w:t xml:space="preserve"> – </w:t>
      </w:r>
      <w:r w:rsidR="00B17956" w:rsidRPr="00975DA7">
        <w:rPr>
          <w:rFonts w:ascii="Times New Roman" w:hAnsi="Times New Roman" w:cs="Times New Roman"/>
        </w:rPr>
        <w:t xml:space="preserve">and this </w:t>
      </w:r>
      <w:r w:rsidR="00162212" w:rsidRPr="00975DA7">
        <w:rPr>
          <w:rFonts w:ascii="Times New Roman" w:hAnsi="Times New Roman" w:cs="Times New Roman"/>
        </w:rPr>
        <w:t xml:space="preserve">lateralisation in connectivity </w:t>
      </w:r>
      <w:r w:rsidR="00B17956" w:rsidRPr="00975DA7">
        <w:rPr>
          <w:rFonts w:ascii="Times New Roman" w:hAnsi="Times New Roman" w:cs="Times New Roman"/>
        </w:rPr>
        <w:t xml:space="preserve">was unique to this pair of seeds. </w:t>
      </w:r>
      <w:r w:rsidR="006E589C" w:rsidRPr="00975DA7">
        <w:rPr>
          <w:rFonts w:ascii="Times New Roman" w:hAnsi="Times New Roman" w:cs="Times New Roman"/>
        </w:rPr>
        <w:t xml:space="preserve">Conversely, </w:t>
      </w:r>
      <w:r w:rsidR="00EC5F26" w:rsidRPr="00975DA7">
        <w:rPr>
          <w:rFonts w:ascii="Times New Roman" w:hAnsi="Times New Roman" w:cs="Times New Roman"/>
        </w:rPr>
        <w:t>ventral ATL</w:t>
      </w:r>
      <w:r w:rsidR="00D00BC4" w:rsidRPr="00975DA7">
        <w:rPr>
          <w:rFonts w:ascii="Times New Roman" w:hAnsi="Times New Roman" w:cs="Times New Roman"/>
        </w:rPr>
        <w:t xml:space="preserve"> implicated in semantic representation showed </w:t>
      </w:r>
      <w:r w:rsidR="00D74708" w:rsidRPr="00975DA7">
        <w:rPr>
          <w:rFonts w:ascii="Times New Roman" w:hAnsi="Times New Roman" w:cs="Times New Roman"/>
        </w:rPr>
        <w:t>the most</w:t>
      </w:r>
      <w:r w:rsidR="00D00BC4" w:rsidRPr="00975DA7">
        <w:rPr>
          <w:rFonts w:ascii="Times New Roman" w:hAnsi="Times New Roman" w:cs="Times New Roman"/>
        </w:rPr>
        <w:t xml:space="preserve"> symmetrical connectivity</w:t>
      </w:r>
      <w:r w:rsidR="00D74708" w:rsidRPr="00975DA7">
        <w:rPr>
          <w:rFonts w:ascii="Times New Roman" w:hAnsi="Times New Roman" w:cs="Times New Roman"/>
        </w:rPr>
        <w:t xml:space="preserve">, consistent with the view that this site is a bilateral ‘hub’. </w:t>
      </w:r>
      <w:r w:rsidRPr="00975DA7">
        <w:rPr>
          <w:rFonts w:ascii="Times New Roman" w:hAnsi="Times New Roman" w:cs="Times New Roman"/>
        </w:rPr>
        <w:t xml:space="preserve">Cognitive decoding </w:t>
      </w:r>
      <w:r w:rsidR="003C5F3C" w:rsidRPr="00975DA7">
        <w:rPr>
          <w:rFonts w:ascii="Times New Roman" w:hAnsi="Times New Roman" w:cs="Times New Roman"/>
        </w:rPr>
        <w:t>of</w:t>
      </w:r>
      <w:r w:rsidRPr="00975DA7">
        <w:rPr>
          <w:rFonts w:ascii="Times New Roman" w:hAnsi="Times New Roman" w:cs="Times New Roman"/>
        </w:rPr>
        <w:t xml:space="preserve"> differences </w:t>
      </w:r>
      <w:r w:rsidR="003C5F3C" w:rsidRPr="00975DA7">
        <w:rPr>
          <w:rFonts w:ascii="Times New Roman" w:hAnsi="Times New Roman" w:cs="Times New Roman"/>
        </w:rPr>
        <w:t xml:space="preserve">in the topology of connectivity across LH and RH found semantic, </w:t>
      </w:r>
      <w:r w:rsidRPr="00975DA7">
        <w:rPr>
          <w:rFonts w:ascii="Times New Roman" w:hAnsi="Times New Roman" w:cs="Times New Roman"/>
        </w:rPr>
        <w:t>language</w:t>
      </w:r>
      <w:r w:rsidR="003C5F3C" w:rsidRPr="00975DA7">
        <w:rPr>
          <w:rFonts w:ascii="Times New Roman" w:hAnsi="Times New Roman" w:cs="Times New Roman"/>
        </w:rPr>
        <w:t xml:space="preserve"> and motor</w:t>
      </w:r>
      <w:r w:rsidRPr="00975DA7">
        <w:rPr>
          <w:rFonts w:ascii="Times New Roman" w:hAnsi="Times New Roman" w:cs="Times New Roman"/>
        </w:rPr>
        <w:t xml:space="preserve"> terms</w:t>
      </w:r>
      <w:r w:rsidR="003C4F6C" w:rsidRPr="00975DA7">
        <w:rPr>
          <w:rFonts w:ascii="Times New Roman" w:hAnsi="Times New Roman" w:cs="Times New Roman"/>
        </w:rPr>
        <w:t xml:space="preserve"> for LH </w:t>
      </w:r>
      <w:r w:rsidR="003C5F3C" w:rsidRPr="00975DA7">
        <w:rPr>
          <w:rFonts w:ascii="Times New Roman" w:hAnsi="Times New Roman" w:cs="Times New Roman"/>
        </w:rPr>
        <w:t xml:space="preserve">semantic </w:t>
      </w:r>
      <w:r w:rsidR="003C4F6C" w:rsidRPr="00975DA7">
        <w:rPr>
          <w:rFonts w:ascii="Times New Roman" w:hAnsi="Times New Roman" w:cs="Times New Roman"/>
        </w:rPr>
        <w:t>seeds, and terms related to visual attention</w:t>
      </w:r>
      <w:r w:rsidR="003C5F3C" w:rsidRPr="00975DA7">
        <w:rPr>
          <w:rFonts w:ascii="Times New Roman" w:hAnsi="Times New Roman" w:cs="Times New Roman"/>
        </w:rPr>
        <w:t>, spatial processing and navigation</w:t>
      </w:r>
      <w:r w:rsidR="003C4F6C" w:rsidRPr="00975DA7">
        <w:rPr>
          <w:rFonts w:ascii="Times New Roman" w:hAnsi="Times New Roman" w:cs="Times New Roman"/>
        </w:rPr>
        <w:t xml:space="preserve"> for RH seeds</w:t>
      </w:r>
      <w:r w:rsidR="003C5F3C" w:rsidRPr="00975DA7">
        <w:rPr>
          <w:rFonts w:ascii="Times New Roman" w:hAnsi="Times New Roman" w:cs="Times New Roman"/>
        </w:rPr>
        <w:t>, suggesting that distinct patterns of connectivity across the hemispheres relates to the lateralisation of semantic cognition in the LH</w:t>
      </w:r>
      <w:r w:rsidR="00162212" w:rsidRPr="00975DA7">
        <w:rPr>
          <w:rFonts w:ascii="Times New Roman" w:hAnsi="Times New Roman" w:cs="Times New Roman"/>
        </w:rPr>
        <w:t>, and potentially the right lateralised nature of other functions such as spatial attention.</w:t>
      </w:r>
      <w:r w:rsidR="009A6E4A" w:rsidRPr="00975DA7">
        <w:rPr>
          <w:rFonts w:ascii="Times New Roman" w:hAnsi="Times New Roman" w:cs="Times New Roman"/>
        </w:rPr>
        <w:t xml:space="preserve"> </w:t>
      </w:r>
    </w:p>
    <w:p w14:paraId="44AD67C2" w14:textId="2A92DA15" w:rsidR="00BA4EC9" w:rsidRPr="00975DA7" w:rsidRDefault="003C4F6C" w:rsidP="00BA4EC9">
      <w:pPr>
        <w:spacing w:line="360" w:lineRule="auto"/>
        <w:rPr>
          <w:rFonts w:ascii="Times New Roman" w:hAnsi="Times New Roman" w:cs="Times New Roman"/>
        </w:rPr>
      </w:pPr>
      <w:r w:rsidRPr="00975DA7">
        <w:rPr>
          <w:rFonts w:ascii="Times New Roman" w:hAnsi="Times New Roman" w:cs="Times New Roman"/>
        </w:rPr>
        <w:t>Individual d</w:t>
      </w:r>
      <w:r w:rsidR="0059177E" w:rsidRPr="00975DA7">
        <w:rPr>
          <w:rFonts w:ascii="Times New Roman" w:hAnsi="Times New Roman" w:cs="Times New Roman"/>
        </w:rPr>
        <w:t xml:space="preserve">ifferences in </w:t>
      </w:r>
      <w:r w:rsidRPr="00975DA7">
        <w:rPr>
          <w:rFonts w:ascii="Times New Roman" w:hAnsi="Times New Roman" w:cs="Times New Roman"/>
        </w:rPr>
        <w:t xml:space="preserve">intrinsic </w:t>
      </w:r>
      <w:r w:rsidR="0059177E" w:rsidRPr="00975DA7">
        <w:rPr>
          <w:rFonts w:ascii="Times New Roman" w:hAnsi="Times New Roman" w:cs="Times New Roman"/>
        </w:rPr>
        <w:t xml:space="preserve">connectivity also predicted </w:t>
      </w:r>
      <w:r w:rsidRPr="00975DA7">
        <w:rPr>
          <w:rFonts w:ascii="Times New Roman" w:hAnsi="Times New Roman" w:cs="Times New Roman"/>
        </w:rPr>
        <w:t xml:space="preserve">task </w:t>
      </w:r>
      <w:r w:rsidR="0059177E" w:rsidRPr="00975DA7">
        <w:rPr>
          <w:rFonts w:ascii="Times New Roman" w:hAnsi="Times New Roman" w:cs="Times New Roman"/>
        </w:rPr>
        <w:t xml:space="preserve">performance: </w:t>
      </w:r>
      <w:r w:rsidR="00AE4B53" w:rsidRPr="00975DA7">
        <w:rPr>
          <w:rFonts w:ascii="Times New Roman" w:hAnsi="Times New Roman" w:cs="Times New Roman"/>
        </w:rPr>
        <w:t>participants who had stronger connectivity between</w:t>
      </w:r>
      <w:r w:rsidR="0059177E" w:rsidRPr="00975DA7">
        <w:rPr>
          <w:rFonts w:ascii="Times New Roman" w:hAnsi="Times New Roman" w:cs="Times New Roman"/>
        </w:rPr>
        <w:t xml:space="preserve"> left </w:t>
      </w:r>
      <w:r w:rsidRPr="00975DA7">
        <w:rPr>
          <w:rFonts w:ascii="Times New Roman" w:hAnsi="Times New Roman" w:cs="Times New Roman"/>
        </w:rPr>
        <w:t xml:space="preserve">pMTG </w:t>
      </w:r>
      <w:r w:rsidR="00AE4B53" w:rsidRPr="00975DA7">
        <w:rPr>
          <w:rFonts w:ascii="Times New Roman" w:hAnsi="Times New Roman" w:cs="Times New Roman"/>
        </w:rPr>
        <w:t xml:space="preserve">and </w:t>
      </w:r>
      <w:r w:rsidR="006C5629" w:rsidRPr="00975DA7">
        <w:rPr>
          <w:rFonts w:ascii="Times New Roman" w:hAnsi="Times New Roman" w:cs="Times New Roman"/>
        </w:rPr>
        <w:t>LH</w:t>
      </w:r>
      <w:r w:rsidR="0059177E" w:rsidRPr="00975DA7">
        <w:rPr>
          <w:rFonts w:ascii="Times New Roman" w:hAnsi="Times New Roman" w:cs="Times New Roman"/>
        </w:rPr>
        <w:t xml:space="preserve"> </w:t>
      </w:r>
      <w:r w:rsidR="007C7D4A" w:rsidRPr="00975DA7">
        <w:rPr>
          <w:rFonts w:ascii="Times New Roman" w:hAnsi="Times New Roman" w:cs="Times New Roman"/>
        </w:rPr>
        <w:t>r</w:t>
      </w:r>
      <w:r w:rsidR="0059177E" w:rsidRPr="00975DA7">
        <w:rPr>
          <w:rFonts w:ascii="Times New Roman" w:hAnsi="Times New Roman" w:cs="Times New Roman"/>
        </w:rPr>
        <w:t>egions</w:t>
      </w:r>
      <w:r w:rsidR="00AE4B53" w:rsidRPr="00975DA7">
        <w:rPr>
          <w:rFonts w:ascii="Times New Roman" w:hAnsi="Times New Roman" w:cs="Times New Roman"/>
        </w:rPr>
        <w:t xml:space="preserve"> tended to have more efficient</w:t>
      </w:r>
      <w:r w:rsidRPr="00975DA7">
        <w:rPr>
          <w:rFonts w:ascii="Times New Roman" w:hAnsi="Times New Roman" w:cs="Times New Roman"/>
        </w:rPr>
        <w:t xml:space="preserve"> retrieval of strong associations</w:t>
      </w:r>
      <w:r w:rsidR="0059177E" w:rsidRPr="00975DA7">
        <w:rPr>
          <w:rFonts w:ascii="Times New Roman" w:hAnsi="Times New Roman" w:cs="Times New Roman"/>
        </w:rPr>
        <w:t xml:space="preserve">. </w:t>
      </w:r>
      <w:r w:rsidR="00AE4B53" w:rsidRPr="00975DA7">
        <w:rPr>
          <w:rFonts w:ascii="Times New Roman" w:hAnsi="Times New Roman" w:cs="Times New Roman"/>
        </w:rPr>
        <w:t xml:space="preserve">Conversely, </w:t>
      </w:r>
      <w:r w:rsidR="00D978D7" w:rsidRPr="00975DA7">
        <w:rPr>
          <w:rFonts w:ascii="Times New Roman" w:hAnsi="Times New Roman" w:cs="Times New Roman"/>
        </w:rPr>
        <w:t xml:space="preserve">stronger connectivity from </w:t>
      </w:r>
      <w:r w:rsidR="00AE4B53" w:rsidRPr="00975DA7">
        <w:rPr>
          <w:rFonts w:ascii="Times New Roman" w:hAnsi="Times New Roman" w:cs="Times New Roman"/>
        </w:rPr>
        <w:t xml:space="preserve">left pMTG to </w:t>
      </w:r>
      <w:r w:rsidR="00BA4EC9" w:rsidRPr="00975DA7">
        <w:rPr>
          <w:rFonts w:ascii="Times New Roman" w:hAnsi="Times New Roman" w:cs="Times New Roman"/>
        </w:rPr>
        <w:t>right IFG/aSTG (homologous to the</w:t>
      </w:r>
      <w:r w:rsidR="00D978D7" w:rsidRPr="00975DA7">
        <w:rPr>
          <w:rFonts w:ascii="Times New Roman" w:hAnsi="Times New Roman" w:cs="Times New Roman"/>
        </w:rPr>
        <w:t xml:space="preserve"> LH conjunction </w:t>
      </w:r>
      <w:r w:rsidR="00BA4EC9" w:rsidRPr="00975DA7">
        <w:rPr>
          <w:rFonts w:ascii="Times New Roman" w:hAnsi="Times New Roman" w:cs="Times New Roman"/>
        </w:rPr>
        <w:t xml:space="preserve">site) </w:t>
      </w:r>
      <w:r w:rsidR="0059177E" w:rsidRPr="00975DA7">
        <w:rPr>
          <w:rFonts w:ascii="Times New Roman" w:hAnsi="Times New Roman" w:cs="Times New Roman"/>
        </w:rPr>
        <w:t xml:space="preserve">was related to poorer controlled retrieval of weak associations. </w:t>
      </w:r>
      <w:r w:rsidR="00D978D7" w:rsidRPr="00975DA7">
        <w:rPr>
          <w:rFonts w:ascii="Times New Roman" w:hAnsi="Times New Roman" w:cs="Times New Roman"/>
        </w:rPr>
        <w:t xml:space="preserve">This finding is consistent with the view that left-lateralised connectivity within the semantic control network is associated with better semantic control. </w:t>
      </w:r>
      <w:r w:rsidR="00BA4EC9" w:rsidRPr="00975DA7">
        <w:rPr>
          <w:rFonts w:ascii="Times New Roman" w:hAnsi="Times New Roman" w:cs="Times New Roman"/>
        </w:rPr>
        <w:t xml:space="preserve">We also found that </w:t>
      </w:r>
      <w:r w:rsidR="0059177E" w:rsidRPr="00975DA7">
        <w:rPr>
          <w:rFonts w:ascii="Times New Roman" w:hAnsi="Times New Roman" w:cs="Times New Roman"/>
        </w:rPr>
        <w:t xml:space="preserve">when left AG was more connected to visual cortex, people were poorer at perceptual tasks. </w:t>
      </w:r>
      <w:r w:rsidR="00A86ACB" w:rsidRPr="00975DA7">
        <w:rPr>
          <w:rFonts w:ascii="Times New Roman" w:hAnsi="Times New Roman" w:cs="Times New Roman"/>
        </w:rPr>
        <w:t xml:space="preserve">Left AG is implicated in semantic retrieval and understanding meaningful conceptual combinations </w:t>
      </w:r>
      <w:r w:rsidR="00A86ACB" w:rsidRPr="00975DA7">
        <w:rPr>
          <w:rFonts w:ascii="Times New Roman" w:hAnsi="Times New Roman" w:cs="Times New Roman"/>
        </w:rPr>
        <w:fldChar w:fldCharType="begin" w:fldLock="1"/>
      </w:r>
      <w:r w:rsidR="00A86ACB" w:rsidRPr="00975DA7">
        <w:rPr>
          <w:rFonts w:ascii="Times New Roman" w:hAnsi="Times New Roman" w:cs="Times New Roman"/>
        </w:rPr>
        <w:instrText>ADDIN CSL_CITATION {"citationItems":[{"id":"ITEM-1","itemData":{"DOI":"10.1093/cercor/bhu198","ISBN":"1460-2199 (Electronic) 1047-3211 (Linking)","ISSN":"14602199","PMID":"25205661","abstract":"How is higher cognitive function organized in the human parietal cortex? A century of neuropsychology and 30 years of functional neuroimaging has implicated the parietal lobe in many different verbal and nonverbal cognitive domains. There is little clarity, however, on how these functions are organized, that is, where do these functions coalesce (implying a shared, underpinning neurocomputation) and where do they divide (indicating different underlying neural functions). Until now, there has been no multi-domain synthesis in order to reveal where there is fusion or fission of functions in the parietal cortex. This aim was achieved through a large-scale activation likelihood estimation (ALE) analysis of 386 studies (3952 activation peaks) covering 8 cognitive domains. A tripartite, domain-general neuroanatomical division and 5 principles of cognitive organization were established, and these are discussed with respect to a unified theory of parietal functional organization.","author":[{"dropping-particle":"","family":"Humphreys","given":"Gina F.","non-dropping-particle":"","parse-names":false,"suffix":""},{"dropping-particle":"","family":"Lambon Ralph","given":"Matthew A.","non-dropping-particle":"","parse-names":false,"suffix":""}],"container-title":"Cerebral Cortex","id":"ITEM-1","issue":"10","issued":{"date-parts":[["2015"]]},"page":"3547-3560","title":"Fusion and fission of cognitive functions in the human parietal cortex","type":"article-journal","volume":"25"},"uris":["http://www.mendeley.com/documents/?uuid=f9b07b36-fb1b-4684-89f7-37f77e829899"]},{"id":"ITEM-2","itemData":{"DOI":"10.1523/JNEUROSCI.4705-14.2015","ISBN":"0270-6474","ISSN":"1529-2401","PMID":"26586812","abstract":"UNLABELLED: Semantic retrieval involves both (1) automatic spreading activation between highly related concepts and (2) executive control processes that tailor this activation to suit the current context or goals. Two structures in left temporoparietal cortex, angular gyrus (AG) and posterior middle temporal gyrus (pMTG), are thought to be crucial to semantic retrieval and are often recruited together during semantic tasks; however, they show strikingly different patterns of functional connectivity at rest (coupling with the \"default mode network\" and \"frontoparietal control system,\" respectively). Here, transcranial magnetic stimulation (TMS) was used to establish a causal yet dissociable role for these sites in semantic cognition in human volunteers. TMS to AG disrupted thematic judgments particularly when the link between probe and target was strong (e.g., a picture of an Alsatian with a bone), and impaired the identification of objects at a specific but not a superordinate level (for the verbal label \"Alsatian\" not \"animal\"). In contrast, TMS to pMTG disrupted thematic judgments for weak but not strong associations (e.g., a picture of an Alsatian with razor wire), and impaired identity matching for both superordinate and specific-level labels. Thus, stimulation to AG interfered with the automatic retrieval of specific concepts from the semantic store while stimulation of pMTG impaired semantic cognition when there was a requirement to flexibly shape conceptual activation in line with the task requirements. These results demonstrate that AG and pMTG make a dissociable contribution to automatic and controlled aspects of semantic retrieval.\\n\\nSIGNIFICANCE STATEMENT: We demonstrate a novel functional dissociation between the angular gyrus (AG) and posterior middle temporal gyrus (pMTG) in conceptual processing. These sites are often coactivated during neuroimaging studies using semantic tasks, but their individual contributions are unclear. Using transcranial magnetic stimulation and tasks designed to assess different aspects of semantics (item identity and thematic matching), we tested two alternative theoretical accounts. Neither site showed the pattern expected for a \"thematic hub\" (i.e., a site storing associations between concepts) since stimulation disrupted both tasks. Instead, the data indicated that pMTG contributes to the controlled retrieval of conceptual knowledge, while AG is critical for the efficient automatic retrieval of specific seman…","author":[{"dropping-particle":"","family":"Davey","given":"James","non-dropping-particle":"","parse-names":false,"suffix":""},{"dropping-particle":"","family":"Cornelissen","given":"Piers L","non-dropping-particle":"","parse-names":false,"suffix":""},{"dropping-particle":"","family":"Thompson","given":"Hannah E","non-dropping-particle":"","parse-names":false,"suffix":""},{"dropping-particle":"","family":"Sonkusare","given":"Saurabh","non-dropping-particle":"","parse-names":false,"suffix":""},{"dropping-particle":"","family":"Hallam","given":"Glyn","non-dropping-particle":"","parse-names":false,"suffix":""},{"dropping-particle":"","family":"Smallwood","given":"Jonathan","non-dropping-particle":"","parse-names":false,"suffix":""},{"dropping-particle":"","family":"Jefferies","given":"Elizabeth","non-dropping-particle":"","parse-names":false,"suffix":""}],"container-title":"The Journal of neuroscience : the official journal of the Society for Neuroscience","id":"ITEM-2","issue":"46","issued":{"date-parts":[["2015"]]},"page":"15230-9","title":"Automatic and Controlled Semantic Retrieval: TMS Reveals Distinct Contributions of Posterior Middle Temporal Gyrus and Angular Gyrus.","type":"article-journal","volume":"35"},"uris":["http://www.mendeley.com/documents/?uuid=c52dfdce-3018-4bcf-8c88-799a925bff60"]},{"id":"ITEM-3","itemData":{"DOI":"10.1016/j.neuroimage.2018.01.017","ISSN":"10538119","abstract":"The default mode network supports a variety of mental operations such as semantic processing, episodic memory retrieval, mental time travel and mind-wandering, yet the commonalities between these functions remains unclear. One possibility is that this system supports cognition that is independent of the immediate environment; alternatively or additionally, it might support higher-order conceptual representations that draw together multiple features. We tested these accounts using a novel paradigm that separately manipulated the availability of perceptual information to guide decision-making and the representational complexity of this information. Using task based imaging we established regions that respond when cognition combines both stimulus independence with multi-modal information. These included left and right angular gyri and the left middle temporal gyrus. Although these sites were within the default mode network, they showed a stronger response to demanding memory judgements than to an easier perceptual task, contrary to the view that they support automatic aspects of cognition. In a subsequent analysis, we showed that these regions were located at the extreme end of a macroscale gradient, which describes gradual transitions from sensorimotor to transmodal cortex. This shift in the focus of neural activity towards transmodal, default mode, regions might reflect a process of where the functional distance from specific sensory enables conceptually rich and detailed cognitive states to be generated in the absence of input.","author":[{"dropping-particle":"","family":"Murphy","given":"Charlotte","non-dropping-particle":"","parse-names":false,"suffix":""},{"dropping-particle":"","family":"Jefferies","given":"Elizabeth","non-dropping-particle":"","parse-names":false,"suffix":""},{"dropping-particle":"","family":"Rueschemeyer","given":"Shirley-Ann","non-dropping-particle":"","parse-names":false,"suffix":""},{"dropping-particle":"","family":"Sormaz","given":"Mladen","non-dropping-particle":"","parse-names":false,"suffix":""},{"dropping-particle":"","family":"Wang","given":"Hao-ting","non-dropping-particle":"","parse-names":false,"suffix":""},{"dropping-particle":"","family":"Margulies","given":"Daniel S.","non-dropping-particle":"","parse-names":false,"suffix":""},{"dropping-particle":"","family":"Smallwood","given":"Jonathan","non-dropping-particle":"","parse-names":false,"suffix":""}],"container-title":"NeuroImage","id":"ITEM-3","issue":"June 2017","issued":{"date-parts":[["2018"]]},"page":"393-401","publisher":"Elsevier Ltd","title":"Distant from input: Evidence of regions within the default mode network supporting perceptually-decoupled and conceptually-guided cognition","type":"article-journal","volume":"171"},"uris":["http://www.mendeley.com/documents/?uuid=89f957e4-ec8b-4b88-b123-5a86cc81d6a8"]}],"mendeley":{"formattedCitation":"(Davey et al., 2015; Humphreys and Lambon Ralph, 2015; Murphy et al., 2018)","plainTextFormattedCitation":"(Davey et al., 2015; Humphreys and Lambon Ralph, 2015; Murphy et al., 2018)","previouslyFormattedCitation":"(Davey et al., 2015; Humphreys and Lambon Ralph, 2015; Murphy et al., 2018)"},"properties":{"noteIndex":0},"schema":"https://github.com/citation-style-language/schema/raw/master/csl-citation.json"}</w:instrText>
      </w:r>
      <w:r w:rsidR="00A86ACB" w:rsidRPr="00975DA7">
        <w:rPr>
          <w:rFonts w:ascii="Times New Roman" w:hAnsi="Times New Roman" w:cs="Times New Roman"/>
        </w:rPr>
        <w:fldChar w:fldCharType="separate"/>
      </w:r>
      <w:r w:rsidR="00A86ACB" w:rsidRPr="00975DA7">
        <w:rPr>
          <w:rFonts w:ascii="Times New Roman" w:hAnsi="Times New Roman" w:cs="Times New Roman"/>
          <w:noProof/>
        </w:rPr>
        <w:t>(Davey et al., 2015; Humphreys and Lambon Ralph, 2015; Murphy et al., 2018)</w:t>
      </w:r>
      <w:r w:rsidR="00A86ACB" w:rsidRPr="00975DA7">
        <w:rPr>
          <w:rFonts w:ascii="Times New Roman" w:hAnsi="Times New Roman" w:cs="Times New Roman"/>
        </w:rPr>
        <w:fldChar w:fldCharType="end"/>
      </w:r>
      <w:r w:rsidR="00A86ACB" w:rsidRPr="00975DA7">
        <w:rPr>
          <w:rFonts w:ascii="Times New Roman" w:hAnsi="Times New Roman" w:cs="Times New Roman"/>
        </w:rPr>
        <w:t xml:space="preserve">. More widely, inferior parietal cortex is implicated in stimulus-driven visual attention, as well as reflexive attention to memory </w:t>
      </w:r>
      <w:r w:rsidR="00A86ACB" w:rsidRPr="00975DA7">
        <w:rPr>
          <w:rFonts w:ascii="Times New Roman" w:hAnsi="Times New Roman" w:cs="Times New Roman"/>
        </w:rPr>
        <w:fldChar w:fldCharType="begin" w:fldLock="1"/>
      </w:r>
      <w:r w:rsidR="00A86ACB" w:rsidRPr="00975DA7">
        <w:rPr>
          <w:rFonts w:ascii="Times New Roman" w:hAnsi="Times New Roman" w:cs="Times New Roman"/>
        </w:rPr>
        <w:instrText>ADDIN CSL_CITATION {"citationItems":[{"id":"ITEM-1","itemData":{"DOI":"10.1038/nrn2459","ISBN":"1471-003X","ISSN":"1471003X","PMID":"18641668","abstract":"The contribution of the parietal cortex to episodic memory is a fascinating scientific puzzle. On the one hand, parietal lesions do not normally yield severe episodic-memory deficits; on the other hand, parietal activations are seen frequently in functional-neuroimaging studies of episodic memory. A review of these two categories of evidence suggests that the answer to the puzzle requires us to distinguish between the contributions of dorsal and ventral parietal regions and between the influence of top-down and bottom-up attention on memory.","author":[{"dropping-particle":"","family":"Cabeza","given":"Roberto","non-dropping-particle":"","parse-names":false,"suffix":""},{"dropping-particle":"","family":"Ciaramelli","given":"Elisa","non-dropping-particle":"","parse-names":false,"suffix":""},{"dropping-particle":"","family":"Olson","given":"Ingrid R.","non-dropping-particle":"","parse-names":false,"suffix":""},{"dropping-particle":"","family":"Moscovitch","given":"Morris","non-dropping-particle":"","parse-names":false,"suffix":""}],"container-title":"Nature Reviews Neuroscience","id":"ITEM-1","issue":"8","issued":{"date-parts":[["2008"]]},"note":"DPC is associated with familiarity and low confidence; VPC with recollection and high confidence; also, it's related to participants' vividness in retrieval.\n\nThe DPC and VPC have different roles in episodic memory retrieval.\n\nIn the attention domain, DPC and dorsal frontal regions are associated with top down attention, whereas VPC and ventral frontal regions is associated with bottom up attention. Dorsal attention system involved in preparing and applying goal-directed selection for stimuli and responses; ventral attention system involvedin detection of behaviourally relevant stimuli, particularly when they are salient and unexpected.\n\nDPC and VPC have different roles in attention. DPC mediates preparatory top-down attention, whereas VPC is associated with the capture of bottom-up attention by behaviourally relevant stimuli. When a relevant stimulus that was out of the current attentional focus appears, the VPC sends a ‘circuit breaker’ signal to the DPC, which shifts attention to the previously unattended stimulus.\n\nIf we extend attention to not only include exogenous attention (i.e. sensory stimuli in the external world) we can see this interaction with memory. DPC is associated with the allocation of attentional resources to memory retrieval according to the goals of the rememberer (top-down attention), whereas the VPC is associated with the capture of attentional resources by relevant memory cues and/or recovered memories (bottom-up attention).\n\nWe call this idea the attention to memory (AtoM) model. According to this model, DPC activity maintains retrieval goals, which modulate memory-related activity in the MTL, whereas VPC activity, like a circuit breaker, signals the need for a change in the locus of attention following the detection of relevant memories that have been retrieved by the MTL.\n\nBecause VPC activity reflects the attentional adjustments that are triggered by the products of ongoing MTL activity, it fluctuates continuously over time. According to the AtoM model, the VPC detects relevant information generated by the MTL but does not hold or accumulate this information (as the output-buffer and mnemonic-accumulator hypotheses propose).\n\nFIGURE 5 IS HOW WE WANT TO EXPLAIN THE LOC AG RESULTS I THINK\n\nThe AtoM model therefore proposes that the roles of the DPC and the VPC in episodic retrieval are largely the same as their respective roles in attention. Bottom-up capture of attention by memory occurs when informa- tion that is relevant to the current task is retrieved. on the other hand, top-down attention to memory is neces- sary when the memory decision is effortful (see ‘indirect retrieval’ in Box 2) and therefore attention-demanding pre- and post-retrieval processing is needed to emit the memory judgement.\n\nTop down and bottom up attention are two separate dimensions rather than the different end points of a single dimension. Thus, even if in some situations increased top-down attention seems to be correlated with decreased bottom-up attention (for example, in low- confidence hits), or vice versa, top-down and bottom-up attention to memory are independent processes. They interact closely during episodic retrieval just as during perception. Because of this, the distinction between DPC and VPC attentional functions is graded rather than sharp.\n\nOPEN QUESTION WE MIGHT BE ABLE TO ADDRESS:\nleft–right and anterior–posterior distribution of activation in episodic-retrieval and attention fMRI studies. VPC activations related to bottom-up attention tend to be stronger in the left hemisphere in episodic- retrieval studies, but stronger in the right hemisphere\nin perceptual-attention studies. WE SHOW GREATER CONNECTIVITY FROM LAG TO DMN AND RAG TO PERCEPTUAL SYSTEMS. DIFFERENCE IN STIMULI OR PROCESSES?","page":"613-625","title":"The parietal cortex and episodic memory: An attentional account","type":"article-journal","volume":"9"},"uris":["http://www.mendeley.com/documents/?uuid=3ece74db-8729-4c67-8a53-587e5b3e7917"]}],"mendeley":{"formattedCitation":"(Cabeza et al., 2008)","plainTextFormattedCitation":"(Cabeza et al., 2008)","previouslyFormattedCitation":"(Cabeza et al., 2008)"},"properties":{"noteIndex":0},"schema":"https://github.com/citation-style-language/schema/raw/master/csl-citation.json"}</w:instrText>
      </w:r>
      <w:r w:rsidR="00A86ACB" w:rsidRPr="00975DA7">
        <w:rPr>
          <w:rFonts w:ascii="Times New Roman" w:hAnsi="Times New Roman" w:cs="Times New Roman"/>
        </w:rPr>
        <w:fldChar w:fldCharType="separate"/>
      </w:r>
      <w:r w:rsidR="00A86ACB" w:rsidRPr="00975DA7">
        <w:rPr>
          <w:rFonts w:ascii="Times New Roman" w:hAnsi="Times New Roman" w:cs="Times New Roman"/>
          <w:noProof/>
        </w:rPr>
        <w:t>(Cabeza et al., 2008)</w:t>
      </w:r>
      <w:r w:rsidR="00A86ACB" w:rsidRPr="00975DA7">
        <w:rPr>
          <w:rFonts w:ascii="Times New Roman" w:hAnsi="Times New Roman" w:cs="Times New Roman"/>
        </w:rPr>
        <w:fldChar w:fldCharType="end"/>
      </w:r>
      <w:r w:rsidR="00A86ACB" w:rsidRPr="00975DA7">
        <w:rPr>
          <w:rFonts w:ascii="Times New Roman" w:hAnsi="Times New Roman" w:cs="Times New Roman"/>
        </w:rPr>
        <w:t xml:space="preserve"> and multimodal feature integration in memory </w:t>
      </w:r>
      <w:r w:rsidR="00A86ACB" w:rsidRPr="00975DA7">
        <w:rPr>
          <w:rFonts w:ascii="Times New Roman" w:hAnsi="Times New Roman" w:cs="Times New Roman"/>
        </w:rPr>
        <w:fldChar w:fldCharType="begin" w:fldLock="1"/>
      </w:r>
      <w:r w:rsidR="00A86ACB" w:rsidRPr="00975DA7">
        <w:rPr>
          <w:rFonts w:ascii="Times New Roman" w:hAnsi="Times New Roman" w:cs="Times New Roman"/>
        </w:rPr>
        <w:instrText>ADDIN CSL_CITATION {"citationItems":[{"id":"ITEM-1","itemData":{"DOI":"10.1523/JNEUROSCI.4310-15.2016","ISSN":"0270-6474","PMID":"27194327","abstract":"Much evidence from distinct lines of investigation indicates the involvement of angular gyrus (AnG) in the retrieval of both episodic and semantic information, but the region’s precise function and whether that function differs across episodic and semantic retrieval have yet to be determined. We used univariate and multivariate fMRI analysis methods to examine the role of AnG in multimodal feature integration during episodic and semantic retrieval. Human participants completed episodic and semantic memory tasks involving unimodal (auditory or visual) and multimodal (audio-visual) stimuli. Univariate analyses revealed the recruitment of functionally distinct AnG subregions during the retrieval of episodic and semantic information. Consistent with a role in multimodal feature integration during episodic retrieval, significantly greater AnG activity was observed during retrieval of integrated multimodal episodic memories compared with unimodal episodic memories. Multivariate classification analyses revealed that individual multimodal episodic memories could be differentiated in AnG, with classification accuracy tracking the vividness of participants’ reported recollections, whereas distinct unimodal memories were represented in sensory association areas only. In contrast to episodic retrieval, AnG was engaged to a statistically equivalent degree during retrieval of unimodal and multimodal semantic memories, suggesting a distinct role for AnG during semantic retrieval. Modality-specific sensory association areas exhibited corresponding activity during both episodic and semantic retrieval, which mirroredthefunctional specialization ofthese regions during perception. The results offer new insights intothe integrative processes subserved by AnG and its contribution to our subjective experience of remembering","author":[{"dropping-particle":"","family":"Bonnici","given":"H. M.","non-dropping-particle":"","parse-names":false,"suffix":""},{"dropping-particle":"","family":"Richter","given":"F. R.","non-dropping-particle":"","parse-names":false,"suffix":""},{"dropping-particle":"","family":"Yazar","given":"Y.","non-dropping-particle":"","parse-names":false,"suffix":""},{"dropping-particle":"","family":"Simons","given":"J. S.","non-dropping-particle":"","parse-names":false,"suffix":""}],"container-title":"Journal of Neuroscience","id":"ITEM-1","issue":"20","issued":{"date-parts":[["2016"]]},"page":"5462-5471","title":"Multimodal Feature Integration in the Angular Gyrus during Episodic and Semantic Retrieval","type":"article-journal","volume":"36"},"uris":["http://www.mendeley.com/documents/?uuid=7f6cdcea-fba6-4247-84ea-425608ca769e"]}],"mendeley":{"formattedCitation":"(Bonnici et al., 2016)","plainTextFormattedCitation":"(Bonnici et al., 2016)","previouslyFormattedCitation":"(Bonnici et al., 2016)"},"properties":{"noteIndex":0},"schema":"https://github.com/citation-style-language/schema/raw/master/csl-citation.json"}</w:instrText>
      </w:r>
      <w:r w:rsidR="00A86ACB" w:rsidRPr="00975DA7">
        <w:rPr>
          <w:rFonts w:ascii="Times New Roman" w:hAnsi="Times New Roman" w:cs="Times New Roman"/>
        </w:rPr>
        <w:fldChar w:fldCharType="separate"/>
      </w:r>
      <w:r w:rsidR="00A86ACB" w:rsidRPr="00975DA7">
        <w:rPr>
          <w:rFonts w:ascii="Times New Roman" w:hAnsi="Times New Roman" w:cs="Times New Roman"/>
          <w:noProof/>
        </w:rPr>
        <w:t>(Bonnici et al., 2016)</w:t>
      </w:r>
      <w:r w:rsidR="00A86ACB" w:rsidRPr="00975DA7">
        <w:rPr>
          <w:rFonts w:ascii="Times New Roman" w:hAnsi="Times New Roman" w:cs="Times New Roman"/>
        </w:rPr>
        <w:fldChar w:fldCharType="end"/>
      </w:r>
      <w:r w:rsidR="00A86ACB" w:rsidRPr="00975DA7">
        <w:rPr>
          <w:rFonts w:ascii="Times New Roman" w:hAnsi="Times New Roman" w:cs="Times New Roman"/>
        </w:rPr>
        <w:t xml:space="preserve">. Consequently, there may be individual differences that reflect a trade-off between perceptual and memory-based cognition in AG (see also </w:t>
      </w:r>
      <w:r w:rsidR="00A86ACB" w:rsidRPr="00975DA7">
        <w:rPr>
          <w:rFonts w:ascii="Times New Roman" w:hAnsi="Times New Roman" w:cs="Times New Roman"/>
          <w:noProof/>
        </w:rPr>
        <w:t>Sormaz et al., 2017)</w:t>
      </w:r>
      <w:r w:rsidR="00A86ACB" w:rsidRPr="00975DA7">
        <w:rPr>
          <w:rFonts w:ascii="Times New Roman" w:hAnsi="Times New Roman" w:cs="Times New Roman"/>
        </w:rPr>
        <w:t xml:space="preserve">. When this site in the LH connects more to visual regions that are allied to right-lateralised patterns of connectivity, the network implicated in visual attention (e.g. by cognitive decoding) may be weakened. </w:t>
      </w:r>
      <w:r w:rsidR="00BA4EC9" w:rsidRPr="00975DA7">
        <w:rPr>
          <w:rFonts w:ascii="Times New Roman" w:hAnsi="Times New Roman" w:cs="Times New Roman"/>
        </w:rPr>
        <w:t>There was one further behavioural regression effect – stronger connectivity from AG to a left cerebellar cluster, which predicted better semantic control – however, this effect did not pass Bonferroni correction</w:t>
      </w:r>
      <w:r w:rsidR="00EF47B2" w:rsidRPr="00975DA7">
        <w:rPr>
          <w:rFonts w:ascii="Times New Roman" w:hAnsi="Times New Roman" w:cs="Times New Roman"/>
        </w:rPr>
        <w:t xml:space="preserve"> </w:t>
      </w:r>
      <w:r w:rsidR="00BA4EC9" w:rsidRPr="00975DA7">
        <w:rPr>
          <w:rFonts w:ascii="Times New Roman" w:hAnsi="Times New Roman" w:cs="Times New Roman"/>
        </w:rPr>
        <w:t xml:space="preserve">for the number of analyses. Since cerebellar lateralisation is opposite to that in the cortex, this result could indicate that semantic control is better in people with less lateralised </w:t>
      </w:r>
      <w:r w:rsidR="00EF47B2" w:rsidRPr="00975DA7">
        <w:rPr>
          <w:rFonts w:ascii="Times New Roman" w:hAnsi="Times New Roman" w:cs="Times New Roman"/>
        </w:rPr>
        <w:t xml:space="preserve">connectivity from </w:t>
      </w:r>
      <w:r w:rsidR="00BA4EC9" w:rsidRPr="00975DA7">
        <w:rPr>
          <w:rFonts w:ascii="Times New Roman" w:hAnsi="Times New Roman" w:cs="Times New Roman"/>
        </w:rPr>
        <w:t xml:space="preserve">AG. This pattern would potentially give rise to </w:t>
      </w:r>
      <w:r w:rsidR="00EF47B2" w:rsidRPr="00975DA7">
        <w:rPr>
          <w:rFonts w:ascii="Times New Roman" w:hAnsi="Times New Roman" w:cs="Times New Roman"/>
        </w:rPr>
        <w:t>a left-</w:t>
      </w:r>
      <w:r w:rsidR="00EF47B2" w:rsidRPr="00975DA7">
        <w:rPr>
          <w:rFonts w:ascii="Times New Roman" w:hAnsi="Times New Roman" w:cs="Times New Roman"/>
        </w:rPr>
        <w:lastRenderedPageBreak/>
        <w:t>lateralised</w:t>
      </w:r>
      <w:r w:rsidR="00BA4EC9" w:rsidRPr="00975DA7">
        <w:rPr>
          <w:rFonts w:ascii="Times New Roman" w:hAnsi="Times New Roman" w:cs="Times New Roman"/>
        </w:rPr>
        <w:t xml:space="preserve"> semantic network that is more strongly dominated by semantic control regions</w:t>
      </w:r>
      <w:r w:rsidR="00EF47B2" w:rsidRPr="00975DA7">
        <w:rPr>
          <w:rFonts w:ascii="Times New Roman" w:hAnsi="Times New Roman" w:cs="Times New Roman"/>
        </w:rPr>
        <w:t>,</w:t>
      </w:r>
      <w:r w:rsidR="00BA4EC9" w:rsidRPr="00975DA7">
        <w:rPr>
          <w:rFonts w:ascii="Times New Roman" w:hAnsi="Times New Roman" w:cs="Times New Roman"/>
        </w:rPr>
        <w:t xml:space="preserve"> and less dominated by DMN. However, </w:t>
      </w:r>
      <w:r w:rsidR="00464DAA" w:rsidRPr="00975DA7">
        <w:rPr>
          <w:rFonts w:ascii="Times New Roman" w:hAnsi="Times New Roman" w:cs="Times New Roman"/>
        </w:rPr>
        <w:t>the evidence for this pattern</w:t>
      </w:r>
      <w:r w:rsidR="00BA4EC9" w:rsidRPr="00975DA7">
        <w:rPr>
          <w:rFonts w:ascii="Times New Roman" w:hAnsi="Times New Roman" w:cs="Times New Roman"/>
        </w:rPr>
        <w:t xml:space="preserve"> </w:t>
      </w:r>
      <w:r w:rsidR="00423833" w:rsidRPr="00975DA7">
        <w:rPr>
          <w:rFonts w:ascii="Times New Roman" w:hAnsi="Times New Roman" w:cs="Times New Roman"/>
        </w:rPr>
        <w:t xml:space="preserve">was weak and </w:t>
      </w:r>
      <w:r w:rsidR="00464DAA" w:rsidRPr="00975DA7">
        <w:rPr>
          <w:rFonts w:ascii="Times New Roman" w:hAnsi="Times New Roman" w:cs="Times New Roman"/>
        </w:rPr>
        <w:t xml:space="preserve">it </w:t>
      </w:r>
      <w:r w:rsidR="00BA4EC9" w:rsidRPr="00975DA7">
        <w:rPr>
          <w:rFonts w:ascii="Times New Roman" w:hAnsi="Times New Roman" w:cs="Times New Roman"/>
        </w:rPr>
        <w:t>requires replication.</w:t>
      </w:r>
    </w:p>
    <w:p w14:paraId="220CA64F" w14:textId="3D858C04" w:rsidR="00C344CB" w:rsidRPr="00975DA7" w:rsidRDefault="00C344CB" w:rsidP="00AB7CEA">
      <w:pPr>
        <w:spacing w:line="360" w:lineRule="auto"/>
        <w:rPr>
          <w:rFonts w:ascii="Times New Roman" w:hAnsi="Times New Roman" w:cs="Times New Roman"/>
        </w:rPr>
      </w:pPr>
      <w:r w:rsidRPr="00975DA7">
        <w:rPr>
          <w:rFonts w:ascii="Times New Roman" w:hAnsi="Times New Roman" w:cs="Times New Roman"/>
        </w:rPr>
        <w:t>Our methodolog</w:t>
      </w:r>
      <w:r w:rsidR="00423833" w:rsidRPr="00975DA7">
        <w:rPr>
          <w:rFonts w:ascii="Times New Roman" w:hAnsi="Times New Roman" w:cs="Times New Roman"/>
        </w:rPr>
        <w:t>y</w:t>
      </w:r>
      <w:r w:rsidRPr="00975DA7">
        <w:rPr>
          <w:rFonts w:ascii="Times New Roman" w:hAnsi="Times New Roman" w:cs="Times New Roman"/>
        </w:rPr>
        <w:t xml:space="preserve">, which compared patterns of intrinsic connectivity from </w:t>
      </w:r>
      <w:r w:rsidR="00D61D8B" w:rsidRPr="00975DA7">
        <w:rPr>
          <w:rFonts w:ascii="Times New Roman" w:hAnsi="Times New Roman" w:cs="Times New Roman"/>
        </w:rPr>
        <w:t>LH</w:t>
      </w:r>
      <w:r w:rsidRPr="00975DA7">
        <w:rPr>
          <w:rFonts w:ascii="Times New Roman" w:hAnsi="Times New Roman" w:cs="Times New Roman"/>
        </w:rPr>
        <w:t xml:space="preserve"> seeds and </w:t>
      </w:r>
      <w:r w:rsidR="006103A7" w:rsidRPr="00975DA7">
        <w:rPr>
          <w:rFonts w:ascii="Times New Roman" w:hAnsi="Times New Roman" w:cs="Times New Roman"/>
        </w:rPr>
        <w:t>RH</w:t>
      </w:r>
      <w:r w:rsidRPr="00975DA7">
        <w:rPr>
          <w:rFonts w:ascii="Times New Roman" w:hAnsi="Times New Roman" w:cs="Times New Roman"/>
        </w:rPr>
        <w:t xml:space="preserve"> seeds flipped into </w:t>
      </w:r>
      <w:r w:rsidR="00D61D8B" w:rsidRPr="00975DA7">
        <w:rPr>
          <w:rFonts w:ascii="Times New Roman" w:hAnsi="Times New Roman" w:cs="Times New Roman"/>
        </w:rPr>
        <w:t>LH</w:t>
      </w:r>
      <w:r w:rsidRPr="00975DA7">
        <w:rPr>
          <w:rFonts w:ascii="Times New Roman" w:hAnsi="Times New Roman" w:cs="Times New Roman"/>
        </w:rPr>
        <w:t xml:space="preserve"> space, resembles the </w:t>
      </w:r>
      <w:r w:rsidR="00423833" w:rsidRPr="00975DA7">
        <w:rPr>
          <w:rFonts w:ascii="Times New Roman" w:hAnsi="Times New Roman" w:cs="Times New Roman"/>
        </w:rPr>
        <w:t>approach</w:t>
      </w:r>
      <w:r w:rsidRPr="00975DA7">
        <w:rPr>
          <w:rFonts w:ascii="Times New Roman" w:hAnsi="Times New Roman" w:cs="Times New Roman"/>
        </w:rPr>
        <w:t xml:space="preserve"> of </w:t>
      </w:r>
      <w:r w:rsidRPr="00975DA7">
        <w:rPr>
          <w:rFonts w:ascii="Times New Roman" w:hAnsi="Times New Roman" w:cs="Times New Roman"/>
          <w:noProof/>
        </w:rPr>
        <w:t xml:space="preserve">Raemaekers et al. (2018). </w:t>
      </w:r>
      <w:r w:rsidRPr="00975DA7">
        <w:rPr>
          <w:rFonts w:ascii="Times New Roman" w:hAnsi="Times New Roman" w:cs="Times New Roman"/>
        </w:rPr>
        <w:t xml:space="preserve">This </w:t>
      </w:r>
      <w:r w:rsidR="00423833" w:rsidRPr="00975DA7">
        <w:rPr>
          <w:rFonts w:ascii="Times New Roman" w:hAnsi="Times New Roman" w:cs="Times New Roman"/>
        </w:rPr>
        <w:t xml:space="preserve">recent </w:t>
      </w:r>
      <w:r w:rsidRPr="00975DA7">
        <w:rPr>
          <w:rFonts w:ascii="Times New Roman" w:hAnsi="Times New Roman" w:cs="Times New Roman"/>
        </w:rPr>
        <w:t>study found that resting-state connectivity was symmetrical in around 95% of regions, yet asymmetrical in language regions, and this predicted the BOLD response to a story versus a maths task</w:t>
      </w:r>
      <w:r w:rsidR="00AE643D" w:rsidRPr="00975DA7">
        <w:rPr>
          <w:rFonts w:ascii="Times New Roman" w:hAnsi="Times New Roman" w:cs="Times New Roman"/>
        </w:rPr>
        <w:t xml:space="preserve"> </w:t>
      </w:r>
      <w:r w:rsidR="00AE643D" w:rsidRPr="00975DA7">
        <w:rPr>
          <w:rFonts w:ascii="Times New Roman" w:hAnsi="Times New Roman" w:cs="Times New Roman"/>
        </w:rPr>
        <w:fldChar w:fldCharType="begin" w:fldLock="1"/>
      </w:r>
      <w:r w:rsidR="00160F73" w:rsidRPr="00975DA7">
        <w:rPr>
          <w:rFonts w:ascii="Times New Roman" w:hAnsi="Times New Roman" w:cs="Times New Roman"/>
        </w:rPr>
        <w:instrText>ADDIN CSL_CITATION {"citationItems":[{"id":"ITEM-1","itemData":{"DOI":"10.1371/journal.pone.0048847","ISBN":"1932-6203 (Electronic)\\n1932-6203 (Linking)","ISSN":"19326203","PMID":"23144995","abstract":"The human brain is composed of two broadly symmetric cerebral hemispheres, with an abundance of reciprocal anatomical connections between homotopic locations. However, to date, studies of hemispheric symmetries have not identified correspondency precisely due to variable cortical folding patterns. Here we present a method to establish accurate correspondency using position on the unfolded cortical surface relative to gyral and sulcal landmarks. The landmark method is shown to outperform the method of reversing standard volume coordinates, and it is used to quantify the functional symmetry in resting fMRI data throughout the cortex. Resting brain activity was found to be maximally correlated with locations less than 1 cm away on the cortical surface from the corresponding anatomical location in nearly half of the cortex. While select locations exhibited asymmetric patterns, precise symmetric relationships were found to be the norm, with fine-grained symmetric functional maps demonstrated in motor, occipital, and inferior frontal cortex.","author":[{"dropping-particle":"","family":"Jo","given":"Hang Joon","non-dropping-particle":"","parse-names":false,"suffix":""},{"dropping-particle":"","family":"Saad","given":"Ziad S.","non-dropping-particle":"","parse-names":false,"suffix":""},{"dropping-particle":"","family":"Gotts","given":"Stephen J.","non-dropping-particle":"","parse-names":false,"suffix":""},{"dropping-particle":"","family":"Martin","given":"Alex","non-dropping-particle":"","parse-names":false,"suffix":""},{"dropping-particle":"","family":"Cox","given":"Robert W.","non-dropping-particle":"","parse-names":false,"suffix":""}],"container-title":"PLoS ONE","id":"ITEM-1","issue":"11","issued":{"date-parts":[["2012"]]},"title":"Quantifying Agreement between Anatomical and Functional Interhemispheric Correspondences in the Resting Brain","type":"article-journal","volume":"7"},"uris":["http://www.mendeley.com/documents/?uuid=65c1ae30-acce-4e92-a6d9-573a694e558b"]},{"id":"ITEM-2","itemData":{"DOI":"10.1073/pnas.1302581110","ISBN":"1091-6490 (Electronic)\\r0027-8424 (Linking)","ISSN":"0027-8424","PMID":"23959883","abstract":"The hemispheric lateralization of certain faculties in the human brain has long been held to be beneficial for functioning. However, quantitative relationships between the degree of lateralization in particular brain regions and the level of functioning have yet to be established. Here we demonstrate that two distinct forms of functional lateralization are present in the left vs. the right cerebral hemisphere, with the left hemisphere showing a preference to interact more exclusively with itself, particularly for cortical regions involved in language and fine motor coordination. In contrast, right-hemisphere cortical regions involved in visuospatial and attentional processing interact in a more integrative fashion with both hemispheres. The degree of lateralization present in these distinct systems selectively predicted behavioral measures of verbal and visuospatial ability, providing direct evidence that lateralization is associated with enhanced cognitive ability.","author":[{"dropping-particle":"","family":"Gotts","given":"Stephen J","non-dropping-particle":"","parse-names":false,"suffix":""},{"dropping-particle":"","family":"Jo","given":"Hang Joon","non-dropping-particle":"","parse-names":false,"suffix":""},{"dropping-particle":"","family":"Wallace","given":"Gregory L","non-dropping-particle":"","parse-names":false,"suffix":""},{"dropping-particle":"","family":"Saad","given":"Ziad S","non-dropping-particle":"","parse-names":false,"suffix":""},{"dropping-particle":"","family":"Cox","given":"Robert W","non-dropping-particle":"","parse-names":false,"suffix":""},{"dropping-particle":"","family":"Martin","given":"Alex","non-dropping-particle":"","parse-names":false,"suffix":""}],"container-title":"Proceedings of the National Academy of Sciences of the United States of America","id":"ITEM-2","issue":"36","issued":{"date-parts":[["2013"]]},"note":"There are 2 forms of functional lateralization:\n-The LH prefers to speak exclusively with itself\n-The RH more integrative with both.\nThe degree of lateralization in these 2 systems predicts behavioural measures of verbal and visuospatial ability.\n\nIntroduction\nLateralisation is a fact: Left for language and hand (associated), Right for visuospatial/attention.\nIts mechanisms are unknown: Computational benefits (Division of labour improves performance)?\nIf this is true, degree of lateralisation should predict cognitive performance. Indeed, this happens with hand and language.\nThere are problems to investigate this: no clear method to establish homotopic locations; previous research has looked at a simplified version of lateralisation, but hemispheres differ qualitatively, so there may be 2.\n\nCurrent study: RSFCA of 62 right handed participants, measures of verbal and visuospatial ability acquired offline. Lateralisation of interactions was determined through description of homotopic 'nodes (36k per hemisphere), then probing the correlations of each node with all other nodes in the brain, averaging these correlations separately per location; then lat was quantified at homotopic locations using 2 separate metrics (&amp;quot;segregation&amp;quot; and &amp;quot;integration&amp;quot;).\n\nMethods\nn=62 right handed males, no psych or neuro disease, normal vision.\nWASI to 44 participants: Vocabulary, Similarities, Block design, Matrix reasoning.\nfMRI of rest, TR 3.5s, echo 27ms. 3mm slice thickness, FOV = 22cm. Each RS scan lasted 8min 10s, participants stared at a fixation cross and instructed to rest.\nPreprocessing: Aligned anatomical images were then processed with FreeSurfer’s automated pipeline for generating cortical surface models and whole brain segmentation. standard-mesh surfaces of 36,002 nodes per hemisphere were created with AFNI Surface Mapper, or SUMA. A similar process was applied to the N27 template brain, allowing the display of the results onto the template’s surfaces.\nHomotopic determination: Redefined location of each node on cortical surface instead of cartesian coordinate; assigned to each cortical node a 74-dimension label vector with geodesic distance in the surface from that node to each centroid of the 74 cortical parcelations in freesurfer. Then you look in the other hemisphere for the node whose label vector is the most similar (largest pearson correlation) with the original node's label vector.\nMeasuring lateralisation: take each node as a seed, and estimate the correlation with each other node as targets. Average the correlations within and across hemisphere for each seed, estimating the average strenght of intra and interhemispheric interactions of that seed. Z transform it, then calculate within and across hemisphere contrasts for each participant between homotopic locations in L Vs R.\n\nResults\nSeveral large left-lateralised brain regions, dominated by segregation metric (stronger intrahemispheric correlations, and weaker interh):\nLanguage\n- LIFG\n-pM/STG\nSocial processing and communication\n-PCC\n-Medial frontal\n- Ventral temporal (includes fusiform)\nSomatosensory and Motor\nMedial occipital near calcarine\nIn contrast, virtually all right-lateralised regions observed with the integration metric (stronger intra and interhemispheric correlations with the right hemisphere).:\nVisuospatial and Attention\n-Right superior parietal\n-Occipital\n-Ventral temporal, including fusiform and parahippocampal\n\nResults from Fig 2 are statistically significant between metrics, which reveals 2 distinct forms of lateralization to the R and L hemisphere.\n\nThen, examined relationships of these significant LH and RH regions. MDS and cluster analyses to identify regions that had similar patterns of correlation with the others, to find regions that belong to a common processing circuit.\n1-sample nodes within the region and calculate correlations\n2-cluster with kmeans algorithm\n3-repeat 100 times\n4-MonteCarlo simulations to random tada\n5-MDS and final clustering\nFour cluster solution was best. LH language regions clustered together with social processing and communication; left somatosensory/motor with ventral temporal that are active when viewing, naming and thinking about manipulable objects. Early visual and high level visuospatial regions formed 2 separate clusters (but see bonferroni correction). This indicates that the 18 lateralised regions are not uniformly related to one another, they organise into a smaller number of functionally related groups (i.e. language cluster 1, visuospatial cluster 4).\n\nNext, they checked how the lateralisation in regions of language and visuospatial (that they identified) could predict behaviour). They applied the WASI (Vocabulary, Block design). Constrained the analyses to cluster 1 (language) and 4 (viso); they checked the correlation between segregation and the vocabulary score:\n-LIFG\n-Lateral temporal cortex (3 gyri)\n-pSTG.\nAfter partial correlation, Left lateral temporal region and left pSTG (IFG didn't make it).\nOnly segregation was associated with vocabulary However, since segregation is an aggregate between L and R seeds, it's important to dissociate which seed contributes. Significant correlations for LL-LR and vocabulary, but not with RR-RL (with left, but not right).\nIn summary, the magnitude of lateralization in two cluster 1 regions was selectively associated with better vocabulary scores, but only when examining the lateralization metric appropriate for these regions (i.e., segregation)..\nFor the RH, significant correlation between cluster 4 regions and block design scores:\n-Ventral temporal cortex\n-Fusiform gyrus\n-Anterior transverse collateral sulcus\n-ITG\nThis pattern was not observed for Segregation. It was driven by RH portion of Integration (RR+RL). To check for alpha inflation, they also investigated the matrix reasoning subtest, finding the semae results (+ parietal).\n\nThe common pattern observed across this series of region-of-\ninterest (ROI) tests was highly replicable: (i) significant partial correlation with the metric used to identify the lateralized re- gion, (ii) the lack of a significant partial correlation with the opposite metric (P &amp;gt; 0.1), (iii) a significant partial correlation with the same-sided component of the full laterality metric, and (iv) the lack of a significant partial correlation with the opposite- sided component metric (P &amp;gt; 0.1). These observations strongly suggest that the observed behavioral correlations are not due to chance.\n\nA permutation test shows that the likelyhood of getting these joint results is significantly small. This survives Bonferroni correction (though not the lower level analysis in which this is based).\n\nThey examined the extent to which it's possible to predict the magnitude of lateralization in one functional domain using the magnitude from another (&amp;quot;Functional crowding&amp;quot; hypothesis). The magnitude of lateralization in cluster 1 regions strongly predicted the magnitude of lateraliza- tion in cluster 2 regions across participants. In contrast, neither the cluster 1 nor the cluster 2 regions predicted the magnitude of lateralization in cluster 4 regions associated with high-level visuospatial processing. \nthese results fail to support the functional crowding hypothesis for typical right-handed participants. Instead, they provide evidence for independent mechanisms of functional lateralization in the left vs. right hemispheres.\n\nDiscussion\nThe left hemisphere has a greater preference for within-hemisphere interactions whereas the right hemisphere has interactions that are more strongly bilateral. At a macroscopic scale, cortical representations are more focal in the left hemisphere and more diffuse in the right hemisphere.\nHemispheric lateralization of verbal and visuospatial function is quantitatively beneficial for these functions when examining the appropriate lateralization metrics.\nPerformance in speeded manual and/or pronunciation tasks should be directly related to the segregation metric calculated for this part of the brain (though they didn't test).\nSee explanation of the clusters in the middle of page 7.\nAlthough language and motor coordination of the limbs are clearly distinct functions, the\nmagnitude of lateralization measured from the corresponding brain regions was found to be tightly interrelated across participants, consistent with the well-known relationship between\nhandedness and language lateralization. \nThe fact that these left-hemisphere regions were all identified with the segregation metric, indicating interactions that are predominantly restricted to the left hemisphere, concords well with previous proposals that more spatially restricted, focal cortical representations could be beneficial for systems that require temporally rapid interactions in the service of sequential behaviors.\n2 visuospatial clusters: 1 basic and 1 higher, independent of lateralisation magnitude in left hemisphere language and motor regions. \nseparate genetic and/or neural mechanisms are responsible for driving lateralization in the two hemispheres. (Or for different cognitive processes, or networks, or modules).\nIndeed, it will be important for future\nstudies to examine the agreement of laterality measures taken during the performance of explicit tasks vs. those taken at rest.\nWhich results would vary in tasks or contexts? Although RS activity reflects connectivity, it's possible that this connectivity is implemented differently in the context of a task. However, the fact that RS lateralised interactions correlate with behavioural performance indicate there's an invariant component; this allows to investigate development and animals.\nThere is only partial independence of verbal and nonverbal abilities, with portions of both shared and distinct variability (and they're related to hand skill).\n\nResults are broadly consistent with computational theories of functional specialization that hold that information processing is more effective and efficient when larger functions can be decomposed into smaller independent processes, reducing\nfunctional interference. Hemispheric lateralization can be thought of as a special case of functional specialization, like the division of labor in visual system (space vs form).\n\nThese 2 qualitatively distinct forms of lateralisation vary quantitatively over participants; could be consistents with a developmental bias and/or plasticity mechanisms that varies qualitatively by hemisphere and is optimized through experience.\nFunctions with a strong reliance on rapid, sequential interactions, such as speech production and comprehension and fine motor control, may come to be represented in the left hemisphere by virtue of the bias toward intrahemispheric interactions with shorter average synaptic delays. In contrast, visuospatial processing that depends more prominently on information representation in space rather than in time may benefit more from the spatial conjunction of many synaptic inputs from both hemispheres, better matching the bias of the right hemisphere. Focal representations in the left hemisphere, and more diffuse in the right\n\n##############################\n\nSimilarities and differences\n\nMETHODS\n1 (DD) Smaller sample (62)\n2 (SS) RS and behaviour acquired in separate sessions\n3 (DD) WASI applied to 44 of the 62 participants: Verbal (vocabulary, similarities) // Performance (block design, matrix reasoning); only vocabulary and block design used\n4 (DD) Slightly different acquisition parameters (ie 3.5 vs 3s TR, 1.3mm structural voxels, etc) and fMRI pre-processing parameters (FS pipeline, AFNI, ANATICOR, etc)\n5 (DD) IMPORTANT: They determined homotopic locations through a sophisticated geodesic distance method\n\n6 (DD) IMPORTANT: Their laterality metric was a summary measure, calculated as the correlation for each node with all other nodes in the entire hemisphere averaged, and then also the same for the contralateral hemisphere; then they subtracted (LL-LR) - (RR-RL) for segregation, and integration as (LL+LR) - (RR+RL) (???)\n\n7 (DD) They performed cluster analyses to cluster together the areas that showed similar patterns of integration/segregation, arriving at a 4 cluster solution\n\n8 (DD) They performed partial correlations with their behavioural metrics in the resulting clusters\n\nRESULTS\n9 (DD) They found several large left-lateralised brain regions for segregation:: LH language regions (IFG, pMTG, pSTG). social processing and communication (PCC, medial frontal, ventral Temporal); L-somatosensory, motor; medial occipital calcarine;. All RH regions showed integration metric: visuospatial and attn processing (RH superior parietal, occipital, ventral temporal).\n\n10 (DD) Cluster analysis identified that the regions described through these metrics were grouped into 4 clusters that behave similarly: LH language/communication, somatosensory/motor/ventral temporal,; RH/Bilaretal early visual (bilateral medial occipital) and high level visuspatial regions (RH occipital, ventral temporal and parietal.\n\n11 (DD) They selected the two most relevant clusters (communication/language and high level visuospatial) and did partial correlations of vocabulary and block design behavioural scores with the lateralisation metrics inside each of these 2 clusters. 3 language regions showed significant correlations between segregation index and vocabulary (integration wasn't). 1 large ventral temporal high visuospatial region showed significant correlation between integration index and block design scores. In both cases, only the relevant hemisphere component of the laterality metric drove the correlation, and not the contralateral part.\n\n12 (DD). They found that the magnitude of lateralization in language regions strongly predicts the magnitude of lateralisation in motor regions across participants, but neither of these predicts lateralisation in high-level visuospatial regions with the opposite metric.","page":"E3435-44","title":"Two distinct forms of functional lateralization in the human brain","type":"article-journal","volume":"110"},"uris":["http://www.mendeley.com/documents/?uuid=150e0357-a5e6-4b24-8a3c-f623fbf4b72a"]},{"id":"ITEM-3","itemData":{"DOI":"10.1162/jocn","ISBN":"1530-8898 (Electronic)\\r0898-929X (Linking)","ISSN":"0898-929X","PMID":"23647519","abstract":"The anterior temporal lobe (ATL) sits at the confluence of auditory, visual, olfactory, transmodal, and limbic processing hierarchies. In keeping with this anatomical heterogeneity, the ATL has been implicated in numerous functional domains, including language, semantic memory, social cognition, and facial identification. One question that has attracted considerable discussion is whether the ATL contains a mosaic of differentially specialized areas or whether it provides a domain-independent amodal hub. In the current study, based on task-free fMRI in right-handed neurologically intact participants, we found that the left lateral ATL is interconnected with hubs of the temporo- sylvian language network, including the inferior frontal gyrus and middle temporal gyrus of the ipsilateral hemisphere and, to a lesser extent, with homotopic areas of the contralateral hemi- sphere. Incontrast, the right lateral ATLhadmuchweaker functional connectivity with these regions in either hemisphere. Togetherwith evidence that has been gathered in lesion-mapping and event- related neuroimaging studies, this asymmetry of functional con- nectivity supports the inclusion of the left ATL within the language network, a relationship that had been overlooked by classic apha- siology. The asymmetric domain selectivity for language of the left ATL, together with the absence of such an affiliation in the right ATL, is inconsistent with a strict definition of domain- independent amodal functionality in this region of the brain.","author":[{"dropping-particle":"","family":"Hurley","given":"Robert S","non-dropping-particle":"","parse-names":false,"suffix":""},{"dropping-particle":"","family":"Bonakdarpour","given":"Borna","non-dropping-particle":"","parse-names":false,"suffix":""},{"dropping-particle":"","family":"Wang","given":"Xue","non-dropping-particle":"","parse-names":false,"suffix":""},{"dropping-particle":"","family":"Mesulam","given":"M-Marsel","non-dropping-particle":"","parse-names":false,"suffix":""}],"container-title":"Journal of Cognitive Neuroscience","id":"ITEM-3","issue":"3","issued":{"date-parts":[["2015"]]},"note":"Differences with our study:\n\nStudy designed to understand L-ATL connectivity compared quantitatively to R-ATL. Seed based approach looking at intra and interhemispheric RSFC of ATL, pMTG and IFG.\n\nINTRO \n\n1 (SS): Seeds placed in ATL,IFG and MTG, L and R to quantitatively compare RSFC from homotopic regions of L and RH.\n\n2 (DD): Checked whether pMTG and IFG were more connected in L &amp;gt; R\n\n3 (SS): Check if ATL shows similar asymmetry of connectivity as 2\n\nMETHODS \n\n4 (DD): Much smaller sample (33 vs 205)\n\n5 (DD): Global signal regression\n\n6 (SS): All other pre-processing\n\n7 (DD): 10mm ROIS vs 6mm for us\n\n8 (DD): Different coordinates for spheres. IFG anatomically derived, pMTG Turken &amp;amp; Dronkers study, ATL peak atrophy Mesulam\n\n9 (DD): They used a 'control' bilateral ROI in the spatial attention network.\n\n10 (SS): The seeded correlation method\n\n11 (DD): They used other seeds as ROIs, averaging their timeseries, performing correlation and t-testing that (+ what we did)\n\n12 (DD): They counted the number of significant voxel that fell within each other seed ROI (+ what we did)\n\n13 (DD): They did not interpret, nor plotted anti-correlations\n\nRESULTS \n14 (DD): They found the biggest asymmetry for ATL, for us it was the smallest\n\n15 (SS): They looked at the LH overlap for all single seeds\n\n16 (DD): They didn't do difference maps, or looked at the overlap of that","page":"464-473","title":"Asymmetric Connectivity between the Anterior Temporal Lobe and the Language Network","type":"article-journal","volume":"27"},"uris":["http://www.mendeley.com/documents/?uuid=222d653b-63c4-4e38-9cac-ad5a51d1ba23"]},{"id":"ITEM-4","itemData":{"DOI":"10.1007/s00429-017-1604-y","ISBN":"0123456789","ISSN":"18632661","PMID":"29299691","abstract":"The functional organization of left and right hemispheres is different, and hemispheric asymmetries are thought to underlie variations in brain function across individuals. In this study, we assess how differences between hemispheres are reflected in Asymmetric Functional Connectivity (AFC), which provides a full description of how the brain's connectivity structure during resting state differs from that of the same brain mirrored over the longitudinal fissure. In addition, we assess how AFC varies across subjects. Data were provided by the Human Connectome Project, including 423 resting state and combined language task fMRI data sets, and the pattern of AFC was established for all subjects. While we could quantify the sym-metry of brain connectivity at 95%, significant asymmetries were observed, consisting foremost of: (1) higher correlations between language areas in the left hemisphere than between their right hemisphere homologues. (2) Higher correlations between language homologue areas in the right hemisphere and left default mode network, than between language areas in the left hemisphere and the default mode network in the right hemisphere. The extent to which subjects exhibited this pat-tern correlated with language lateralization and handedness. Further exploration in intersubject variation in AFC revealed several additional patterns, one involving entire hemispheres, and another correlations with limbic areas. These results show that language is an important, but not only determinant of AFC. The additional patterns of AFC require further research to be linked to specific asymmetric neuronal states or events.","author":[{"dropping-particle":"","family":"Raemaekers","given":"Mathijs","non-dropping-particle":"","parse-names":false,"suffix":""},{"dropping-particle":"","family":"Schellekens","given":"Wouter","non-dropping-particle":"","parse-names":false,"suffix":""},{"dropping-particle":"","family":"Petridou","given":"Natalia","non-dropping-particle":"","parse-names":false,"suffix":""},{"dropping-particle":"","family":"Ramsey","given":"Nick F.","non-dropping-particle":"","parse-names":false,"suffix":""}],"container-title":"Brain Structure and Function","id":"ITEM-4","issue":"4","issued":{"date-parts":[["2018"]]},"note":"Main goal: to provide a direct quantification of the extent of hemispheric symmetry in the human brain.\n\nThe first objective of this study is to measure the level of asymmetric connectivity by estimating how well the brain’s connectivity structure can be predicted by the connectivity structure of the brain mirrored over the longitudinal fissure.\n\nStudies so far have either focused on asymmetries of connections within the left hemisphere or the right hemisphere (Tzourio-Mazoyer et al. 2015), address specific regions of interest (Fox et al. 2006; Xiao et al. 2016; Hasler et al. 2017), or have obtained condensed asymmetry metrics by quantifying the mean amount of asymmetric connections per voxel (Joliot et al. 2016). While these approaches certainly have their merits, they do not provide a full and simultaneously assessment of any connectivity asymmetries between and within hemi- spheres.\nIn addition to the full assess- ment of asymmetries in individual connections, we apply a data driven approach to establish if there are other sources besides language lateralization that are driving individual differences in the observed asymmetries.\n\nThey use Asymmetric Functional Connectivity (AFC) as a metric (mirroring of matrix -x)\n\nMETHODS\n-Sample is slightly older\n-One hour of RS\n-Behavioural localisers\n-The language task was inside the scanner\n-Language task used story and math blocks\n\nData Analysis\n- Simple linear regression with LS approach\n- They calculated the AFC by flipping\n- Summary AFC score as a single value (individual AFC as dependent and group mean AFC as independent in a least squares regression)\n- PCA using the AFC entries as variables, subjects as observations to derive sources of variance\n-Language task fMRI followed the same approach, after the GLM, mirroring and subtraction, language score derived as above","page":"1909-1922","publisher":"Springer Berlin Heidelberg","title":"Knowing left from right: asymmetric functional connectivity during resting state","type":"article-journal","volume":"223"},"uris":["http://www.mendeley.com/documents/?uuid=917a1956-d72e-43cb-a0fa-b5485ebe613a"]},{"id":"ITEM-5","itemData":{"DOI":"10.1523/JNEUROSCI.0787-14.2014","ISBN":"1529-2401 (Electronic)\\n0270-6474 (Linking)","ISSN":"0270-6474","PMID":"25209275","abstract":"The human brain demonstrates functional specialization, including strong hemispheric asymmetries. Here specialization was explored using fMRI by examining the degree to which brain networks preferentially interact with ipsilateral as opposed to contralateral networks. Preferential within-hemisphere interaction was prominent in the heteromodal association cortices and minimal in the sensorimotor cortices. The frontoparietal control network exhibited strong within-hemisphere interactions but with distinct patterns in each hemisphere. The frontoparietal control network preferentially coupled to the default network and language-related regions in the left hemisphere but to attention networks in the right hemisphere. This arrangement may facilitate control of processing functions that are lateralized. Moreover, the regions most linked to asymmetric specialization also display the highest degree of evolutionary cortical expansion. Functional specialization that emphasizes processing within a hemisphere may allow the expanded hominin brain to minimize between-hemisphere connectivity and distribute domain-specific processing functions.","author":[{"dropping-particle":"","family":"Wang","given":"D.","non-dropping-particle":"","parse-names":false,"suffix":""},{"dropping-particle":"","family":"Buckner","given":"R. L.","non-dropping-particle":"","parse-names":false,"suffix":""},{"dropping-particle":"","family":"Liu","given":"H.","non-dropping-particle":"","parse-names":false,"suffix":""}],"container-title":"Journal of Neuroscience","id":"ITEM-5","issue":"37","issued":{"date-parts":[["2014"]]},"page":"12341-12352","title":"Functional Specialization in the Human Brain Estimated By Intrinsic Hemispheric Interaction","type":"article-journal","volume":"34"},"uris":["http://www.mendeley.com/documents/?uuid=35854ef0-1333-4446-8939-cccbf261bfa4"]},{"id":"ITEM-6","itemData":{"DOI":"10.1038/s41467-019-09344-1","ISBN":"4146701909344","ISSN":"2041-1723","abstract":"Functional lateralisation is a fundamental principle of the human brain. However, a comprehensive taxonomy of functional lateralisation and its organisation in the brain is missing. Here, we report the first complete map of functional hemispheric asymmetries in the human brain, reveal its low dimensional structure, and its relationship with structural inter-hemispheric connectivity. Our results suggest that the lateralisation of brain functions is distributed along four functional axes: symbolic communication, perception/action, emotion, and decision-making. The similarity between this finding and recent work on neurological symptoms give rise to new hypotheses on the mechanisms that support brain recovery after a brain lesion. We also report that cortical regions showing asymmetries in task-evoked activity have reduced connections with the opposite hemisphere. This latter result suggests that during evolution, brain size expansion led to functional lateralisation to avoid excessive conduction delays between the hemispheres.","author":[{"dropping-particle":"","family":"Karolis","given":"Vyacheslav R","non-dropping-particle":"","parse-names":false,"suffix":""},{"dropping-particle":"","family":"Corbetta","given":"Maurizio","non-dropping-particle":"","parse-names":false,"suffix":""},{"dropping-particle":"","family":"Thiebaut de Schotten","given":"Michel","non-dropping-particle":"","parse-names":false,"suffix":""}],"container-title":"Nature Communications","id":"ITEM-6","issue":"1","issued":{"date-parts":[["2019"]]},"note":"From Duplicate 2 (The architecture of functional lateralisation and its relationship to callosal connectivity in the human brain - Karolis, Vyacheslav R; Corbetta, Maurizio; Thiebaut de Schotten, Michel)\n\n1. Selected terms from Neurosynth.\n2. Corrected for asymmetries through registering to a symmetrical atlas\n3. Calculated a lateralization index for each term, contrasting the voxels for LH vs RH (for each voxel, difference between RH-LH so negative is left).\n4. PCA performed to eliminate redundancy in data (Neurosynth has plurals, etc)\n5. GLM was performed with component loads as predictors to fit lateralisation maps data and identify voxels with a significant lateralisation associated with each component\n6. Permutation testing of these maps showed 25 PC with voxels with significant lateralisation (p&amp;lt;.05, &amp;gt;20 voxels, FWE)\n7. Multivariate spectral embedding analysed similarity between lateralisation maps to find generic structure of the brain lateralisation's profiles (morphospace).\n8. Found triangular structure with 3 vertices: symbolic communication, perception/action and emotion (fourth identified later, decision-making).\n9. Based on this, they generated 'archetype maps', regressing lateralisation profiles onto terms' coordinates in the embedded space.\n10. Symbolic communication archetype: Left sided Dorsal and ventral frontal lobe (Broca, Pre-SMA), posterior Temporal. Right sided posterior lobe cerebellum (Crus II)\n11 Perception/action archetype: left sensorimotor, left SMA, left thalamus; right FEF, IPS, ventral frontal, pre-SMA, basal forebrain and anterior cerebellum.\n12. Emotion archetype: Left ACC, right amygdala, posterior IFG, IPS and posterior temporal.\n13. Decision-making archetype: right prefrontal (medial orbital), FEF; left IPS and striatum.\n14. Structural connectivity was examined through diffusion weighted tractography.\n15. They sampled voxels from lateralised vs non-lateralised regions in both hemispheres separately; they used 2 metrics: axonal water fraction (micro) and replicability of connections (macro).\n16. The micro measure showed that voxels coming from lateralised regions cross over less than those from non-lateralised (especially more for LH); this doesn't replicate in the macro measure.\n\n\nDiscussion\nFirst comprehensive mapping of functional brain architecture of lateralised cognitive functions. This showed a low-d structure with 4 functional axes (symbolic comm, perception/action, emotion, decision-making). Lateralised regions were connected to regions of corpus callosum with reduced microstructural connectivity compared to non-lateralised regions.\nThe meta-analysis of Neurosynth task-related activation maps revealed several known functional lateralisation profiles, like Language to LH, and inhibition to RH; surprisingly, 'attention' didn't show lateralisation (maybe it was too ambiguous), but it did show a strong negative weighting in the language component, suggesting a balance between language and attention in similar brain regions Cerebellar results replicated cortical organisation, respected phylogenetical orgainsation: Crus II connected to language was right lateralised, while paleocerebellum connected with sensorimotor was right. This supports validity and anatomical precision of functional lateralisation maps based on fMRI meta-analyses.\nThe four axes low-d architecture classifies maps in a coherent way with neuropsychological findings. Along the 'Symbolic Communication' axis we find 'language' but also left and right-lateralised 'calculation'; for perception/action there's left-lateralised motor planning but also RH visuospatial attention and response inhibition.\nThe triangular organisation of the morphospace may be Pareto-optimal; evolution forces trade-offs among traits, strength in one trait essential for survival like solving a set of problems is associated with relative weakness on other problems; the traits at the vertices of the triangle are archetipes, that is, most specialised traits.\nThis low-d structure is consistent with previous findings of low-d on functional networks and cognitive performance in health and disease (cfr. the case of stroke).Re structural connectivity, this study shows that functional lateralisation is linked to a decrease of callosal function (i.e. inter-hemispheric independence). The study rules out the inter-hemispheric competition hypothesis (since this would need more connectivity between homotopes in lateralised regions). Reduced interhemispheric communication may improve processing time of lateralised functions, but may lead to decreased capacity to recover after brain injury.","page":"1417","publisher":"Springer US","title":"The architecture of functional lateralisation and its relationship to callosal connectivity in the human brain","type":"article-journal","volume":"10"},"uris":["http://www.mendeley.com/documents/?uuid=0fa24e00-b344-4662-bb74-4982d7864f27"]}],"mendeley":{"formattedCitation":"(Gotts et al., 2013; Hurley et al., 2015; Jo et al., 2012; Karolis et al., 2019; Raemaekers et al., 2018; Wang et al., 2014)","manualFormatting":"(see also Gotts et al., 2013; Hurley et al., 2015; Jo et al., 2012; Karolis et al., 2019; Raemaekers et al., 2018; Wang et al., 2014)","plainTextFormattedCitation":"(Gotts et al., 2013; Hurley et al., 2015; Jo et al., 2012; Karolis et al., 2019; Raemaekers et al., 2018; Wang et al., 2014)","previouslyFormattedCitation":"(Gotts et al., 2013; Hurley et al., 2015; Jo et al., 2012; Karolis et al., 2019; Raemaekers et al., 2018; Wang et al., 2014)"},"properties":{"noteIndex":0},"schema":"https://github.com/citation-style-language/schema/raw/master/csl-citation.json"}</w:instrText>
      </w:r>
      <w:r w:rsidR="00AE643D" w:rsidRPr="00975DA7">
        <w:rPr>
          <w:rFonts w:ascii="Times New Roman" w:hAnsi="Times New Roman" w:cs="Times New Roman"/>
        </w:rPr>
        <w:fldChar w:fldCharType="separate"/>
      </w:r>
      <w:r w:rsidR="00276ABE" w:rsidRPr="00975DA7">
        <w:rPr>
          <w:rFonts w:ascii="Times New Roman" w:hAnsi="Times New Roman" w:cs="Times New Roman"/>
          <w:noProof/>
        </w:rPr>
        <w:t>(</w:t>
      </w:r>
      <w:r w:rsidR="005C2E0B" w:rsidRPr="00975DA7">
        <w:rPr>
          <w:rFonts w:ascii="Times New Roman" w:hAnsi="Times New Roman" w:cs="Times New Roman"/>
          <w:noProof/>
        </w:rPr>
        <w:t>s</w:t>
      </w:r>
      <w:r w:rsidR="00276ABE" w:rsidRPr="00975DA7">
        <w:rPr>
          <w:rFonts w:ascii="Times New Roman" w:hAnsi="Times New Roman" w:cs="Times New Roman"/>
          <w:noProof/>
        </w:rPr>
        <w:t>ee also Gotts et al., 2013; Hurley et al., 2015; Jo et al., 2012; Karolis et al., 2019; Raemaekers et al., 2018; Wang et al., 2014)</w:t>
      </w:r>
      <w:r w:rsidR="00AE643D" w:rsidRPr="00975DA7">
        <w:rPr>
          <w:rFonts w:ascii="Times New Roman" w:hAnsi="Times New Roman" w:cs="Times New Roman"/>
        </w:rPr>
        <w:fldChar w:fldCharType="end"/>
      </w:r>
      <w:r w:rsidR="00AE643D" w:rsidRPr="00975DA7">
        <w:rPr>
          <w:rFonts w:ascii="Times New Roman" w:hAnsi="Times New Roman" w:cs="Times New Roman"/>
          <w:noProof/>
        </w:rPr>
        <w:t xml:space="preserve">. </w:t>
      </w:r>
      <w:r w:rsidRPr="00975DA7">
        <w:rPr>
          <w:rFonts w:ascii="Times New Roman" w:hAnsi="Times New Roman" w:cs="Times New Roman"/>
        </w:rPr>
        <w:t>The current study adds to this body of work by specifically assessing connectivity differences for four key heteromodal semantic nodes, as opposed to language sites</w:t>
      </w:r>
      <w:r w:rsidR="00AB7CEA" w:rsidRPr="00975DA7">
        <w:rPr>
          <w:rFonts w:ascii="Times New Roman" w:hAnsi="Times New Roman" w:cs="Times New Roman"/>
        </w:rPr>
        <w:t>, and by differentiating between sites</w:t>
      </w:r>
      <w:r w:rsidR="00464DAA" w:rsidRPr="00975DA7">
        <w:rPr>
          <w:rFonts w:ascii="Times New Roman" w:hAnsi="Times New Roman" w:cs="Times New Roman"/>
        </w:rPr>
        <w:t xml:space="preserve"> implicated in heteromodal conceptual representation (</w:t>
      </w:r>
      <w:r w:rsidR="00AB7CEA" w:rsidRPr="00975DA7">
        <w:rPr>
          <w:rFonts w:ascii="Times New Roman" w:hAnsi="Times New Roman" w:cs="Times New Roman"/>
        </w:rPr>
        <w:t xml:space="preserve">ventral </w:t>
      </w:r>
      <w:r w:rsidR="00464DAA" w:rsidRPr="00975DA7">
        <w:rPr>
          <w:rFonts w:ascii="Times New Roman" w:hAnsi="Times New Roman" w:cs="Times New Roman"/>
        </w:rPr>
        <w:t>ATL) and semantic control (IFG; pMTG)</w:t>
      </w:r>
      <w:r w:rsidR="00AB7CEA" w:rsidRPr="00975DA7">
        <w:rPr>
          <w:rFonts w:ascii="Times New Roman" w:hAnsi="Times New Roman" w:cs="Times New Roman"/>
        </w:rPr>
        <w:t>. We found strong left-lateralisation similar to that reported by Raemaekers et al. (2018) for semantic control sites</w:t>
      </w:r>
      <w:r w:rsidR="00D978D7" w:rsidRPr="00975DA7">
        <w:rPr>
          <w:rFonts w:ascii="Times New Roman" w:hAnsi="Times New Roman" w:cs="Times New Roman"/>
        </w:rPr>
        <w:t>, but not for ventral ATL.</w:t>
      </w:r>
      <w:r w:rsidRPr="00975DA7">
        <w:rPr>
          <w:rFonts w:ascii="Times New Roman" w:hAnsi="Times New Roman" w:cs="Times New Roman"/>
        </w:rPr>
        <w:t xml:space="preserve"> </w:t>
      </w:r>
      <w:r w:rsidR="00AB7CEA" w:rsidRPr="00975DA7">
        <w:rPr>
          <w:rFonts w:ascii="Times New Roman" w:hAnsi="Times New Roman" w:cs="Times New Roman"/>
        </w:rPr>
        <w:t>Moreover, w</w:t>
      </w:r>
      <w:r w:rsidRPr="00975DA7">
        <w:rPr>
          <w:rFonts w:ascii="Times New Roman" w:hAnsi="Times New Roman" w:cs="Times New Roman"/>
        </w:rPr>
        <w:t>e used a fine-grained semantic battery examining different modalities (words; pictures) and semantic control demands (strong vs. weak associations).</w:t>
      </w:r>
      <w:r w:rsidR="00D978D7" w:rsidRPr="00975DA7">
        <w:rPr>
          <w:rFonts w:ascii="Times New Roman" w:hAnsi="Times New Roman" w:cs="Times New Roman"/>
        </w:rPr>
        <w:t xml:space="preserve"> </w:t>
      </w:r>
      <w:r w:rsidRPr="00975DA7">
        <w:rPr>
          <w:rFonts w:ascii="Times New Roman" w:hAnsi="Times New Roman" w:cs="Times New Roman"/>
        </w:rPr>
        <w:t xml:space="preserve">As well as stronger lateralisation </w:t>
      </w:r>
      <w:r w:rsidR="00AE643D" w:rsidRPr="00975DA7">
        <w:rPr>
          <w:rFonts w:ascii="Times New Roman" w:hAnsi="Times New Roman" w:cs="Times New Roman"/>
        </w:rPr>
        <w:t>of</w:t>
      </w:r>
      <w:r w:rsidRPr="00975DA7">
        <w:rPr>
          <w:rFonts w:ascii="Times New Roman" w:hAnsi="Times New Roman" w:cs="Times New Roman"/>
        </w:rPr>
        <w:t xml:space="preserve"> intrinsic connectivity for the semantic control sites in resting-state fMRI, we found </w:t>
      </w:r>
      <w:r w:rsidR="00AE643D" w:rsidRPr="00975DA7">
        <w:rPr>
          <w:rFonts w:ascii="Times New Roman" w:hAnsi="Times New Roman" w:cs="Times New Roman"/>
        </w:rPr>
        <w:t xml:space="preserve">poor controlled retrieval </w:t>
      </w:r>
      <w:r w:rsidR="00A86ACB" w:rsidRPr="00975DA7">
        <w:rPr>
          <w:rFonts w:ascii="Times New Roman" w:hAnsi="Times New Roman" w:cs="Times New Roman"/>
        </w:rPr>
        <w:t xml:space="preserve">of weak associations </w:t>
      </w:r>
      <w:r w:rsidR="00AE643D" w:rsidRPr="00975DA7">
        <w:rPr>
          <w:rFonts w:ascii="Times New Roman" w:hAnsi="Times New Roman" w:cs="Times New Roman"/>
        </w:rPr>
        <w:t>was associated with more right-lateralised connectivity from a key LH site implicated in semantic control</w:t>
      </w:r>
      <w:r w:rsidR="00A86ACB" w:rsidRPr="00975DA7">
        <w:rPr>
          <w:rFonts w:ascii="Times New Roman" w:hAnsi="Times New Roman" w:cs="Times New Roman"/>
        </w:rPr>
        <w:t>. However, we did not observe differences between verbal and non-verbal tasks, potentially consistent with the heteromodal nature of our seeds.</w:t>
      </w:r>
    </w:p>
    <w:p w14:paraId="085BBD95" w14:textId="75756FD9" w:rsidR="0059177E" w:rsidRPr="00975DA7" w:rsidRDefault="00C344CB" w:rsidP="00CC2AD4">
      <w:pPr>
        <w:spacing w:line="360" w:lineRule="auto"/>
        <w:rPr>
          <w:rFonts w:ascii="Times New Roman" w:hAnsi="Times New Roman" w:cs="Times New Roman"/>
        </w:rPr>
      </w:pPr>
      <w:r w:rsidRPr="00975DA7">
        <w:rPr>
          <w:rFonts w:ascii="Times New Roman" w:hAnsi="Times New Roman" w:cs="Times New Roman"/>
        </w:rPr>
        <w:t>These findings fit broadly with several key predictions of the Controlled Semantic Cognition framework. According to this theory, s</w:t>
      </w:r>
      <w:r w:rsidR="0059177E" w:rsidRPr="00975DA7">
        <w:rPr>
          <w:rFonts w:ascii="Times New Roman" w:hAnsi="Times New Roman" w:cs="Times New Roman"/>
        </w:rPr>
        <w:t>emantic representation draw</w:t>
      </w:r>
      <w:r w:rsidRPr="00975DA7">
        <w:rPr>
          <w:rFonts w:ascii="Times New Roman" w:hAnsi="Times New Roman" w:cs="Times New Roman"/>
        </w:rPr>
        <w:t>s</w:t>
      </w:r>
      <w:r w:rsidR="0059177E" w:rsidRPr="00975DA7">
        <w:rPr>
          <w:rFonts w:ascii="Times New Roman" w:hAnsi="Times New Roman" w:cs="Times New Roman"/>
        </w:rPr>
        <w:t xml:space="preserve"> on a semantic ‘hub’ in bilateral ATL, with some </w:t>
      </w:r>
      <w:r w:rsidRPr="00975DA7">
        <w:rPr>
          <w:rFonts w:ascii="Times New Roman" w:hAnsi="Times New Roman" w:cs="Times New Roman"/>
        </w:rPr>
        <w:t xml:space="preserve">relatively subtle </w:t>
      </w:r>
      <w:r w:rsidR="0059177E" w:rsidRPr="00975DA7">
        <w:rPr>
          <w:rFonts w:ascii="Times New Roman" w:hAnsi="Times New Roman" w:cs="Times New Roman"/>
        </w:rPr>
        <w:t xml:space="preserve">functional specialisation for verbal and non-verbal semantic tasks in left and right ATL respectively </w:t>
      </w:r>
      <w:r w:rsidR="0059177E" w:rsidRPr="00975DA7">
        <w:rPr>
          <w:rFonts w:ascii="Times New Roman" w:hAnsi="Times New Roman" w:cs="Times New Roman"/>
        </w:rPr>
        <w:fldChar w:fldCharType="begin" w:fldLock="1"/>
      </w:r>
      <w:r w:rsidR="00160F73" w:rsidRPr="00975DA7">
        <w:rPr>
          <w:rFonts w:ascii="Times New Roman" w:hAnsi="Times New Roman" w:cs="Times New Roman"/>
        </w:rPr>
        <w:instrText>ADDIN CSL_CITATION {"citationItems":[{"id":"ITEM-1","itemData":{"DOI":"10.1093/cercor/bhx362","ISSN":"1047-3211","PMID":"29351584","abstract":"The presence and degree of specialization between the anterior temporal lobes (ATLs) is a key issue in debates about the neural architecture of semantic memory. Here, we comprehensively assessed multiple aspects of semantic cognition in a large group of postsurgical temporal lobe epilepsy (TLE) patients with left versus right anterior temporal lobectomy (n = 40). Both subgroups showed deficits in expressive and receptive verbal semantic tasks, word and object recognition, naming and recognition of famous faces and perception of faces and emotions. Graded differences in performance between the left and right groups were secondary to the overall mild semantic impairment; primarily, left resected TLE patients showed weaker performance on tasks that required naming or accessing semantic information from a written word. Right resected TLE patients were relatively more impaired at recognizing famous faces as familiar, although this effect was observed less consistently. These findings unify previous partial, inconsistent results and also align directly with fMRI and transcranial magnetic stimulation results in neurologically intact participants. Taken together, these data support a model in which the 2 ATLs act as a coupled bilateral system for the representation of semantic knowledge, and in which graded hemispheric specializations emerge as a consequence of differential connectivity to lateralized speech production and face perception regions","author":[{"dropping-particle":"","family":"Rice","given":"Grace E","non-dropping-particle":"","parse-names":false,"suffix":""},{"dropping-particle":"","family":"Caswell","given":"Helen","non-dropping-particle":"","parse-names":false,"suffix":""},{"dropping-particle":"","family":"Moore","given":"Perry","non-dropping-particle":"","parse-names":false,"suffix":""},{"dropping-particle":"","family":"Hoffman","given":"Paul","non-dropping-particle":"","parse-names":false,"suffix":""},{"dropping-particle":"","family":"Lambon Ralph","given":"Matthew A","non-dropping-particle":"","parse-names":false,"suffix":""}],"container-title":"Cerebral Cortex","id":"ITEM-1","issue":"4","issued":{"date-parts":[["2018"]]},"page":"1487-1501","title":"The Roles of Left Versus Right Anterior Temporal Lobes in Semantic Memory: A Neuropsychological Comparison of Postsurgical Temporal Lobe Epilepsy Patients","type":"article-journal","volume":"28"},"uris":["http://www.mendeley.com/documents/?uuid=be0c4a3b-69d3-4675-ba72-e1c675def469"]},{"id":"ITEM-2","itemData":{"DOI":"10.1111/nyas.12951","ISSN":"00778923","abstract":"Considerable evidence from different methodologies has identified the anterior temporal lobes (ATLs) as key regions for the representation of semantic knowledge. Research interest is now shifting to investigate the roles of different ATL subregions in semantic representation, with particular emphasis on the functions of the left versus right ATLs. In this review, we provide evidence for graded specializations both between and within the ATLs. We argue (1) that multimodal, pan-category semantic representations are supported jointly by both left and right ATLs, yet (2) that the ATLs are not homogeneous in their function. Instead, subtle functional gradations both between and within the ATLs emerge as a consequence of differential connectivity with primary sensory/motor/limbic regions. This graded specialization account of semantic representation provides a compromise between theories that posit no differences between the functions of the left and right ATLs and those that posit that the left and right ATLs are entirely segregated in function. Evidence for this graded account comes from converging sources, and its benefits have been exemplified in formal computational models. We propose that this graded principle is not only a defining feature of the ATLs but is also a more general neurocomputational principle found throughout the temporal lobes.","author":[{"dropping-particle":"","family":"Rice","given":"Grace E.","non-dropping-particle":"","parse-names":false,"suffix":""},{"dropping-particle":"","family":"Hoffman","given":"Paul","non-dropping-particle":"","parse-names":false,"suffix":""},{"dropping-particle":"","family":"Lambon Ralph","given":"Matthew A.","non-dropping-particle":"","parse-names":false,"suffix":""}],"container-title":"Annals of the New York Academy of Sciences","id":"ITEM-2","issue":"1","issued":{"date-parts":[["2015","11","1"]]},"page":"84-97","title":"Graded specialization within and between the anterior temporal lobes","type":"article-journal","volume":"1359"},"uris":["http://www.mendeley.com/documents/?uuid=0a894eb8-e50e-40b9-8a6f-7b96aa9d955c"]},{"id":"ITEM-3","itemData":{"DOI":"10.1093/cercor/bhv024","ISBN":"1047-3211","ISSN":"1047-3211","PMID":"25771223","abstract":"The roles of the right and left anterior temporal lobes (ATLs) in conceptual knowledge are a source of debate between 4 conflicting accounts. Possible ATL specializations include: (1) Processing of verbal versus non-verbal inputs; (2) the involvement of word retrieval; and (3) the social content of the stimuli. Conversely, the “hub-and-spoke” account holds that both ATLs form a bilateral functionally unified system. Using activation likelihood estimation (ALE) to compare the probability of left and right ATL activation, we analyzed 97 functional neuroimaging studies of conceptual knowledge, organized according to the predictions of the three specialized hypotheses. The primary result was that ATL activation was predominately bilateral and highly overlapping for all stimulus types. Secondary to this bilateral representation, there were subtle gradations both between and within the ATLs. Activations were more likely to be left lateralized when the input was a written word or when word retrieval was required. These data are best accommodated by a graded version of the hub-and-spoke account, whereby representation of conceptual knowledge is supported through bilateral yet graded connectivity between the ATLs and various modality-specific sensory, motor, and limbic cortices.","author":[{"dropping-particle":"","family":"Rice","given":"Grace E.","non-dropping-particle":"","parse-names":false,"suffix":""},{"dropping-particle":"","family":"Lambon Ralph","given":"Matthew A.","non-dropping-particle":"","parse-names":false,"suffix":""},{"dropping-particle":"","family":"Hoffman","given":"Paul.","non-dropping-particle":"","parse-names":false,"suffix":""}],"container-title":"Cerebral Cortex","id":"ITEM-3","issue":"11","issued":{"date-parts":[["2015","11","1"]]},"note":"From Duplicate 1 (The Roles of Left Versus Right Anterior Temporal Lobes in Conceptual Knowledge: An ALE Meta-analysis of 97 Functional Neuroimaging Studies - Rice, G. E.; Lambon Ralph, M. a.; Hoffman, P.)\n\nRead and annotated\n\nFrom Duplicate 2 (The Roles of Left Versus Right Anterior Temporal Lobes in Conceptual Knowledge: An ALE Meta-analysis of 97 Functional Neuroimaging Studies - Rice, Grace E; Lambon Ralph, Matthew A; Hoffman, Paul)\n\n10.1093/cercor/bhv024","page":"4374-4391","title":"The Roles of Left Versus Right Anterior Temporal Lobes in Conceptual Knowledge: An ALE Meta-analysis of 97 Functional Neuroimaging Studies","type":"article-journal","volume":"25"},"uris":["http://www.mendeley.com/documents/?uuid=e9295c73-b60f-49e9-bc8c-d96748f8db19"]}],"mendeley":{"formattedCitation":"(Rice et al., 2018a, 2015a, 2015b)","plainTextFormattedCitation":"(Rice et al., 2018a, 2015a, 2015b)","previouslyFormattedCitation":"(Rice et al., 2018a, 2015a, 2015b)"},"properties":{"noteIndex":0},"schema":"https://github.com/citation-style-language/schema/raw/master/csl-citation.json"}</w:instrText>
      </w:r>
      <w:r w:rsidR="0059177E" w:rsidRPr="00975DA7">
        <w:rPr>
          <w:rFonts w:ascii="Times New Roman" w:hAnsi="Times New Roman" w:cs="Times New Roman"/>
        </w:rPr>
        <w:fldChar w:fldCharType="separate"/>
      </w:r>
      <w:r w:rsidR="00160F73" w:rsidRPr="00975DA7">
        <w:rPr>
          <w:rFonts w:ascii="Times New Roman" w:hAnsi="Times New Roman" w:cs="Times New Roman"/>
          <w:noProof/>
        </w:rPr>
        <w:t>(Rice et al., 2018a, 2015a, 2015b)</w:t>
      </w:r>
      <w:r w:rsidR="0059177E" w:rsidRPr="00975DA7">
        <w:rPr>
          <w:rFonts w:ascii="Times New Roman" w:hAnsi="Times New Roman" w:cs="Times New Roman"/>
        </w:rPr>
        <w:fldChar w:fldCharType="end"/>
      </w:r>
      <w:r w:rsidR="0059177E" w:rsidRPr="00975DA7">
        <w:rPr>
          <w:rFonts w:ascii="Times New Roman" w:hAnsi="Times New Roman" w:cs="Times New Roman"/>
        </w:rPr>
        <w:t xml:space="preserve">. We found highly symmetrical connectivity maps for left and right ventral ATL, in line with other recent studies </w:t>
      </w:r>
      <w:r w:rsidR="0059177E" w:rsidRPr="00975DA7">
        <w:rPr>
          <w:rFonts w:ascii="Times New Roman" w:hAnsi="Times New Roman" w:cs="Times New Roman"/>
        </w:rPr>
        <w:fldChar w:fldCharType="begin" w:fldLock="1"/>
      </w:r>
      <w:r w:rsidR="0059177E" w:rsidRPr="00975DA7">
        <w:rPr>
          <w:rFonts w:ascii="Times New Roman" w:hAnsi="Times New Roman" w:cs="Times New Roman"/>
        </w:rPr>
        <w:instrText>ADDIN CSL_CITATION {"citationItems":[{"id":"ITEM-1","itemData":{"DOI":"10.1016/j.neuroimage.2017.04.024","ISSN":"10538119","abstract":"The temporal lobe has been associated with various cognitive functions which include memory, auditory cognition and semantics. However, at a higher level of conceptualisation, all of the functions associated with the temporal lobe can be considered as lying along one major axis; from modality-specific to modality-general processing. This paper used a spectral reordering technique on resting-state and task-based functional data to extract the major organisational axis of the temporal lobe in a bottom-up, data-driven fashion. Independent parcellations were performed on resting-state scans from 71 participants and active semantic task scans from 23 participants acquired using dual echo gradient echo planar imaging in order to preserve signal in inferior temporal cortex. The resulting organisational axis was consistent (over dataset and hemisphere) and progressed from superior temporal gyrus and posterior inferior temporal cortex to ventrolateral anterior temporal cortex. A hard parcellation separated a posterior (superior temporal and posterior fusiform and inferior temporal gyri) and an anterior cluster (ventrolateral anterior temporal lobe). The functional connectivity of the hard clusters supported the hypothesis that the connectivity gradient separated modality-specific and modality-general regions. This hypothesis was then directly tested by performing a VOI analysis upon an independent semantic task-based data set including auditory and visually presented stimuli. This confirmed that the ventrolateral anterior aspects of the temporal lobe are associated with modality-general processes whilst posterior and superior aspects are specific to certain modalities, with the posterior inferior subregions involved in visual processes and superior regions involved in audition.","author":[{"dropping-particle":"","family":"Jackson","given":"Rebecca L.","non-dropping-particle":"","parse-names":false,"suffix":""},{"dropping-particle":"","family":"Bajada","given":"Claude J.","non-dropping-particle":"","parse-names":false,"suffix":""},{"dropping-particle":"","family":"Rice","given":"Grace E.","non-dropping-particle":"","parse-names":false,"suffix":""},{"dropping-particle":"","family":"Cloutman","given":"Lauren L.","non-dropping-particle":"","parse-names":false,"suffix":""},{"dropping-particle":"","family":"Lambon Ralph","given":"Matthew A.","non-dropping-particle":"","parse-names":false,"suffix":""}],"container-title":"NeuroImage","id":"ITEM-1","issue":"April","issued":{"date-parts":[["2017"]]},"page":"1-15","publisher":"Elsevier","title":"An emergent functional parcellation of the temporal cortex","type":"article-journal"},"uris":["http://www.mendeley.com/documents/?uuid=f5054d17-45f2-48c6-b72e-59b01d0da8a5"]}],"mendeley":{"formattedCitation":"(Jackson et al., 2017)","plainTextFormattedCitation":"(Jackson et al., 2017)","previouslyFormattedCitation":"(Jackson et al., 2017)"},"properties":{"noteIndex":0},"schema":"https://github.com/citation-style-language/schema/raw/master/csl-citation.json"}</w:instrText>
      </w:r>
      <w:r w:rsidR="0059177E" w:rsidRPr="00975DA7">
        <w:rPr>
          <w:rFonts w:ascii="Times New Roman" w:hAnsi="Times New Roman" w:cs="Times New Roman"/>
        </w:rPr>
        <w:fldChar w:fldCharType="separate"/>
      </w:r>
      <w:r w:rsidR="0059177E" w:rsidRPr="00975DA7">
        <w:rPr>
          <w:rFonts w:ascii="Times New Roman" w:hAnsi="Times New Roman" w:cs="Times New Roman"/>
          <w:noProof/>
        </w:rPr>
        <w:t>(Jackson et al., 2017)</w:t>
      </w:r>
      <w:r w:rsidR="0059177E" w:rsidRPr="00975DA7">
        <w:rPr>
          <w:rFonts w:ascii="Times New Roman" w:hAnsi="Times New Roman" w:cs="Times New Roman"/>
        </w:rPr>
        <w:fldChar w:fldCharType="end"/>
      </w:r>
      <w:r w:rsidR="0059177E" w:rsidRPr="00975DA7">
        <w:rPr>
          <w:rFonts w:ascii="Times New Roman" w:hAnsi="Times New Roman" w:cs="Times New Roman"/>
        </w:rPr>
        <w:t xml:space="preserve">. </w:t>
      </w:r>
      <w:r w:rsidR="000B6C5F" w:rsidRPr="00975DA7">
        <w:rPr>
          <w:rFonts w:ascii="Times New Roman" w:hAnsi="Times New Roman" w:cs="Times New Roman"/>
        </w:rPr>
        <w:t xml:space="preserve">We found no evidence that connectivity patterns from left ATL were associated with different performance on </w:t>
      </w:r>
      <w:r w:rsidRPr="00975DA7">
        <w:rPr>
          <w:rFonts w:ascii="Times New Roman" w:hAnsi="Times New Roman" w:cs="Times New Roman"/>
        </w:rPr>
        <w:t xml:space="preserve">word and picture </w:t>
      </w:r>
      <w:r w:rsidR="000B6C5F" w:rsidRPr="00975DA7">
        <w:rPr>
          <w:rFonts w:ascii="Times New Roman" w:hAnsi="Times New Roman" w:cs="Times New Roman"/>
        </w:rPr>
        <w:t>matching tasks – although we cannot rule out the possibility that connectivity patterns from left and right ATL would differentially predict performance on tests requiring specific identities to be retrieved, such as names and faces</w:t>
      </w:r>
      <w:r w:rsidR="00F138CE" w:rsidRPr="00975DA7">
        <w:rPr>
          <w:rFonts w:ascii="Times New Roman" w:hAnsi="Times New Roman" w:cs="Times New Roman"/>
        </w:rPr>
        <w:t xml:space="preserve"> </w:t>
      </w:r>
      <w:r w:rsidR="00F138CE" w:rsidRPr="00975DA7">
        <w:rPr>
          <w:rFonts w:ascii="Times New Roman" w:hAnsi="Times New Roman" w:cs="Times New Roman"/>
        </w:rPr>
        <w:fldChar w:fldCharType="begin" w:fldLock="1"/>
      </w:r>
      <w:r w:rsidR="00160F73" w:rsidRPr="00975DA7">
        <w:rPr>
          <w:rFonts w:ascii="Times New Roman" w:hAnsi="Times New Roman" w:cs="Times New Roman"/>
        </w:rPr>
        <w:instrText>ADDIN CSL_CITATION {"citationItems":[{"id":"ITEM-1","itemData":{"DOI":"10.1093/cercor/bhv024","ISBN":"1047-3211","ISSN":"1047-3211","PMID":"25771223","abstract":"The roles of the right and left anterior temporal lobes (ATLs) in conceptual knowledge are a source of debate between 4 conflicting accounts. Possible ATL specializations include: (1) Processing of verbal versus non-verbal inputs; (2) the involvement of word retrieval; and (3) the social content of the stimuli. Conversely, the “hub-and-spoke” account holds that both ATLs form a bilateral functionally unified system. Using activation likelihood estimation (ALE) to compare the probability of left and right ATL activation, we analyzed 97 functional neuroimaging studies of conceptual knowledge, organized according to the predictions of the three specialized hypotheses. The primary result was that ATL activation was predominately bilateral and highly overlapping for all stimulus types. Secondary to this bilateral representation, there were subtle gradations both between and within the ATLs. Activations were more likely to be left lateralized when the input was a written word or when word retrieval was required. These data are best accommodated by a graded version of the hub-and-spoke account, whereby representation of conceptual knowledge is supported through bilateral yet graded connectivity between the ATLs and various modality-specific sensory, motor, and limbic cortices.","author":[{"dropping-particle":"","family":"Rice","given":"Grace E.","non-dropping-particle":"","parse-names":false,"suffix":""},{"dropping-particle":"","family":"Lambon Ralph","given":"Matthew A.","non-dropping-particle":"","parse-names":false,"suffix":""},{"dropping-particle":"","family":"Hoffman","given":"Paul.","non-dropping-particle":"","parse-names":false,"suffix":""}],"container-title":"Cerebral Cortex","id":"ITEM-1","issue":"11","issued":{"date-parts":[["2015","11","1"]]},"note":"From Duplicate 1 (The Roles of Left Versus Right Anterior Temporal Lobes in Conceptual Knowledge: An ALE Meta-analysis of 97 Functional Neuroimaging Studies - Rice, G. E.; Lambon Ralph, M. a.; Hoffman, P.)\n\nRead and annotated\n\nFrom Duplicate 2 (The Roles of Left Versus Right Anterior Temporal Lobes in Conceptual Knowledge: An ALE Meta-analysis of 97 Functional Neuroimaging Studies - Rice, Grace E; Lambon Ralph, Matthew A; Hoffman, Paul)\n\n10.1093/cercor/bhv024","page":"4374-4391","title":"The Roles of Left Versus Right Anterior Temporal Lobes in Conceptual Knowledge: An ALE Meta-analysis of 97 Functional Neuroimaging Studies","type":"article-journal","volume":"25"},"uris":["http://www.mendeley.com/documents/?uuid=e9295c73-b60f-49e9-bc8c-d96748f8db19"]},{"id":"ITEM-2","itemData":{"DOI":"10.1111/nyas.12951","ISSN":"00778923","abstract":"Considerable evidence from different methodologies has identified the anterior temporal lobes (ATLs) as key regions for the representation of semantic knowledge. Research interest is now shifting to investigate the roles of different ATL subregions in semantic representation, with particular emphasis on the functions of the left versus right ATLs. In this review, we provide evidence for graded specializations both between and within the ATLs. We argue (1) that multimodal, pan-category semantic representations are supported jointly by both left and right ATLs, yet (2) that the ATLs are not homogeneous in their function. Instead, subtle functional gradations both between and within the ATLs emerge as a consequence of differential connectivity with primary sensory/motor/limbic regions. This graded specialization account of semantic representation provides a compromise between theories that posit no differences between the functions of the left and right ATLs and those that posit that the left and right ATLs are entirely segregated in function. Evidence for this graded account comes from converging sources, and its benefits have been exemplified in formal computational models. We propose that this graded principle is not only a defining feature of the ATLs but is also a more general neurocomputational principle found throughout the temporal lobes.","author":[{"dropping-particle":"","family":"Rice","given":"Grace E.","non-dropping-particle":"","parse-names":false,"suffix":""},{"dropping-particle":"","family":"Hoffman","given":"Paul","non-dropping-particle":"","parse-names":false,"suffix":""},{"dropping-particle":"","family":"Lambon Ralph","given":"Matthew A.","non-dropping-particle":"","parse-names":false,"suffix":""}],"container-title":"Annals of the New York Academy of Sciences","id":"ITEM-2","issue":"1","issued":{"date-parts":[["2015","11","1"]]},"page":"84-97","title":"Graded specialization within and between the anterior temporal lobes","type":"article-journal","volume":"1359"},"uris":["http://www.mendeley.com/documents/?uuid=0a894eb8-e50e-40b9-8a6f-7b96aa9d955c"]},{"id":"ITEM-3","itemData":{"DOI":"10.1093/cercor/bhx362","ISSN":"1047-3211","PMID":"29351584","abstract":"The presence and degree of specialization between the anterior temporal lobes (ATLs) is a key issue in debates about the neural architecture of semantic memory. Here, we comprehensively assessed multiple aspects of semantic cognition in a large group of postsurgical temporal lobe epilepsy (TLE) patients with left versus right anterior temporal lobectomy (n = 40). Both subgroups showed deficits in expressive and receptive verbal semantic tasks, word and object recognition, naming and recognition of famous faces and perception of faces and emotions. Graded differences in performance between the left and right groups were secondary to the overall mild semantic impairment; primarily, left resected TLE patients showed weaker performance on tasks that required naming or accessing semantic information from a written word. Right resected TLE patients were relatively more impaired at recognizing famous faces as familiar, although this effect was observed less consistently. These findings unify previous partial, inconsistent results and also align directly with fMRI and transcranial magnetic stimulation results in neurologically intact participants. Taken together, these data support a model in which the 2 ATLs act as a coupled bilateral system for the representation of semantic knowledge, and in which graded hemispheric specializations emerge as a consequence of differential connectivity to lateralized speech production and face perception regions","author":[{"dropping-particle":"","family":"Rice","given":"Grace E","non-dropping-particle":"","parse-names":false,"suffix":""},{"dropping-particle":"","family":"Caswell","given":"Helen","non-dropping-particle":"","parse-names":false,"suffix":""},{"dropping-particle":"","family":"Moore","given":"Perry","non-dropping-particle":"","parse-names":false,"suffix":""},{"dropping-particle":"","family":"Hoffman","given":"Paul","non-dropping-particle":"","parse-names":false,"suffix":""},{"dropping-particle":"","family":"Lambon Ralph","given":"Matthew A","non-dropping-particle":"","parse-names":false,"suffix":""}],"container-title":"Cerebral Cortex","id":"ITEM-3","issue":"4","issued":{"date-parts":[["2018"]]},"page":"1487-1501","title":"The Roles of Left Versus Right Anterior Temporal Lobes in Semantic Memory: A Neuropsychological Comparison of Postsurgical Temporal Lobe Epilepsy Patients","type":"article-journal","volume":"28"},"uris":["http://www.mendeley.com/documents/?uuid=be0c4a3b-69d3-4675-ba72-e1c675def469"]}],"mendeley":{"formattedCitation":"(Rice et al., 2018a, 2015b, 2015a)","plainTextFormattedCitation":"(Rice et al., 2018a, 2015b, 2015a)","previouslyFormattedCitation":"(Rice et al., 2018a, 2015b, 2015a)"},"properties":{"noteIndex":0},"schema":"https://github.com/citation-style-language/schema/raw/master/csl-citation.json"}</w:instrText>
      </w:r>
      <w:r w:rsidR="00F138CE" w:rsidRPr="00975DA7">
        <w:rPr>
          <w:rFonts w:ascii="Times New Roman" w:hAnsi="Times New Roman" w:cs="Times New Roman"/>
        </w:rPr>
        <w:fldChar w:fldCharType="separate"/>
      </w:r>
      <w:r w:rsidR="00160F73" w:rsidRPr="00975DA7">
        <w:rPr>
          <w:rFonts w:ascii="Times New Roman" w:hAnsi="Times New Roman" w:cs="Times New Roman"/>
          <w:noProof/>
        </w:rPr>
        <w:t>(Rice et al., 2018a, 2015b, 2015a)</w:t>
      </w:r>
      <w:r w:rsidR="00F138CE" w:rsidRPr="00975DA7">
        <w:rPr>
          <w:rFonts w:ascii="Times New Roman" w:hAnsi="Times New Roman" w:cs="Times New Roman"/>
        </w:rPr>
        <w:fldChar w:fldCharType="end"/>
      </w:r>
      <w:r w:rsidR="000B6C5F" w:rsidRPr="00975DA7">
        <w:rPr>
          <w:rFonts w:ascii="Times New Roman" w:hAnsi="Times New Roman" w:cs="Times New Roman"/>
        </w:rPr>
        <w:t xml:space="preserve">. </w:t>
      </w:r>
      <w:r w:rsidR="007C7D4A" w:rsidRPr="00975DA7">
        <w:rPr>
          <w:rFonts w:ascii="Times New Roman" w:hAnsi="Times New Roman" w:cs="Times New Roman"/>
        </w:rPr>
        <w:t xml:space="preserve">The CSC framework </w:t>
      </w:r>
      <w:r w:rsidR="0040666B" w:rsidRPr="00975DA7">
        <w:rPr>
          <w:rFonts w:ascii="Times New Roman" w:hAnsi="Times New Roman" w:cs="Times New Roman"/>
        </w:rPr>
        <w:t>envisages that semantic representations (supported by the ATL hub interacting with sensory-motor spokes) are shaped by control processes supported by a different network, including IFG and pMTG.</w:t>
      </w:r>
      <w:r w:rsidR="00CC2AD4" w:rsidRPr="00975DA7">
        <w:rPr>
          <w:rFonts w:ascii="Times New Roman" w:hAnsi="Times New Roman" w:cs="Times New Roman"/>
        </w:rPr>
        <w:t xml:space="preserve"> It is interesting to speculate about why semantic activation is left-lateralised, given that ATL is assumed to represent concepts bilaterally. Given the CSC framework proposes at least two interacting components – namely </w:t>
      </w:r>
      <w:r w:rsidR="00134F7C" w:rsidRPr="00975DA7">
        <w:rPr>
          <w:rFonts w:ascii="Times New Roman" w:hAnsi="Times New Roman" w:cs="Times New Roman"/>
        </w:rPr>
        <w:t xml:space="preserve">bilateral </w:t>
      </w:r>
      <w:r w:rsidR="00CC2AD4" w:rsidRPr="00975DA7">
        <w:rPr>
          <w:rFonts w:ascii="Times New Roman" w:hAnsi="Times New Roman" w:cs="Times New Roman"/>
        </w:rPr>
        <w:t xml:space="preserve">semantic representations and control processes – we might anticipate that </w:t>
      </w:r>
      <w:r w:rsidR="0040666B" w:rsidRPr="00975DA7">
        <w:rPr>
          <w:rFonts w:ascii="Times New Roman" w:hAnsi="Times New Roman" w:cs="Times New Roman"/>
        </w:rPr>
        <w:t xml:space="preserve">the semantic control system </w:t>
      </w:r>
      <w:r w:rsidR="00CC2AD4" w:rsidRPr="00975DA7">
        <w:rPr>
          <w:rFonts w:ascii="Times New Roman" w:hAnsi="Times New Roman" w:cs="Times New Roman"/>
        </w:rPr>
        <w:t xml:space="preserve">is </w:t>
      </w:r>
      <w:r w:rsidR="0040666B" w:rsidRPr="00975DA7">
        <w:rPr>
          <w:rFonts w:ascii="Times New Roman" w:hAnsi="Times New Roman" w:cs="Times New Roman"/>
        </w:rPr>
        <w:t xml:space="preserve">the most lateralised component, but this prediction has rarely if ever been tested. We found evidence for a lateralised semantic control network both in terms of patterns of intrinsic connectivity at rest and lateralisation predicting behavioural performance on weak vs. strong associations. </w:t>
      </w:r>
    </w:p>
    <w:p w14:paraId="383B2E76" w14:textId="7FADDB12" w:rsidR="00A86ACB" w:rsidRPr="00975DA7" w:rsidRDefault="00A86ACB" w:rsidP="00A86ACB">
      <w:pPr>
        <w:spacing w:line="360" w:lineRule="auto"/>
        <w:rPr>
          <w:rFonts w:ascii="Times New Roman" w:hAnsi="Times New Roman" w:cs="Times New Roman"/>
        </w:rPr>
      </w:pPr>
      <w:r w:rsidRPr="00975DA7">
        <w:rPr>
          <w:rFonts w:ascii="Times New Roman" w:hAnsi="Times New Roman" w:cs="Times New Roman"/>
        </w:rPr>
        <w:lastRenderedPageBreak/>
        <w:t xml:space="preserve">The patterns we observed may be explicable in terms of different interactions between large-scale networks in LH semantic regions, relative to their RH counterparts. The frontoparietal network is the most segregated network across the hemispheres, coupling more to DMN in LH and more to attention networks in RH </w:t>
      </w:r>
      <w:r w:rsidRPr="00975DA7">
        <w:rPr>
          <w:rFonts w:ascii="Times New Roman" w:hAnsi="Times New Roman" w:cs="Times New Roman"/>
        </w:rPr>
        <w:fldChar w:fldCharType="begin" w:fldLock="1"/>
      </w:r>
      <w:r w:rsidR="00116E55" w:rsidRPr="00975DA7">
        <w:rPr>
          <w:rFonts w:ascii="Times New Roman" w:hAnsi="Times New Roman" w:cs="Times New Roman"/>
        </w:rPr>
        <w:instrText>ADDIN CSL_CITATION {"citationItems":[{"id":"ITEM-1","itemData":{"DOI":"10.1523/JNEUROSCI.0787-14.2014","ISBN":"1529-2401 (Electronic)\\n0270-6474 (Linking)","ISSN":"0270-6474","PMID":"25209275","abstract":"The human brain demonstrates functional specialization, including strong hemispheric asymmetries. Here specialization was explored using fMRI by examining the degree to which brain networks preferentially interact with ipsilateral as opposed to contralateral networks. Preferential within-hemisphere interaction was prominent in the heteromodal association cortices and minimal in the sensorimotor cortices. The frontoparietal control network exhibited strong within-hemisphere interactions but with distinct patterns in each hemisphere. The frontoparietal control network preferentially coupled to the default network and language-related regions in the left hemisphere but to attention networks in the right hemisphere. This arrangement may facilitate control of processing functions that are lateralized. Moreover, the regions most linked to asymmetric specialization also display the highest degree of evolutionary cortical expansion. Functional specialization that emphasizes processing within a hemisphere may allow the expanded hominin brain to minimize between-hemisphere connectivity and distribute domain-specific processing functions.","author":[{"dropping-particle":"","family":"Wang","given":"D.","non-dropping-particle":"","parse-names":false,"suffix":""},{"dropping-particle":"","family":"Buckner","given":"R. L.","non-dropping-particle":"","parse-names":false,"suffix":""},{"dropping-particle":"","family":"Liu","given":"H.","non-dropping-particle":"","parse-names":false,"suffix":""}],"container-title":"Journal of Neuroscience","id":"ITEM-1","issue":"37","issued":{"date-parts":[["2014"]]},"page":"12341-12352","title":"Functional Specialization in the Human Brain Estimated By Intrinsic Hemispheric Interaction","type":"article-journal","volume":"34"},"uris":["http://www.mendeley.com/documents/?uuid=35854ef0-1333-4446-8939-cccbf261bfa4"]},{"id":"ITEM-2","itemData":{"DOI":"10.1073/pnas.1715766115","ISBN":"0027-8424","ISSN":"0027-8424","PMID":"29382744","abstract":"The frontoparietal control network (FPCN) plays a central role in executive control. It has been predominantly viewed as a unitary domain general system. Here, we examined patterns of FPCN functional connectivity (FC) across multiple conditions of varying cognitive demands, to test for FPCN heterogeneity. We identified two distinct subsystems within the FPCN based on hierarchical clustering and machine learning classification analyses of within-FPCN FC patterns. These two FPCN subsystems exhibited distinct patterns of FC with the default network (DN) and the dorsal attention network (DAN). FPCNA exhibited stronger connectivity with the DN than the DAN, whereas FPCNB exhibited the opposite pattern. This twofold FPCN differentiation was observed across four independent datasets, across nine different conditions (rest and eight tasks), at the level of individual-participant data, as well as in meta-analytic coactivation patterns. Notably, the extent of FPCN differentiation varied across conditions, suggesting flexible adaptation to task demands. Finally, we used meta-analytic tools to identify several functional domains associated with the DN and DAN that differentially predict activation in the FPCN subsystems. These findings reveal a flexible and heterogeneous FPCN organization that may in part emerge from separable DN and DAN processing streams. We propose that FPCNA may be preferentially involved in the regulation of introspective processes, whereas FPCNB may be preferentially involved in the regulation of visuospatial perceptual attention.","author":[{"dropping-particle":"","family":"Dixon","given":"Matthew L.","non-dropping-particle":"","parse-names":false,"suffix":""},{"dropping-particle":"","family":"La Vega","given":"Alejandro","non-dropping-particle":"De","parse-names":false,"suffix":""},{"dropping-particle":"","family":"Mills","given":"Caitlin","non-dropping-particle":"","parse-names":false,"suffix":""},{"dropping-particle":"","family":"Andrews-Hanna","given":"Jessica","non-dropping-particle":"","parse-names":false,"suffix":""},{"dropping-particle":"","family":"Spreng","given":"R. Nathan","non-dropping-particle":"","parse-names":false,"suffix":""},{"dropping-particle":"","family":"Cole","given":"Michael W.","non-dropping-particle":"","parse-names":false,"suffix":""},{"dropping-particle":"","family":"Christoff","given":"Kalina","non-dropping-particle":"","parse-names":false,"suffix":""}],"container-title":"Proceedings of the National Academy of Sciences","id":"ITEM-2","issue":"7","issued":{"date-parts":[["2018"]]},"page":"E1598-E1607","title":"Heterogeneity within the frontoparietal control network and its relationship to the default and dorsal attention networks","type":"article-journal","volume":"115"},"uris":["http://www.mendeley.com/documents/?uuid=2b8aefe1-bbd4-4ffe-831f-249ed705da92"]}],"mendeley":{"formattedCitation":"(Dixon et al., 2018; Wang et al., 2014)","plainTextFormattedCitation":"(Dixon et al., 2018; Wang et al., 2014)","previouslyFormattedCitation":"(Dixon et al., 2018; Wang et al., 2014)"},"properties":{"noteIndex":0},"schema":"https://github.com/citation-style-language/schema/raw/master/csl-citation.json"}</w:instrText>
      </w:r>
      <w:r w:rsidRPr="00975DA7">
        <w:rPr>
          <w:rFonts w:ascii="Times New Roman" w:hAnsi="Times New Roman" w:cs="Times New Roman"/>
        </w:rPr>
        <w:fldChar w:fldCharType="separate"/>
      </w:r>
      <w:r w:rsidR="00FE3238" w:rsidRPr="00975DA7">
        <w:rPr>
          <w:rFonts w:ascii="Times New Roman" w:hAnsi="Times New Roman" w:cs="Times New Roman"/>
          <w:noProof/>
        </w:rPr>
        <w:t>(Dixon et al., 2018; Wang et al., 2014)</w:t>
      </w:r>
      <w:r w:rsidRPr="00975DA7">
        <w:rPr>
          <w:rFonts w:ascii="Times New Roman" w:hAnsi="Times New Roman" w:cs="Times New Roman"/>
        </w:rPr>
        <w:fldChar w:fldCharType="end"/>
      </w:r>
      <w:r w:rsidRPr="00975DA7">
        <w:rPr>
          <w:rFonts w:ascii="Times New Roman" w:hAnsi="Times New Roman" w:cs="Times New Roman"/>
        </w:rPr>
        <w:t>. For our two heteromodal semantic seeds which showed relatively high connectivity to FPN regions (IFG; pMTG), there appeared to be greater connectivity to LH lateral DMN regions than would be expected from intrinsic connectivity in the RH (particularly in LH lateral DMN). Moreover, for our semantic DMN seeds in LH (AG; ATL), there</w:t>
      </w:r>
      <w:r w:rsidR="00C03230" w:rsidRPr="00975DA7">
        <w:rPr>
          <w:rFonts w:ascii="Times New Roman" w:hAnsi="Times New Roman" w:cs="Times New Roman"/>
        </w:rPr>
        <w:t xml:space="preserve"> was greater connectivity to ventral LOC and anterior insula sites implicated in attention/control</w:t>
      </w:r>
      <w:r w:rsidRPr="00975DA7">
        <w:rPr>
          <w:rFonts w:ascii="Times New Roman" w:hAnsi="Times New Roman" w:cs="Times New Roman"/>
        </w:rPr>
        <w:t xml:space="preserve">. </w:t>
      </w:r>
      <w:r w:rsidR="00134F7C" w:rsidRPr="00975DA7">
        <w:rPr>
          <w:rFonts w:ascii="Times New Roman" w:hAnsi="Times New Roman" w:cs="Times New Roman"/>
        </w:rPr>
        <w:t>These findings are consistent</w:t>
      </w:r>
      <w:r w:rsidRPr="00975DA7">
        <w:rPr>
          <w:rFonts w:ascii="Times New Roman" w:hAnsi="Times New Roman" w:cs="Times New Roman"/>
        </w:rPr>
        <w:t xml:space="preserve"> with Davey et al.’s (2016) proposal that semantic cognition in the LH involves the integration of DMN and executive networks. One interesting observation is that the </w:t>
      </w:r>
      <w:r w:rsidR="00134F7C" w:rsidRPr="00975DA7">
        <w:rPr>
          <w:rFonts w:ascii="Times New Roman" w:hAnsi="Times New Roman" w:cs="Times New Roman"/>
        </w:rPr>
        <w:t xml:space="preserve">conjunction of the intrinsic connectivity maps of all four </w:t>
      </w:r>
      <w:r w:rsidRPr="00975DA7">
        <w:rPr>
          <w:rFonts w:ascii="Times New Roman" w:hAnsi="Times New Roman" w:cs="Times New Roman"/>
        </w:rPr>
        <w:t>LH semantic seed</w:t>
      </w:r>
      <w:r w:rsidR="00134F7C" w:rsidRPr="00975DA7">
        <w:rPr>
          <w:rFonts w:ascii="Times New Roman" w:hAnsi="Times New Roman" w:cs="Times New Roman"/>
        </w:rPr>
        <w:t>s</w:t>
      </w:r>
      <w:r w:rsidRPr="00975DA7">
        <w:rPr>
          <w:rFonts w:ascii="Times New Roman" w:hAnsi="Times New Roman" w:cs="Times New Roman"/>
        </w:rPr>
        <w:t xml:space="preserve"> showed strong connectivity to the lateral regions of </w:t>
      </w:r>
      <w:r w:rsidR="00C03230" w:rsidRPr="00975DA7">
        <w:rPr>
          <w:rFonts w:ascii="Times New Roman" w:hAnsi="Times New Roman" w:cs="Times New Roman"/>
        </w:rPr>
        <w:t>DMN,</w:t>
      </w:r>
      <w:r w:rsidRPr="00975DA7">
        <w:rPr>
          <w:rFonts w:ascii="Times New Roman" w:hAnsi="Times New Roman" w:cs="Times New Roman"/>
        </w:rPr>
        <w:t xml:space="preserve"> which have been previously implicated in semantic cognition – regions such as lateral temporal cortex and angular gyrus – and weak connectivity to medial default mode regions, such as posterior cingulate cortex, medial prefrontal cortex and hippocampus, which are not strongly implicated in semantic cognition. In contrast, the RH seed conjunction showed stronger connectivity to medial core default mode regions. Consequently, lateralised patterns of connectivity that support semantic cognition may </w:t>
      </w:r>
      <w:r w:rsidR="00C03230" w:rsidRPr="00975DA7">
        <w:rPr>
          <w:rFonts w:ascii="Times New Roman" w:hAnsi="Times New Roman" w:cs="Times New Roman"/>
        </w:rPr>
        <w:t xml:space="preserve">reflect a particular form of interaction between DMN and control regions </w:t>
      </w:r>
      <w:r w:rsidR="00C53466" w:rsidRPr="00975DA7">
        <w:rPr>
          <w:rFonts w:ascii="Times New Roman" w:hAnsi="Times New Roman" w:cs="Times New Roman"/>
        </w:rPr>
        <w:fldChar w:fldCharType="begin" w:fldLock="1"/>
      </w:r>
      <w:r w:rsidR="0065649F" w:rsidRPr="00975DA7">
        <w:rPr>
          <w:rFonts w:ascii="Times New Roman" w:hAnsi="Times New Roman" w:cs="Times New Roman"/>
        </w:rPr>
        <w:instrText>ADDIN CSL_CITATION {"citationItems":[{"id":"ITEM-1","itemData":{"DOI":"10.1016/j.neuroimage.2016.05.051","ISSN":"10959572","PMID":"27236083","abstract":"Making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-1","issued":{"date-parts":[["2016"]]},"page":"165-177","publisher":"The Authors","title":"Exploring the role of the posterior middle temporal gyrus in semantic cognition: Integration of anterior temporal lobe with executive processes","type":"article-journal","volume":"137"},"uris":["http://www.mendeley.com/documents/?uuid=9e53ba0b-097a-4b9d-bd73-0a81c2a24447"]},{"id":"ITEM-2","itemData":{"DOI":"10.1523/JNEUROSCI.0787-14.2014","ISBN":"1529-2401 (Electronic)\\n0270-6474 (Linking)","ISSN":"0270-6474","PMID":"25209275","abstract":"The human brain demonstrates functional specialization, including strong hemispheric asymmetries. Here specialization was explored using fMRI by examining the degree to which brain networks preferentially interact with ipsilateral as opposed to contralateral networks. Preferential within-hemisphere interaction was prominent in the heteromodal association cortices and minimal in the sensorimotor cortices. The frontoparietal control network exhibited strong within-hemisphere interactions but with distinct patterns in each hemisphere. The frontoparietal control network preferentially coupled to the default network and language-related regions in the left hemisphere but to attention networks in the right hemisphere. This arrangement may facilitate control of processing functions that are lateralized. Moreover, the regions most linked to asymmetric specialization also display the highest degree of evolutionary cortical expansion. Functional specialization that emphasizes processing within a hemisphere may allow the expanded hominin brain to minimize between-hemisphere connectivity and distribute domain-specific processing functions.","author":[{"dropping-particle":"","family":"Wang","given":"D.","non-dropping-particle":"","parse-names":false,"suffix":""},{"dropping-particle":"","family":"Buckner","given":"R. L.","non-dropping-particle":"","parse-names":false,"suffix":""},{"dropping-particle":"","family":"Liu","given":"H.","non-dropping-particle":"","parse-names":false,"suffix":""}],"container-title":"Journal of Neuroscience","id":"ITEM-2","issue":"37","issued":{"date-parts":[["2014"]]},"page":"12341-12352","title":"Functional Specialization in the Human Brain Estimated By Intrinsic Hemispheric Interaction","type":"article-journal","volume":"34"},"uris":["http://www.mendeley.com/documents/?uuid=35854ef0-1333-4446-8939-cccbf261bfa4"]},{"id":"ITEM-3","itemData":{"DOI":"10.1073/pnas.1715766115","ISBN":"0027-8424","ISSN":"0027-8424","PMID":"29382744","abstract":"The frontoparietal control network (FPCN) plays a central role in executive control. It has been predominantly viewed as a unitary domain general system. Here, we examined patterns of FPCN functional connectivity (FC) across multiple conditions of varying cognitive demands, to test for FPCN heterogeneity. We identified two distinct subsystems within the FPCN based on hierarchical clustering and machine learning classification analyses of within-FPCN FC patterns. These two FPCN subsystems exhibited distinct patterns of FC with the default network (DN) and the dorsal attention network (DAN). FPCNA exhibited stronger connectivity with the DN than the DAN, whereas FPCNB exhibited the opposite pattern. This twofold FPCN differentiation was observed across four independent datasets, across nine different conditions (rest and eight tasks), at the level of individual-participant data, as well as in meta-analytic coactivation patterns. Notably, the extent of FPCN differentiation varied across conditions, suggesting flexible adaptation to task demands. Finally, we used meta-analytic tools to identify several functional domains associated with the DN and DAN that differentially predict activation in the FPCN subsystems. These findings reveal a flexible and heterogeneous FPCN organization that may in part emerge from separable DN and DAN processing streams. We propose that FPCNA may be preferentially involved in the regulation of introspective processes, whereas FPCNB may be preferentially involved in the regulation of visuospatial perceptual attention.","author":[{"dropping-particle":"","family":"Dixon","given":"Matthew L.","non-dropping-particle":"","parse-names":false,"suffix":""},{"dropping-particle":"","family":"La Vega","given":"Alejandro","non-dropping-particle":"De","parse-names":false,"suffix":""},{"dropping-particle":"","family":"Mills","given":"Caitlin","non-dropping-particle":"","parse-names":false,"suffix":""},{"dropping-particle":"","family":"Andrews-Hanna","given":"Jessica","non-dropping-particle":"","parse-names":false,"suffix":""},{"dropping-particle":"","family":"Spreng","given":"R. Nathan","non-dropping-particle":"","parse-names":false,"suffix":""},{"dropping-particle":"","family":"Cole","given":"Michael W.","non-dropping-particle":"","parse-names":false,"suffix":""},{"dropping-particle":"","family":"Christoff","given":"Kalina","non-dropping-particle":"","parse-names":false,"suffix":""}],"container-title":"Proceedings of the National Academy of Sciences","id":"ITEM-3","issue":"7","issued":{"date-parts":[["2018"]]},"page":"E1598-E1607","title":"Heterogeneity within the frontoparietal control network and its relationship to the default and dorsal attention networks","type":"article-journal","volume":"115"},"uris":["http://www.mendeley.com/documents/?uuid=2b8aefe1-bbd4-4ffe-831f-249ed705da92"]}],"mendeley":{"formattedCitation":"(Davey et al., 2016; Dixon et al., 2018; Wang et al., 2014)","plainTextFormattedCitation":"(Davey et al., 2016; Dixon et al., 2018; Wang et al., 2014)","previouslyFormattedCitation":"(Davey et al., 2016; Dixon et al., 2018; Wang et al., 2014)"},"properties":{"noteIndex":0},"schema":"https://github.com/citation-style-language/schema/raw/master/csl-citation.json"}</w:instrText>
      </w:r>
      <w:r w:rsidR="00C53466" w:rsidRPr="00975DA7">
        <w:rPr>
          <w:rFonts w:ascii="Times New Roman" w:hAnsi="Times New Roman" w:cs="Times New Roman"/>
        </w:rPr>
        <w:fldChar w:fldCharType="separate"/>
      </w:r>
      <w:r w:rsidR="00097B60" w:rsidRPr="00975DA7">
        <w:rPr>
          <w:rFonts w:ascii="Times New Roman" w:hAnsi="Times New Roman" w:cs="Times New Roman"/>
          <w:noProof/>
        </w:rPr>
        <w:t>(Davey et al., 2016; Dixon et al., 2018; Wang et al., 2014)</w:t>
      </w:r>
      <w:r w:rsidR="00C53466" w:rsidRPr="00975DA7">
        <w:rPr>
          <w:rFonts w:ascii="Times New Roman" w:hAnsi="Times New Roman" w:cs="Times New Roman"/>
        </w:rPr>
        <w:fldChar w:fldCharType="end"/>
      </w:r>
      <w:r w:rsidR="00C03230" w:rsidRPr="00975DA7">
        <w:rPr>
          <w:rFonts w:ascii="Times New Roman" w:hAnsi="Times New Roman" w:cs="Times New Roman"/>
        </w:rPr>
        <w:t xml:space="preserve">, and this pattern of interaction might </w:t>
      </w:r>
      <w:r w:rsidRPr="00975DA7">
        <w:rPr>
          <w:rFonts w:ascii="Times New Roman" w:hAnsi="Times New Roman" w:cs="Times New Roman"/>
        </w:rPr>
        <w:t xml:space="preserve">play an important role in functional subdivisions within </w:t>
      </w:r>
      <w:r w:rsidR="00C03230" w:rsidRPr="00975DA7">
        <w:rPr>
          <w:rFonts w:ascii="Times New Roman" w:hAnsi="Times New Roman" w:cs="Times New Roman"/>
        </w:rPr>
        <w:t>DMN</w:t>
      </w:r>
      <w:r w:rsidRPr="00975DA7">
        <w:rPr>
          <w:rFonts w:ascii="Times New Roman" w:hAnsi="Times New Roman" w:cs="Times New Roman"/>
        </w:rPr>
        <w:t xml:space="preserve"> </w:t>
      </w:r>
      <w:r w:rsidR="00C53466" w:rsidRPr="00975DA7">
        <w:rPr>
          <w:rFonts w:ascii="Times New Roman" w:hAnsi="Times New Roman" w:cs="Times New Roman"/>
        </w:rPr>
        <w:fldChar w:fldCharType="begin" w:fldLock="1"/>
      </w:r>
      <w:r w:rsidR="00C53466" w:rsidRPr="00975DA7">
        <w:rPr>
          <w:rFonts w:ascii="Times New Roman" w:hAnsi="Times New Roman" w:cs="Times New Roman"/>
        </w:rPr>
        <w:instrText>ADDIN CSL_CITATION {"citationItems":[{"id":"ITEM-1","itemData":{"DOI":"https://doi.org/10.1016/j.neuron.2010.02.005","ISSN":"0896-6273","abstract":"Summary\nOne of the most consistent observations in human functional imaging is that a network of brain regions referred to as the “default network” increases its activity during passive states. Here we explored the anatomy and function of the default network across three studies to resolve divergent hypotheses about its contributions to spontaneous cognition and active forms of decision making. Analysis of intrinsic activity revealed the network comprises multiple, dissociated components. A midline core (posterior cingulate and anterior medial prefrontal cortex) is active when people make self-relevant, affective decisions. In contrast, a medial temporal lobe subsystem becomes engaged when decisions involve constructing a mental scene based on memory. During certain experimentally directed and spontaneous acts of future-oriented thought, these dissociated components are simultaneously engaged, presumably to facilitate construction of mental models of personally significant events.","author":[{"dropping-particle":"","family":"Andrews-Hanna","given":"Jessica R","non-dropping-particle":"","parse-names":false,"suffix":""},{"dropping-particle":"","family":"Reidler","given":"Jay S","non-dropping-particle":"","parse-names":false,"suffix":""},{"dropping-particle":"","family":"Sepulcre","given":"Jorge","non-dropping-particle":"","parse-names":false,"suffix":""},{"dropping-particle":"","family":"Poulin","given":"Renee","non-dropping-particle":"","parse-names":false,"suffix":""},{"dropping-particle":"","family":"Buckner","given":"Randy L","non-dropping-particle":"","parse-names":false,"suffix":""}],"container-title":"Neuron","id":"ITEM-1","issue":"4","issued":{"date-parts":[["2010"]]},"page":"550-562","title":"Functional-Anatomic Fractionation of the Brain's Default Network","type":"article-journal","volume":"65"},"uris":["http://www.mendeley.com/documents/?uuid=a4da5d32-c34f-4e44-b923-7c720425732c"]}],"mendeley":{"formattedCitation":"(Andrews-Hanna et al., 2010)","manualFormatting":"(e.g. Andrews-Hanna et al., 2010)","plainTextFormattedCitation":"(Andrews-Hanna et al., 2010)","previouslyFormattedCitation":"(Andrews-Hanna et al., 2010)"},"properties":{"noteIndex":0},"schema":"https://github.com/citation-style-language/schema/raw/master/csl-citation.json"}</w:instrText>
      </w:r>
      <w:r w:rsidR="00C53466" w:rsidRPr="00975DA7">
        <w:rPr>
          <w:rFonts w:ascii="Times New Roman" w:hAnsi="Times New Roman" w:cs="Times New Roman"/>
        </w:rPr>
        <w:fldChar w:fldCharType="separate"/>
      </w:r>
      <w:r w:rsidR="00C53466" w:rsidRPr="00975DA7">
        <w:rPr>
          <w:rFonts w:ascii="Times New Roman" w:hAnsi="Times New Roman" w:cs="Times New Roman"/>
          <w:noProof/>
        </w:rPr>
        <w:t>(e.g. Andrews-Hanna et al., 2010)</w:t>
      </w:r>
      <w:r w:rsidR="00C53466" w:rsidRPr="00975DA7">
        <w:rPr>
          <w:rFonts w:ascii="Times New Roman" w:hAnsi="Times New Roman" w:cs="Times New Roman"/>
        </w:rPr>
        <w:fldChar w:fldCharType="end"/>
      </w:r>
      <w:r w:rsidR="00C03230" w:rsidRPr="00975DA7">
        <w:rPr>
          <w:rFonts w:ascii="Times New Roman" w:hAnsi="Times New Roman" w:cs="Times New Roman"/>
        </w:rPr>
        <w:t>.</w:t>
      </w:r>
    </w:p>
    <w:p w14:paraId="2F9F555E" w14:textId="77777777" w:rsidR="0059177E" w:rsidRPr="00975DA7" w:rsidRDefault="0059177E">
      <w:pPr>
        <w:rPr>
          <w:rFonts w:ascii="Times New Roman" w:hAnsi="Times New Roman" w:cs="Times New Roman"/>
        </w:rPr>
      </w:pPr>
      <w:r w:rsidRPr="00975DA7">
        <w:rPr>
          <w:rFonts w:ascii="Times New Roman" w:hAnsi="Times New Roman" w:cs="Times New Roman"/>
        </w:rPr>
        <w:br w:type="page"/>
      </w:r>
    </w:p>
    <w:p w14:paraId="68BC5182" w14:textId="46E0DC74" w:rsidR="00071A2A" w:rsidRPr="00975DA7" w:rsidRDefault="00071A2A" w:rsidP="00CB0976">
      <w:pPr>
        <w:jc w:val="center"/>
        <w:rPr>
          <w:rFonts w:ascii="Times New Roman" w:hAnsi="Times New Roman" w:cs="Times New Roman"/>
          <w:b/>
        </w:rPr>
      </w:pPr>
      <w:r w:rsidRPr="00975DA7">
        <w:rPr>
          <w:rFonts w:ascii="Times New Roman" w:hAnsi="Times New Roman" w:cs="Times New Roman"/>
          <w:b/>
        </w:rPr>
        <w:lastRenderedPageBreak/>
        <w:t>References</w:t>
      </w:r>
    </w:p>
    <w:p w14:paraId="7551C891" w14:textId="1AD5407F"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rPr>
        <w:fldChar w:fldCharType="begin" w:fldLock="1"/>
      </w:r>
      <w:r w:rsidRPr="00975DA7">
        <w:rPr>
          <w:rFonts w:ascii="Times New Roman" w:hAnsi="Times New Roman" w:cs="Times New Roman"/>
        </w:rPr>
        <w:instrText xml:space="preserve">ADDIN Mendeley Bibliography CSL_BIBLIOGRAPHY </w:instrText>
      </w:r>
      <w:r w:rsidRPr="00975DA7">
        <w:rPr>
          <w:rFonts w:ascii="Times New Roman" w:hAnsi="Times New Roman" w:cs="Times New Roman"/>
        </w:rPr>
        <w:fldChar w:fldCharType="separate"/>
      </w:r>
      <w:r w:rsidRPr="00975DA7">
        <w:rPr>
          <w:rFonts w:ascii="Times New Roman" w:hAnsi="Times New Roman" w:cs="Times New Roman"/>
          <w:noProof/>
          <w:szCs w:val="24"/>
        </w:rPr>
        <w:t>Andrews-Hanna, J.R., Reidler, J.S., Sepulcre, J., Poulin, R., Buckner, R.L., 2010. Functional-Anatomic Fractionation of the Brain’s Default Network. Neuron 65, 550–562. https://doi.org/https://doi.org/10.1016/j.neuron.2010.02.005</w:t>
      </w:r>
    </w:p>
    <w:p w14:paraId="5D8869C5"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Baciu, M., Juphard, A., Cousin, E., Le Bas, J.F., 2005. Evaluating fMRI methods for assessing hemispheric language dominance in healthy subjects. Eur. J. Radiol. 55, 209–218. https://doi.org/10.1016/j.ejrad.2004.11.004</w:t>
      </w:r>
    </w:p>
    <w:p w14:paraId="554E9796"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Badre, D., Poldrack, R.A., Paré-Blagoev, E.J., Insler, R.Z., Wagner, A.D., 2005. Dissociable Controlled Retrieval and Generalized Selection Mechanisms in Ventrolateral Prefrontal Cortex. Neuron 47, 907–918. https://doi.org/10.1016/j.neuron.2005.07.023</w:t>
      </w:r>
    </w:p>
    <w:p w14:paraId="431A3A59"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Beckmann, C.F., Jenkinson, M., Smith, S.M., 2003. General multilevel linear modeling for group analysis in FMRI. Neuroimage 20, 1052–1063. https://doi.org/10.1016/S1053-8119(03)00435-X</w:t>
      </w:r>
    </w:p>
    <w:p w14:paraId="603D2E8A"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Behzadi, Y., Restom, K., Liau, J., Liu, T.T., 2007. A component based noise correction method (CompCor) for BOLD and perfusion based fMRI. Neuroimage 37, 90–101. https://doi.org/10.1016/j.neuroimage.2007.04.042</w:t>
      </w:r>
    </w:p>
    <w:p w14:paraId="262F458B"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Bellana, B., Liu, Z., Anderson, J.A.E., Moscovitch, M., Grady, C.L., 2016. Laterality effects in functional connectivity of the angular gyrus during rest and episodic retrieval. Neuropsychologia 80, 24–34. https://doi.org/10.1016/j.neuropsychologia.2015.11.004</w:t>
      </w:r>
    </w:p>
    <w:p w14:paraId="7E8B9E10"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Bemis, D.K., Pylkkänen, L., 2013. Basic linguistic composition recruits the left anterior temporal lobe and left angular gyrus during both listening and reading. Cereb. Cortex 23, 1859–1873. https://doi.org/10.1093/cercor/bhs170</w:t>
      </w:r>
    </w:p>
    <w:p w14:paraId="4D3BD156"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Binder, J.R., Desai, R.H., Graves, W.W., Conant, L.L., 2009. Where is the semantic system? A critical review and meta-analysis of 120 functional neuroimaging studies. Cereb. Cortex 19, 2767–2796. https://doi.org/10.1093/cercor/bhp055</w:t>
      </w:r>
    </w:p>
    <w:p w14:paraId="0ADA9E19"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Bonnici, H.M., Richter, F.R., Yazar, Y., Simons, J.S., 2016. Multimodal Feature Integration in the Angular Gyrus during Episodic and Semantic Retrieval. J. Neurosci. 36, 5462–5471. https://doi.org/10.1523/JNEUROSCI.4310-15.2016</w:t>
      </w:r>
    </w:p>
    <w:p w14:paraId="7FEFCDFD"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Cabeza, R., Ciaramelli, E., Olson, I.R., Moscovitch, M., 2008. The parietal cortex and episodic memory: An attentional account. Nat. Rev. Neurosci. 9, 613–625. https://doi.org/10.1038/nrn2459</w:t>
      </w:r>
    </w:p>
    <w:p w14:paraId="2DBE69DC"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Chiou, R., Humphreys, G.F., Jung, J., Lambon Ralph, M.A., 2018. Controlled semantic cognition relies upon dynamic and flexible interactions between the executive ‘semantic control’ and hub-and-spoke ‘semantic representation’ systems, Cortex. Elsevier Ltd. https://doi.org/10.1016/j.cortex.2018.02.018</w:t>
      </w:r>
    </w:p>
    <w:p w14:paraId="7CEFD5A4"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Coltheart, M., 1981. The MRC psycholinguistic database. Q. J. Exp. Psychol. Sect. A 33, 497–505. https://doi.org/10.1080/14640748108400805</w:t>
      </w:r>
    </w:p>
    <w:p w14:paraId="17E3E1AD"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Davey, J., Cornelissen, P.L., Thompson, H.E., Sonkusare, S., Hallam, G., Smallwood, J., Jefferies, E., 2015. Automatic and Controlled Semantic Retrieval: TMS Reveals Distinct Contributions of Posterior Middle Temporal Gyrus and Angular Gyrus. J. Neurosci. 35, 15230–9. https://doi.org/10.1523/JNEUROSCI.4705-14.2015</w:t>
      </w:r>
    </w:p>
    <w:p w14:paraId="1C556F4F"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Davey, J., Thompson, H.E., Hallam, G., Karapanagiotidis, T., Murphy, C., De Caso, I., Krieger-Redwood, K., Bernhardt, B.C., Smallwood, J., Jefferies, E., 2016. Exploring the role of the posterior middle temporal gyrus in semantic cognition: Integration of anterior temporal lobe with executive processes. Neuroimage 137, 165–177. https://doi.org/10.1016/j.neuroimage.2016.05.051</w:t>
      </w:r>
    </w:p>
    <w:p w14:paraId="149BEBCA"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lang w:val="es-MX"/>
        </w:rPr>
      </w:pPr>
      <w:r w:rsidRPr="00975DA7">
        <w:rPr>
          <w:rFonts w:ascii="Times New Roman" w:hAnsi="Times New Roman" w:cs="Times New Roman"/>
          <w:noProof/>
          <w:szCs w:val="24"/>
        </w:rPr>
        <w:lastRenderedPageBreak/>
        <w:t xml:space="preserve">Dixon, M.L., De La Vega, A., Mills, C., Andrews-Hanna, J., Spreng, R.N., Cole, M.W., Christoff, K., 2018. Heterogeneity within the frontoparietal control network and its relationship to the default and dorsal attention networks. </w:t>
      </w:r>
      <w:r w:rsidRPr="00975DA7">
        <w:rPr>
          <w:rFonts w:ascii="Times New Roman" w:hAnsi="Times New Roman" w:cs="Times New Roman"/>
          <w:noProof/>
          <w:szCs w:val="24"/>
          <w:lang w:val="es-MX"/>
        </w:rPr>
        <w:t>Proc. Natl. Acad. Sci. 115, E1598–E1607. https://doi.org/10.1073/pnas.1715766115</w:t>
      </w:r>
    </w:p>
    <w:p w14:paraId="3CB15FCD"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Eklund, A., Nichols, T.E., Knutsson, H., 2016. Cluster failure: Why fMRI inferences for spatial extent have inflated false-positive rates. Proc. Natl. Acad. Sci. 201602413. https://doi.org/10.1073/pnas.1602413113</w:t>
      </w:r>
    </w:p>
    <w:p w14:paraId="7BB516E2"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Gonzalez Alam, T., Murphy, C., Smallwood, J., Jefferies, E., 2018. Meaningful inhibition: Exploring the role of meaning and modality in response inhibition. Neuroimage 181, 108–119. https://doi.org/10.1016/j.neuroimage.2018.06.074</w:t>
      </w:r>
    </w:p>
    <w:p w14:paraId="6D3BCD04"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Gorgolewski, K.J., Varoquaux, G., Rivera, G., Schwarz, Y., Ghosh, S.S., Maumet, C., Sochat, V. V., Nichols, T.E., Poldrack, R.A., Poline, J.-B., Yarkoni, T., Margulies, D.S., 2015. NeuroVault.org: a web-based repository for collecting and sharing unthresholded statistical maps of the human brain. Front. Neuroinform. 9, 1–9. https://doi.org/10.3389/fninf.2015.00008</w:t>
      </w:r>
    </w:p>
    <w:p w14:paraId="2A350878"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lang w:val="es-MX"/>
        </w:rPr>
      </w:pPr>
      <w:r w:rsidRPr="00975DA7">
        <w:rPr>
          <w:rFonts w:ascii="Times New Roman" w:hAnsi="Times New Roman" w:cs="Times New Roman"/>
          <w:noProof/>
          <w:szCs w:val="24"/>
        </w:rPr>
        <w:t xml:space="preserve">Gotts, S.J., Jo, H.J., Wallace, G.L., Saad, Z.S., Cox, R.W., Martin, A., 2013. Two distinct forms of functional lateralization in the human brain. </w:t>
      </w:r>
      <w:r w:rsidRPr="00975DA7">
        <w:rPr>
          <w:rFonts w:ascii="Times New Roman" w:hAnsi="Times New Roman" w:cs="Times New Roman"/>
          <w:noProof/>
          <w:szCs w:val="24"/>
          <w:lang w:val="es-MX"/>
        </w:rPr>
        <w:t>Proc. Natl. Acad. Sci. U. S. A. 110, E3435-44. https://doi.org/10.1073/pnas.1302581110</w:t>
      </w:r>
    </w:p>
    <w:p w14:paraId="4F929A5E"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Hallam, G.P., Thompson, H.E., Hymers, M., Millman, R.E., Rodd, J.M., Lambon Ralph, M.A., Smallwood, J., Jefferies, E., 2018. Task-based and resting-state fMRI reveal compensatory network changes following damage to left inferior frontal gyrus. Cortex 99, 150–165. https://doi.org/10.1016/j.cortex.2017.10.004</w:t>
      </w:r>
    </w:p>
    <w:p w14:paraId="4638D985"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Hallam, G.P., Whitney, C., Hymers, M., Gouws, A.D., Jefferies, E., 2016. Charting the effects of TMS with fMRI: Modulation of cortical recruitment within the distributed network supporting semantic control. Neuropsychologia 93, 40–52. https://doi.org/10.1016/j.neuropsychologia.2016.09.012</w:t>
      </w:r>
    </w:p>
    <w:p w14:paraId="0DFDA733"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Hoffman, P., Lambon-Ralph, M.A., McClelland, J.L., 2017. Concepts, control and context. Psychol. Rev.</w:t>
      </w:r>
    </w:p>
    <w:p w14:paraId="570407DF"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Humphreys, G.F., Hoffman, P., Visser, M., Binney, R.J., Lambon Ralph, M.A., 2015. Establishing task- and modality-dependent dissociations between the semantic and default mode networks. Proc. Natl. Acad. Sci. 112, 7857–7862. https://doi.org/10.1073/pnas.1422760112</w:t>
      </w:r>
    </w:p>
    <w:p w14:paraId="50AEE6A1"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Humphreys, G.F., Lambon Ralph, M.A., 2015. Fusion and fission of cognitive functions in the human parietal cortex. Cereb. Cortex 25, 3547–3560. https://doi.org/10.1093/cercor/bhu198</w:t>
      </w:r>
    </w:p>
    <w:p w14:paraId="60D2888D"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Hurley, R.S., Bonakdarpour, B., Wang, X., Mesulam, M.-M., 2015. Asymmetric Connectivity between the Anterior Temporal Lobe and the Language Network. J. Cogn. Neurosci. 27, 464–473. https://doi.org/10.1162/jocn</w:t>
      </w:r>
    </w:p>
    <w:p w14:paraId="07CD6FCE"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Jackson, R.L., Bajada, C.J., Rice, G.E., Cloutman, L.L., Lambon Ralph, M.A., 2017. An emergent functional parcellation of the temporal cortex. Neuroimage 1–15. https://doi.org/10.1016/j.neuroimage.2017.04.024</w:t>
      </w:r>
    </w:p>
    <w:p w14:paraId="6F46D87F"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Jackson, R.L., Cloutman, L.L., Lambon Ralph, M.A., 2019. Exploring distinct default mode and semantic networks using a systematic ICA approach. Cortex 113, 279–297. https://doi.org/10.1016/j.cortex.2018.12.019</w:t>
      </w:r>
    </w:p>
    <w:p w14:paraId="0BEC75DA"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Jackson, R.L., Hoffman, P., Pobric, G., Lambon Ralph, M.A., 2016. The Semantic Network at Work and Rest: Differential Connectivity of Anterior Temporal Lobe Subregions. J. Neurosci. 36, 1490–501. https://doi.org/10.1523/JNEUROSCI.2999-15.2016</w:t>
      </w:r>
    </w:p>
    <w:p w14:paraId="0971ED76"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 xml:space="preserve">Jefferies, E., 2013. The neural basis of semantic cognition: Converging evidence from neuropsychology, neuroimaging and TMS. Cortex 49, 611–625. </w:t>
      </w:r>
      <w:r w:rsidRPr="00975DA7">
        <w:rPr>
          <w:rFonts w:ascii="Times New Roman" w:hAnsi="Times New Roman" w:cs="Times New Roman"/>
          <w:noProof/>
          <w:szCs w:val="24"/>
        </w:rPr>
        <w:lastRenderedPageBreak/>
        <w:t>https://doi.org/10.1016/j.cortex.2012.10.008</w:t>
      </w:r>
    </w:p>
    <w:p w14:paraId="72AF835C"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Jefferies, E., Lambon Ralph, M.A., 2006. Semantic impairment in stroke aphasia versus semantic dementia: A case-series comparison. Brain 129, 2132–2147. https://doi.org/10.1093/brain/awl153</w:t>
      </w:r>
    </w:p>
    <w:p w14:paraId="524F42CD"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Jenkinson, M., Bannister, P., Brady, M., Smith, S., 2002. Improved optimization for the robust and accurate linear registration and motion correction of brain images. Neuroimage 17, 825–841. https://doi.org/10.1016/S1053-8119(02)91132-8</w:t>
      </w:r>
    </w:p>
    <w:p w14:paraId="45C29F58"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Jenkinson, M., Smith, S., 2001. A global optimisation method for robust affine registration of brain images. Med. Image Anal. 5, 143–156. https://doi.org/10.1016/S1361-8415(01)00036-6</w:t>
      </w:r>
    </w:p>
    <w:p w14:paraId="5667C9E2"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Jo, H.J., Saad, Z.S., Gotts, S.J., Martin, A., Cox, R.W., 2012. Quantifying Agreement between Anatomical and Functional Interhemispheric Correspondences in the Resting Brain. PLoS One 7. https://doi.org/10.1371/journal.pone.0048847</w:t>
      </w:r>
    </w:p>
    <w:p w14:paraId="66B8D7EA"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Karapanagiotidis, T., Bernhardt, B.C., Jefferies, E., Smallwood, J., 2017. Tracking thoughts: Exploring the neural architecture of mental time travel during mind-wandering. Neuroimage 147, 272–281. https://doi.org/10.1016/j.neuroimage.2016.12.031</w:t>
      </w:r>
    </w:p>
    <w:p w14:paraId="5C400CAA"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Karolis, V.R., Corbetta, M., Thiebaut de Schotten, M., 2019. The architecture of functional lateralisation and its relationship to callosal connectivity in the human brain. Nat. Commun. 10, 1417. https://doi.org/10.1038/s41467-019-09344-1</w:t>
      </w:r>
    </w:p>
    <w:p w14:paraId="2032BBBD"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Krieger-Redwood, K., Teige, C., Davey, J., Hymers, M., Jefferies, E., 2015. Conceptual control across modalities: graded specialisation for pictures and words in inferior frontal and posterior temporal cortex. Neuropsychologia 76, 92–107. https://doi.org/10.1016/j.neuropsychologia.2015.02.030</w:t>
      </w:r>
    </w:p>
    <w:p w14:paraId="5558FD4D"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Lakens, D., 2017. Equivalence Tests. Soc. Psychol. Personal. Sci. 8, 355–362. https://doi.org/10.1177/1948550617697177</w:t>
      </w:r>
    </w:p>
    <w:p w14:paraId="51FA634A"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Lambon Ralph, M.A., Cipolotti, L., Manes, F., Patterson, K., 2010. Taking both sides: Do unilateral anterior temporal lobe lesions disrupt semantic memory? Brain 133, 3243–3255. https://doi.org/10.1093/brain/awq264</w:t>
      </w:r>
    </w:p>
    <w:p w14:paraId="0DBFF271"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Lambon Ralph, M.A., Jefferies, E., Patterson, K., Rogers, T.T., 2017. The neural and computational bases of semantic cognition. Nat. Rev. Neurosci. 18, 42–55. https://doi.org/10.1038/nrn.2016.150</w:t>
      </w:r>
    </w:p>
    <w:p w14:paraId="17C48363"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Lambon Ralph, M.A., McClelland, J.L., Patterson, K., Galton, C.J., Hodges, J.R., 2001. No right to speak? The relationship between object naming and semantic impairment: neuropsychological evidence and a computational model. J. Cogn. Neurosci. 13, 341–356. https://doi.org/10.1162/08989290151137395</w:t>
      </w:r>
    </w:p>
    <w:p w14:paraId="68F1387E"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Lanzoni, L., Thompson, H., Beintari, D., Berwick, K., Demnitz-King, H., Raspin, H., Taha, M., Stampacchia, S., Smallwood, J., Jefferies, E., 2019. Emotion and location cues bias conceptual retrieval in people with deficient semantic control. Neuropsychologia 131, 294–305. https://doi.org/10.1016/j.neuropsychologia.2019.05.030</w:t>
      </w:r>
    </w:p>
    <w:p w14:paraId="09111736"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Mion, M., Patterson, K., Acosta-Cabronero, J., Pengas, G., Izquierdo-Garcia, D., Hong, Y.T., Fryer, T.D., Williams, G.B., Hodges, J.R., Nestor, P.J., 2010. What the left and right anterior fusiform gyri tell us about semantic memory. Brain 133, 3256–3268. https://doi.org/10.1093/brain/awq272</w:t>
      </w:r>
    </w:p>
    <w:p w14:paraId="6FB4397F"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Murphy, C., Jefferies, E., Rueschemeyer, S.-A., Sormaz, M., Wang, H., Margulies, D.S., Smallwood, J., 2018. Distant from input: Evidence of regions within the default mode network supporting perceptually-decoupled and conceptually-guided cognition. Neuroimage 171, 393–401. https://doi.org/10.1016/j.neuroimage.2018.01.017</w:t>
      </w:r>
    </w:p>
    <w:p w14:paraId="700EB6E5"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lastRenderedPageBreak/>
        <w:t>Murphy, K., Birn, R.M., Handwerker, D.A., Jones, T.B., Bandettini, P.A., 2009. The impact of global signal regression on resting state correlations: Are anti-correlated networks introduced? Neuroimage 44, 893–905. https://doi.org/10.1016/j.neuroimage.2008.09.036</w:t>
      </w:r>
    </w:p>
    <w:p w14:paraId="7F8B4F79"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Noonan, K.A., Jefferies, E., Visser, M., Lambon Ralph, M.A., 2013. Going beyond Inferior Prefrontal Involvement in Semantic Control: Evidence for the Additional Contribution of Dorsal Angular Gyrus and Posterior Middle Temporal Cortex. J. Cogn. Neurosci. 25, 1824–50. https://doi.org/10.1162/jocn</w:t>
      </w:r>
    </w:p>
    <w:p w14:paraId="1E74BE89"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Noppeney, U., Phillips, J., Price, C., 2004. The neural areas that control the retrieval and selection of semantics. Neuropsychologia 42, 1269–1280. https://doi.org/10.1016/j.neuropsychologia.2003.12.014</w:t>
      </w:r>
    </w:p>
    <w:p w14:paraId="7FBE3EB2"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Patterson, K., Nestor, P.J., Rogers, T.T., 2007. Where do you know what you know? The representation of semantic knowledge in the human brain. Nat. Rev. Neurosci. 8, 976–987. https://doi.org/10.1038/nrn2277</w:t>
      </w:r>
    </w:p>
    <w:p w14:paraId="407823F5"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Poerio, G.L., Sormaz, M., Wang, H.T., Margulies, D., Jefferies, E., Smallwood, J., 2017. The role of the default mode network in component processes underlying the wandering mind. Soc. Cogn. Affect. Neurosci. 12, 1047–1062. https://doi.org/10.1093/scan/nsx041</w:t>
      </w:r>
    </w:p>
    <w:p w14:paraId="5C083A0E"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Price, A.R., Bonner, M.F., Peelle, J.E., Grossman, M., 2015. Converging Evidence for the Neuroanatomic Basis of Combinatorial Semantics in the Angular Gyrus. J. Neurosci. 35, 3276–3284. https://doi.org/10.1523/JNEUROSCI.3446-14.2015</w:t>
      </w:r>
    </w:p>
    <w:p w14:paraId="42A812F0"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Raemaekers, M., Schellekens, W., Petridou, N., Ramsey, N.F., 2018. Knowing left from right: asymmetric functional connectivity during resting state. Brain Struct. Funct. 223, 1909–1922. https://doi.org/10.1007/s00429-017-1604-y</w:t>
      </w:r>
    </w:p>
    <w:p w14:paraId="44EB5196"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Reilly, J., Peelle, J.E., Garcia, A., Crutch, S.J., 2016. Linking somatic and symbolic representation in semantic memory: the dynamic multilevel reactivation framework. Psychon. Bull. Rev. 23, 1002–1014. https://doi.org/10.3758/s13423-015-0824-5</w:t>
      </w:r>
    </w:p>
    <w:p w14:paraId="12A5BD83"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Rice, G.E., Caswell, H., Moore, P., Hoffman, P., Lambon Ralph, M.A., 2018a. The Roles of Left Versus Right Anterior Temporal Lobes in Semantic Memory: A Neuropsychological Comparison of Postsurgical Temporal Lobe Epilepsy Patients. Cereb. Cortex 28, 1487–1501. https://doi.org/10.1093/cercor/bhx362</w:t>
      </w:r>
    </w:p>
    <w:p w14:paraId="7B641225"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Rice, G.E., Hoffman, P., Binney, R.J., Lambon Ralph, M.A., 2018b. Concrete versus abstract forms of social concept: an fMRI comparison of knowledge about people versus social terms. Philos Trans R Soc L. B Biol Sci 373, 20170136. https://doi.org/10.1098/rstb.2017.0136</w:t>
      </w:r>
    </w:p>
    <w:p w14:paraId="49190130"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Rice, G.E., Hoffman, P., Lambon Ralph, M.A., 2015a. Graded specialization within and between the anterior temporal lobes. Ann. N. Y. Acad. Sci. 1359, 84–97. https://doi.org/10.1111/nyas.12951</w:t>
      </w:r>
    </w:p>
    <w:p w14:paraId="5F4F7011"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Rice, G.E., Lambon Ralph, M.A., Hoffman, P., 2015b. The Roles of Left Versus Right Anterior Temporal Lobes in Conceptual Knowledge: An ALE Meta-analysis of 97 Functional Neuroimaging Studies. Cereb. Cortex 25, 4374–4391. https://doi.org/10.1093/cercor/bhv024</w:t>
      </w:r>
    </w:p>
    <w:p w14:paraId="058B3005"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Rogers, T.T., Hocking, J., Noppeney, U., Mechelli, A., Gorno-Tempini, M.L., Patterson, K., Price, C.J., 2006. Anterior temporal cortex and semantic memory: Reconciling findings from neuropsychology and functional imaging. Cogn. Affect. Behav. Neurosci. 6, 201–213. https://doi.org/10.3758/CABN.6.3.201</w:t>
      </w:r>
    </w:p>
    <w:p w14:paraId="47BDDC40"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Seghier, M.L., 2012. The Angular Gyrus: Multiple Functions and Multiple Subdivisions. Neurosci. 19, 43–61. https://doi.org/10.1177/1073858412440596</w:t>
      </w:r>
    </w:p>
    <w:p w14:paraId="59B75213"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Shinn, A.K., Baker, J.T., Lewandowski, K.E., Öngür, D., Cohen, B.M., 2015. Aberrant cerebellar connectivity in motor and association networks in schizophrenia. Front. Hum. Neurosci. 9, 1–16. https://doi.org/10.3389/fnhum.2015.00134</w:t>
      </w:r>
    </w:p>
    <w:p w14:paraId="68D48009"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lastRenderedPageBreak/>
        <w:t>Smith, S.M., 2002. Fast robust automated brain extraction. Hum. Brain Mapp. 17, 143–155. https://doi.org/10.1002/hbm.10062</w:t>
      </w:r>
    </w:p>
    <w:p w14:paraId="3B40D101"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Smith, S.M., Nichols, T.E., 2009. Threshold-free cluster enhancement: Addressing problems of smoothing, threshold dependence and localisation in cluster inference. Neuroimage 44, 83–98. https://doi.org/10.1016/j.neuroimage.2008.03.061</w:t>
      </w:r>
    </w:p>
    <w:p w14:paraId="409EF73E"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Snowden, J.S., Thompson, J.C., Neary, D., 2004. Knowledge of famous faces and names in semantic dementia. Brain 127, 860–872. https://doi.org/10.1093/brain/awh099</w:t>
      </w:r>
    </w:p>
    <w:p w14:paraId="2D7FE43C"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Sormaz, M., Jefferies, E., Bernhardt, B.C., Karapanagiotidis, T., Mollo, G., Bernasconi, N., Bernasconi, A., Hartley, T., Smallwood, J., 2017. Knowing what from where: Hippocampal connectivity with temporoparietal cortex at rest is linked to individual differences in semantic and topographic memory. Neuroimage 152, 400–410. https://doi.org/10.1016/j.neuroimage.2017.02.071</w:t>
      </w:r>
    </w:p>
    <w:p w14:paraId="1E639C0E"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Sormaz, M., Murphy, C., Wang, H., Hymers, M., Karapanagiotidis, T., Poerio, G., 2018. Default mode network can support the level of detail in experience during active task states. Proc. Natl. Acad. Sci. https://doi.org/10.1073/pnas.1721259115</w:t>
      </w:r>
    </w:p>
    <w:p w14:paraId="6E6678C9"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lang w:val="es-MX"/>
        </w:rPr>
      </w:pPr>
      <w:r w:rsidRPr="00975DA7">
        <w:rPr>
          <w:rFonts w:ascii="Times New Roman" w:hAnsi="Times New Roman" w:cs="Times New Roman"/>
          <w:noProof/>
          <w:szCs w:val="24"/>
        </w:rPr>
        <w:t xml:space="preserve">Teige, C., Mollo, G., Millman, R., Savill, N., Smallwood, J., Cornelissen, P.L., Jefferies, E., 2018. Dynamic semantic cognition: Characterising coherent and controlled conceptual retrieval through time using magnetoencephalography and chronometric transcranial magnetic stimulation. </w:t>
      </w:r>
      <w:r w:rsidRPr="00975DA7">
        <w:rPr>
          <w:rFonts w:ascii="Times New Roman" w:hAnsi="Times New Roman" w:cs="Times New Roman"/>
          <w:noProof/>
          <w:szCs w:val="24"/>
          <w:lang w:val="es-MX"/>
        </w:rPr>
        <w:t>Cortex 103, 329–349. https://doi.org/10.1016/j.cortex.2018.03.024</w:t>
      </w:r>
    </w:p>
    <w:p w14:paraId="6C349D98"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lang w:val="es-MX"/>
        </w:rPr>
        <w:t xml:space="preserve">Thompson-Schill, S.L., D’Esposito, M., Aguirre, G.K., Farah, M.J., 1997. </w:t>
      </w:r>
      <w:r w:rsidRPr="00975DA7">
        <w:rPr>
          <w:rFonts w:ascii="Times New Roman" w:hAnsi="Times New Roman" w:cs="Times New Roman"/>
          <w:noProof/>
          <w:szCs w:val="24"/>
        </w:rPr>
        <w:t>Role of left inferior prefrontal cortex in retrieval of semantic knowledge: a reevaluation. Proc. Natl. Acad. Sci. U. S. A. 94, 14792–14797. https://doi.org/10.1073/pnas.94.26.14792</w:t>
      </w:r>
    </w:p>
    <w:p w14:paraId="398EC3AF"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Thompson, S.A., Patterson, K., Hodges, J.R., 2003. Left/right asymmetry of atrophy in semantic dementia: behavioral-cognitive implications. Neurology 61, 1196–203. https://doi.org/10.1212/01.WNL.0000091868.28557.B8</w:t>
      </w:r>
    </w:p>
    <w:p w14:paraId="34F5E6F8"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Turnbull, A., Wang, H.-T., Schooler, J.W., Jefferies, E., Margulies, D.S., Smallwood, J., 2018. The ebb and flow of attention: Between-subject variation in intrinsic connectivity and cognition associated with the dynamics of ongoing experience. Neuroimage 185, 286–299. https://doi.org/10.1016/j.neuroimage.2018.09.069</w:t>
      </w:r>
    </w:p>
    <w:p w14:paraId="58AA7C21"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van Heuven, W.J.B., Mandera, P., Keuleers, E., Brysbaert, M., 2014. SUBTLEX-UK: A new and improved word frequency database for British English. Q. J. Exp. Psychol. 67, 1176–1190. https://doi.org/10.1080/17470218.2013.850521</w:t>
      </w:r>
    </w:p>
    <w:p w14:paraId="1F68D522"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Vatansever, D., Bzdok, D., Wang, H., Mollo, G., Sormaz, M., Murphy, C., Karapanagiotidis, T., Smallwood, J., Jefferies, E., 2017. Varieties of semantic cognition revealed through simultaneous decomposition of intrinsic brain connectivity and behaviour. Neuroimage 158, 1–11. https://doi.org/10.1016/j.neuroimage.2017.06.067</w:t>
      </w:r>
    </w:p>
    <w:p w14:paraId="13C53659"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Visser, M., Jefferies, E., Embleton, K. V., Lambon Ralph, M. a., 2012. Both the Middle Temporal Gyrus and the Ventral Anterior Temporal Area Are Crucial for Multimodal Semantic Processing: Distortion-corrected fMRI Evidence for a Double Gradient of Information Convergence in the Temporal Lobes. J. Cogn. Neurosci. 24, 1766–1778. https://doi.org/10.1162/jocn_a_00244</w:t>
      </w:r>
    </w:p>
    <w:p w14:paraId="0FC2A244"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Wagner, A.D., Paré-Blagoev, E.J., Clark, J., Poldrack, R.A., 2001. Recovering Meaning. Neuron 31, 329–338. https://doi.org/10.1016/S0896-6273(01)00359-2</w:t>
      </w:r>
    </w:p>
    <w:p w14:paraId="38D7CB71"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Wang, D., Buckner, R.L., Liu, H., 2014. Functional Specialization in the Human Brain Estimated By Intrinsic Hemispheric Interaction. J. Neurosci. 34, 12341–12352. https://doi.org/10.1523/JNEUROSCI.0787-14.2014</w:t>
      </w:r>
    </w:p>
    <w:p w14:paraId="49A4857E"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lastRenderedPageBreak/>
        <w:t>Wang, H.T., Bzdok, D., Margulies, D., Craddock, C., Milham, M., Jefferies, E., Smallwood, J., 2018a. Patterns of thought: Population variation in the associations between large-scale network organisation and self-reported experiences at rest. Neuroimage 176, 518–527. https://doi.org/10.1016/j.neuroimage.2018.04.064</w:t>
      </w:r>
    </w:p>
    <w:p w14:paraId="47A20BA3"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Wang, H.T., Poerio, G., Murphy, C., Bzdok, D., Jefferies, E., Smallwood, J., 2018b. Dimensions of Experience: Exploring the Heterogeneity of the Wandering Mind. Psychol. Sci. 29, 56–71. https://doi.org/10.1177/0956797617728727</w:t>
      </w:r>
    </w:p>
    <w:p w14:paraId="2EA55664"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Wang, X., Bernhardt, B.C., Karapanagiotidis, T., De Caso, I., Gonzalez Alam, T.R. del J., Cotter, Z., Smallwood, J., Jefferies, E., 2018. The structural basis of semantic control: Evidence from individual differences in cortical thickness. Neuroimage 181, 480–489. https://doi.org/10.1016/j.neuroimage.2018.07.044</w:t>
      </w:r>
    </w:p>
    <w:p w14:paraId="17EFFC91"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Whitney, C., Kirk, M., O’Sullivan, J., Lambon Ralph, M.A., Jefferies, E., 2011. The neural organization of semantic control: TMS evidence for a distributed network in left inferior frontal and posterior middle temporal gyrus. Cereb. Cortex 21, 1066–1075. https://doi.org/10.1093/cercor/bhq180</w:t>
      </w:r>
    </w:p>
    <w:p w14:paraId="6CB91007"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Wilson, M., 1988. MRC Psycholinguistic Database : Machine-usable dictionary , version 2 . 00. Behav. Res. Methods, Instruments, Comput. 20, 6–10.</w:t>
      </w:r>
    </w:p>
    <w:p w14:paraId="12A8D614"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Woolrich, M., 2008. Robust group analysis using outlier inference. Neuroimage 41, 286–301. https://doi.org/10.1016/j.neuroimage.2008.02.042</w:t>
      </w:r>
    </w:p>
    <w:p w14:paraId="722988B7"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Woolrich, M.W., Behrens, T.E.J., Beckmann, C.F., Jenkinson, M., Smith, S.M., 2004. Multilevel linear modelling for FMRI group analysis using Bayesian inference. Neuroimage 21, 1732–1747. https://doi.org/10.1016/j.neuroimage.2003.12.023</w:t>
      </w:r>
    </w:p>
    <w:p w14:paraId="3E6ED150"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Yarkoni, T., Poldrack, R.A., Nichols, T.E., Van Essen, D.C., Wager, T.D., 2011. Large-scale automated synthesis of human functional neuroimaging data. Nat. Methods 8, 665–670. https://doi.org/10.1038/nmeth.1635</w:t>
      </w:r>
    </w:p>
    <w:p w14:paraId="3C60B537" w14:textId="77777777" w:rsidR="003457FC" w:rsidRPr="00975DA7" w:rsidRDefault="003457FC" w:rsidP="003457FC">
      <w:pPr>
        <w:widowControl w:val="0"/>
        <w:autoSpaceDE w:val="0"/>
        <w:autoSpaceDN w:val="0"/>
        <w:adjustRightInd w:val="0"/>
        <w:spacing w:line="240" w:lineRule="auto"/>
        <w:ind w:left="480" w:hanging="480"/>
        <w:rPr>
          <w:rFonts w:ascii="Times New Roman" w:hAnsi="Times New Roman" w:cs="Times New Roman"/>
          <w:noProof/>
          <w:szCs w:val="24"/>
        </w:rPr>
      </w:pPr>
      <w:r w:rsidRPr="00975DA7">
        <w:rPr>
          <w:rFonts w:ascii="Times New Roman" w:hAnsi="Times New Roman" w:cs="Times New Roman"/>
          <w:noProof/>
          <w:szCs w:val="24"/>
        </w:rPr>
        <w:t>Yeo, B.T.T., Krienen, F.M., Sepulcre, J., Sabuncu, M.R., Lashkari, D., Hollinshead, M., Roffman, J.L., Smoller, J.W., Zollei, L., Polimeni, J.R., Fischl, B., Liu, H., Buckner, R.L., 2011. The organization of the human cerebral cortex estimated by intrinsic functional connectivity. J. Neurophysiol. 106, 1125–1165. https://doi.org/10.1152/jn.00338.2011.</w:t>
      </w:r>
    </w:p>
    <w:p w14:paraId="6960686B" w14:textId="150CDB1B" w:rsidR="003457FC" w:rsidRDefault="003457FC" w:rsidP="00370E46">
      <w:pPr>
        <w:widowControl w:val="0"/>
        <w:autoSpaceDE w:val="0"/>
        <w:autoSpaceDN w:val="0"/>
        <w:adjustRightInd w:val="0"/>
        <w:spacing w:line="240" w:lineRule="auto"/>
        <w:ind w:left="480" w:hanging="480"/>
        <w:rPr>
          <w:rFonts w:ascii="Times New Roman" w:hAnsi="Times New Roman" w:cs="Times New Roman"/>
          <w:b/>
        </w:rPr>
      </w:pPr>
      <w:r w:rsidRPr="00975DA7">
        <w:rPr>
          <w:rFonts w:ascii="Times New Roman" w:hAnsi="Times New Roman" w:cs="Times New Roman"/>
          <w:noProof/>
          <w:szCs w:val="24"/>
        </w:rPr>
        <w:t>Zhang, Y., Brady, M., Smith, S., 2001. Segmentation of brain MR images through a hidden Markov random field model and the expectation-maximization algorithm. IEEE Trans. Med. Imaging 20, 45–57. https://doi.org/10.1109/42.906424</w:t>
      </w:r>
      <w:r w:rsidRPr="00975DA7">
        <w:rPr>
          <w:rFonts w:ascii="Times New Roman" w:hAnsi="Times New Roman" w:cs="Times New Roman"/>
        </w:rPr>
        <w:fldChar w:fldCharType="end"/>
      </w:r>
    </w:p>
    <w:sectPr w:rsidR="003457FC">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7A6A0" w14:textId="77777777" w:rsidR="004C0D02" w:rsidRDefault="004C0D02" w:rsidP="0081291D">
      <w:pPr>
        <w:spacing w:after="0" w:line="240" w:lineRule="auto"/>
      </w:pPr>
      <w:r>
        <w:separator/>
      </w:r>
    </w:p>
  </w:endnote>
  <w:endnote w:type="continuationSeparator" w:id="0">
    <w:p w14:paraId="0832B88A" w14:textId="77777777" w:rsidR="004C0D02" w:rsidRDefault="004C0D02" w:rsidP="00812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ECC99" w14:textId="77777777" w:rsidR="004C0D02" w:rsidRDefault="004C0D02" w:rsidP="0081291D">
      <w:pPr>
        <w:spacing w:after="0" w:line="240" w:lineRule="auto"/>
      </w:pPr>
      <w:r>
        <w:separator/>
      </w:r>
    </w:p>
  </w:footnote>
  <w:footnote w:type="continuationSeparator" w:id="0">
    <w:p w14:paraId="662A3BC9" w14:textId="77777777" w:rsidR="004C0D02" w:rsidRDefault="004C0D02" w:rsidP="0081291D">
      <w:pPr>
        <w:spacing w:after="0" w:line="240" w:lineRule="auto"/>
      </w:pPr>
      <w:r>
        <w:continuationSeparator/>
      </w:r>
    </w:p>
  </w:footnote>
  <w:footnote w:id="1">
    <w:p w14:paraId="541AC7BC" w14:textId="466A9A73" w:rsidR="003A757A" w:rsidRDefault="003A757A" w:rsidP="00A73CD7">
      <w:pPr>
        <w:pStyle w:val="FootnoteText"/>
      </w:pPr>
      <w:r w:rsidRPr="00975DA7">
        <w:rPr>
          <w:rStyle w:val="FootnoteReference"/>
        </w:rPr>
        <w:footnoteRef/>
      </w:r>
      <w:r w:rsidRPr="00975DA7">
        <w:t xml:space="preserve"> </w:t>
      </w:r>
      <w:r w:rsidRPr="00975DA7">
        <w:rPr>
          <w:rFonts w:ascii="Times New Roman" w:hAnsi="Times New Roman" w:cs="Times New Roman"/>
        </w:rPr>
        <w:t>We did not correct for the additional RH ATL seed, reported in Supplementary Materials, since it was added following the reviewers’ comments.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12042" w14:textId="216890DD" w:rsidR="003A757A" w:rsidRPr="0081291D" w:rsidRDefault="003A757A" w:rsidP="0081291D">
    <w:pPr>
      <w:pStyle w:val="Header"/>
      <w:rPr>
        <w:lang w:val="en-US"/>
      </w:rPr>
    </w:pPr>
    <w:r>
      <w:t>Lateralisation in Semantic Cognition</w:t>
    </w:r>
    <w:r>
      <w:tab/>
      <w:t xml:space="preserve">                                                                                                                </w:t>
    </w:r>
    <w:r>
      <w:fldChar w:fldCharType="begin"/>
    </w:r>
    <w:r>
      <w:instrText xml:space="preserve"> PAGE   \* MERGEFORMAT </w:instrText>
    </w:r>
    <w:r>
      <w:fldChar w:fldCharType="separate"/>
    </w:r>
    <w:r w:rsidR="00975DA7">
      <w:rPr>
        <w:noProof/>
      </w:rPr>
      <w:t>37</w:t>
    </w:r>
    <w:r>
      <w:rPr>
        <w:noProof/>
      </w:rPr>
      <w:fldChar w:fldCharType="end"/>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5536E"/>
    <w:multiLevelType w:val="hybridMultilevel"/>
    <w:tmpl w:val="B6E864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0D27A1"/>
    <w:multiLevelType w:val="hybridMultilevel"/>
    <w:tmpl w:val="FD427EEE"/>
    <w:lvl w:ilvl="0" w:tplc="00340E5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880BF8"/>
    <w:multiLevelType w:val="hybridMultilevel"/>
    <w:tmpl w:val="C8B2C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4D37DA"/>
    <w:multiLevelType w:val="multilevel"/>
    <w:tmpl w:val="C8DA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s-MX" w:vendorID="64" w:dllVersion="131078" w:nlCheck="1" w:checkStyle="0"/>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77E"/>
    <w:rsid w:val="00006147"/>
    <w:rsid w:val="00015179"/>
    <w:rsid w:val="0001614D"/>
    <w:rsid w:val="000165CB"/>
    <w:rsid w:val="00024EFD"/>
    <w:rsid w:val="00025721"/>
    <w:rsid w:val="00036AA4"/>
    <w:rsid w:val="00043E2B"/>
    <w:rsid w:val="00052CA4"/>
    <w:rsid w:val="000539FA"/>
    <w:rsid w:val="000574B7"/>
    <w:rsid w:val="00061FBD"/>
    <w:rsid w:val="0006410E"/>
    <w:rsid w:val="00064D4D"/>
    <w:rsid w:val="00067195"/>
    <w:rsid w:val="00071A2A"/>
    <w:rsid w:val="000730D9"/>
    <w:rsid w:val="00073771"/>
    <w:rsid w:val="00076DE3"/>
    <w:rsid w:val="00080A2D"/>
    <w:rsid w:val="00091BAA"/>
    <w:rsid w:val="00092189"/>
    <w:rsid w:val="00092524"/>
    <w:rsid w:val="00095CD3"/>
    <w:rsid w:val="00097B60"/>
    <w:rsid w:val="000A4F78"/>
    <w:rsid w:val="000B233B"/>
    <w:rsid w:val="000B2772"/>
    <w:rsid w:val="000B6C5F"/>
    <w:rsid w:val="000E135D"/>
    <w:rsid w:val="000E5A60"/>
    <w:rsid w:val="000F3AD4"/>
    <w:rsid w:val="000F43B3"/>
    <w:rsid w:val="000F476C"/>
    <w:rsid w:val="000F6903"/>
    <w:rsid w:val="000F693F"/>
    <w:rsid w:val="000F69C1"/>
    <w:rsid w:val="000F6A1C"/>
    <w:rsid w:val="00103A8F"/>
    <w:rsid w:val="0011088F"/>
    <w:rsid w:val="0011581C"/>
    <w:rsid w:val="00115E02"/>
    <w:rsid w:val="0011635F"/>
    <w:rsid w:val="00116E55"/>
    <w:rsid w:val="00116EC6"/>
    <w:rsid w:val="001229D6"/>
    <w:rsid w:val="001230C8"/>
    <w:rsid w:val="0012442D"/>
    <w:rsid w:val="001271F9"/>
    <w:rsid w:val="00131F5B"/>
    <w:rsid w:val="00134F7C"/>
    <w:rsid w:val="00136BAC"/>
    <w:rsid w:val="00137BCE"/>
    <w:rsid w:val="00153F35"/>
    <w:rsid w:val="00155DD4"/>
    <w:rsid w:val="00160F73"/>
    <w:rsid w:val="00161629"/>
    <w:rsid w:val="00162212"/>
    <w:rsid w:val="001637AD"/>
    <w:rsid w:val="0016546F"/>
    <w:rsid w:val="00173CD9"/>
    <w:rsid w:val="001842C0"/>
    <w:rsid w:val="0018686F"/>
    <w:rsid w:val="00186DFD"/>
    <w:rsid w:val="00192E60"/>
    <w:rsid w:val="001956F3"/>
    <w:rsid w:val="0019627B"/>
    <w:rsid w:val="00196A63"/>
    <w:rsid w:val="001A005B"/>
    <w:rsid w:val="001A2709"/>
    <w:rsid w:val="001A528C"/>
    <w:rsid w:val="001B495C"/>
    <w:rsid w:val="001B4C2E"/>
    <w:rsid w:val="001B69BF"/>
    <w:rsid w:val="001C175C"/>
    <w:rsid w:val="001C2145"/>
    <w:rsid w:val="001D66A8"/>
    <w:rsid w:val="001E1FF8"/>
    <w:rsid w:val="001F1949"/>
    <w:rsid w:val="001F3E8C"/>
    <w:rsid w:val="001F5DCF"/>
    <w:rsid w:val="00202945"/>
    <w:rsid w:val="002043AE"/>
    <w:rsid w:val="002069D6"/>
    <w:rsid w:val="00230C67"/>
    <w:rsid w:val="002316B1"/>
    <w:rsid w:val="002345ED"/>
    <w:rsid w:val="002360FB"/>
    <w:rsid w:val="00241E5B"/>
    <w:rsid w:val="00242FEC"/>
    <w:rsid w:val="00245BA2"/>
    <w:rsid w:val="00247CF3"/>
    <w:rsid w:val="00252C86"/>
    <w:rsid w:val="002530E3"/>
    <w:rsid w:val="00260B89"/>
    <w:rsid w:val="00265FEA"/>
    <w:rsid w:val="00266835"/>
    <w:rsid w:val="00276ABE"/>
    <w:rsid w:val="00281629"/>
    <w:rsid w:val="002832CC"/>
    <w:rsid w:val="0029640B"/>
    <w:rsid w:val="00296D1C"/>
    <w:rsid w:val="002A05A2"/>
    <w:rsid w:val="002B2192"/>
    <w:rsid w:val="002C1867"/>
    <w:rsid w:val="002C1F22"/>
    <w:rsid w:val="002C394E"/>
    <w:rsid w:val="002D00C0"/>
    <w:rsid w:val="002D16F6"/>
    <w:rsid w:val="002E0CE0"/>
    <w:rsid w:val="002E281B"/>
    <w:rsid w:val="002E7C81"/>
    <w:rsid w:val="002F101C"/>
    <w:rsid w:val="002F341F"/>
    <w:rsid w:val="002F787A"/>
    <w:rsid w:val="00300AC4"/>
    <w:rsid w:val="00301590"/>
    <w:rsid w:val="00301632"/>
    <w:rsid w:val="00304BBC"/>
    <w:rsid w:val="00312FAC"/>
    <w:rsid w:val="00327EEA"/>
    <w:rsid w:val="00340C48"/>
    <w:rsid w:val="00341103"/>
    <w:rsid w:val="00345125"/>
    <w:rsid w:val="003457FC"/>
    <w:rsid w:val="00350806"/>
    <w:rsid w:val="0035797F"/>
    <w:rsid w:val="00362A06"/>
    <w:rsid w:val="00370E46"/>
    <w:rsid w:val="00374DDA"/>
    <w:rsid w:val="0038682E"/>
    <w:rsid w:val="003870C1"/>
    <w:rsid w:val="00387821"/>
    <w:rsid w:val="003911E4"/>
    <w:rsid w:val="003A1068"/>
    <w:rsid w:val="003A1DC6"/>
    <w:rsid w:val="003A757A"/>
    <w:rsid w:val="003B12C9"/>
    <w:rsid w:val="003B5D91"/>
    <w:rsid w:val="003C2BB2"/>
    <w:rsid w:val="003C4F6C"/>
    <w:rsid w:val="003C5F3C"/>
    <w:rsid w:val="003C6879"/>
    <w:rsid w:val="003C7F70"/>
    <w:rsid w:val="003D3688"/>
    <w:rsid w:val="003D369B"/>
    <w:rsid w:val="003E0336"/>
    <w:rsid w:val="003E5B49"/>
    <w:rsid w:val="003F4657"/>
    <w:rsid w:val="003F6C39"/>
    <w:rsid w:val="003F6CAB"/>
    <w:rsid w:val="0040182F"/>
    <w:rsid w:val="00405342"/>
    <w:rsid w:val="00405706"/>
    <w:rsid w:val="0040666B"/>
    <w:rsid w:val="00422720"/>
    <w:rsid w:val="00423833"/>
    <w:rsid w:val="00427BB0"/>
    <w:rsid w:val="00435CAE"/>
    <w:rsid w:val="00442C3F"/>
    <w:rsid w:val="00442D9C"/>
    <w:rsid w:val="00450643"/>
    <w:rsid w:val="004553AE"/>
    <w:rsid w:val="00461F4E"/>
    <w:rsid w:val="00462DC2"/>
    <w:rsid w:val="00464A11"/>
    <w:rsid w:val="00464DAA"/>
    <w:rsid w:val="00465ED4"/>
    <w:rsid w:val="00470C0B"/>
    <w:rsid w:val="00482BA1"/>
    <w:rsid w:val="00492BFF"/>
    <w:rsid w:val="004964FB"/>
    <w:rsid w:val="004A0D81"/>
    <w:rsid w:val="004A288A"/>
    <w:rsid w:val="004B2A1D"/>
    <w:rsid w:val="004B2D04"/>
    <w:rsid w:val="004B3EA4"/>
    <w:rsid w:val="004B4D05"/>
    <w:rsid w:val="004B547B"/>
    <w:rsid w:val="004B60D0"/>
    <w:rsid w:val="004C0D02"/>
    <w:rsid w:val="004C2F62"/>
    <w:rsid w:val="004D1ADA"/>
    <w:rsid w:val="004D3024"/>
    <w:rsid w:val="004D6BAE"/>
    <w:rsid w:val="004E235B"/>
    <w:rsid w:val="004F0D85"/>
    <w:rsid w:val="004F71C2"/>
    <w:rsid w:val="00506176"/>
    <w:rsid w:val="00507B6A"/>
    <w:rsid w:val="00520FFD"/>
    <w:rsid w:val="00522CAF"/>
    <w:rsid w:val="00544FA9"/>
    <w:rsid w:val="005540AF"/>
    <w:rsid w:val="00554B3E"/>
    <w:rsid w:val="005747F5"/>
    <w:rsid w:val="00574C56"/>
    <w:rsid w:val="005808B5"/>
    <w:rsid w:val="00585CA0"/>
    <w:rsid w:val="00591277"/>
    <w:rsid w:val="0059177E"/>
    <w:rsid w:val="00591B8C"/>
    <w:rsid w:val="00591D42"/>
    <w:rsid w:val="00597BA4"/>
    <w:rsid w:val="005B35A5"/>
    <w:rsid w:val="005B44BE"/>
    <w:rsid w:val="005B5731"/>
    <w:rsid w:val="005B738E"/>
    <w:rsid w:val="005C2E0B"/>
    <w:rsid w:val="005C60E5"/>
    <w:rsid w:val="005C6D27"/>
    <w:rsid w:val="005D49ED"/>
    <w:rsid w:val="005E04AB"/>
    <w:rsid w:val="0060173A"/>
    <w:rsid w:val="00605231"/>
    <w:rsid w:val="006055FB"/>
    <w:rsid w:val="0060671E"/>
    <w:rsid w:val="00606F05"/>
    <w:rsid w:val="006103A7"/>
    <w:rsid w:val="006178C1"/>
    <w:rsid w:val="00624A7B"/>
    <w:rsid w:val="0063241E"/>
    <w:rsid w:val="00646C51"/>
    <w:rsid w:val="00647043"/>
    <w:rsid w:val="00647D79"/>
    <w:rsid w:val="00650B68"/>
    <w:rsid w:val="00652963"/>
    <w:rsid w:val="0065649F"/>
    <w:rsid w:val="00660378"/>
    <w:rsid w:val="006811EE"/>
    <w:rsid w:val="0069235A"/>
    <w:rsid w:val="006A20A5"/>
    <w:rsid w:val="006A5041"/>
    <w:rsid w:val="006B258F"/>
    <w:rsid w:val="006C03E7"/>
    <w:rsid w:val="006C1A0E"/>
    <w:rsid w:val="006C5629"/>
    <w:rsid w:val="006D2174"/>
    <w:rsid w:val="006D4D68"/>
    <w:rsid w:val="006E39FC"/>
    <w:rsid w:val="006E589C"/>
    <w:rsid w:val="00704C50"/>
    <w:rsid w:val="00704FF6"/>
    <w:rsid w:val="00710AB7"/>
    <w:rsid w:val="007302DC"/>
    <w:rsid w:val="007331E3"/>
    <w:rsid w:val="00741B75"/>
    <w:rsid w:val="00741C69"/>
    <w:rsid w:val="00751C81"/>
    <w:rsid w:val="00755197"/>
    <w:rsid w:val="00757755"/>
    <w:rsid w:val="00763DE6"/>
    <w:rsid w:val="007650F6"/>
    <w:rsid w:val="00777A89"/>
    <w:rsid w:val="00780946"/>
    <w:rsid w:val="00781C8F"/>
    <w:rsid w:val="007A0257"/>
    <w:rsid w:val="007A1D7B"/>
    <w:rsid w:val="007A23B2"/>
    <w:rsid w:val="007A5F30"/>
    <w:rsid w:val="007C03AB"/>
    <w:rsid w:val="007C135E"/>
    <w:rsid w:val="007C3001"/>
    <w:rsid w:val="007C7D4A"/>
    <w:rsid w:val="007D245F"/>
    <w:rsid w:val="007D3474"/>
    <w:rsid w:val="007D4292"/>
    <w:rsid w:val="007E37EF"/>
    <w:rsid w:val="007F3641"/>
    <w:rsid w:val="007F6703"/>
    <w:rsid w:val="008002CB"/>
    <w:rsid w:val="00802D54"/>
    <w:rsid w:val="00805596"/>
    <w:rsid w:val="00807D55"/>
    <w:rsid w:val="00807F2B"/>
    <w:rsid w:val="0081291D"/>
    <w:rsid w:val="00813C97"/>
    <w:rsid w:val="00821264"/>
    <w:rsid w:val="00822C4F"/>
    <w:rsid w:val="00827423"/>
    <w:rsid w:val="00843F4F"/>
    <w:rsid w:val="00846244"/>
    <w:rsid w:val="00853F2C"/>
    <w:rsid w:val="00857925"/>
    <w:rsid w:val="00857F02"/>
    <w:rsid w:val="008603FF"/>
    <w:rsid w:val="0086208F"/>
    <w:rsid w:val="00863949"/>
    <w:rsid w:val="008676E3"/>
    <w:rsid w:val="008716E2"/>
    <w:rsid w:val="0087203B"/>
    <w:rsid w:val="0087273F"/>
    <w:rsid w:val="00872EBB"/>
    <w:rsid w:val="008740DC"/>
    <w:rsid w:val="00876487"/>
    <w:rsid w:val="00887A9A"/>
    <w:rsid w:val="008962FF"/>
    <w:rsid w:val="008A055D"/>
    <w:rsid w:val="008A3A35"/>
    <w:rsid w:val="008A60F7"/>
    <w:rsid w:val="008A697D"/>
    <w:rsid w:val="008B2055"/>
    <w:rsid w:val="008B3EE7"/>
    <w:rsid w:val="008B4117"/>
    <w:rsid w:val="008B5838"/>
    <w:rsid w:val="008B5840"/>
    <w:rsid w:val="008C6D7B"/>
    <w:rsid w:val="008C7B32"/>
    <w:rsid w:val="008D6B83"/>
    <w:rsid w:val="008D7889"/>
    <w:rsid w:val="008E1E88"/>
    <w:rsid w:val="008E7995"/>
    <w:rsid w:val="008F2CA7"/>
    <w:rsid w:val="008F3F3D"/>
    <w:rsid w:val="00903C93"/>
    <w:rsid w:val="00904050"/>
    <w:rsid w:val="0090603F"/>
    <w:rsid w:val="009153B9"/>
    <w:rsid w:val="0091651E"/>
    <w:rsid w:val="009225E7"/>
    <w:rsid w:val="00924E24"/>
    <w:rsid w:val="00925CE2"/>
    <w:rsid w:val="00927230"/>
    <w:rsid w:val="009279C0"/>
    <w:rsid w:val="00936E81"/>
    <w:rsid w:val="009420CD"/>
    <w:rsid w:val="009512B7"/>
    <w:rsid w:val="0095341E"/>
    <w:rsid w:val="00953DA1"/>
    <w:rsid w:val="00955AF5"/>
    <w:rsid w:val="0095719C"/>
    <w:rsid w:val="00957464"/>
    <w:rsid w:val="00970709"/>
    <w:rsid w:val="00970D1C"/>
    <w:rsid w:val="00975DA7"/>
    <w:rsid w:val="00981596"/>
    <w:rsid w:val="0098172D"/>
    <w:rsid w:val="009828BF"/>
    <w:rsid w:val="00984397"/>
    <w:rsid w:val="0099461A"/>
    <w:rsid w:val="00997254"/>
    <w:rsid w:val="009A4035"/>
    <w:rsid w:val="009A6E4A"/>
    <w:rsid w:val="009B4486"/>
    <w:rsid w:val="009B491D"/>
    <w:rsid w:val="009C28A3"/>
    <w:rsid w:val="009C64C4"/>
    <w:rsid w:val="009D03C3"/>
    <w:rsid w:val="009D3FB2"/>
    <w:rsid w:val="009D428C"/>
    <w:rsid w:val="009D504E"/>
    <w:rsid w:val="009E201B"/>
    <w:rsid w:val="009E3CBE"/>
    <w:rsid w:val="009E652B"/>
    <w:rsid w:val="009F0C7A"/>
    <w:rsid w:val="009F5FB4"/>
    <w:rsid w:val="009F67A3"/>
    <w:rsid w:val="009F7128"/>
    <w:rsid w:val="00A009D3"/>
    <w:rsid w:val="00A02133"/>
    <w:rsid w:val="00A03EED"/>
    <w:rsid w:val="00A13AF9"/>
    <w:rsid w:val="00A22AE8"/>
    <w:rsid w:val="00A23B0C"/>
    <w:rsid w:val="00A352BE"/>
    <w:rsid w:val="00A40EA7"/>
    <w:rsid w:val="00A41554"/>
    <w:rsid w:val="00A472D8"/>
    <w:rsid w:val="00A5609C"/>
    <w:rsid w:val="00A6457D"/>
    <w:rsid w:val="00A71BE2"/>
    <w:rsid w:val="00A73CD7"/>
    <w:rsid w:val="00A8022F"/>
    <w:rsid w:val="00A86ACB"/>
    <w:rsid w:val="00AA1B34"/>
    <w:rsid w:val="00AA76EA"/>
    <w:rsid w:val="00AB0F48"/>
    <w:rsid w:val="00AB4F52"/>
    <w:rsid w:val="00AB7C50"/>
    <w:rsid w:val="00AB7CEA"/>
    <w:rsid w:val="00AD661E"/>
    <w:rsid w:val="00AE4B53"/>
    <w:rsid w:val="00AE643D"/>
    <w:rsid w:val="00AE70B0"/>
    <w:rsid w:val="00AF5420"/>
    <w:rsid w:val="00B04F6C"/>
    <w:rsid w:val="00B05095"/>
    <w:rsid w:val="00B10550"/>
    <w:rsid w:val="00B108BD"/>
    <w:rsid w:val="00B121F1"/>
    <w:rsid w:val="00B1394A"/>
    <w:rsid w:val="00B1546A"/>
    <w:rsid w:val="00B162D7"/>
    <w:rsid w:val="00B1655C"/>
    <w:rsid w:val="00B17956"/>
    <w:rsid w:val="00B17C2F"/>
    <w:rsid w:val="00B30786"/>
    <w:rsid w:val="00B3085A"/>
    <w:rsid w:val="00B338FF"/>
    <w:rsid w:val="00B35404"/>
    <w:rsid w:val="00B40144"/>
    <w:rsid w:val="00B4514D"/>
    <w:rsid w:val="00B45ACD"/>
    <w:rsid w:val="00B47751"/>
    <w:rsid w:val="00B6330A"/>
    <w:rsid w:val="00B67EB9"/>
    <w:rsid w:val="00B77CBD"/>
    <w:rsid w:val="00B82B2D"/>
    <w:rsid w:val="00B8381B"/>
    <w:rsid w:val="00B85D6B"/>
    <w:rsid w:val="00B902C9"/>
    <w:rsid w:val="00B9391F"/>
    <w:rsid w:val="00B93E87"/>
    <w:rsid w:val="00BA4EC9"/>
    <w:rsid w:val="00BB046B"/>
    <w:rsid w:val="00BB3CFA"/>
    <w:rsid w:val="00BC2085"/>
    <w:rsid w:val="00BC2C84"/>
    <w:rsid w:val="00BC31D0"/>
    <w:rsid w:val="00BD085E"/>
    <w:rsid w:val="00BD1B07"/>
    <w:rsid w:val="00BD1E7B"/>
    <w:rsid w:val="00BD3489"/>
    <w:rsid w:val="00BD7309"/>
    <w:rsid w:val="00BE33A2"/>
    <w:rsid w:val="00BF012B"/>
    <w:rsid w:val="00BF13E5"/>
    <w:rsid w:val="00BF14D8"/>
    <w:rsid w:val="00BF23D9"/>
    <w:rsid w:val="00C01845"/>
    <w:rsid w:val="00C01E01"/>
    <w:rsid w:val="00C03230"/>
    <w:rsid w:val="00C03511"/>
    <w:rsid w:val="00C12358"/>
    <w:rsid w:val="00C12531"/>
    <w:rsid w:val="00C13720"/>
    <w:rsid w:val="00C17957"/>
    <w:rsid w:val="00C20A9B"/>
    <w:rsid w:val="00C3108B"/>
    <w:rsid w:val="00C32BE4"/>
    <w:rsid w:val="00C344CB"/>
    <w:rsid w:val="00C34C95"/>
    <w:rsid w:val="00C46438"/>
    <w:rsid w:val="00C46FB8"/>
    <w:rsid w:val="00C533F2"/>
    <w:rsid w:val="00C53466"/>
    <w:rsid w:val="00C54DE4"/>
    <w:rsid w:val="00C62483"/>
    <w:rsid w:val="00C649D3"/>
    <w:rsid w:val="00C70DCE"/>
    <w:rsid w:val="00C779DF"/>
    <w:rsid w:val="00C814D9"/>
    <w:rsid w:val="00C8196D"/>
    <w:rsid w:val="00C84F2E"/>
    <w:rsid w:val="00CA1CB5"/>
    <w:rsid w:val="00CB0976"/>
    <w:rsid w:val="00CB650D"/>
    <w:rsid w:val="00CC0580"/>
    <w:rsid w:val="00CC0A4B"/>
    <w:rsid w:val="00CC2AD4"/>
    <w:rsid w:val="00CC5EEB"/>
    <w:rsid w:val="00CD16CF"/>
    <w:rsid w:val="00CD4E4D"/>
    <w:rsid w:val="00D00BC4"/>
    <w:rsid w:val="00D01F50"/>
    <w:rsid w:val="00D021C6"/>
    <w:rsid w:val="00D0766E"/>
    <w:rsid w:val="00D1316D"/>
    <w:rsid w:val="00D1506C"/>
    <w:rsid w:val="00D21D00"/>
    <w:rsid w:val="00D21FAC"/>
    <w:rsid w:val="00D23BD0"/>
    <w:rsid w:val="00D41B7D"/>
    <w:rsid w:val="00D460A6"/>
    <w:rsid w:val="00D61D8B"/>
    <w:rsid w:val="00D62C83"/>
    <w:rsid w:val="00D64929"/>
    <w:rsid w:val="00D70966"/>
    <w:rsid w:val="00D70CC5"/>
    <w:rsid w:val="00D74708"/>
    <w:rsid w:val="00D83687"/>
    <w:rsid w:val="00D85EA8"/>
    <w:rsid w:val="00D87E6F"/>
    <w:rsid w:val="00D94C63"/>
    <w:rsid w:val="00D978D7"/>
    <w:rsid w:val="00DB4411"/>
    <w:rsid w:val="00DB650B"/>
    <w:rsid w:val="00DC70E7"/>
    <w:rsid w:val="00DD344F"/>
    <w:rsid w:val="00DD7FA8"/>
    <w:rsid w:val="00DE601B"/>
    <w:rsid w:val="00DE6CDB"/>
    <w:rsid w:val="00DF12B4"/>
    <w:rsid w:val="00E05F20"/>
    <w:rsid w:val="00E079D3"/>
    <w:rsid w:val="00E350E7"/>
    <w:rsid w:val="00E3612F"/>
    <w:rsid w:val="00E400EE"/>
    <w:rsid w:val="00E437E2"/>
    <w:rsid w:val="00E4411A"/>
    <w:rsid w:val="00E44432"/>
    <w:rsid w:val="00E64F87"/>
    <w:rsid w:val="00E71EC6"/>
    <w:rsid w:val="00E735E3"/>
    <w:rsid w:val="00E73727"/>
    <w:rsid w:val="00E860C3"/>
    <w:rsid w:val="00E91EE3"/>
    <w:rsid w:val="00E94F27"/>
    <w:rsid w:val="00E9591B"/>
    <w:rsid w:val="00EB5CA2"/>
    <w:rsid w:val="00EC0BB7"/>
    <w:rsid w:val="00EC21F8"/>
    <w:rsid w:val="00EC5F26"/>
    <w:rsid w:val="00EC68F0"/>
    <w:rsid w:val="00ED3710"/>
    <w:rsid w:val="00ED3884"/>
    <w:rsid w:val="00ED3BFA"/>
    <w:rsid w:val="00EE2E31"/>
    <w:rsid w:val="00EE3B88"/>
    <w:rsid w:val="00EF2514"/>
    <w:rsid w:val="00EF47B2"/>
    <w:rsid w:val="00F005C4"/>
    <w:rsid w:val="00F007A2"/>
    <w:rsid w:val="00F114EE"/>
    <w:rsid w:val="00F138CE"/>
    <w:rsid w:val="00F21BB5"/>
    <w:rsid w:val="00F23022"/>
    <w:rsid w:val="00F2518B"/>
    <w:rsid w:val="00F32B70"/>
    <w:rsid w:val="00F34402"/>
    <w:rsid w:val="00F41C40"/>
    <w:rsid w:val="00F41D2D"/>
    <w:rsid w:val="00F45B64"/>
    <w:rsid w:val="00F54E35"/>
    <w:rsid w:val="00F56DCA"/>
    <w:rsid w:val="00F6172D"/>
    <w:rsid w:val="00F65AA9"/>
    <w:rsid w:val="00F7671B"/>
    <w:rsid w:val="00F9503D"/>
    <w:rsid w:val="00F976D1"/>
    <w:rsid w:val="00FA1A1F"/>
    <w:rsid w:val="00FA3552"/>
    <w:rsid w:val="00FA4271"/>
    <w:rsid w:val="00FA54DE"/>
    <w:rsid w:val="00FA73E1"/>
    <w:rsid w:val="00FC36FD"/>
    <w:rsid w:val="00FC5D50"/>
    <w:rsid w:val="00FC5E42"/>
    <w:rsid w:val="00FD2ED2"/>
    <w:rsid w:val="00FE0B3B"/>
    <w:rsid w:val="00FE32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6C376A"/>
  <w15:docId w15:val="{85D76F39-9D6C-4BDF-BA26-01F68E89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7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9177E"/>
    <w:rPr>
      <w:sz w:val="16"/>
      <w:szCs w:val="16"/>
    </w:rPr>
  </w:style>
  <w:style w:type="paragraph" w:styleId="CommentText">
    <w:name w:val="annotation text"/>
    <w:basedOn w:val="Normal"/>
    <w:link w:val="CommentTextChar"/>
    <w:uiPriority w:val="99"/>
    <w:unhideWhenUsed/>
    <w:rsid w:val="0059177E"/>
    <w:pPr>
      <w:spacing w:line="240" w:lineRule="auto"/>
    </w:pPr>
    <w:rPr>
      <w:sz w:val="20"/>
      <w:szCs w:val="20"/>
    </w:rPr>
  </w:style>
  <w:style w:type="character" w:customStyle="1" w:styleId="CommentTextChar">
    <w:name w:val="Comment Text Char"/>
    <w:basedOn w:val="DefaultParagraphFont"/>
    <w:link w:val="CommentText"/>
    <w:uiPriority w:val="99"/>
    <w:rsid w:val="0059177E"/>
    <w:rPr>
      <w:sz w:val="20"/>
      <w:szCs w:val="20"/>
    </w:rPr>
  </w:style>
  <w:style w:type="character" w:customStyle="1" w:styleId="BalloonTextChar">
    <w:name w:val="Balloon Text Char"/>
    <w:basedOn w:val="DefaultParagraphFont"/>
    <w:link w:val="BalloonText"/>
    <w:uiPriority w:val="99"/>
    <w:semiHidden/>
    <w:rsid w:val="0059177E"/>
    <w:rPr>
      <w:rFonts w:ascii="Segoe UI" w:eastAsia="Arial" w:hAnsi="Segoe UI" w:cs="Segoe UI"/>
      <w:sz w:val="18"/>
      <w:szCs w:val="18"/>
      <w:lang w:eastAsia="en-GB"/>
    </w:rPr>
  </w:style>
  <w:style w:type="paragraph" w:styleId="BalloonText">
    <w:name w:val="Balloon Text"/>
    <w:basedOn w:val="Normal"/>
    <w:link w:val="BalloonTextChar"/>
    <w:uiPriority w:val="99"/>
    <w:semiHidden/>
    <w:unhideWhenUsed/>
    <w:rsid w:val="0059177E"/>
    <w:pPr>
      <w:spacing w:after="0" w:line="240" w:lineRule="auto"/>
      <w:contextualSpacing/>
    </w:pPr>
    <w:rPr>
      <w:rFonts w:ascii="Segoe UI" w:eastAsia="Arial" w:hAnsi="Segoe UI" w:cs="Segoe UI"/>
      <w:sz w:val="18"/>
      <w:szCs w:val="18"/>
      <w:lang w:eastAsia="en-GB"/>
    </w:rPr>
  </w:style>
  <w:style w:type="character" w:customStyle="1" w:styleId="FootnoteTextChar">
    <w:name w:val="Footnote Text Char"/>
    <w:basedOn w:val="DefaultParagraphFont"/>
    <w:link w:val="FootnoteText"/>
    <w:uiPriority w:val="99"/>
    <w:semiHidden/>
    <w:rsid w:val="0059177E"/>
    <w:rPr>
      <w:sz w:val="20"/>
      <w:szCs w:val="20"/>
    </w:rPr>
  </w:style>
  <w:style w:type="paragraph" w:styleId="FootnoteText">
    <w:name w:val="footnote text"/>
    <w:basedOn w:val="Normal"/>
    <w:link w:val="FootnoteTextChar"/>
    <w:uiPriority w:val="99"/>
    <w:semiHidden/>
    <w:unhideWhenUsed/>
    <w:rsid w:val="0059177E"/>
    <w:pPr>
      <w:spacing w:after="0" w:line="240" w:lineRule="auto"/>
    </w:pPr>
    <w:rPr>
      <w:sz w:val="20"/>
      <w:szCs w:val="20"/>
    </w:rPr>
  </w:style>
  <w:style w:type="character" w:customStyle="1" w:styleId="CommentSubjectChar">
    <w:name w:val="Comment Subject Char"/>
    <w:basedOn w:val="CommentTextChar"/>
    <w:link w:val="CommentSubject"/>
    <w:uiPriority w:val="99"/>
    <w:semiHidden/>
    <w:rsid w:val="0059177E"/>
    <w:rPr>
      <w:rFonts w:ascii="Arial" w:eastAsia="Arial" w:hAnsi="Arial" w:cs="Arial"/>
      <w:b/>
      <w:bCs/>
      <w:sz w:val="20"/>
      <w:szCs w:val="20"/>
      <w:lang w:eastAsia="en-GB"/>
    </w:rPr>
  </w:style>
  <w:style w:type="paragraph" w:styleId="CommentSubject">
    <w:name w:val="annotation subject"/>
    <w:basedOn w:val="CommentText"/>
    <w:next w:val="CommentText"/>
    <w:link w:val="CommentSubjectChar"/>
    <w:uiPriority w:val="99"/>
    <w:semiHidden/>
    <w:unhideWhenUsed/>
    <w:rsid w:val="0059177E"/>
    <w:pPr>
      <w:spacing w:after="0"/>
      <w:contextualSpacing/>
    </w:pPr>
    <w:rPr>
      <w:rFonts w:ascii="Arial" w:eastAsia="Arial" w:hAnsi="Arial" w:cs="Arial"/>
      <w:b/>
      <w:bCs/>
      <w:lang w:eastAsia="en-GB"/>
    </w:rPr>
  </w:style>
  <w:style w:type="character" w:styleId="Hyperlink">
    <w:name w:val="Hyperlink"/>
    <w:basedOn w:val="DefaultParagraphFont"/>
    <w:uiPriority w:val="99"/>
    <w:unhideWhenUsed/>
    <w:rsid w:val="0059177E"/>
    <w:rPr>
      <w:color w:val="0563C1" w:themeColor="hyperlink"/>
      <w:u w:val="single"/>
    </w:rPr>
  </w:style>
  <w:style w:type="table" w:customStyle="1" w:styleId="PlainTable21">
    <w:name w:val="Plain Table 21"/>
    <w:basedOn w:val="TableNormal"/>
    <w:uiPriority w:val="42"/>
    <w:rsid w:val="00FC5D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B1546A"/>
    <w:pPr>
      <w:ind w:left="720"/>
      <w:contextualSpacing/>
    </w:pPr>
  </w:style>
  <w:style w:type="paragraph" w:styleId="Header">
    <w:name w:val="header"/>
    <w:basedOn w:val="Normal"/>
    <w:link w:val="HeaderChar"/>
    <w:uiPriority w:val="99"/>
    <w:unhideWhenUsed/>
    <w:rsid w:val="008129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91D"/>
  </w:style>
  <w:style w:type="paragraph" w:styleId="Footer">
    <w:name w:val="footer"/>
    <w:basedOn w:val="Normal"/>
    <w:link w:val="FooterChar"/>
    <w:uiPriority w:val="99"/>
    <w:unhideWhenUsed/>
    <w:rsid w:val="008129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91D"/>
  </w:style>
  <w:style w:type="table" w:styleId="PlainTable2">
    <w:name w:val="Plain Table 2"/>
    <w:basedOn w:val="TableNormal"/>
    <w:uiPriority w:val="42"/>
    <w:rsid w:val="009165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AA76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basedOn w:val="DefaultParagraphFont"/>
    <w:uiPriority w:val="99"/>
    <w:semiHidden/>
    <w:unhideWhenUsed/>
    <w:rsid w:val="00A73CD7"/>
    <w:rPr>
      <w:vertAlign w:val="superscript"/>
    </w:rPr>
  </w:style>
  <w:style w:type="paragraph" w:styleId="NormalWeb">
    <w:name w:val="Normal (Web)"/>
    <w:basedOn w:val="Normal"/>
    <w:uiPriority w:val="99"/>
    <w:unhideWhenUsed/>
    <w:rsid w:val="00704C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ndnoteReference">
    <w:name w:val="endnote reference"/>
    <w:basedOn w:val="DefaultParagraphFont"/>
    <w:uiPriority w:val="99"/>
    <w:semiHidden/>
    <w:unhideWhenUsed/>
    <w:rsid w:val="006A20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26140">
      <w:bodyDiv w:val="1"/>
      <w:marLeft w:val="0"/>
      <w:marRight w:val="0"/>
      <w:marTop w:val="0"/>
      <w:marBottom w:val="0"/>
      <w:divBdr>
        <w:top w:val="none" w:sz="0" w:space="0" w:color="auto"/>
        <w:left w:val="none" w:sz="0" w:space="0" w:color="auto"/>
        <w:bottom w:val="none" w:sz="0" w:space="0" w:color="auto"/>
        <w:right w:val="none" w:sz="0" w:space="0" w:color="auto"/>
      </w:divBdr>
      <w:divsChild>
        <w:div w:id="230770937">
          <w:marLeft w:val="0"/>
          <w:marRight w:val="0"/>
          <w:marTop w:val="0"/>
          <w:marBottom w:val="0"/>
          <w:divBdr>
            <w:top w:val="none" w:sz="0" w:space="0" w:color="auto"/>
            <w:left w:val="none" w:sz="0" w:space="0" w:color="auto"/>
            <w:bottom w:val="none" w:sz="0" w:space="0" w:color="auto"/>
            <w:right w:val="none" w:sz="0" w:space="0" w:color="auto"/>
          </w:divBdr>
        </w:div>
        <w:div w:id="394859363">
          <w:marLeft w:val="0"/>
          <w:marRight w:val="0"/>
          <w:marTop w:val="0"/>
          <w:marBottom w:val="0"/>
          <w:divBdr>
            <w:top w:val="none" w:sz="0" w:space="0" w:color="auto"/>
            <w:left w:val="none" w:sz="0" w:space="0" w:color="auto"/>
            <w:bottom w:val="none" w:sz="0" w:space="0" w:color="auto"/>
            <w:right w:val="none" w:sz="0" w:space="0" w:color="auto"/>
          </w:divBdr>
        </w:div>
        <w:div w:id="1487166201">
          <w:marLeft w:val="0"/>
          <w:marRight w:val="0"/>
          <w:marTop w:val="0"/>
          <w:marBottom w:val="0"/>
          <w:divBdr>
            <w:top w:val="none" w:sz="0" w:space="0" w:color="auto"/>
            <w:left w:val="none" w:sz="0" w:space="0" w:color="auto"/>
            <w:bottom w:val="none" w:sz="0" w:space="0" w:color="auto"/>
            <w:right w:val="none" w:sz="0" w:space="0" w:color="auto"/>
          </w:divBdr>
        </w:div>
      </w:divsChild>
    </w:div>
    <w:div w:id="953830329">
      <w:bodyDiv w:val="1"/>
      <w:marLeft w:val="0"/>
      <w:marRight w:val="0"/>
      <w:marTop w:val="0"/>
      <w:marBottom w:val="0"/>
      <w:divBdr>
        <w:top w:val="none" w:sz="0" w:space="0" w:color="auto"/>
        <w:left w:val="none" w:sz="0" w:space="0" w:color="auto"/>
        <w:bottom w:val="none" w:sz="0" w:space="0" w:color="auto"/>
        <w:right w:val="none" w:sz="0" w:space="0" w:color="auto"/>
      </w:divBdr>
      <w:divsChild>
        <w:div w:id="42337351">
          <w:marLeft w:val="0"/>
          <w:marRight w:val="0"/>
          <w:marTop w:val="0"/>
          <w:marBottom w:val="0"/>
          <w:divBdr>
            <w:top w:val="none" w:sz="0" w:space="0" w:color="auto"/>
            <w:left w:val="none" w:sz="0" w:space="0" w:color="auto"/>
            <w:bottom w:val="none" w:sz="0" w:space="0" w:color="auto"/>
            <w:right w:val="none" w:sz="0" w:space="0" w:color="auto"/>
          </w:divBdr>
        </w:div>
        <w:div w:id="237908860">
          <w:marLeft w:val="0"/>
          <w:marRight w:val="0"/>
          <w:marTop w:val="0"/>
          <w:marBottom w:val="0"/>
          <w:divBdr>
            <w:top w:val="none" w:sz="0" w:space="0" w:color="auto"/>
            <w:left w:val="none" w:sz="0" w:space="0" w:color="auto"/>
            <w:bottom w:val="none" w:sz="0" w:space="0" w:color="auto"/>
            <w:right w:val="none" w:sz="0" w:space="0" w:color="auto"/>
          </w:divBdr>
        </w:div>
        <w:div w:id="256669364">
          <w:marLeft w:val="0"/>
          <w:marRight w:val="0"/>
          <w:marTop w:val="0"/>
          <w:marBottom w:val="0"/>
          <w:divBdr>
            <w:top w:val="none" w:sz="0" w:space="0" w:color="auto"/>
            <w:left w:val="none" w:sz="0" w:space="0" w:color="auto"/>
            <w:bottom w:val="none" w:sz="0" w:space="0" w:color="auto"/>
            <w:right w:val="none" w:sz="0" w:space="0" w:color="auto"/>
          </w:divBdr>
        </w:div>
        <w:div w:id="428085004">
          <w:marLeft w:val="0"/>
          <w:marRight w:val="0"/>
          <w:marTop w:val="0"/>
          <w:marBottom w:val="0"/>
          <w:divBdr>
            <w:top w:val="none" w:sz="0" w:space="0" w:color="auto"/>
            <w:left w:val="none" w:sz="0" w:space="0" w:color="auto"/>
            <w:bottom w:val="none" w:sz="0" w:space="0" w:color="auto"/>
            <w:right w:val="none" w:sz="0" w:space="0" w:color="auto"/>
          </w:divBdr>
        </w:div>
        <w:div w:id="543105691">
          <w:marLeft w:val="0"/>
          <w:marRight w:val="0"/>
          <w:marTop w:val="0"/>
          <w:marBottom w:val="0"/>
          <w:divBdr>
            <w:top w:val="none" w:sz="0" w:space="0" w:color="auto"/>
            <w:left w:val="none" w:sz="0" w:space="0" w:color="auto"/>
            <w:bottom w:val="none" w:sz="0" w:space="0" w:color="auto"/>
            <w:right w:val="none" w:sz="0" w:space="0" w:color="auto"/>
          </w:divBdr>
        </w:div>
        <w:div w:id="565845497">
          <w:marLeft w:val="0"/>
          <w:marRight w:val="0"/>
          <w:marTop w:val="0"/>
          <w:marBottom w:val="0"/>
          <w:divBdr>
            <w:top w:val="none" w:sz="0" w:space="0" w:color="auto"/>
            <w:left w:val="none" w:sz="0" w:space="0" w:color="auto"/>
            <w:bottom w:val="none" w:sz="0" w:space="0" w:color="auto"/>
            <w:right w:val="none" w:sz="0" w:space="0" w:color="auto"/>
          </w:divBdr>
        </w:div>
        <w:div w:id="716783526">
          <w:marLeft w:val="0"/>
          <w:marRight w:val="0"/>
          <w:marTop w:val="0"/>
          <w:marBottom w:val="0"/>
          <w:divBdr>
            <w:top w:val="none" w:sz="0" w:space="0" w:color="auto"/>
            <w:left w:val="none" w:sz="0" w:space="0" w:color="auto"/>
            <w:bottom w:val="none" w:sz="0" w:space="0" w:color="auto"/>
            <w:right w:val="none" w:sz="0" w:space="0" w:color="auto"/>
          </w:divBdr>
        </w:div>
        <w:div w:id="725495602">
          <w:marLeft w:val="0"/>
          <w:marRight w:val="0"/>
          <w:marTop w:val="0"/>
          <w:marBottom w:val="0"/>
          <w:divBdr>
            <w:top w:val="none" w:sz="0" w:space="0" w:color="auto"/>
            <w:left w:val="none" w:sz="0" w:space="0" w:color="auto"/>
            <w:bottom w:val="none" w:sz="0" w:space="0" w:color="auto"/>
            <w:right w:val="none" w:sz="0" w:space="0" w:color="auto"/>
          </w:divBdr>
        </w:div>
        <w:div w:id="803035909">
          <w:marLeft w:val="0"/>
          <w:marRight w:val="0"/>
          <w:marTop w:val="0"/>
          <w:marBottom w:val="0"/>
          <w:divBdr>
            <w:top w:val="none" w:sz="0" w:space="0" w:color="auto"/>
            <w:left w:val="none" w:sz="0" w:space="0" w:color="auto"/>
            <w:bottom w:val="none" w:sz="0" w:space="0" w:color="auto"/>
            <w:right w:val="none" w:sz="0" w:space="0" w:color="auto"/>
          </w:divBdr>
        </w:div>
        <w:div w:id="823356691">
          <w:marLeft w:val="0"/>
          <w:marRight w:val="0"/>
          <w:marTop w:val="0"/>
          <w:marBottom w:val="0"/>
          <w:divBdr>
            <w:top w:val="none" w:sz="0" w:space="0" w:color="auto"/>
            <w:left w:val="none" w:sz="0" w:space="0" w:color="auto"/>
            <w:bottom w:val="none" w:sz="0" w:space="0" w:color="auto"/>
            <w:right w:val="none" w:sz="0" w:space="0" w:color="auto"/>
          </w:divBdr>
        </w:div>
        <w:div w:id="931283457">
          <w:marLeft w:val="0"/>
          <w:marRight w:val="0"/>
          <w:marTop w:val="0"/>
          <w:marBottom w:val="0"/>
          <w:divBdr>
            <w:top w:val="none" w:sz="0" w:space="0" w:color="auto"/>
            <w:left w:val="none" w:sz="0" w:space="0" w:color="auto"/>
            <w:bottom w:val="none" w:sz="0" w:space="0" w:color="auto"/>
            <w:right w:val="none" w:sz="0" w:space="0" w:color="auto"/>
          </w:divBdr>
        </w:div>
        <w:div w:id="955210981">
          <w:marLeft w:val="0"/>
          <w:marRight w:val="0"/>
          <w:marTop w:val="0"/>
          <w:marBottom w:val="0"/>
          <w:divBdr>
            <w:top w:val="none" w:sz="0" w:space="0" w:color="auto"/>
            <w:left w:val="none" w:sz="0" w:space="0" w:color="auto"/>
            <w:bottom w:val="none" w:sz="0" w:space="0" w:color="auto"/>
            <w:right w:val="none" w:sz="0" w:space="0" w:color="auto"/>
          </w:divBdr>
        </w:div>
        <w:div w:id="1202354547">
          <w:marLeft w:val="0"/>
          <w:marRight w:val="0"/>
          <w:marTop w:val="0"/>
          <w:marBottom w:val="0"/>
          <w:divBdr>
            <w:top w:val="none" w:sz="0" w:space="0" w:color="auto"/>
            <w:left w:val="none" w:sz="0" w:space="0" w:color="auto"/>
            <w:bottom w:val="none" w:sz="0" w:space="0" w:color="auto"/>
            <w:right w:val="none" w:sz="0" w:space="0" w:color="auto"/>
          </w:divBdr>
        </w:div>
        <w:div w:id="1211111884">
          <w:marLeft w:val="0"/>
          <w:marRight w:val="0"/>
          <w:marTop w:val="0"/>
          <w:marBottom w:val="0"/>
          <w:divBdr>
            <w:top w:val="none" w:sz="0" w:space="0" w:color="auto"/>
            <w:left w:val="none" w:sz="0" w:space="0" w:color="auto"/>
            <w:bottom w:val="none" w:sz="0" w:space="0" w:color="auto"/>
            <w:right w:val="none" w:sz="0" w:space="0" w:color="auto"/>
          </w:divBdr>
        </w:div>
        <w:div w:id="1264220425">
          <w:marLeft w:val="0"/>
          <w:marRight w:val="0"/>
          <w:marTop w:val="0"/>
          <w:marBottom w:val="0"/>
          <w:divBdr>
            <w:top w:val="none" w:sz="0" w:space="0" w:color="auto"/>
            <w:left w:val="none" w:sz="0" w:space="0" w:color="auto"/>
            <w:bottom w:val="none" w:sz="0" w:space="0" w:color="auto"/>
            <w:right w:val="none" w:sz="0" w:space="0" w:color="auto"/>
          </w:divBdr>
        </w:div>
        <w:div w:id="1422483543">
          <w:marLeft w:val="0"/>
          <w:marRight w:val="0"/>
          <w:marTop w:val="0"/>
          <w:marBottom w:val="0"/>
          <w:divBdr>
            <w:top w:val="none" w:sz="0" w:space="0" w:color="auto"/>
            <w:left w:val="none" w:sz="0" w:space="0" w:color="auto"/>
            <w:bottom w:val="none" w:sz="0" w:space="0" w:color="auto"/>
            <w:right w:val="none" w:sz="0" w:space="0" w:color="auto"/>
          </w:divBdr>
        </w:div>
        <w:div w:id="1504126306">
          <w:marLeft w:val="0"/>
          <w:marRight w:val="0"/>
          <w:marTop w:val="0"/>
          <w:marBottom w:val="0"/>
          <w:divBdr>
            <w:top w:val="none" w:sz="0" w:space="0" w:color="auto"/>
            <w:left w:val="none" w:sz="0" w:space="0" w:color="auto"/>
            <w:bottom w:val="none" w:sz="0" w:space="0" w:color="auto"/>
            <w:right w:val="none" w:sz="0" w:space="0" w:color="auto"/>
          </w:divBdr>
        </w:div>
        <w:div w:id="1628000753">
          <w:marLeft w:val="0"/>
          <w:marRight w:val="0"/>
          <w:marTop w:val="0"/>
          <w:marBottom w:val="0"/>
          <w:divBdr>
            <w:top w:val="none" w:sz="0" w:space="0" w:color="auto"/>
            <w:left w:val="none" w:sz="0" w:space="0" w:color="auto"/>
            <w:bottom w:val="none" w:sz="0" w:space="0" w:color="auto"/>
            <w:right w:val="none" w:sz="0" w:space="0" w:color="auto"/>
          </w:divBdr>
        </w:div>
        <w:div w:id="1667978246">
          <w:marLeft w:val="0"/>
          <w:marRight w:val="0"/>
          <w:marTop w:val="0"/>
          <w:marBottom w:val="0"/>
          <w:divBdr>
            <w:top w:val="none" w:sz="0" w:space="0" w:color="auto"/>
            <w:left w:val="none" w:sz="0" w:space="0" w:color="auto"/>
            <w:bottom w:val="none" w:sz="0" w:space="0" w:color="auto"/>
            <w:right w:val="none" w:sz="0" w:space="0" w:color="auto"/>
          </w:divBdr>
        </w:div>
        <w:div w:id="1839268204">
          <w:marLeft w:val="0"/>
          <w:marRight w:val="0"/>
          <w:marTop w:val="0"/>
          <w:marBottom w:val="0"/>
          <w:divBdr>
            <w:top w:val="none" w:sz="0" w:space="0" w:color="auto"/>
            <w:left w:val="none" w:sz="0" w:space="0" w:color="auto"/>
            <w:bottom w:val="none" w:sz="0" w:space="0" w:color="auto"/>
            <w:right w:val="none" w:sz="0" w:space="0" w:color="auto"/>
          </w:divBdr>
        </w:div>
        <w:div w:id="1841457785">
          <w:marLeft w:val="0"/>
          <w:marRight w:val="0"/>
          <w:marTop w:val="0"/>
          <w:marBottom w:val="0"/>
          <w:divBdr>
            <w:top w:val="none" w:sz="0" w:space="0" w:color="auto"/>
            <w:left w:val="none" w:sz="0" w:space="0" w:color="auto"/>
            <w:bottom w:val="none" w:sz="0" w:space="0" w:color="auto"/>
            <w:right w:val="none" w:sz="0" w:space="0" w:color="auto"/>
          </w:divBdr>
        </w:div>
        <w:div w:id="1943033507">
          <w:marLeft w:val="0"/>
          <w:marRight w:val="0"/>
          <w:marTop w:val="0"/>
          <w:marBottom w:val="0"/>
          <w:divBdr>
            <w:top w:val="none" w:sz="0" w:space="0" w:color="auto"/>
            <w:left w:val="none" w:sz="0" w:space="0" w:color="auto"/>
            <w:bottom w:val="none" w:sz="0" w:space="0" w:color="auto"/>
            <w:right w:val="none" w:sz="0" w:space="0" w:color="auto"/>
          </w:divBdr>
        </w:div>
        <w:div w:id="1993100263">
          <w:marLeft w:val="0"/>
          <w:marRight w:val="0"/>
          <w:marTop w:val="0"/>
          <w:marBottom w:val="0"/>
          <w:divBdr>
            <w:top w:val="none" w:sz="0" w:space="0" w:color="auto"/>
            <w:left w:val="none" w:sz="0" w:space="0" w:color="auto"/>
            <w:bottom w:val="none" w:sz="0" w:space="0" w:color="auto"/>
            <w:right w:val="none" w:sz="0" w:space="0" w:color="auto"/>
          </w:divBdr>
        </w:div>
        <w:div w:id="2114130601">
          <w:marLeft w:val="0"/>
          <w:marRight w:val="0"/>
          <w:marTop w:val="0"/>
          <w:marBottom w:val="0"/>
          <w:divBdr>
            <w:top w:val="none" w:sz="0" w:space="0" w:color="auto"/>
            <w:left w:val="none" w:sz="0" w:space="0" w:color="auto"/>
            <w:bottom w:val="none" w:sz="0" w:space="0" w:color="auto"/>
            <w:right w:val="none" w:sz="0" w:space="0" w:color="auto"/>
          </w:divBdr>
        </w:div>
      </w:divsChild>
    </w:div>
    <w:div w:id="1753238851">
      <w:bodyDiv w:val="1"/>
      <w:marLeft w:val="0"/>
      <w:marRight w:val="0"/>
      <w:marTop w:val="0"/>
      <w:marBottom w:val="0"/>
      <w:divBdr>
        <w:top w:val="none" w:sz="0" w:space="0" w:color="auto"/>
        <w:left w:val="none" w:sz="0" w:space="0" w:color="auto"/>
        <w:bottom w:val="none" w:sz="0" w:space="0" w:color="auto"/>
        <w:right w:val="none" w:sz="0" w:space="0" w:color="auto"/>
      </w:divBdr>
      <w:divsChild>
        <w:div w:id="237908194">
          <w:marLeft w:val="0"/>
          <w:marRight w:val="0"/>
          <w:marTop w:val="0"/>
          <w:marBottom w:val="0"/>
          <w:divBdr>
            <w:top w:val="none" w:sz="0" w:space="0" w:color="auto"/>
            <w:left w:val="none" w:sz="0" w:space="0" w:color="auto"/>
            <w:bottom w:val="none" w:sz="0" w:space="0" w:color="auto"/>
            <w:right w:val="none" w:sz="0" w:space="0" w:color="auto"/>
          </w:divBdr>
        </w:div>
      </w:divsChild>
    </w:div>
    <w:div w:id="194533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ga500@york.ac.uk" TargetMode="External"/><Relationship Id="rId13" Type="http://schemas.openxmlformats.org/officeDocument/2006/relationships/image" Target="media/image2.jp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fsl.fmrib.ox.ac.uk/fsl/"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eurovault.org/collections/4683/" TargetMode="External"/><Relationship Id="rId20" Type="http://schemas.openxmlformats.org/officeDocument/2006/relationships/hyperlink" Target="https://neurovault.org/collections/46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eurovault.org/collections/4683/" TargetMode="External"/><Relationship Id="rId23" Type="http://schemas.openxmlformats.org/officeDocument/2006/relationships/hyperlink" Target="https://neurovault.org/collections/4683/" TargetMode="External"/><Relationship Id="rId10" Type="http://schemas.openxmlformats.org/officeDocument/2006/relationships/hyperlink" Target="mailto:beth.jefferies@york.ac.uk"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jonny.smallwood@york.ac.uk" TargetMode="External"/><Relationship Id="rId14" Type="http://schemas.openxmlformats.org/officeDocument/2006/relationships/hyperlink" Target="https://neurovault.org/collections/4683/" TargetMode="External"/><Relationship Id="rId22" Type="http://schemas.openxmlformats.org/officeDocument/2006/relationships/hyperlink" Target="https://neurovault.org/collections/46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4FEB7-29F4-4340-82BA-48FA0A914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81816</Words>
  <Characters>466355</Characters>
  <Application>Microsoft Office Word</Application>
  <DocSecurity>0</DocSecurity>
  <Lines>3886</Lines>
  <Paragraphs>1094</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547077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Tirso Gonzalez Alam</dc:creator>
  <cp:keywords/>
  <dc:description/>
  <cp:lastModifiedBy>Tirso González Alam</cp:lastModifiedBy>
  <cp:revision>2</cp:revision>
  <cp:lastPrinted>2019-04-01T19:15:00Z</cp:lastPrinted>
  <dcterms:created xsi:type="dcterms:W3CDTF">2019-10-04T20:44:00Z</dcterms:created>
  <dcterms:modified xsi:type="dcterms:W3CDTF">2019-10-04T20:44:00Z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065ce241-84c2-33d8-b065-6eba9dfb6ae7</vt:lpwstr>
  </property>
  <property fmtid="{D5CDD505-2E9C-101B-9397-08002B2CF9AE}" pid="4" name="Mendeley Citation Style_1">
    <vt:lpwstr>http://www.zotero.org/styles/neuroimage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http://www.zotero.org/styles/neuroimage</vt:lpwstr>
  </property>
  <property fmtid="{D5CDD505-2E9C-101B-9397-08002B2CF9AE}" pid="24" name="Mendeley Recent Style Name 9_1">
    <vt:lpwstr>NeuroImage</vt:lpwstr>
  </property>
</Properties>
</file>