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3CE1" w14:textId="064FC18E" w:rsidR="00E71731" w:rsidRPr="0040120E" w:rsidRDefault="00DF5D20">
      <w:pPr>
        <w:rPr>
          <w:rFonts w:ascii="Times New Roman" w:hAnsi="Times New Roman" w:cs="Times New Roman"/>
          <w:b/>
          <w:sz w:val="28"/>
          <w:lang w:val="en-GB"/>
        </w:rPr>
      </w:pPr>
      <w:r w:rsidRPr="0040120E">
        <w:rPr>
          <w:rFonts w:ascii="Times New Roman" w:hAnsi="Times New Roman" w:cs="Times New Roman"/>
          <w:b/>
          <w:sz w:val="28"/>
          <w:lang w:val="en-GB"/>
        </w:rPr>
        <w:t xml:space="preserve">Brand heritage as a temporal perception: conceptualisation, measure and consequences </w:t>
      </w:r>
    </w:p>
    <w:p w14:paraId="47CD12EA" w14:textId="77777777" w:rsidR="00E71731" w:rsidRPr="0040120E" w:rsidRDefault="00E71731" w:rsidP="00E71731">
      <w:pPr>
        <w:pStyle w:val="Authornames"/>
        <w:rPr>
          <w:lang w:val="fr-FR"/>
        </w:rPr>
      </w:pPr>
      <w:r w:rsidRPr="0040120E">
        <w:rPr>
          <w:lang w:val="fr-FR"/>
        </w:rPr>
        <w:t>Fabien Pecot</w:t>
      </w:r>
      <w:r w:rsidRPr="0040120E">
        <w:rPr>
          <w:vertAlign w:val="superscript"/>
          <w:lang w:val="fr-FR"/>
        </w:rPr>
        <w:t>ac</w:t>
      </w:r>
      <w:r w:rsidRPr="0040120E">
        <w:rPr>
          <w:lang w:val="fr-FR"/>
        </w:rPr>
        <w:t>*, Pierre Val</w:t>
      </w:r>
      <w:bookmarkStart w:id="0" w:name="_GoBack"/>
      <w:bookmarkEnd w:id="0"/>
      <w:r w:rsidRPr="0040120E">
        <w:rPr>
          <w:lang w:val="fr-FR"/>
        </w:rPr>
        <w:t>ette-Florence</w:t>
      </w:r>
      <w:r w:rsidRPr="0040120E">
        <w:rPr>
          <w:vertAlign w:val="superscript"/>
          <w:lang w:val="fr-FR"/>
        </w:rPr>
        <w:t>b</w:t>
      </w:r>
      <w:r w:rsidRPr="0040120E">
        <w:rPr>
          <w:lang w:val="fr-FR"/>
        </w:rPr>
        <w:t xml:space="preserve"> and Virginie De Barnier</w:t>
      </w:r>
      <w:r w:rsidRPr="0040120E">
        <w:rPr>
          <w:vertAlign w:val="superscript"/>
          <w:lang w:val="fr-FR"/>
        </w:rPr>
        <w:t>c</w:t>
      </w:r>
    </w:p>
    <w:p w14:paraId="215B7E4A" w14:textId="77777777" w:rsidR="00E71731" w:rsidRPr="0040120E" w:rsidRDefault="00E71731" w:rsidP="00E71731">
      <w:pPr>
        <w:pStyle w:val="Affiliation"/>
      </w:pPr>
      <w:r w:rsidRPr="0040120E">
        <w:rPr>
          <w:vertAlign w:val="superscript"/>
        </w:rPr>
        <w:t>a</w:t>
      </w:r>
      <w:r w:rsidRPr="0040120E">
        <w:t xml:space="preserve">The York Management School, University of York, York, United Kingdom; </w:t>
      </w:r>
      <w:r w:rsidRPr="0040120E">
        <w:rPr>
          <w:vertAlign w:val="superscript"/>
        </w:rPr>
        <w:t>b</w:t>
      </w:r>
      <w:r w:rsidRPr="0040120E">
        <w:t xml:space="preserve">IAE Grenoble </w:t>
      </w:r>
      <w:r w:rsidRPr="0040120E">
        <w:rPr>
          <w:lang w:val="en-US"/>
        </w:rPr>
        <w:t xml:space="preserve">Graduate School of Management, </w:t>
      </w:r>
      <w:r w:rsidRPr="0040120E">
        <w:t xml:space="preserve">Université Grenoble Alpes, Grenoble, France; </w:t>
      </w:r>
      <w:r w:rsidRPr="0040120E">
        <w:rPr>
          <w:vertAlign w:val="superscript"/>
        </w:rPr>
        <w:t>c</w:t>
      </w:r>
      <w:r w:rsidRPr="0040120E">
        <w:t>Aix-Marseille Graduate School of Management IAE, Aix-Marseille Université, Puyricard, France</w:t>
      </w:r>
    </w:p>
    <w:p w14:paraId="4E08AA35" w14:textId="77777777" w:rsidR="00E71731" w:rsidRPr="0040120E" w:rsidRDefault="00E71731" w:rsidP="00320A36">
      <w:pPr>
        <w:pStyle w:val="Correspondencedetails"/>
        <w:spacing w:line="240" w:lineRule="auto"/>
      </w:pPr>
      <w:r w:rsidRPr="0040120E">
        <w:t>The York Management School</w:t>
      </w:r>
    </w:p>
    <w:p w14:paraId="3D769E7A" w14:textId="77777777" w:rsidR="00E71731" w:rsidRPr="0040120E" w:rsidRDefault="00E71731" w:rsidP="00320A36">
      <w:pPr>
        <w:pStyle w:val="Correspondencedetails"/>
        <w:spacing w:line="240" w:lineRule="auto"/>
      </w:pPr>
      <w:r w:rsidRPr="0040120E">
        <w:t>The University of York</w:t>
      </w:r>
    </w:p>
    <w:p w14:paraId="0AAA8564" w14:textId="77777777" w:rsidR="00E71731" w:rsidRPr="0040120E" w:rsidRDefault="00E71731" w:rsidP="00320A36">
      <w:pPr>
        <w:pStyle w:val="Correspondencedetails"/>
        <w:spacing w:line="240" w:lineRule="auto"/>
      </w:pPr>
      <w:r w:rsidRPr="0040120E">
        <w:t>Freboys Lane</w:t>
      </w:r>
    </w:p>
    <w:p w14:paraId="4ACC035A" w14:textId="77777777" w:rsidR="00E71731" w:rsidRPr="0040120E" w:rsidRDefault="00E71731" w:rsidP="00320A36">
      <w:pPr>
        <w:pStyle w:val="Correspondencedetails"/>
        <w:spacing w:line="240" w:lineRule="auto"/>
      </w:pPr>
      <w:r w:rsidRPr="0040120E">
        <w:t>York YO10 5GD Fabien.pecot@york.ac.uk</w:t>
      </w:r>
    </w:p>
    <w:p w14:paraId="0FA96C1D" w14:textId="77777777" w:rsidR="00E71731" w:rsidRPr="0040120E" w:rsidRDefault="00E71731" w:rsidP="00E71731">
      <w:pPr>
        <w:rPr>
          <w:rFonts w:ascii="Times New Roman" w:hAnsi="Times New Roman" w:cs="Times New Roman"/>
          <w:sz w:val="24"/>
          <w:szCs w:val="24"/>
          <w:lang w:val="en-GB"/>
        </w:rPr>
      </w:pPr>
    </w:p>
    <w:p w14:paraId="77507392" w14:textId="77777777" w:rsidR="00E71731" w:rsidRPr="0040120E" w:rsidRDefault="00E71731" w:rsidP="00E71731">
      <w:pPr>
        <w:rPr>
          <w:rFonts w:ascii="Times New Roman" w:hAnsi="Times New Roman" w:cs="Times New Roman"/>
          <w:sz w:val="24"/>
          <w:szCs w:val="24"/>
          <w:lang w:val="en-US"/>
        </w:rPr>
      </w:pPr>
    </w:p>
    <w:p w14:paraId="238B40EB" w14:textId="77777777" w:rsidR="00320A36" w:rsidRDefault="00320A36">
      <w:pPr>
        <w:rPr>
          <w:rFonts w:ascii="Times New Roman" w:hAnsi="Times New Roman" w:cs="Times New Roman"/>
          <w:sz w:val="24"/>
          <w:szCs w:val="24"/>
          <w:lang w:val="en-US"/>
        </w:rPr>
      </w:pPr>
    </w:p>
    <w:p w14:paraId="08B09D12" w14:textId="77777777" w:rsidR="00320A36" w:rsidRDefault="00320A36">
      <w:pPr>
        <w:rPr>
          <w:rFonts w:ascii="Times New Roman" w:hAnsi="Times New Roman" w:cs="Times New Roman"/>
          <w:sz w:val="24"/>
          <w:szCs w:val="24"/>
          <w:lang w:val="en-US"/>
        </w:rPr>
      </w:pPr>
      <w:r w:rsidRPr="00320A36">
        <w:rPr>
          <w:rFonts w:ascii="Times New Roman" w:hAnsi="Times New Roman" w:cs="Times New Roman"/>
          <w:sz w:val="24"/>
          <w:szCs w:val="24"/>
          <w:lang w:val="en-US"/>
        </w:rPr>
        <w:t xml:space="preserve">This is an Accepted Manuscript of an article published by Taylor &amp; Francis in </w:t>
      </w:r>
      <w:r>
        <w:rPr>
          <w:rFonts w:ascii="Times New Roman" w:hAnsi="Times New Roman" w:cs="Times New Roman"/>
          <w:sz w:val="24"/>
          <w:szCs w:val="24"/>
          <w:lang w:val="en-US"/>
        </w:rPr>
        <w:t>the Journal of Marketing Management on 24</w:t>
      </w:r>
      <w:r w:rsidRPr="00320A3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September 2019</w:t>
      </w:r>
      <w:r w:rsidRPr="00320A36">
        <w:rPr>
          <w:rFonts w:ascii="Times New Roman" w:hAnsi="Times New Roman" w:cs="Times New Roman"/>
          <w:sz w:val="24"/>
          <w:szCs w:val="24"/>
          <w:lang w:val="en-US"/>
        </w:rPr>
        <w:t xml:space="preserve">, available online: </w:t>
      </w:r>
      <w:hyperlink r:id="rId8" w:history="1">
        <w:r w:rsidRPr="00FF7819">
          <w:rPr>
            <w:rStyle w:val="Hyperlink"/>
            <w:rFonts w:ascii="Times New Roman" w:hAnsi="Times New Roman" w:cs="Times New Roman"/>
            <w:sz w:val="24"/>
            <w:szCs w:val="24"/>
            <w:lang w:val="en-US"/>
          </w:rPr>
          <w:t>https://www.tandfonline.com/doi/full/10.1080/0267257X.2019.1667414</w:t>
        </w:r>
      </w:hyperlink>
    </w:p>
    <w:p w14:paraId="0A8CA208" w14:textId="77777777" w:rsidR="00320A36" w:rsidRDefault="00320A36">
      <w:pPr>
        <w:rPr>
          <w:rFonts w:ascii="Times New Roman" w:hAnsi="Times New Roman" w:cs="Times New Roman"/>
          <w:sz w:val="24"/>
          <w:szCs w:val="24"/>
          <w:lang w:val="en-US"/>
        </w:rPr>
      </w:pPr>
    </w:p>
    <w:p w14:paraId="79CD3401" w14:textId="77777777" w:rsidR="00320A36" w:rsidRDefault="00320A36" w:rsidP="00320A36">
      <w:pPr>
        <w:rPr>
          <w:rFonts w:ascii="Times New Roman" w:hAnsi="Times New Roman" w:cs="Times New Roman"/>
          <w:sz w:val="24"/>
          <w:szCs w:val="24"/>
          <w:lang w:val="en-US"/>
        </w:rPr>
      </w:pPr>
    </w:p>
    <w:p w14:paraId="78BDCADB" w14:textId="77777777" w:rsidR="00320A36" w:rsidRDefault="00320A36" w:rsidP="00320A36">
      <w:pPr>
        <w:rPr>
          <w:rFonts w:ascii="Times New Roman" w:hAnsi="Times New Roman" w:cs="Times New Roman"/>
          <w:sz w:val="24"/>
          <w:szCs w:val="24"/>
          <w:lang w:val="en-US"/>
        </w:rPr>
      </w:pPr>
    </w:p>
    <w:p w14:paraId="2CD27570" w14:textId="77777777" w:rsidR="00320A36" w:rsidRDefault="00320A36" w:rsidP="00320A36">
      <w:pPr>
        <w:rPr>
          <w:rFonts w:ascii="Times New Roman" w:hAnsi="Times New Roman" w:cs="Times New Roman"/>
          <w:sz w:val="24"/>
          <w:szCs w:val="24"/>
          <w:lang w:val="en-US"/>
        </w:rPr>
      </w:pPr>
    </w:p>
    <w:p w14:paraId="01D253E8" w14:textId="25A4580B" w:rsidR="00320A36" w:rsidRPr="0040120E" w:rsidRDefault="00320A36" w:rsidP="00320A36">
      <w:pPr>
        <w:rPr>
          <w:rFonts w:ascii="Times New Roman" w:hAnsi="Times New Roman" w:cs="Times New Roman"/>
          <w:sz w:val="24"/>
          <w:szCs w:val="24"/>
          <w:lang w:val="en-US"/>
        </w:rPr>
      </w:pPr>
      <w:r w:rsidRPr="0040120E">
        <w:rPr>
          <w:rFonts w:ascii="Times New Roman" w:hAnsi="Times New Roman" w:cs="Times New Roman"/>
          <w:sz w:val="24"/>
          <w:szCs w:val="24"/>
          <w:lang w:val="en-US"/>
        </w:rPr>
        <w:t>Acknowledgments</w:t>
      </w:r>
      <w:r>
        <w:rPr>
          <w:rFonts w:ascii="Times New Roman" w:hAnsi="Times New Roman" w:cs="Times New Roman"/>
          <w:sz w:val="24"/>
          <w:szCs w:val="24"/>
          <w:lang w:val="en-US"/>
        </w:rPr>
        <w:t xml:space="preserve">: </w:t>
      </w:r>
      <w:r w:rsidRPr="0040120E">
        <w:rPr>
          <w:rFonts w:ascii="Times New Roman" w:hAnsi="Times New Roman" w:cs="Times New Roman"/>
          <w:sz w:val="24"/>
          <w:szCs w:val="24"/>
          <w:lang w:val="en-US"/>
        </w:rPr>
        <w:t xml:space="preserve">The authors would like to thank Professor Barry Babin for his feedback on an earlier version of this </w:t>
      </w:r>
      <w:r>
        <w:rPr>
          <w:rFonts w:ascii="Times New Roman" w:hAnsi="Times New Roman" w:cs="Times New Roman"/>
          <w:sz w:val="24"/>
          <w:szCs w:val="24"/>
          <w:lang w:val="en-US"/>
        </w:rPr>
        <w:t>paper</w:t>
      </w:r>
      <w:r w:rsidRPr="0040120E">
        <w:rPr>
          <w:rFonts w:ascii="Times New Roman" w:hAnsi="Times New Roman" w:cs="Times New Roman"/>
          <w:sz w:val="24"/>
          <w:szCs w:val="24"/>
          <w:lang w:val="en-US"/>
        </w:rPr>
        <w:t>.</w:t>
      </w:r>
    </w:p>
    <w:p w14:paraId="2D1B9083" w14:textId="77797BBB" w:rsidR="00E71731" w:rsidRPr="0040120E" w:rsidRDefault="00E71731">
      <w:pPr>
        <w:rPr>
          <w:rFonts w:ascii="Times New Roman" w:eastAsia="Times New Roman" w:hAnsi="Times New Roman" w:cs="Times New Roman"/>
          <w:b/>
          <w:sz w:val="28"/>
          <w:szCs w:val="24"/>
          <w:lang w:val="en-GB" w:eastAsia="en-GB"/>
        </w:rPr>
      </w:pPr>
      <w:r w:rsidRPr="0040120E">
        <w:rPr>
          <w:b/>
          <w:sz w:val="28"/>
          <w:lang w:val="en-GB"/>
        </w:rPr>
        <w:br w:type="page"/>
      </w:r>
    </w:p>
    <w:p w14:paraId="228434F2" w14:textId="77777777" w:rsidR="00DF5D20" w:rsidRPr="0040120E" w:rsidRDefault="00DF5D20" w:rsidP="00E2048B">
      <w:pPr>
        <w:pStyle w:val="Abstract"/>
        <w:rPr>
          <w:b/>
          <w:sz w:val="28"/>
        </w:rPr>
      </w:pPr>
      <w:r w:rsidRPr="0040120E">
        <w:rPr>
          <w:b/>
          <w:sz w:val="28"/>
        </w:rPr>
        <w:lastRenderedPageBreak/>
        <w:t xml:space="preserve">Brand heritage as a temporal perception: conceptualisation, measure and consequences </w:t>
      </w:r>
    </w:p>
    <w:p w14:paraId="0F38FA74" w14:textId="28F0373F" w:rsidR="00E2048B" w:rsidRPr="0040120E" w:rsidRDefault="00E2048B" w:rsidP="00E2048B">
      <w:pPr>
        <w:pStyle w:val="Abstract"/>
      </w:pPr>
      <w:r w:rsidRPr="0040120E">
        <w:t xml:space="preserve">This research looks at the concept of brand heritage as a branded representation of the past and its influence on cognitive and affective responses. Although numerous </w:t>
      </w:r>
      <w:r w:rsidR="00DF015E" w:rsidRPr="0040120E">
        <w:t xml:space="preserve">items of </w:t>
      </w:r>
      <w:r w:rsidRPr="0040120E">
        <w:t xml:space="preserve">research mention brand heritage, </w:t>
      </w:r>
      <w:r w:rsidR="00DF015E" w:rsidRPr="0040120E">
        <w:t xml:space="preserve">the subject </w:t>
      </w:r>
      <w:r w:rsidR="00EC0ADF" w:rsidRPr="0040120E">
        <w:t>still lacks conceptual clarity</w:t>
      </w:r>
      <w:r w:rsidRPr="0040120E">
        <w:t xml:space="preserve">. This paper aims to address </w:t>
      </w:r>
      <w:r w:rsidR="00EC0ADF" w:rsidRPr="0040120E">
        <w:t>this</w:t>
      </w:r>
      <w:r w:rsidRPr="0040120E">
        <w:t xml:space="preserve"> </w:t>
      </w:r>
      <w:r w:rsidR="00EC0ADF" w:rsidRPr="0040120E">
        <w:t>gap and to build a scale measuring its perception by consumers</w:t>
      </w:r>
      <w:r w:rsidRPr="0040120E">
        <w:t>. The literature review leads to a conceptualisation of brand heritage as the perception of a brand’s temporal management. Then</w:t>
      </w:r>
      <w:r w:rsidR="00917778" w:rsidRPr="0040120E">
        <w:t>,</w:t>
      </w:r>
      <w:r w:rsidRPr="0040120E">
        <w:t xml:space="preserve"> one qualitative and three quantitative studies facilitate the emergence and validate a three-dimensional scale of perceived brand heritage. A model demonstrates how brand heritage enhances brand credibility and personal nostalgia. This paper contributes to the apprehension of change and continuity in brand management, with potential extensions to </w:t>
      </w:r>
      <w:r w:rsidR="00EC0ADF" w:rsidRPr="0040120E">
        <w:t>other disciplines</w:t>
      </w:r>
      <w:r w:rsidRPr="0040120E">
        <w:t>.</w:t>
      </w:r>
    </w:p>
    <w:p w14:paraId="3B4EAFCA" w14:textId="55E2BA77" w:rsidR="00EC0ADF" w:rsidRPr="0040120E" w:rsidRDefault="00EC0ADF" w:rsidP="00EC0ADF">
      <w:pPr>
        <w:pStyle w:val="Keywords"/>
      </w:pPr>
      <w:r w:rsidRPr="0040120E">
        <w:t>Summary Statement of Contribution: This paper defines brand heritage as a purely temporal concept and builds a measurement scale in line with this conceptualisation. This is a contribution to the research on the management of the temporal dimension of brands. It can facilitate further empirical work on brand heritage. It can be adapted to other objects that are not brands in interdisciplinary research.</w:t>
      </w:r>
    </w:p>
    <w:p w14:paraId="17ECEB84" w14:textId="0ED452FD" w:rsidR="00E2048B" w:rsidRPr="0040120E" w:rsidRDefault="00E2048B" w:rsidP="00E2048B">
      <w:pPr>
        <w:pStyle w:val="Keywords"/>
      </w:pPr>
      <w:r w:rsidRPr="0040120E">
        <w:t>Keywords: brand heritage;</w:t>
      </w:r>
      <w:r w:rsidR="00EC0ADF" w:rsidRPr="0040120E">
        <w:t xml:space="preserve"> timelessness; credibility</w:t>
      </w:r>
      <w:r w:rsidRPr="0040120E">
        <w:t>; personal nostalgia; measurement scale;</w:t>
      </w:r>
      <w:r w:rsidR="00EC0ADF" w:rsidRPr="0040120E">
        <w:t xml:space="preserve"> </w:t>
      </w:r>
      <w:r w:rsidR="009232BC" w:rsidRPr="0040120E">
        <w:t>s</w:t>
      </w:r>
      <w:r w:rsidR="00EC0ADF" w:rsidRPr="0040120E">
        <w:t xml:space="preserve">tructural </w:t>
      </w:r>
      <w:r w:rsidR="009232BC" w:rsidRPr="0040120E">
        <w:t>e</w:t>
      </w:r>
      <w:r w:rsidR="00EC0ADF" w:rsidRPr="0040120E">
        <w:t xml:space="preserve">quation </w:t>
      </w:r>
      <w:r w:rsidR="005C0C58" w:rsidRPr="0040120E">
        <w:t>m</w:t>
      </w:r>
      <w:r w:rsidR="00EC0ADF" w:rsidRPr="0040120E">
        <w:t>odelling</w:t>
      </w:r>
    </w:p>
    <w:p w14:paraId="12F0AB96" w14:textId="29B94CB1" w:rsidR="00882FE9" w:rsidRPr="0040120E" w:rsidRDefault="00E2048B" w:rsidP="00E23412">
      <w:pPr>
        <w:tabs>
          <w:tab w:val="center" w:pos="4536"/>
          <w:tab w:val="left" w:pos="4935"/>
        </w:tabs>
        <w:spacing w:line="480" w:lineRule="auto"/>
        <w:jc w:val="both"/>
        <w:rPr>
          <w:rFonts w:ascii="Times New Roman" w:hAnsi="Times New Roman" w:cs="Times New Roman"/>
          <w:b/>
          <w:sz w:val="24"/>
          <w:szCs w:val="24"/>
          <w:lang w:val="en-GB"/>
        </w:rPr>
      </w:pPr>
      <w:r w:rsidRPr="0040120E">
        <w:rPr>
          <w:rFonts w:ascii="Times New Roman" w:hAnsi="Times New Roman" w:cs="Times New Roman"/>
          <w:b/>
          <w:sz w:val="24"/>
          <w:szCs w:val="24"/>
          <w:lang w:val="en-GB"/>
        </w:rPr>
        <w:t>I</w:t>
      </w:r>
      <w:r w:rsidR="00882FE9" w:rsidRPr="0040120E">
        <w:rPr>
          <w:rFonts w:ascii="Times New Roman" w:hAnsi="Times New Roman" w:cs="Times New Roman"/>
          <w:b/>
          <w:sz w:val="24"/>
          <w:szCs w:val="24"/>
          <w:lang w:val="en-GB"/>
        </w:rPr>
        <w:t>ntroduction</w:t>
      </w:r>
    </w:p>
    <w:p w14:paraId="27F0043E" w14:textId="09625515" w:rsidR="009071EA" w:rsidRPr="0040120E" w:rsidRDefault="00C335DA" w:rsidP="003C144A">
      <w:pPr>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In The Leopard, Lampedusa writes the famous quote: “If we want things to stay as they are, things will have to change”. Although it was not the intention, this maxim seems to apply well to some managers who work hard to adapt their brands to new trends, but work even harder to camouflage these changes behind an overall impression of continuity. Playing with consumers’ perception, they anchor their brand in an omni-temporal dimension (Balmer, 2011). Perceptions of change and continuity make our experience of time, and have an important role in consumer psychology</w:t>
      </w:r>
      <w:r w:rsidR="00BC4D32" w:rsidRPr="0040120E">
        <w:rPr>
          <w:rFonts w:ascii="Times New Roman" w:hAnsi="Times New Roman" w:cs="Times New Roman"/>
          <w:sz w:val="24"/>
          <w:szCs w:val="24"/>
          <w:lang w:val="en-GB"/>
        </w:rPr>
        <w:t xml:space="preserve"> </w:t>
      </w:r>
      <w:r w:rsidR="00BC4D32"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{"citationItems":[{"id":"ITEM-1","itemData":{"DOI":"10.1086/208558","ISBN":"00935301","ISSN":"00935301","PMID":"4656946","abstract":"Used a phenomenological approach to study the temporal system of consumers. Two patterns of temporal attitude with different implications for consumer behavior were identified from interviews with 15 adults (aged 28–50 yrs). Some Ss seemed to live and act as if they were more subject to deterministic functioning in relation to their temporal orientation, while others appeared subject to voluntaristic functioning. Thus, different temporal orientations may induce different motivations, different plans, the consumption of different types of products, and different specific attitudes that elicit a certain organizational process in relation to products. Results are discussed in relation to a proposed model of the cognitive temporal system.","author":[{"dropping-particle":"","family":"Bergadaa","given":"Michelle M.","non-dropping-particle":"","parse-names":false,"suffix":""}],"container-title":"Journal of Consumer Research","id":"ITEM-1","issue":"3","issued":{"date-parts":[["1990"]]},"page":"289","title":"The Role of Time in the Action of the Consumer","type":"article-journal","volume":"17"},"uris":["http://www.mendeley.com/documents/?uuid=b0fa0f1e-28f2-4bda-83cb-2594f8e741c0"]}],"mendeley":{"formattedCitation":"(Bergadaa, 1990)","plainTextFormattedCitation":"(Bergadaa, 1990)","previouslyFormattedCitation":"(Bergadaa, 1990)"},"properties":{"noteIndex":0},"schema":"https://github.com/citation-style-language/schema/raw/master/csl-citation.json"}</w:instrText>
      </w:r>
      <w:r w:rsidR="00BC4D32" w:rsidRPr="0040120E">
        <w:rPr>
          <w:rFonts w:ascii="Times New Roman" w:hAnsi="Times New Roman" w:cs="Times New Roman"/>
          <w:sz w:val="24"/>
          <w:szCs w:val="24"/>
          <w:lang w:val="en-GB"/>
        </w:rPr>
        <w:fldChar w:fldCharType="separate"/>
      </w:r>
      <w:r w:rsidR="0044405A" w:rsidRPr="0040120E">
        <w:rPr>
          <w:rFonts w:ascii="Times New Roman" w:hAnsi="Times New Roman" w:cs="Times New Roman"/>
          <w:noProof/>
          <w:sz w:val="24"/>
          <w:szCs w:val="24"/>
          <w:lang w:val="en-GB"/>
        </w:rPr>
        <w:t>(Bergadaa, 1990)</w:t>
      </w:r>
      <w:r w:rsidR="00BC4D32" w:rsidRPr="0040120E">
        <w:rPr>
          <w:rFonts w:ascii="Times New Roman" w:hAnsi="Times New Roman" w:cs="Times New Roman"/>
          <w:sz w:val="24"/>
          <w:szCs w:val="24"/>
          <w:lang w:val="en-GB"/>
        </w:rPr>
        <w:fldChar w:fldCharType="end"/>
      </w:r>
      <w:r w:rsidR="00BC4D32" w:rsidRPr="0040120E">
        <w:rPr>
          <w:rFonts w:ascii="Times New Roman" w:hAnsi="Times New Roman" w:cs="Times New Roman"/>
          <w:sz w:val="24"/>
          <w:szCs w:val="24"/>
          <w:lang w:val="en-GB"/>
        </w:rPr>
        <w:t xml:space="preserve">. </w:t>
      </w:r>
      <w:r w:rsidR="0044405A" w:rsidRPr="0040120E">
        <w:rPr>
          <w:rFonts w:ascii="Times New Roman" w:hAnsi="Times New Roman" w:cs="Times New Roman"/>
          <w:sz w:val="24"/>
          <w:szCs w:val="24"/>
          <w:lang w:val="en-GB"/>
        </w:rPr>
        <w:t xml:space="preserve">Our research aims to contribute to this field by focusing on </w:t>
      </w:r>
      <w:r w:rsidR="00E424F3" w:rsidRPr="0040120E">
        <w:rPr>
          <w:rFonts w:ascii="Times New Roman" w:hAnsi="Times New Roman" w:cs="Times New Roman"/>
          <w:sz w:val="24"/>
          <w:szCs w:val="24"/>
          <w:lang w:val="en-GB"/>
        </w:rPr>
        <w:t xml:space="preserve">consumer </w:t>
      </w:r>
      <w:r w:rsidR="0044405A" w:rsidRPr="0040120E">
        <w:rPr>
          <w:rFonts w:ascii="Times New Roman" w:hAnsi="Times New Roman" w:cs="Times New Roman"/>
          <w:sz w:val="24"/>
          <w:szCs w:val="24"/>
          <w:lang w:val="en-GB"/>
        </w:rPr>
        <w:t>perception of brand heritage</w:t>
      </w:r>
      <w:r w:rsidR="00E424F3" w:rsidRPr="0040120E">
        <w:rPr>
          <w:rFonts w:ascii="Times New Roman" w:hAnsi="Times New Roman" w:cs="Times New Roman"/>
          <w:sz w:val="24"/>
          <w:szCs w:val="24"/>
          <w:lang w:val="en-GB"/>
        </w:rPr>
        <w:t xml:space="preserve"> salience in brand-related stimuli. We define brand heritage</w:t>
      </w:r>
      <w:r w:rsidR="0044405A" w:rsidRPr="0040120E">
        <w:rPr>
          <w:rFonts w:ascii="Times New Roman" w:hAnsi="Times New Roman" w:cs="Times New Roman"/>
          <w:sz w:val="24"/>
          <w:szCs w:val="24"/>
          <w:lang w:val="en-GB"/>
        </w:rPr>
        <w:t xml:space="preserve"> as a </w:t>
      </w:r>
      <w:r w:rsidR="00240CE4" w:rsidRPr="0040120E">
        <w:rPr>
          <w:rFonts w:ascii="Times New Roman" w:hAnsi="Times New Roman" w:cs="Times New Roman"/>
          <w:sz w:val="24"/>
          <w:szCs w:val="24"/>
          <w:lang w:val="en-GB"/>
        </w:rPr>
        <w:t xml:space="preserve">branded </w:t>
      </w:r>
      <w:r w:rsidR="0044405A" w:rsidRPr="0040120E">
        <w:rPr>
          <w:rFonts w:ascii="Times New Roman" w:hAnsi="Times New Roman" w:cs="Times New Roman"/>
          <w:sz w:val="24"/>
          <w:szCs w:val="24"/>
          <w:lang w:val="en-GB"/>
        </w:rPr>
        <w:t>representation of the past</w:t>
      </w:r>
      <w:r w:rsidR="00240CE4" w:rsidRPr="0040120E">
        <w:rPr>
          <w:rFonts w:ascii="Times New Roman" w:hAnsi="Times New Roman" w:cs="Times New Roman"/>
          <w:sz w:val="24"/>
          <w:szCs w:val="24"/>
          <w:lang w:val="en-GB"/>
        </w:rPr>
        <w:t xml:space="preserve">, </w:t>
      </w:r>
      <w:r w:rsidR="00592010" w:rsidRPr="0040120E">
        <w:rPr>
          <w:rFonts w:ascii="Times New Roman" w:hAnsi="Times New Roman" w:cs="Times New Roman"/>
          <w:sz w:val="24"/>
          <w:szCs w:val="24"/>
          <w:lang w:val="en-GB"/>
        </w:rPr>
        <w:t>unifying</w:t>
      </w:r>
      <w:r w:rsidR="00240CE4" w:rsidRPr="0040120E">
        <w:rPr>
          <w:rFonts w:ascii="Times New Roman" w:hAnsi="Times New Roman" w:cs="Times New Roman"/>
          <w:sz w:val="24"/>
          <w:szCs w:val="24"/>
          <w:lang w:val="en-GB"/>
        </w:rPr>
        <w:t xml:space="preserve"> past, present and future timeframes</w:t>
      </w:r>
      <w:r w:rsidR="0044405A" w:rsidRPr="0040120E">
        <w:rPr>
          <w:rFonts w:ascii="Times New Roman" w:hAnsi="Times New Roman" w:cs="Times New Roman"/>
          <w:sz w:val="24"/>
          <w:szCs w:val="24"/>
          <w:lang w:val="en-GB"/>
        </w:rPr>
        <w:t xml:space="preserve"> </w:t>
      </w:r>
      <w:r w:rsidR="0044405A" w:rsidRPr="0040120E">
        <w:rPr>
          <w:rFonts w:ascii="Times New Roman" w:hAnsi="Times New Roman" w:cs="Times New Roman"/>
          <w:sz w:val="24"/>
          <w:szCs w:val="24"/>
          <w:lang w:val="en-GB"/>
        </w:rPr>
        <w:lastRenderedPageBreak/>
        <w:fldChar w:fldCharType="begin" w:fldLock="1"/>
      </w:r>
      <w:r w:rsidR="00240CE4" w:rsidRPr="0040120E">
        <w:rPr>
          <w:rFonts w:ascii="Times New Roman" w:hAnsi="Times New Roman" w:cs="Times New Roman"/>
          <w:sz w:val="24"/>
          <w:szCs w:val="24"/>
          <w:lang w:val="en-GB"/>
        </w:rPr>
        <w:instrText>ADDIN CSL_CITATION {"citationItems":[{"id":"ITEM-1","itemData":{"DOI":"10.1057/palgrave.bm.2550106","ISBN":"1350231X","ISSN":"1350-231X","PMID":"26435846","abstract":"This paper articulates a concept of ‚Äòheritage brands‚Äô,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marketing.","author":[{"dropping-particle":"","family":"Urde","given":"Mats","non-dropping-particle":"","parse-names":false,"suffix":""},{"dropping-particle":"","family":"Greyser","given":"Stephen A","non-dropping-particle":"","parse-names":false,"suffix":""},{"dropping-particle":"","family":"Balmer","given":"John M T","non-dropping-particle":"","parse-names":false,"suffix":""}],"container-title":"Journal of Brand Management","id":"ITEM-1","issue":"1","issued":{"date-parts":[["2007"]]},"page":"4-19","title":"Corporate brands with a heritage","type":"article-journal","volume":"15"},"uris":["http://www.mendeley.com/documents/?uuid=867ee612-ee86-40d1-9ceb-f12530b951e9"]},{"id":"ITEM-2","itemData":{"DOI":"10.1177/1470593118790636","ISSN":"1470-5931","author":[{"dropping-particle":"","family":"Balmer","given":"John M T","non-dropping-particle":"","parse-names":false,"suffix":""},{"dropping-particle":"","family":"Burghausen","given":"Mario","non-dropping-particle":"","parse-names":false,"suffix":""}],"container-title":"Marketing Theory","id":"ITEM-2","issue":"2","issued":{"date-parts":[["2019"]]},"page":"217-227","title":"Marketing, the past and corporate heritage","type":"article-journal","volume":"19"},"uris":["http://www.mendeley.com/documents/?uuid=907ab241-e204-4e66-ad77-a83caa1cfd3f"]},{"id":"ITEM-3","itemData":{"DOI":"10.1177/2051570717699376","ISSN":"20515707","abstract":"Researchers and practitioners talk about brand heritage even though its meaning and its difference from related concepts are not entirely clear. Through a review of the multidisciplinary literature, this article distinguishes brand heritage from the concepts of inheritance, retro, nostalgia, and authenticity. This article defines brand heritage as a dynamic construct based on an inherited or borrowed past, with a view to supporting brand identity and being transmitted. A total of 11 research propositions are presented within an inclusive framework that paves the way for future research and contributes to research on brand management and the role of consumers in creating value.","author":[{"dropping-particle":"","family":"Pecot","given":"Fabien","non-dropping-particle":"","parse-names":false,"suffix":""},{"dropping-particle":"","family":"Barnier","given":"Virginie","non-dropping-particle":"De","parse-names":false,"suffix":""}],"container-title":"Recherche et Applications en Marketing","id":"ITEM-3","issue":"4","issued":{"date-parts":[["2017"]]},"page":"72-90","title":"Brand heritage: The past in the service of brand management","type":"article-journal","volume":"32"},"uris":["http://www.mendeley.com/documents/?uuid=a711bf9f-3386-4d8e-89cc-db3d223e7749"]}],"mendeley":{"formattedCitation":"(Balmer &amp; Burghausen, 2019; Pecot &amp; De Barnier, 2017; Urde, Greyser, &amp; Balmer, 2007)","plainTextFormattedCitation":"(Balmer &amp; Burghausen, 2019; Pecot &amp; De Barnier, 2017; Urde, Greyser, &amp; Balmer, 2007)","previouslyFormattedCitation":"(Balmer &amp; Burghausen, 2019; Pecot &amp; De Barnier, 2017; Urde, Greyser, &amp; Balmer, 2007)"},"properties":{"noteIndex":0},"schema":"https://github.com/citation-style-language/schema/raw/master/csl-citation.json"}</w:instrText>
      </w:r>
      <w:r w:rsidR="0044405A" w:rsidRPr="0040120E">
        <w:rPr>
          <w:rFonts w:ascii="Times New Roman" w:hAnsi="Times New Roman" w:cs="Times New Roman"/>
          <w:sz w:val="24"/>
          <w:szCs w:val="24"/>
          <w:lang w:val="en-GB"/>
        </w:rPr>
        <w:fldChar w:fldCharType="separate"/>
      </w:r>
      <w:r w:rsidR="00240CE4" w:rsidRPr="0040120E">
        <w:rPr>
          <w:rFonts w:ascii="Times New Roman" w:hAnsi="Times New Roman" w:cs="Times New Roman"/>
          <w:noProof/>
          <w:sz w:val="24"/>
          <w:szCs w:val="24"/>
          <w:lang w:val="en-GB"/>
        </w:rPr>
        <w:t>(Balmer &amp; Burghausen, 2019; Pecot &amp; De Barnier, 2017; Urde, Greyser, &amp; Balmer, 2007)</w:t>
      </w:r>
      <w:r w:rsidR="0044405A" w:rsidRPr="0040120E">
        <w:rPr>
          <w:rFonts w:ascii="Times New Roman" w:hAnsi="Times New Roman" w:cs="Times New Roman"/>
          <w:sz w:val="24"/>
          <w:szCs w:val="24"/>
          <w:lang w:val="en-GB"/>
        </w:rPr>
        <w:fldChar w:fldCharType="end"/>
      </w:r>
      <w:r w:rsidR="0044405A" w:rsidRPr="0040120E">
        <w:rPr>
          <w:rFonts w:ascii="Times New Roman" w:hAnsi="Times New Roman" w:cs="Times New Roman"/>
          <w:sz w:val="24"/>
          <w:szCs w:val="24"/>
          <w:lang w:val="en-GB"/>
        </w:rPr>
        <w:t xml:space="preserve">. </w:t>
      </w:r>
      <w:r w:rsidR="009071EA" w:rsidRPr="0040120E">
        <w:rPr>
          <w:rFonts w:ascii="Times New Roman" w:hAnsi="Times New Roman" w:cs="Times New Roman"/>
          <w:sz w:val="24"/>
          <w:szCs w:val="24"/>
          <w:lang w:val="en-GB"/>
        </w:rPr>
        <w:t xml:space="preserve">In times of insecurity and threat, individuals tend to look at the past </w:t>
      </w:r>
      <w:r w:rsidR="009071EA"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{"citationItems":[{"id":"ITEM-1","itemData":{"DOI":"10.1016/j.jcps.2016.06.004","ISBN":"1057-7408","ISSN":"10577408","abstract":"We investigated a novel avenue for buffering against threats to meaning frameworks: vintage consumption. Although the appeal of vintage goods, defined as previously owned items from an earlier era, is strong and growing, this paper is among the first to examine the possible psychological ramifications of vintage consumption. Six studies found that vintage items mitigated the typical reactions to meaning threats. Four of these studies also showed that vintage consumption facilitates mental connections among the past, present, and future. As a result, people whose meaning structures had been threatened, for example, by being reminded of their own eventual death, preferred vintage products more than others who had not experienced a meaning threat, and more than similar non-vintage products. These findings suggest that meaning disruptions stimulate a desire for intertemporal connections, a desire that vintage products—as existing and continuing symbols of bygone eras—seem to satisfy.","author":[{"dropping-particle":"","family":"Sarial-Abi","given":"Gülen","non-dropping-particle":"","parse-names":false,"suffix":""},{"dropping-particle":"","family":"Vohs","given":"Kathleen D.","non-dropping-particle":"","parse-names":false,"suffix":""},{"dropping-particle":"","family":"Hamilton","given":"Ryan","non-dropping-particle":"","parse-names":false,"suffix":""},{"dropping-particle":"","family":"Ulqinaku","given":"Aulona","non-dropping-particle":"","parse-names":false,"suffix":""}],"container-title":"Journal of Consumer Psychology","id":"ITEM-1","issue":"2","issued":{"date-parts":[["2017"]]},"page":"182-194","publisher":"Society for Consumer Psychology","title":"Stitching time: Vintage consumption connects the past, present, and future","type":"article-journal","volume":"27"},"uris":["http://www.mendeley.com/documents/?uuid=e9cf4295-a6db-4876-b259-f43bf882ae53"]}],"mendeley":{"formattedCitation":"(Sarial-Abi, Vohs, Hamilton, &amp; Ulqinaku, 2017)","plainTextFormattedCitation":"(Sarial-Abi, Vohs, Hamilton, &amp; Ulqinaku, 2017)","previouslyFormattedCitation":"(Sarial-Abi, Vohs, Hamilton, &amp; Ulqinaku, 2017)"},"properties":{"noteIndex":0},"schema":"https://github.com/citation-style-language/schema/raw/master/csl-citation.json"}</w:instrText>
      </w:r>
      <w:r w:rsidR="009071EA"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(Sarial-Abi, Vohs, Hamilton, &amp; Ulqinaku, 2017)</w:t>
      </w:r>
      <w:r w:rsidR="009071EA" w:rsidRPr="0040120E">
        <w:rPr>
          <w:rFonts w:ascii="Times New Roman" w:hAnsi="Times New Roman" w:cs="Times New Roman"/>
          <w:sz w:val="24"/>
          <w:szCs w:val="24"/>
          <w:lang w:val="en-GB"/>
        </w:rPr>
        <w:fldChar w:fldCharType="end"/>
      </w:r>
      <w:r w:rsidR="00230F90" w:rsidRPr="0040120E">
        <w:rPr>
          <w:rFonts w:ascii="Times New Roman" w:hAnsi="Times New Roman" w:cs="Times New Roman"/>
          <w:sz w:val="24"/>
          <w:szCs w:val="24"/>
          <w:lang w:val="en-GB"/>
        </w:rPr>
        <w:t xml:space="preserve"> and indulge in retro consumption </w:t>
      </w:r>
      <w:r w:rsidR="00230F90"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{"citationItems":[{"id":"ITEM-1","itemData":{"DOI":"10.1016/S0007-6813(02)80004-0","ISBN":"00076813","ISSN":"00076813","abstract":"Mainstream marketing has become so obsessed with rigor, quantification, and scientific rectitude that it has lost sight of the importance of magic, mystery, and imagination. We need to restore the balance somewhat, and the way to do that is to take a look at the boy wizard who has captivated the hearts and minds of readers the world over-and turned marketing on its head.","author":[{"dropping-particle":"","family":"Brown","given":"Stephen","non-dropping-particle":"","parse-names":false,"suffix":""}],"container-title":"Journal of Marketing Management","id":"ITEM-1","issue":"5:6","issued":{"date-parts":[["2001"]]},"page":"463-479","title":"Marketing for muggles: The harry potter way to higher profits","type":"article-journal","volume":"17"},"uris":["http://www.mendeley.com/documents/?uuid=f079bbd5-4b43-465d-b2e6-1f964d1665b2"]}],"mendeley":{"formattedCitation":"(Brown, 2001)","plainTextFormattedCitation":"(Brown, 2001)","previouslyFormattedCitation":"(Brown, 2001)"},"properties":{"noteIndex":0},"schema":"https://github.com/citation-style-language/schema/raw/master/csl-citation.json"}</w:instrText>
      </w:r>
      <w:r w:rsidR="00230F90" w:rsidRPr="0040120E">
        <w:rPr>
          <w:rFonts w:ascii="Times New Roman" w:hAnsi="Times New Roman" w:cs="Times New Roman"/>
          <w:sz w:val="24"/>
          <w:szCs w:val="24"/>
          <w:lang w:val="en-GB"/>
        </w:rPr>
        <w:fldChar w:fldCharType="separate"/>
      </w:r>
      <w:r w:rsidR="00230F90" w:rsidRPr="0040120E">
        <w:rPr>
          <w:rFonts w:ascii="Times New Roman" w:hAnsi="Times New Roman" w:cs="Times New Roman"/>
          <w:noProof/>
          <w:sz w:val="24"/>
          <w:szCs w:val="24"/>
          <w:lang w:val="en-GB"/>
        </w:rPr>
        <w:t>(Brown, 2001)</w:t>
      </w:r>
      <w:r w:rsidR="00230F90" w:rsidRPr="0040120E">
        <w:rPr>
          <w:rFonts w:ascii="Times New Roman" w:hAnsi="Times New Roman" w:cs="Times New Roman"/>
          <w:sz w:val="24"/>
          <w:szCs w:val="24"/>
          <w:lang w:val="en-GB"/>
        </w:rPr>
        <w:fldChar w:fldCharType="end"/>
      </w:r>
      <w:r w:rsidR="00230F90" w:rsidRPr="0040120E">
        <w:rPr>
          <w:rFonts w:ascii="Times New Roman" w:hAnsi="Times New Roman" w:cs="Times New Roman"/>
          <w:sz w:val="24"/>
          <w:szCs w:val="24"/>
          <w:lang w:val="en-GB"/>
        </w:rPr>
        <w:t>. M</w:t>
      </w:r>
      <w:r w:rsidR="009071EA" w:rsidRPr="0040120E">
        <w:rPr>
          <w:rFonts w:ascii="Times New Roman" w:hAnsi="Times New Roman" w:cs="Times New Roman"/>
          <w:sz w:val="24"/>
          <w:szCs w:val="24"/>
          <w:lang w:val="en-GB"/>
        </w:rPr>
        <w:t>arketing practitioners</w:t>
      </w:r>
      <w:r w:rsidR="002D7072" w:rsidRPr="0040120E">
        <w:rPr>
          <w:rFonts w:ascii="Times New Roman" w:hAnsi="Times New Roman" w:cs="Times New Roman"/>
          <w:sz w:val="24"/>
          <w:szCs w:val="24"/>
          <w:lang w:val="en-GB"/>
        </w:rPr>
        <w:t xml:space="preserve"> </w:t>
      </w:r>
      <w:r w:rsidR="00E424F3" w:rsidRPr="0040120E">
        <w:rPr>
          <w:rFonts w:ascii="Times New Roman" w:hAnsi="Times New Roman" w:cs="Times New Roman"/>
          <w:sz w:val="24"/>
          <w:szCs w:val="24"/>
          <w:lang w:val="en-GB"/>
        </w:rPr>
        <w:t>can use brand heritage as a resource</w:t>
      </w:r>
      <w:r w:rsidR="00917778" w:rsidRPr="0040120E">
        <w:rPr>
          <w:rFonts w:ascii="Times New Roman" w:hAnsi="Times New Roman" w:cs="Times New Roman"/>
          <w:sz w:val="24"/>
          <w:szCs w:val="24"/>
          <w:lang w:val="en-GB"/>
        </w:rPr>
        <w:t>,</w:t>
      </w:r>
      <w:r w:rsidR="00E424F3" w:rsidRPr="0040120E">
        <w:rPr>
          <w:rFonts w:ascii="Times New Roman" w:hAnsi="Times New Roman" w:cs="Times New Roman"/>
          <w:sz w:val="24"/>
          <w:szCs w:val="24"/>
          <w:lang w:val="en-GB"/>
        </w:rPr>
        <w:t xml:space="preserve"> </w:t>
      </w:r>
      <w:r w:rsidR="0044405A" w:rsidRPr="0040120E">
        <w:rPr>
          <w:rFonts w:ascii="Times New Roman" w:hAnsi="Times New Roman" w:cs="Times New Roman"/>
          <w:sz w:val="24"/>
          <w:szCs w:val="24"/>
          <w:lang w:val="en-GB"/>
        </w:rPr>
        <w:t xml:space="preserve">with the intention to influence consumers’ perceptions of the temporality of the brand </w:t>
      </w:r>
      <w:r w:rsidR="0044405A"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{"citationItems":[{"id":"ITEM-1","itemData":{"DOI":"10.1108/03090561111151817","ISBN":"1061042111","ISSN":"0309-0566","PMID":"42012058","abstract":"Purpose – This article scrutinises the nature and salience of corporate heritage identities via the lens of the British Monarchy. A corporate heritage identity framework is introduced. The heritage identity construct is positioned vis-a-vis other related constructs such as nostalgia, tradition, and custom. Design/methodology/approach – An embedded case study informed by desktop research and a literature review of the British Monarchy and by an empirical-collaborative study on the Swedish Monarchy. The paper is also informed by the literature on heritage and other historically-related constructs. Findings – The notion of relative invariance is introduced. The latter is important since it explains why heritage identities can remain the same and yet have changed, namely: The Relative Invariance Notion. Corporate heritage identities and brands are invested with special qualities in that they are a melding of identity continuity, identity change and are also invested with the identities of time (times past, present and future). Heritage identities are an accretion of various identities, which are variously linked to institutions, places, cultures, and to time frames. The notion of Institutional Role Identities is introduced. The study suggested that heritage identities have multiple institutional role identities. These identities can be utilised in various contexts and for a variety of purposes: this might account for their strength. One explanation of why heritage identities are powerful is because they meet customer and stakeholder needs by encapsulating and, importantly, by giving identity. Heritage identities, potentially, are an important dimension of a group’s collective memory. Practical implications – A revised corporate heritage identity framework relating to the British Monarchy is introduced. The model can be adapted so as to appraise our comprehension of corporate heritage identities in more general institutional contexts. The importance of bi-lateral institutional and stakeholder trust to the framework and the need for (institution) heritage authenticity – or perceived authenticity – and stakeholder affinity are noted. Originality/value – The paper focuses on heritage identities in institutional contexts and a distinction is made between corporate heritage identities and corporate heritage brands identities. Keywords Corporate heritage identity, Corporate heritage brands, Corporatemarketing, Corporate identity, Corporate image, Corporate strateg…","author":[{"dropping-particle":"","family":"Balmer","given":"John M T","non-dropping-particle":"","parse-names":false,"suffix":""}],"container-title":"European Journal of Marketing","id":"ITEM-1","issue":"9/10","issued":{"date-parts":[["2011"]]},"page":"1380-1398","title":"Corporate heritage identities, corporate heritage brands and the multiple heritage identities of the British Monarchy","type":"article-journal","volume":"45"},"uris":["http://www.mendeley.com/documents/?uuid=07b5c0bf-c9c9-4382-a90d-1f7b26f087cb"]}],"mendeley":{"formattedCitation":"(Balmer, 2011)","plainTextFormattedCitation":"(Balmer, 2011)","previouslyFormattedCitation":"(Balmer, 2011)"},"properties":{"noteIndex":0},"schema":"https://github.com/citation-style-language/schema/raw/master/csl-citation.json"}</w:instrText>
      </w:r>
      <w:r w:rsidR="0044405A" w:rsidRPr="0040120E">
        <w:rPr>
          <w:rFonts w:ascii="Times New Roman" w:hAnsi="Times New Roman" w:cs="Times New Roman"/>
          <w:sz w:val="24"/>
          <w:szCs w:val="24"/>
          <w:lang w:val="en-GB"/>
        </w:rPr>
        <w:fldChar w:fldCharType="separate"/>
      </w:r>
      <w:r w:rsidR="0044405A" w:rsidRPr="0040120E">
        <w:rPr>
          <w:rFonts w:ascii="Times New Roman" w:hAnsi="Times New Roman" w:cs="Times New Roman"/>
          <w:noProof/>
          <w:sz w:val="24"/>
          <w:szCs w:val="24"/>
          <w:lang w:val="en-GB"/>
        </w:rPr>
        <w:t>(Balmer, 2011)</w:t>
      </w:r>
      <w:r w:rsidR="0044405A" w:rsidRPr="0040120E">
        <w:rPr>
          <w:rFonts w:ascii="Times New Roman" w:hAnsi="Times New Roman" w:cs="Times New Roman"/>
          <w:sz w:val="24"/>
          <w:szCs w:val="24"/>
          <w:lang w:val="en-GB"/>
        </w:rPr>
        <w:fldChar w:fldCharType="end"/>
      </w:r>
      <w:r w:rsidR="00387561" w:rsidRPr="0040120E">
        <w:rPr>
          <w:rFonts w:ascii="Times New Roman" w:hAnsi="Times New Roman" w:cs="Times New Roman"/>
          <w:sz w:val="24"/>
          <w:szCs w:val="24"/>
          <w:lang w:val="en-GB"/>
        </w:rPr>
        <w:t xml:space="preserve">. Research has focused on the </w:t>
      </w:r>
      <w:r w:rsidR="00E424F3" w:rsidRPr="0040120E">
        <w:rPr>
          <w:rFonts w:ascii="Times New Roman" w:hAnsi="Times New Roman" w:cs="Times New Roman"/>
          <w:sz w:val="24"/>
          <w:szCs w:val="24"/>
          <w:lang w:val="en-GB"/>
        </w:rPr>
        <w:t xml:space="preserve">way managers use this resource at a corporate and product brand level </w:t>
      </w:r>
      <w:r w:rsidR="00387561"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{"citationItems":[{"id":"ITEM-1","itemData":{"DOI":"10.1016/j.jbusres.2014.06.019","ISBN":"0320130169","ISSN":"01482963","PMID":"1554287047","abstract":"This article advances the theoretical and instrumental understanding of corporate heritage identities. This exploratory, empirical study focuses on both the nature and the relevance of corporate heritage identity as employed by managers for corporate identity management purposes. The research is undertaken within Britain's oldest brewery - one of the oldest corporate entities in Great Britain with a provenance spanning many centuries - and utilizes a qualitative and theory building case study. The research reveals two classes of management responsibilities vis-à-vis corporate heritage identity management, namely corporate heritage management activities and corporate heritage implementation strategies, which follow a particular corporate heritage identity implementation pattern identified. A normative framework synthesizes and marshals the findings. The empirical study provides insight into corporate heritage identity management and is potentially useful to both scholars and practitioners. This study advances the nascent area of corporate heritage identity management by providing empirical and theoretical insight into the salience and strategic relevance of corporate heritage identity as a resource for corporate marketing. The article provides a normative framework of actionable categories of activities related to the management and implementation of substantive corporate heritage identity dimensions. © 2014 Elsevier Inc.","author":[{"dropping-particle":"","family":"Burghausen","given":"Mario","non-dropping-particle":"","parse-names":false,"suffix":""},{"dropping-particle":"","family":"Balmer","given":"John M T","non-dropping-particle":"","parse-names":false,"suffix":""}],"container-title":"Journal of Business Research","id":"ITEM-1","issue":"11","issued":{"date-parts":[["2014"]]},"page":"2311-2323","title":"Corporate heritage identity management and the multi-modal implementation of a corporate heritage identity","type":"article-journal","volume":"67"},"uris":["http://www.mendeley.com/documents/?uuid=4546970b-afad-4b5e-ad46-1b9a2492dae0"]},{"id":"ITEM-2","itemData":{"DOI":"10.1108/03090561111151880","ISBN":"1593761139 9781593761134","ISSN":"0309-0566","PMID":"42012058","abstract":"Purpose – Brand heritage is an emerging concept within the marketing discipline, which suggests that the historical status of older companies is often explicitly linked to their brand identity and consumer appeal. The aim of this paper is to illustrate and validate this concept. Design/methodology/approach – This paper provides a profile of the Cunard Line, which offers limited evidence to support prior conceptual work by other scholars. The paper uses historical research methods to illustrate the principles of brand heritage within a specific circumstance. Findings – Heritage is central to the brand identity of Cunard and was a significant factor in the recent turnaround of the company. This paper demonstrates the nature and power of the brand heritage concept, even within a future-oriented repositioning effort. Research limitations/implications – Although the example of Cunard validates the brand heritage concept in a specific instance, it does not offer evidence that brand heritage is a universal phenomenon. Practical implications – Brand heritage should be included within the repertoires of marketing strategists and brand managers. Executives of older companies should be aware of this approach and should consider the potential to exploit heritage for competitive advantage. Originality/value – This paper offers original research to support prior conceptual scholarship on the emerging topic of brand heritage","author":[{"dropping-particle":"","family":"Hudson","given":"Bradford T.","non-dropping-particle":"","parse-names":false,"suffix":""}],"container-title":"European Journal of Marketing","id":"ITEM-2","issue":"9/10","issued":{"date-parts":[["2011"]]},"page":"1538-1556","title":"Brand heritage and the renaissance of Cunard","type":"article-journal","volume":"45"},"uris":["http://www.mendeley.com/documents/?uuid=b8fca23d-0679-499e-948e-919b1e09c0c0"]},{"id":"ITEM-3","itemData":{"DOI":"10.1016/j.jretconser.2014.09.005","ISBN":"18731384","ISSN":"09696989","abstract":"We investigate the concept of the heritage store, that is, the locations that lies at the heart of a brand's identity and history. Based on store observations and interviews with managers and sales personnel in the luxury industry, we analyze the characteristics of heritage stores and their role in the management of heritage brands. We show how managers sacralize a store's heritage to nurture the value proposition of the brand. Our analysis yields new insights into retailing, introducing the concept of the heritage store and emphasizing its sacralizalization. We outline the implications for retail marketing in developing and maintaining the sacralization of heritage stores.","author":[{"dropping-particle":"","family":"Dion","given":"Delphine","non-dropping-particle":"","parse-names":false,"suffix":""},{"dropping-particle":"","family":"Borraz","given":"Stéphane","non-dropping-particle":"","parse-names":false,"suffix":""}],"container-title":"Journal of Retailing and Consumer Services","id":"ITEM-3","issued":{"date-parts":[["2015"]]},"page":"77-84","publisher":"Elsevier","title":"Managing heritage brands: A study of the sacralization of heritage stores in the luxury industry","type":"article-journal","volume":"22"},"uris":["http://www.mendeley.com/documents/?uuid=38031673-96d9-4df5-970c-01169f90767c"]}],"mendeley":{"formattedCitation":"(Burghausen &amp; Balmer, 2014; Dion &amp; Borraz, 2015; Hudson, 2011)","plainTextFormattedCitation":"(Burghausen &amp; Balmer, 2014; Dion &amp; Borraz, 2015; Hudson, 2011)","previouslyFormattedCitation":"(Burghausen &amp; Balmer, 2014; Dion &amp; Borraz, 2015; Hudson, 2011)"},"properties":{"noteIndex":0},"schema":"https://github.com/citation-style-language/schema/raw/master/csl-citation.json"}</w:instrText>
      </w:r>
      <w:r w:rsidR="00387561"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(Burghausen &amp; Balmer, 2014; Dion &amp; Borraz, 2015; Hudson, 2011)</w:t>
      </w:r>
      <w:r w:rsidR="00387561" w:rsidRPr="0040120E">
        <w:rPr>
          <w:rFonts w:ascii="Times New Roman" w:hAnsi="Times New Roman" w:cs="Times New Roman"/>
          <w:sz w:val="24"/>
          <w:szCs w:val="24"/>
          <w:lang w:val="en-GB"/>
        </w:rPr>
        <w:fldChar w:fldCharType="end"/>
      </w:r>
      <w:r w:rsidR="00387561" w:rsidRPr="0040120E">
        <w:rPr>
          <w:rFonts w:ascii="Times New Roman" w:hAnsi="Times New Roman" w:cs="Times New Roman"/>
          <w:sz w:val="24"/>
          <w:szCs w:val="24"/>
          <w:lang w:val="en-GB"/>
        </w:rPr>
        <w:t xml:space="preserve">, </w:t>
      </w:r>
      <w:r w:rsidR="00917778" w:rsidRPr="0040120E">
        <w:rPr>
          <w:rFonts w:ascii="Times New Roman" w:hAnsi="Times New Roman" w:cs="Times New Roman"/>
          <w:sz w:val="24"/>
          <w:szCs w:val="24"/>
          <w:lang w:val="en-GB"/>
        </w:rPr>
        <w:t>while a smaller amount of</w:t>
      </w:r>
      <w:r w:rsidR="00387561" w:rsidRPr="0040120E">
        <w:rPr>
          <w:rFonts w:ascii="Times New Roman" w:hAnsi="Times New Roman" w:cs="Times New Roman"/>
          <w:sz w:val="24"/>
          <w:szCs w:val="24"/>
          <w:lang w:val="en-GB"/>
        </w:rPr>
        <w:t xml:space="preserve"> work </w:t>
      </w:r>
      <w:r w:rsidR="00917778" w:rsidRPr="0040120E">
        <w:rPr>
          <w:rFonts w:ascii="Times New Roman" w:hAnsi="Times New Roman" w:cs="Times New Roman"/>
          <w:sz w:val="24"/>
          <w:szCs w:val="24"/>
          <w:lang w:val="en-GB"/>
        </w:rPr>
        <w:t xml:space="preserve">has </w:t>
      </w:r>
      <w:r w:rsidR="00387561" w:rsidRPr="0040120E">
        <w:rPr>
          <w:rFonts w:ascii="Times New Roman" w:hAnsi="Times New Roman" w:cs="Times New Roman"/>
          <w:sz w:val="24"/>
          <w:szCs w:val="24"/>
          <w:lang w:val="en-GB"/>
        </w:rPr>
        <w:t>look</w:t>
      </w:r>
      <w:r w:rsidR="00917778" w:rsidRPr="0040120E">
        <w:rPr>
          <w:rFonts w:ascii="Times New Roman" w:hAnsi="Times New Roman" w:cs="Times New Roman"/>
          <w:sz w:val="24"/>
          <w:szCs w:val="24"/>
          <w:lang w:val="en-GB"/>
        </w:rPr>
        <w:t>ed</w:t>
      </w:r>
      <w:r w:rsidR="00387561" w:rsidRPr="0040120E">
        <w:rPr>
          <w:rFonts w:ascii="Times New Roman" w:hAnsi="Times New Roman" w:cs="Times New Roman"/>
          <w:sz w:val="24"/>
          <w:szCs w:val="24"/>
          <w:lang w:val="en-GB"/>
        </w:rPr>
        <w:t xml:space="preserve"> at the way</w:t>
      </w:r>
      <w:r w:rsidR="00E424F3" w:rsidRPr="0040120E">
        <w:rPr>
          <w:rFonts w:ascii="Times New Roman" w:hAnsi="Times New Roman" w:cs="Times New Roman"/>
          <w:sz w:val="24"/>
          <w:szCs w:val="24"/>
          <w:lang w:val="en-GB"/>
        </w:rPr>
        <w:t xml:space="preserve"> consumers perceive</w:t>
      </w:r>
      <w:r w:rsidR="00387561" w:rsidRPr="0040120E">
        <w:rPr>
          <w:rFonts w:ascii="Times New Roman" w:hAnsi="Times New Roman" w:cs="Times New Roman"/>
          <w:sz w:val="24"/>
          <w:szCs w:val="24"/>
          <w:lang w:val="en-GB"/>
        </w:rPr>
        <w:t xml:space="preserve"> </w:t>
      </w:r>
      <w:r w:rsidR="00E424F3" w:rsidRPr="0040120E">
        <w:rPr>
          <w:rFonts w:ascii="Times New Roman" w:hAnsi="Times New Roman" w:cs="Times New Roman"/>
          <w:sz w:val="24"/>
          <w:szCs w:val="24"/>
          <w:lang w:val="en-GB"/>
        </w:rPr>
        <w:t xml:space="preserve">the salience of brand heritage in branding </w:t>
      </w:r>
      <w:r w:rsidR="00387561"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{"citationItems":[{"id":"ITEM-1","itemData":{"DOI":"10.1016/j.jbusres.2015.06.021","ISBN":"0148-2963","ISSN":"01482963","abstract":"This paper examines the consequences of brand heritage. It integrates and builds on previous qualitative studies by developing a nomological network examining: (a) the consequences of brand heritage; (b) its impact on purchase intention; (c) the moderating role of regulatory goal focus and (d) the mediating role of trust, positive emotions, brand attachment and commitment. The research progresses from discovery-oriented exploration, to an experimental examination of the effect of brand heritage (Study 1), to an examination of the mediating variables between brand heritage and purchase intention (Study 2). The findings indicate that brand heritage positively impacts purchase intention, especially for consumers with a low promotion focus, and that brand heritage inspires positive emotions, engenders trust, and facilitates brand attachment and commitment. Theoretical and managerial implications are presented.","author":[{"dropping-particle":"","family":"Rose","given":"Gregory M.","non-dropping-particle":"","parse-names":false,"suffix":""},{"dropping-particle":"","family":"Merchant","given":"Altaf","non-dropping-particle":"","parse-names":false,"suffix":""},{"dropping-particle":"","family":"Orth","given":"Ulrich R.","non-dropping-particle":"","parse-names":false,"suffix":""},{"dropping-particle":"","family":"Horstmann","given":"Florian","non-dropping-particle":"","parse-names":false,"suffix":""}],"container-title":"Journal of Business Research","id":"ITEM-1","issue":"2","issued":{"date-parts":[["2016"]]},"page":"936-943","publisher":"Elsevier B.V.","title":"Emphasizing brand heritage: Does it work? And how?","type":"article-journal","volume":"69"},"uris":["http://www.mendeley.com/documents/?uuid=0941100a-95d7-462c-8c09-12200fa1c359"]},{"id":"ITEM-2","itemData":{"DOI":"10.2753/MTP1069-6679190206","ISBN":"1069667919","ISSN":"1069-6679","PMID":"857424246","abstract":"Heritage brands stand for longevity and sustainability, as proof that the core values and performance of the given products are reliable. Focusing on the automotive industry, the aim of the present study is to analyze the drivers and outcomes of brand heritage, focusing on the functions of the brand as perceived by consumers. To explore the perceived values and outcomes of heritage brands, we present the methodology and the results of our empirical study using a partial least squares–based path modeling approach. Our results show the significant effects of brand heritage on consumers’ attitudes and behaviors related to the given brand.","author":[{"dropping-particle":"","family":"Wiedmann","given":"Klaus-Peter","non-dropping-particle":"","parse-names":false,"suffix":""},{"dropping-particle":"","family":"Hennigs","given":"Nadine","non-dropping-particle":"","parse-names":false,"suffix":""},{"dropping-particle":"","family":"Schmidt","given":"Steffen","non-dropping-particle":"","parse-names":false,"suffix":""},{"dropping-particle":"","family":"Wuestefeld","given":"Thomas","non-dropping-particle":"","parse-names":false,"suffix":""}],"container-title":"The Journal of Marketing Theory and Practice","id":"ITEM-2","issue":"2","issued":{"date-parts":[["2011"]]},"page":"205-220","title":"Drivers and Outcomes of Brand Heritage: Consumers' Perception of Heritage Brands in the Automotive Industry","type":"article-journal","volume":"19"},"uris":["http://www.mendeley.com/documents/?uuid=3ddff792-56e2-432a-81b1-55bbd86b5d5a"]}],"mendeley":{"formattedCitation":"(Rose, Merchant, Orth, &amp; Horstmann, 2016; Wiedmann, Hennigs, Schmidt, &amp; Wuestefeld, 2011)","plainTextFormattedCitation":"(Rose, Merchant, Orth, &amp; Horstmann, 2016; Wiedmann, Hennigs, Schmidt, &amp; Wuestefeld, 2011)","previouslyFormattedCitation":"(Rose, Merchant, Orth, &amp; Horstmann, 2016; Wiedmann, Hennigs, Schmidt, &amp; Wuestefeld, 2011)"},"properties":{"noteIndex":0},"schema":"https://github.com/citation-style-language/schema/raw/master/csl-citation.json"}</w:instrText>
      </w:r>
      <w:r w:rsidR="00387561"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(Rose, Merchant, Orth, &amp; Horstmann, 2016; Wiedmann, Hennigs, Schmidt, &amp; Wuestefeld, 2011)</w:t>
      </w:r>
      <w:r w:rsidR="00387561" w:rsidRPr="0040120E">
        <w:rPr>
          <w:rFonts w:ascii="Times New Roman" w:hAnsi="Times New Roman" w:cs="Times New Roman"/>
          <w:sz w:val="24"/>
          <w:szCs w:val="24"/>
          <w:lang w:val="en-GB"/>
        </w:rPr>
        <w:fldChar w:fldCharType="end"/>
      </w:r>
      <w:r w:rsidR="00387561" w:rsidRPr="0040120E">
        <w:rPr>
          <w:rFonts w:ascii="Times New Roman" w:hAnsi="Times New Roman" w:cs="Times New Roman"/>
          <w:sz w:val="24"/>
          <w:szCs w:val="24"/>
          <w:lang w:val="en-GB"/>
        </w:rPr>
        <w:t>.</w:t>
      </w:r>
      <w:r w:rsidR="00984697" w:rsidRPr="0040120E">
        <w:rPr>
          <w:rFonts w:ascii="Times New Roman" w:hAnsi="Times New Roman" w:cs="Times New Roman"/>
          <w:sz w:val="24"/>
          <w:szCs w:val="24"/>
          <w:lang w:val="en-GB"/>
        </w:rPr>
        <w:t xml:space="preserve"> </w:t>
      </w:r>
      <w:r w:rsidR="009071EA" w:rsidRPr="0040120E">
        <w:rPr>
          <w:rFonts w:ascii="Times New Roman" w:hAnsi="Times New Roman" w:cs="Times New Roman"/>
          <w:sz w:val="24"/>
          <w:szCs w:val="24"/>
          <w:lang w:val="en-GB"/>
        </w:rPr>
        <w:t xml:space="preserve">Most importantly, </w:t>
      </w:r>
      <w:r w:rsidR="00984697" w:rsidRPr="0040120E">
        <w:rPr>
          <w:rFonts w:ascii="Times New Roman" w:hAnsi="Times New Roman" w:cs="Times New Roman"/>
          <w:sz w:val="24"/>
          <w:szCs w:val="24"/>
          <w:lang w:val="en-GB"/>
        </w:rPr>
        <w:t>existing work</w:t>
      </w:r>
      <w:r w:rsidR="002F72A0" w:rsidRPr="0040120E">
        <w:rPr>
          <w:rFonts w:ascii="Times New Roman" w:hAnsi="Times New Roman" w:cs="Times New Roman"/>
          <w:sz w:val="24"/>
          <w:szCs w:val="24"/>
          <w:lang w:val="en-GB"/>
        </w:rPr>
        <w:t>s</w:t>
      </w:r>
      <w:r w:rsidR="00984697" w:rsidRPr="0040120E">
        <w:rPr>
          <w:rFonts w:ascii="Times New Roman" w:hAnsi="Times New Roman" w:cs="Times New Roman"/>
          <w:sz w:val="24"/>
          <w:szCs w:val="24"/>
          <w:lang w:val="en-GB"/>
        </w:rPr>
        <w:t xml:space="preserve"> on the perception </w:t>
      </w:r>
      <w:r w:rsidR="009071EA" w:rsidRPr="0040120E">
        <w:rPr>
          <w:rFonts w:ascii="Times New Roman" w:hAnsi="Times New Roman" w:cs="Times New Roman"/>
          <w:sz w:val="24"/>
          <w:szCs w:val="24"/>
          <w:lang w:val="en-GB"/>
        </w:rPr>
        <w:t xml:space="preserve">are not </w:t>
      </w:r>
      <w:r w:rsidR="000C749D" w:rsidRPr="0040120E">
        <w:rPr>
          <w:rFonts w:ascii="Times New Roman" w:hAnsi="Times New Roman" w:cs="Times New Roman"/>
          <w:sz w:val="24"/>
          <w:szCs w:val="24"/>
          <w:lang w:val="en-GB"/>
        </w:rPr>
        <w:t xml:space="preserve">always </w:t>
      </w:r>
      <w:r w:rsidR="009071EA" w:rsidRPr="0040120E">
        <w:rPr>
          <w:rFonts w:ascii="Times New Roman" w:hAnsi="Times New Roman" w:cs="Times New Roman"/>
          <w:sz w:val="24"/>
          <w:szCs w:val="24"/>
          <w:lang w:val="en-GB"/>
        </w:rPr>
        <w:t>clear at a conceptual level</w:t>
      </w:r>
      <w:r w:rsidR="002F72A0" w:rsidRPr="0040120E">
        <w:rPr>
          <w:rFonts w:ascii="Times New Roman" w:hAnsi="Times New Roman" w:cs="Times New Roman"/>
          <w:sz w:val="24"/>
          <w:szCs w:val="24"/>
          <w:lang w:val="en-GB"/>
        </w:rPr>
        <w:t>,</w:t>
      </w:r>
      <w:r w:rsidR="009071EA" w:rsidRPr="0040120E">
        <w:rPr>
          <w:rFonts w:ascii="Times New Roman" w:hAnsi="Times New Roman" w:cs="Times New Roman"/>
          <w:sz w:val="24"/>
          <w:szCs w:val="24"/>
          <w:lang w:val="en-GB"/>
        </w:rPr>
        <w:t xml:space="preserve"> </w:t>
      </w:r>
      <w:r w:rsidR="00652C89" w:rsidRPr="0040120E">
        <w:rPr>
          <w:rFonts w:ascii="Times New Roman" w:hAnsi="Times New Roman" w:cs="Times New Roman"/>
          <w:sz w:val="24"/>
          <w:szCs w:val="24"/>
          <w:lang w:val="en-GB"/>
        </w:rPr>
        <w:t>regarding</w:t>
      </w:r>
      <w:r w:rsidR="009071EA" w:rsidRPr="0040120E">
        <w:rPr>
          <w:rFonts w:ascii="Times New Roman" w:hAnsi="Times New Roman" w:cs="Times New Roman"/>
          <w:sz w:val="24"/>
          <w:szCs w:val="24"/>
          <w:lang w:val="en-GB"/>
        </w:rPr>
        <w:t xml:space="preserve"> </w:t>
      </w:r>
      <w:r w:rsidR="00984697" w:rsidRPr="0040120E">
        <w:rPr>
          <w:rFonts w:ascii="Times New Roman" w:hAnsi="Times New Roman" w:cs="Times New Roman"/>
          <w:sz w:val="24"/>
          <w:szCs w:val="24"/>
          <w:lang w:val="en-GB"/>
        </w:rPr>
        <w:t>the</w:t>
      </w:r>
      <w:r w:rsidR="009071EA" w:rsidRPr="0040120E">
        <w:rPr>
          <w:rFonts w:ascii="Times New Roman" w:hAnsi="Times New Roman" w:cs="Times New Roman"/>
          <w:sz w:val="24"/>
          <w:szCs w:val="24"/>
          <w:lang w:val="en-GB"/>
        </w:rPr>
        <w:t xml:space="preserve"> </w:t>
      </w:r>
      <w:r w:rsidR="00984697" w:rsidRPr="0040120E">
        <w:rPr>
          <w:rFonts w:ascii="Times New Roman" w:hAnsi="Times New Roman" w:cs="Times New Roman"/>
          <w:sz w:val="24"/>
          <w:szCs w:val="24"/>
          <w:lang w:val="en-GB"/>
        </w:rPr>
        <w:t>difference of brand heritage</w:t>
      </w:r>
      <w:r w:rsidR="009071EA" w:rsidRPr="0040120E">
        <w:rPr>
          <w:rFonts w:ascii="Times New Roman" w:hAnsi="Times New Roman" w:cs="Times New Roman"/>
          <w:sz w:val="24"/>
          <w:szCs w:val="24"/>
          <w:lang w:val="en-GB"/>
        </w:rPr>
        <w:t xml:space="preserve"> </w:t>
      </w:r>
      <w:r w:rsidR="005C0C58" w:rsidRPr="0040120E">
        <w:rPr>
          <w:rFonts w:ascii="Times New Roman" w:hAnsi="Times New Roman" w:cs="Times New Roman"/>
          <w:sz w:val="24"/>
          <w:szCs w:val="24"/>
          <w:lang w:val="en-GB"/>
        </w:rPr>
        <w:t xml:space="preserve">to </w:t>
      </w:r>
      <w:r w:rsidR="009071EA" w:rsidRPr="0040120E">
        <w:rPr>
          <w:rFonts w:ascii="Times New Roman" w:hAnsi="Times New Roman" w:cs="Times New Roman"/>
          <w:sz w:val="24"/>
          <w:szCs w:val="24"/>
          <w:lang w:val="en-GB"/>
        </w:rPr>
        <w:t>brand authenticity or nostalgia. This</w:t>
      </w:r>
      <w:r w:rsidR="00652C89" w:rsidRPr="0040120E">
        <w:rPr>
          <w:rFonts w:ascii="Times New Roman" w:hAnsi="Times New Roman" w:cs="Times New Roman"/>
          <w:sz w:val="24"/>
          <w:szCs w:val="24"/>
          <w:lang w:val="en-GB"/>
        </w:rPr>
        <w:t xml:space="preserve"> lack of </w:t>
      </w:r>
      <w:r w:rsidR="009071EA" w:rsidRPr="0040120E">
        <w:rPr>
          <w:rFonts w:ascii="Times New Roman" w:hAnsi="Times New Roman" w:cs="Times New Roman"/>
          <w:sz w:val="24"/>
          <w:szCs w:val="24"/>
          <w:lang w:val="en-GB"/>
        </w:rPr>
        <w:t xml:space="preserve">conceptual </w:t>
      </w:r>
      <w:r w:rsidR="00652C89" w:rsidRPr="0040120E">
        <w:rPr>
          <w:rFonts w:ascii="Times New Roman" w:hAnsi="Times New Roman" w:cs="Times New Roman"/>
          <w:sz w:val="24"/>
          <w:szCs w:val="24"/>
          <w:lang w:val="en-GB"/>
        </w:rPr>
        <w:t xml:space="preserve">precision </w:t>
      </w:r>
      <w:r w:rsidR="009071EA" w:rsidRPr="0040120E">
        <w:rPr>
          <w:rFonts w:ascii="Times New Roman" w:hAnsi="Times New Roman" w:cs="Times New Roman"/>
          <w:sz w:val="24"/>
          <w:szCs w:val="24"/>
          <w:lang w:val="en-GB"/>
        </w:rPr>
        <w:t xml:space="preserve">can lead to measurement issues of construct validity, statistical conclusion validity, and internal validity </w:t>
      </w:r>
      <w:r w:rsidR="009071EA"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{"citationItems":[{"id":"ITEM-1","itemData":{"DOI":"10.1177/0092070303254130","ISBN":"1040-3590","ISSN":"0033-2941","PMID":"21859901","abstract":"This article presents the Religious Schema Scale (RSS). Its conceptual background is the model of religious styles. After a conceptual discussion of the relation between religious styles and religious schemata, the steps of scale construction are reported. Based on 822 responses from research participants in the United States and Germany to a preliminary 78-item version, we used construct-oriented iterative and factor-analytic procedures for reducing the RSS to a 15-item version that consists of three 5-item subscales with acceptable reliabilities. Confirmatory factor analysis indicates that the RSS has a robust 3-factor structure, which is cross-culturally valid in both the United States and Germany. We report correlations of the RSS with the Big Five, Psychological Well-Being, Religious Fundamentalism, and Right-Wing Authoritarianism. We also present predictive characteristics of the RSS in regard to Fowler's stages of faith. Finally, we report results on the incremental validity of the RSS.","author":[{"dropping-particle":"","family":"MacKenzie","given":"Scott B.","non-dropping-particle":"","parse-names":false,"suffix":""}],"container-title":"Journal of the Academy of Marketing Science","id":"ITEM-1","issue":"3","issued":{"date-parts":[["2003"]]},"page":"323-326","title":"The Dangers of Poor Construct Conceptualization","type":"article-journal","volume":"31"},"uris":["http://www.mendeley.com/documents/?uuid=ce674efd-a033-4f22-bc69-355d1dd7461c"]}],"mendeley":{"formattedCitation":"(MacKenzie, 2003)","plainTextFormattedCitation":"(MacKenzie, 2003)","previouslyFormattedCitation":"(MacKenzie, 2003)"},"properties":{"noteIndex":0},"schema":"https://github.com/citation-style-language/schema/raw/master/csl-citation.json"}</w:instrText>
      </w:r>
      <w:r w:rsidR="009071EA" w:rsidRPr="0040120E">
        <w:rPr>
          <w:rFonts w:ascii="Times New Roman" w:hAnsi="Times New Roman" w:cs="Times New Roman"/>
          <w:sz w:val="24"/>
          <w:szCs w:val="24"/>
          <w:lang w:val="en-GB"/>
        </w:rPr>
        <w:fldChar w:fldCharType="separate"/>
      </w:r>
      <w:r w:rsidR="009071EA" w:rsidRPr="0040120E">
        <w:rPr>
          <w:rFonts w:ascii="Times New Roman" w:hAnsi="Times New Roman" w:cs="Times New Roman"/>
          <w:noProof/>
          <w:sz w:val="24"/>
          <w:szCs w:val="24"/>
          <w:lang w:val="en-GB"/>
        </w:rPr>
        <w:t>(MacKenzie, 2003)</w:t>
      </w:r>
      <w:r w:rsidR="009071EA" w:rsidRPr="0040120E">
        <w:rPr>
          <w:rFonts w:ascii="Times New Roman" w:hAnsi="Times New Roman" w:cs="Times New Roman"/>
          <w:sz w:val="24"/>
          <w:szCs w:val="24"/>
          <w:lang w:val="en-GB"/>
        </w:rPr>
        <w:fldChar w:fldCharType="end"/>
      </w:r>
      <w:r w:rsidR="009071EA" w:rsidRPr="0040120E">
        <w:rPr>
          <w:rFonts w:ascii="Times New Roman" w:hAnsi="Times New Roman" w:cs="Times New Roman"/>
          <w:sz w:val="24"/>
          <w:szCs w:val="24"/>
          <w:lang w:val="en-GB"/>
        </w:rPr>
        <w:t>.</w:t>
      </w:r>
    </w:p>
    <w:p w14:paraId="0A4B7168" w14:textId="663D55F5" w:rsidR="009071EA" w:rsidRPr="0040120E" w:rsidRDefault="00984697" w:rsidP="00E23412">
      <w:pPr>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The present research </w:t>
      </w:r>
      <w:r w:rsidR="009479D8" w:rsidRPr="0040120E">
        <w:rPr>
          <w:rFonts w:ascii="Times New Roman" w:hAnsi="Times New Roman" w:cs="Times New Roman"/>
          <w:sz w:val="24"/>
          <w:szCs w:val="24"/>
          <w:lang w:val="en-GB"/>
        </w:rPr>
        <w:t>focuses on consumers’ perception</w:t>
      </w:r>
      <w:r w:rsidR="00541924" w:rsidRPr="0040120E">
        <w:rPr>
          <w:rFonts w:ascii="Times New Roman" w:hAnsi="Times New Roman" w:cs="Times New Roman"/>
          <w:sz w:val="24"/>
          <w:szCs w:val="24"/>
          <w:lang w:val="en-GB"/>
        </w:rPr>
        <w:t>s</w:t>
      </w:r>
      <w:r w:rsidR="009479D8" w:rsidRPr="0040120E">
        <w:rPr>
          <w:rFonts w:ascii="Times New Roman" w:hAnsi="Times New Roman" w:cs="Times New Roman"/>
          <w:sz w:val="24"/>
          <w:szCs w:val="24"/>
          <w:lang w:val="en-GB"/>
        </w:rPr>
        <w:t xml:space="preserve"> of brand heritage. It </w:t>
      </w:r>
      <w:r w:rsidRPr="0040120E">
        <w:rPr>
          <w:rFonts w:ascii="Times New Roman" w:hAnsi="Times New Roman" w:cs="Times New Roman"/>
          <w:sz w:val="24"/>
          <w:szCs w:val="24"/>
          <w:lang w:val="en-GB"/>
        </w:rPr>
        <w:t>discusses the scope of brand heritage as a</w:t>
      </w:r>
      <w:r w:rsidR="00E424F3"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purely temporal concept (and therefore distinct from authenticity), based on </w:t>
      </w:r>
      <w:r w:rsidR="00E424F3" w:rsidRPr="0040120E">
        <w:rPr>
          <w:rFonts w:ascii="Times New Roman" w:hAnsi="Times New Roman" w:cs="Times New Roman"/>
          <w:sz w:val="24"/>
          <w:szCs w:val="24"/>
          <w:lang w:val="en-GB"/>
        </w:rPr>
        <w:t>a set of brand associations (distinct from the feeling of nostalgia)</w:t>
      </w:r>
      <w:r w:rsidR="00577F50"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We develop and validate a measurement scale for perceived brand heritage with three temporal dimensions, and we show that brand heritage </w:t>
      </w:r>
      <w:r w:rsidR="003C144A" w:rsidRPr="0040120E">
        <w:rPr>
          <w:rFonts w:ascii="Times New Roman" w:hAnsi="Times New Roman" w:cs="Times New Roman"/>
          <w:sz w:val="24"/>
          <w:szCs w:val="24"/>
          <w:lang w:val="en-GB"/>
        </w:rPr>
        <w:t>can influence cognitive and affective responses to the brand</w:t>
      </w:r>
      <w:r w:rsidRPr="0040120E">
        <w:rPr>
          <w:rFonts w:ascii="Times New Roman" w:hAnsi="Times New Roman" w:cs="Times New Roman"/>
          <w:sz w:val="24"/>
          <w:szCs w:val="24"/>
          <w:lang w:val="en-GB"/>
        </w:rPr>
        <w:t xml:space="preserve">. </w:t>
      </w:r>
      <w:r w:rsidR="00854B63" w:rsidRPr="0040120E">
        <w:rPr>
          <w:rFonts w:ascii="Times New Roman" w:hAnsi="Times New Roman" w:cs="Times New Roman"/>
          <w:sz w:val="24"/>
          <w:szCs w:val="24"/>
          <w:lang w:val="en-GB"/>
        </w:rPr>
        <w:t xml:space="preserve">The fours empirical studies are conducted in France, using primarily Fast Moving Consumer Goods brands, although study 4 extends the validity of the scale to other product categories (automobile, clothing and financial services). </w:t>
      </w:r>
      <w:r w:rsidRPr="0040120E">
        <w:rPr>
          <w:rFonts w:ascii="Times New Roman" w:hAnsi="Times New Roman" w:cs="Times New Roman"/>
          <w:sz w:val="24"/>
          <w:szCs w:val="24"/>
          <w:lang w:val="en-GB"/>
        </w:rPr>
        <w:t xml:space="preserve">This perceived brand heritage scale </w:t>
      </w:r>
      <w:r w:rsidR="00A742BA" w:rsidRPr="0040120E">
        <w:rPr>
          <w:rFonts w:ascii="Times New Roman" w:hAnsi="Times New Roman" w:cs="Times New Roman"/>
          <w:sz w:val="24"/>
          <w:szCs w:val="24"/>
          <w:lang w:val="en-GB"/>
        </w:rPr>
        <w:t xml:space="preserve">as a temporal concept </w:t>
      </w:r>
      <w:r w:rsidRPr="0040120E">
        <w:rPr>
          <w:rFonts w:ascii="Times New Roman" w:hAnsi="Times New Roman" w:cs="Times New Roman"/>
          <w:sz w:val="24"/>
          <w:szCs w:val="24"/>
          <w:lang w:val="en-GB"/>
        </w:rPr>
        <w:t>contributes to marketing research on past-related concepts through the clarification of the concept of brand heritage, the identification of three dimensions, and the distinction from nostalgia and authenticity. The results also shed light on consumers’ perception</w:t>
      </w:r>
      <w:r w:rsidR="00541924" w:rsidRPr="0040120E">
        <w:rPr>
          <w:rFonts w:ascii="Times New Roman" w:hAnsi="Times New Roman" w:cs="Times New Roman"/>
          <w:sz w:val="24"/>
          <w:szCs w:val="24"/>
          <w:lang w:val="en-GB"/>
        </w:rPr>
        <w:t>s</w:t>
      </w:r>
      <w:r w:rsidRPr="0040120E">
        <w:rPr>
          <w:rFonts w:ascii="Times New Roman" w:hAnsi="Times New Roman" w:cs="Times New Roman"/>
          <w:sz w:val="24"/>
          <w:szCs w:val="24"/>
          <w:lang w:val="en-GB"/>
        </w:rPr>
        <w:t xml:space="preserve"> of change and continuity. They provide managers with a tool to measure the extent to which consumers </w:t>
      </w:r>
      <w:r w:rsidRPr="0040120E">
        <w:rPr>
          <w:rFonts w:ascii="Times New Roman" w:hAnsi="Times New Roman" w:cs="Times New Roman"/>
          <w:sz w:val="24"/>
          <w:szCs w:val="24"/>
          <w:lang w:val="en-GB"/>
        </w:rPr>
        <w:lastRenderedPageBreak/>
        <w:t xml:space="preserve">perceive brands to combine stability, longevity, and adaptability, which might prove particularly useful for ageing firms facing disruptors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{"citationItems":[{"id":"ITEM-1","itemData":{"abstract":"Every two years, the Marketing Science Institute asks every MSI member company Trustee to provide input to help set priorities for the re- search that will guide our activities for the next few years. These priorities enable the Marketing Science Institute to engage in its most critical mission: moving the needle on important marketing problems. They help determine the conferences and workshops we hold, the research competi- tions we host, the new knowledge generation initiatives we sponsor, and the content we de- velop and disseminate. They influence the work of scholars all over the world, informing the academic community about the most pressing research needs and interests of our member companies.","author":[{"dropping-particle":"","family":"Marketing Science Institute (MSI)","given":"","non-dropping-particle":"","parse-names":false,"suffix":""}],"container-title":"Marketing Science Institute (MSI)","id":"ITEM-1","issued":{"date-parts":[["2016"]]},"number-of-pages":"21","title":"Research Priorities 2016–2018","type":"report"},"uris":["http://www.mendeley.com/documents/?uuid=72d5b4f4-087d-4093-97a5-03579e7b5247"]}],"mendeley":{"formattedCitation":"(Marketing Science Institute (MSI), 2016)","plainTextFormattedCitation":"(Marketing Science Institute (MSI), 2016)","previouslyFormattedCitation":"(Marketing Science Institute (MSI), 2016)"},"properties":{"noteIndex":0},"schema":"https://github.com/citation-style-language/schema/raw/master/csl-citation.json"}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(Marketing Science Institute (MSI), 2016)</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Finally, because of the versatility of its items’ formulation, the scale can also serve in other disciplines</w:t>
      </w:r>
      <w:r w:rsidR="009F4FEF"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 such as environmental psychology or archaeology </w:t>
      </w:r>
      <w:r w:rsidR="009F4FEF"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for objects that are not brands. </w:t>
      </w:r>
    </w:p>
    <w:p w14:paraId="29F507EA" w14:textId="77777777" w:rsidR="00E23412" w:rsidRPr="0040120E" w:rsidRDefault="00E23412" w:rsidP="00E23412">
      <w:pPr>
        <w:spacing w:line="480" w:lineRule="auto"/>
        <w:jc w:val="both"/>
        <w:rPr>
          <w:rFonts w:ascii="Times New Roman" w:hAnsi="Times New Roman" w:cs="Times New Roman"/>
          <w:sz w:val="24"/>
          <w:szCs w:val="24"/>
          <w:lang w:val="en-GB"/>
        </w:rPr>
      </w:pPr>
    </w:p>
    <w:p w14:paraId="1A6608A9" w14:textId="53CBA61B" w:rsidR="00753F50" w:rsidRPr="0040120E" w:rsidRDefault="009636E1" w:rsidP="00E23412">
      <w:pPr>
        <w:spacing w:line="480" w:lineRule="auto"/>
        <w:rPr>
          <w:rFonts w:ascii="Times New Roman" w:hAnsi="Times New Roman" w:cs="Times New Roman"/>
          <w:b/>
          <w:sz w:val="24"/>
          <w:szCs w:val="24"/>
          <w:lang w:val="en-GB"/>
        </w:rPr>
      </w:pPr>
      <w:r w:rsidRPr="0040120E">
        <w:rPr>
          <w:rFonts w:ascii="Times New Roman" w:hAnsi="Times New Roman" w:cs="Times New Roman"/>
          <w:b/>
          <w:sz w:val="24"/>
          <w:szCs w:val="24"/>
          <w:lang w:val="en-GB"/>
        </w:rPr>
        <w:t xml:space="preserve">Change, </w:t>
      </w:r>
      <w:r w:rsidR="00C15D2E" w:rsidRPr="0040120E">
        <w:rPr>
          <w:rFonts w:ascii="Times New Roman" w:hAnsi="Times New Roman" w:cs="Times New Roman"/>
          <w:b/>
          <w:sz w:val="24"/>
          <w:szCs w:val="24"/>
          <w:lang w:val="en-GB"/>
        </w:rPr>
        <w:t>C</w:t>
      </w:r>
      <w:r w:rsidR="0045084F" w:rsidRPr="0040120E">
        <w:rPr>
          <w:rFonts w:ascii="Times New Roman" w:hAnsi="Times New Roman" w:cs="Times New Roman"/>
          <w:b/>
          <w:sz w:val="24"/>
          <w:szCs w:val="24"/>
          <w:lang w:val="en-GB"/>
        </w:rPr>
        <w:t>ontinuity</w:t>
      </w:r>
      <w:r w:rsidRPr="0040120E">
        <w:rPr>
          <w:rFonts w:ascii="Times New Roman" w:hAnsi="Times New Roman" w:cs="Times New Roman"/>
          <w:b/>
          <w:sz w:val="24"/>
          <w:szCs w:val="24"/>
          <w:lang w:val="en-GB"/>
        </w:rPr>
        <w:t xml:space="preserve"> and </w:t>
      </w:r>
      <w:r w:rsidR="00C15D2E" w:rsidRPr="0040120E">
        <w:rPr>
          <w:rFonts w:ascii="Times New Roman" w:hAnsi="Times New Roman" w:cs="Times New Roman"/>
          <w:b/>
          <w:sz w:val="24"/>
          <w:szCs w:val="24"/>
          <w:lang w:val="en-GB"/>
        </w:rPr>
        <w:t>H</w:t>
      </w:r>
      <w:r w:rsidRPr="0040120E">
        <w:rPr>
          <w:rFonts w:ascii="Times New Roman" w:hAnsi="Times New Roman" w:cs="Times New Roman"/>
          <w:b/>
          <w:sz w:val="24"/>
          <w:szCs w:val="24"/>
          <w:lang w:val="en-GB"/>
        </w:rPr>
        <w:t xml:space="preserve">eritage in </w:t>
      </w:r>
      <w:r w:rsidR="00C15D2E" w:rsidRPr="0040120E">
        <w:rPr>
          <w:rFonts w:ascii="Times New Roman" w:hAnsi="Times New Roman" w:cs="Times New Roman"/>
          <w:b/>
          <w:sz w:val="24"/>
          <w:szCs w:val="24"/>
          <w:lang w:val="en-GB"/>
        </w:rPr>
        <w:t>B</w:t>
      </w:r>
      <w:r w:rsidRPr="0040120E">
        <w:rPr>
          <w:rFonts w:ascii="Times New Roman" w:hAnsi="Times New Roman" w:cs="Times New Roman"/>
          <w:b/>
          <w:sz w:val="24"/>
          <w:szCs w:val="24"/>
          <w:lang w:val="en-GB"/>
        </w:rPr>
        <w:t xml:space="preserve">rands’ </w:t>
      </w:r>
      <w:r w:rsidR="00C15D2E" w:rsidRPr="0040120E">
        <w:rPr>
          <w:rFonts w:ascii="Times New Roman" w:hAnsi="Times New Roman" w:cs="Times New Roman"/>
          <w:b/>
          <w:sz w:val="24"/>
          <w:szCs w:val="24"/>
          <w:lang w:val="en-GB"/>
        </w:rPr>
        <w:t>P</w:t>
      </w:r>
      <w:r w:rsidRPr="0040120E">
        <w:rPr>
          <w:rFonts w:ascii="Times New Roman" w:hAnsi="Times New Roman" w:cs="Times New Roman"/>
          <w:b/>
          <w:sz w:val="24"/>
          <w:szCs w:val="24"/>
          <w:lang w:val="en-GB"/>
        </w:rPr>
        <w:t>erception</w:t>
      </w:r>
      <w:r w:rsidR="00532676" w:rsidRPr="0040120E">
        <w:rPr>
          <w:rFonts w:ascii="Times New Roman" w:hAnsi="Times New Roman" w:cs="Times New Roman"/>
          <w:b/>
          <w:sz w:val="24"/>
          <w:szCs w:val="24"/>
          <w:lang w:val="en-GB"/>
        </w:rPr>
        <w:t>s</w:t>
      </w:r>
    </w:p>
    <w:p w14:paraId="291ECE7F" w14:textId="4E5875C1" w:rsidR="003B6D86" w:rsidRPr="0040120E" w:rsidRDefault="004C3ACA" w:rsidP="00C411D1">
      <w:pPr>
        <w:tabs>
          <w:tab w:val="center" w:pos="4536"/>
          <w:tab w:val="left" w:pos="4935"/>
        </w:tabs>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The passage of time </w:t>
      </w:r>
      <w:r w:rsidR="00CC4930" w:rsidRPr="0040120E">
        <w:rPr>
          <w:rFonts w:ascii="Times New Roman" w:hAnsi="Times New Roman" w:cs="Times New Roman"/>
          <w:sz w:val="24"/>
          <w:szCs w:val="24"/>
          <w:lang w:val="en-GB"/>
        </w:rPr>
        <w:t>intrinsically relates</w:t>
      </w:r>
      <w:r w:rsidRPr="0040120E">
        <w:rPr>
          <w:rFonts w:ascii="Times New Roman" w:hAnsi="Times New Roman" w:cs="Times New Roman"/>
          <w:sz w:val="24"/>
          <w:szCs w:val="24"/>
          <w:lang w:val="en-GB"/>
        </w:rPr>
        <w:t xml:space="preserve"> to tensions between continuity and change. </w:t>
      </w:r>
      <w:r w:rsidR="003B6D86" w:rsidRPr="0040120E">
        <w:rPr>
          <w:rFonts w:ascii="Times New Roman" w:hAnsi="Times New Roman" w:cs="Times New Roman"/>
          <w:sz w:val="24"/>
          <w:lang w:val="en-GB"/>
        </w:rPr>
        <w:t>Human beings are able to experience time in its duration</w:t>
      </w:r>
      <w:r w:rsidR="009F4FEF" w:rsidRPr="0040120E">
        <w:rPr>
          <w:rFonts w:ascii="Times New Roman" w:hAnsi="Times New Roman" w:cs="Times New Roman"/>
          <w:sz w:val="24"/>
          <w:lang w:val="en-GB"/>
        </w:rPr>
        <w:t>,</w:t>
      </w:r>
      <w:r w:rsidR="009636E1" w:rsidRPr="0040120E">
        <w:rPr>
          <w:rFonts w:ascii="Times New Roman" w:hAnsi="Times New Roman" w:cs="Times New Roman"/>
          <w:sz w:val="24"/>
          <w:lang w:val="en-GB"/>
        </w:rPr>
        <w:t xml:space="preserve"> based on perceptions of change in their </w:t>
      </w:r>
      <w:r w:rsidR="000D1771" w:rsidRPr="0040120E">
        <w:rPr>
          <w:rFonts w:ascii="Times New Roman" w:hAnsi="Times New Roman" w:cs="Times New Roman"/>
          <w:sz w:val="24"/>
          <w:lang w:val="en-GB"/>
        </w:rPr>
        <w:t xml:space="preserve">direct </w:t>
      </w:r>
      <w:r w:rsidR="009636E1" w:rsidRPr="0040120E">
        <w:rPr>
          <w:rFonts w:ascii="Times New Roman" w:hAnsi="Times New Roman" w:cs="Times New Roman"/>
          <w:sz w:val="24"/>
          <w:lang w:val="en-GB"/>
        </w:rPr>
        <w:t>environment</w:t>
      </w:r>
      <w:r w:rsidR="009F4FEF" w:rsidRPr="0040120E">
        <w:rPr>
          <w:rFonts w:ascii="Times New Roman" w:hAnsi="Times New Roman" w:cs="Times New Roman"/>
          <w:sz w:val="24"/>
          <w:lang w:val="en-GB"/>
        </w:rPr>
        <w:t>;</w:t>
      </w:r>
      <w:r w:rsidR="003B6D86" w:rsidRPr="0040120E">
        <w:rPr>
          <w:rFonts w:ascii="Times New Roman" w:hAnsi="Times New Roman" w:cs="Times New Roman"/>
          <w:sz w:val="24"/>
          <w:lang w:val="en-GB"/>
        </w:rPr>
        <w:t xml:space="preserve"> </w:t>
      </w:r>
      <w:r w:rsidR="009636E1" w:rsidRPr="0040120E">
        <w:rPr>
          <w:rFonts w:ascii="Times New Roman" w:hAnsi="Times New Roman" w:cs="Times New Roman"/>
          <w:sz w:val="24"/>
          <w:lang w:val="en-GB"/>
        </w:rPr>
        <w:t xml:space="preserve">this is how </w:t>
      </w:r>
      <w:r w:rsidR="000D1771" w:rsidRPr="0040120E">
        <w:rPr>
          <w:rFonts w:ascii="Times New Roman" w:hAnsi="Times New Roman" w:cs="Times New Roman"/>
          <w:sz w:val="24"/>
          <w:lang w:val="en-GB"/>
        </w:rPr>
        <w:t>we</w:t>
      </w:r>
      <w:r w:rsidR="00CC4930" w:rsidRPr="0040120E">
        <w:rPr>
          <w:rFonts w:ascii="Times New Roman" w:hAnsi="Times New Roman" w:cs="Times New Roman"/>
          <w:sz w:val="24"/>
          <w:lang w:val="en-GB"/>
        </w:rPr>
        <w:t xml:space="preserve"> expand our temporal horizons, how we</w:t>
      </w:r>
      <w:r w:rsidR="003B6D86" w:rsidRPr="0040120E">
        <w:rPr>
          <w:rFonts w:ascii="Times New Roman" w:hAnsi="Times New Roman" w:cs="Times New Roman"/>
          <w:sz w:val="24"/>
          <w:lang w:val="en-GB"/>
        </w:rPr>
        <w:t xml:space="preserve"> construct and distinguish the present from what happened before (past) and what will happen after (future) </w:t>
      </w:r>
      <w:r w:rsidR="003B6D86" w:rsidRPr="0040120E">
        <w:rPr>
          <w:rFonts w:ascii="Times New Roman" w:hAnsi="Times New Roman" w:cs="Times New Roman"/>
          <w:sz w:val="24"/>
          <w:lang w:val="en-GB"/>
        </w:rPr>
        <w:fldChar w:fldCharType="begin" w:fldLock="1"/>
      </w:r>
      <w:r w:rsidR="003870BB" w:rsidRPr="0040120E">
        <w:rPr>
          <w:rFonts w:ascii="Times New Roman" w:hAnsi="Times New Roman" w:cs="Times New Roman"/>
          <w:sz w:val="24"/>
          <w:lang w:val="en-GB"/>
        </w:rPr>
        <w:instrText>ADDIN CSL_CITATION {"citationItems":[{"id":"ITEM-1","itemData":{"author":[{"dropping-particle":"","family":"Fraisse","given":"Paul","non-dropping-particle":"","parse-names":false,"suffix":""}],"container-title":"Annual Review of Psychology","id":"ITEM-1","issued":{"date-parts":[["1984"]]},"page":"1-36","title":"Perception and Estimation of Time","type":"article-journal","volume":"35"},"uris":["http://www.mendeley.com/documents/?uuid=b3d76031-db74-49af-9cde-4c679ce505c6"]}],"mendeley":{"formattedCitation":"(Fraisse, 1984)","plainTextFormattedCitation":"(Fraisse, 1984)","previouslyFormattedCitation":"(Fraisse, 1984)"},"properties":{"noteIndex":0},"schema":"https://github.com/citation-style-language/schema/raw/master/csl-citation.json"}</w:instrText>
      </w:r>
      <w:r w:rsidR="003B6D86" w:rsidRPr="0040120E">
        <w:rPr>
          <w:rFonts w:ascii="Times New Roman" w:hAnsi="Times New Roman" w:cs="Times New Roman"/>
          <w:sz w:val="24"/>
          <w:lang w:val="en-GB"/>
        </w:rPr>
        <w:fldChar w:fldCharType="separate"/>
      </w:r>
      <w:r w:rsidR="003B6D86" w:rsidRPr="0040120E">
        <w:rPr>
          <w:rFonts w:ascii="Times New Roman" w:hAnsi="Times New Roman" w:cs="Times New Roman"/>
          <w:noProof/>
          <w:sz w:val="24"/>
          <w:lang w:val="en-GB"/>
        </w:rPr>
        <w:t>(Fraisse, 1984)</w:t>
      </w:r>
      <w:r w:rsidR="003B6D86" w:rsidRPr="0040120E">
        <w:rPr>
          <w:rFonts w:ascii="Times New Roman" w:hAnsi="Times New Roman" w:cs="Times New Roman"/>
          <w:sz w:val="24"/>
          <w:lang w:val="en-GB"/>
        </w:rPr>
        <w:fldChar w:fldCharType="end"/>
      </w:r>
      <w:r w:rsidR="003B6D86" w:rsidRPr="0040120E">
        <w:rPr>
          <w:rFonts w:ascii="Times New Roman" w:hAnsi="Times New Roman" w:cs="Times New Roman"/>
          <w:sz w:val="24"/>
          <w:lang w:val="en-GB"/>
        </w:rPr>
        <w:t>.</w:t>
      </w:r>
      <w:r w:rsidR="00D16FBF" w:rsidRPr="0040120E">
        <w:rPr>
          <w:rFonts w:ascii="Times New Roman" w:hAnsi="Times New Roman" w:cs="Times New Roman"/>
          <w:sz w:val="24"/>
          <w:lang w:val="en-GB"/>
        </w:rPr>
        <w:t xml:space="preserve"> </w:t>
      </w:r>
      <w:r w:rsidR="009636E1" w:rsidRPr="0040120E">
        <w:rPr>
          <w:rFonts w:ascii="Times New Roman" w:hAnsi="Times New Roman" w:cs="Times New Roman"/>
          <w:sz w:val="24"/>
          <w:lang w:val="en-GB"/>
        </w:rPr>
        <w:t>Individuals have different attitudes to the</w:t>
      </w:r>
      <w:r w:rsidR="000D1771" w:rsidRPr="0040120E">
        <w:rPr>
          <w:rFonts w:ascii="Times New Roman" w:hAnsi="Times New Roman" w:cs="Times New Roman"/>
          <w:sz w:val="24"/>
          <w:lang w:val="en-GB"/>
        </w:rPr>
        <w:t xml:space="preserve"> different time categories they construct: the</w:t>
      </w:r>
      <w:r w:rsidR="009636E1" w:rsidRPr="0040120E">
        <w:rPr>
          <w:rFonts w:ascii="Times New Roman" w:hAnsi="Times New Roman" w:cs="Times New Roman"/>
          <w:sz w:val="24"/>
          <w:lang w:val="en-GB"/>
        </w:rPr>
        <w:t xml:space="preserve"> past, present or future. </w:t>
      </w:r>
      <w:r w:rsidR="005C0C58" w:rsidRPr="0040120E">
        <w:rPr>
          <w:rFonts w:ascii="Times New Roman" w:hAnsi="Times New Roman" w:cs="Times New Roman"/>
          <w:sz w:val="24"/>
          <w:lang w:val="en-GB"/>
        </w:rPr>
        <w:t xml:space="preserve">This </w:t>
      </w:r>
      <w:r w:rsidR="009636E1" w:rsidRPr="0040120E">
        <w:rPr>
          <w:rFonts w:ascii="Times New Roman" w:hAnsi="Times New Roman" w:cs="Times New Roman"/>
          <w:sz w:val="24"/>
          <w:lang w:val="en-GB"/>
        </w:rPr>
        <w:t>can take the form of a cognit</w:t>
      </w:r>
      <w:r w:rsidR="002D7072" w:rsidRPr="0040120E">
        <w:rPr>
          <w:rFonts w:ascii="Times New Roman" w:hAnsi="Times New Roman" w:cs="Times New Roman"/>
          <w:sz w:val="24"/>
          <w:lang w:val="en-GB"/>
        </w:rPr>
        <w:t>ive bias that will over-emphasis</w:t>
      </w:r>
      <w:r w:rsidR="009636E1" w:rsidRPr="0040120E">
        <w:rPr>
          <w:rFonts w:ascii="Times New Roman" w:hAnsi="Times New Roman" w:cs="Times New Roman"/>
          <w:sz w:val="24"/>
          <w:lang w:val="en-GB"/>
        </w:rPr>
        <w:t xml:space="preserve">e the role of the past, of the present or of the future in their decision making </w:t>
      </w:r>
      <w:r w:rsidR="009636E1" w:rsidRPr="0040120E">
        <w:rPr>
          <w:rFonts w:ascii="Times New Roman" w:hAnsi="Times New Roman" w:cs="Times New Roman"/>
          <w:sz w:val="24"/>
          <w:lang w:val="en-GB"/>
        </w:rPr>
        <w:fldChar w:fldCharType="begin" w:fldLock="1"/>
      </w:r>
      <w:r w:rsidR="003870BB" w:rsidRPr="0040120E">
        <w:rPr>
          <w:rFonts w:ascii="Times New Roman" w:hAnsi="Times New Roman" w:cs="Times New Roman"/>
          <w:sz w:val="24"/>
          <w:lang w:val="en-GB"/>
        </w:rPr>
        <w:instrText>ADDIN CSL_CITATION {"citationItems":[{"id":"ITEM-1","itemData":{"author":[{"dropping-particle":"","family":"Zimbardo","given":"Philip G","non-dropping-particle":"","parse-names":false,"suffix":""},{"dropping-particle":"","family":"Boyd","given":"John N","non-dropping-particle":"","parse-names":false,"suffix":""}],"container-title":"Journal of Personality and Social Psychology","id":"ITEM-1","issue":"6","issued":{"date-parts":[["1999"]]},"page":"1271-1288","title":"Putting time in perspective: A valid, reliable individual-differences metric","type":"article-journal","volume":"77"},"uris":["http://www.mendeley.com/documents/?uuid=afa2e441-5acc-4e0d-aebd-b249fd3def33"]}],"mendeley":{"formattedCitation":"(Zimbardo &amp; Boyd, 1999)","plainTextFormattedCitation":"(Zimbardo &amp; Boyd, 1999)","previouslyFormattedCitation":"(Zimbardo &amp; Boyd, 1999)"},"properties":{"noteIndex":0},"schema":"https://github.com/citation-style-language/schema/raw/master/csl-citation.json"}</w:instrText>
      </w:r>
      <w:r w:rsidR="009636E1" w:rsidRPr="0040120E">
        <w:rPr>
          <w:rFonts w:ascii="Times New Roman" w:hAnsi="Times New Roman" w:cs="Times New Roman"/>
          <w:sz w:val="24"/>
          <w:lang w:val="en-GB"/>
        </w:rPr>
        <w:fldChar w:fldCharType="separate"/>
      </w:r>
      <w:r w:rsidR="007E6252" w:rsidRPr="0040120E">
        <w:rPr>
          <w:rFonts w:ascii="Times New Roman" w:hAnsi="Times New Roman" w:cs="Times New Roman"/>
          <w:noProof/>
          <w:sz w:val="24"/>
          <w:lang w:val="en-GB"/>
        </w:rPr>
        <w:t>(Zimbardo &amp; Boyd, 1999)</w:t>
      </w:r>
      <w:r w:rsidR="009636E1" w:rsidRPr="0040120E">
        <w:rPr>
          <w:rFonts w:ascii="Times New Roman" w:hAnsi="Times New Roman" w:cs="Times New Roman"/>
          <w:sz w:val="24"/>
          <w:lang w:val="en-GB"/>
        </w:rPr>
        <w:fldChar w:fldCharType="end"/>
      </w:r>
      <w:r w:rsidR="009636E1" w:rsidRPr="0040120E">
        <w:rPr>
          <w:rFonts w:ascii="Times New Roman" w:hAnsi="Times New Roman" w:cs="Times New Roman"/>
          <w:sz w:val="24"/>
          <w:lang w:val="en-GB"/>
        </w:rPr>
        <w:t>. The present</w:t>
      </w:r>
      <w:r w:rsidR="00D16FBF" w:rsidRPr="0040120E">
        <w:rPr>
          <w:rFonts w:ascii="Times New Roman" w:hAnsi="Times New Roman" w:cs="Times New Roman"/>
          <w:sz w:val="24"/>
          <w:lang w:val="en-GB"/>
        </w:rPr>
        <w:t xml:space="preserve"> work focuses on </w:t>
      </w:r>
      <w:r w:rsidR="00230F90" w:rsidRPr="0040120E">
        <w:rPr>
          <w:rFonts w:ascii="Times New Roman" w:hAnsi="Times New Roman" w:cs="Times New Roman"/>
          <w:sz w:val="24"/>
          <w:lang w:val="en-GB"/>
        </w:rPr>
        <w:t>the perception and reaction to heritage as a representation of the past in individuals’ environment</w:t>
      </w:r>
      <w:r w:rsidR="00541924" w:rsidRPr="0040120E">
        <w:rPr>
          <w:rFonts w:ascii="Times New Roman" w:hAnsi="Times New Roman" w:cs="Times New Roman"/>
          <w:sz w:val="24"/>
          <w:lang w:val="en-GB"/>
        </w:rPr>
        <w:t>s</w:t>
      </w:r>
      <w:r w:rsidR="00230F90" w:rsidRPr="0040120E">
        <w:rPr>
          <w:rFonts w:ascii="Times New Roman" w:hAnsi="Times New Roman" w:cs="Times New Roman"/>
          <w:sz w:val="24"/>
          <w:lang w:val="en-GB"/>
        </w:rPr>
        <w:t xml:space="preserve">. </w:t>
      </w:r>
    </w:p>
    <w:p w14:paraId="21000E08" w14:textId="7FF53E17" w:rsidR="00401360" w:rsidRPr="0040120E" w:rsidRDefault="00CC4930" w:rsidP="00C411D1">
      <w:pPr>
        <w:tabs>
          <w:tab w:val="center" w:pos="4536"/>
          <w:tab w:val="left" w:pos="4935"/>
        </w:tabs>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In multiple disciplines, t</w:t>
      </w:r>
      <w:r w:rsidR="000D1771" w:rsidRPr="0040120E">
        <w:rPr>
          <w:rFonts w:ascii="Times New Roman" w:hAnsi="Times New Roman" w:cs="Times New Roman"/>
          <w:sz w:val="24"/>
          <w:szCs w:val="24"/>
          <w:lang w:val="en-GB"/>
        </w:rPr>
        <w:t xml:space="preserve">he concept of heritage </w:t>
      </w:r>
      <w:r w:rsidRPr="0040120E">
        <w:rPr>
          <w:rFonts w:ascii="Times New Roman" w:hAnsi="Times New Roman" w:cs="Times New Roman"/>
          <w:sz w:val="24"/>
          <w:szCs w:val="24"/>
          <w:lang w:val="en-GB"/>
        </w:rPr>
        <w:t>designates a</w:t>
      </w:r>
      <w:r w:rsidR="000D1771" w:rsidRPr="0040120E">
        <w:rPr>
          <w:rFonts w:ascii="Times New Roman" w:hAnsi="Times New Roman" w:cs="Times New Roman"/>
          <w:sz w:val="24"/>
          <w:szCs w:val="24"/>
          <w:lang w:val="en-GB"/>
        </w:rPr>
        <w:t xml:space="preserve"> biased representation of the past in the present </w:t>
      </w:r>
      <w:r w:rsidR="000D1771"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{"citationItems":[{"id":"ITEM-1","itemData":{"author":[{"dropping-particle":"","family":"Lowenthal","given":"David","non-dropping-particle":"","parse-names":false,"suffix":""}],"id":"ITEM-1","issued":{"date-parts":[["2015"]]},"publisher":"Cambridge University Press","publisher-place":"Cambridge","title":"The past is a foreign country-revisited","type":"book"},"uris":["http://www.mendeley.com/documents/?uuid=6d1072c8-21e6-4f15-b394-9f65f8424d0a"]},{"id":"ITEM-2","itemData":{"author":[{"dropping-particle":"","family":"McCrone","given":"David","non-dropping-particle":"","parse-names":false,"suffix":""},{"dropping-particle":"","family":"Morris","given":"Angela","non-dropping-particle":"","parse-names":false,"suffix":""},{"dropping-particle":"","family":"Kiely","given":"Richard","non-dropping-particle":"","parse-names":false,"suffix":""}],"id":"ITEM-2","issued":{"date-parts":[["1995"]]},"publisher":"Edinburgh University Press","publisher-place":"Edinburgh","title":"Scotland - the brand: the making of Scottish heritage","type":"book"},"uris":["http://www.mendeley.com/documents/?uuid=b525fbdb-d1a0-4815-bed6-c15088efb81e"]},{"id":"ITEM-3","itemData":{"author":[{"dropping-particle":"","family":"Hartog","given":"Francois","non-dropping-particle":"","parse-names":false,"suffix":""}],"id":"ITEM-3","issued":{"date-parts":[["2015"]]},"number-of-pages":"288","publisher":"Columbia University Press","publisher-place":"New York","title":"Regimes of Historicity: Presentism and Experiences of Time","type":"book"},"uris":["http://www.mendeley.com/documents/?uuid=29e3eb1b-3d16-42f9-ac70-4c3e6a69baa6"]},{"id":"ITEM-4","itemData":{"author":[{"dropping-particle":"","family":"Smith","given":"A.","non-dropping-particle":"","parse-names":false,"suffix":""}],"id":"ITEM-4","issued":{"date-parts":[["1991"]]},"publisher":"Penguin Books","publisher-place":"London","title":"National Identity","type":"book"},"uris":["http://www.mendeley.com/documents/?uuid=e4172bac-d599-41b3-8b9e-4965eeeb3383"]}],"mendeley":{"formattedCitation":"(Hartog, 2015; Lowenthal, 2015; McCrone, Morris, &amp; Kiely, 1995; Smith, 1991)","plainTextFormattedCitation":"(Hartog, 2015; Lowenthal, 2015; McCrone, Morris, &amp; Kiely, 1995; Smith, 1991)","previouslyFormattedCitation":"(Hartog, 2015; Lowenthal, 2015; McCrone, Morris, &amp; Kiely, 1995; Smith, 1991)"},"properties":{"noteIndex":0},"schema":"https://github.com/citation-style-language/schema/raw/master/csl-citation.json"}</w:instrText>
      </w:r>
      <w:r w:rsidR="000D1771"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(Hartog, 2015; Lowenthal, 2015; McCrone, Morris, &amp; Kiely, 1995; Smith, 1991)</w:t>
      </w:r>
      <w:r w:rsidR="000D1771" w:rsidRPr="0040120E">
        <w:rPr>
          <w:rFonts w:ascii="Times New Roman" w:hAnsi="Times New Roman" w:cs="Times New Roman"/>
          <w:sz w:val="24"/>
          <w:szCs w:val="24"/>
          <w:lang w:val="en-GB"/>
        </w:rPr>
        <w:fldChar w:fldCharType="end"/>
      </w:r>
      <w:r w:rsidR="000D1771" w:rsidRPr="0040120E">
        <w:rPr>
          <w:rFonts w:ascii="Times New Roman" w:hAnsi="Times New Roman" w:cs="Times New Roman"/>
          <w:sz w:val="24"/>
          <w:szCs w:val="24"/>
          <w:lang w:val="en-GB"/>
        </w:rPr>
        <w:t xml:space="preserve">. Marketing research builds on this and shows there is not an homogenous experience of the represented past </w:t>
      </w:r>
      <w:r w:rsidR="000D1771"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{"citationItems":[{"id":"ITEM-1","itemData":{"DOI":"10.1002/mar.1021","ISBN":"07426046","ISSN":"07426046","PMID":"11580120","abstract":"Over the past decade, there has been growing interest in nostalgia and consumption experiences on the part of a small group of consumer researchers. This article offers an insight into the nostalgic experiences gained through consuming history at a contemporary British “living” museum. The findings of the research focus on two types of nostalgic behavior, which are identified as existential and aesthetic. Differences in the nostalgic reaction are conceptualized in relation to such factors as the quantity and quality of the individual’s role repertoire, the experience of alienation in the present, and the extent and quality of social contact. The article aims to offer a perspective that draws upon both existing work in related fields and the findings of the research in order to contextualize nostalgia as an experiential factor behind the consumption of recreated history in the living interactive museum","author":[{"dropping-particle":"","family":"Goulding","given":"Christina","non-dropping-particle":"","parse-names":false,"suffix":""}],"container-title":"Psychology &amp; Marketing","id":"ITEM-1","issue":"6","issued":{"date-parts":[["2001"]]},"page":"565-592","title":"Romancing the past: Heritage visiting and the nostalgic consumer","type":"article-journal","volume":"18"},"uris":["http://www.mendeley.com/documents/?uuid=21840e93-1205-4f09-a0b5-97a6e65e59c1"]}],"mendeley":{"formattedCitation":"(Goulding, 2001)","plainTextFormattedCitation":"(Goulding, 2001)","previouslyFormattedCitation":"(Goulding, 2001)"},"properties":{"noteIndex":0},"schema":"https://github.com/citation-style-language/schema/raw/master/csl-citation.json"}</w:instrText>
      </w:r>
      <w:r w:rsidR="000D1771" w:rsidRPr="0040120E">
        <w:rPr>
          <w:rFonts w:ascii="Times New Roman" w:hAnsi="Times New Roman" w:cs="Times New Roman"/>
          <w:sz w:val="24"/>
          <w:szCs w:val="24"/>
          <w:lang w:val="en-GB"/>
        </w:rPr>
        <w:fldChar w:fldCharType="separate"/>
      </w:r>
      <w:r w:rsidR="000D1771" w:rsidRPr="0040120E">
        <w:rPr>
          <w:rFonts w:ascii="Times New Roman" w:hAnsi="Times New Roman" w:cs="Times New Roman"/>
          <w:noProof/>
          <w:sz w:val="24"/>
          <w:szCs w:val="24"/>
          <w:lang w:val="en-GB"/>
        </w:rPr>
        <w:t>(Goulding, 2001)</w:t>
      </w:r>
      <w:r w:rsidR="000D1771" w:rsidRPr="0040120E">
        <w:rPr>
          <w:rFonts w:ascii="Times New Roman" w:hAnsi="Times New Roman" w:cs="Times New Roman"/>
          <w:sz w:val="24"/>
          <w:szCs w:val="24"/>
          <w:lang w:val="en-GB"/>
        </w:rPr>
        <w:fldChar w:fldCharType="end"/>
      </w:r>
      <w:r w:rsidR="009F4FEF" w:rsidRPr="0040120E">
        <w:rPr>
          <w:rFonts w:ascii="Times New Roman" w:hAnsi="Times New Roman" w:cs="Times New Roman"/>
          <w:sz w:val="24"/>
          <w:szCs w:val="24"/>
          <w:lang w:val="en-GB"/>
        </w:rPr>
        <w:t>,</w:t>
      </w:r>
      <w:r w:rsidR="000D1771" w:rsidRPr="0040120E">
        <w:rPr>
          <w:rFonts w:ascii="Times New Roman" w:hAnsi="Times New Roman" w:cs="Times New Roman"/>
          <w:sz w:val="24"/>
          <w:szCs w:val="24"/>
          <w:lang w:val="en-GB"/>
        </w:rPr>
        <w:t xml:space="preserve"> as the consumer’s imagination plays an important role in the reception of the constructed discourses </w:t>
      </w:r>
      <w:r w:rsidR="000D1771"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{"citationItems":[{"id":"ITEM-1","itemData":{"DOI":"10.1108/07363760510605326","ISBN":"0879519398 9780879519391","ISSN":"07363761","abstract":"Purpose – The purpose of this paper is to explore consumers’ attraction to the past and the experiential benefits associated with past-related consumption practices. Design/methodology/approach – An interpretive study was undertaken using a heritage exhibition in Greece as an appropriate context. A total of 49 interviews using the central premises of phenomenological research were conducted in which 82 individuals participated. Informants were asked to elaborate on their consumption experience. Verbal data were analyzed and interpreted using theoretical guidance by Lowenthal’s pioneering work on people’s attraction to the past. Findings – Six experiential benefits are found that are prevalent among consumers in their contact with the past: the experience of knowledge, cultural identity, cultural values, escape in time, aesthetic appreciation, and narrative connection. These benefits are embedded on existing cultural narratives that are further enriched through consumption practices. Moreover, the beneficial consumption outcomes of the past are mediated by imagination that functions as a “linking glue” and a “creative force” in the construction of narrative vignettes. Research limitations/implications – Although this discovery-oriented study provides insight into the consumption of the past, its exploratory nature does not guarantee generalizability beyond the convenience sample employed and the specific context. Further research should also investigate the extent to which the specific consumer benefits are prevalent in other consumption experiences. Practical implications – This research provides orientation for the management of experiential products. Marketers can facilitate consumer experiences through the appropriate staging of the servicescape in both substantive and communicating ways. Specific direction can be taken by paying attention to each of the identified experiential benefits. Originality/value – As experiential consumption rises in consumer research, it is of paramount importance to elucidate what drives consumers in participating and enjoying various consumption experiences. This study provides theoretical guidance to researchers in the area of experiential consumption by elaborating on the benefits associated with the consumption of the past. It also offers suggestions to practitioners for the appropriate management of an experiential servicescape.","author":[{"dropping-particle":"","family":"Chronis","given":"Athinodoros","non-dropping-particle":"","parse-names":false,"suffix":""}],"container-title":"Journal of Consumer Marketing","id":"ITEM-1","issue":"4","issued":{"date-parts":[["2005"]]},"page":"213-222","title":"Our Byzantine heritage: Consumption of the past and its experiential benefits","type":"article-journal","volume":"22"},"uris":["http://www.mendeley.com/documents/?uuid=d6e8ae9a-c1b1-4720-b551-fca70327deea"]}],"mendeley":{"formattedCitation":"(Chronis, 2005)","plainTextFormattedCitation":"(Chronis, 2005)","previouslyFormattedCitation":"(Chronis, 2005)"},"properties":{"noteIndex":0},"schema":"https://github.com/citation-style-language/schema/raw/master/csl-citation.json"}</w:instrText>
      </w:r>
      <w:r w:rsidR="000D1771" w:rsidRPr="0040120E">
        <w:rPr>
          <w:rFonts w:ascii="Times New Roman" w:hAnsi="Times New Roman" w:cs="Times New Roman"/>
          <w:sz w:val="24"/>
          <w:szCs w:val="24"/>
          <w:lang w:val="en-GB"/>
        </w:rPr>
        <w:fldChar w:fldCharType="separate"/>
      </w:r>
      <w:r w:rsidR="000D1771" w:rsidRPr="0040120E">
        <w:rPr>
          <w:rFonts w:ascii="Times New Roman" w:hAnsi="Times New Roman" w:cs="Times New Roman"/>
          <w:noProof/>
          <w:sz w:val="24"/>
          <w:szCs w:val="24"/>
          <w:lang w:val="en-GB"/>
        </w:rPr>
        <w:t>(Chronis, 2005)</w:t>
      </w:r>
      <w:r w:rsidR="000D1771" w:rsidRPr="0040120E">
        <w:rPr>
          <w:rFonts w:ascii="Times New Roman" w:hAnsi="Times New Roman" w:cs="Times New Roman"/>
          <w:sz w:val="24"/>
          <w:szCs w:val="24"/>
          <w:lang w:val="en-GB"/>
        </w:rPr>
        <w:fldChar w:fldCharType="end"/>
      </w:r>
      <w:r w:rsidR="000D1771"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But the concept of heritage also emerges in relation with one of the current priorities for brand management research</w:t>
      </w:r>
      <w:r w:rsidR="00B5310A" w:rsidRPr="0040120E">
        <w:rPr>
          <w:rFonts w:ascii="Times New Roman" w:hAnsi="Times New Roman" w:cs="Times New Roman"/>
          <w:sz w:val="24"/>
          <w:szCs w:val="24"/>
          <w:lang w:val="en-GB"/>
        </w:rPr>
        <w:t>: the tensions between change and continuity</w:t>
      </w:r>
      <w:r w:rsidRPr="0040120E">
        <w:rPr>
          <w:rFonts w:ascii="Times New Roman" w:hAnsi="Times New Roman" w:cs="Times New Roman"/>
          <w:sz w:val="24"/>
          <w:szCs w:val="24"/>
          <w:lang w:val="en-GB"/>
        </w:rPr>
        <w:t xml:space="preserve"> </w:t>
      </w:r>
      <w:r w:rsidR="004C3ACA"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{"citationItems":[{"id":"ITEM-1","itemData":{"DOI":"10.1007/s13162-016-0078-z","ISBN":"1316201600","ISSN":"1869-814X","abstract":"BConceptualizing, Measuring, and Managing Customer-Based Brand Equity,^ published in the Journal of Marketing in 1993, was one of the early thought pieces and review papers on branding in the field. Written to be a comprehensive bridge between the theory and practice of branding, it has received a large number of citations and several awards through the years. Here, I look back at that article and provide some perspective as to how it was developed, highlighting some of its main contributions. I also outline some of my subsequent related branding research, as well as that of others. Finally, I consider some future research priorities in branding, putting emphasis on the online and digital developments that have occurred since the publication of the article.","author":[{"dropping-particle":"","family":"Keller","given":"","non-dropping-particle":"","parse-names":false,"suffix":""}],"container-title":"AMS Review","id":"ITEM-1","issue":"1-2","issued":{"date-parts":[["2016"]]},"page":"1-16","title":"Reflections on customer-based brand equity: perspectives, progress, and priorities","type":"article-journal","volume":"6"},"uris":["http://www.mendeley.com/documents/?uuid=21e2b836-2d6e-4b3e-b41f-0e65dd603e4a"]}],"mendeley":{"formattedCitation":"(Keller, 2016)","plainTextFormattedCitation":"(Keller, 2016)","previouslyFormattedCitation":"(Keller, 2016)"},"properties":{"noteIndex":0},"schema":"https://github.com/citation-style-language/schema/raw/master/csl-citation.json"}</w:instrText>
      </w:r>
      <w:r w:rsidR="004C3ACA"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(Keller, 2016)</w:t>
      </w:r>
      <w:r w:rsidR="004C3ACA"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w:t>
      </w:r>
    </w:p>
    <w:p w14:paraId="2F4CA90B" w14:textId="39AAD3EC" w:rsidR="003B6176" w:rsidRPr="0040120E" w:rsidRDefault="002E6B39" w:rsidP="003B6176">
      <w:pPr>
        <w:autoSpaceDE w:val="0"/>
        <w:autoSpaceDN w:val="0"/>
        <w:adjustRightInd w:val="0"/>
        <w:spacing w:after="0"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Brand management researchers consider heritage as a concept aiming to study how managers use representations of the past</w:t>
      </w:r>
      <w:r w:rsidR="00D03DB1" w:rsidRPr="0040120E">
        <w:rPr>
          <w:rFonts w:ascii="Times New Roman" w:hAnsi="Times New Roman" w:cs="Times New Roman"/>
          <w:sz w:val="24"/>
          <w:szCs w:val="24"/>
          <w:lang w:val="en-GB"/>
        </w:rPr>
        <w:t>.</w:t>
      </w:r>
      <w:r w:rsidR="00A742BA" w:rsidRPr="0040120E">
        <w:rPr>
          <w:rFonts w:ascii="Times New Roman" w:hAnsi="Times New Roman" w:cs="Times New Roman"/>
          <w:sz w:val="24"/>
          <w:szCs w:val="24"/>
          <w:lang w:val="en-GB"/>
        </w:rPr>
        <w:t xml:space="preserve"> </w:t>
      </w:r>
      <w:r w:rsidR="00964F73" w:rsidRPr="0040120E">
        <w:rPr>
          <w:rFonts w:ascii="Times New Roman" w:hAnsi="Times New Roman" w:cs="Times New Roman"/>
          <w:sz w:val="24"/>
          <w:szCs w:val="24"/>
          <w:lang w:val="en-GB"/>
        </w:rPr>
        <w:t xml:space="preserve">As </w:t>
      </w:r>
      <w:r w:rsidR="009F4FEF" w:rsidRPr="0040120E">
        <w:rPr>
          <w:rFonts w:ascii="Times New Roman" w:hAnsi="Times New Roman" w:cs="Times New Roman"/>
          <w:sz w:val="24"/>
          <w:szCs w:val="24"/>
          <w:lang w:val="en-GB"/>
        </w:rPr>
        <w:t xml:space="preserve">with </w:t>
      </w:r>
      <w:r w:rsidR="00964F73" w:rsidRPr="0040120E">
        <w:rPr>
          <w:rFonts w:ascii="Times New Roman" w:hAnsi="Times New Roman" w:cs="Times New Roman"/>
          <w:sz w:val="24"/>
          <w:szCs w:val="24"/>
          <w:lang w:val="en-GB"/>
        </w:rPr>
        <w:t xml:space="preserve">many brand concepts, heritage can be </w:t>
      </w:r>
      <w:r w:rsidR="00964F73" w:rsidRPr="0040120E">
        <w:rPr>
          <w:rFonts w:ascii="Times New Roman" w:hAnsi="Times New Roman" w:cs="Times New Roman"/>
          <w:sz w:val="24"/>
          <w:szCs w:val="24"/>
          <w:lang w:val="en-GB"/>
        </w:rPr>
        <w:lastRenderedPageBreak/>
        <w:t>considered from an internal perspective as a resource, and from an external perspective as a set of brand associations.</w:t>
      </w:r>
      <w:r w:rsidR="00D03DB1" w:rsidRPr="0040120E">
        <w:rPr>
          <w:rFonts w:ascii="Times New Roman" w:hAnsi="Times New Roman" w:cs="Times New Roman"/>
          <w:sz w:val="24"/>
          <w:szCs w:val="24"/>
          <w:lang w:val="en-GB"/>
        </w:rPr>
        <w:t xml:space="preserve"> </w:t>
      </w:r>
      <w:r w:rsidR="00A742BA" w:rsidRPr="0040120E">
        <w:rPr>
          <w:rFonts w:ascii="Times New Roman" w:hAnsi="Times New Roman" w:cs="Times New Roman"/>
          <w:sz w:val="24"/>
          <w:szCs w:val="24"/>
          <w:lang w:val="en-GB"/>
        </w:rPr>
        <w:t>It is different from heritage branding, which is an organisational disposition leading to base product and corporate branding on corporate heritage</w:t>
      </w:r>
      <w:r w:rsidR="00A742BA" w:rsidRPr="0040120E" w:rsidDel="00A742BA">
        <w:rPr>
          <w:rFonts w:ascii="Times New Roman" w:hAnsi="Times New Roman" w:cs="Times New Roman"/>
          <w:sz w:val="24"/>
          <w:szCs w:val="24"/>
          <w:lang w:val="en-GB"/>
        </w:rPr>
        <w:t xml:space="preserve"> </w:t>
      </w:r>
      <w:r w:rsidR="00A742BA" w:rsidRPr="0040120E">
        <w:rPr>
          <w:rFonts w:ascii="Times New Roman" w:hAnsi="Times New Roman" w:cs="Times New Roman"/>
          <w:sz w:val="24"/>
          <w:szCs w:val="24"/>
          <w:lang w:val="en-GB"/>
        </w:rPr>
        <w:t xml:space="preserve">(Santos et al., 2016). Authors also distinguish the concept of brand heritage from the category of heritage brands: the brands whose positioning is based on the activation of brand heritage (Urde et al., 2007). Brand heritage is first defined as a dimension of the brand’s identity, a resource that can be uncovered, activated and protected (Urde et al., 2007).  To assess the presence and activation of this dimension, researchers look for </w:t>
      </w:r>
      <w:r w:rsidR="00D03DB1" w:rsidRPr="0040120E">
        <w:rPr>
          <w:rFonts w:ascii="Times New Roman" w:hAnsi="Times New Roman" w:cs="Times New Roman"/>
          <w:sz w:val="24"/>
          <w:szCs w:val="24"/>
          <w:lang w:val="en-GB"/>
        </w:rPr>
        <w:t>a series of identifiable characteristics: the use of symbols in the promotional material, the existence of long-standing track records among the sta</w:t>
      </w:r>
      <w:r w:rsidR="002D7072" w:rsidRPr="0040120E">
        <w:rPr>
          <w:rFonts w:ascii="Times New Roman" w:hAnsi="Times New Roman" w:cs="Times New Roman"/>
          <w:sz w:val="24"/>
          <w:szCs w:val="24"/>
          <w:lang w:val="en-GB"/>
        </w:rPr>
        <w:t>keholders, or the shared organis</w:t>
      </w:r>
      <w:r w:rsidR="00D03DB1" w:rsidRPr="0040120E">
        <w:rPr>
          <w:rFonts w:ascii="Times New Roman" w:hAnsi="Times New Roman" w:cs="Times New Roman"/>
          <w:sz w:val="24"/>
          <w:szCs w:val="24"/>
          <w:lang w:val="en-GB"/>
        </w:rPr>
        <w:t xml:space="preserve">ational interest for history, </w:t>
      </w:r>
      <w:r w:rsidR="009F4FEF" w:rsidRPr="0040120E">
        <w:rPr>
          <w:rFonts w:ascii="Times New Roman" w:hAnsi="Times New Roman" w:cs="Times New Roman"/>
          <w:sz w:val="24"/>
          <w:szCs w:val="24"/>
          <w:lang w:val="en-GB"/>
        </w:rPr>
        <w:t xml:space="preserve">all of which </w:t>
      </w:r>
      <w:r w:rsidR="00D03DB1" w:rsidRPr="0040120E">
        <w:rPr>
          <w:rFonts w:ascii="Times New Roman" w:hAnsi="Times New Roman" w:cs="Times New Roman"/>
          <w:sz w:val="24"/>
          <w:szCs w:val="24"/>
          <w:lang w:val="en-GB"/>
        </w:rPr>
        <w:t xml:space="preserve">indicate the salience of brand heritage in a company </w:t>
      </w:r>
      <w:r w:rsidR="00D03DB1"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{"citationItems":[{"id":"ITEM-1","itemData":{"DOI":"10.1057/palgrave.bm.2550106","ISBN":"1350231X","ISSN":"1350-231X","PMID":"26435846","abstract":"This paper articulates a concept of ‚Äòheritage brands‚Äô,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marketing.","author":[{"dropping-particle":"","family":"Urde","given":"Mats","non-dropping-particle":"","parse-names":false,"suffix":""},{"dropping-particle":"","family":"Greyser","given":"Stephen A","non-dropping-particle":"","parse-names":false,"suffix":""},{"dropping-particle":"","family":"Balmer","given":"John M T","non-dropping-particle":"","parse-names":false,"suffix":""}],"container-title":"Journal of Brand Management","id":"ITEM-1","issue":"1","issued":{"date-parts":[["2007"]]},"page":"4-19","title":"Corporate brands with a heritage","type":"article-journal","volume":"15"},"uris":["http://www.mendeley.com/documents/?uuid=867ee612-ee86-40d1-9ceb-f12530b951e9"]}],"mendeley":{"formattedCitation":"(Urde et al., 2007)","plainTextFormattedCitation":"(Urde et al., 2007)","previouslyFormattedCitation":"(Urde et al., 2007)"},"properties":{"noteIndex":0},"schema":"https://github.com/citation-style-language/schema/raw/master/csl-citation.json"}</w:instrText>
      </w:r>
      <w:r w:rsidR="00D03DB1" w:rsidRPr="0040120E">
        <w:rPr>
          <w:rFonts w:ascii="Times New Roman" w:hAnsi="Times New Roman" w:cs="Times New Roman"/>
          <w:sz w:val="24"/>
          <w:szCs w:val="24"/>
          <w:lang w:val="en-GB"/>
        </w:rPr>
        <w:fldChar w:fldCharType="separate"/>
      </w:r>
      <w:r w:rsidR="00D03DB1" w:rsidRPr="0040120E">
        <w:rPr>
          <w:rFonts w:ascii="Times New Roman" w:hAnsi="Times New Roman" w:cs="Times New Roman"/>
          <w:noProof/>
          <w:sz w:val="24"/>
          <w:szCs w:val="24"/>
          <w:lang w:val="en-GB"/>
        </w:rPr>
        <w:t>(Urde et al., 2007)</w:t>
      </w:r>
      <w:r w:rsidR="00D03DB1" w:rsidRPr="0040120E">
        <w:rPr>
          <w:rFonts w:ascii="Times New Roman" w:hAnsi="Times New Roman" w:cs="Times New Roman"/>
          <w:sz w:val="24"/>
          <w:szCs w:val="24"/>
          <w:lang w:val="en-GB"/>
        </w:rPr>
        <w:fldChar w:fldCharType="end"/>
      </w:r>
      <w:r w:rsidR="00D03DB1" w:rsidRPr="0040120E">
        <w:rPr>
          <w:rFonts w:ascii="Times New Roman" w:hAnsi="Times New Roman" w:cs="Times New Roman"/>
          <w:sz w:val="24"/>
          <w:szCs w:val="24"/>
          <w:lang w:val="en-GB"/>
        </w:rPr>
        <w:t xml:space="preserve">. In an empirical context, this </w:t>
      </w:r>
      <w:r w:rsidR="00A742BA" w:rsidRPr="0040120E">
        <w:rPr>
          <w:rFonts w:ascii="Times New Roman" w:hAnsi="Times New Roman" w:cs="Times New Roman"/>
          <w:sz w:val="24"/>
          <w:szCs w:val="24"/>
          <w:lang w:val="en-GB"/>
        </w:rPr>
        <w:t xml:space="preserve">view of brand heritage </w:t>
      </w:r>
      <w:r w:rsidR="00D03DB1" w:rsidRPr="0040120E">
        <w:rPr>
          <w:rFonts w:ascii="Times New Roman" w:hAnsi="Times New Roman" w:cs="Times New Roman"/>
          <w:sz w:val="24"/>
          <w:szCs w:val="24"/>
          <w:lang w:val="en-GB"/>
        </w:rPr>
        <w:t xml:space="preserve">requires access to </w:t>
      </w:r>
      <w:r w:rsidR="000C749D" w:rsidRPr="0040120E">
        <w:rPr>
          <w:rFonts w:ascii="Times New Roman" w:hAnsi="Times New Roman" w:cs="Times New Roman"/>
          <w:sz w:val="24"/>
          <w:szCs w:val="24"/>
          <w:lang w:val="en-GB"/>
        </w:rPr>
        <w:t>internal</w:t>
      </w:r>
      <w:r w:rsidR="00D03DB1" w:rsidRPr="0040120E">
        <w:rPr>
          <w:rFonts w:ascii="Times New Roman" w:hAnsi="Times New Roman" w:cs="Times New Roman"/>
          <w:sz w:val="24"/>
          <w:szCs w:val="24"/>
          <w:lang w:val="en-GB"/>
        </w:rPr>
        <w:t xml:space="preserve"> data. </w:t>
      </w:r>
      <w:r w:rsidR="00964F73" w:rsidRPr="0040120E">
        <w:rPr>
          <w:rFonts w:ascii="Times New Roman" w:hAnsi="Times New Roman" w:cs="Times New Roman"/>
          <w:sz w:val="24"/>
          <w:szCs w:val="24"/>
          <w:lang w:val="en-GB"/>
        </w:rPr>
        <w:t>Referring to</w:t>
      </w:r>
      <w:r w:rsidR="00D03DB1" w:rsidRPr="0040120E">
        <w:rPr>
          <w:rFonts w:ascii="Times New Roman" w:hAnsi="Times New Roman" w:cs="Times New Roman"/>
          <w:sz w:val="24"/>
          <w:szCs w:val="24"/>
          <w:lang w:val="en-GB"/>
        </w:rPr>
        <w:t xml:space="preserve"> this definition and framework, other researchers look at the use of brand heritage in</w:t>
      </w:r>
      <w:r w:rsidRPr="0040120E">
        <w:rPr>
          <w:rFonts w:ascii="Times New Roman" w:hAnsi="Times New Roman" w:cs="Times New Roman"/>
          <w:sz w:val="24"/>
          <w:szCs w:val="24"/>
          <w:lang w:val="en-GB"/>
        </w:rPr>
        <w:t xml:space="preserve"> the positioning strategies</w:t>
      </w:r>
      <w:r w:rsidR="003B6176" w:rsidRPr="0040120E">
        <w:rPr>
          <w:rFonts w:ascii="Times New Roman" w:hAnsi="Times New Roman" w:cs="Times New Roman"/>
          <w:sz w:val="24"/>
          <w:szCs w:val="24"/>
          <w:lang w:val="en-GB"/>
        </w:rPr>
        <w:t>: for example</w:t>
      </w:r>
      <w:r w:rsidR="009F4FEF" w:rsidRPr="0040120E">
        <w:rPr>
          <w:rFonts w:ascii="Times New Roman" w:hAnsi="Times New Roman" w:cs="Times New Roman"/>
          <w:sz w:val="24"/>
          <w:szCs w:val="24"/>
          <w:lang w:val="en-GB"/>
        </w:rPr>
        <w:t>,</w:t>
      </w:r>
      <w:r w:rsidR="003B6176" w:rsidRPr="0040120E">
        <w:rPr>
          <w:rFonts w:ascii="Times New Roman" w:hAnsi="Times New Roman" w:cs="Times New Roman"/>
          <w:sz w:val="24"/>
          <w:szCs w:val="24"/>
          <w:lang w:val="en-GB"/>
        </w:rPr>
        <w:t xml:space="preserve"> the role of brand heritage in brand extension </w:t>
      </w:r>
      <w:r w:rsidR="003B6176"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{"citationItems":[{"id":"ITEM-1","itemData":{"DOI":"10.1108/JPBM-02-2014-0499","ISBN":"9780749464912","ISSN":"1061-0421","PMID":"7754995","abstract":"Considering a long-term perspective and the discourse directly emitted by brands; the aim is to study how can brand extension potential be predicted through the analysis of brand contracts? Design/methodology/approach - Using a structural semiotic approach; we analyse the discourse of twelve luxury brands. We first define the brand narratives and we categorise them in three types of contracts: delimitation; determination and mastery. Thus we analyse the openness of each brand contract; using the oppositions \"open – closed\" and \"continuous – discontinuous\". Finally; we study simultaneously the openness of several contracts. Findings - Three groups of brands are identified. -Brands anchored in both determination and mastery contracts defined as open (high extendibility); -Brands anchored in a determination contract defined as open; as well as in a mastery contract defined as closed (low extendibility); -Brands anchored in a mastery contract defined as open as well as in a determination contract defined as not closed (high extendibility; but risks of diluting the brand value). Research limitations/implications - Compared with extensions actually developed by these brands; the results are discussed and strategies are proposed to maximize the long-term brand development when the brand extension potential is low. Only studied on products; it would be interesting to complete this analysis in services. Originality/value - The main contribution is the focus on brand narratives and contracts to predict the brand extensibility of luxury brands. Structural semiotics provides another original insight;","author":[{"dropping-particle":"","family":"Veg-Sala","given":"Nathalie","non-dropping-particle":"","parse-names":false,"suffix":""},{"dropping-particle":"","family":"Roux","given":"Elyette","non-dropping-particle":"","parse-names":false,"suffix":""}],"container-title":"Journal of Product &amp; Brand Management","id":"ITEM-1","issue":"2","issued":{"date-parts":[["2014"]]},"page":"103-113","title":"A semiotic analysis of the extendibility of luxury brands","type":"article-journal","volume":"23"},"uris":["http://www.mendeley.com/documents/?uuid=4a504022-36df-4359-9a56-9e6077b3ffd4"]}],"mendeley":{"formattedCitation":"(Veg-Sala &amp; Roux, 2014)","plainTextFormattedCitation":"(Veg-Sala &amp; Roux, 2014)","previouslyFormattedCitation":"(Veg-Sala &amp; Roux, 2014)"},"properties":{"noteIndex":0},"schema":"https://github.com/citation-style-language/schema/raw/master/csl-citation.json"}</w:instrText>
      </w:r>
      <w:r w:rsidR="003B6176"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(Veg-Sala &amp; Roux, 2014)</w:t>
      </w:r>
      <w:r w:rsidR="003B6176" w:rsidRPr="0040120E">
        <w:rPr>
          <w:rFonts w:ascii="Times New Roman" w:hAnsi="Times New Roman" w:cs="Times New Roman"/>
          <w:sz w:val="24"/>
          <w:szCs w:val="24"/>
          <w:lang w:val="en-GB"/>
        </w:rPr>
        <w:fldChar w:fldCharType="end"/>
      </w:r>
      <w:r w:rsidR="003B6176" w:rsidRPr="0040120E">
        <w:rPr>
          <w:rFonts w:ascii="Times New Roman" w:hAnsi="Times New Roman" w:cs="Times New Roman"/>
          <w:sz w:val="24"/>
          <w:szCs w:val="24"/>
          <w:lang w:val="en-GB"/>
        </w:rPr>
        <w:t xml:space="preserve">, in brand revival </w:t>
      </w:r>
      <w:r w:rsidR="003B6176"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{"citationItems":[{"id":"ITEM-1","itemData":{"DOI":"10.1108/03090561111151880","ISBN":"1593761139 9781593761134","ISSN":"0309-0566","PMID":"42012058","abstract":"Purpose – Brand heritage is an emerging concept within the marketing discipline, which suggests that the historical status of older companies is often explicitly linked to their brand identity and consumer appeal. The aim of this paper is to illustrate and validate this concept. Design/methodology/approach – This paper provides a profile of the Cunard Line, which offers limited evidence to support prior conceptual work by other scholars. The paper uses historical research methods to illustrate the principles of brand heritage within a specific circumstance. Findings – Heritage is central to the brand identity of Cunard and was a significant factor in the recent turnaround of the company. This paper demonstrates the nature and power of the brand heritage concept, even within a future-oriented repositioning effort. Research limitations/implications – Although the example of Cunard validates the brand heritage concept in a specific instance, it does not offer evidence that brand heritage is a universal phenomenon. Practical implications – Brand heritage should be included within the repertoires of marketing strategists and brand managers. Executives of older companies should be aware of this approach and should consider the potential to exploit heritage for competitive advantage. Originality/value – This paper offers original research to support prior conceptual scholarship on the emerging topic of brand heritage","author":[{"dropping-particle":"","family":"Hudson","given":"Bradford T.","non-dropping-particle":"","parse-names":false,"suffix":""}],"container-title":"European Journal of Marketing","id":"ITEM-1","issue":"9/10","issued":{"date-parts":[["2011"]]},"page":"1538-1556","title":"Brand heritage and the renaissance of Cunard","type":"article-journal","volume":"45"},"uris":["http://www.mendeley.com/documents/?uuid=b8fca23d-0679-499e-948e-919b1e09c0c0"]},{"id":"ITEM-2","itemData":{"DOI":"10.1057/bm.2015.48","ISSN":"14791803","abstract":"The notion of heritage branding orientation is introduced and explicated. Heritage branding orientation is designated as embracing both product and corporate brands and differs from corporate heritage brand orientation which has an explicit corporate focus. Empirical insights are drawn from an in-depth and longitudinal case study of Ach. Brito, a celebrated Portuguese manufacturer of soaps and toiletries. This study shows how, by the pursuance of a strategy derived from a heritage branding orientation, Ach. Brito – after a prolonged period of decline – achieved a dramatic strategic turnaround. The findings reveal how institutional heritage can be a strategic resource via its adoption and activation at both the product and corporate levels. Moreover, the study explains how the bi-lateral interplay between product and corporate brand levels can be mutually reinforcing. In instrumental terms, the study demonstrates how heritage can be activated and articulated in different ways. For instance, it can reposition both product and/or corporate brands; it can be meaningfully informed by product brand heritage and shape corporate heritage and can be of strategic importance to both medium-sized and small enterprises.","author":[{"dropping-particle":"","family":"Santos","given":"Fernando Pinto","non-dropping-particle":"","parse-names":false,"suffix":""},{"dropping-particle":"","family":"Burghausen","given":"Mario","non-dropping-particle":"","parse-names":false,"suffix":""},{"dropping-particle":"","family":"Balmer","given":"John M T","non-dropping-particle":"","parse-names":false,"suffix":""}],"container-title":"Journal of Brand Management","id":"ITEM-2","issue":"1","issued":{"date-parts":[["2016"]]},"page":"67-88","title":"Heritage branding orientation: The case of Ach. Brito and the dynamics between corporate and product heritage brands","type":"article-journal","volume":"23"},"uris":["http://www.mendeley.com/documents/?uuid=1cc77621-2036-4e00-bd2d-93b8ac02f3dd"]},{"id":"ITEM-3","itemData":{"DOI":"10.1080/0267257X.2017.1409793","ISSN":"14721376","abstract":"Brand iconisation refers to the way a brand comes to symbolise the values, needs, and aspirations of the members of a particular cultural group. More than a decade of research has emphasised the many benefits that iconic brands bring to companies and has identified how brands become icons through a process of matching with cultural opportunities emerging in society. However, the way an iconic brand comes to be de-iconicised and how managers can shield brands from this risk is still under-researched. The aim of this paper is to contribute to knowledge regarding iconic brands by following the life of one iconic brand at national level, examining its history and its impact from the point of view of cultural performance. Our research contributes to the field of cultural branding through a genealogical study of how a brand becomes a national icon before becoming de-iconicised as circumstances change. Our research identifies five types of brand episode that can lead to de-iconisation. Our research therefore adds new developments to iconic brand theory. It also contributes to discussing the concept of iconic brand resilience, mainly through the role of cultural intermediaries, such as filmmakers.","author":[{"dropping-particle":"","family":"Testa","given":"Pierpaolo","non-dropping-particle":"","parse-names":false,"suffix":""},{"dropping-particle":"","family":"Cova","given":"Bernard","non-dropping-particle":"","parse-names":false,"suffix":""},{"dropping-particle":"","family":"Cantone","given":"Luigi","non-dropping-particle":"","parse-names":false,"suffix":""}],"container-title":"Journal of Marketing Management","id":"ITEM-3","issue":"17-18","issued":{"date-parts":[["2017"]]},"page":"1490-1521","publisher":"Routledge","title":"The process of de-iconisation of an iconic brand: a genealogical approach","type":"article-journal","volume":"33"},"uris":["http://www.mendeley.com/documents/?uuid=0eafadc5-1e33-437b-be0c-e7793474c721"]}],"mendeley":{"formattedCitation":"(Hudson, 2011; Santos, Burghausen, &amp; Balmer, 2016; Testa, Cova, &amp; Cantone, 2017)","plainTextFormattedCitation":"(Hudson, 2011; Santos, Burghausen, &amp; Balmer, 2016; Testa, Cova, &amp; Cantone, 2017)","previouslyFormattedCitation":"(Hudson, 2011; Santos, Burghausen, &amp; Balmer, 2016; Testa, Cova, &amp; Cantone, 2017)"},"properties":{"noteIndex":0},"schema":"https://github.com/citation-style-language/schema/raw/master/csl-citation.json"}</w:instrText>
      </w:r>
      <w:r w:rsidR="003B6176" w:rsidRPr="0040120E">
        <w:rPr>
          <w:rFonts w:ascii="Times New Roman" w:hAnsi="Times New Roman" w:cs="Times New Roman"/>
          <w:sz w:val="24"/>
          <w:szCs w:val="24"/>
          <w:lang w:val="en-GB"/>
        </w:rPr>
        <w:fldChar w:fldCharType="separate"/>
      </w:r>
      <w:r w:rsidR="0087638D" w:rsidRPr="0040120E">
        <w:rPr>
          <w:rFonts w:ascii="Times New Roman" w:hAnsi="Times New Roman" w:cs="Times New Roman"/>
          <w:noProof/>
          <w:sz w:val="24"/>
          <w:szCs w:val="24"/>
          <w:lang w:val="en-GB"/>
        </w:rPr>
        <w:t>(Hudson, 2011; Santos, Burghausen, &amp; Balmer, 2016; Testa, Cova, &amp; Cantone, 2017)</w:t>
      </w:r>
      <w:r w:rsidR="003B6176" w:rsidRPr="0040120E">
        <w:rPr>
          <w:rFonts w:ascii="Times New Roman" w:hAnsi="Times New Roman" w:cs="Times New Roman"/>
          <w:sz w:val="24"/>
          <w:szCs w:val="24"/>
          <w:lang w:val="en-GB"/>
        </w:rPr>
        <w:fldChar w:fldCharType="end"/>
      </w:r>
      <w:r w:rsidR="003B6176" w:rsidRPr="0040120E">
        <w:rPr>
          <w:rFonts w:ascii="Times New Roman" w:hAnsi="Times New Roman" w:cs="Times New Roman"/>
          <w:sz w:val="24"/>
          <w:szCs w:val="24"/>
          <w:lang w:val="en-GB"/>
        </w:rPr>
        <w:t xml:space="preserve"> or in international expansions</w:t>
      </w:r>
      <w:r w:rsidR="002577BE" w:rsidRPr="0040120E">
        <w:rPr>
          <w:rFonts w:ascii="Times New Roman" w:hAnsi="Times New Roman" w:cs="Times New Roman"/>
          <w:sz w:val="24"/>
          <w:szCs w:val="24"/>
          <w:lang w:val="en-GB"/>
        </w:rPr>
        <w:t xml:space="preserve"> </w:t>
      </w:r>
      <w:r w:rsidR="002577BE"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{"citationItems":[{"id":"ITEM-1","itemData":{"DOI":"10.1108/10610421111166595","ISBN":"1061042111","ISSN":"1061-0421","abstract":"Purpose: Brand heritage is acknowledged as one of the future priorities in branding research. Adopting it in an international context is challenging. In order to maximise its use it is necessary to know how strong it and the target country's cultural heritage are. Accordingly, the aim of the study is to construct a pioneering operationalisation of both brand and cultural heritage. Design/methodology/approach: The study begins with a discussion on the focal concepts. Definitions are proposed and suggestions for operationalisation put forward. Thereafter, the concepts are applied in an analysis of brand heritage in different countries. Findings: It is suggested that brand heritage is a mixture of the history as well as the consistency and continuity of core values, product brands, and visual symbols. A country's cultural heritage could be conceived of as homogeneity and endurance. Research limitations/implications: The preliminary operationalisation of the concept needs to be further tested. Nevertheless, the clarification and suggestions offered here should open up opportunities for further research. Practical implications: The exploitation of brand heritage in international markets is likely to be further accentuated. The operationalisations generated are easy for practitioners to apply, enabling companies to better evaluate what brand heritage means for them and to effectively plan its use in an international setting. Originality/value: To the authors' knowledge, this study is the first to suggest operationalisations of brand heritage and cultural heritage. © Emerald Group Publishing Limited.","author":[{"dropping-particle":"","family":"Hakala","given":"Ulla","non-dropping-particle":"","parse-names":false,"suffix":""},{"dropping-particle":"","family":"Lätti","given":"Sonja","non-dropping-particle":"","parse-names":false,"suffix":""},{"dropping-particle":"","family":"Sandberg","given":"Birgitta","non-dropping-particle":"","parse-names":false,"suffix":""}],"container-title":"Journal of Product &amp; Brand Management","id":"ITEM-1","issue":"6","issued":{"date-parts":[["2011"]]},"page":"447-456","title":"Operationalising brand heritage and cultural heritage","type":"article-journal","volume":"20"},"uris":["http://www.mendeley.com/documents/?uuid=9d213521-f346-4126-8c3a-c13e4ff38a11"]}],"mendeley":{"formattedCitation":"(Hakala, Lätti, &amp; Sandberg, 2011)","plainTextFormattedCitation":"(Hakala, Lätti, &amp; Sandberg, 2011)","previouslyFormattedCitation":"(Hakala, Lätti, &amp; Sandberg, 2011)"},"properties":{"noteIndex":0},"schema":"https://github.com/citation-style-language/schema/raw/master/csl-citation.json"}</w:instrText>
      </w:r>
      <w:r w:rsidR="002577BE"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(Hakala, Lätti, &amp; Sandberg, 2011)</w:t>
      </w:r>
      <w:r w:rsidR="002577BE" w:rsidRPr="0040120E">
        <w:rPr>
          <w:rFonts w:ascii="Times New Roman" w:hAnsi="Times New Roman" w:cs="Times New Roman"/>
          <w:sz w:val="24"/>
          <w:szCs w:val="24"/>
          <w:lang w:val="en-GB"/>
        </w:rPr>
        <w:fldChar w:fldCharType="end"/>
      </w:r>
      <w:r w:rsidR="002577BE" w:rsidRPr="0040120E">
        <w:rPr>
          <w:rFonts w:ascii="Times New Roman" w:hAnsi="Times New Roman" w:cs="Times New Roman"/>
          <w:sz w:val="24"/>
          <w:szCs w:val="24"/>
          <w:lang w:val="en-GB"/>
        </w:rPr>
        <w:t>.</w:t>
      </w:r>
      <w:r w:rsidR="003B6176" w:rsidRPr="0040120E">
        <w:rPr>
          <w:rFonts w:ascii="Times New Roman" w:hAnsi="Times New Roman" w:cs="Times New Roman"/>
          <w:sz w:val="24"/>
          <w:szCs w:val="24"/>
          <w:lang w:val="en-GB"/>
        </w:rPr>
        <w:t xml:space="preserve"> Other</w:t>
      </w:r>
      <w:r w:rsidR="00652C89" w:rsidRPr="0040120E">
        <w:rPr>
          <w:rFonts w:ascii="Times New Roman" w:hAnsi="Times New Roman" w:cs="Times New Roman"/>
          <w:sz w:val="24"/>
          <w:szCs w:val="24"/>
          <w:lang w:val="en-GB"/>
        </w:rPr>
        <w:t>s</w:t>
      </w:r>
      <w:r w:rsidR="003B6176" w:rsidRPr="0040120E">
        <w:rPr>
          <w:rFonts w:ascii="Times New Roman" w:hAnsi="Times New Roman" w:cs="Times New Roman"/>
          <w:sz w:val="24"/>
          <w:szCs w:val="24"/>
          <w:lang w:val="en-GB"/>
        </w:rPr>
        <w:t xml:space="preserve"> look at its </w:t>
      </w:r>
      <w:r w:rsidR="00964F73" w:rsidRPr="0040120E">
        <w:rPr>
          <w:rFonts w:ascii="Times New Roman" w:hAnsi="Times New Roman" w:cs="Times New Roman"/>
          <w:sz w:val="24"/>
          <w:szCs w:val="24"/>
          <w:lang w:val="en-GB"/>
        </w:rPr>
        <w:t xml:space="preserve">implementation </w:t>
      </w:r>
      <w:r w:rsidR="004C3ACA" w:rsidRPr="0040120E">
        <w:rPr>
          <w:rFonts w:ascii="Times New Roman" w:hAnsi="Times New Roman" w:cs="Times New Roman"/>
          <w:sz w:val="24"/>
          <w:szCs w:val="24"/>
          <w:lang w:val="en-GB"/>
        </w:rPr>
        <w:t>in the marketing mix</w:t>
      </w:r>
      <w:r w:rsidR="003B6176" w:rsidRPr="0040120E">
        <w:rPr>
          <w:rFonts w:ascii="Times New Roman" w:hAnsi="Times New Roman" w:cs="Times New Roman"/>
          <w:sz w:val="24"/>
          <w:szCs w:val="24"/>
          <w:lang w:val="en-GB"/>
        </w:rPr>
        <w:t xml:space="preserve">: in retail </w:t>
      </w:r>
      <w:r w:rsidR="002577BE"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{"citationItems":[{"id":"ITEM-1","itemData":{"DOI":"10.1016/j.jretconser.2014.09.005","ISBN":"18731384","ISSN":"09696989","abstract":"We investigate the concept of the heritage store, that is, the locations that lies at the heart of a brand's identity and history. Based on store observations and interviews with managers and sales personnel in the luxury industry, we analyze the characteristics of heritage stores and their role in the management of heritage brands. We show how managers sacralize a store's heritage to nurture the value proposition of the brand. Our analysis yields new insights into retailing, introducing the concept of the heritage store and emphasizing its sacralizalization. We outline the implications for retail marketing in developing and maintaining the sacralization of heritage stores.","author":[{"dropping-particle":"","family":"Dion","given":"Delphine","non-dropping-particle":"","parse-names":false,"suffix":""},{"dropping-particle":"","family":"Borraz","given":"Stéphane","non-dropping-particle":"","parse-names":false,"suffix":""}],"container-title":"Journal of Retailing and Consumer Services","id":"ITEM-1","issued":{"date-parts":[["2015"]]},"page":"77-84","publisher":"Elsevier","title":"Managing heritage brands: A study of the sacralization of heritage stores in the luxury industry","type":"article-journal","volume":"22"},"uris":["http://www.mendeley.com/documents/?uuid=38031673-96d9-4df5-970c-01169f90767c"]}],"mendeley":{"formattedCitation":"(Dion &amp; Borraz, 2015)","plainTextFormattedCitation":"(Dion &amp; Borraz, 2015)","previouslyFormattedCitation":"(Dion &amp; Borraz, 2015)"},"properties":{"noteIndex":0},"schema":"https://github.com/citation-style-language/schema/raw/master/csl-citation.json"}</w:instrText>
      </w:r>
      <w:r w:rsidR="002577BE"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(Dion &amp; Borraz, 2015)</w:t>
      </w:r>
      <w:r w:rsidR="002577BE" w:rsidRPr="0040120E">
        <w:rPr>
          <w:rFonts w:ascii="Times New Roman" w:hAnsi="Times New Roman" w:cs="Times New Roman"/>
          <w:sz w:val="24"/>
          <w:szCs w:val="24"/>
          <w:lang w:val="en-GB"/>
        </w:rPr>
        <w:fldChar w:fldCharType="end"/>
      </w:r>
      <w:r w:rsidR="003B6176" w:rsidRPr="0040120E">
        <w:rPr>
          <w:rFonts w:ascii="Times New Roman" w:hAnsi="Times New Roman" w:cs="Times New Roman"/>
          <w:sz w:val="24"/>
          <w:szCs w:val="24"/>
          <w:lang w:val="en-GB"/>
        </w:rPr>
        <w:t xml:space="preserve"> or in public relations </w:t>
      </w:r>
      <w:r w:rsidR="003B6176"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{"citationItems":[{"id":"ITEM-1","itemData":{"DOI":"10.1016/j.pubrev.2016.03.009","ISSN":"03638111","abstract":"The paper deals with heritage branding, investigating communication and PR models promoted by historical companies representing Made in Italy in the global market, in order to focus on their distinctive approach to media relations strategies and related practices. The study has adopted a multi-method approach, involving a panel of companies in the food &amp; beverage sector. In-depth interviews from PR professionals highlight the potential of heritage branding to develop an authentic form of storytelling, based on quality branded contents and the strategic management of corporate history, thus cultivating long-standing relationships with the media.","author":[{"dropping-particle":"","family":"Martino","given":"Valentina","non-dropping-particle":"","parse-names":false,"suffix":""},{"dropping-particle":"","family":"Lovari","given":"Alessandro","non-dropping-particle":"","parse-names":false,"suffix":""}],"container-title":"Public Relations Review","id":"ITEM-1","issue":"4","issued":{"date-parts":[["2016"]]},"page":"539-547","publisher":"Elsevier Inc.","title":"When the past makes news: Cultivating media relations through brand heritage","type":"article-journal","volume":"42"},"uris":["http://www.mendeley.com/documents/?uuid=90614a34-60d5-4044-861b-9b52fe8fc1c0"]}],"mendeley":{"formattedCitation":"(Martino &amp; Lovari, 2016)","plainTextFormattedCitation":"(Martino &amp; Lovari, 2016)","previouslyFormattedCitation":"(Martino &amp; Lovari, 2016)"},"properties":{"noteIndex":0},"schema":"https://github.com/citation-style-language/schema/raw/master/csl-citation.json"}</w:instrText>
      </w:r>
      <w:r w:rsidR="003B6176"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(Martino &amp; Lovari, 2016)</w:t>
      </w:r>
      <w:r w:rsidR="003B6176" w:rsidRPr="0040120E">
        <w:rPr>
          <w:rFonts w:ascii="Times New Roman" w:hAnsi="Times New Roman" w:cs="Times New Roman"/>
          <w:sz w:val="24"/>
          <w:szCs w:val="24"/>
          <w:lang w:val="en-GB"/>
        </w:rPr>
        <w:fldChar w:fldCharType="end"/>
      </w:r>
      <w:r w:rsidR="00964F73" w:rsidRPr="0040120E">
        <w:rPr>
          <w:rFonts w:ascii="Times New Roman" w:hAnsi="Times New Roman" w:cs="Times New Roman"/>
          <w:sz w:val="24"/>
          <w:szCs w:val="24"/>
          <w:lang w:val="en-GB"/>
        </w:rPr>
        <w:t>, always from an internal perspective of brand heritage as a resource</w:t>
      </w:r>
      <w:r w:rsidR="003B6176" w:rsidRPr="0040120E">
        <w:rPr>
          <w:rFonts w:ascii="Times New Roman" w:hAnsi="Times New Roman" w:cs="Times New Roman"/>
          <w:sz w:val="24"/>
          <w:szCs w:val="24"/>
          <w:lang w:val="en-GB"/>
        </w:rPr>
        <w:t xml:space="preserve">. </w:t>
      </w:r>
    </w:p>
    <w:p w14:paraId="24A68C0A" w14:textId="63060032" w:rsidR="003B6176" w:rsidRPr="0040120E" w:rsidRDefault="00964F73" w:rsidP="003B6176">
      <w:pPr>
        <w:autoSpaceDE w:val="0"/>
        <w:autoSpaceDN w:val="0"/>
        <w:adjustRightInd w:val="0"/>
        <w:spacing w:after="0"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Brand heritage is also considered an extrinsic attribute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{"citationItems":[{"id":"ITEM-1","itemData":{"DOI":"10.1287/mksc.l050.0153","ISBN":"1576601471","ISSN":"0732-2399","PMID":"23934035","abstract":"Branding has emerged as a top management priority in the last decade due to the growing realization that Branding brands are one of the most valuable intangible assets that firms have. Driven in part by this intense industry interest, academic researchers have explored a number of different brand-related topics in recent years, generat- ing scores of papers, articles, research reports, and books. This paper identifies some of the influential work in the branding area, highlighting what has been learned from an academic perspective on important topics such as brand positioning, brand integration, brand-equity measurement, brand growth, and brand management. The paper also outlines some gaps that exist in the research of branding and brand equity and formulates a series of related research questions. Choice modeling implications of the branding concept and the challenges of incorporating main and interaction effects of branding as well as the impact of competition are discussed.","author":[{"dropping-particle":"","family":"Keller","given":"","non-dropping-particle":"","parse-names":false,"suffix":""},{"dropping-particle":"","family":"Lehmann","given":"Donald R.","non-dropping-particle":"","parse-names":false,"suffix":""}],"container-title":"Marketing Science","id":"ITEM-1","issue":"6","issued":{"date-parts":[["2006"]]},"page":"740-759","title":"Brand and Branding: Research Findings and Future Priorities","type":"article-journal","volume":"25"},"uris":["http://www.mendeley.com/documents/?uuid=b949ceb0-0716-4368-85d4-191d2ac11b55"]}],"mendeley":{"formattedCitation":"(Keller &amp; Lehmann, 2006)","plainTextFormattedCitation":"(Keller &amp; Lehmann, 2006)","previouslyFormattedCitation":"(Keller &amp; Lehmann, 2006)"},"properties":{"noteIndex":0},"schema":"https://github.com/citation-style-language/schema/raw/master/csl-citation.json"}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(Keller &amp; Lehmann, 2006)</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a set of associations based on historical references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{"citationItems":[{"id":"ITEM-1","itemData":{"DOI":"10.1057/bm.2015.26","ISBN":"1350-231X","ISSN":"14791803","abstract":"Recently, considerable academic and management interest has focussed on corporate heritage and, in particular, on the corporate heritage brand notion. This article provides a thorough overview of the field and includes latest developments in the territory including the formal introduction of the organisational heritage concept. Drawing on the extant literature, the article explores five themes relating the broad corporate heritage field: contexts, foundations, fundamentals, advances and empirical insights. This overview also examines key constructs within the domain including corporate heritage brands, corporate heritage identity and organisational heritage. Both theoretical and managerial aspects of the field are addressed. Reference is made to recent empirical contributions and to prominent case study research from Great Britain and China, namely Shepherd Neame (Britain’s oldest brewery with an official founding date of 1698) and Tong Ren Tang (the renowned traditional Chinese medicine corporate brand dating back to 1669).","author":[{"dropping-particle":"","family":"Balmer","given":"John M T","non-dropping-particle":"","parse-names":false,"suffix":""},{"dropping-particle":"","family":"Burghausen","given":"Mario","non-dropping-particle":"","parse-names":false,"suffix":""}],"container-title":"Journal of Brand Management","id":"ITEM-1","issue":"5","issued":{"date-parts":[["2015"]]},"page":"364-384","title":"Explicating corporate heritage, corporate heritage brands and organisational heritage","type":"article-journal","volume":"22"},"uris":["http://www.mendeley.com/documents/?uuid=16e3e72d-26c2-46c4-bb9c-bccf9684a3d2"]},{"id":"ITEM-2","itemData":{"DOI":"10.1108/10610421111166595","ISBN":"1061042111","ISSN":"1061-0421","abstract":"Purpose: Brand heritage is acknowledged as one of the future priorities in branding research. Adopting it in an international context is challenging. In order to maximise its use it is necessary to know how strong it and the target country's cultural heritage are. Accordingly, the aim of the study is to construct a pioneering operationalisation of both brand and cultural heritage. Design/methodology/approach: The study begins with a discussion on the focal concepts. Definitions are proposed and suggestions for operationalisation put forward. Thereafter, the concepts are applied in an analysis of brand heritage in different countries. Findings: It is suggested that brand heritage is a mixture of the history as well as the consistency and continuity of core values, product brands, and visual symbols. A country's cultural heritage could be conceived of as homogeneity and endurance. Research limitations/implications: The preliminary operationalisation of the concept needs to be further tested. Nevertheless, the clarification and suggestions offered here should open up opportunities for further research. Practical implications: The exploitation of brand heritage in international markets is likely to be further accentuated. The operationalisations generated are easy for practitioners to apply, enabling companies to better evaluate what brand heritage means for them and to effectively plan its use in an international setting. Originality/value: To the authors' knowledge, this study is the first to suggest operationalisations of brand heritage and cultural heritage. © Emerald Group Publishing Limited.","author":[{"dropping-particle":"","family":"Hakala","given":"Ulla","non-dropping-particle":"","parse-names":false,"suffix":""},{"dropping-particle":"","family":"Lätti","given":"Sonja","non-dropping-particle":"","parse-names":false,"suffix":""},{"dropping-particle":"","family":"Sandberg","given":"Birgitta","non-dropping-particle":"","parse-names":false,"suffix":""}],"container-title":"Journal of Product &amp; Brand Management","id":"ITEM-2","issue":"6","issued":{"date-parts":[["2011"]]},"page":"447-456","title":"Operationalising brand heritage and cultural heritage","type":"article-journal","volume":"20"},"uris":["http://www.mendeley.com/documents/?uuid=9d213521-f346-4126-8c3a-c13e4ff38a11"]},{"id":"ITEM-3","itemData":{"DOI":"10.1108/03090561111151880","ISBN":"1593761139 9781593761134","ISSN":"0309-0566","PMID":"42012058","abstract":"Purpose – Brand heritage is an emerging concept within the marketing discipline, which suggests that the historical status of older companies is often explicitly linked to their brand identity and consumer appeal. The aim of this paper is to illustrate and validate this concept. Design/methodology/approach – This paper provides a profile of the Cunard Line, which offers limited evidence to support prior conceptual work by other scholars. The paper uses historical research methods to illustrate the principles of brand heritage within a specific circumstance. Findings – Heritage is central to the brand identity of Cunard and was a significant factor in the recent turnaround of the company. This paper demonstrates the nature and power of the brand heritage concept, even within a future-oriented repositioning effort. Research limitations/implications – Although the example of Cunard validates the brand heritage concept in a specific instance, it does not offer evidence that brand heritage is a universal phenomenon. Practical implications – Brand heritage should be included within the repertoires of marketing strategists and brand managers. Executives of older companies should be aware of this approach and should consider the potential to exploit heritage for competitive advantage. Originality/value – This paper offers original research to support prior conceptual scholarship on the emerging topic of brand heritage","author":[{"dropping-particle":"","family":"Hudson","given":"Bradford T.","non-dropping-particle":"","parse-names":false,"suffix":""}],"container-title":"European Journal of Marketing","id":"ITEM-3","issue":"9/10","issued":{"date-parts":[["2011"]]},"page":"1538-1556","title":"Brand heritage and the renaissance of Cunard","type":"article-journal","volume":"45"},"uris":["http://www.mendeley.com/documents/?uuid=b8fca23d-0679-499e-948e-919b1e09c0c0"]}],"mendeley":{"formattedCitation":"(Balmer &amp; Burghausen, 2015; Hakala et al., 2011; Hudson, 2011)","plainTextFormattedCitation":"(Balmer &amp; Burghausen, 2015; Hakala et al., 2011; Hudson, 2011)","previouslyFormattedCitation":"(Balmer &amp; Burghausen, 2015; Hakala et al., 2011; Hudson, 2011)"},"properties":{"noteIndex":0},"schema":"https://github.com/citation-style-language/schema/raw/master/csl-citation.json"}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(Balmer &amp; Burghausen, 2015; Hakala et al., 2011; Hudson, 2011)</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w:t>
      </w:r>
      <w:r w:rsidR="002E6B39" w:rsidRPr="0040120E">
        <w:rPr>
          <w:rFonts w:ascii="Times New Roman" w:hAnsi="Times New Roman" w:cs="Times New Roman"/>
          <w:sz w:val="24"/>
          <w:szCs w:val="24"/>
          <w:lang w:val="en-GB"/>
        </w:rPr>
        <w:t xml:space="preserve">Consumer researchers consider </w:t>
      </w:r>
      <w:r w:rsidRPr="0040120E">
        <w:rPr>
          <w:rFonts w:ascii="Times New Roman" w:hAnsi="Times New Roman" w:cs="Times New Roman"/>
          <w:sz w:val="24"/>
          <w:szCs w:val="24"/>
          <w:lang w:val="en-GB"/>
        </w:rPr>
        <w:t>consumers’ perception of</w:t>
      </w:r>
      <w:r w:rsidR="002577BE" w:rsidRPr="0040120E">
        <w:rPr>
          <w:rFonts w:ascii="Times New Roman" w:hAnsi="Times New Roman" w:cs="Times New Roman"/>
          <w:sz w:val="24"/>
          <w:szCs w:val="24"/>
          <w:lang w:val="en-GB"/>
        </w:rPr>
        <w:t xml:space="preserve"> </w:t>
      </w:r>
      <w:r w:rsidR="002E6B39" w:rsidRPr="0040120E">
        <w:rPr>
          <w:rFonts w:ascii="Times New Roman" w:hAnsi="Times New Roman" w:cs="Times New Roman"/>
          <w:sz w:val="24"/>
          <w:szCs w:val="24"/>
          <w:lang w:val="en-GB"/>
        </w:rPr>
        <w:t>brand heritage</w:t>
      </w:r>
      <w:r w:rsidR="002577BE"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salience</w:t>
      </w:r>
      <w:r w:rsidR="002E6B39" w:rsidRPr="0040120E">
        <w:rPr>
          <w:rFonts w:ascii="Times New Roman" w:hAnsi="Times New Roman" w:cs="Times New Roman"/>
          <w:sz w:val="24"/>
          <w:szCs w:val="24"/>
          <w:lang w:val="en-GB"/>
        </w:rPr>
        <w:t xml:space="preserve">, and its subsequent effect on their overall perception of the brand </w:t>
      </w:r>
      <w:r w:rsidR="002E6B39"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{"citationItems":[{"id":"ITEM-1","itemData":{"DOI":"10.1016/j.jbusres.2015.06.021","ISBN":"0148-2963","ISSN":"01482963","abstract":"This paper examines the consequences of brand heritage. It integrates and builds on previous qualitative studies by developing a nomological network examining: (a) the consequences of brand heritage; (b) its impact on purchase intention; (c) the moderating role of regulatory goal focus and (d) the mediating role of trust, positive emotions, brand attachment and commitment. The research progresses from discovery-oriented exploration, to an experimental examination of the effect of brand heritage (Study 1), to an examination of the mediating variables between brand heritage and purchase intention (Study 2). The findings indicate that brand heritage positively impacts purchase intention, especially for consumers with a low promotion focus, and that brand heritage inspires positive emotions, engenders trust, and facilitates brand attachment and commitment. Theoretical and managerial implications are presented.","author":[{"dropping-particle":"","family":"Rose","given":"Gregory M.","non-dropping-particle":"","parse-names":false,"suffix":""},{"dropping-particle":"","family":"Merchant","given":"Altaf","non-dropping-particle":"","parse-names":false,"suffix":""},{"dropping-particle":"","family":"Orth","given":"Ulrich R.","non-dropping-particle":"","parse-names":false,"suffix":""},{"dropping-particle":"","family":"Horstmann","given":"Florian","non-dropping-particle":"","parse-names":false,"suffix":""}],"container-title":"Journal of Business Research","id":"ITEM-1","issue":"2","issued":{"date-parts":[["2016"]]},"page":"936-943","publisher":"Elsevier B.V.","title":"Emphasizing brand heritage: Does it work? And how?","type":"article-journal","volume":"69"},"uris":["http://www.mendeley.com/documents/?uuid=0941100a-95d7-462c-8c09-12200fa1c359"]},{"id":"ITEM-2","itemData":{"DOI":"10.2753/MTP1069-6679190206","ISBN":"1069667919","ISSN":"1069-6679","PMID":"857424246","abstract":"Heritage brands stand for longevity and sustainability, as proof that the core values and performance of the given products are reliable. Focusing on the automotive industry, the aim of the present study is to analyze the drivers and outcomes of brand heritage, focusing on the functions of the brand as perceived by consumers. To explore the perceived values and outcomes of heritage brands, we present the methodology and the results of our empirical study using a partial least squares–based path modeling approach. Our results show the significant effects of brand heritage on consumers’ attitudes and behaviors related to the given brand.","author":[{"dropping-particle":"","family":"Wiedmann","given":"Klaus-Peter","non-dropping-particle":"","parse-names":false,"suffix":""},{"dropping-particle":"","family":"Hennigs","given":"Nadine","non-dropping-particle":"","parse-names":false,"suffix":""},{"dropping-particle":"","family":"Schmidt","given":"Steffen","non-dropping-particle":"","parse-names":false,"suffix":""},{"dropping-particle":"","family":"Wuestefeld","given":"Thomas","non-dropping-particle":"","parse-names":false,"suffix":""}],"container-title":"The Journal of Marketing Theory and Practice","id":"ITEM-2","issue":"2","issued":{"date-parts":[["2011"]]},"page":"205-220","title":"Drivers and Outcomes of Brand Heritage: Consumers' Perception of Heritage Brands in the Automotive Industry","type":"article-journal","volume":"19"},"uris":["http://www.mendeley.com/documents/?uuid=3ddff792-56e2-432a-81b1-55bbd86b5d5a"]},{"id":"ITEM-3","itemData":{"DOI":"10.1057/bm.2015.20","ISSN":"14791803","abstract":"This article connects consumers' corporate image heritage to a company's corporate brand heritage and sheds further light on the role of consumer understanding in corporate brand heritage. As a theoretical contribution, we propose consumers' corporate image heritage as an additional dimension in Urde et al's corporate heritage model. The qualitative data is two-folded: corporate brand heritage pertain to the company Piaggio and its Vespa brand's communications, and consumers' corporate image heritage to in-depth interviews and observation data from Vespa brand community members. The research reveals that community members' corporate image heritage differs from the company's view of its corporate heritage brand and important dimensions therein. Considering the key role of consumers' corporate image heritage in their corporate image construction processes, corporate brand heritage management should hence involve systematic efforts to identify key dimensions of consumers' corporate image heritage. As instrumental insights, we introduce a tool for analysing the intersection of an organisation's corporate heritage and consumers' image heritage to optimise the balance between these elements. The proposed analytical tool may be used as part of a company's corporate heritage marketing and corporate heritage communication approach. [ABSTRACT FROM AUTHOR]","author":[{"dropping-particle":"","family":"Rindell","given":"Anne","non-dropping-particle":"","parse-names":false,"suffix":""},{"dropping-particle":"","family":"Santos","given":"Fernando Pinto","non-dropping-particle":"","parse-names":false,"suffix":""},{"dropping-particle":"","family":"Lima","given":"Ana Pinto","non-dropping-particle":"De","parse-names":false,"suffix":""}],"container-title":"Journal of Brand Management","id":"ITEM-3","issue":"5","issued":{"date-parts":[["2015"]]},"page":"467-484","title":"Two sides of a coin: Connecting corporate brand heritage to consumers' corporate image heritage","type":"article-journal","volume":"22"},"uris":["http://www.mendeley.com/documents/?uuid=38db2b83-7533-4319-b628-dee21721316e"]}],"mendeley":{"formattedCitation":"(Rindell, Santos, &amp; De Lima, 2015; Rose et al., 2016; Wiedmann et al., 2011)","plainTextFormattedCitation":"(Rindell, Santos, &amp; De Lima, 2015; Rose et al., 2016; Wiedmann et al., 2011)","previouslyFormattedCitation":"(Rindell, Santos, &amp; De Lima, 2015; Rose et al., 2016; Wiedmann et al., 2011)"},"properties":{"noteIndex":0},"schema":"https://github.com/citation-style-language/schema/raw/master/csl-citation.json"}</w:instrText>
      </w:r>
      <w:r w:rsidR="002E6B39"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(Rindell, Santos</w:t>
      </w:r>
      <w:r w:rsidR="00541924" w:rsidRPr="0040120E">
        <w:rPr>
          <w:rFonts w:ascii="Times New Roman" w:hAnsi="Times New Roman" w:cs="Times New Roman"/>
          <w:noProof/>
          <w:sz w:val="24"/>
          <w:szCs w:val="24"/>
          <w:lang w:val="en-GB"/>
        </w:rPr>
        <w:t>,</w:t>
      </w:r>
      <w:r w:rsidR="007E6252" w:rsidRPr="0040120E">
        <w:rPr>
          <w:rFonts w:ascii="Times New Roman" w:hAnsi="Times New Roman" w:cs="Times New Roman"/>
          <w:noProof/>
          <w:sz w:val="24"/>
          <w:szCs w:val="24"/>
          <w:lang w:val="en-GB"/>
        </w:rPr>
        <w:t xml:space="preserve"> &amp; De Lima, 2015; Rose et al., 2016; Wiedmann et al., 2011)</w:t>
      </w:r>
      <w:r w:rsidR="002E6B39" w:rsidRPr="0040120E">
        <w:rPr>
          <w:rFonts w:ascii="Times New Roman" w:hAnsi="Times New Roman" w:cs="Times New Roman"/>
          <w:sz w:val="24"/>
          <w:szCs w:val="24"/>
          <w:lang w:val="en-GB"/>
        </w:rPr>
        <w:fldChar w:fldCharType="end"/>
      </w:r>
      <w:r w:rsidR="002E6B39" w:rsidRPr="0040120E">
        <w:rPr>
          <w:rFonts w:ascii="Times New Roman" w:hAnsi="Times New Roman" w:cs="Times New Roman"/>
          <w:sz w:val="24"/>
          <w:szCs w:val="24"/>
          <w:lang w:val="en-GB"/>
        </w:rPr>
        <w:t xml:space="preserve">. </w:t>
      </w:r>
      <w:r w:rsidR="003B6176"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{"citationItems":[{"id":"ITEM-1","itemData":{"DOI":"10.1057/bm.2015.20","ISSN":"14791803","abstract":"This article connects consumers' corporate image heritage to a company's corporate brand heritage and sheds further light on the role of consumer understanding in corporate brand heritage. As a theoretical contribution, we propose consumers' corporate image heritage as an additional dimension in Urde et al's corporate heritage model. The qualitative data is two-folded: corporate brand heritage pertain to the company Piaggio and its Vespa brand's communications, and consumers' corporate image heritage to in-depth interviews and observation data from Vespa brand community members. The research reveals that community members' corporate image heritage differs from the company's view of its corporate heritage brand and important dimensions therein. Considering the key role of consumers' corporate image heritage in their corporate image construction processes, corporate brand heritage management should hence involve systematic effo</w:instrText>
      </w:r>
      <w:r w:rsidR="003870BB" w:rsidRPr="0040120E">
        <w:rPr>
          <w:rFonts w:ascii="Times New Roman" w:hAnsi="Times New Roman" w:cs="Times New Roman"/>
          <w:sz w:val="24"/>
          <w:szCs w:val="24"/>
          <w:lang w:val="en-US"/>
        </w:rPr>
        <w:instrText>rts to identify key dimensions of consumers' corporate image heritage. As instrumental insights, we introduce a tool for analysing the intersection of an organisation's corporate heritage and consumers' image heritage to optimise the balance between these elements. The proposed analytical tool may be used as part of a company's corporate heritage marketing a</w:instrText>
      </w:r>
      <w:r w:rsidR="003870BB" w:rsidRPr="0040120E">
        <w:rPr>
          <w:rFonts w:ascii="Times New Roman" w:hAnsi="Times New Roman" w:cs="Times New Roman"/>
          <w:sz w:val="24"/>
          <w:szCs w:val="24"/>
          <w:lang w:val="en-GB"/>
        </w:rPr>
        <w:instrText>nd corporate heritage communication approach. [ABSTRACT FROM AUTHOR]","author":[{"dropping-particle":"","family":"Rindell","given":"Anne","non-dropping-particle":"","parse-names":false,"suffix":""},{"dropping-particle":"","family":"Santos","given":"Fernando Pinto","non-dropping-particle":"","parse-names":false,"suffix":""},{"dropping-particle":"","family":"Lima","given":"Ana Pinto","non-dropping-particle":"De","parse-names":false,"suffix":""}],"container-title":"Journal of Brand Management","id":"ITEM-1","issue":"5","issued":{"date-parts":[["2015"]]},"page":"467-484","title":"Two sides of a coin: Connecting corporate brand heritage to consumers' corporate image heritage","type":"article-journal","volume":"22"},"uris":["http://www.mendeley.com/documents/?uuid=38db2b83-7533-4319-b628-dee21721316e"]}],"mendeley":{"formattedCitation":"(Rindell et al., 2015)","manualFormatting":"Rindell et al. (2015)","plainTextFormattedCitation":"(Rindell et al., 2015)","previouslyFormattedCitation":"(Rindell et al., 2015)"},"properties":{"noteIndex":0},"schema":"https://github.com/citation-style-language/schema/raw/master/csl-citation.json"}</w:instrText>
      </w:r>
      <w:r w:rsidR="003B6176" w:rsidRPr="0040120E">
        <w:rPr>
          <w:rFonts w:ascii="Times New Roman" w:hAnsi="Times New Roman" w:cs="Times New Roman"/>
          <w:sz w:val="24"/>
          <w:szCs w:val="24"/>
          <w:lang w:val="en-GB"/>
        </w:rPr>
        <w:fldChar w:fldCharType="separate"/>
      </w:r>
      <w:r w:rsidR="003B6176" w:rsidRPr="0040120E">
        <w:rPr>
          <w:rFonts w:ascii="Times New Roman" w:hAnsi="Times New Roman" w:cs="Times New Roman"/>
          <w:noProof/>
          <w:sz w:val="24"/>
          <w:szCs w:val="24"/>
          <w:lang w:val="en-GB"/>
        </w:rPr>
        <w:t>Rindell et al. (2015)</w:t>
      </w:r>
      <w:r w:rsidR="003B6176" w:rsidRPr="0040120E">
        <w:rPr>
          <w:rFonts w:ascii="Times New Roman" w:hAnsi="Times New Roman" w:cs="Times New Roman"/>
          <w:sz w:val="24"/>
          <w:szCs w:val="24"/>
          <w:lang w:val="en-GB"/>
        </w:rPr>
        <w:fldChar w:fldCharType="end"/>
      </w:r>
      <w:r w:rsidR="003B6176" w:rsidRPr="0040120E">
        <w:rPr>
          <w:rFonts w:ascii="Times New Roman" w:hAnsi="Times New Roman" w:cs="Times New Roman"/>
          <w:sz w:val="24"/>
          <w:szCs w:val="24"/>
          <w:lang w:val="en-GB"/>
        </w:rPr>
        <w:t xml:space="preserve"> find substantial differences between the company’s </w:t>
      </w:r>
      <w:r w:rsidRPr="0040120E">
        <w:rPr>
          <w:rFonts w:ascii="Times New Roman" w:hAnsi="Times New Roman" w:cs="Times New Roman"/>
          <w:sz w:val="24"/>
          <w:szCs w:val="24"/>
          <w:lang w:val="en-GB"/>
        </w:rPr>
        <w:t xml:space="preserve">understanding </w:t>
      </w:r>
      <w:r w:rsidR="003B6176" w:rsidRPr="0040120E">
        <w:rPr>
          <w:rFonts w:ascii="Times New Roman" w:hAnsi="Times New Roman" w:cs="Times New Roman"/>
          <w:sz w:val="24"/>
          <w:szCs w:val="24"/>
          <w:lang w:val="en-GB"/>
        </w:rPr>
        <w:t>of</w:t>
      </w:r>
      <w:r w:rsidRPr="0040120E">
        <w:rPr>
          <w:rFonts w:ascii="Times New Roman" w:hAnsi="Times New Roman" w:cs="Times New Roman"/>
          <w:sz w:val="24"/>
          <w:szCs w:val="24"/>
          <w:lang w:val="en-GB"/>
        </w:rPr>
        <w:t xml:space="preserve"> their</w:t>
      </w:r>
      <w:r w:rsidR="003B6176" w:rsidRPr="0040120E">
        <w:rPr>
          <w:rFonts w:ascii="Times New Roman" w:hAnsi="Times New Roman" w:cs="Times New Roman"/>
          <w:sz w:val="24"/>
          <w:szCs w:val="24"/>
          <w:lang w:val="en-GB"/>
        </w:rPr>
        <w:t xml:space="preserve"> brand’s heritage and the consumers’ definition</w:t>
      </w:r>
      <w:r w:rsidR="00541924" w:rsidRPr="0040120E">
        <w:rPr>
          <w:rFonts w:ascii="Times New Roman" w:hAnsi="Times New Roman" w:cs="Times New Roman"/>
          <w:sz w:val="24"/>
          <w:szCs w:val="24"/>
          <w:lang w:val="en-GB"/>
        </w:rPr>
        <w:t>s</w:t>
      </w:r>
      <w:r w:rsidR="003B6176" w:rsidRPr="0040120E">
        <w:rPr>
          <w:rFonts w:ascii="Times New Roman" w:hAnsi="Times New Roman" w:cs="Times New Roman"/>
          <w:sz w:val="24"/>
          <w:szCs w:val="24"/>
          <w:lang w:val="en-GB"/>
        </w:rPr>
        <w:t xml:space="preserve">. Wiedmann et al. (2011) show that brand heritage has a positive impact on attitudinal </w:t>
      </w:r>
      <w:r w:rsidR="003B6176" w:rsidRPr="0040120E">
        <w:rPr>
          <w:rFonts w:ascii="Times New Roman" w:hAnsi="Times New Roman" w:cs="Times New Roman"/>
          <w:sz w:val="24"/>
          <w:szCs w:val="24"/>
          <w:lang w:val="en-GB"/>
        </w:rPr>
        <w:lastRenderedPageBreak/>
        <w:t xml:space="preserve">and </w:t>
      </w:r>
      <w:r w:rsidR="002D7072" w:rsidRPr="0040120E">
        <w:rPr>
          <w:rFonts w:ascii="Times New Roman" w:hAnsi="Times New Roman" w:cs="Times New Roman"/>
          <w:sz w:val="24"/>
          <w:szCs w:val="24"/>
          <w:lang w:val="en-GB"/>
        </w:rPr>
        <w:t>behavioural</w:t>
      </w:r>
      <w:r w:rsidR="003B6176" w:rsidRPr="0040120E">
        <w:rPr>
          <w:rFonts w:ascii="Times New Roman" w:hAnsi="Times New Roman" w:cs="Times New Roman"/>
          <w:sz w:val="24"/>
          <w:szCs w:val="24"/>
          <w:lang w:val="en-GB"/>
        </w:rPr>
        <w:t xml:space="preserve"> variables in the automobile industry. Using experimental design, Rose et al. (2016) show that an emphasis on heritage leads to higher level</w:t>
      </w:r>
      <w:r w:rsidR="00156DAD" w:rsidRPr="0040120E">
        <w:rPr>
          <w:rFonts w:ascii="Times New Roman" w:hAnsi="Times New Roman" w:cs="Times New Roman"/>
          <w:sz w:val="24"/>
          <w:szCs w:val="24"/>
          <w:lang w:val="en-GB"/>
        </w:rPr>
        <w:t>s</w:t>
      </w:r>
      <w:r w:rsidR="003B6176" w:rsidRPr="0040120E">
        <w:rPr>
          <w:rFonts w:ascii="Times New Roman" w:hAnsi="Times New Roman" w:cs="Times New Roman"/>
          <w:sz w:val="24"/>
          <w:szCs w:val="24"/>
          <w:lang w:val="en-GB"/>
        </w:rPr>
        <w:t xml:space="preserve"> of trust and attachment. </w:t>
      </w:r>
    </w:p>
    <w:p w14:paraId="08ADBC3E" w14:textId="27EF433A" w:rsidR="00580DE3" w:rsidRPr="0040120E" w:rsidRDefault="00D03DB1" w:rsidP="003C144A">
      <w:pPr>
        <w:autoSpaceDE w:val="0"/>
        <w:autoSpaceDN w:val="0"/>
        <w:adjustRightInd w:val="0"/>
        <w:spacing w:after="0"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While Rindell et al. (2015) had secured access to the company’s internal data, Wiedmann et al. (2011) and Rose et al. (2016) only look at consumers’ perceptions through a quantitative design. </w:t>
      </w:r>
      <w:r w:rsidR="00580DE3" w:rsidRPr="0040120E">
        <w:rPr>
          <w:rFonts w:ascii="Times New Roman" w:hAnsi="Times New Roman" w:cs="Times New Roman"/>
          <w:sz w:val="24"/>
          <w:szCs w:val="24"/>
          <w:lang w:val="en-GB"/>
        </w:rPr>
        <w:t xml:space="preserve">Because it requires access to much internal data, </w:t>
      </w:r>
      <w:r w:rsidR="003D3FBA" w:rsidRPr="0040120E">
        <w:rPr>
          <w:rFonts w:ascii="Times New Roman" w:hAnsi="Times New Roman" w:cs="Times New Roman"/>
          <w:sz w:val="24"/>
          <w:szCs w:val="24"/>
          <w:lang w:val="en-GB"/>
        </w:rPr>
        <w:t>Urde et al.</w:t>
      </w:r>
      <w:r w:rsidR="00156DAD" w:rsidRPr="0040120E">
        <w:rPr>
          <w:rFonts w:ascii="Times New Roman" w:hAnsi="Times New Roman" w:cs="Times New Roman"/>
          <w:sz w:val="24"/>
          <w:szCs w:val="24"/>
          <w:lang w:val="en-GB"/>
        </w:rPr>
        <w:t>’s</w:t>
      </w:r>
      <w:r w:rsidR="003D3FBA" w:rsidRPr="0040120E">
        <w:rPr>
          <w:rFonts w:ascii="Times New Roman" w:hAnsi="Times New Roman" w:cs="Times New Roman"/>
          <w:sz w:val="24"/>
          <w:szCs w:val="24"/>
          <w:lang w:val="en-GB"/>
        </w:rPr>
        <w:t xml:space="preserve"> (2007) definition </w:t>
      </w:r>
      <w:r w:rsidR="00580DE3" w:rsidRPr="0040120E">
        <w:rPr>
          <w:rFonts w:ascii="Times New Roman" w:hAnsi="Times New Roman" w:cs="Times New Roman"/>
          <w:sz w:val="24"/>
          <w:szCs w:val="24"/>
          <w:lang w:val="en-GB"/>
        </w:rPr>
        <w:t xml:space="preserve">is not </w:t>
      </w:r>
      <w:r w:rsidR="002D7072" w:rsidRPr="0040120E">
        <w:rPr>
          <w:rFonts w:ascii="Times New Roman" w:hAnsi="Times New Roman" w:cs="Times New Roman"/>
          <w:sz w:val="24"/>
          <w:szCs w:val="24"/>
          <w:lang w:val="en-GB"/>
        </w:rPr>
        <w:t>always easy to operationalis</w:t>
      </w:r>
      <w:r w:rsidR="00580DE3" w:rsidRPr="0040120E">
        <w:rPr>
          <w:rFonts w:ascii="Times New Roman" w:hAnsi="Times New Roman" w:cs="Times New Roman"/>
          <w:sz w:val="24"/>
          <w:szCs w:val="24"/>
          <w:lang w:val="en-GB"/>
        </w:rPr>
        <w:t xml:space="preserve">e when the focus of inquiry is consumer perception. </w:t>
      </w:r>
      <w:r w:rsidR="00964F73" w:rsidRPr="0040120E">
        <w:rPr>
          <w:rFonts w:ascii="Times New Roman" w:hAnsi="Times New Roman" w:cs="Times New Roman"/>
          <w:sz w:val="24"/>
          <w:szCs w:val="24"/>
          <w:lang w:val="en-GB"/>
        </w:rPr>
        <w:t xml:space="preserve">The </w:t>
      </w:r>
      <w:r w:rsidR="00580DE3" w:rsidRPr="0040120E">
        <w:rPr>
          <w:rFonts w:ascii="Times New Roman" w:hAnsi="Times New Roman" w:cs="Times New Roman"/>
          <w:sz w:val="24"/>
          <w:szCs w:val="24"/>
          <w:lang w:val="en-GB"/>
        </w:rPr>
        <w:t xml:space="preserve">definition </w:t>
      </w:r>
      <w:r w:rsidR="00964F73" w:rsidRPr="0040120E">
        <w:rPr>
          <w:rFonts w:ascii="Times New Roman" w:hAnsi="Times New Roman" w:cs="Times New Roman"/>
          <w:sz w:val="24"/>
          <w:szCs w:val="24"/>
          <w:lang w:val="en-GB"/>
        </w:rPr>
        <w:t xml:space="preserve">of brand heritage as a set of associations </w:t>
      </w:r>
      <w:r w:rsidR="00580DE3" w:rsidRPr="0040120E">
        <w:rPr>
          <w:rFonts w:ascii="Times New Roman" w:hAnsi="Times New Roman" w:cs="Times New Roman"/>
          <w:sz w:val="24"/>
          <w:szCs w:val="24"/>
          <w:lang w:val="en-GB"/>
        </w:rPr>
        <w:t xml:space="preserve">might be better suited for consumer research, but it leaves researchers with the questions of the nature and the structure of these associations </w:t>
      </w:r>
      <w:r w:rsidR="00580DE3"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{"citationItems":[{"id":"ITEM-1","itemData":{"author":[{"dropping-particle":"","family":"Keller","given":"Kevin Lane","non-dropping-particle":"","parse-names":false,"suffix":""}],"container-title":"Journal of Marketing","id":"ITEM-1","issue":"January","issued":{"date-parts":[["1993"]]},"page":"1-22","title":"Cocneptualizing, Measuring, and Managing Customer-Based Brand Equity","type":"article-journal","volume":"57"},"uris":["http://www.mendeley.com/documents/?uuid=b2e6258b-892d-41fd-aac1-e3e07d620c02"]}],"mendeley":{"formattedCitation":"(Keller, 1993)","plainTextFormattedCitation":"(Keller, 1993)","previouslyFormattedCitation":"(Keller, 1993)"},"properties":{"noteIndex":0},"schema":"https://github.com/citation-style-language/schema/raw/master/csl-citation.json"}</w:instrText>
      </w:r>
      <w:r w:rsidR="00580DE3"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(Keller, 1993)</w:t>
      </w:r>
      <w:r w:rsidR="00580DE3" w:rsidRPr="0040120E">
        <w:rPr>
          <w:rFonts w:ascii="Times New Roman" w:hAnsi="Times New Roman" w:cs="Times New Roman"/>
          <w:sz w:val="24"/>
          <w:szCs w:val="24"/>
          <w:lang w:val="en-GB"/>
        </w:rPr>
        <w:fldChar w:fldCharType="end"/>
      </w:r>
      <w:r w:rsidR="00580DE3" w:rsidRPr="0040120E">
        <w:rPr>
          <w:rFonts w:ascii="Times New Roman" w:hAnsi="Times New Roman" w:cs="Times New Roman"/>
          <w:sz w:val="24"/>
          <w:szCs w:val="24"/>
          <w:lang w:val="en-GB"/>
        </w:rPr>
        <w:t>.</w:t>
      </w:r>
    </w:p>
    <w:p w14:paraId="77838DFF" w14:textId="59DA0206" w:rsidR="00D03DB1" w:rsidRPr="0040120E" w:rsidRDefault="00580DE3" w:rsidP="003C144A">
      <w:pPr>
        <w:autoSpaceDE w:val="0"/>
        <w:autoSpaceDN w:val="0"/>
        <w:adjustRightInd w:val="0"/>
        <w:spacing w:after="0"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However, c</w:t>
      </w:r>
      <w:r w:rsidR="00D03DB1" w:rsidRPr="0040120E">
        <w:rPr>
          <w:rFonts w:ascii="Times New Roman" w:hAnsi="Times New Roman" w:cs="Times New Roman"/>
          <w:sz w:val="24"/>
          <w:szCs w:val="24"/>
          <w:lang w:val="en-GB"/>
        </w:rPr>
        <w:t>onsumer research</w:t>
      </w:r>
      <w:r w:rsidR="003D3FBA" w:rsidRPr="0040120E">
        <w:rPr>
          <w:rFonts w:ascii="Times New Roman" w:hAnsi="Times New Roman" w:cs="Times New Roman"/>
          <w:sz w:val="24"/>
          <w:szCs w:val="24"/>
          <w:lang w:val="en-GB"/>
        </w:rPr>
        <w:t>ers measuring</w:t>
      </w:r>
      <w:r w:rsidR="00D03DB1" w:rsidRPr="0040120E">
        <w:rPr>
          <w:rFonts w:ascii="Times New Roman" w:hAnsi="Times New Roman" w:cs="Times New Roman"/>
          <w:sz w:val="24"/>
          <w:szCs w:val="24"/>
          <w:lang w:val="en-GB"/>
        </w:rPr>
        <w:t xml:space="preserve"> brand heritage </w:t>
      </w:r>
      <w:r w:rsidR="003D3FBA" w:rsidRPr="0040120E">
        <w:rPr>
          <w:rFonts w:ascii="Times New Roman" w:hAnsi="Times New Roman" w:cs="Times New Roman"/>
          <w:sz w:val="24"/>
          <w:szCs w:val="24"/>
          <w:lang w:val="en-GB"/>
        </w:rPr>
        <w:t>do not address this question</w:t>
      </w:r>
      <w:r w:rsidR="00D03DB1" w:rsidRPr="0040120E">
        <w:rPr>
          <w:rFonts w:ascii="Times New Roman" w:hAnsi="Times New Roman" w:cs="Times New Roman"/>
          <w:sz w:val="24"/>
          <w:szCs w:val="24"/>
          <w:lang w:val="en-GB"/>
        </w:rPr>
        <w:t xml:space="preserve">, </w:t>
      </w:r>
      <w:r w:rsidR="003D3FBA" w:rsidRPr="0040120E">
        <w:rPr>
          <w:rFonts w:ascii="Times New Roman" w:hAnsi="Times New Roman" w:cs="Times New Roman"/>
          <w:sz w:val="24"/>
          <w:szCs w:val="24"/>
          <w:lang w:val="en-GB"/>
        </w:rPr>
        <w:t>which could lead</w:t>
      </w:r>
      <w:r w:rsidR="00D03DB1" w:rsidRPr="0040120E">
        <w:rPr>
          <w:rFonts w:ascii="Times New Roman" w:hAnsi="Times New Roman" w:cs="Times New Roman"/>
          <w:sz w:val="24"/>
          <w:szCs w:val="24"/>
          <w:lang w:val="en-GB"/>
        </w:rPr>
        <w:t xml:space="preserve"> to measurement issues of construct validity, statistical conclusion validity, and internal validity </w:t>
      </w:r>
      <w:r w:rsidR="00D03DB1"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{"citationItems":[{"id":"ITEM-1","itemData":{"DOI":"10.1177/0092070303254130","ISBN":"1040-3590","ISSN":"0033-2941","PMID":"21859901","abstract":"This article presents the Religious Schema Scale (RSS). Its conceptual background is the model of religious styles. After a conceptual discussion of the relation between religious styles and religious schemata, the steps of scale construction are reported. Based on 822 responses from research participants in the United States and Germany to a preliminary 78-item version, we used construct-oriented iterative and factor-analytic procedures for reducing the RSS to a 15-item version that consists of three 5-item subscales with acceptable reliabilities. Confirmatory factor analysis indicates that the RSS has a robust 3-factor structure, which is cross-culturally valid in both the United States and Germany. We report correlations of the RSS with the Big Five, Psychological Well-Being, Religious Fundamentalism, and Right-Wing Authoritarianism. We also present predictive characteristics of the RSS in regard to Fowler's stages of faith. Finally, we report results on the incremental validity of the RSS.","author":[{"dropping-particle":"","family":"MacKenzie","given":"Scott B.","non-dropping-particle":"","parse-names":false,"suffix":""}],"container-title":"Journal of the Academy of Marketing Science","id":"ITEM-1","issue":"3","issued":{"date-parts":[["2003"]]},"page":"323-326","title":"The Dangers of Poor Construct Conceptualization","type":"article-journal","volume":"31"},"uris":["http://www.mendeley.com/documents/?uuid=ce674efd-a033-4f22-bc69-355d1dd7461c"]}],"mendeley":{"formattedCitation":"(MacKenzie, 2003)","plainTextFormattedCitation":"(MacKenzie, 2003)","previouslyFormattedCitation":"(MacKenzie, 2003)"},"properties":{"noteIndex":0},"schema":"https://github.com/citation-style-language/schema/raw/master/csl-citation.json"}</w:instrText>
      </w:r>
      <w:r w:rsidR="00D03DB1" w:rsidRPr="0040120E">
        <w:rPr>
          <w:rFonts w:ascii="Times New Roman" w:hAnsi="Times New Roman" w:cs="Times New Roman"/>
          <w:sz w:val="24"/>
          <w:szCs w:val="24"/>
          <w:lang w:val="en-GB"/>
        </w:rPr>
        <w:fldChar w:fldCharType="separate"/>
      </w:r>
      <w:r w:rsidR="00D03DB1" w:rsidRPr="0040120E">
        <w:rPr>
          <w:rFonts w:ascii="Times New Roman" w:hAnsi="Times New Roman" w:cs="Times New Roman"/>
          <w:noProof/>
          <w:sz w:val="24"/>
          <w:szCs w:val="24"/>
          <w:lang w:val="en-GB"/>
        </w:rPr>
        <w:t>(MacKenzie, 2003)</w:t>
      </w:r>
      <w:r w:rsidR="00D03DB1" w:rsidRPr="0040120E">
        <w:rPr>
          <w:rFonts w:ascii="Times New Roman" w:hAnsi="Times New Roman" w:cs="Times New Roman"/>
          <w:sz w:val="24"/>
          <w:szCs w:val="24"/>
          <w:lang w:val="en-GB"/>
        </w:rPr>
        <w:fldChar w:fldCharType="end"/>
      </w:r>
      <w:r w:rsidR="00D03DB1" w:rsidRPr="0040120E">
        <w:rPr>
          <w:rFonts w:ascii="Times New Roman" w:hAnsi="Times New Roman" w:cs="Times New Roman"/>
          <w:sz w:val="24"/>
          <w:szCs w:val="24"/>
          <w:lang w:val="en-GB"/>
        </w:rPr>
        <w:t xml:space="preserve">. A comparative analysis of the </w:t>
      </w:r>
      <w:r w:rsidR="002D7072" w:rsidRPr="0040120E">
        <w:rPr>
          <w:rFonts w:ascii="Times New Roman" w:hAnsi="Times New Roman" w:cs="Times New Roman"/>
          <w:sz w:val="24"/>
          <w:szCs w:val="24"/>
          <w:lang w:val="en-GB"/>
        </w:rPr>
        <w:t>three existing measures emphasis</w:t>
      </w:r>
      <w:r w:rsidR="00D03DB1" w:rsidRPr="0040120E">
        <w:rPr>
          <w:rFonts w:ascii="Times New Roman" w:hAnsi="Times New Roman" w:cs="Times New Roman"/>
          <w:sz w:val="24"/>
          <w:szCs w:val="24"/>
          <w:lang w:val="en-GB"/>
        </w:rPr>
        <w:t>es two main issues</w:t>
      </w:r>
      <w:r w:rsidR="00240CE4" w:rsidRPr="0040120E">
        <w:rPr>
          <w:rFonts w:ascii="Times New Roman" w:hAnsi="Times New Roman" w:cs="Times New Roman"/>
          <w:sz w:val="24"/>
          <w:szCs w:val="24"/>
          <w:lang w:val="en-GB"/>
        </w:rPr>
        <w:t xml:space="preserve"> </w:t>
      </w:r>
      <w:r w:rsidR="00240CE4" w:rsidRPr="0040120E">
        <w:rPr>
          <w:rFonts w:ascii="Times New Roman" w:hAnsi="Times New Roman" w:cs="Times New Roman"/>
          <w:sz w:val="24"/>
          <w:szCs w:val="24"/>
          <w:lang w:val="en-GB"/>
        </w:rPr>
        <w:fldChar w:fldCharType="begin" w:fldLock="1"/>
      </w:r>
      <w:r w:rsidR="00240CE4" w:rsidRPr="0040120E">
        <w:rPr>
          <w:rFonts w:ascii="Times New Roman" w:hAnsi="Times New Roman" w:cs="Times New Roman"/>
          <w:sz w:val="24"/>
          <w:szCs w:val="24"/>
          <w:lang w:val="en-GB"/>
        </w:rPr>
        <w:instrText>ADDIN CSL_CITATION {"citationItems":[{"id":"ITEM-1","itemData":{"author":[{"dropping-particle":"","family":"Pecot","given":"Fabien","non-dropping-particle":"","parse-names":false,"suffix":""}],"id":"ITEM-1","issued":{"date-parts":[["2016"]]},"publisher":"Aix-Marseille Université","title":"Consumers' responses to brand heritage: cognitive and affective paths","type":"thesis"},"uris":["http://www.mendeley.com/documents/?uuid=d26b807a-e038-4b3a-8d3f-94a2f19cb1ad"]}],"mendeley":{"formattedCitation":"(Pecot, 2016)","plainTextFormattedCitation":"(Pecot, 2016)","previouslyFormattedCitation":"(Pecot, 2016)"},"properties":{"noteIndex":0},"schema":"https://github.com/citation-style-language/schema/raw/master/csl-citation.json"}</w:instrText>
      </w:r>
      <w:r w:rsidR="00240CE4" w:rsidRPr="0040120E">
        <w:rPr>
          <w:rFonts w:ascii="Times New Roman" w:hAnsi="Times New Roman" w:cs="Times New Roman"/>
          <w:sz w:val="24"/>
          <w:szCs w:val="24"/>
          <w:lang w:val="en-GB"/>
        </w:rPr>
        <w:fldChar w:fldCharType="separate"/>
      </w:r>
      <w:r w:rsidR="00240CE4" w:rsidRPr="0040120E">
        <w:rPr>
          <w:rFonts w:ascii="Times New Roman" w:hAnsi="Times New Roman" w:cs="Times New Roman"/>
          <w:noProof/>
          <w:sz w:val="24"/>
          <w:szCs w:val="24"/>
          <w:lang w:val="en-GB"/>
        </w:rPr>
        <w:t>(Pecot, 2016)</w:t>
      </w:r>
      <w:r w:rsidR="00240CE4" w:rsidRPr="0040120E">
        <w:rPr>
          <w:rFonts w:ascii="Times New Roman" w:hAnsi="Times New Roman" w:cs="Times New Roman"/>
          <w:sz w:val="24"/>
          <w:szCs w:val="24"/>
          <w:lang w:val="en-GB"/>
        </w:rPr>
        <w:fldChar w:fldCharType="end"/>
      </w:r>
      <w:r w:rsidR="00D03DB1" w:rsidRPr="0040120E">
        <w:rPr>
          <w:rFonts w:ascii="Times New Roman" w:hAnsi="Times New Roman" w:cs="Times New Roman"/>
          <w:sz w:val="24"/>
          <w:szCs w:val="24"/>
          <w:lang w:val="en-GB"/>
        </w:rPr>
        <w:t>. The first issue relates to the causal relationships: one scale is formative (Wiedmann et al., 2011) while the two others are reflective</w:t>
      </w:r>
      <w:r w:rsidR="002577BE" w:rsidRPr="0040120E">
        <w:rPr>
          <w:rFonts w:ascii="Times New Roman" w:hAnsi="Times New Roman" w:cs="Times New Roman"/>
          <w:sz w:val="24"/>
          <w:szCs w:val="24"/>
          <w:lang w:val="en-GB"/>
        </w:rPr>
        <w:t xml:space="preserve"> </w:t>
      </w:r>
      <w:r w:rsidR="002577BE"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{"citationItems":[{"id":"ITEM-1","itemData":{"DOI":"10.1016/j.jbusres.2012.05.021","ISBN":"0148-2963","ISSN":"01482963","abstract":"Why do people feel emotional attachment to events occurring before they were born? This paper examines ad-evoked vicarious nostalgia-induced longing for a time period that an individual did not live through. Vicarious nostalgia impacts brand heritage and leads to stronger brand attachment. Qualitative research (Study 1) and a literature review identify two vicarious nostalgia dimensions-fantasies about past eras and emotions. Initial quantitative research (Study 2) refines these measures, while subsequent quantitative research (Study 3) relates vicarious nostalgia to both antecedents (alienation, fantasy proneness, and nostalgia proneness) and consequences (brand heritage and brand attachment). Self-referencing moderates the relationship between nostalgia proneness and fantasies, while vicarious nostalgia partially mediates the relationship between nostalgia proneness and brand heritage. Both individual propensities (nostalgia proneness) and advertising-evoked vicarious nostalgia enhance or build brand heritage perceptions. © 2012 Elsevier Inc.","author":[{"dropping-particle":"","family":"Merchant","given":"Altaf","non-dropping-particle":"","parse-names":false,"suffix":""},{"dropping-particle":"","family":"Rose","given":"Gregory M.","non-dropping-particle":"","parse-names":false,"suffix":""}],"container-title":"Journal of Business Research","id":"ITEM-1","issue":"12","issued":{"date-parts":[["2013"]]},"page":"2619-2625","publisher":"Elsevier Inc.","title":"Effects of advertising-evoked vicarious nostalgia on brand heritage","type":"article-journal","volume":"66"},"uris":["http://www.mendeley.com/documents/?uuid=1017aa2b-961c-4c16-8285-1845c54ae624"]},{"id":"ITEM-2","itemData":{"DOI":"10.1016/j.jbusres.2013.06.001","ISBN":"0148-2963","ISSN":"01482963","abstract":"Postmodern consumers use brands to create an authentic self and to reconnect to place, time, culture and others. Although previous research has identified that consumers draw on a range of cues in order to attribute authenticity to branded objects, no scales exist to measure the construct of brand authenticity. Building on the existing literature, this paper uses quantitative methods to develop a psychometrically robust measure of brand authenticity from a consumer's perspective. Findings demonstrate convergent, discriminant and predictive validity, whereby 14 items represent three interrelated first order factors labeled quality commitment, sincerity and heritage that correspond with a higher order brand authenticity construct. This study extends our understanding of the consumption of authenticity. Moreover, it provides a tool by which firms can evaluate the effectiveness of strategic decisions designed to deliver an authentic brand offering to consumers. Limitations and directions for future research are discussed. © 2013 Elsevier Inc.","author":[{"dropping-particle":"","family":"Napoli","given":"Julie","non-dropping-particle":"","parse-names":false,"suffix":""},{"dropping-particle":"","family":"Dickinson","given":"Sonia J.","non-dropping-particle":"","parse-names":false,"suffix":""},{"dropping-particle":"","family":"Beverland","given":"Michael B.","non-dropping-particle":"","parse-names":false,"suffix":""},{"dropping-particle":"","family":"Farrelly","given":"Francis","non-dropping-particle":"","parse-names":false,"suffix":""}],"container-title":"Journal of Business Research","id":"ITEM-2","issue":"6","issued":{"date-parts":[["2014"]]},"page":"1090-1098","publisher":"Elsevier Inc.","title":"Measuring consumer-based brand authenticity","type":"article-journal","volume":"67"},"uris":["http://www.mendeley.com/documents/?uuid=fe1ddec5-5136-41ae-857f-792a7df38d85"]}],"mendeley":{"formattedCitation":"(Merchant &amp; Rose, 2013; Napoli, Dickinson, Beverland, &amp; Farrelly, 2014)","plainTextFormattedCitation":"(Merchant &amp; Rose, 2013; Napoli, Dickinson, Beverland, &amp; Farrelly, 2014)","previouslyFormattedCitation":"(Merchant &amp; Rose, 2013; Napoli, Dickinson, Beverland, &amp; Farrelly, 2014)"},"properties":{"noteIndex":0},"schema":"https://github.com/citation-style-language/schema/raw/master/csl-citation.json"}</w:instrText>
      </w:r>
      <w:r w:rsidR="002577BE"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(Merchant &amp; Rose, 2013; Napoli, Dickinson, Beverland, &amp; Farrelly, 2014)</w:t>
      </w:r>
      <w:r w:rsidR="002577BE" w:rsidRPr="0040120E">
        <w:rPr>
          <w:rFonts w:ascii="Times New Roman" w:hAnsi="Times New Roman" w:cs="Times New Roman"/>
          <w:sz w:val="24"/>
          <w:szCs w:val="24"/>
          <w:lang w:val="en-GB"/>
        </w:rPr>
        <w:fldChar w:fldCharType="end"/>
      </w:r>
      <w:r w:rsidR="00D03DB1" w:rsidRPr="0040120E">
        <w:rPr>
          <w:rFonts w:ascii="Times New Roman" w:hAnsi="Times New Roman" w:cs="Times New Roman"/>
          <w:sz w:val="24"/>
          <w:szCs w:val="24"/>
          <w:lang w:val="en-GB"/>
        </w:rPr>
        <w:t xml:space="preserve">. Thus, it is not clear if we consider that the perceptions we measure (the items) are antecedents or consequences of brand heritage with potential circularity biases. For example, in one model, differentiation is a formative indicator of brand heritage (an antecedent) and it is also part of the consequence (cognitive brand strength 3: </w:t>
      </w:r>
      <w:r w:rsidR="00E23412" w:rsidRPr="0040120E">
        <w:rPr>
          <w:rFonts w:ascii="Times New Roman" w:hAnsi="Times New Roman" w:cs="Times New Roman"/>
          <w:sz w:val="24"/>
          <w:szCs w:val="24"/>
          <w:lang w:val="en-GB"/>
        </w:rPr>
        <w:t>‘</w:t>
      </w:r>
      <w:r w:rsidR="00D03DB1" w:rsidRPr="0040120E">
        <w:rPr>
          <w:rFonts w:ascii="Times New Roman" w:hAnsi="Times New Roman" w:cs="Times New Roman"/>
          <w:sz w:val="24"/>
          <w:szCs w:val="24"/>
          <w:lang w:val="en-GB"/>
        </w:rPr>
        <w:t>The brand XY is very distinctive</w:t>
      </w:r>
      <w:r w:rsidR="00E23412" w:rsidRPr="0040120E">
        <w:rPr>
          <w:rFonts w:ascii="Times New Roman" w:hAnsi="Times New Roman" w:cs="Times New Roman"/>
          <w:sz w:val="24"/>
          <w:szCs w:val="24"/>
          <w:lang w:val="en-GB"/>
        </w:rPr>
        <w:t>’</w:t>
      </w:r>
      <w:r w:rsidR="00652C89" w:rsidRPr="0040120E">
        <w:rPr>
          <w:rFonts w:ascii="Times New Roman" w:hAnsi="Times New Roman" w:cs="Times New Roman"/>
          <w:sz w:val="24"/>
          <w:szCs w:val="24"/>
          <w:lang w:val="en-GB"/>
        </w:rPr>
        <w:t>)</w:t>
      </w:r>
      <w:r w:rsidR="00D03DB1" w:rsidRPr="0040120E">
        <w:rPr>
          <w:rFonts w:ascii="Times New Roman" w:hAnsi="Times New Roman" w:cs="Times New Roman"/>
          <w:sz w:val="24"/>
          <w:szCs w:val="24"/>
          <w:lang w:val="en-GB"/>
        </w:rPr>
        <w:t xml:space="preserve"> (Wiedmann et al., 2011, p.189)</w:t>
      </w:r>
      <w:r w:rsidR="00652C89" w:rsidRPr="0040120E">
        <w:rPr>
          <w:rFonts w:ascii="Times New Roman" w:hAnsi="Times New Roman" w:cs="Times New Roman"/>
          <w:sz w:val="24"/>
          <w:szCs w:val="24"/>
          <w:lang w:val="en-GB"/>
        </w:rPr>
        <w:t>.</w:t>
      </w:r>
    </w:p>
    <w:p w14:paraId="0CEB78D5" w14:textId="0A9C8BD7" w:rsidR="00D03DB1" w:rsidRPr="0040120E" w:rsidRDefault="00D03DB1" w:rsidP="003C144A">
      <w:pPr>
        <w:autoSpaceDE w:val="0"/>
        <w:autoSpaceDN w:val="0"/>
        <w:adjustRightInd w:val="0"/>
        <w:spacing w:after="0"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In addition, the scales conflate </w:t>
      </w:r>
      <w:r w:rsidR="00580DE3" w:rsidRPr="0040120E">
        <w:rPr>
          <w:rFonts w:ascii="Times New Roman" w:hAnsi="Times New Roman" w:cs="Times New Roman"/>
          <w:sz w:val="24"/>
          <w:szCs w:val="24"/>
          <w:lang w:val="en-GB"/>
        </w:rPr>
        <w:t xml:space="preserve">associations related to </w:t>
      </w:r>
      <w:r w:rsidRPr="0040120E">
        <w:rPr>
          <w:rFonts w:ascii="Times New Roman" w:hAnsi="Times New Roman" w:cs="Times New Roman"/>
          <w:sz w:val="24"/>
          <w:szCs w:val="24"/>
          <w:lang w:val="en-GB"/>
        </w:rPr>
        <w:t xml:space="preserve">the perception of </w:t>
      </w:r>
      <w:r w:rsidR="00964F73" w:rsidRPr="0040120E">
        <w:rPr>
          <w:rFonts w:ascii="Times New Roman" w:hAnsi="Times New Roman" w:cs="Times New Roman"/>
          <w:sz w:val="24"/>
          <w:szCs w:val="24"/>
          <w:lang w:val="en-GB"/>
        </w:rPr>
        <w:t>brand heritage</w:t>
      </w:r>
      <w:r w:rsidRPr="0040120E">
        <w:rPr>
          <w:rFonts w:ascii="Times New Roman" w:hAnsi="Times New Roman" w:cs="Times New Roman"/>
          <w:sz w:val="24"/>
          <w:szCs w:val="24"/>
          <w:lang w:val="en-GB"/>
        </w:rPr>
        <w:t xml:space="preserve"> with reaction to these </w:t>
      </w:r>
      <w:r w:rsidR="00964F73" w:rsidRPr="0040120E">
        <w:rPr>
          <w:rFonts w:ascii="Times New Roman" w:hAnsi="Times New Roman" w:cs="Times New Roman"/>
          <w:sz w:val="24"/>
          <w:szCs w:val="24"/>
          <w:lang w:val="en-GB"/>
        </w:rPr>
        <w:t>perceptions</w:t>
      </w:r>
      <w:r w:rsidRPr="0040120E">
        <w:rPr>
          <w:rFonts w:ascii="Times New Roman" w:hAnsi="Times New Roman" w:cs="Times New Roman"/>
          <w:sz w:val="24"/>
          <w:szCs w:val="24"/>
          <w:lang w:val="en-GB"/>
        </w:rPr>
        <w:t xml:space="preserve">. For example: </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Brand exudes a sense of tradition</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and </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Brand reminds me of a golden age</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in Napoli et al. (2014). The former item describes </w:t>
      </w:r>
      <w:r w:rsidR="00964F73" w:rsidRPr="0040120E">
        <w:rPr>
          <w:rFonts w:ascii="Times New Roman" w:hAnsi="Times New Roman" w:cs="Times New Roman"/>
          <w:sz w:val="24"/>
          <w:szCs w:val="24"/>
          <w:lang w:val="en-GB"/>
        </w:rPr>
        <w:t>a brand association</w:t>
      </w:r>
      <w:r w:rsidRPr="0040120E">
        <w:rPr>
          <w:rFonts w:ascii="Times New Roman" w:hAnsi="Times New Roman" w:cs="Times New Roman"/>
          <w:sz w:val="24"/>
          <w:szCs w:val="24"/>
          <w:lang w:val="en-GB"/>
        </w:rPr>
        <w:t xml:space="preserve"> with no direct involvement of the respondent</w:t>
      </w:r>
      <w:r w:rsidR="00156DAD"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while the latter measures a consequence </w:t>
      </w:r>
      <w:r w:rsidR="00220D9C" w:rsidRPr="0040120E">
        <w:rPr>
          <w:rFonts w:ascii="Times New Roman" w:hAnsi="Times New Roman" w:cs="Times New Roman"/>
          <w:sz w:val="24"/>
          <w:szCs w:val="24"/>
          <w:lang w:val="en-GB"/>
        </w:rPr>
        <w:t xml:space="preserve"> requiring more </w:t>
      </w:r>
      <w:r w:rsidR="00964F73" w:rsidRPr="0040120E">
        <w:rPr>
          <w:rFonts w:ascii="Times New Roman" w:hAnsi="Times New Roman" w:cs="Times New Roman"/>
          <w:sz w:val="24"/>
          <w:szCs w:val="24"/>
          <w:lang w:val="en-GB"/>
        </w:rPr>
        <w:t>involv</w:t>
      </w:r>
      <w:r w:rsidR="00220D9C" w:rsidRPr="0040120E">
        <w:rPr>
          <w:rFonts w:ascii="Times New Roman" w:hAnsi="Times New Roman" w:cs="Times New Roman"/>
          <w:sz w:val="24"/>
          <w:szCs w:val="24"/>
          <w:lang w:val="en-GB"/>
        </w:rPr>
        <w:t>ement from</w:t>
      </w:r>
      <w:r w:rsidRPr="0040120E">
        <w:rPr>
          <w:rFonts w:ascii="Times New Roman" w:hAnsi="Times New Roman" w:cs="Times New Roman"/>
          <w:sz w:val="24"/>
          <w:szCs w:val="24"/>
          <w:lang w:val="en-GB"/>
        </w:rPr>
        <w:t xml:space="preserve"> the respondent (a nostalgic feeling</w:t>
      </w:r>
      <w:r w:rsidR="00156DAD" w:rsidRPr="0040120E">
        <w:rPr>
          <w:rFonts w:ascii="Times New Roman" w:hAnsi="Times New Roman" w:cs="Times New Roman"/>
          <w:sz w:val="24"/>
          <w:szCs w:val="24"/>
          <w:lang w:val="en-GB"/>
        </w:rPr>
        <w:t xml:space="preserve"> in this case</w:t>
      </w:r>
      <w:r w:rsidRPr="0040120E">
        <w:rPr>
          <w:rFonts w:ascii="Times New Roman" w:hAnsi="Times New Roman" w:cs="Times New Roman"/>
          <w:sz w:val="24"/>
          <w:szCs w:val="24"/>
          <w:lang w:val="en-GB"/>
        </w:rPr>
        <w:t xml:space="preserve">). Merchant and Rose’s scale is aligned on a single level of analysis but it integrates items </w:t>
      </w:r>
      <w:r w:rsidRPr="0040120E">
        <w:rPr>
          <w:rFonts w:ascii="Times New Roman" w:hAnsi="Times New Roman" w:cs="Times New Roman"/>
          <w:sz w:val="24"/>
          <w:szCs w:val="24"/>
          <w:lang w:val="en-GB"/>
        </w:rPr>
        <w:lastRenderedPageBreak/>
        <w:t>reflecting other concepts such as authenticity (</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An authentic brand</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or credibility (</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A trustworthy brand</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w:t>
      </w:r>
      <w:r w:rsidR="00F57882" w:rsidRPr="0040120E">
        <w:rPr>
          <w:rFonts w:ascii="Times New Roman" w:hAnsi="Times New Roman" w:cs="Times New Roman"/>
          <w:sz w:val="24"/>
          <w:szCs w:val="24"/>
          <w:lang w:val="en-GB"/>
        </w:rPr>
        <w:t>T</w:t>
      </w:r>
      <w:r w:rsidRPr="0040120E">
        <w:rPr>
          <w:rFonts w:ascii="Times New Roman" w:hAnsi="Times New Roman" w:cs="Times New Roman"/>
          <w:sz w:val="24"/>
          <w:szCs w:val="24"/>
          <w:lang w:val="en-GB"/>
        </w:rPr>
        <w:t xml:space="preserve">his conflation potentially causes issues of </w:t>
      </w:r>
      <w:r w:rsidR="00F57882" w:rsidRPr="0040120E">
        <w:rPr>
          <w:rFonts w:ascii="Times New Roman" w:hAnsi="Times New Roman" w:cs="Times New Roman"/>
          <w:sz w:val="24"/>
          <w:szCs w:val="24"/>
          <w:lang w:val="en-GB"/>
        </w:rPr>
        <w:t xml:space="preserve">circularity </w:t>
      </w:r>
      <w:r w:rsidR="002D7072" w:rsidRPr="0040120E">
        <w:rPr>
          <w:rFonts w:ascii="Times New Roman" w:hAnsi="Times New Roman" w:cs="Times New Roman"/>
          <w:sz w:val="24"/>
          <w:szCs w:val="24"/>
          <w:lang w:val="en-GB"/>
        </w:rPr>
        <w:t>when the scale is operationalis</w:t>
      </w:r>
      <w:r w:rsidRPr="0040120E">
        <w:rPr>
          <w:rFonts w:ascii="Times New Roman" w:hAnsi="Times New Roman" w:cs="Times New Roman"/>
          <w:sz w:val="24"/>
          <w:szCs w:val="24"/>
          <w:lang w:val="en-GB"/>
        </w:rPr>
        <w:t>ed in a model</w:t>
      </w:r>
      <w:r w:rsidR="00F57882" w:rsidRPr="0040120E">
        <w:rPr>
          <w:rFonts w:ascii="Times New Roman" w:hAnsi="Times New Roman" w:cs="Times New Roman"/>
          <w:sz w:val="24"/>
          <w:szCs w:val="24"/>
          <w:lang w:val="en-GB"/>
        </w:rPr>
        <w:t xml:space="preserve"> with credibility, authenticity or nostalgia as dependent variables</w:t>
      </w:r>
      <w:r w:rsidRPr="0040120E">
        <w:rPr>
          <w:rFonts w:ascii="Times New Roman" w:hAnsi="Times New Roman" w:cs="Times New Roman"/>
          <w:sz w:val="24"/>
          <w:szCs w:val="24"/>
          <w:lang w:val="en-GB"/>
        </w:rPr>
        <w:t>.</w:t>
      </w:r>
    </w:p>
    <w:p w14:paraId="65AF5757" w14:textId="0446A3FE" w:rsidR="003D3FBA" w:rsidRPr="0040120E" w:rsidRDefault="00D03DB1" w:rsidP="003C144A">
      <w:pPr>
        <w:autoSpaceDE w:val="0"/>
        <w:autoSpaceDN w:val="0"/>
        <w:adjustRightInd w:val="0"/>
        <w:spacing w:after="0"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 </w:t>
      </w:r>
      <w:r w:rsidR="00F57882" w:rsidRPr="0040120E">
        <w:rPr>
          <w:rFonts w:ascii="Times New Roman" w:hAnsi="Times New Roman" w:cs="Times New Roman"/>
          <w:sz w:val="24"/>
          <w:szCs w:val="24"/>
          <w:lang w:val="en-GB"/>
        </w:rPr>
        <w:t>More importantly, t</w:t>
      </w:r>
      <w:r w:rsidRPr="0040120E">
        <w:rPr>
          <w:rFonts w:ascii="Times New Roman" w:hAnsi="Times New Roman" w:cs="Times New Roman"/>
          <w:sz w:val="24"/>
          <w:szCs w:val="24"/>
          <w:lang w:val="en-GB"/>
        </w:rPr>
        <w:t xml:space="preserve">hese issues reflect a lack of </w:t>
      </w:r>
      <w:r w:rsidR="00D16FBF" w:rsidRPr="0040120E">
        <w:rPr>
          <w:rFonts w:ascii="Times New Roman" w:hAnsi="Times New Roman" w:cs="Times New Roman"/>
          <w:sz w:val="24"/>
          <w:szCs w:val="24"/>
          <w:lang w:val="en-GB"/>
        </w:rPr>
        <w:t>clarity</w:t>
      </w:r>
      <w:r w:rsidR="00652C89"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at a conc</w:t>
      </w:r>
      <w:r w:rsidR="003D3FBA" w:rsidRPr="0040120E">
        <w:rPr>
          <w:rFonts w:ascii="Times New Roman" w:hAnsi="Times New Roman" w:cs="Times New Roman"/>
          <w:sz w:val="24"/>
          <w:szCs w:val="24"/>
          <w:lang w:val="en-GB"/>
        </w:rPr>
        <w:t>eptual level (MacKenzie, 2003). This paper aims to address</w:t>
      </w:r>
      <w:r w:rsidR="002D7072" w:rsidRPr="0040120E">
        <w:rPr>
          <w:rFonts w:ascii="Times New Roman" w:hAnsi="Times New Roman" w:cs="Times New Roman"/>
          <w:sz w:val="24"/>
          <w:szCs w:val="24"/>
          <w:lang w:val="en-GB"/>
        </w:rPr>
        <w:t xml:space="preserve"> this gap through a conceptualis</w:t>
      </w:r>
      <w:r w:rsidR="003D3FBA" w:rsidRPr="0040120E">
        <w:rPr>
          <w:rFonts w:ascii="Times New Roman" w:hAnsi="Times New Roman" w:cs="Times New Roman"/>
          <w:sz w:val="24"/>
          <w:szCs w:val="24"/>
          <w:lang w:val="en-GB"/>
        </w:rPr>
        <w:t>ation of brand heritage as it is perceived by consumers, and the development and validation of a scale measuring this perception.</w:t>
      </w:r>
    </w:p>
    <w:p w14:paraId="6967D87B" w14:textId="2DD42473" w:rsidR="00AE001E" w:rsidRPr="0040120E" w:rsidRDefault="00AE001E" w:rsidP="003D3FBA">
      <w:pPr>
        <w:spacing w:line="480" w:lineRule="auto"/>
        <w:rPr>
          <w:rFonts w:ascii="Times New Roman" w:hAnsi="Times New Roman" w:cs="Times New Roman"/>
          <w:b/>
          <w:sz w:val="24"/>
          <w:szCs w:val="24"/>
          <w:lang w:val="en-GB"/>
        </w:rPr>
      </w:pPr>
    </w:p>
    <w:p w14:paraId="0A56BC52" w14:textId="3AA112EA" w:rsidR="00B5310A" w:rsidRPr="0040120E" w:rsidRDefault="00B5310A" w:rsidP="00E23412">
      <w:pPr>
        <w:spacing w:line="480" w:lineRule="auto"/>
        <w:rPr>
          <w:rFonts w:ascii="Times New Roman" w:hAnsi="Times New Roman" w:cs="Times New Roman"/>
          <w:b/>
          <w:sz w:val="24"/>
          <w:szCs w:val="24"/>
          <w:lang w:val="en-GB"/>
        </w:rPr>
      </w:pPr>
      <w:r w:rsidRPr="0040120E">
        <w:rPr>
          <w:rFonts w:ascii="Times New Roman" w:hAnsi="Times New Roman" w:cs="Times New Roman"/>
          <w:b/>
          <w:sz w:val="24"/>
          <w:szCs w:val="24"/>
          <w:lang w:val="en-GB"/>
        </w:rPr>
        <w:t>Perceived</w:t>
      </w:r>
      <w:r w:rsidR="00E218F1" w:rsidRPr="0040120E">
        <w:rPr>
          <w:rFonts w:ascii="Times New Roman" w:hAnsi="Times New Roman" w:cs="Times New Roman"/>
          <w:b/>
          <w:sz w:val="24"/>
          <w:szCs w:val="24"/>
          <w:lang w:val="en-GB"/>
        </w:rPr>
        <w:t xml:space="preserve"> Brand H</w:t>
      </w:r>
      <w:r w:rsidR="00943C6C" w:rsidRPr="0040120E">
        <w:rPr>
          <w:rFonts w:ascii="Times New Roman" w:hAnsi="Times New Roman" w:cs="Times New Roman"/>
          <w:b/>
          <w:sz w:val="24"/>
          <w:szCs w:val="24"/>
          <w:lang w:val="en-GB"/>
        </w:rPr>
        <w:t>eritage</w:t>
      </w:r>
      <w:r w:rsidR="00F57882" w:rsidRPr="0040120E">
        <w:rPr>
          <w:rFonts w:ascii="Times New Roman" w:hAnsi="Times New Roman" w:cs="Times New Roman"/>
          <w:b/>
          <w:sz w:val="24"/>
          <w:szCs w:val="24"/>
          <w:lang w:val="en-GB"/>
        </w:rPr>
        <w:t>: a set of temporal associations</w:t>
      </w:r>
    </w:p>
    <w:p w14:paraId="3C834FA2" w14:textId="29E6F6CA" w:rsidR="00B5310A" w:rsidRPr="0040120E" w:rsidRDefault="00B5310A" w:rsidP="00E23412">
      <w:pPr>
        <w:spacing w:line="480" w:lineRule="auto"/>
        <w:rPr>
          <w:rFonts w:ascii="Times New Roman" w:hAnsi="Times New Roman" w:cs="Times New Roman"/>
          <w:b/>
          <w:i/>
          <w:sz w:val="24"/>
          <w:szCs w:val="24"/>
          <w:lang w:val="en-GB"/>
        </w:rPr>
      </w:pPr>
      <w:r w:rsidRPr="0040120E">
        <w:rPr>
          <w:rFonts w:ascii="Times New Roman" w:hAnsi="Times New Roman" w:cs="Times New Roman"/>
          <w:b/>
          <w:i/>
          <w:sz w:val="24"/>
          <w:szCs w:val="24"/>
          <w:lang w:val="en-GB"/>
        </w:rPr>
        <w:t>A temporal concept</w:t>
      </w:r>
    </w:p>
    <w:p w14:paraId="1492DC63" w14:textId="68963DA5" w:rsidR="00B5310A" w:rsidRPr="0040120E" w:rsidRDefault="00B5310A" w:rsidP="00B5310A">
      <w:pPr>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The first characteristic of heritage</w:t>
      </w:r>
      <w:r w:rsidR="005D1DE7" w:rsidRPr="0040120E">
        <w:rPr>
          <w:rFonts w:ascii="Times New Roman" w:hAnsi="Times New Roman" w:cs="Times New Roman"/>
          <w:sz w:val="24"/>
          <w:szCs w:val="24"/>
          <w:lang w:val="en-GB"/>
        </w:rPr>
        <w:t xml:space="preserve"> in social science</w:t>
      </w:r>
      <w:r w:rsidRPr="0040120E">
        <w:rPr>
          <w:rFonts w:ascii="Times New Roman" w:hAnsi="Times New Roman" w:cs="Times New Roman"/>
          <w:sz w:val="24"/>
          <w:szCs w:val="24"/>
          <w:lang w:val="en-GB"/>
        </w:rPr>
        <w:t xml:space="preserve"> is to be a representation of the past aimed at a future transmission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{"citationItems":[{"id":"ITEM-1","itemData":{"author":[{"dropping-particle":"","family":"Hartog","given":"Francois","non-dropping-particle":"","parse-names":false,"suffix":""}],"id":"ITEM-1","issued":{"date-parts":[["2015"]]},"number-of-pages":"288","publisher":"Columbia University Press","publisher-place":"New York","title":"Regimes of Historicity: Presentism and Experiences of Time","type":"book"},"uris":["http://www.mendeley.com/documents/?uuid=29e3eb1b-3d16-42f9-ac70-4c3e6a69baa6"]},{"id":"ITEM-2","itemData":{"author":[{"dropping-particle":"","family":"Smith","given":"A.","non-dropping-particle":"","parse-names":false,"suffix":""}],"id":"ITEM-2","issued":{"date-parts":[["1991"]]},"publisher":"Penguin Books","publisher-place":"London","title":"National Identity","type":"book"},"uris":["http://www.mendeley.com/documents/?uuid=e4172bac-d599-41b3-8b9e-4965eeeb3383"]}],"mendeley":{"formattedCitation":"(Hartog, 2015; Smith, 1991)","plainTextFormattedCitation":"(Hartog, 2015; Smith, 1991)","previouslyFormattedCitation":"(Hartog, 2015; Smith, 1991)"},"properties":{"noteIndex":0},"schema":"https://github.com/citation-style-language/schema/raw/master/csl-citation.json"}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(Hartog, 2015; Smith, 1991)</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Heritage designates the material and immaterial assets which society aims to hand down to the next generation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{"citationItems":[{"id":"ITEM-1","itemData":{"author":[{"dropping-particle":"","family":"Smith","given":"A.","non-dropping-particle":"","parse-names":false,"suffix":""}],"id":"ITEM-1","issued":{"date-parts":[["1991"]]},"publisher":"Penguin Books","publisher-place":"London","title":"National Identity","type":"book"},"uris":["http://www.mendeley.com/documents/?uuid=e4172bac-d599-41b3-8b9e-4965eeeb3383"]}],"mendeley":{"formattedCitation":"(Smith, 1991)","plainTextFormattedCitation":"(Smith, 1991)","previouslyFormattedCitation":"(Smith, 1991)"},"properties":{"noteIndex":0},"schema":"https://github.com/citation-style-language/schema/raw/master/csl-citation.json"}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(Smith, 1991)</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If heritage does represent the past, it does so in the name of the future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{"citationItems":[{"id":"ITEM-1","itemData":{"author":[{"dropping-particle":"","family":"Hartog","given":"Francois","non-dropping-particle":"","parse-names":false,"suffix":""}],"id":"ITEM-1","issued":{"date-parts":[["2015"]]},"number-of-pages":"288","publisher":"Columbia University Press","publisher-place":"New York","title":"Regimes of Historicity: Presentism and Experiences of Time","type":"book"},"uris":["http://www.mendeley.com/documents/?uuid=29e3eb1b-3d16-42f9-ac70-4c3e6a69baa6"]}],"mendeley":{"formattedCitation":"(Hartog, 2015)","plainTextFormattedCitation":"(Hartog, 2015)","previouslyFormattedCitation":"(Hartog, 2015)"},"properties":{"noteIndex":0},"schema":"https://github.com/citation-style-language/schema/raw/master/csl-citation.json"}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(Hartog, 2015)</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As such, heritage encompasses the past, the present and the future, creating intertemporal connections that helps </w:t>
      </w:r>
      <w:r w:rsidR="00A65D7C" w:rsidRPr="0040120E">
        <w:rPr>
          <w:rFonts w:ascii="Times New Roman" w:hAnsi="Times New Roman" w:cs="Times New Roman"/>
          <w:sz w:val="24"/>
          <w:szCs w:val="24"/>
          <w:lang w:val="en-GB"/>
        </w:rPr>
        <w:t xml:space="preserve">the </w:t>
      </w:r>
      <w:r w:rsidRPr="0040120E">
        <w:rPr>
          <w:rFonts w:ascii="Times New Roman" w:hAnsi="Times New Roman" w:cs="Times New Roman"/>
          <w:sz w:val="24"/>
          <w:szCs w:val="24"/>
          <w:lang w:val="en-GB"/>
        </w:rPr>
        <w:t>mitigating</w:t>
      </w:r>
      <w:r w:rsidR="00A65D7C" w:rsidRPr="0040120E">
        <w:rPr>
          <w:rFonts w:ascii="Times New Roman" w:hAnsi="Times New Roman" w:cs="Times New Roman"/>
          <w:sz w:val="24"/>
          <w:szCs w:val="24"/>
          <w:lang w:val="en-GB"/>
        </w:rPr>
        <w:t xml:space="preserve"> of</w:t>
      </w:r>
      <w:r w:rsidRPr="0040120E">
        <w:rPr>
          <w:rFonts w:ascii="Times New Roman" w:hAnsi="Times New Roman" w:cs="Times New Roman"/>
          <w:sz w:val="24"/>
          <w:szCs w:val="24"/>
          <w:lang w:val="en-GB"/>
        </w:rPr>
        <w:t xml:space="preserve"> meaning threat in times of uncertainty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{"citationItems":[{"id":"ITEM-1","itemData":{"DOI":"10.1016/j.jcps.2016.06.004","ISBN":"1057-7408","ISSN":"10577408","abstract":"We investigated a novel avenue for buffering against threats to meaning frameworks: vintage consumption. Although the appeal of vintage goods, defined as previously owned items from an earlier era, is strong and growing, this paper is among the first to examine the possible psychological ramifications of vintage consumption. Six studies found that vintage items mitigated the typical reactions to meaning threats. Four of these studies also showed that vintage consumption facilitates mental connections among the past, present, and future. As a result, people whose meaning structures had been threatened, for example, by being reminded of their own eventual death, preferred vintage products more than others who had not experienced a meaning threat, and more than similar non-vintage products. These findings suggest that meaning disruptions stimulate a desire for intertemporal connections, a desire that vintage products—as existing and continuing symbols of bygone eras—seem to satisfy.","author":[{"dropping-particle":"","family":"Sarial-Abi","given":"Gülen","non-dropping-particle":"","parse-names":false,"suffix":""},{"dropping-particle":"","family":"Vohs","given":"Kathleen D.","non-dropping-particle":"","parse-names":false,"suffix":""},{"dropping-particle":"","family":"Hamilton","given":"Ryan","non-dropping-particle":"","parse-names":false,"suffix":""},{"dropping-particle":"","family":"Ulqinaku","given":"Aulona","non-dropping-particle":"","parse-names":false,"suffix":""}],"container-title":"Journal of Consumer Psychology","id":"ITEM-1","issue":"2","issued":{"date-parts":[["2017"]]},"page":"182-194","publisher":"Society for Consumer Psychology","title":"Stitching time: Vintage consumption connects the past, present, and future","type":"article-journal","volume":"27"},"uris":["http://www.mendeley.com/documents/?uuid=e9cf4295-a6db-4876-b259-f43bf882ae53"]}],"mendeley":{"formattedCitation":"(Sarial-Abi et al., 2017)","plainTextFormattedCitation":"(Sarial-Abi et al., 2017)","previouslyFormattedCitation":"(Sarial-Abi et al., 2017)"},"properties":{"noteIndex":0},"schema":"https://github.com/citation-style-language/schema/raw/master/csl-citation.json"}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(Sarial-Abi et al., 2017)</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w:t>
      </w:r>
    </w:p>
    <w:p w14:paraId="33515834" w14:textId="77777777" w:rsidR="00CF4EC0" w:rsidRPr="0040120E" w:rsidRDefault="005D1DE7" w:rsidP="00B5310A">
      <w:pPr>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Marketing scholars build on this temporal characteristic. Corporate heritage is thought to transcend past in</w:t>
      </w:r>
      <w:r w:rsidR="00156DAD" w:rsidRPr="0040120E">
        <w:rPr>
          <w:rFonts w:ascii="Times New Roman" w:hAnsi="Times New Roman" w:cs="Times New Roman"/>
          <w:sz w:val="24"/>
          <w:szCs w:val="24"/>
          <w:lang w:val="en-GB"/>
        </w:rPr>
        <w:t>to</w:t>
      </w:r>
      <w:r w:rsidRPr="0040120E">
        <w:rPr>
          <w:rFonts w:ascii="Times New Roman" w:hAnsi="Times New Roman" w:cs="Times New Roman"/>
          <w:sz w:val="24"/>
          <w:szCs w:val="24"/>
          <w:lang w:val="en-GB"/>
        </w:rPr>
        <w:t xml:space="preserve"> the present, its three main characteristics </w:t>
      </w:r>
      <w:r w:rsidR="00156DAD" w:rsidRPr="0040120E">
        <w:rPr>
          <w:rFonts w:ascii="Times New Roman" w:hAnsi="Times New Roman" w:cs="Times New Roman"/>
          <w:sz w:val="24"/>
          <w:szCs w:val="24"/>
          <w:lang w:val="en-GB"/>
        </w:rPr>
        <w:t>being</w:t>
      </w:r>
      <w:r w:rsidRPr="0040120E">
        <w:rPr>
          <w:rFonts w:ascii="Times New Roman" w:hAnsi="Times New Roman" w:cs="Times New Roman"/>
          <w:sz w:val="24"/>
          <w:szCs w:val="24"/>
          <w:lang w:val="en-GB"/>
        </w:rPr>
        <w:t xml:space="preserve"> omnitemporality (conflation of the past, present and prospective future), intergenerational continuity, and the relative invariance of </w:t>
      </w:r>
      <w:r w:rsidR="00F21AE4" w:rsidRPr="0040120E">
        <w:rPr>
          <w:rFonts w:ascii="Times New Roman" w:hAnsi="Times New Roman" w:cs="Times New Roman"/>
          <w:sz w:val="24"/>
          <w:szCs w:val="24"/>
          <w:lang w:val="en-GB"/>
        </w:rPr>
        <w:t>corporate</w:t>
      </w:r>
      <w:r w:rsidRPr="0040120E">
        <w:rPr>
          <w:rFonts w:ascii="Times New Roman" w:hAnsi="Times New Roman" w:cs="Times New Roman"/>
          <w:sz w:val="24"/>
          <w:szCs w:val="24"/>
          <w:lang w:val="en-GB"/>
        </w:rPr>
        <w:t xml:space="preserve"> traits (Balmer &amp; Burghausen, 2018)</w:t>
      </w:r>
      <w:r w:rsidR="00BA1426" w:rsidRPr="0040120E">
        <w:rPr>
          <w:rFonts w:ascii="Times New Roman" w:hAnsi="Times New Roman" w:cs="Times New Roman"/>
          <w:sz w:val="24"/>
          <w:szCs w:val="24"/>
          <w:lang w:val="en-GB"/>
        </w:rPr>
        <w:t>. In product branding as well, brand heritage is omnitemporal (Wiedmann et al., 2011)</w:t>
      </w:r>
      <w:r w:rsidR="00156DAD" w:rsidRPr="0040120E">
        <w:rPr>
          <w:rFonts w:ascii="Times New Roman" w:hAnsi="Times New Roman" w:cs="Times New Roman"/>
          <w:sz w:val="24"/>
          <w:szCs w:val="24"/>
          <w:lang w:val="en-GB"/>
        </w:rPr>
        <w:t>:</w:t>
      </w:r>
      <w:r w:rsidR="003870BB" w:rsidRPr="0040120E">
        <w:rPr>
          <w:rFonts w:ascii="Times New Roman" w:hAnsi="Times New Roman" w:cs="Times New Roman"/>
          <w:sz w:val="24"/>
          <w:szCs w:val="24"/>
          <w:lang w:val="en-GB"/>
        </w:rPr>
        <w:t xml:space="preserve"> it refers to the brand history</w:t>
      </w:r>
      <w:r w:rsidR="00156DAD" w:rsidRPr="0040120E">
        <w:rPr>
          <w:rFonts w:ascii="Times New Roman" w:hAnsi="Times New Roman" w:cs="Times New Roman"/>
          <w:sz w:val="24"/>
          <w:szCs w:val="24"/>
          <w:lang w:val="en-GB"/>
        </w:rPr>
        <w:t xml:space="preserve"> and</w:t>
      </w:r>
      <w:r w:rsidR="003870BB" w:rsidRPr="0040120E">
        <w:rPr>
          <w:rFonts w:ascii="Times New Roman" w:hAnsi="Times New Roman" w:cs="Times New Roman"/>
          <w:sz w:val="24"/>
          <w:szCs w:val="24"/>
          <w:lang w:val="en-GB"/>
        </w:rPr>
        <w:t xml:space="preserve"> its stability over time (Morhart et al., 2015)</w:t>
      </w:r>
      <w:r w:rsidR="00BA1426" w:rsidRPr="0040120E">
        <w:rPr>
          <w:rFonts w:ascii="Times New Roman" w:hAnsi="Times New Roman" w:cs="Times New Roman"/>
          <w:sz w:val="24"/>
          <w:szCs w:val="24"/>
          <w:lang w:val="en-GB"/>
        </w:rPr>
        <w:t>. It is an invocation of the past in the present</w:t>
      </w:r>
      <w:r w:rsidR="003870BB" w:rsidRPr="0040120E">
        <w:rPr>
          <w:rFonts w:ascii="Times New Roman" w:hAnsi="Times New Roman" w:cs="Times New Roman"/>
          <w:sz w:val="24"/>
          <w:szCs w:val="24"/>
          <w:lang w:val="en-GB"/>
        </w:rPr>
        <w:t xml:space="preserve"> (Hakala et al., 2011)</w:t>
      </w:r>
      <w:r w:rsidR="00BA1426" w:rsidRPr="0040120E">
        <w:rPr>
          <w:rFonts w:ascii="Times New Roman" w:hAnsi="Times New Roman" w:cs="Times New Roman"/>
          <w:sz w:val="24"/>
          <w:szCs w:val="24"/>
          <w:lang w:val="en-GB"/>
        </w:rPr>
        <w:t xml:space="preserve">, creating a sense of stability (Rose et al., 2016). </w:t>
      </w:r>
      <w:r w:rsidR="00524F27" w:rsidRPr="0040120E">
        <w:rPr>
          <w:rFonts w:ascii="Times New Roman" w:hAnsi="Times New Roman" w:cs="Times New Roman"/>
          <w:sz w:val="24"/>
          <w:szCs w:val="24"/>
          <w:lang w:val="en-GB"/>
        </w:rPr>
        <w:t>A</w:t>
      </w:r>
      <w:r w:rsidR="00BA1426" w:rsidRPr="0040120E">
        <w:rPr>
          <w:rFonts w:ascii="Times New Roman" w:hAnsi="Times New Roman" w:cs="Times New Roman"/>
          <w:sz w:val="24"/>
          <w:szCs w:val="24"/>
          <w:lang w:val="en-GB"/>
        </w:rPr>
        <w:t>uthors</w:t>
      </w:r>
      <w:r w:rsidR="003870BB" w:rsidRPr="0040120E">
        <w:rPr>
          <w:rFonts w:ascii="Times New Roman" w:hAnsi="Times New Roman" w:cs="Times New Roman"/>
          <w:sz w:val="24"/>
          <w:szCs w:val="24"/>
          <w:lang w:val="en-GB"/>
        </w:rPr>
        <w:t xml:space="preserve"> seem to</w:t>
      </w:r>
      <w:r w:rsidR="00BA1426" w:rsidRPr="0040120E">
        <w:rPr>
          <w:rFonts w:ascii="Times New Roman" w:hAnsi="Times New Roman" w:cs="Times New Roman"/>
          <w:sz w:val="24"/>
          <w:szCs w:val="24"/>
          <w:lang w:val="en-GB"/>
        </w:rPr>
        <w:t xml:space="preserve"> converge towards a </w:t>
      </w:r>
      <w:r w:rsidR="00524F27" w:rsidRPr="0040120E">
        <w:rPr>
          <w:rFonts w:ascii="Times New Roman" w:hAnsi="Times New Roman" w:cs="Times New Roman"/>
          <w:sz w:val="24"/>
          <w:szCs w:val="24"/>
          <w:lang w:val="en-GB"/>
        </w:rPr>
        <w:t>definition</w:t>
      </w:r>
      <w:r w:rsidR="00BA1426" w:rsidRPr="0040120E">
        <w:rPr>
          <w:rFonts w:ascii="Times New Roman" w:hAnsi="Times New Roman" w:cs="Times New Roman"/>
          <w:sz w:val="24"/>
          <w:szCs w:val="24"/>
          <w:lang w:val="en-GB"/>
        </w:rPr>
        <w:t xml:space="preserve"> of heritage in brand management</w:t>
      </w:r>
      <w:r w:rsidR="00524F27" w:rsidRPr="0040120E">
        <w:rPr>
          <w:rFonts w:ascii="Times New Roman" w:hAnsi="Times New Roman" w:cs="Times New Roman"/>
          <w:sz w:val="24"/>
          <w:szCs w:val="24"/>
          <w:lang w:val="en-GB"/>
        </w:rPr>
        <w:t xml:space="preserve"> that revolves around temporal considerations (e.g.</w:t>
      </w:r>
      <w:r w:rsidR="00156DAD" w:rsidRPr="0040120E">
        <w:rPr>
          <w:rFonts w:ascii="Times New Roman" w:hAnsi="Times New Roman" w:cs="Times New Roman"/>
          <w:sz w:val="24"/>
          <w:szCs w:val="24"/>
          <w:lang w:val="en-GB"/>
        </w:rPr>
        <w:t>,</w:t>
      </w:r>
      <w:r w:rsidR="00524F27" w:rsidRPr="0040120E">
        <w:rPr>
          <w:rFonts w:ascii="Times New Roman" w:hAnsi="Times New Roman" w:cs="Times New Roman"/>
          <w:sz w:val="24"/>
          <w:szCs w:val="24"/>
          <w:lang w:val="en-GB"/>
        </w:rPr>
        <w:t xml:space="preserve"> </w:t>
      </w:r>
      <w:r w:rsidR="00524F27" w:rsidRPr="0040120E">
        <w:rPr>
          <w:rFonts w:ascii="Times New Roman" w:hAnsi="Times New Roman" w:cs="Times New Roman"/>
          <w:sz w:val="24"/>
          <w:szCs w:val="24"/>
          <w:lang w:val="en-GB"/>
        </w:rPr>
        <w:lastRenderedPageBreak/>
        <w:t>stability, invocation of the past in the present, invariance, anticipation of the prospective future…)</w:t>
      </w:r>
      <w:r w:rsidR="00F20965" w:rsidRPr="0040120E">
        <w:rPr>
          <w:rFonts w:ascii="Times New Roman" w:hAnsi="Times New Roman" w:cs="Times New Roman"/>
          <w:sz w:val="24"/>
          <w:szCs w:val="24"/>
          <w:lang w:val="en-GB"/>
        </w:rPr>
        <w:t>. This is</w:t>
      </w:r>
      <w:r w:rsidR="00BA1426" w:rsidRPr="0040120E">
        <w:rPr>
          <w:rFonts w:ascii="Times New Roman" w:hAnsi="Times New Roman" w:cs="Times New Roman"/>
          <w:sz w:val="24"/>
          <w:szCs w:val="24"/>
          <w:lang w:val="en-GB"/>
        </w:rPr>
        <w:t xml:space="preserve"> consistent with its use in social sciences. </w:t>
      </w:r>
    </w:p>
    <w:p w14:paraId="66C179CD" w14:textId="18BDE194" w:rsidR="00CF4EC0" w:rsidRPr="0040120E" w:rsidRDefault="00B5310A" w:rsidP="00B5310A">
      <w:pPr>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As a purely temporal concept, </w:t>
      </w:r>
      <w:r w:rsidR="009479D8" w:rsidRPr="0040120E">
        <w:rPr>
          <w:rFonts w:ascii="Times New Roman" w:hAnsi="Times New Roman" w:cs="Times New Roman"/>
          <w:sz w:val="24"/>
          <w:szCs w:val="24"/>
          <w:lang w:val="en-GB"/>
        </w:rPr>
        <w:t xml:space="preserve">brand heritage </w:t>
      </w:r>
      <w:r w:rsidRPr="0040120E">
        <w:rPr>
          <w:rFonts w:ascii="Times New Roman" w:hAnsi="Times New Roman" w:cs="Times New Roman"/>
          <w:sz w:val="24"/>
          <w:szCs w:val="24"/>
          <w:lang w:val="en-GB"/>
        </w:rPr>
        <w:t>is distinct from authenticity</w:t>
      </w:r>
      <w:r w:rsidR="00156DAD"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which is a quality of being genuine or true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{"citationItems":[{"id":"ITEM-1","itemData":{"DOI":"10.1080/0267257X.2016.1145722","ISSN":"14721376","abstract":"This article empirically examines the value derived by consumers through their use and consumption of authentic brands and the indirect value attributable to a brand. Our findings provide an understanding of the drivers of value along an authenticity con- tinuum. We demonstrate that authenticity cues of quality commit- ment, heritage and sincerity have differential effects on a brand’s position along the authenticity continuum and consequently, authenticity strategies. This paper discusses implications where initially, brands move along the continuum with internally driven strategies (germination, cultivation and consolidation). However, to attain very high levels of authenticity, brands pursue an exter- nally driven strategy (preservation) that acknowledges external stakeholder roles in the creation of very highly authentic brands. Directions for future research are also discussed.","author":[{"dropping-particle":"","family":"Napoli","given":"Julie","non-dropping-particle":"","parse-names":false,"suffix":""},{"dropping-particle":"","family":"Dickinson-Delaporte","given":"Sonia","non-dropping-particle":"","parse-names":false,"suffix":""},{"dropping-particle":"","family":"Beverland","given":"Michael B.","non-dropping-particle":"","parse-names":false,"suffix":""}],"container-title":"Journal of Marketing Management","id":"ITEM-1","issue":"13-14","issued":{"date-parts":[["2016"]]},"page":"1201-1229","publisher":"Taylor &amp; Francis","title":"The brand authenticity continuum: strategic approaches for building value","type":"article-journal","volume":"32"},"uris":["http://www.mendeley.com/documents/?uuid=d913b5d5-cb01-4da7-b870-f6789eae05d4"]},{"id":"ITEM-2","itemData":{"DOI":"10.1016/j.jcps.2014.11.006","ISBN":"1057-7408","ISSN":"10577408","abstract":"Although brand authenticity is gaining increasing interest in consumer behavior research and managerial practice, literature on its measurement and contribution to branding theory is still limited. This article develops an integrative framework of the concept of brand authenticity and reports the development and validation of a scale measuring consumers' perceived brand authenticity (PBA). A multi-phase scale development process resulted in a 15-item PBA scale measuring four dimensions: credibility, integrity, symbolism, and continuity. This scale is reliable across different brands and cultural contexts. We find that brand authenticity perceptions are influenced by indexical, existential, and iconic cues, whereby some of the latters' influence is moderated by consumers' level of marketing skepticism. Results also suggest that PBA increases emotional brand attachment and word-of-mouth, and that it drives brand choice likelihood through self-congruence for consumers high in self-authenticity.","author":[{"dropping-particle":"","family":"Morhart","given":"Felicitas","non-dropping-particle":"","parse-names":false,"suffix":""},{"dropping-particle":"","family":"Malär","given":"Lucia","non-dropping-particle":"","parse-names":false,"suffix":""},{"dropping-particle":"","family":"Guèvremont","given":"Amélie","non-dropping-particle":"","parse-names":false,"suffix":""},{"dropping-particle":"","family":"Girardin","given":"Florent","non-dropping-particle":"","parse-names":false,"suffix":""},{"dropping-particle":"","family":"Grohmann","given":"Bianca","non-dropping-particle":"","parse-names":false,"suffix":""}],"container-title":"Journal of Consumer Psychology","id":"ITEM-2","issue":"2","issued":{"date-parts":[["2015"]]},"page":"200-218","publisher":"Society for Consumer Psychology","title":"Brand authenticity: An integrative framework and measurement scale","type":"article-journal","volume":"25"},"uris":["http://www.mendeley.com/documents/?uuid=aca9e80c-9e66-4931-a477-27dac7055119"]}],"mendeley":{"formattedCitation":"(Morhart, Malär, Guèvremont, Girardin, &amp; Grohmann, 2015; Napoli, Dickinson-Delaporte, &amp; Beverland, 2016)","plainTextFormattedCitation":"(Morhart, Malär, Guèvremont, Girardin, &amp; Grohmann, 2015; Napoli, Dickinson-Delaporte, &amp; Beverland, 2016)","previouslyFormattedCitation":"(Morhart, Malär, Guèvremont, Girardin, &amp; Grohmann, 2015; Napoli, Dickinson-Delaporte, &amp; Beverland, 2016)"},"properties":{"noteIndex":0},"schema":"https://github.com/citation-style-language/schema/raw/master/csl-citation.json"}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000C749D" w:rsidRPr="0040120E">
        <w:rPr>
          <w:rFonts w:ascii="Times New Roman" w:hAnsi="Times New Roman" w:cs="Times New Roman"/>
          <w:noProof/>
          <w:sz w:val="24"/>
          <w:szCs w:val="24"/>
          <w:lang w:val="en-GB"/>
        </w:rPr>
        <w:t>(Morhart, Malär, Guèvremont, Girardin, &amp; Grohmann, 2015; Napoli, Dickinson-Delaporte, &amp; Beverland, 2016)</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w:t>
      </w:r>
      <w:r w:rsidR="00BA1426" w:rsidRPr="0040120E">
        <w:rPr>
          <w:rFonts w:ascii="Times New Roman" w:hAnsi="Times New Roman" w:cs="Times New Roman"/>
          <w:sz w:val="24"/>
          <w:szCs w:val="24"/>
          <w:lang w:val="en-GB"/>
        </w:rPr>
        <w:t>Of course, there are conceptual similarities</w:t>
      </w:r>
      <w:r w:rsidR="00156DAD" w:rsidRPr="0040120E">
        <w:rPr>
          <w:rFonts w:ascii="Times New Roman" w:hAnsi="Times New Roman" w:cs="Times New Roman"/>
          <w:sz w:val="24"/>
          <w:szCs w:val="24"/>
          <w:lang w:val="en-GB"/>
        </w:rPr>
        <w:t>:</w:t>
      </w:r>
      <w:r w:rsidR="00BA1426" w:rsidRPr="0040120E">
        <w:rPr>
          <w:rFonts w:ascii="Times New Roman" w:hAnsi="Times New Roman" w:cs="Times New Roman"/>
          <w:sz w:val="24"/>
          <w:szCs w:val="24"/>
          <w:lang w:val="en-GB"/>
        </w:rPr>
        <w:t xml:space="preserve"> as heritage is an attribute of authenticity (Beverland, 2006), it implies authenticity (Cooper et al., 2015) and can be a source of authenticity (Burghausen &amp; Balmer, 2015). </w:t>
      </w:r>
      <w:r w:rsidRPr="0040120E">
        <w:rPr>
          <w:rFonts w:ascii="Times New Roman" w:hAnsi="Times New Roman" w:cs="Times New Roman"/>
          <w:sz w:val="24"/>
          <w:szCs w:val="24"/>
          <w:lang w:val="en-GB"/>
        </w:rPr>
        <w:t>Brand authenticity</w:t>
      </w:r>
      <w:r w:rsidR="00DA3F3A" w:rsidRPr="0040120E">
        <w:rPr>
          <w:rFonts w:ascii="Times New Roman" w:hAnsi="Times New Roman" w:cs="Times New Roman"/>
          <w:sz w:val="24"/>
          <w:szCs w:val="24"/>
          <w:lang w:val="en-GB"/>
        </w:rPr>
        <w:t xml:space="preserve"> seems broader than heritage: it</w:t>
      </w:r>
      <w:r w:rsidRPr="0040120E">
        <w:rPr>
          <w:rFonts w:ascii="Times New Roman" w:hAnsi="Times New Roman" w:cs="Times New Roman"/>
          <w:sz w:val="24"/>
          <w:szCs w:val="24"/>
          <w:lang w:val="en-GB"/>
        </w:rPr>
        <w:t xml:space="preserve"> is a perception of a brand true to itself and to its consumers, but also responsible, and able to help the consumers to stay true to themselves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{"citationItems":[{"id":"ITEM-1","itemData":{"DOI":"10.1016/j.jcps.2014.11.006","ISBN":"1057-7408","ISSN":"10577408","abstract":"Although brand authenticity is gaining increasing interest in consumer behavior research and managerial practice, literature on its measurement and contribution to branding theory is still limited. This article develops an integrative framework of the concept of brand authenticity and reports the development and validation of a scale measuring consumers' perceived brand authenticity (PBA). A multi-phase scale development process resulted in a 15-item PBA scale measuring four dimensions: credibility, integrity, symbolism, and continuity. This scale is reliable across different brands and cultural contexts. We find that brand authenticity perceptions are influenced by indexical, existential, and iconic cues, whereby some of the latters' influence is moderated by consumers' level of marketing skepticism. Results also suggest that PBA increases emotional brand attachment and word-of-mouth, and that it drives brand choice likelihood through self-congruence for consumers high in self-authenticity.","author":[{"dropping-particle":"","family":"Morhart","given":"Felicitas","non-dropping-particle":"","parse-names":false,"suffix":""},{"dropping-particle":"","family":"Malär","given":"Lucia","non-dropping-particle":"","parse-names":false,"suffix":""},{"dropping-particle":"","family":"Guèvremont","given":"Amélie","non-dropping-particle":"","parse-names":false,"suffix":""},{"dropping-particle":"","family":"Girardin","given":"Florent","non-dropping-particle":"","parse-names":false,"suffix":""},{"dropping-particle":"","family":"Grohmann","given":"Bianca","non-dropping-particle":"","parse-names":false,"suffix":""}],"container-title":"Journal of Consumer Psychology","id":"ITEM-1","issue":"2","issued":{"date-parts":[["2015"]]},"page":"200-218","publisher":"Society for Consumer Psychology","title":"Brand authenticity: An integrative framework and measurement scale","type":"article-journal","volume":"25"},"uris":["http://www.mendeley.com/documents/?uuid=aca9e80c-9e66-4931-a477-27dac7055119"]}],"mendeley":{"formattedCitation":"(Morhart et al., 2015)","plainTextFormattedCitation":"(Morhart et al., 2015)","previouslyFormattedCitation":"(Morhart et al., 2015)"},"properties":{"noteIndex":0},"schema":"https://github.com/citation-style-language/schema/raw/master/csl-citation.json"}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000C749D" w:rsidRPr="0040120E">
        <w:rPr>
          <w:rFonts w:ascii="Times New Roman" w:hAnsi="Times New Roman" w:cs="Times New Roman"/>
          <w:noProof/>
          <w:sz w:val="24"/>
          <w:szCs w:val="24"/>
          <w:lang w:val="en-GB"/>
        </w:rPr>
        <w:t>(Morhart et al., 2015)</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w:t>
      </w:r>
      <w:r w:rsidR="000C749D" w:rsidRPr="0040120E">
        <w:rPr>
          <w:rFonts w:ascii="Times New Roman" w:hAnsi="Times New Roman" w:cs="Times New Roman"/>
          <w:sz w:val="24"/>
          <w:szCs w:val="24"/>
          <w:lang w:val="en-GB"/>
        </w:rPr>
        <w:t xml:space="preserve">There are different conceptualisations </w:t>
      </w:r>
      <w:r w:rsidR="000C749D"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{"citationItems":[{"id":"ITEM-1","itemData":{"DOI":"10.1016/j.jbusres.2013.06.001","ISBN":"0148-2963","ISSN":"01482963","abstract":"Postmodern consumers use brands to create an authentic self and to reconnect to place, time, culture and others. Although previous research has identified that consumers draw on a range of cues in order to attribute authenticity to branded objects, no scales exist to measure the construct of brand authenticity. Building on the existing literature, this paper uses quantitative methods to develop a psychometrically robust measure of brand authenticity from a consumer's perspective. Findings demonstrate convergent, discriminant and predictive validity, whereby 14 items represent three interrelated first order factors labeled quality commitment, sincerity and heritage that correspond with a higher order brand authenticity construct. This study extends our understanding of the consumption of authenticity. Moreover, it provides a tool by which firms can evaluate the effectiveness of strategic decisions designed to deliver an authentic brand offering to consumers. Limitations and directions for future research are discussed. © 2013 Elsevier Inc.","author":[{"dropping-particle":"","family":"Napoli","given":"Julie","non-dropping-particle":"","parse-names":false,"suffix":""},{"dropping-particle":"","family":"Dickinson","given":"Sonia J.","non-dropping-particle":"","parse-names":false,"suffix":""},{"dropping-particle":"","family":"Beverland","given":"Michael B.","non-dropping-particle":"","parse-names":false,"suffix":""},{"dropping-particle":"","family":"Farrelly","given":"Francis","non-dropping-particle":"","parse-names":false,"suffix":""}],"container-title":"Journal of Business Research","id":"ITEM-1","issue":"6","issued":{"date-parts":[["2014"]]},"page":"1090-1098","publisher":"Elsevier Inc.","title":"Measuring consumer-based brand authenticity","type":"article-journal","volume":"67"},"uris":["http://www.mendeley.com/documents/?uuid=fe1ddec5-5136-41ae-857f-792a7df38d85"]},{"id":"ITEM-2","itemData":{"DOI":"10.1016/j.jcps.2014.11.006","ISBN":"1057-7408","ISSN":"10577408","abstract":"Although brand authenticity is gaining increasing interest in consumer behavior research and managerial practice, literature on its measurement and contribution to branding theory is still limited. This article develops an integrative framework of the concept of brand authenticity and reports the development and validation of a scale measuring consumers' perceived brand authenticity (PBA). A multi-phase scale development process resulted in a 15-item PBA scale measuring four dimensions: credibility, integrity, symbolism, and continuity. This scale is reliable across different brands and cultural contexts. We find that brand authenticity perceptions are influenced by indexical, existential, and iconic cues, whereby some of the latters' influence is moderated by consumers' level of marketing skepticism. Results also suggest that PBA increases emotional brand attachment and word-of-mouth, and that it drives brand choice likelihood through self-congruence for consumers high in self-authenticity.","author":[{"dropping-particle":"","family":"Morhart","given":"Felicitas","non-dropping-particle":"","parse-names":false,"suffix":""},{"dropping-particle":"","family":"Malär","given":"Lucia","non-dropping-particle":"","parse-names":false,"suffix":""},{"dropping-particle":"","family":"Guèvremont","given":"Amélie","non-dropping-particle":"","parse-names":false,"suffix":""},{"dropping-particle":"","family":"Girardin","given":"Florent","non-dropping-particle":"","parse-names":false,"suffix":""},{"dropping-particle":"","family":"Grohmann","given":"Bianca","non-dropping-particle":"","parse-names":false,"suffix":""}],"container-title":"Journal of Consumer Psychology","id":"ITEM-2","issue":"2","issued":{"date-parts":[["2015"]]},"page":"200-218","publisher":"Society for Consumer Psychology","title":"Brand authenticity: An integrative framework and measurement scale","type":"article-journal","volume":"25"},"uris":["http://www.mendeley.com/documents/?uuid=aca9e80c-9e66-4931-a477-27dac7055119"]}],"mendeley":{"formattedCitation":"(Morhart et al., 2015; Napoli et al., 2014)","plainTextFormattedCitation":"(Morhart et al., 2015; Napoli et al., 2014)","previouslyFormattedCitation":"(Morhart et al., 2015; Napoli et al., 2014)"},"properties":{"noteIndex":0},"schema":"https://github.com/citation-style-language/schema/raw/master/csl-citation.json"}</w:instrText>
      </w:r>
      <w:r w:rsidR="000C749D" w:rsidRPr="0040120E">
        <w:rPr>
          <w:rFonts w:ascii="Times New Roman" w:hAnsi="Times New Roman" w:cs="Times New Roman"/>
          <w:sz w:val="24"/>
          <w:szCs w:val="24"/>
          <w:lang w:val="en-GB"/>
        </w:rPr>
        <w:fldChar w:fldCharType="separate"/>
      </w:r>
      <w:r w:rsidR="000C749D" w:rsidRPr="0040120E">
        <w:rPr>
          <w:rFonts w:ascii="Times New Roman" w:hAnsi="Times New Roman" w:cs="Times New Roman"/>
          <w:noProof/>
          <w:sz w:val="24"/>
          <w:szCs w:val="24"/>
          <w:lang w:val="en-GB"/>
        </w:rPr>
        <w:t>(Morhart et al., 2015; Napoli et al., 2014)</w:t>
      </w:r>
      <w:r w:rsidR="000C749D" w:rsidRPr="0040120E">
        <w:rPr>
          <w:rFonts w:ascii="Times New Roman" w:hAnsi="Times New Roman" w:cs="Times New Roman"/>
          <w:sz w:val="24"/>
          <w:szCs w:val="24"/>
          <w:lang w:val="en-GB"/>
        </w:rPr>
        <w:fldChar w:fldCharType="end"/>
      </w:r>
      <w:r w:rsidR="000C749D" w:rsidRPr="0040120E">
        <w:rPr>
          <w:rFonts w:ascii="Times New Roman" w:hAnsi="Times New Roman" w:cs="Times New Roman"/>
          <w:sz w:val="24"/>
          <w:szCs w:val="24"/>
          <w:lang w:val="en-GB"/>
        </w:rPr>
        <w:t xml:space="preserve">, all </w:t>
      </w:r>
      <w:r w:rsidR="00156DAD" w:rsidRPr="0040120E">
        <w:rPr>
          <w:rFonts w:ascii="Times New Roman" w:hAnsi="Times New Roman" w:cs="Times New Roman"/>
          <w:sz w:val="24"/>
          <w:szCs w:val="24"/>
          <w:lang w:val="en-GB"/>
        </w:rPr>
        <w:t xml:space="preserve">of which </w:t>
      </w:r>
      <w:r w:rsidR="000C749D" w:rsidRPr="0040120E">
        <w:rPr>
          <w:rFonts w:ascii="Times New Roman" w:hAnsi="Times New Roman" w:cs="Times New Roman"/>
          <w:sz w:val="24"/>
          <w:szCs w:val="24"/>
          <w:lang w:val="en-GB"/>
        </w:rPr>
        <w:t xml:space="preserve">have several dimensions </w:t>
      </w:r>
      <w:r w:rsidR="00156DAD" w:rsidRPr="0040120E">
        <w:rPr>
          <w:rFonts w:ascii="Times New Roman" w:hAnsi="Times New Roman" w:cs="Times New Roman"/>
          <w:sz w:val="24"/>
          <w:szCs w:val="24"/>
          <w:lang w:val="en-GB"/>
        </w:rPr>
        <w:t xml:space="preserve">that </w:t>
      </w:r>
      <w:r w:rsidRPr="0040120E">
        <w:rPr>
          <w:rFonts w:ascii="Times New Roman" w:hAnsi="Times New Roman" w:cs="Times New Roman"/>
          <w:sz w:val="24"/>
          <w:szCs w:val="24"/>
          <w:lang w:val="en-GB"/>
        </w:rPr>
        <w:t>involve temporality</w:t>
      </w:r>
      <w:r w:rsidR="00A16C27" w:rsidRPr="0040120E">
        <w:rPr>
          <w:rFonts w:ascii="Times New Roman" w:hAnsi="Times New Roman" w:cs="Times New Roman"/>
          <w:sz w:val="24"/>
          <w:szCs w:val="24"/>
          <w:lang w:val="en-GB"/>
        </w:rPr>
        <w:t xml:space="preserve"> </w:t>
      </w:r>
      <w:r w:rsidR="00A16C27" w:rsidRPr="0040120E">
        <w:rPr>
          <w:rFonts w:ascii="Times New Roman" w:hAnsi="Times New Roman" w:cs="Times New Roman"/>
          <w:sz w:val="24"/>
          <w:szCs w:val="24"/>
          <w:lang w:val="en-GB"/>
        </w:rPr>
        <w:fldChar w:fldCharType="begin" w:fldLock="1"/>
      </w:r>
      <w:r w:rsidR="00240CE4" w:rsidRPr="0040120E">
        <w:rPr>
          <w:rFonts w:ascii="Times New Roman" w:hAnsi="Times New Roman" w:cs="Times New Roman"/>
          <w:sz w:val="24"/>
          <w:szCs w:val="24"/>
          <w:lang w:val="en-GB"/>
        </w:rPr>
        <w:instrText>ADDIN CSL_CITATION {"citationItems":[{"id":"ITEM-1","itemData":{"DOI":"10.1016/j.jcps.2014.11.006","ISBN":"1057-7408","ISSN":"10577408","abstract":"Although brand authenticity is gaining increasing interest in consumer behavior research and managerial practice, literature on its measurement and contribution to branding theory is still limited. This article develops an integrative framework of the concept of brand authenticity and reports the development and validation of a scale measuring consumers' perceived brand authenticity (PBA). A multi-phase scale development process resulted in a 15-item PBA scale measuring four dimensions: credibility, integrity, symbolism, and continuity. This scale is reliable across different brands and cultural contexts. We find that brand authenticity perceptions are influenced by indexical, existential, and iconic cues, whereby some of the latters' influence is moderated by consumers' level of marketing skepticism. Results also suggest that PBA increases emotional brand attachment and word-of-mouth, and that it drives brand choice likelihood through self-congruence for consumers high in self-authenticity.","author":[{"dropping-particle":"","family":"Morhart","given":"Felicitas","non-dropping-particle":"","parse-names":false,"suffix":""},{"dropping-particle":"","family":"Malär","given":"Lucia","non-dropping-particle":"","parse-names":false,"suffix":""},{"dropping-particle":"","family":"Guèvremont","given":"Amélie","non-dropping-particle":"","parse-names":false,"suffix":""},{"dropping-particle":"","family":"Girardin","given":"Florent","non-dropping-particle":"","parse-names":false,"suffix":""},{"dropping-particle":"","family":"Grohmann","given":"Bianca","non-dropping-particle":"","parse-names":false,"suffix":""}],"container-title":"Journal of Consumer Psychology","id":"ITEM-1","issue":"2","issued":{"date-parts":[["2015"]]},"page":"200-218","publisher":"Society for Consumer Psychology","title":"Brand authenticity: An integrative framework and measurement scale","type":"article-journal","volume":"25"},"uris":["http://www.mendeley.com/documents/?uuid=aca9e80c-9e66-4931-a477-27dac7055119"]}],"mendeley":{"formattedCitation":"(Morhart et al., 2015)","manualFormatting":"(e.g., continuity in Morhart et al., 2015)","plainTextFormattedCitation":"(Morhart et al., 2015)","previouslyFormattedCitation":"(Morhart et al., 2015)"},"properties":{"noteIndex":0},"schema":"https://github.com/citation-style-language/schema/raw/master/csl-citation.json"}</w:instrText>
      </w:r>
      <w:r w:rsidR="00A16C27" w:rsidRPr="0040120E">
        <w:rPr>
          <w:rFonts w:ascii="Times New Roman" w:hAnsi="Times New Roman" w:cs="Times New Roman"/>
          <w:sz w:val="24"/>
          <w:szCs w:val="24"/>
          <w:lang w:val="en-GB"/>
        </w:rPr>
        <w:fldChar w:fldCharType="separate"/>
      </w:r>
      <w:r w:rsidR="00A16C27" w:rsidRPr="0040120E">
        <w:rPr>
          <w:rFonts w:ascii="Times New Roman" w:hAnsi="Times New Roman" w:cs="Times New Roman"/>
          <w:noProof/>
          <w:sz w:val="24"/>
          <w:szCs w:val="24"/>
          <w:lang w:val="en-GB"/>
        </w:rPr>
        <w:t>(</w:t>
      </w:r>
      <w:r w:rsidR="000C749D" w:rsidRPr="0040120E">
        <w:rPr>
          <w:rFonts w:ascii="Times New Roman" w:hAnsi="Times New Roman" w:cs="Times New Roman"/>
          <w:noProof/>
          <w:sz w:val="24"/>
          <w:szCs w:val="24"/>
          <w:lang w:val="en-GB"/>
        </w:rPr>
        <w:t>e.g.</w:t>
      </w:r>
      <w:r w:rsidR="00156DAD" w:rsidRPr="0040120E">
        <w:rPr>
          <w:rFonts w:ascii="Times New Roman" w:hAnsi="Times New Roman" w:cs="Times New Roman"/>
          <w:noProof/>
          <w:sz w:val="24"/>
          <w:szCs w:val="24"/>
          <w:lang w:val="en-GB"/>
        </w:rPr>
        <w:t>,</w:t>
      </w:r>
      <w:r w:rsidR="000C749D" w:rsidRPr="0040120E">
        <w:rPr>
          <w:rFonts w:ascii="Times New Roman" w:hAnsi="Times New Roman" w:cs="Times New Roman"/>
          <w:noProof/>
          <w:sz w:val="24"/>
          <w:szCs w:val="24"/>
          <w:lang w:val="en-GB"/>
        </w:rPr>
        <w:t xml:space="preserve"> continuity in </w:t>
      </w:r>
      <w:r w:rsidR="00A16C27" w:rsidRPr="0040120E">
        <w:rPr>
          <w:rFonts w:ascii="Times New Roman" w:hAnsi="Times New Roman" w:cs="Times New Roman"/>
          <w:noProof/>
          <w:sz w:val="24"/>
          <w:szCs w:val="24"/>
          <w:lang w:val="en-GB"/>
        </w:rPr>
        <w:t>Morhart et al., 2015)</w:t>
      </w:r>
      <w:r w:rsidR="00A16C27" w:rsidRPr="0040120E">
        <w:rPr>
          <w:rFonts w:ascii="Times New Roman" w:hAnsi="Times New Roman" w:cs="Times New Roman"/>
          <w:sz w:val="24"/>
          <w:szCs w:val="24"/>
          <w:lang w:val="en-GB"/>
        </w:rPr>
        <w:fldChar w:fldCharType="end"/>
      </w:r>
      <w:r w:rsidR="00A16C27"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but several </w:t>
      </w:r>
      <w:r w:rsidR="000C749D" w:rsidRPr="0040120E">
        <w:rPr>
          <w:rFonts w:ascii="Times New Roman" w:hAnsi="Times New Roman" w:cs="Times New Roman"/>
          <w:sz w:val="24"/>
          <w:szCs w:val="24"/>
          <w:lang w:val="en-GB"/>
        </w:rPr>
        <w:t xml:space="preserve">others </w:t>
      </w:r>
      <w:r w:rsidR="00C708C4" w:rsidRPr="0040120E">
        <w:rPr>
          <w:rFonts w:ascii="Times New Roman" w:hAnsi="Times New Roman" w:cs="Times New Roman"/>
          <w:sz w:val="24"/>
          <w:szCs w:val="24"/>
          <w:lang w:val="en-GB"/>
        </w:rPr>
        <w:t xml:space="preserve">that </w:t>
      </w:r>
      <w:r w:rsidRPr="0040120E">
        <w:rPr>
          <w:rFonts w:ascii="Times New Roman" w:hAnsi="Times New Roman" w:cs="Times New Roman"/>
          <w:sz w:val="24"/>
          <w:szCs w:val="24"/>
          <w:lang w:val="en-GB"/>
        </w:rPr>
        <w:t>can be managed without any temporal grounding</w:t>
      </w:r>
      <w:r w:rsidR="00C15D2E"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t>
      </w:r>
      <w:r w:rsidR="00C708C4" w:rsidRPr="0040120E">
        <w:rPr>
          <w:rFonts w:ascii="Times New Roman" w:hAnsi="Times New Roman" w:cs="Times New Roman"/>
          <w:sz w:val="24"/>
          <w:szCs w:val="24"/>
          <w:lang w:val="en-GB"/>
        </w:rPr>
        <w:t>f</w:t>
      </w:r>
      <w:r w:rsidRPr="0040120E">
        <w:rPr>
          <w:rFonts w:ascii="Times New Roman" w:hAnsi="Times New Roman" w:cs="Times New Roman"/>
          <w:sz w:val="24"/>
          <w:szCs w:val="24"/>
          <w:lang w:val="en-GB"/>
        </w:rPr>
        <w:t>or instance</w:t>
      </w:r>
      <w:r w:rsidR="00C708C4"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t>
      </w:r>
      <w:r w:rsidR="002D7072" w:rsidRPr="0040120E">
        <w:rPr>
          <w:rFonts w:ascii="Times New Roman" w:hAnsi="Times New Roman" w:cs="Times New Roman"/>
          <w:sz w:val="24"/>
          <w:szCs w:val="24"/>
          <w:lang w:val="en-GB"/>
        </w:rPr>
        <w:t>signalling</w:t>
      </w:r>
      <w:r w:rsidRPr="0040120E">
        <w:rPr>
          <w:rFonts w:ascii="Times New Roman" w:hAnsi="Times New Roman" w:cs="Times New Roman"/>
          <w:sz w:val="24"/>
          <w:szCs w:val="24"/>
          <w:lang w:val="en-GB"/>
        </w:rPr>
        <w:t xml:space="preserve"> the method of production, the importance of craftsmanship and sincerity, downplaying commercial motives, </w:t>
      </w:r>
      <w:r w:rsidR="00C708C4" w:rsidRPr="0040120E">
        <w:rPr>
          <w:rFonts w:ascii="Times New Roman" w:hAnsi="Times New Roman" w:cs="Times New Roman"/>
          <w:sz w:val="24"/>
          <w:szCs w:val="24"/>
          <w:lang w:val="en-GB"/>
        </w:rPr>
        <w:t xml:space="preserve">or </w:t>
      </w:r>
      <w:r w:rsidRPr="0040120E">
        <w:rPr>
          <w:rFonts w:ascii="Times New Roman" w:hAnsi="Times New Roman" w:cs="Times New Roman"/>
          <w:sz w:val="24"/>
          <w:szCs w:val="24"/>
          <w:lang w:val="en-GB"/>
        </w:rPr>
        <w:t xml:space="preserve">relating to a specific place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{"citationItems":[{"id":"ITEM-1","itemData":{"DOI":"10.1016/j.jbusres.2013.06.001","ISBN":"0148-2963","ISSN":"01482963","abstract":"Postmodern consumers use brands to create an authentic self and to reconnect to place, time, culture and others. Although previous research has identified that consumers draw on a range of cues in order to attribute authenticity to branded objects, no scales exist to measure the construct of brand authenticity. Building on the existing literature, this paper uses quantitative methods to develop a psychometrically robust measure of brand authenticity from a consumer's perspective. Findings demonstrate convergent, discriminant and predictive validity, whereby 14 items represent three interrelated first order factors labeled quality commitment, sincerity and heritage that correspond with a higher order brand authenticity construct. This study extends our understanding of the consumption of authenticity. Moreover, it provides a tool by which firms can evaluate the effectiveness of strategic decisions designed to deliver an authentic brand offering to consumers. Limitations and directions for future research are discussed. © 2013 Elsevier Inc.","author":[{"dropping-particle":"","family":"Napoli","given":"Julie","non-dropping-particle":"","parse-names":false,"suffix":""},{"dropping-particle":"","family":"Dickinson","given":"Sonia J.","non-dropping-particle":"","parse-names":false,"suffix":""},{"dropping-particle":"","family":"Beverland","given":"Michael B.","non-dropping-particle":"","parse-names":false,"suffix":""},{"dropping-particle":"","family":"Farrelly","given":"Francis","non-dropping-particle":"","parse-names":false,"suffix":""}],"container-title":"Journal of Business Research","id":"ITEM-1","issue":"6","issued":{"date-parts":[["2014"]]},"page":"1090-1098","publisher":"Elsevier Inc.","title":"Measuring consumer-based brand authenticity","type":"article-journal","volume":"67"},"uris":["http://www.mendeley.com/documents/?uuid=fe1ddec5-5136-41ae-857f-792a7df38d85"]},{"id":"ITEM-2","itemData":{"DOI":"10.1177/0092070306288403","ISBN":"00920703","ISSN":"00920703","PMID":"22987412","abstract":"Authenticity in the consumption context is an important topic within the marketing literature. This article explores authenticity's multiplicity of meanings within the MG brand subculture of consumption. An ethnographic approach guided data collection, which included participant observation, photo and document reviews, informal conversations, and formal, in-depth interviews with 58 MG owners. The data show that MG owners gain a sense of authenticity in the consumption context via the object and its ownership, consumer experiences, and identity construction and confirmation. As an object, an MG is authentic if it broaches an ideal standard and preserves the brand heritage. An MG experience is authentic when an owner interacts with the car through driving and self-work activities. Finally, an MG owner authenticates his or her identity through role performance and communal commitment. Implications are discussed in light of brand management.","author":[{"dropping-particle":"","family":"Leigh","given":"Thomas W.","non-dropping-particle":"","parse-names":false,"suffix":""},{"dropping-particle":"","family":"Peters","given":"Cara","non-dropping-particle":"","parse-names":false,"suffix":""},{"dropping-particle":"","family":"Shelton","given":"Jeremy","non-dropping-particle":"","parse-names":false,"suffix":""}],"container-title":"Journal of the Academy of Marketing Science","id":"ITEM-2","issue":"4","issued":{"date-parts":[["2006"]]},"page":"481-493","title":"The consumer quest for authenticity: The multiplicity of meanings within the MG subculture of consumption","type":"article-journal","volume":"34"},"uris":["http://www.mendeley.com/documents/?uuid=cff67231-789d-48b8-8b41-41d45dd47fdc"]},{"id":"ITEM-3","itemData":{"DOI":"10.1016/j.jbusres.2005.04.007","ISBN":"0148-2963","ISSN":"01482963","abstract":"Authenticity is a cornerstone of contemporary marketing practice yet confusion surrounds the nature and use of authenticity in the brand arena. We identify six attributions of authenticity based on an examination of the strategies of 20 ultra-premium wineries and interviews with 30 wine consumers. These six attributes are: heritage and pedigree, stylistic consistency, quality commitments, relationship to place, method of production, and downplaying commercial motives. These attributes of authenticity resonated with consumers. The attributes of authenticity were both real and stylized versions of the truth. © 2005 Elsevier Inc. All rights reserved.","author":[{"dropping-particle":"","family":"Beverland","given":"Michael","non-dropping-particle":"","parse-names":false,"suffix":""}],"container-title":"Journal of Business Research","id":"ITEM-3","issue":"2","issued":{"date-parts":[["2006"]]},"page":"251-258","title":"The 'real thing': Branding authenticity in the luxury wine trade","type":"article-journal","volume":"59"},"uris":["http://www.mendeley.com/documents/?uuid=2c189d01-9c93-4e98-8745-1c20bbff22e8"]}],"mendeley":{"formattedCitation":"(Beverland, 2006; Leigh, Peters, &amp; Shelton, 2006; Napoli et al., 2014)","plainTextFormattedCitation":"(Beverland, 2006; Leigh, Peters, &amp; Shelton, 2006; Napoli et al., 2014)","previouslyFormattedCitation":"(Beverland, 2006; Leigh, Peters, &amp; Shelton, 2006; Napoli et al., 2014)"},"properties":{"noteIndex":0},"schema":"https://github.com/citation-style-language/schema/raw/master/csl-citation.json"}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00E23412" w:rsidRPr="0040120E">
        <w:rPr>
          <w:rFonts w:ascii="Times New Roman" w:hAnsi="Times New Roman" w:cs="Times New Roman"/>
          <w:noProof/>
          <w:sz w:val="24"/>
          <w:szCs w:val="24"/>
          <w:lang w:val="en-GB"/>
        </w:rPr>
        <w:t>(Beverland, 2006; Leigh, Peters, &amp; Shelton, 2006; Napoli et al., 2014)</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do not require any temporal anchoring. Recent</w:t>
      </w:r>
      <w:r w:rsidR="00C15D2E" w:rsidRPr="0040120E">
        <w:rPr>
          <w:rFonts w:ascii="Times New Roman" w:hAnsi="Times New Roman" w:cs="Times New Roman"/>
          <w:sz w:val="24"/>
          <w:szCs w:val="24"/>
          <w:lang w:val="en-GB"/>
        </w:rPr>
        <w:t>ly created</w:t>
      </w:r>
      <w:r w:rsidRPr="0040120E">
        <w:rPr>
          <w:rFonts w:ascii="Times New Roman" w:hAnsi="Times New Roman" w:cs="Times New Roman"/>
          <w:sz w:val="24"/>
          <w:szCs w:val="24"/>
          <w:lang w:val="en-GB"/>
        </w:rPr>
        <w:t xml:space="preserve"> celebrity brands are considered authentic because they appear genuine, although they lack any heritage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{"citationItems":[{"id":"ITEM-1","itemData":{"DOI":"10.1002/mar","ISBN":"0300-5283","ISSN":"03005283","PMID":"27326954","abstract":"Celebrity brand authenticity is introduced as a construct that represents consumer perceptions of celebrities being “true to oneself” in their behaviors and interactions with consumers. A scale is developed through two purification stages and the scale’s predictive validity is assessed. First, the meaning of celebrity brand authenticity to consumers is explored. Second, the Authenticity Inventory from the psychology literature is adapted to develop a scale for consumer perceptions of celebrity brand authenticity. Celebrity brands are perceived as true to self when they appear genuine in their relationships with consumers and behave in accordance with their perceived held values. Evidence of the convergent and discriminant validity of the celebrity brand authenticity scale is provided, which confirms celebrity brand authenticity as distinct from celebrity attachment, despite containing relational items. Finally, the predictive power of celebrity brand authenticity is confirmed through positively influencing consumer intentions to purchase an endorsed brand. Brand managers can use celebrity brand authenticity to position or develop celebrity brands, as well as in the selection of celebrity endorsers","author":[{"dropping-particle":"","family":"Ilicic","given":"Jasmina","non-dropping-particle":"","parse-names":false,"suffix":""},{"dropping-particle":"","family":"Webster","given":"Cynthia M.","non-dropping-particle":"","parse-names":false,"suffix":""}],"container-title":"Psychology &amp; Marketing","id":"ITEM-1","issue":"6","issued":{"date-parts":[["2016"]]},"page":"410-420","title":"Being True to Oneself: Investigating Celebrity Brand Authenticity","type":"article-journal","volume":"33"},"uris":["http://www.mendeley.com/documents/?uuid=39b4facd-7265-46ba-882b-01faed2194fb"]}],"mendeley":{"formattedCitation":"(Ilicic &amp; Webster, 2016)","plainTextFormattedCitation":"(Ilicic &amp; Webster, 2016)","previouslyFormattedCitation":"(Ilicic &amp; Webster, 2016)"},"properties":{"noteIndex":0},"schema":"https://github.com/citation-style-language/schema/raw/master/csl-citation.json"}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(Ilicic &amp; Webster, 2016)</w:t>
      </w:r>
      <w:r w:rsidRPr="0040120E">
        <w:rPr>
          <w:rFonts w:ascii="Times New Roman" w:hAnsi="Times New Roman" w:cs="Times New Roman"/>
          <w:sz w:val="24"/>
          <w:szCs w:val="24"/>
          <w:lang w:val="en-GB"/>
        </w:rPr>
        <w:fldChar w:fldCharType="end"/>
      </w:r>
      <w:r w:rsidR="00684338" w:rsidRPr="0040120E">
        <w:rPr>
          <w:rFonts w:ascii="Times New Roman" w:hAnsi="Times New Roman" w:cs="Times New Roman"/>
          <w:sz w:val="24"/>
          <w:szCs w:val="24"/>
          <w:lang w:val="en-GB"/>
        </w:rPr>
        <w:t xml:space="preserve">. An investigation of young authentic brands reveal that authenticity is mostly created through processes of transparency, as well as virtuousness and proximity </w:t>
      </w:r>
      <w:r w:rsidR="00684338" w:rsidRPr="0040120E">
        <w:rPr>
          <w:rFonts w:ascii="Times New Roman" w:hAnsi="Times New Roman" w:cs="Times New Roman"/>
          <w:sz w:val="24"/>
          <w:szCs w:val="24"/>
          <w:lang w:val="en-GB"/>
        </w:rPr>
        <w:fldChar w:fldCharType="begin" w:fldLock="1"/>
      </w:r>
      <w:r w:rsidR="00684338" w:rsidRPr="0040120E">
        <w:rPr>
          <w:rFonts w:ascii="Times New Roman" w:hAnsi="Times New Roman" w:cs="Times New Roman"/>
          <w:sz w:val="24"/>
          <w:szCs w:val="24"/>
          <w:lang w:val="en-GB"/>
        </w:rPr>
        <w:instrText>ADDIN CSL_CITATION {"citationItems":[{"id":"ITEM-1","itemData":{"DOI":"10.1002/cb.1735","ISBN":"1472-0817","ISSN":"14791838","abstract":"Consumers increasingly seek authenticity in the brands they consume. Although studied extensively, brand authenticity appears to be restricted to older, more timeless brands. This article challenges previous research findings by examining whether or not young brands can be perceived as authentic and, if so, how? Adopting a holistic view, the author investigates interpretation-by consumers-and construction-by the brand-of an authentic image in the case of a young brand. The twofold objective of this research involves identifying dimensions of consumer-perceived brand authenticity in the early stages of the development of an authentic brand and then understanding the practices employed by the brand to support the observed dimensions of authenticity. Supplemented by seven individual interviews, a netnography of the online community of a young brand quickly recognized for authenticity reveals three central dimensions of authenticity, namely, transparency, virtuousness, and proximity. An analysis of brand publications within the community further expose the interplay of indexical (i.e., evidence-based authenticity signals) and iconic cues (i.e., impression-based authenticity signals) in support of the dimensions. Findings substantiate the prevalence of brand transparency over both virtuousness and proximity in the early stages of the development of an authentic brand. In addition, although indexical cues dominate in conveying transparency, iconic cues prove central to virtuousness, and both signal proximity. The article, the first to broach the construction of authenticity for a young brand, enhances the corpus of knowledge on authenticity through a re-examination of the significance and construction of the concept.","author":[{"dropping-particle":"","family":"Guèvremont","given":"Amélie","non-dropping-particle":"","parse-names":false,"suffix":""}],"container-title":"Journal of Consumer Behaviour","id":"ITEM-1","issue":"6","issued":{"date-parts":[["2018"]]},"page":"505-518","title":"Creating and interpreting brand authenticity: The case of a young brand","type":"article-journal","volume":"17"},"uris":["http://www.mendeley.com/documents/?uuid=32738e9f-ee9f-4ef1-9ee2-41b7d54d1370"]}],"mendeley":{"formattedCitation":"(Guèvremont, 2018)","plainTextFormattedCitation":"(Guèvremont, 2018)","previouslyFormattedCitation":"(Guèvremont, 2018)"},"properties":{"noteIndex":0},"schema":"https://github.com/citation-style-language/schema/raw/master/csl-citation.json"}</w:instrText>
      </w:r>
      <w:r w:rsidR="00684338" w:rsidRPr="0040120E">
        <w:rPr>
          <w:rFonts w:ascii="Times New Roman" w:hAnsi="Times New Roman" w:cs="Times New Roman"/>
          <w:sz w:val="24"/>
          <w:szCs w:val="24"/>
          <w:lang w:val="en-GB"/>
        </w:rPr>
        <w:fldChar w:fldCharType="separate"/>
      </w:r>
      <w:r w:rsidR="00684338" w:rsidRPr="0040120E">
        <w:rPr>
          <w:rFonts w:ascii="Times New Roman" w:hAnsi="Times New Roman" w:cs="Times New Roman"/>
          <w:noProof/>
          <w:sz w:val="24"/>
          <w:szCs w:val="24"/>
          <w:lang w:val="en-GB"/>
        </w:rPr>
        <w:t>(Guèvremont, 2018)</w:t>
      </w:r>
      <w:r w:rsidR="00684338"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w:t>
      </w:r>
    </w:p>
    <w:p w14:paraId="611D6FF8" w14:textId="192CCD02" w:rsidR="00B5310A" w:rsidRPr="0040120E" w:rsidRDefault="00B5310A" w:rsidP="00B5310A">
      <w:pPr>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Of course, </w:t>
      </w:r>
      <w:r w:rsidR="000C749D" w:rsidRPr="0040120E">
        <w:rPr>
          <w:rFonts w:ascii="Times New Roman" w:hAnsi="Times New Roman" w:cs="Times New Roman"/>
          <w:sz w:val="24"/>
          <w:szCs w:val="24"/>
          <w:lang w:val="en-GB"/>
        </w:rPr>
        <w:t xml:space="preserve">to </w:t>
      </w:r>
      <w:r w:rsidRPr="0040120E">
        <w:rPr>
          <w:rFonts w:ascii="Times New Roman" w:hAnsi="Times New Roman" w:cs="Times New Roman"/>
          <w:sz w:val="24"/>
          <w:szCs w:val="24"/>
          <w:lang w:val="en-GB"/>
        </w:rPr>
        <w:t xml:space="preserve">mention temporality through brand heritage can increase or facilitate the emergence of those perceptions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{"citationItems":[{"id":"ITEM-1","itemData":{"DOI":"10.1016/j.jcps.2014.11.006","ISBN":"1057-7408","ISSN":"10577408","abstract":"Although brand authenticity is gaining increasing interest in consumer behavior research and managerial practice, literature on its measurement and contribution to branding theory is still limited. This article develops an integrative framework of the concept of brand authenticity and reports the development and validation of a scale measuring consumers' perceived brand authenticity (PBA). A multi-phase scale development process resulted in a 15-item PBA scale measuring four dimensions: credibility, integrity, symbolism, and continuity. This scale is reliable across different brands and cultural contexts. We find that brand authenticity perceptions are influenced by indexical, existential, and iconic cues, whereby some of the latters' influence is moderated by consumers' level of marketing skepticism. Results also suggest that PBA increases emotional brand attachment and word-of-mouth, and that it drives brand choice likelihood through self-congruence for consumers high in self-authenticity.","author":[{"dropping-particle":"","family":"Morhart","given":"Felicitas","non-dropping-particle":"","parse-names":false,"suffix":""},{"dropping-particle":"","family":"Malär","given":"Lucia","non-dropping-particle":"","parse-names":false,"suffix":""},{"dropping-particle":"","family":"Guèvremont","given":"Amélie","non-dropping-particle":"","parse-names":false,"suffix":""},{"dropping-particle":"","family":"Girardin","given":"Florent","non-dropping-particle":"","parse-names":false,"suffix":""},{"dropping-particle":"","family":"Grohmann","given":"Bianca","non-dropping-particle":"","parse-names":false,"suffix":""}],"container-title":"Journal of Consumer Psychology","id":"ITEM-1","issue":"2","issued":{"date-parts":[["2015"]]},"page":"200-218","publisher":"Society for Consumer Psychology","title":"Brand authenticity: An integrative framework and measurement scale","type":"article-journal","volume":"25"},"uris":["http://www.mendeley.com/documents/?uuid=aca9e80c-9e66-4931-a477-27dac7055119"]},{"id":"ITEM-2","itemData":{"DOI":"10.1108/EJM-10-2014-0633","ISBN":"0720150442","ISSN":"0309-0566","PMID":"42012058","abstract":"Consumer demand for authentic brands is steadily rising. With increased pressure to accommodate this demand, researchers and marketers seek to understand how to influence a brand’s perceived authenticity. The purpose of this paper is to build a link between previous research on authenticity and thus gain a deeper understanding of the influencing factors of brand authenticity and its consumer outcomes.","author":[{"dropping-particle":"","family":"Fritz","given":"Kristine","non-dropping-particle":"","parse-names":false,"suffix":""},{"dropping-particle":"","family":"Schoenmueller","given":"Verena","non-dropping-particle":"","parse-names":false,"suffix":""},{"dropping-particle":"","family":"Bruhn","given":"Manfred","non-dropping-particle":"","parse-names":false,"suffix":""}],"container-title":"European Journal of Ma</w:instrText>
      </w:r>
      <w:r w:rsidR="003870BB" w:rsidRPr="0040120E">
        <w:rPr>
          <w:rFonts w:ascii="Times New Roman" w:hAnsi="Times New Roman" w:cs="Times New Roman"/>
          <w:sz w:val="24"/>
          <w:szCs w:val="24"/>
          <w:lang w:val="de-DE"/>
        </w:rPr>
        <w:instrText>rketing","id":"ITEM-2","issue":"2","issued":{"date-parts":[["2017"]]},"page":"324-348","title":"Authenticity in branding – exploring antecedents and consequences of brand authenticity","type":"article-journal","volume":"51"},"uris":["http://www.mendeley.com/documents/?uuid=9defaa5c-4677-4d9b-8ddc-213c1b63daab"]},{"id":"ITEM-3","itemData":{"DOI":"10.1080/0267257X.2018.1447008","ISSN":"14721376","author":[{"dropping-particle":"","family":"Athwal","given":"Navdeep","non-dropping-particle":"","parse-names":false,"suffix":""},{"dropping-particle":"","family":"Harris","given":"Lloyd C.","non-dropping-particle":"","parse-names":false,"suffix":""}],"container-title":"Journal of Marketing Management","id":"ITEM-3","issue":"3-4","issued":{"date-parts":[["2018"]]},"page":"347-369","publisher":"Routledge","title":"Examining how brand authenticity is established and maintained: the case of the Reverso","type":"article-journal","volume":"34"},"uris":["http://www.mendeley.com/documents/?uuid=51079233-8e34-4970-853b-f36767d59761"]}],"mendeley":{"formattedCitation":"(Athwal &amp; Harris, 2018; Fritz, Schoenmueller, &amp; Bruhn, 2017; Morhart et al., 2015)","plainTextFormattedCitation":"(Athwal &amp; Harris, 2018; Fritz, Schoenmueller, &amp; Bruhn, 2017; Morhart et al., 2015)","previouslyFormattedCitation":"(Athwal &amp; Harris, 2018; Fritz, Schoenmueller, &amp; Bruhn, 2017; Morhart et al., 2015)"},"properties":{"noteIndex":0},"schema":"https://github.com/citation-style-language/schema/raw/master/csl-citation.json"}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00D62E26" w:rsidRPr="0040120E">
        <w:rPr>
          <w:rFonts w:ascii="Times New Roman" w:hAnsi="Times New Roman" w:cs="Times New Roman"/>
          <w:noProof/>
          <w:sz w:val="24"/>
          <w:szCs w:val="24"/>
          <w:lang w:val="de-DE"/>
        </w:rPr>
        <w:t>(Athwal &amp; Harris, 2018; Fritz, Schoenmueller, &amp; Bruhn, 2017; Morhart et al., 2015)</w:t>
      </w:r>
      <w:r w:rsidRPr="0040120E">
        <w:rPr>
          <w:rFonts w:ascii="Times New Roman" w:hAnsi="Times New Roman" w:cs="Times New Roman"/>
          <w:sz w:val="24"/>
          <w:szCs w:val="24"/>
          <w:lang w:val="en-GB"/>
        </w:rPr>
        <w:fldChar w:fldCharType="end"/>
      </w:r>
      <w:r w:rsidR="00DA3F3A" w:rsidRPr="0040120E">
        <w:rPr>
          <w:rFonts w:ascii="Times New Roman" w:hAnsi="Times New Roman" w:cs="Times New Roman"/>
          <w:sz w:val="24"/>
          <w:szCs w:val="24"/>
          <w:lang w:val="de-DE"/>
        </w:rPr>
        <w:t xml:space="preserve">. Morhart et al. </w:t>
      </w:r>
      <w:r w:rsidR="00DA3F3A" w:rsidRPr="0040120E">
        <w:rPr>
          <w:rFonts w:ascii="Times New Roman" w:hAnsi="Times New Roman" w:cs="Times New Roman"/>
          <w:sz w:val="24"/>
          <w:szCs w:val="24"/>
          <w:lang w:val="en-GB"/>
        </w:rPr>
        <w:t xml:space="preserve">(2015) find conceptual similarities between brand heritage and the dimension of continuity of </w:t>
      </w:r>
      <w:r w:rsidR="00C15D2E" w:rsidRPr="0040120E">
        <w:rPr>
          <w:rFonts w:ascii="Times New Roman" w:hAnsi="Times New Roman" w:cs="Times New Roman"/>
          <w:sz w:val="24"/>
          <w:szCs w:val="24"/>
          <w:lang w:val="en-GB"/>
        </w:rPr>
        <w:t>p</w:t>
      </w:r>
      <w:r w:rsidR="00DA3F3A" w:rsidRPr="0040120E">
        <w:rPr>
          <w:rFonts w:ascii="Times New Roman" w:hAnsi="Times New Roman" w:cs="Times New Roman"/>
          <w:sz w:val="24"/>
          <w:szCs w:val="24"/>
          <w:lang w:val="en-GB"/>
        </w:rPr>
        <w:t xml:space="preserve">erceived </w:t>
      </w:r>
      <w:r w:rsidR="00C15D2E" w:rsidRPr="0040120E">
        <w:rPr>
          <w:rFonts w:ascii="Times New Roman" w:hAnsi="Times New Roman" w:cs="Times New Roman"/>
          <w:sz w:val="24"/>
          <w:szCs w:val="24"/>
          <w:lang w:val="en-GB"/>
        </w:rPr>
        <w:t>b</w:t>
      </w:r>
      <w:r w:rsidR="00DA3F3A" w:rsidRPr="0040120E">
        <w:rPr>
          <w:rFonts w:ascii="Times New Roman" w:hAnsi="Times New Roman" w:cs="Times New Roman"/>
          <w:sz w:val="24"/>
          <w:szCs w:val="24"/>
          <w:lang w:val="en-GB"/>
        </w:rPr>
        <w:t xml:space="preserve">rand </w:t>
      </w:r>
      <w:r w:rsidR="00C15D2E" w:rsidRPr="0040120E">
        <w:rPr>
          <w:rFonts w:ascii="Times New Roman" w:hAnsi="Times New Roman" w:cs="Times New Roman"/>
          <w:sz w:val="24"/>
          <w:szCs w:val="24"/>
          <w:lang w:val="en-GB"/>
        </w:rPr>
        <w:t>a</w:t>
      </w:r>
      <w:r w:rsidR="00DA3F3A" w:rsidRPr="0040120E">
        <w:rPr>
          <w:rFonts w:ascii="Times New Roman" w:hAnsi="Times New Roman" w:cs="Times New Roman"/>
          <w:sz w:val="24"/>
          <w:szCs w:val="24"/>
          <w:lang w:val="en-GB"/>
        </w:rPr>
        <w:t xml:space="preserve">uthenticity (PBA). They also find that communicating brand heritage (roots) has a positive effect on PBA. We understand from the literature on heritage and authenticity that the latter looks </w:t>
      </w:r>
      <w:r w:rsidR="00684338" w:rsidRPr="0040120E">
        <w:rPr>
          <w:rFonts w:ascii="Times New Roman" w:hAnsi="Times New Roman" w:cs="Times New Roman"/>
          <w:sz w:val="24"/>
          <w:szCs w:val="24"/>
          <w:lang w:val="en-GB"/>
        </w:rPr>
        <w:t xml:space="preserve">primarily at non-temporal aspects of </w:t>
      </w:r>
      <w:r w:rsidR="00684338" w:rsidRPr="0040120E">
        <w:rPr>
          <w:rFonts w:ascii="Times New Roman" w:hAnsi="Times New Roman" w:cs="Times New Roman"/>
          <w:sz w:val="24"/>
          <w:szCs w:val="24"/>
          <w:lang w:val="en-GB"/>
        </w:rPr>
        <w:lastRenderedPageBreak/>
        <w:t xml:space="preserve">transparency, virtuousness and proximity </w:t>
      </w:r>
      <w:r w:rsidR="00684338" w:rsidRPr="0040120E">
        <w:rPr>
          <w:rFonts w:ascii="Times New Roman" w:hAnsi="Times New Roman" w:cs="Times New Roman"/>
          <w:sz w:val="24"/>
          <w:szCs w:val="24"/>
          <w:lang w:val="en-GB"/>
        </w:rPr>
        <w:fldChar w:fldCharType="begin" w:fldLock="1"/>
      </w:r>
      <w:r w:rsidR="00684338" w:rsidRPr="0040120E">
        <w:rPr>
          <w:rFonts w:ascii="Times New Roman" w:hAnsi="Times New Roman" w:cs="Times New Roman"/>
          <w:sz w:val="24"/>
          <w:szCs w:val="24"/>
          <w:lang w:val="en-GB"/>
        </w:rPr>
        <w:instrText>ADDIN CSL_CITATION {"citationItems":[{"id":"ITEM-1","itemData":{"DOI":"10.1002/cb.1735","ISBN":"1472-0817","ISSN":"14791838","abstract":"Consumers increasingly seek authenticity in the brands they consume. Although studied extensively, brand authenticity appears to be restricted to older, more timeless brands. This article challenges previous research findings by examining whether or not young brands can be perceived as authentic and, if so, how? Adopting a holistic view, the author investigates interpretation-by consumers-and construction-by the brand-of an authentic image in the case of a young brand. The twofold objective of this research involves identifying dimensions of consumer-perceived brand authenticity in the early stages of the development of an authentic brand and then understanding the practices employed by the brand to support the observed dimensions of authenticity. Supplemented by seven individual interviews, a netnography of the online community of a young brand quickly recognized for authenticity reveals three central dimensions of authenticity, namely, transparency, virtuousness, and proximity. An analysis of brand publications within the community further expose the interplay of indexical (i.e., evidence-based authenticity signals) and iconic cues (i.e., impression-based authenticity signals) in support of the dimensions. Findings substantiate the prevalence of brand transparency over both virtuousness and proximity in the early stages of the development of an authentic brand. In addition, although indexical cues dominate in conveying transparency, iconic cues prove central to virtuousness, and both signal proximity. The article, the first to broach the construction of authenticity for a young brand, enhances the corpus of knowledge on authenticity through a re-examination of the significance and construction of the concept.","author":[{"dropping-particle":"","family":"Guèvremont","given":"Amélie","non-dropping-particle":"","parse-names":false,"suffix":""}],"container-title":"Journal of Consumer Behaviour","id":"ITEM-1","issue":"6","issued":{"date-parts":[["2018"]]},"page":"505-518","title":"Creating and interpreting brand authenticity: The case of a young brand","type":"article-journal","volume":"17"},"uris":["http://www.mendeley.com/documents/?uuid=32738e9f-ee9f-4ef1-9ee2-41b7d54d1370"]}],"mendeley":{"formattedCitation":"(Guèvremont, 2018)","plainTextFormattedCitation":"(Guèvremont, 2018)","previouslyFormattedCitation":"(Guèvremont, 2018)"},"properties":{"noteIndex":0},"schema":"https://github.com/citation-style-language/schema/raw/master/csl-citation.json"}</w:instrText>
      </w:r>
      <w:r w:rsidR="00684338" w:rsidRPr="0040120E">
        <w:rPr>
          <w:rFonts w:ascii="Times New Roman" w:hAnsi="Times New Roman" w:cs="Times New Roman"/>
          <w:sz w:val="24"/>
          <w:szCs w:val="24"/>
          <w:lang w:val="en-GB"/>
        </w:rPr>
        <w:fldChar w:fldCharType="separate"/>
      </w:r>
      <w:r w:rsidR="00684338" w:rsidRPr="0040120E">
        <w:rPr>
          <w:rFonts w:ascii="Times New Roman" w:hAnsi="Times New Roman" w:cs="Times New Roman"/>
          <w:noProof/>
          <w:sz w:val="24"/>
          <w:szCs w:val="24"/>
          <w:lang w:val="en-GB"/>
        </w:rPr>
        <w:t>(Guèvremont, 2018)</w:t>
      </w:r>
      <w:r w:rsidR="00684338" w:rsidRPr="0040120E">
        <w:rPr>
          <w:rFonts w:ascii="Times New Roman" w:hAnsi="Times New Roman" w:cs="Times New Roman"/>
          <w:sz w:val="24"/>
          <w:szCs w:val="24"/>
          <w:lang w:val="en-GB"/>
        </w:rPr>
        <w:fldChar w:fldCharType="end"/>
      </w:r>
      <w:r w:rsidR="00DA3F3A" w:rsidRPr="0040120E">
        <w:rPr>
          <w:rFonts w:ascii="Times New Roman" w:hAnsi="Times New Roman" w:cs="Times New Roman"/>
          <w:sz w:val="24"/>
          <w:szCs w:val="24"/>
          <w:lang w:val="en-GB"/>
        </w:rPr>
        <w:t>, while brand heritage is primarily a temporal concept</w:t>
      </w:r>
      <w:r w:rsidR="00684338" w:rsidRPr="0040120E">
        <w:rPr>
          <w:rFonts w:ascii="Times New Roman" w:hAnsi="Times New Roman" w:cs="Times New Roman"/>
          <w:sz w:val="24"/>
          <w:szCs w:val="24"/>
          <w:lang w:val="en-GB"/>
        </w:rPr>
        <w:t xml:space="preserve"> relating to omni-temporality </w:t>
      </w:r>
      <w:r w:rsidR="00684338" w:rsidRPr="0040120E">
        <w:rPr>
          <w:rFonts w:ascii="Times New Roman" w:hAnsi="Times New Roman" w:cs="Times New Roman"/>
          <w:sz w:val="24"/>
          <w:szCs w:val="24"/>
          <w:lang w:val="en-GB"/>
        </w:rPr>
        <w:fldChar w:fldCharType="begin" w:fldLock="1"/>
      </w:r>
      <w:r w:rsidR="006142EE" w:rsidRPr="0040120E">
        <w:rPr>
          <w:rFonts w:ascii="Times New Roman" w:hAnsi="Times New Roman" w:cs="Times New Roman"/>
          <w:sz w:val="24"/>
          <w:szCs w:val="24"/>
          <w:lang w:val="en-GB"/>
        </w:rPr>
        <w:instrText>ADDIN CSL_CITATION {"citationItems":[{"id":"ITEM-1","itemData":{"DOI":"10.1108/CCIJ-05-2013-0031","ISBN":"1356-3289","ISSN":"13563289","abstract":"Purpose: The purpose of this paper is to advance the general understanding of the corporate heritage domain. The paper seeks to specify the requisites of corporate heritage and to introduce and explicate the corporate heritage marketing and total corporate heritage communications notions. Design/methodology/approach: As befits an opening article of the first special edition specifically devoted to corporate heritage, this article is largely conceptual in character and draws on the extant literature on corporate heritage brands and identities. In illuminating key points, it also makes reference to extant corporate heritage entities/brands. Findings: A provisional theory of corporate heritage sustainability is articulated, as is the enumeration of key corporate heritage traits. The notions of corporate heritage marketing and total corporate heritage communications are introduced and articulated. Key corporate heritage traits requisites encompass omni-temporality; institution trait constancy; external/internal tri-generational hereditary; augmented role identities; ceaseless multigenerational stakeholder utility and unremitting management tenacity. Corporate heritage marketing consists of eight dimensions: corporate heritage character/communications/covenant/conceptualisations/culture/constituencies/custodianship/context. Total corporate heritage communicates consists of primary/secondary/tertiary and legacy communications. Practical implications: The paper notes the need for assiduous management attention to be accorded to organisations with a bona-fide corporate heritage. Managers are custodians - as are organisational members guardians - of a corporate heritage. Corporate heritage institutions because they are sui generis require distinct approaches vis-à-vis their preservation and management. Social implications: Corporate heritage identities and corporate heritage brands confer not only corporate but also temporal, territorial, social, cultural and ancestral identities to multi-generational groups of customers and other stakeholders. As such, they are of importance not only as corporate entities but also as perennial social identities as well. This is of importance to policy makers, managers and owners of corporate heritage identities and corporate heritage brands. Originality/value: The unveiling of corporate heritage marketing and of total corporate heritage communications perspective and the articulation of key corporate heritage entity traits is o…","author":[{"dropping-particle":"","family":"Balmer","given":"John M T","non-dropping-particle":"","parse-names":false,"suffix":""}],"container-title":"Corporate Communications: An International Journal","id":"ITEM-1","issue":"3","issued":{"date-parts":[["2013"]]},"page":"290-326","title":"Corporate heritage, corporate heritage marketing, and total corporate heritage communications: What are they? What of them?","type":"article-journal","volume":"18"},"uris":["http://www.mendeley.com/documents/?uuid=33b47f55-02bf-461a-b5f5-82042cac9665"]}],"mendeley":{"formattedCitation":"(Balmer, 2013)","plainTextFormattedCitation":"(Balmer, 2013)","previouslyFormattedCitation":"(Balmer, 2013)"},"properties":{"noteIndex":0},"schema":"https://github.com/citation-style-language/schema/raw/master/csl-citation.json"}</w:instrText>
      </w:r>
      <w:r w:rsidR="00684338" w:rsidRPr="0040120E">
        <w:rPr>
          <w:rFonts w:ascii="Times New Roman" w:hAnsi="Times New Roman" w:cs="Times New Roman"/>
          <w:sz w:val="24"/>
          <w:szCs w:val="24"/>
          <w:lang w:val="en-GB"/>
        </w:rPr>
        <w:fldChar w:fldCharType="separate"/>
      </w:r>
      <w:r w:rsidR="00684338" w:rsidRPr="0040120E">
        <w:rPr>
          <w:rFonts w:ascii="Times New Roman" w:hAnsi="Times New Roman" w:cs="Times New Roman"/>
          <w:noProof/>
          <w:sz w:val="24"/>
          <w:szCs w:val="24"/>
          <w:lang w:val="en-GB"/>
        </w:rPr>
        <w:t>(Balmer, 2013)</w:t>
      </w:r>
      <w:r w:rsidR="00684338" w:rsidRPr="0040120E">
        <w:rPr>
          <w:rFonts w:ascii="Times New Roman" w:hAnsi="Times New Roman" w:cs="Times New Roman"/>
          <w:sz w:val="24"/>
          <w:szCs w:val="24"/>
          <w:lang w:val="en-GB"/>
        </w:rPr>
        <w:fldChar w:fldCharType="end"/>
      </w:r>
      <w:r w:rsidR="00DA3F3A"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We propose to limit brand heritage from a consumer perspective to a set of associations related to the temporality of the brand.</w:t>
      </w:r>
    </w:p>
    <w:p w14:paraId="39385F5F" w14:textId="77777777" w:rsidR="00B5310A" w:rsidRPr="0040120E" w:rsidRDefault="00B5310A" w:rsidP="00B5310A">
      <w:pPr>
        <w:spacing w:line="480" w:lineRule="auto"/>
        <w:rPr>
          <w:rFonts w:ascii="Times New Roman" w:hAnsi="Times New Roman" w:cs="Times New Roman"/>
          <w:b/>
          <w:sz w:val="24"/>
          <w:szCs w:val="24"/>
          <w:lang w:val="en-GB"/>
        </w:rPr>
      </w:pPr>
    </w:p>
    <w:p w14:paraId="025BA585" w14:textId="4E471C9D" w:rsidR="006D078E" w:rsidRPr="0040120E" w:rsidRDefault="00580DE3" w:rsidP="00E23412">
      <w:pPr>
        <w:spacing w:line="480" w:lineRule="auto"/>
        <w:rPr>
          <w:rFonts w:ascii="Times New Roman" w:hAnsi="Times New Roman" w:cs="Times New Roman"/>
          <w:b/>
          <w:i/>
          <w:sz w:val="24"/>
          <w:szCs w:val="24"/>
          <w:lang w:val="en-GB"/>
        </w:rPr>
      </w:pPr>
      <w:r w:rsidRPr="0040120E">
        <w:rPr>
          <w:rFonts w:ascii="Times New Roman" w:hAnsi="Times New Roman" w:cs="Times New Roman"/>
          <w:b/>
          <w:i/>
          <w:sz w:val="24"/>
          <w:szCs w:val="24"/>
          <w:lang w:val="en-GB"/>
        </w:rPr>
        <w:t>T</w:t>
      </w:r>
      <w:r w:rsidR="006D078E" w:rsidRPr="0040120E">
        <w:rPr>
          <w:rFonts w:ascii="Times New Roman" w:hAnsi="Times New Roman" w:cs="Times New Roman"/>
          <w:b/>
          <w:i/>
          <w:sz w:val="24"/>
          <w:szCs w:val="24"/>
          <w:lang w:val="en-GB"/>
        </w:rPr>
        <w:t xml:space="preserve">he perception of </w:t>
      </w:r>
      <w:r w:rsidRPr="0040120E">
        <w:rPr>
          <w:rFonts w:ascii="Times New Roman" w:hAnsi="Times New Roman" w:cs="Times New Roman"/>
          <w:b/>
          <w:i/>
          <w:sz w:val="24"/>
          <w:szCs w:val="24"/>
          <w:lang w:val="en-GB"/>
        </w:rPr>
        <w:t xml:space="preserve">brand </w:t>
      </w:r>
      <w:r w:rsidR="00DA3F3A" w:rsidRPr="0040120E">
        <w:rPr>
          <w:rFonts w:ascii="Times New Roman" w:hAnsi="Times New Roman" w:cs="Times New Roman"/>
          <w:b/>
          <w:i/>
          <w:sz w:val="24"/>
          <w:szCs w:val="24"/>
          <w:lang w:val="en-GB"/>
        </w:rPr>
        <w:t>associations</w:t>
      </w:r>
    </w:p>
    <w:p w14:paraId="20F87EB7" w14:textId="64952D4A" w:rsidR="002D7072" w:rsidRPr="0040120E" w:rsidRDefault="00C708C4" w:rsidP="009C4356">
      <w:pPr>
        <w:spacing w:line="480" w:lineRule="auto"/>
        <w:jc w:val="both"/>
        <w:rPr>
          <w:rFonts w:ascii="Times New Roman" w:hAnsi="Times New Roman" w:cs="Times New Roman"/>
          <w:sz w:val="24"/>
          <w:szCs w:val="24"/>
          <w:lang w:val="en-US"/>
        </w:rPr>
      </w:pPr>
      <w:r w:rsidRPr="0040120E">
        <w:rPr>
          <w:rFonts w:ascii="Times New Roman" w:hAnsi="Times New Roman" w:cs="Times New Roman"/>
          <w:sz w:val="24"/>
          <w:szCs w:val="24"/>
          <w:lang w:val="en-GB"/>
        </w:rPr>
        <w:t>L</w:t>
      </w:r>
      <w:r w:rsidR="00626202" w:rsidRPr="0040120E">
        <w:rPr>
          <w:rFonts w:ascii="Times New Roman" w:hAnsi="Times New Roman" w:cs="Times New Roman"/>
          <w:sz w:val="24"/>
          <w:szCs w:val="24"/>
          <w:lang w:val="en-GB"/>
        </w:rPr>
        <w:t xml:space="preserve">iterature </w:t>
      </w:r>
      <w:r w:rsidRPr="0040120E">
        <w:rPr>
          <w:rFonts w:ascii="Times New Roman" w:hAnsi="Times New Roman" w:cs="Times New Roman"/>
          <w:sz w:val="24"/>
          <w:szCs w:val="24"/>
          <w:lang w:val="en-GB"/>
        </w:rPr>
        <w:t>o</w:t>
      </w:r>
      <w:r w:rsidR="00626202" w:rsidRPr="0040120E">
        <w:rPr>
          <w:rFonts w:ascii="Times New Roman" w:hAnsi="Times New Roman" w:cs="Times New Roman"/>
          <w:sz w:val="24"/>
          <w:szCs w:val="24"/>
          <w:lang w:val="en-GB"/>
        </w:rPr>
        <w:t xml:space="preserve">n archaeology, sociology, history and anthropology shows that heritage is not any representation of the past. It aims to strengthen the identity of the object it is attached to </w:t>
      </w:r>
      <w:r w:rsidR="00626202"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{"citationItems":[{"id":"ITEM-1","itemData":{"author":[{"dropping-particle":"","family":"Hartog","given":"Francois","non-dropping-particle":"","parse-names":false,"suffix":""}],"id":"ITEM-1","issued":{"date-parts":[["2015"]]},"number-of-pages":"288","publisher":"Columbia University Press","publisher-place":"New York","title":"Regimes of Historicity: Presentism and Experiences of Time","type":"book"},"uris":["http://www.mendeley.com/documents/?uuid=29e3eb1b-3d16-42f9-ac70-4c3e6a69baa6"]},{"id":"ITEM-2","itemData":{"author":[{"dropping-particle":"","family":"Lowenthal","given":"David","non-dropping-particle":"","parse-names":false,"suffix":""}],"id":"ITEM-2","issued":{"date-parts":[["2015"]]},"publisher":"Cambridge University Press","publisher-place":"Cambridge","title":"The past is a foreign country-revisited","type":"book"},"uris":["http://www.mendeley.com/documents/?uuid=6d1072c8-21e6-4f15-b394-9f65f8424d0a"]},{"id":"ITEM-3","itemData":{"author":[{"dropping-particle":"","family":"Walsh","given":"Kevin","non-dropping-particle":"","parse-names":false,"suffix":""}],"id":"ITEM-3","issued":{"date-parts":[["2002"]]},"publisher":"Routledge","publisher-place":"London","title":"The Representation of the Past: Museums and Heritage in the Post-Modern World","type":"book"},"uris":["http://www.mendeley.com/documents/?uuid=77da319d-fb0e-4d94-aa3a-405b0e6f2d69"]}],"mendeley":{"formattedCitation":"(Hartog, 2015; Lowenthal, 2015; Walsh, 2002)","plainTextFormattedCitation":"(Hartog, 2015; Lowenthal, 2015; Walsh, 2002)","previouslyFormattedCitation":"(Hartog, 2015; Lowenthal, 2015; Walsh, 2002)"},"properties":{"noteIndex":0},"schema":"https://github.com/citation-style-language/schema/raw/master/csl-citation.json"}</w:instrText>
      </w:r>
      <w:r w:rsidR="00626202" w:rsidRPr="0040120E">
        <w:rPr>
          <w:rFonts w:ascii="Times New Roman" w:hAnsi="Times New Roman" w:cs="Times New Roman"/>
          <w:sz w:val="24"/>
          <w:szCs w:val="24"/>
          <w:lang w:val="en-GB"/>
        </w:rPr>
        <w:fldChar w:fldCharType="separate"/>
      </w:r>
      <w:r w:rsidR="003C144A" w:rsidRPr="0040120E">
        <w:rPr>
          <w:rFonts w:ascii="Times New Roman" w:hAnsi="Times New Roman" w:cs="Times New Roman"/>
          <w:noProof/>
          <w:sz w:val="24"/>
          <w:szCs w:val="24"/>
          <w:lang w:val="en-GB"/>
        </w:rPr>
        <w:t>(Hartog, 2015; Lowenthal, 2015; Walsh, 2002)</w:t>
      </w:r>
      <w:r w:rsidR="00626202" w:rsidRPr="0040120E">
        <w:rPr>
          <w:rFonts w:ascii="Times New Roman" w:hAnsi="Times New Roman" w:cs="Times New Roman"/>
          <w:sz w:val="24"/>
          <w:szCs w:val="24"/>
          <w:lang w:val="en-GB"/>
        </w:rPr>
        <w:fldChar w:fldCharType="end"/>
      </w:r>
      <w:r w:rsidR="00626202" w:rsidRPr="0040120E">
        <w:rPr>
          <w:rFonts w:ascii="Times New Roman" w:hAnsi="Times New Roman" w:cs="Times New Roman"/>
          <w:sz w:val="24"/>
          <w:szCs w:val="24"/>
          <w:lang w:val="en-GB"/>
        </w:rPr>
        <w:t xml:space="preserve">. </w:t>
      </w:r>
      <w:r w:rsidR="003962F0" w:rsidRPr="0040120E">
        <w:rPr>
          <w:rFonts w:ascii="Times New Roman" w:hAnsi="Times New Roman" w:cs="Times New Roman"/>
          <w:sz w:val="24"/>
          <w:szCs w:val="24"/>
          <w:lang w:val="en-GB"/>
        </w:rPr>
        <w:t xml:space="preserve">For instance, </w:t>
      </w:r>
      <w:r w:rsidR="003962F0" w:rsidRPr="0040120E">
        <w:rPr>
          <w:rFonts w:ascii="Times New Roman" w:hAnsi="Times New Roman" w:cs="Times New Roman"/>
          <w:sz w:val="24"/>
          <w:lang w:val="en-GB"/>
        </w:rPr>
        <w:fldChar w:fldCharType="begin" w:fldLock="1"/>
      </w:r>
      <w:r w:rsidR="003870BB" w:rsidRPr="0040120E">
        <w:rPr>
          <w:rFonts w:ascii="Times New Roman" w:hAnsi="Times New Roman" w:cs="Times New Roman"/>
          <w:sz w:val="24"/>
          <w:lang w:val="en-GB"/>
        </w:rPr>
        <w:instrText>ADDIN CSL_CITATION {"citationItems":[{"id":"ITEM-1","itemData":{"author":[{"dropping-particle":"","family":"Walsh","given":"Kevin","non-dropping-particle":"","parse-names":false,"suffix":""}],"id":"ITEM-1","issued":{"date-parts":[["2002"]]},"publisher":"Routledge","publisher-place":"London","title":"The Representation of the Past: Museums and Heritage in the Post-Modern World","type":"book"},"uris":["http://www.mendeley.com/documents/?uuid=77da319d-fb0e-4d94-aa3a-405b0e6f2d69"]}],"mendeley":{"formattedCitation":"(Walsh, 2002)","manualFormatting":"Walsh (2002)","plainTextFormattedCitation":"(Walsh, 2002)","previouslyFormattedCitation":"(Walsh, 2002)"},"properties":{"noteIndex":0},"schema":"https://github.com/citation-style-language/schema/raw/master/csl-citation.json"}</w:instrText>
      </w:r>
      <w:r w:rsidR="003962F0" w:rsidRPr="0040120E">
        <w:rPr>
          <w:rFonts w:ascii="Times New Roman" w:hAnsi="Times New Roman" w:cs="Times New Roman"/>
          <w:sz w:val="24"/>
          <w:lang w:val="en-GB"/>
        </w:rPr>
        <w:fldChar w:fldCharType="separate"/>
      </w:r>
      <w:r w:rsidR="003962F0" w:rsidRPr="0040120E">
        <w:rPr>
          <w:rFonts w:ascii="Times New Roman" w:hAnsi="Times New Roman" w:cs="Times New Roman"/>
          <w:noProof/>
          <w:sz w:val="24"/>
          <w:lang w:val="en-GB"/>
        </w:rPr>
        <w:t>Walsh (2002)</w:t>
      </w:r>
      <w:r w:rsidR="003962F0" w:rsidRPr="0040120E">
        <w:rPr>
          <w:rFonts w:ascii="Times New Roman" w:hAnsi="Times New Roman" w:cs="Times New Roman"/>
          <w:sz w:val="24"/>
          <w:lang w:val="en-GB"/>
        </w:rPr>
        <w:fldChar w:fldCharType="end"/>
      </w:r>
      <w:r w:rsidR="003962F0" w:rsidRPr="0040120E">
        <w:rPr>
          <w:rFonts w:ascii="Times New Roman" w:hAnsi="Times New Roman" w:cs="Times New Roman"/>
          <w:sz w:val="24"/>
          <w:lang w:val="en-GB"/>
        </w:rPr>
        <w:t xml:space="preserve"> underlines that the obsession for the depiction of one’s identity differentiates heritage from history,  </w:t>
      </w:r>
      <w:r w:rsidR="003D226C" w:rsidRPr="0040120E">
        <w:rPr>
          <w:rFonts w:ascii="Times New Roman" w:hAnsi="Times New Roman" w:cs="Times New Roman"/>
          <w:sz w:val="24"/>
          <w:lang w:val="en-GB"/>
        </w:rPr>
        <w:t xml:space="preserve">the </w:t>
      </w:r>
      <w:r w:rsidR="003962F0" w:rsidRPr="0040120E">
        <w:rPr>
          <w:rFonts w:ascii="Times New Roman" w:hAnsi="Times New Roman" w:cs="Times New Roman"/>
          <w:sz w:val="24"/>
          <w:lang w:val="en-GB"/>
        </w:rPr>
        <w:t xml:space="preserve">main objective </w:t>
      </w:r>
      <w:r w:rsidR="003D226C" w:rsidRPr="0040120E">
        <w:rPr>
          <w:rFonts w:ascii="Times New Roman" w:hAnsi="Times New Roman" w:cs="Times New Roman"/>
          <w:sz w:val="24"/>
          <w:lang w:val="en-GB"/>
        </w:rPr>
        <w:t xml:space="preserve">of which </w:t>
      </w:r>
      <w:r w:rsidR="003962F0" w:rsidRPr="0040120E">
        <w:rPr>
          <w:rFonts w:ascii="Times New Roman" w:hAnsi="Times New Roman" w:cs="Times New Roman"/>
          <w:sz w:val="24"/>
          <w:lang w:val="en-GB"/>
        </w:rPr>
        <w:t xml:space="preserve">is </w:t>
      </w:r>
      <w:r w:rsidR="00AE1BCC" w:rsidRPr="0040120E">
        <w:rPr>
          <w:rFonts w:ascii="Times New Roman" w:hAnsi="Times New Roman" w:cs="Times New Roman"/>
          <w:sz w:val="24"/>
          <w:lang w:val="en-GB"/>
        </w:rPr>
        <w:t xml:space="preserve">scientific </w:t>
      </w:r>
      <w:r w:rsidR="008135CA" w:rsidRPr="0040120E">
        <w:rPr>
          <w:rFonts w:ascii="Times New Roman" w:hAnsi="Times New Roman" w:cs="Times New Roman"/>
          <w:sz w:val="24"/>
          <w:lang w:val="en-GB"/>
        </w:rPr>
        <w:t>investigation.</w:t>
      </w:r>
    </w:p>
    <w:p w14:paraId="38BF7625" w14:textId="751A6439" w:rsidR="00626202" w:rsidRPr="0040120E" w:rsidRDefault="00626202" w:rsidP="003C144A">
      <w:pPr>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Brand heritage is often associated with nostalgia because </w:t>
      </w:r>
      <w:r w:rsidR="00D62E26" w:rsidRPr="0040120E">
        <w:rPr>
          <w:rFonts w:ascii="Times New Roman" w:hAnsi="Times New Roman" w:cs="Times New Roman"/>
          <w:sz w:val="24"/>
          <w:szCs w:val="24"/>
          <w:lang w:val="en-GB"/>
        </w:rPr>
        <w:t xml:space="preserve">brand heritage strategies often build on collective nostalgia </w:t>
      </w:r>
      <w:r w:rsidR="00D62E26"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{"citationItems":[{"id":"ITEM-1","itemData":{"DOI":"10.1080/0267257X.2017.1409793","ISSN":"14721376","abstract":"Brand iconisation refers to the way a brand comes to symbolise the values, needs, and aspirations of the members of a particular cultural group. More than a decade of research has emphasised the many benefits that iconic brands bring to companies and has identified how brands become icons through a process of matching with cultural opportunities emerging in society. However, the way an iconic brand comes to be de-iconicised and how managers can shield brands from this risk is still under-researched. The aim of this paper is to contribute to knowledge regarding iconic brands by following the life of one iconic brand at national level, examining its history and its impact from the point of view of cultural performance. Our research contributes to the field of cultural branding through a genealogical study of how a brand becomes a national icon before becoming de-iconicised as circumstances change. Our research identifies five types of brand episode that can lead to de-iconisation. Our research therefore adds new developments to iconic brand theory. It also contributes to discussing the concept of iconic brand resilience, mainly through the role of cultural intermediaries, such as filmmakers.","author":[{"dropping-particle":"","family":"Testa","given":"Pierpaolo","non-dropping-particle":"","parse-names":false,"suffix":""},{"dropping-particle":"","family":"Cova","given":"Bernard","non-dropping-particle":"","parse-names":false,"suffix":""},{"dropping-particle":"","family":"Cantone","given":"Luigi","non-dropping-particle":"","parse-names":false,"suffix":""}],"container-title":"Journal of Marketing Management","id":"ITEM-1","issue":"17-18","issued":{"date-parts":[["2017"]]},"page":"1490-1521","publisher":"Routledge","title":"The process of de-iconisation of an iconic brand: a genealogical approach","type":"article-journal","volume":"33"},"uris":["http://www.mendeley.com/documents/?uuid=0eafadc5-1e33-437b-be0c-e7793474c721"]}],"mendeley":{"formattedCitation":"(Testa et al., 2017)","plainTextFormattedCitation":"(Testa et al., 2017)","previouslyFormattedCitation":"(Testa et al., 2017)"},"properties":{"noteIndex":0},"schema":"https://github.com/citation-style-language/schema/raw/master/csl-citation.json"}</w:instrText>
      </w:r>
      <w:r w:rsidR="00D62E26" w:rsidRPr="0040120E">
        <w:rPr>
          <w:rFonts w:ascii="Times New Roman" w:hAnsi="Times New Roman" w:cs="Times New Roman"/>
          <w:sz w:val="24"/>
          <w:szCs w:val="24"/>
          <w:lang w:val="en-GB"/>
        </w:rPr>
        <w:fldChar w:fldCharType="separate"/>
      </w:r>
      <w:r w:rsidR="00D62E26" w:rsidRPr="0040120E">
        <w:rPr>
          <w:rFonts w:ascii="Times New Roman" w:hAnsi="Times New Roman" w:cs="Times New Roman"/>
          <w:noProof/>
          <w:sz w:val="24"/>
          <w:szCs w:val="24"/>
          <w:lang w:val="en-GB"/>
        </w:rPr>
        <w:t>(Testa et al., 2017)</w:t>
      </w:r>
      <w:r w:rsidR="00D62E26"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However, unlike the decision to </w:t>
      </w:r>
      <w:r w:rsidR="00476091" w:rsidRPr="0040120E">
        <w:rPr>
          <w:rFonts w:ascii="Times New Roman" w:hAnsi="Times New Roman" w:cs="Times New Roman"/>
          <w:sz w:val="24"/>
          <w:szCs w:val="24"/>
          <w:lang w:val="en-GB"/>
        </w:rPr>
        <w:t xml:space="preserve">make </w:t>
      </w:r>
      <w:r w:rsidRPr="0040120E">
        <w:rPr>
          <w:rFonts w:ascii="Times New Roman" w:hAnsi="Times New Roman" w:cs="Times New Roman"/>
          <w:sz w:val="24"/>
          <w:szCs w:val="24"/>
          <w:lang w:val="en-GB"/>
        </w:rPr>
        <w:t>brand heritage</w:t>
      </w:r>
      <w:r w:rsidR="00476091" w:rsidRPr="0040120E">
        <w:rPr>
          <w:rFonts w:ascii="Times New Roman" w:hAnsi="Times New Roman" w:cs="Times New Roman"/>
          <w:sz w:val="24"/>
          <w:szCs w:val="24"/>
          <w:lang w:val="en-GB"/>
        </w:rPr>
        <w:t xml:space="preserve"> salient</w:t>
      </w:r>
      <w:r w:rsidRPr="0040120E">
        <w:rPr>
          <w:rFonts w:ascii="Times New Roman" w:hAnsi="Times New Roman" w:cs="Times New Roman"/>
          <w:sz w:val="24"/>
          <w:szCs w:val="24"/>
          <w:lang w:val="en-GB"/>
        </w:rPr>
        <w:t xml:space="preserve">, this </w:t>
      </w:r>
      <w:r w:rsidRPr="0040120E">
        <w:rPr>
          <w:rFonts w:ascii="Times New Roman" w:hAnsi="Times New Roman" w:cs="Times New Roman"/>
          <w:sz w:val="24"/>
          <w:lang w:val="en-GB"/>
        </w:rPr>
        <w:t>bittersweet feeling caused by distance is not under managers’ direct control</w:t>
      </w:r>
      <w:r w:rsidR="004F3FB1" w:rsidRPr="0040120E">
        <w:rPr>
          <w:rFonts w:ascii="Times New Roman" w:hAnsi="Times New Roman" w:cs="Times New Roman"/>
          <w:sz w:val="24"/>
          <w:lang w:val="en-GB"/>
        </w:rPr>
        <w:t>.</w:t>
      </w:r>
      <w:r w:rsidR="00730AF2" w:rsidRPr="0040120E">
        <w:rPr>
          <w:rFonts w:ascii="Times New Roman" w:hAnsi="Times New Roman" w:cs="Times New Roman"/>
          <w:sz w:val="24"/>
          <w:lang w:val="en-GB"/>
        </w:rPr>
        <w:t xml:space="preserve"> Nostalgia is a combination of memories, emotions and thoughts that can be related to a brand or another stimulus </w:t>
      </w:r>
      <w:r w:rsidR="00730AF2" w:rsidRPr="0040120E">
        <w:rPr>
          <w:rFonts w:ascii="Times New Roman" w:hAnsi="Times New Roman" w:cs="Times New Roman"/>
          <w:sz w:val="24"/>
          <w:lang w:val="en-GB"/>
        </w:rPr>
        <w:fldChar w:fldCharType="begin" w:fldLock="1"/>
      </w:r>
      <w:r w:rsidR="00730AF2" w:rsidRPr="0040120E">
        <w:rPr>
          <w:rFonts w:ascii="Times New Roman" w:hAnsi="Times New Roman" w:cs="Times New Roman"/>
          <w:sz w:val="24"/>
          <w:lang w:val="en-GB"/>
        </w:rPr>
        <w:instrText>ADDIN CSL_CITATION {"citationItems":[{"id":"ITEM-1","itemData":{"DOI":"10.1016/j.jbusres.2017.09.049","ISSN":"01482963","abstract":"Scale development in a cross-cultural context is demanding and exacting. The purpose of this paper is to follow the necessary protocols to examine the emerging construct of brand nostalgia. This research contributes to the literature by developing a rigorously tested, reliable and valid scale to measure the multi-dimensional nature of brand nostalgia across two countries – Belgium and the U.S. Following the rigorous scale development procedures suggested by Churchill (1979) and Devellis (2003), emic (country and market-specific) scales are developed in Belgium and the United States through a series of iterative studies. By using items common to both emic scales, a derived etic scale is created and tested. The scale's robustness is validated via tests of invariance, dimensionality, reliability, discriminant and nomological validity. Suggestions for future research and managerial implications are provided.","author":[{"dropping-particle":"","family":"Ford","given":"John B.","non-dropping-particle":"","parse-names":false,"suffix":""},{"dropping-particle":"","family":"Merchant","given":"Altaf","non-dropping-particle":"","parse-names":false,"suffix":""},{"dropping-particle":"","family":"Bartier","given":"Anne Laure","non-dropping-particle":"","parse-names":false,"suffix":""},{"dropping-particle":"","family":"Friedman","given":"Mike","non-dropping-particle":"","parse-names":false,"suffix":""}],"container-title":"Journal of Business Research","id":"ITEM-1","issue":"September 2017","issued":{"date-parts":[["2018"]]},"page":"19-29","publisher":"Elsevier","title":"The cross-cultural scale development process: The case of brand-evoked nostalgia in Belgium and the United States","type":"article-journal","volume":"83"},"uris":["http://www.mendeley.com/documents/?uuid=cf5817db-6292-460b-ad4e-60db062e349d"]}],"mendeley":{"formattedCitation":"(Ford, Merchant, Bartier, &amp; Friedman, 2018)","plainTextFormattedCitation":"(Ford, Merchant, Bartier, &amp; Friedman, 2018)","previouslyFormattedCitation":"(Ford, Merchant, Bartier, &amp; Friedman, 2018)"},"properties":{"noteIndex":0},"schema":"https://github.com/citation-style-language/schema/raw/master/csl-citation.json"}</w:instrText>
      </w:r>
      <w:r w:rsidR="00730AF2" w:rsidRPr="0040120E">
        <w:rPr>
          <w:rFonts w:ascii="Times New Roman" w:hAnsi="Times New Roman" w:cs="Times New Roman"/>
          <w:sz w:val="24"/>
          <w:lang w:val="en-GB"/>
        </w:rPr>
        <w:fldChar w:fldCharType="separate"/>
      </w:r>
      <w:r w:rsidR="00730AF2" w:rsidRPr="0040120E">
        <w:rPr>
          <w:rFonts w:ascii="Times New Roman" w:hAnsi="Times New Roman" w:cs="Times New Roman"/>
          <w:noProof/>
          <w:sz w:val="24"/>
          <w:lang w:val="en-GB"/>
        </w:rPr>
        <w:t>(Ford, Merchant, Bartier, &amp; Friedman, 2018)</w:t>
      </w:r>
      <w:r w:rsidR="00730AF2" w:rsidRPr="0040120E">
        <w:rPr>
          <w:rFonts w:ascii="Times New Roman" w:hAnsi="Times New Roman" w:cs="Times New Roman"/>
          <w:sz w:val="24"/>
          <w:lang w:val="en-GB"/>
        </w:rPr>
        <w:fldChar w:fldCharType="end"/>
      </w:r>
      <w:r w:rsidR="00730AF2" w:rsidRPr="0040120E">
        <w:rPr>
          <w:rFonts w:ascii="Times New Roman" w:hAnsi="Times New Roman" w:cs="Times New Roman"/>
          <w:sz w:val="24"/>
          <w:lang w:val="en-GB"/>
        </w:rPr>
        <w:t xml:space="preserve">. </w:t>
      </w:r>
      <w:r w:rsidR="004F3FB1" w:rsidRPr="0040120E">
        <w:rPr>
          <w:rFonts w:ascii="Times New Roman" w:hAnsi="Times New Roman" w:cs="Times New Roman"/>
          <w:sz w:val="24"/>
          <w:lang w:val="en-GB"/>
        </w:rPr>
        <w:t xml:space="preserve"> </w:t>
      </w:r>
      <w:r w:rsidR="00476091" w:rsidRPr="0040120E">
        <w:rPr>
          <w:rFonts w:ascii="Times New Roman" w:hAnsi="Times New Roman" w:cs="Times New Roman"/>
          <w:sz w:val="24"/>
          <w:lang w:val="en-GB"/>
        </w:rPr>
        <w:t>Consumers’</w:t>
      </w:r>
      <w:r w:rsidR="00476091"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perception of brand heritage could </w:t>
      </w:r>
      <w:r w:rsidR="00D62E26" w:rsidRPr="0040120E">
        <w:rPr>
          <w:rFonts w:ascii="Times New Roman" w:hAnsi="Times New Roman" w:cs="Times New Roman"/>
          <w:sz w:val="24"/>
          <w:szCs w:val="24"/>
          <w:lang w:val="en-GB"/>
        </w:rPr>
        <w:t xml:space="preserve">facilitate the </w:t>
      </w:r>
      <w:r w:rsidR="00476091" w:rsidRPr="0040120E">
        <w:rPr>
          <w:rFonts w:ascii="Times New Roman" w:hAnsi="Times New Roman" w:cs="Times New Roman"/>
          <w:sz w:val="24"/>
          <w:szCs w:val="24"/>
          <w:lang w:val="en-GB"/>
        </w:rPr>
        <w:t xml:space="preserve">emergence </w:t>
      </w:r>
      <w:r w:rsidR="00D62E26" w:rsidRPr="0040120E">
        <w:rPr>
          <w:rFonts w:ascii="Times New Roman" w:hAnsi="Times New Roman" w:cs="Times New Roman"/>
          <w:sz w:val="24"/>
          <w:szCs w:val="24"/>
          <w:lang w:val="en-GB"/>
        </w:rPr>
        <w:t>of</w:t>
      </w:r>
      <w:r w:rsidRPr="0040120E">
        <w:rPr>
          <w:rFonts w:ascii="Times New Roman" w:hAnsi="Times New Roman" w:cs="Times New Roman"/>
          <w:sz w:val="24"/>
          <w:szCs w:val="24"/>
          <w:lang w:val="en-GB"/>
        </w:rPr>
        <w:t xml:space="preserve"> nostalgic feelings </w:t>
      </w:r>
      <w:r w:rsidRPr="0040120E">
        <w:rPr>
          <w:rFonts w:ascii="Times New Roman" w:hAnsi="Times New Roman" w:cs="Times New Roman"/>
          <w:sz w:val="24"/>
          <w:szCs w:val="24"/>
          <w:lang w:val="en-GB"/>
        </w:rPr>
        <w:fldChar w:fldCharType="begin" w:fldLock="1"/>
      </w:r>
      <w:r w:rsidR="00730AF2" w:rsidRPr="0040120E">
        <w:rPr>
          <w:rFonts w:ascii="Times New Roman" w:hAnsi="Times New Roman" w:cs="Times New Roman"/>
          <w:sz w:val="24"/>
          <w:szCs w:val="24"/>
          <w:lang w:val="en-GB"/>
        </w:rPr>
        <w:instrText>ADDIN CSL_CITATION {"citationItems":[{"id":"ITEM-1","itemData":{"DOI":"10.1080/10253866.2013.776305","ISSN":"10253866","abstract":"Nostalgia is not a singular phenomenon; it is multi-layered, diversely experienced and variously exploited, as I demonstrate by briefly outlining the history of nostalgia, especially the recent shift from modern to post-modern versions of the experience. The modern, temporal version of nostalgia is founded on the unattainable distance between the past and the present; the post-modern, atemporal version erases this sense of distance. Central to the modern concept of nostalgia is the experience of wistfulness, a hopeless longing for something lost and irrecoverable. But for post-modern nostalgics, the irrecoverable is now attainable, the difference between past and present flattened out. This is partly because post-modern nostalgia re-cycles images, objects and styles associated with the relatively recent past, a prime site of such re-cycling being the Internet. I therefore look at a range of websites that use nostalgia as a central concept in their marketing and which demonstrate some of these recent shifts in the experience of nostalgia. In the final part of this article, I explore these concerns in relation to the reception of four films about the English, past released in the 2000s: Ladies in Lavender (2004), Becoming Jane (2007), Brideshead Revisited (2008) and An Education (2009). How are films mobilised for nostalgic purposes at the levels of production, marketing and consumption? How is an experience of the past built into these films? Are some of the resulting images, sounds and pasts more resistant to nostalgic uses than others? Are these films discussed by audiences in terms of nostalgia? If so, is this is a positive or negative experience? Ranging in this way across a variety of material, my article is an attempt to bring together cultural history, conceptual, formal analysis and the analysis of reception or consumption.","author":[{"dropping-particle":"","family":"Higson","given":"Andrew","non-dropping-particle":"","parse-names":false,"suffix":""}],"container-title":"Consumption Markets and Culture","id":"ITEM-1","issue":"2","issued":{"date-parts":[["2014"]]},"page":"120-142","title":"Nostalgia is not what it used to be: Heritage films, nostalgia websites and contemporary consumers","type":"article-journal","volume":"17"},"uris":["http://www.mendeley.com/documents/?uuid=32077945-b9eb-402e-aa9a-f3377391049a"]},{"id":"ITEM-2","itemData":{"DOI":"10.1016/j.jbusres.2017.09.049","ISSN":"01482963","abstract":"Scale development in a cross-cultural context is demanding and exacting. The purpose of this paper is to follow the necessary protocols to examine the emerging construct of brand nostalgia. This research contributes to the literature by developing a rigorously tested, reliable and valid scale to measure the multi-dimensional nature of brand nostalgia across two countries – Belgium and the U.S. Following the rigorous scale development procedures suggested by Churchill (1979) and Devellis (2003), emic (country and market-specific) scales are developed in Belgium and the United States through a series of iterative studies. By using items common to both emic scales, a derived etic scale is created and tested. The scale's robustness is validated via tests of invariance, dimensionality, reliability, discriminant and nomological validity. Suggestions for future research and managerial implications are provided.","author":[{"dropping-particle":"","family":"Ford","given":"John B.","non-dropping-particle":"","parse-names":false,"suffix":""},{"dropping-particle":"","family":"Merchant","given":"Altaf","non-dropping-particle":"","parse-names":false,"suffix":""},{"dropping-particle":"","family":"Bartier","given":"Anne Laure","non-dropping-particle":"","parse-names":false,"suffix":""},{"dropping-particle":"","family":"Friedman","given":"Mike","non-dropping-particle":"","parse-names":false,"suffix":""}],"container-title":"Journal of Business Research","id":"ITEM-2","issue":"September 2017","issued":{"date-parts":[["2018"]]},"page":"19-29","publisher":"Elsevier","title":"The cross-cultural scale development process: The case of brand-evoked nostalgia in Belgium and the United States","type":"article-journal","volume":"83"},"uris":["http://www.mendeley.com/documents/?uuid=cf5817db-6292-460b-ad4e-60db062e349d"]}],"mendeley":{"formattedCitation":"(Ford et al., 2018; Higson, 2014)","plainTextFormattedCitation":"(Ford et al., 2018; Higson, 2014)","previouslyFormattedCitation":"(Ford et al., 2018; Higson, 2014)"},"properties":{"noteIndex":0},"schema":"https://github.com/citation-style-language/schema/raw/master/csl-citation.json"}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00730AF2" w:rsidRPr="0040120E">
        <w:rPr>
          <w:rFonts w:ascii="Times New Roman" w:hAnsi="Times New Roman" w:cs="Times New Roman"/>
          <w:noProof/>
          <w:sz w:val="24"/>
          <w:szCs w:val="24"/>
          <w:lang w:val="en-GB"/>
        </w:rPr>
        <w:t>(Ford et al., 2018; Higson, 2014)</w:t>
      </w:r>
      <w:r w:rsidRPr="0040120E">
        <w:rPr>
          <w:rFonts w:ascii="Times New Roman" w:hAnsi="Times New Roman" w:cs="Times New Roman"/>
          <w:sz w:val="24"/>
          <w:szCs w:val="24"/>
          <w:lang w:val="en-GB"/>
        </w:rPr>
        <w:fldChar w:fldCharType="end"/>
      </w:r>
      <w:r w:rsidR="004F3FB1" w:rsidRPr="0040120E">
        <w:rPr>
          <w:rFonts w:ascii="Times New Roman" w:hAnsi="Times New Roman" w:cs="Times New Roman"/>
          <w:sz w:val="24"/>
          <w:szCs w:val="24"/>
          <w:lang w:val="en-GB"/>
        </w:rPr>
        <w:t xml:space="preserve"> related to one’s own past, or to a collective past. Nostalgia proneness</w:t>
      </w:r>
      <w:r w:rsidR="003D226C" w:rsidRPr="0040120E">
        <w:rPr>
          <w:rFonts w:ascii="Times New Roman" w:hAnsi="Times New Roman" w:cs="Times New Roman"/>
          <w:sz w:val="24"/>
          <w:szCs w:val="24"/>
          <w:lang w:val="en-GB"/>
        </w:rPr>
        <w:t>,</w:t>
      </w:r>
      <w:r w:rsidR="004F3FB1" w:rsidRPr="0040120E">
        <w:rPr>
          <w:rFonts w:ascii="Times New Roman" w:hAnsi="Times New Roman" w:cs="Times New Roman"/>
          <w:sz w:val="24"/>
          <w:szCs w:val="24"/>
          <w:lang w:val="en-GB"/>
        </w:rPr>
        <w:t xml:space="preserve"> as an individual trait </w:t>
      </w:r>
      <w:r w:rsidR="004F3FB1"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{"citationItems":[{"id":"ITEM-1","itemData":{"DOI":"10.1086/209346","ISBN":"00935301","ISSN":"0093-5301","abstract":"As studied in recent consumer research, the role of nostalgia involves both (1) a link between age and the development of consumer tastes (over time) and (2) the relationship of nostalgia proneness (a psychographic variable) to patterns of consumer preferences. However, questions remain concerning whether the influence of nos-talgia proneness and age can be regarded as two independent aspects of nostalgic consumption. This research reports a pair of studies that investigate this issue with respect to motion picture preferences among subjects. Study 1 uses an age-ho-mogeneous sample to examine 20 items that assess nostalgia proneness, to derive a nostalgia scale, to form a spatial representation of movie preferences, and to test the fit of a vector reflecting differential nostalgia-related tastes in this preference space. Study 2 generalizes these results to a sample heterogeneous with respect to age and shows that age and nostalgia proneness appear to work independently as separate aspects of nostalgic preference patterns. As a basic aspect of the human condition, the phe-nomenon of nostalgia has received attention from such disciplines as history (Hobsbawm 1983; Lowenthal 1985), psychology (Fodor 1950; Nawas and Platt 1965), sociology (Davis 1979), anthropology (McCracken 1988), environmental psychology (Taylor and Konrad 1980), and other more eclectic approaches in social sci-ence (Campbell 1987; Csikszentmihalyi and Rochberg-Halton 1981). Further, by virtue of the potential con-nection of nostalgic feelings to consumption experiences of many kinds, several consumer researchers have ex-amined various questions related to nostalgia and to consumption associated with the \"dear departed past.\" For example, Holbrook (1989) traces nostalgic themes in the songs of David Frishberg. Belk (1990, 1991) deals with the meanings of possessions in establishing one's \"sense of past.\" Belk et al. (1988; 1991) apply this gen-eral perspective to the specific case of collecting and explore the manner in which collections of memora-bilia, souvenirs, and other relics preserve memories that enhance people's lives. Havlena and Holak (1991) re-view the use of nostalgic appeals in advertising and other commercial settings, while Holbrook and Schindler (1991) consider these and other phenomena en route to building some theoretical connections between age and the development of nostalgia-related consumer tastes. Most recently, Holak and Havlena (1992) ex-amine the recurring per…","author":[{"dropping-particle":"","family":"Holbrook","given":"Morris B.","non-dropping-particle":"","parse-names":false,"suffix":""}],"container-title":"Journal of Consumer Research","id":"ITEM-1","issue":"2","issued":{"date-parts":[["1993"]]},"page":"245","title":"Nostalgia and Consumption Preferences: Some Emerging Patterns of Consumer Tastes","type":"article-journal","volume":"20"},"uris":["http://www.mendeley.com/documents/?uuid=7660d7fa-0ddf-47c5-89bd-4820eba870cd"]},{"id":"ITEM-2","itemData":{"DOI":"10.1002/mar.10074","ISBN":"0742-6046","ISSN":"07426046","PMID":"9345523","abstract":"Studies of music, motion pictures, movie stars, and fashion products have shown that styles popular during a consumer's youth can influence the consumer's lifelong preferences. The authors present an integrative model of this phenomenon and propose that these nostalgic effects are not limited to products that relate to the arts and entertainment or are primarily aesthetic. As an illustrative example, the authors investigate the effects of early experience on consumer preferences (aged 16-92 yrs old) for automobile styles. Consistent with expectations, they find that men do but women do not show evidence of nostalgic attachment to the styles experienced in their youth--that is, their preferences peaked for products that were popular when they were young. Also, as expected, individual differences in the psychographic variable of nostalgia proneness play a role in moderating these effects. These findings expend the understanding of the generality, the boundaries, and the managerial relevance of the age-related peak-preference phenomenon. (PsycINFO Database Record (c) 2012 APA, all rights reserved)","author":[{"dropping-particle":"","family":"Schindler","given":"Robert M.","non-dropping-particle":"","parse-names":false,"suffix":""},{"dropping-particle":"","family":"Holbrook","given":"Morris B.","non-dropping-particle":"","parse-names":false,"suffix":""}],"container-title":"Psychology &amp; Marketing","id":"ITEM-2","issue":"4","issued":{"date-parts":[["2003"]]},"page":"275-302","title":"Nostalgia for Early Experience as a Determinant of Consumer Preferences","type":"article-journal","volume":"20"},"uris":["http://www.mendeley.com/documents/?uuid=a83774e5-d97f-4af9-88d7-5dd4439abe79"]}],"mendeley":{"formattedCitation":"(Holbrook, 1993; Schindler &amp; Holbrook, 2003)","plainTextFormattedCitation":"(Holbrook, 1993; Schindler &amp; Holbrook, 2003)","previouslyFormattedCitation":"(Holbrook, 1993; Schindler &amp; Holbrook, 2003)"},"properties":{"noteIndex":0},"schema":"https://github.com/citation-style-language/schema/raw/master/csl-citation.json"}</w:instrText>
      </w:r>
      <w:r w:rsidR="004F3FB1"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(Holbrook, 1993; Schindler &amp; Holbrook, 2003)</w:t>
      </w:r>
      <w:r w:rsidR="004F3FB1" w:rsidRPr="0040120E">
        <w:rPr>
          <w:rFonts w:ascii="Times New Roman" w:hAnsi="Times New Roman" w:cs="Times New Roman"/>
          <w:sz w:val="24"/>
          <w:szCs w:val="24"/>
          <w:lang w:val="en-GB"/>
        </w:rPr>
        <w:fldChar w:fldCharType="end"/>
      </w:r>
      <w:r w:rsidR="003D226C" w:rsidRPr="0040120E">
        <w:rPr>
          <w:rFonts w:ascii="Times New Roman" w:hAnsi="Times New Roman" w:cs="Times New Roman"/>
          <w:sz w:val="24"/>
          <w:szCs w:val="24"/>
          <w:lang w:val="en-GB"/>
        </w:rPr>
        <w:t>,</w:t>
      </w:r>
      <w:r w:rsidR="004F3FB1" w:rsidRPr="0040120E">
        <w:rPr>
          <w:rFonts w:ascii="Times New Roman" w:hAnsi="Times New Roman" w:cs="Times New Roman"/>
          <w:sz w:val="24"/>
          <w:szCs w:val="24"/>
          <w:lang w:val="en-GB"/>
        </w:rPr>
        <w:t xml:space="preserve"> could moderate the impact of brand heritage</w:t>
      </w:r>
      <w:r w:rsidR="00476091" w:rsidRPr="0040120E">
        <w:rPr>
          <w:rFonts w:ascii="Times New Roman" w:hAnsi="Times New Roman" w:cs="Times New Roman"/>
          <w:sz w:val="24"/>
          <w:szCs w:val="24"/>
          <w:lang w:val="en-GB"/>
        </w:rPr>
        <w:t xml:space="preserve"> on attitudes or behaviours</w:t>
      </w:r>
      <w:r w:rsidR="004F3FB1" w:rsidRPr="0040120E">
        <w:rPr>
          <w:rFonts w:ascii="Times New Roman" w:hAnsi="Times New Roman" w:cs="Times New Roman"/>
          <w:sz w:val="24"/>
          <w:szCs w:val="24"/>
          <w:lang w:val="en-GB"/>
        </w:rPr>
        <w:t xml:space="preserve">. </w:t>
      </w:r>
      <w:r w:rsidR="00B5310A" w:rsidRPr="0040120E">
        <w:rPr>
          <w:rFonts w:ascii="Times New Roman" w:hAnsi="Times New Roman" w:cs="Times New Roman"/>
          <w:sz w:val="24"/>
          <w:szCs w:val="24"/>
          <w:lang w:val="en-GB"/>
        </w:rPr>
        <w:t>U</w:t>
      </w:r>
      <w:r w:rsidR="004F3FB1" w:rsidRPr="0040120E">
        <w:rPr>
          <w:rFonts w:ascii="Times New Roman" w:hAnsi="Times New Roman" w:cs="Times New Roman"/>
          <w:sz w:val="24"/>
          <w:szCs w:val="24"/>
          <w:lang w:val="en-GB"/>
        </w:rPr>
        <w:t>ltimately, brand heritage and nostalgia</w:t>
      </w:r>
      <w:r w:rsidRPr="0040120E">
        <w:rPr>
          <w:rFonts w:ascii="Times New Roman" w:hAnsi="Times New Roman" w:cs="Times New Roman"/>
          <w:sz w:val="24"/>
          <w:szCs w:val="24"/>
          <w:lang w:val="en-GB"/>
        </w:rPr>
        <w:t xml:space="preserve"> operate at different levels: </w:t>
      </w:r>
      <w:r w:rsidR="00730AF2" w:rsidRPr="0040120E">
        <w:rPr>
          <w:rFonts w:ascii="Times New Roman" w:hAnsi="Times New Roman" w:cs="Times New Roman"/>
          <w:sz w:val="24"/>
          <w:szCs w:val="24"/>
          <w:lang w:val="en-GB"/>
        </w:rPr>
        <w:t xml:space="preserve">nostalgia is an experiential state belonging to the intra-psychic perspective, while brand heritage belongs to a managerial perspective </w:t>
      </w:r>
      <w:r w:rsidR="00730AF2" w:rsidRPr="0040120E">
        <w:rPr>
          <w:rFonts w:ascii="Times New Roman" w:hAnsi="Times New Roman" w:cs="Times New Roman"/>
          <w:sz w:val="24"/>
          <w:szCs w:val="24"/>
          <w:lang w:val="en-GB"/>
        </w:rPr>
        <w:fldChar w:fldCharType="begin" w:fldLock="1"/>
      </w:r>
      <w:r w:rsidR="00684338" w:rsidRPr="0040120E">
        <w:rPr>
          <w:rFonts w:ascii="Times New Roman" w:hAnsi="Times New Roman" w:cs="Times New Roman"/>
          <w:sz w:val="24"/>
          <w:szCs w:val="24"/>
          <w:lang w:val="en-GB"/>
        </w:rPr>
        <w:instrText>ADDIN CSL_CITATION {"citationItems":[{"id":"ITEM-1","itemData":{"DOI":"10.1016/j.jbusres.2017.09.049","ISSN":"01482963","abstract":"Scale development in a cross-cultural context is demanding and exacting. The purpose of this paper is to follow the necessary protocols to examine the emerging construct of brand nostalgia. This research contributes to the literature by developing a rigorously tested, reliable and valid scale to measure the multi-dimensional nature of brand nostalgia across two countries – Belgium and the U.S. Following the rigorous scale development procedures suggested by Churchill (1979) and Devellis (2003), emic (country and market-specific) scales are developed in Belgium and the United States through a series of iterative studies. By using items common to both emic scales, a derived etic scale is created and tested. The scale's robustness is validated via tests of invariance, dimensionality, reliability, discriminant and nomological validity. Suggestions for future research and managerial implications are provided.","author":[{"dropping-particle":"","family":"Ford","given":"John B.","non-dropping-particle":"","parse-names":false,"suffix":""},{"dropping-particle":"","family":"Merchant","given":"Altaf","non-dropping-particle":"","parse-names":false,"suffix":""},{"dropping-particle":"","family":"Bartier","given":"Anne Laure","non-dropping-particle":"","parse-names":false,"suffix":""},{"dropping-particle":"","family":"Friedman","given":"Mike","non-dropping-particle":"","parse-names":false,"suffix":""}],"container-title":"Journal of Business Research","id":"ITEM-1","issue":"September 2017","issued":{"date-parts":[["2018"]]},"page":"19-29","publisher":"Elsevier","title":"The cross-cultural scale development process: The case of brand-evoked nostalgia in Belgium and the United States","type":"article-journal","volume":"83"},"uris":["http://www.mendeley.com/documents/?uuid=cf5817db-6292-460b-ad4e-60db062e349d"]}],"mendeley":{"formattedCitation":"(Ford et al., 2018)","plainTextFormattedCitation":"(Ford et al., 2018)","previouslyFormattedCitation":"(Ford et al., 2018)"},"properties":{"noteIndex":0},"schema":"https://github.com/citation-style-language/schema/raw/master/csl-citation.json"}</w:instrText>
      </w:r>
      <w:r w:rsidR="00730AF2" w:rsidRPr="0040120E">
        <w:rPr>
          <w:rFonts w:ascii="Times New Roman" w:hAnsi="Times New Roman" w:cs="Times New Roman"/>
          <w:sz w:val="24"/>
          <w:szCs w:val="24"/>
          <w:lang w:val="en-GB"/>
        </w:rPr>
        <w:fldChar w:fldCharType="separate"/>
      </w:r>
      <w:r w:rsidR="00730AF2" w:rsidRPr="0040120E">
        <w:rPr>
          <w:rFonts w:ascii="Times New Roman" w:hAnsi="Times New Roman" w:cs="Times New Roman"/>
          <w:noProof/>
          <w:sz w:val="24"/>
          <w:szCs w:val="24"/>
          <w:lang w:val="en-GB"/>
        </w:rPr>
        <w:t>(Ford et al., 2018)</w:t>
      </w:r>
      <w:r w:rsidR="00730AF2" w:rsidRPr="0040120E">
        <w:rPr>
          <w:rFonts w:ascii="Times New Roman" w:hAnsi="Times New Roman" w:cs="Times New Roman"/>
          <w:sz w:val="24"/>
          <w:szCs w:val="24"/>
          <w:lang w:val="en-GB"/>
        </w:rPr>
        <w:fldChar w:fldCharType="end"/>
      </w:r>
      <w:r w:rsidR="00730AF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t>
      </w:r>
      <w:r w:rsidR="00476091" w:rsidRPr="0040120E">
        <w:rPr>
          <w:rFonts w:ascii="Times New Roman" w:hAnsi="Times New Roman" w:cs="Times New Roman"/>
          <w:sz w:val="24"/>
          <w:szCs w:val="24"/>
          <w:lang w:val="en-GB"/>
        </w:rPr>
        <w:t xml:space="preserve">When </w:t>
      </w:r>
      <w:r w:rsidR="00AB74AF" w:rsidRPr="0040120E">
        <w:rPr>
          <w:rFonts w:ascii="Times New Roman" w:hAnsi="Times New Roman" w:cs="Times New Roman"/>
          <w:sz w:val="24"/>
          <w:szCs w:val="24"/>
          <w:lang w:val="en-GB"/>
        </w:rPr>
        <w:t xml:space="preserve">seeing </w:t>
      </w:r>
      <w:r w:rsidR="00476091" w:rsidRPr="0040120E">
        <w:rPr>
          <w:rFonts w:ascii="Times New Roman" w:hAnsi="Times New Roman" w:cs="Times New Roman"/>
          <w:sz w:val="24"/>
          <w:szCs w:val="24"/>
          <w:lang w:val="en-GB"/>
        </w:rPr>
        <w:t xml:space="preserve">a brand for the first time, consumers </w:t>
      </w:r>
      <w:r w:rsidR="00AB74AF" w:rsidRPr="0040120E">
        <w:rPr>
          <w:rFonts w:ascii="Times New Roman" w:hAnsi="Times New Roman" w:cs="Times New Roman"/>
          <w:sz w:val="24"/>
          <w:szCs w:val="24"/>
          <w:lang w:val="en-GB"/>
        </w:rPr>
        <w:t xml:space="preserve">may </w:t>
      </w:r>
      <w:r w:rsidR="00476091" w:rsidRPr="0040120E">
        <w:rPr>
          <w:rFonts w:ascii="Times New Roman" w:hAnsi="Times New Roman" w:cs="Times New Roman"/>
          <w:sz w:val="24"/>
          <w:szCs w:val="24"/>
          <w:lang w:val="en-GB"/>
        </w:rPr>
        <w:t>find that it emphasise</w:t>
      </w:r>
      <w:r w:rsidR="00AB74AF" w:rsidRPr="0040120E">
        <w:rPr>
          <w:rFonts w:ascii="Times New Roman" w:hAnsi="Times New Roman" w:cs="Times New Roman"/>
          <w:sz w:val="24"/>
          <w:szCs w:val="24"/>
          <w:lang w:val="en-GB"/>
        </w:rPr>
        <w:t>s</w:t>
      </w:r>
      <w:r w:rsidR="00476091" w:rsidRPr="0040120E">
        <w:rPr>
          <w:rFonts w:ascii="Times New Roman" w:hAnsi="Times New Roman" w:cs="Times New Roman"/>
          <w:sz w:val="24"/>
          <w:szCs w:val="24"/>
          <w:lang w:val="en-GB"/>
        </w:rPr>
        <w:t xml:space="preserve"> on its brand heritage without feeling nostalgic. </w:t>
      </w:r>
      <w:r w:rsidRPr="0040120E">
        <w:rPr>
          <w:rFonts w:ascii="Times New Roman" w:hAnsi="Times New Roman" w:cs="Times New Roman"/>
          <w:sz w:val="24"/>
          <w:szCs w:val="24"/>
          <w:lang w:val="en-GB"/>
        </w:rPr>
        <w:t xml:space="preserve">We therefore propose </w:t>
      </w:r>
      <w:r w:rsidR="004F3FB1" w:rsidRPr="0040120E">
        <w:rPr>
          <w:rFonts w:ascii="Times New Roman" w:hAnsi="Times New Roman" w:cs="Times New Roman"/>
          <w:sz w:val="24"/>
          <w:szCs w:val="24"/>
          <w:lang w:val="en-GB"/>
        </w:rPr>
        <w:t>to</w:t>
      </w:r>
      <w:r w:rsidRPr="0040120E">
        <w:rPr>
          <w:rFonts w:ascii="Times New Roman" w:hAnsi="Times New Roman" w:cs="Times New Roman"/>
          <w:sz w:val="24"/>
          <w:szCs w:val="24"/>
          <w:lang w:val="en-GB"/>
        </w:rPr>
        <w:t xml:space="preserve"> limit </w:t>
      </w:r>
      <w:r w:rsidR="002A35A3" w:rsidRPr="0040120E">
        <w:rPr>
          <w:rFonts w:ascii="Times New Roman" w:hAnsi="Times New Roman" w:cs="Times New Roman"/>
          <w:sz w:val="24"/>
          <w:szCs w:val="24"/>
          <w:lang w:val="en-GB"/>
        </w:rPr>
        <w:t xml:space="preserve">our research on </w:t>
      </w:r>
      <w:r w:rsidRPr="0040120E">
        <w:rPr>
          <w:rFonts w:ascii="Times New Roman" w:hAnsi="Times New Roman" w:cs="Times New Roman"/>
          <w:sz w:val="24"/>
          <w:szCs w:val="24"/>
          <w:lang w:val="en-GB"/>
        </w:rPr>
        <w:t xml:space="preserve">consumers’ perception of brand heritage to </w:t>
      </w:r>
      <w:r w:rsidR="002F5276" w:rsidRPr="0040120E">
        <w:rPr>
          <w:rFonts w:ascii="Times New Roman" w:hAnsi="Times New Roman" w:cs="Times New Roman"/>
          <w:sz w:val="24"/>
          <w:szCs w:val="24"/>
          <w:lang w:val="en-GB"/>
        </w:rPr>
        <w:t xml:space="preserve">direct </w:t>
      </w:r>
      <w:r w:rsidR="00476091" w:rsidRPr="0040120E">
        <w:rPr>
          <w:rFonts w:ascii="Times New Roman" w:hAnsi="Times New Roman" w:cs="Times New Roman"/>
          <w:sz w:val="24"/>
          <w:szCs w:val="24"/>
          <w:lang w:val="en-GB"/>
        </w:rPr>
        <w:lastRenderedPageBreak/>
        <w:t>brand associations, and to exclude reactions to this perception</w:t>
      </w:r>
      <w:r w:rsidRPr="0040120E">
        <w:rPr>
          <w:rFonts w:ascii="Times New Roman" w:hAnsi="Times New Roman" w:cs="Times New Roman"/>
          <w:sz w:val="24"/>
          <w:szCs w:val="24"/>
          <w:lang w:val="en-GB"/>
        </w:rPr>
        <w:t>.</w:t>
      </w:r>
      <w:r w:rsidR="00476091" w:rsidRPr="0040120E">
        <w:rPr>
          <w:rFonts w:ascii="Times New Roman" w:hAnsi="Times New Roman" w:cs="Times New Roman"/>
          <w:sz w:val="24"/>
          <w:szCs w:val="24"/>
          <w:lang w:val="en-GB"/>
        </w:rPr>
        <w:t xml:space="preserve"> </w:t>
      </w:r>
      <w:r w:rsidR="004F3FB1" w:rsidRPr="0040120E">
        <w:rPr>
          <w:rFonts w:ascii="Times New Roman" w:hAnsi="Times New Roman" w:cs="Times New Roman"/>
          <w:sz w:val="24"/>
          <w:szCs w:val="24"/>
          <w:lang w:val="en-GB"/>
        </w:rPr>
        <w:t>This clarification distinguishes brand heritage and its measure from past-related concepts requiring individuals’ interpretation of the stimulus. The way we phrase the items of ou</w:t>
      </w:r>
      <w:r w:rsidRPr="0040120E">
        <w:rPr>
          <w:rFonts w:ascii="Times New Roman" w:hAnsi="Times New Roman" w:cs="Times New Roman"/>
          <w:sz w:val="24"/>
          <w:szCs w:val="24"/>
          <w:lang w:val="en-GB"/>
        </w:rPr>
        <w:t xml:space="preserve">r scale </w:t>
      </w:r>
      <w:r w:rsidR="004F3FB1" w:rsidRPr="0040120E">
        <w:rPr>
          <w:rFonts w:ascii="Times New Roman" w:hAnsi="Times New Roman" w:cs="Times New Roman"/>
          <w:sz w:val="24"/>
          <w:szCs w:val="24"/>
          <w:lang w:val="en-GB"/>
        </w:rPr>
        <w:t>should only</w:t>
      </w:r>
      <w:r w:rsidRPr="0040120E">
        <w:rPr>
          <w:rFonts w:ascii="Times New Roman" w:hAnsi="Times New Roman" w:cs="Times New Roman"/>
          <w:sz w:val="24"/>
          <w:szCs w:val="24"/>
          <w:lang w:val="en-GB"/>
        </w:rPr>
        <w:t xml:space="preserve"> measure th</w:t>
      </w:r>
      <w:r w:rsidR="004F3FB1" w:rsidRPr="0040120E">
        <w:rPr>
          <w:rFonts w:ascii="Times New Roman" w:hAnsi="Times New Roman" w:cs="Times New Roman"/>
          <w:sz w:val="24"/>
          <w:szCs w:val="24"/>
          <w:lang w:val="en-GB"/>
        </w:rPr>
        <w:t>is</w:t>
      </w:r>
      <w:r w:rsidRPr="0040120E">
        <w:rPr>
          <w:rFonts w:ascii="Times New Roman" w:hAnsi="Times New Roman" w:cs="Times New Roman"/>
          <w:sz w:val="24"/>
          <w:szCs w:val="24"/>
          <w:lang w:val="en-GB"/>
        </w:rPr>
        <w:t xml:space="preserve"> perception</w:t>
      </w:r>
      <w:r w:rsidR="004F3FB1" w:rsidRPr="0040120E">
        <w:rPr>
          <w:rFonts w:ascii="Times New Roman" w:hAnsi="Times New Roman" w:cs="Times New Roman"/>
          <w:sz w:val="24"/>
          <w:szCs w:val="24"/>
          <w:lang w:val="en-GB"/>
        </w:rPr>
        <w:t>, and not the consequences of this perception</w:t>
      </w:r>
      <w:r w:rsidRPr="0040120E">
        <w:rPr>
          <w:rFonts w:ascii="Times New Roman" w:hAnsi="Times New Roman" w:cs="Times New Roman"/>
          <w:sz w:val="24"/>
          <w:szCs w:val="24"/>
          <w:lang w:val="en-GB"/>
        </w:rPr>
        <w:t>.</w:t>
      </w:r>
    </w:p>
    <w:p w14:paraId="78439993" w14:textId="77777777" w:rsidR="006A6CF8" w:rsidRPr="0040120E" w:rsidRDefault="006A6CF8" w:rsidP="006A6CF8">
      <w:pPr>
        <w:spacing w:line="480" w:lineRule="auto"/>
        <w:rPr>
          <w:rFonts w:ascii="Times New Roman" w:hAnsi="Times New Roman" w:cs="Times New Roman"/>
          <w:sz w:val="24"/>
          <w:szCs w:val="24"/>
          <w:lang w:val="en-GB"/>
        </w:rPr>
      </w:pPr>
    </w:p>
    <w:p w14:paraId="1698C50E" w14:textId="6AB0F98E" w:rsidR="00A53A4F" w:rsidRPr="0040120E" w:rsidRDefault="0033283E" w:rsidP="00E23412">
      <w:pPr>
        <w:spacing w:line="480" w:lineRule="auto"/>
        <w:jc w:val="both"/>
        <w:rPr>
          <w:rFonts w:ascii="Times New Roman" w:hAnsi="Times New Roman" w:cs="Times New Roman"/>
          <w:b/>
          <w:sz w:val="24"/>
          <w:szCs w:val="24"/>
          <w:lang w:val="en-GB"/>
        </w:rPr>
      </w:pPr>
      <w:r w:rsidRPr="0040120E">
        <w:rPr>
          <w:rFonts w:ascii="Times New Roman" w:hAnsi="Times New Roman" w:cs="Times New Roman"/>
          <w:b/>
          <w:sz w:val="24"/>
          <w:szCs w:val="24"/>
          <w:lang w:val="en-GB"/>
        </w:rPr>
        <w:t>Me</w:t>
      </w:r>
      <w:r w:rsidR="00B85E19" w:rsidRPr="0040120E">
        <w:rPr>
          <w:rFonts w:ascii="Times New Roman" w:hAnsi="Times New Roman" w:cs="Times New Roman"/>
          <w:b/>
          <w:sz w:val="24"/>
          <w:szCs w:val="24"/>
          <w:lang w:val="en-GB"/>
        </w:rPr>
        <w:t xml:space="preserve">asuring </w:t>
      </w:r>
      <w:r w:rsidR="00532676" w:rsidRPr="0040120E">
        <w:rPr>
          <w:rFonts w:ascii="Times New Roman" w:hAnsi="Times New Roman" w:cs="Times New Roman"/>
          <w:b/>
          <w:sz w:val="24"/>
          <w:szCs w:val="24"/>
          <w:lang w:val="en-GB"/>
        </w:rPr>
        <w:t xml:space="preserve">Perceived </w:t>
      </w:r>
      <w:r w:rsidR="00B85E19" w:rsidRPr="0040120E">
        <w:rPr>
          <w:rFonts w:ascii="Times New Roman" w:hAnsi="Times New Roman" w:cs="Times New Roman"/>
          <w:b/>
          <w:sz w:val="24"/>
          <w:szCs w:val="24"/>
          <w:lang w:val="en-GB"/>
        </w:rPr>
        <w:t>Brand Heritage</w:t>
      </w:r>
    </w:p>
    <w:p w14:paraId="7DCC7443" w14:textId="5B481E90" w:rsidR="00095A94" w:rsidRPr="0040120E" w:rsidRDefault="00413553" w:rsidP="002D7072">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Four</w:t>
      </w:r>
      <w:r w:rsidR="00095A94" w:rsidRPr="0040120E">
        <w:rPr>
          <w:rFonts w:ascii="Times New Roman" w:hAnsi="Times New Roman" w:cs="Times New Roman"/>
          <w:sz w:val="24"/>
          <w:szCs w:val="24"/>
          <w:lang w:val="en-GB"/>
        </w:rPr>
        <w:t xml:space="preserve"> studies address the second objective of measuring the perception of brand heritage following the recommendations of the literature on scale development</w:t>
      </w:r>
      <w:r w:rsidR="007E6C1E" w:rsidRPr="0040120E">
        <w:rPr>
          <w:rFonts w:ascii="Times New Roman" w:hAnsi="Times New Roman" w:cs="Times New Roman"/>
          <w:sz w:val="24"/>
          <w:szCs w:val="24"/>
          <w:lang w:val="en-GB"/>
        </w:rPr>
        <w:t xml:space="preserve"> </w:t>
      </w:r>
      <w:r w:rsidR="007E6C1E"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{"citationItems":[{"id":"ITEM-1","itemData":{"DOI":"10.2307/3150876","ISBN":"9788578110796","ISSN":"00222437","PMID":"25246403","abstract":"Predicting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approach.","author":[{"dropping-particle":"","family":"Churchill","given":"Gilbert A.","non-dropping-particle":"","parse-names":false,"suffix":""}],"container-title":"Journal of Marketing Research","id":"ITEM-1","issue":"1","issued":{"date-parts":[["1979"]]},"page":"64","title":"A Paradigm for Developing Better Measures of Marketing Constructs","type":"article-journal","volume":"16"},"uris":["http://www.mendeley.com/documents/?uuid=0915d870-7342-44d4-a494-ab9e29cd7686"]}],"mendeley":{"formattedCitation":"(Churchill, 1979)","plainTextFormattedCitation":"(Churchill, 1979)","previouslyFormattedCitation":"(Churchill, 1979)"},"properties":{"noteIndex":0},"schema":"https://github.com/citation-style-language/schema/raw/master/csl-citation.json"}</w:instrText>
      </w:r>
      <w:r w:rsidR="007E6C1E" w:rsidRPr="0040120E">
        <w:rPr>
          <w:rFonts w:ascii="Times New Roman" w:hAnsi="Times New Roman" w:cs="Times New Roman"/>
          <w:sz w:val="24"/>
          <w:szCs w:val="24"/>
          <w:lang w:val="en-GB"/>
        </w:rPr>
        <w:fldChar w:fldCharType="separate"/>
      </w:r>
      <w:r w:rsidR="007E6C1E" w:rsidRPr="0040120E">
        <w:rPr>
          <w:rFonts w:ascii="Times New Roman" w:hAnsi="Times New Roman" w:cs="Times New Roman"/>
          <w:noProof/>
          <w:sz w:val="24"/>
          <w:szCs w:val="24"/>
          <w:lang w:val="en-GB"/>
        </w:rPr>
        <w:t>(Churchill, 1979)</w:t>
      </w:r>
      <w:r w:rsidR="007E6C1E" w:rsidRPr="0040120E">
        <w:rPr>
          <w:rFonts w:ascii="Times New Roman" w:hAnsi="Times New Roman" w:cs="Times New Roman"/>
          <w:sz w:val="24"/>
          <w:szCs w:val="24"/>
          <w:lang w:val="en-GB"/>
        </w:rPr>
        <w:fldChar w:fldCharType="end"/>
      </w:r>
      <w:r w:rsidR="00095A94" w:rsidRPr="0040120E">
        <w:rPr>
          <w:rFonts w:ascii="Times New Roman" w:hAnsi="Times New Roman" w:cs="Times New Roman"/>
          <w:sz w:val="24"/>
          <w:szCs w:val="24"/>
          <w:lang w:val="en-GB"/>
        </w:rPr>
        <w:t xml:space="preserve">, factor analysis </w:t>
      </w:r>
      <w:r w:rsidR="00095A94"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{"citationItems":[{"id":"ITEM-1","itemData":{"author":[{"dropping-particle":"","family":"Hair","given":"Joseph F.","non-dropping-particle":"","parse-names":false,"suffix":""},{"dropping-particle":"","family":"Black","given":"W.C.","non-dropping-particle":"","parse-names":false,"suffix":""},{"dropping-particle":"","family":"Babin","given":"B.J.","non-dropping-particle":"","parse-names":false,"suffix":""},{"dropping-particle":"","family":"Anderson","given":"R.E.","non-dropping-particle":"","parse-names":false,"suffix":""}],"edition":"7th","id":"ITEM-1","issued":{"date-parts":[["2009"]]},"publisher":"Pearson","publisher-place":"Harlow","title":"Multivariate Data Analysis","type":"book"},"uris":["http://www.mendeley.com/documents/?uuid=94c8ba4f-8dc8-4526-af15-567eecee8d6a"]},{"id":"ITEM-2","itemData":{"author":[{"dropping-particle":"","family":"Thomson","given":"B","non-dropping-particle":"","parse-names":false,"suffix":""}],"id":"ITEM-2","issued":{"date-parts":[["2004"]]},"publisher":"American Psychological Association","publisher-place":"Washington, DC","title":"Exploratory and Confirmatory Factor Analysis: Understanding Concepts and Applications","type":"book"},"uris":["http://www.mendeley.com/documents/?uuid=48d084bb-f1a2-43d8-91d8-90cdc96da9b7"]}],"mendeley":{"formattedCitation":"(Hair, Black, Babin, &amp; Anderson, 2009; Thomson, 2004)","plainTextFormattedCitation":"(Hair, Black, Babin, &amp; Anderson, 2009; Thomson, 2004)","previouslyFormattedCitation":"(Hair, Black, Babin, &amp; Anderson, 2009; Thomson, 2004)"},"properties":{"noteIndex":0},"schema":"https://github.com/citation-style-language/schema/raw/master/csl-citation.json"}</w:instrText>
      </w:r>
      <w:r w:rsidR="00095A94"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(Hair, Black, Babin, &amp; Anderson, 2009; Thomson, 2004)</w:t>
      </w:r>
      <w:r w:rsidR="00095A94" w:rsidRPr="0040120E">
        <w:rPr>
          <w:rFonts w:ascii="Times New Roman" w:hAnsi="Times New Roman" w:cs="Times New Roman"/>
          <w:sz w:val="24"/>
          <w:szCs w:val="24"/>
          <w:lang w:val="en-GB"/>
        </w:rPr>
        <w:fldChar w:fldCharType="end"/>
      </w:r>
      <w:r w:rsidR="00095A94" w:rsidRPr="0040120E">
        <w:rPr>
          <w:rFonts w:ascii="Times New Roman" w:hAnsi="Times New Roman" w:cs="Times New Roman"/>
          <w:sz w:val="24"/>
          <w:szCs w:val="24"/>
          <w:lang w:val="en-GB"/>
        </w:rPr>
        <w:t xml:space="preserve"> and structural equation </w:t>
      </w:r>
      <w:r w:rsidR="002D7072" w:rsidRPr="0040120E">
        <w:rPr>
          <w:rFonts w:ascii="Times New Roman" w:hAnsi="Times New Roman" w:cs="Times New Roman"/>
          <w:sz w:val="24"/>
          <w:szCs w:val="24"/>
          <w:lang w:val="en-GB"/>
        </w:rPr>
        <w:t>modelling</w:t>
      </w:r>
      <w:r w:rsidR="00095A94" w:rsidRPr="0040120E">
        <w:rPr>
          <w:rFonts w:ascii="Times New Roman" w:hAnsi="Times New Roman" w:cs="Times New Roman"/>
          <w:sz w:val="24"/>
          <w:szCs w:val="24"/>
          <w:lang w:val="en-GB"/>
        </w:rPr>
        <w:t xml:space="preserve"> </w:t>
      </w:r>
      <w:r w:rsidR="00095A94"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{"citationItems":[{"id":"ITEM-1","itemData":{"DOI":"10.1080/10705519609540030","ISBN":"1070551960954","ISSN":"10705511","abstract":"As part of the development of a comprehensive strategy for structural equation model building and assessment, a Monte Carlo study evaluated the effectiveness of different exploratory factor analysis extraction and rotation methods for correctly identifying the known population multiple-indicator measurement model. The exploratory methods fared well in recovering the model except in small sample sizes with highly correlated factors, and even in those situations most of the indicators were correctly assigned to the factors. Surprisingly, the orthogonal varimax rotation did as well as the more sophisticated oblique rotations in recovering the model, and generally yielded more accurate estimates. These results demonstrate that exploratory factor analysis can contribute to a useful heuristic strategy for model specification prior to cross-validation with confirmatory factor analysis. (PsycINFO Database Record (c) 2009 APA, all rights reserved) (journal abstract)","author":[{"dropping-particle":"","family":"Gerbing","given":"David W.","non-dropping-particle":"","parse-names":false,"suffix":""},{"dropping-particle":"","family":"Hamilton","given":"Janet G.","non-dropping-particle":"","parse-names":false,"suffix":""}],"container-title":"Structural Equation Modeling","id":"ITEM-1","issue":"1","issued":{"date-parts":[["1996"]]},"page":"62-72","title":"Viability of exploratory factor analysis as a precursor to confirmatory factor analysis","type":"article-journal","volume":"3"},"uris":["http://www.mendeley.com/documents/?uuid=37222194-04ec-437d-a224-fe0063e6cf84"]},{"id":"ITEM-2","itemData":{"author":[{"dropping-particle":"","family":"Thomson","given":"B","non-dropping-particle":"","parse-names":false,"suffix":""}],"id":"ITEM-2","issued":{"date-parts":[["2004"]]},"publisher":"American Psychological Association","publisher-place":"Washington, DC","title":"Exploratory and Confirmatory Factor Analysis: Understanding Concepts and Applications","type":"book"},"uris":["http://www.mendeley.com/documents/?uuid=48d084bb-f1a2-43d8-91d8-90cdc96da9b7"]}],"mendeley":{"formattedCitation":"(Gerbing &amp; Hamilton, 1996; Thomson, 2004)","plainTextFormattedCitation":"(Gerbing &amp; Hamilton, 1996; Thomson, 2004)","previouslyFormattedCitation":"(Gerbing &amp; Hamilton, 1996; Thomson, 2004)"},"properties":{"noteIndex":0},"schema":"https://github.com/citation-style-language/schema/raw/master/csl-citation.json"}</w:instrText>
      </w:r>
      <w:r w:rsidR="00095A94"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(Gerbing &amp; Hamilton, 1996; Thomson, 2004)</w:t>
      </w:r>
      <w:r w:rsidR="00095A94" w:rsidRPr="0040120E">
        <w:rPr>
          <w:rFonts w:ascii="Times New Roman" w:hAnsi="Times New Roman" w:cs="Times New Roman"/>
          <w:sz w:val="24"/>
          <w:szCs w:val="24"/>
          <w:lang w:val="en-GB"/>
        </w:rPr>
        <w:fldChar w:fldCharType="end"/>
      </w:r>
      <w:r w:rsidR="00095A94"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The first study is a qualitative approach of consumer perceptions to generate items, and a reduction of the number of items to reflect the suggested definition. The second study performs an exploratory factor analysis. </w:t>
      </w:r>
      <w:r w:rsidR="00AA7247" w:rsidRPr="0040120E">
        <w:rPr>
          <w:rFonts w:ascii="Times New Roman" w:hAnsi="Times New Roman" w:cs="Times New Roman"/>
          <w:sz w:val="24"/>
          <w:szCs w:val="24"/>
          <w:lang w:val="en-GB"/>
        </w:rPr>
        <w:t>In addition to the confirmatory factor analysis, Study 3 checks the discriminant and predictive validity of brand heritage</w:t>
      </w:r>
      <w:r w:rsidR="002D2684" w:rsidRPr="0040120E">
        <w:rPr>
          <w:rFonts w:ascii="Times New Roman" w:hAnsi="Times New Roman" w:cs="Times New Roman"/>
          <w:sz w:val="24"/>
          <w:szCs w:val="24"/>
          <w:lang w:val="en-GB"/>
        </w:rPr>
        <w:t xml:space="preserve"> towards the concepts</w:t>
      </w:r>
      <w:r w:rsidR="00AA7247" w:rsidRPr="0040120E">
        <w:rPr>
          <w:rFonts w:ascii="Times New Roman" w:hAnsi="Times New Roman" w:cs="Times New Roman"/>
          <w:sz w:val="24"/>
          <w:szCs w:val="24"/>
          <w:lang w:val="en-GB"/>
        </w:rPr>
        <w:t xml:space="preserve"> of brand credibility and personal nostalgia.</w:t>
      </w:r>
      <w:r w:rsidRPr="0040120E">
        <w:rPr>
          <w:rFonts w:ascii="Times New Roman" w:hAnsi="Times New Roman" w:cs="Times New Roman"/>
          <w:sz w:val="24"/>
          <w:szCs w:val="24"/>
          <w:lang w:val="en-GB"/>
        </w:rPr>
        <w:t xml:space="preserve"> Finally, </w:t>
      </w:r>
      <w:r w:rsidR="003D226C" w:rsidRPr="0040120E">
        <w:rPr>
          <w:rFonts w:ascii="Times New Roman" w:hAnsi="Times New Roman" w:cs="Times New Roman"/>
          <w:sz w:val="24"/>
          <w:szCs w:val="24"/>
          <w:lang w:val="en-GB"/>
        </w:rPr>
        <w:t>S</w:t>
      </w:r>
      <w:r w:rsidRPr="0040120E">
        <w:rPr>
          <w:rFonts w:ascii="Times New Roman" w:hAnsi="Times New Roman" w:cs="Times New Roman"/>
          <w:sz w:val="24"/>
          <w:szCs w:val="24"/>
          <w:lang w:val="en-GB"/>
        </w:rPr>
        <w:t>tudy 4 retests the scale with different product categories and tests the known-group validity.</w:t>
      </w:r>
      <w:r w:rsidR="003771CA" w:rsidRPr="0040120E">
        <w:rPr>
          <w:rFonts w:ascii="Times New Roman" w:hAnsi="Times New Roman" w:cs="Times New Roman"/>
          <w:sz w:val="24"/>
          <w:szCs w:val="24"/>
          <w:lang w:val="en-GB"/>
        </w:rPr>
        <w:t xml:space="preserve"> Figure </w:t>
      </w:r>
      <w:r w:rsidR="009C0560" w:rsidRPr="0040120E">
        <w:rPr>
          <w:rFonts w:ascii="Times New Roman" w:hAnsi="Times New Roman" w:cs="Times New Roman"/>
          <w:sz w:val="24"/>
          <w:szCs w:val="24"/>
          <w:lang w:val="en-GB"/>
        </w:rPr>
        <w:t xml:space="preserve">1 </w:t>
      </w:r>
      <w:r w:rsidR="003771CA" w:rsidRPr="0040120E">
        <w:rPr>
          <w:rFonts w:ascii="Times New Roman" w:hAnsi="Times New Roman" w:cs="Times New Roman"/>
          <w:sz w:val="24"/>
          <w:szCs w:val="24"/>
          <w:lang w:val="en-GB"/>
        </w:rPr>
        <w:t>represents the design of the research.</w:t>
      </w:r>
      <w:r w:rsidR="00067ECD" w:rsidRPr="0040120E">
        <w:rPr>
          <w:rFonts w:ascii="Times New Roman" w:hAnsi="Times New Roman" w:cs="Times New Roman"/>
          <w:sz w:val="24"/>
          <w:szCs w:val="24"/>
          <w:lang w:val="en-GB"/>
        </w:rPr>
        <w:t xml:space="preserve"> </w:t>
      </w:r>
    </w:p>
    <w:p w14:paraId="5C271A80" w14:textId="530F00B8" w:rsidR="002D7072" w:rsidRPr="0040120E" w:rsidRDefault="002D7072" w:rsidP="002D7072">
      <w:pPr>
        <w:pStyle w:val="ListParagraph"/>
        <w:spacing w:line="480" w:lineRule="auto"/>
        <w:ind w:left="360"/>
        <w:jc w:val="center"/>
        <w:rPr>
          <w:rFonts w:ascii="Times New Roman" w:hAnsi="Times New Roman" w:cs="Times New Roman"/>
          <w:sz w:val="24"/>
          <w:szCs w:val="24"/>
          <w:lang w:val="en-US"/>
        </w:rPr>
      </w:pPr>
      <w:r w:rsidRPr="0040120E">
        <w:rPr>
          <w:rFonts w:ascii="Times New Roman" w:hAnsi="Times New Roman" w:cs="Times New Roman"/>
          <w:sz w:val="24"/>
          <w:szCs w:val="24"/>
          <w:lang w:val="en-US"/>
        </w:rPr>
        <w:lastRenderedPageBreak/>
        <w:t xml:space="preserve">Figure </w:t>
      </w:r>
      <w:r w:rsidR="002F5276" w:rsidRPr="0040120E">
        <w:rPr>
          <w:rFonts w:ascii="Times New Roman" w:hAnsi="Times New Roman" w:cs="Times New Roman"/>
          <w:sz w:val="24"/>
          <w:szCs w:val="24"/>
          <w:lang w:val="en-US"/>
        </w:rPr>
        <w:t>1</w:t>
      </w:r>
      <w:r w:rsidRPr="0040120E">
        <w:rPr>
          <w:rFonts w:ascii="Times New Roman" w:hAnsi="Times New Roman" w:cs="Times New Roman"/>
          <w:sz w:val="24"/>
          <w:szCs w:val="24"/>
          <w:lang w:val="en-US"/>
        </w:rPr>
        <w:t xml:space="preserve"> - Design of the research</w:t>
      </w:r>
      <w:r w:rsidRPr="0040120E">
        <w:rPr>
          <w:noProof/>
          <w:lang w:val="en-GB" w:eastAsia="en-GB"/>
        </w:rPr>
        <w:drawing>
          <wp:inline distT="0" distB="0" distL="0" distR="0" wp14:anchorId="580E338A" wp14:editId="33DC266D">
            <wp:extent cx="3543756" cy="39263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0244" cy="3955746"/>
                    </a:xfrm>
                    <a:prstGeom prst="rect">
                      <a:avLst/>
                    </a:prstGeom>
                    <a:noFill/>
                  </pic:spPr>
                </pic:pic>
              </a:graphicData>
            </a:graphic>
          </wp:inline>
        </w:drawing>
      </w:r>
    </w:p>
    <w:p w14:paraId="6330893F" w14:textId="25D486AD" w:rsidR="002D7072" w:rsidRPr="0040120E" w:rsidRDefault="002D7072" w:rsidP="002D7072">
      <w:pPr>
        <w:pStyle w:val="ListParagraph"/>
        <w:spacing w:line="480" w:lineRule="auto"/>
        <w:ind w:left="360"/>
        <w:rPr>
          <w:rFonts w:ascii="Times New Roman" w:hAnsi="Times New Roman" w:cs="Times New Roman"/>
          <w:sz w:val="24"/>
          <w:szCs w:val="24"/>
          <w:lang w:val="en-US"/>
        </w:rPr>
      </w:pPr>
    </w:p>
    <w:p w14:paraId="653F639A" w14:textId="35160CE8" w:rsidR="002F5276" w:rsidRPr="0040120E" w:rsidRDefault="00DA28ED" w:rsidP="009C2A33">
      <w:pPr>
        <w:spacing w:line="480" w:lineRule="auto"/>
        <w:jc w:val="both"/>
        <w:rPr>
          <w:rFonts w:ascii="Times New Roman" w:hAnsi="Times New Roman" w:cs="Times New Roman"/>
          <w:sz w:val="24"/>
          <w:lang w:val="en-GB"/>
        </w:rPr>
      </w:pPr>
      <w:r w:rsidRPr="0040120E">
        <w:rPr>
          <w:rFonts w:ascii="Times New Roman" w:hAnsi="Times New Roman" w:cs="Times New Roman"/>
          <w:sz w:val="24"/>
          <w:lang w:val="en-GB"/>
        </w:rPr>
        <w:t xml:space="preserve">Table 1 shows the different brands </w:t>
      </w:r>
      <w:r w:rsidR="003D226C" w:rsidRPr="0040120E">
        <w:rPr>
          <w:rFonts w:ascii="Times New Roman" w:hAnsi="Times New Roman" w:cs="Times New Roman"/>
          <w:sz w:val="24"/>
          <w:lang w:val="en-GB"/>
        </w:rPr>
        <w:t xml:space="preserve">that </w:t>
      </w:r>
      <w:r w:rsidRPr="0040120E">
        <w:rPr>
          <w:rFonts w:ascii="Times New Roman" w:hAnsi="Times New Roman" w:cs="Times New Roman"/>
          <w:sz w:val="24"/>
          <w:lang w:val="en-GB"/>
        </w:rPr>
        <w:t>we used in the data collection</w:t>
      </w:r>
      <w:r w:rsidR="003D226C" w:rsidRPr="0040120E">
        <w:rPr>
          <w:rFonts w:ascii="Times New Roman" w:hAnsi="Times New Roman" w:cs="Times New Roman"/>
          <w:sz w:val="24"/>
          <w:lang w:val="en-GB"/>
        </w:rPr>
        <w:t>,</w:t>
      </w:r>
      <w:r w:rsidRPr="0040120E">
        <w:rPr>
          <w:rFonts w:ascii="Times New Roman" w:hAnsi="Times New Roman" w:cs="Times New Roman"/>
          <w:sz w:val="24"/>
          <w:lang w:val="en-GB"/>
        </w:rPr>
        <w:t xml:space="preserve"> with their founding dates. The founding dates provide an indication of the official longevity of each company, but they have some limitations with regard to the purpose of this research. The date does not mean </w:t>
      </w:r>
      <w:r w:rsidR="003D226C" w:rsidRPr="0040120E">
        <w:rPr>
          <w:rFonts w:ascii="Times New Roman" w:hAnsi="Times New Roman" w:cs="Times New Roman"/>
          <w:sz w:val="24"/>
          <w:lang w:val="en-GB"/>
        </w:rPr>
        <w:t xml:space="preserve">that </w:t>
      </w:r>
      <w:r w:rsidRPr="0040120E">
        <w:rPr>
          <w:rFonts w:ascii="Times New Roman" w:hAnsi="Times New Roman" w:cs="Times New Roman"/>
          <w:sz w:val="24"/>
          <w:lang w:val="en-GB"/>
        </w:rPr>
        <w:t>the products were effectively introduced on the French market at that time (e.g.</w:t>
      </w:r>
      <w:r w:rsidR="003D226C" w:rsidRPr="0040120E">
        <w:rPr>
          <w:rFonts w:ascii="Times New Roman" w:hAnsi="Times New Roman" w:cs="Times New Roman"/>
          <w:sz w:val="24"/>
          <w:lang w:val="en-GB"/>
        </w:rPr>
        <w:t>,</w:t>
      </w:r>
      <w:r w:rsidR="00201009" w:rsidRPr="0040120E">
        <w:rPr>
          <w:rFonts w:ascii="Times New Roman" w:hAnsi="Times New Roman" w:cs="Times New Roman"/>
          <w:sz w:val="24"/>
          <w:lang w:val="en-GB"/>
        </w:rPr>
        <w:t xml:space="preserve"> </w:t>
      </w:r>
      <w:r w:rsidRPr="0040120E">
        <w:rPr>
          <w:rFonts w:ascii="Times New Roman" w:hAnsi="Times New Roman" w:cs="Times New Roman"/>
          <w:sz w:val="24"/>
          <w:lang w:val="en-GB"/>
        </w:rPr>
        <w:t>Heinz or Toyota)</w:t>
      </w:r>
      <w:r w:rsidR="003D226C" w:rsidRPr="0040120E">
        <w:rPr>
          <w:rFonts w:ascii="Times New Roman" w:hAnsi="Times New Roman" w:cs="Times New Roman"/>
          <w:sz w:val="24"/>
          <w:lang w:val="en-GB"/>
        </w:rPr>
        <w:t>,</w:t>
      </w:r>
      <w:r w:rsidRPr="0040120E">
        <w:rPr>
          <w:rFonts w:ascii="Times New Roman" w:hAnsi="Times New Roman" w:cs="Times New Roman"/>
          <w:sz w:val="24"/>
          <w:lang w:val="en-GB"/>
        </w:rPr>
        <w:t xml:space="preserve"> so they do not always reflect the longevity of their visibility in the respondents’ environment. In addition, there is not always a link between longevity and the emphasis on brand heritage (e.g.</w:t>
      </w:r>
      <w:r w:rsidR="003D226C" w:rsidRPr="0040120E">
        <w:rPr>
          <w:rFonts w:ascii="Times New Roman" w:hAnsi="Times New Roman" w:cs="Times New Roman"/>
          <w:sz w:val="24"/>
          <w:lang w:val="en-GB"/>
        </w:rPr>
        <w:t>,</w:t>
      </w:r>
      <w:r w:rsidRPr="0040120E">
        <w:rPr>
          <w:rFonts w:ascii="Times New Roman" w:hAnsi="Times New Roman" w:cs="Times New Roman"/>
          <w:sz w:val="24"/>
          <w:lang w:val="en-GB"/>
        </w:rPr>
        <w:t xml:space="preserve"> Adidas and H&amp;M, or Quézac).</w:t>
      </w:r>
    </w:p>
    <w:p w14:paraId="187A3475" w14:textId="3E470FBE" w:rsidR="002F5276" w:rsidRPr="0040120E" w:rsidRDefault="002F5276" w:rsidP="009C2A33">
      <w:pPr>
        <w:pStyle w:val="Caption"/>
        <w:keepNext/>
        <w:jc w:val="center"/>
        <w:rPr>
          <w:rFonts w:ascii="Times New Roman" w:hAnsi="Times New Roman" w:cs="Times New Roman"/>
          <w:color w:val="auto"/>
          <w:sz w:val="24"/>
          <w:lang w:val="en-GB"/>
        </w:rPr>
      </w:pPr>
      <w:r w:rsidRPr="0040120E">
        <w:rPr>
          <w:rFonts w:ascii="Times New Roman" w:hAnsi="Times New Roman" w:cs="Times New Roman"/>
          <w:color w:val="auto"/>
          <w:sz w:val="24"/>
          <w:lang w:val="en-GB"/>
        </w:rPr>
        <w:t xml:space="preserve">Table </w:t>
      </w:r>
      <w:r w:rsidRPr="0040120E">
        <w:rPr>
          <w:rFonts w:ascii="Times New Roman" w:hAnsi="Times New Roman" w:cs="Times New Roman"/>
          <w:color w:val="auto"/>
          <w:sz w:val="24"/>
        </w:rPr>
        <w:fldChar w:fldCharType="begin"/>
      </w:r>
      <w:r w:rsidRPr="0040120E">
        <w:rPr>
          <w:rFonts w:ascii="Times New Roman" w:hAnsi="Times New Roman" w:cs="Times New Roman"/>
          <w:color w:val="auto"/>
          <w:sz w:val="24"/>
          <w:lang w:val="en-GB"/>
        </w:rPr>
        <w:instrText xml:space="preserve"> SEQ Table \* ARABIC </w:instrText>
      </w:r>
      <w:r w:rsidRPr="0040120E">
        <w:rPr>
          <w:rFonts w:ascii="Times New Roman" w:hAnsi="Times New Roman" w:cs="Times New Roman"/>
          <w:color w:val="auto"/>
          <w:sz w:val="24"/>
        </w:rPr>
        <w:fldChar w:fldCharType="separate"/>
      </w:r>
      <w:r w:rsidR="00671C69">
        <w:rPr>
          <w:rFonts w:ascii="Times New Roman" w:hAnsi="Times New Roman" w:cs="Times New Roman"/>
          <w:noProof/>
          <w:color w:val="auto"/>
          <w:sz w:val="24"/>
          <w:lang w:val="en-GB"/>
        </w:rPr>
        <w:t>1</w:t>
      </w:r>
      <w:r w:rsidRPr="0040120E">
        <w:rPr>
          <w:rFonts w:ascii="Times New Roman" w:hAnsi="Times New Roman" w:cs="Times New Roman"/>
          <w:color w:val="auto"/>
          <w:sz w:val="24"/>
        </w:rPr>
        <w:fldChar w:fldCharType="end"/>
      </w:r>
      <w:r w:rsidRPr="0040120E">
        <w:rPr>
          <w:rFonts w:ascii="Times New Roman" w:hAnsi="Times New Roman" w:cs="Times New Roman"/>
          <w:color w:val="auto"/>
          <w:sz w:val="24"/>
          <w:lang w:val="en-GB"/>
        </w:rPr>
        <w:t xml:space="preserve"> - Brands used as stimuli in the data collection</w:t>
      </w:r>
    </w:p>
    <w:tbl>
      <w:tblPr>
        <w:tblStyle w:val="TableGrid"/>
        <w:tblW w:w="0" w:type="auto"/>
        <w:tblLook w:val="04A0" w:firstRow="1" w:lastRow="0" w:firstColumn="1" w:lastColumn="0" w:noHBand="0" w:noVBand="1"/>
      </w:tblPr>
      <w:tblGrid>
        <w:gridCol w:w="1236"/>
        <w:gridCol w:w="7826"/>
      </w:tblGrid>
      <w:tr w:rsidR="002F5276" w:rsidRPr="0040120E" w14:paraId="1A415E69" w14:textId="77777777" w:rsidTr="009C2A33">
        <w:tc>
          <w:tcPr>
            <w:tcW w:w="1236" w:type="dxa"/>
          </w:tcPr>
          <w:p w14:paraId="1D20F566" w14:textId="77777777" w:rsidR="002F5276" w:rsidRPr="0040120E" w:rsidRDefault="002F5276" w:rsidP="007510C8">
            <w:pPr>
              <w:rPr>
                <w:rFonts w:ascii="Times New Roman" w:hAnsi="Times New Roman" w:cs="Times New Roman"/>
                <w:sz w:val="24"/>
                <w:szCs w:val="24"/>
                <w:lang w:val="en-GB"/>
              </w:rPr>
            </w:pPr>
            <w:r w:rsidRPr="0040120E">
              <w:rPr>
                <w:rFonts w:ascii="Times New Roman" w:hAnsi="Times New Roman" w:cs="Times New Roman"/>
                <w:sz w:val="24"/>
                <w:szCs w:val="24"/>
                <w:lang w:val="en-GB"/>
              </w:rPr>
              <w:t>Period</w:t>
            </w:r>
          </w:p>
        </w:tc>
        <w:tc>
          <w:tcPr>
            <w:tcW w:w="7826" w:type="dxa"/>
          </w:tcPr>
          <w:p w14:paraId="1472FC2F" w14:textId="77777777" w:rsidR="002F5276" w:rsidRPr="0040120E" w:rsidRDefault="002F5276" w:rsidP="007510C8">
            <w:pPr>
              <w:rPr>
                <w:rFonts w:ascii="Times New Roman" w:hAnsi="Times New Roman" w:cs="Times New Roman"/>
                <w:sz w:val="24"/>
                <w:szCs w:val="24"/>
                <w:lang w:val="en-GB"/>
              </w:rPr>
            </w:pPr>
            <w:r w:rsidRPr="0040120E">
              <w:rPr>
                <w:rFonts w:ascii="Times New Roman" w:hAnsi="Times New Roman" w:cs="Times New Roman"/>
                <w:sz w:val="24"/>
                <w:szCs w:val="24"/>
                <w:lang w:val="en-GB"/>
              </w:rPr>
              <w:t>Brands (founding date)</w:t>
            </w:r>
          </w:p>
        </w:tc>
      </w:tr>
      <w:tr w:rsidR="002F5276" w:rsidRPr="0040120E" w14:paraId="53E7DE16" w14:textId="77777777" w:rsidTr="009C2A33">
        <w:tc>
          <w:tcPr>
            <w:tcW w:w="1236" w:type="dxa"/>
          </w:tcPr>
          <w:p w14:paraId="58CF929F" w14:textId="77777777" w:rsidR="002F5276" w:rsidRPr="0040120E" w:rsidRDefault="002F5276" w:rsidP="007510C8">
            <w:pPr>
              <w:rPr>
                <w:rFonts w:ascii="Times New Roman" w:hAnsi="Times New Roman" w:cs="Times New Roman"/>
                <w:sz w:val="24"/>
                <w:szCs w:val="24"/>
                <w:lang w:val="en-GB"/>
              </w:rPr>
            </w:pPr>
            <w:r w:rsidRPr="0040120E">
              <w:rPr>
                <w:rFonts w:ascii="Times New Roman" w:hAnsi="Times New Roman" w:cs="Times New Roman"/>
                <w:sz w:val="24"/>
                <w:szCs w:val="24"/>
                <w:lang w:val="en-GB"/>
              </w:rPr>
              <w:t>Prior 1815</w:t>
            </w:r>
          </w:p>
        </w:tc>
        <w:tc>
          <w:tcPr>
            <w:tcW w:w="7826" w:type="dxa"/>
          </w:tcPr>
          <w:p w14:paraId="2E38CB9C" w14:textId="77777777" w:rsidR="002F5276" w:rsidRPr="0040120E" w:rsidRDefault="002F5276" w:rsidP="007510C8">
            <w:pPr>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Maille (1747), Badoit (1778), Schweppes (1783), Twinings (1706), </w:t>
            </w:r>
          </w:p>
        </w:tc>
      </w:tr>
      <w:tr w:rsidR="002F5276" w:rsidRPr="0040120E" w14:paraId="3606DA19" w14:textId="77777777" w:rsidTr="009C2A33">
        <w:tc>
          <w:tcPr>
            <w:tcW w:w="1236" w:type="dxa"/>
          </w:tcPr>
          <w:p w14:paraId="013FD799" w14:textId="77777777" w:rsidR="002F5276" w:rsidRPr="0040120E" w:rsidRDefault="002F5276" w:rsidP="007510C8">
            <w:pPr>
              <w:rPr>
                <w:rFonts w:ascii="Times New Roman" w:hAnsi="Times New Roman" w:cs="Times New Roman"/>
                <w:sz w:val="24"/>
                <w:szCs w:val="24"/>
                <w:lang w:val="en-GB"/>
              </w:rPr>
            </w:pPr>
            <w:r w:rsidRPr="0040120E">
              <w:rPr>
                <w:rFonts w:ascii="Times New Roman" w:hAnsi="Times New Roman" w:cs="Times New Roman"/>
                <w:sz w:val="24"/>
                <w:szCs w:val="24"/>
                <w:lang w:val="en-GB"/>
              </w:rPr>
              <w:t>1815-1914</w:t>
            </w:r>
          </w:p>
        </w:tc>
        <w:tc>
          <w:tcPr>
            <w:tcW w:w="7826" w:type="dxa"/>
          </w:tcPr>
          <w:p w14:paraId="093EC7C0" w14:textId="77777777" w:rsidR="002F5276" w:rsidRPr="0040120E" w:rsidRDefault="002F5276" w:rsidP="007510C8">
            <w:pPr>
              <w:jc w:val="both"/>
              <w:rPr>
                <w:rFonts w:ascii="Times New Roman" w:hAnsi="Times New Roman" w:cs="Times New Roman"/>
                <w:sz w:val="24"/>
                <w:szCs w:val="24"/>
              </w:rPr>
            </w:pPr>
            <w:r w:rsidRPr="0040120E">
              <w:rPr>
                <w:rFonts w:ascii="Times New Roman" w:hAnsi="Times New Roman" w:cs="Times New Roman"/>
                <w:sz w:val="24"/>
                <w:szCs w:val="24"/>
              </w:rPr>
              <w:t xml:space="preserve">Alsa (1896), Carapelli (1893), Connétable (1853), De Cecco (1886), </w:t>
            </w:r>
          </w:p>
          <w:p w14:paraId="4881C8F2" w14:textId="3DEEB760" w:rsidR="002F5276" w:rsidRPr="0040120E" w:rsidRDefault="002F5276" w:rsidP="007510C8">
            <w:pPr>
              <w:jc w:val="both"/>
              <w:rPr>
                <w:rFonts w:ascii="Times New Roman" w:hAnsi="Times New Roman" w:cs="Times New Roman"/>
                <w:sz w:val="24"/>
                <w:szCs w:val="24"/>
              </w:rPr>
            </w:pPr>
            <w:r w:rsidRPr="0040120E">
              <w:rPr>
                <w:rFonts w:ascii="Times New Roman" w:hAnsi="Times New Roman" w:cs="Times New Roman"/>
                <w:sz w:val="24"/>
                <w:szCs w:val="24"/>
              </w:rPr>
              <w:t xml:space="preserve">Delpeyrat (1890), Lindt (1845), Heinz (1869), Jordans (1855), La Mère Poulard (1879), Lepetit (1872), William </w:t>
            </w:r>
            <w:r w:rsidR="003D226C" w:rsidRPr="0040120E">
              <w:rPr>
                <w:rFonts w:ascii="Times New Roman" w:hAnsi="Times New Roman" w:cs="Times New Roman"/>
                <w:sz w:val="24"/>
                <w:szCs w:val="24"/>
              </w:rPr>
              <w:t>S</w:t>
            </w:r>
            <w:r w:rsidRPr="0040120E">
              <w:rPr>
                <w:rFonts w:ascii="Times New Roman" w:hAnsi="Times New Roman" w:cs="Times New Roman"/>
                <w:sz w:val="24"/>
                <w:szCs w:val="24"/>
              </w:rPr>
              <w:t xml:space="preserve">aurin (1898), Lorina (1895), Eau Ecarlate </w:t>
            </w:r>
            <w:r w:rsidRPr="0040120E">
              <w:rPr>
                <w:rFonts w:ascii="Times New Roman" w:hAnsi="Times New Roman" w:cs="Times New Roman"/>
                <w:sz w:val="24"/>
                <w:szCs w:val="24"/>
              </w:rPr>
              <w:lastRenderedPageBreak/>
              <w:t>(1851), Nestlé (1866), Hunts (1888), Coca-Cola (1892), Gillot (1912), La Molissana (1912), Saint-Michel (1905), Cadum (1907), Persavon (1911)</w:t>
            </w:r>
          </w:p>
        </w:tc>
      </w:tr>
      <w:tr w:rsidR="002F5276" w:rsidRPr="0040120E" w14:paraId="2F73245E" w14:textId="77777777" w:rsidTr="009C2A33">
        <w:tc>
          <w:tcPr>
            <w:tcW w:w="1236" w:type="dxa"/>
          </w:tcPr>
          <w:p w14:paraId="3FE9BBB6" w14:textId="77777777" w:rsidR="002F5276" w:rsidRPr="0040120E" w:rsidRDefault="002F5276" w:rsidP="007510C8">
            <w:pPr>
              <w:rPr>
                <w:rFonts w:ascii="Times New Roman" w:hAnsi="Times New Roman" w:cs="Times New Roman"/>
                <w:sz w:val="24"/>
                <w:szCs w:val="24"/>
                <w:lang w:val="en-GB"/>
              </w:rPr>
            </w:pPr>
            <w:r w:rsidRPr="0040120E">
              <w:rPr>
                <w:rFonts w:ascii="Times New Roman" w:hAnsi="Times New Roman" w:cs="Times New Roman"/>
                <w:sz w:val="24"/>
                <w:szCs w:val="24"/>
                <w:lang w:val="en-GB"/>
              </w:rPr>
              <w:lastRenderedPageBreak/>
              <w:t>1914-1945</w:t>
            </w:r>
          </w:p>
        </w:tc>
        <w:tc>
          <w:tcPr>
            <w:tcW w:w="7826" w:type="dxa"/>
          </w:tcPr>
          <w:p w14:paraId="04D30BAA" w14:textId="77777777" w:rsidR="002F5276" w:rsidRPr="0040120E" w:rsidRDefault="002F5276" w:rsidP="007510C8">
            <w:pPr>
              <w:jc w:val="both"/>
              <w:rPr>
                <w:rFonts w:ascii="Times New Roman" w:hAnsi="Times New Roman" w:cs="Times New Roman"/>
                <w:sz w:val="24"/>
                <w:szCs w:val="24"/>
              </w:rPr>
            </w:pPr>
            <w:r w:rsidRPr="0040120E">
              <w:rPr>
                <w:rFonts w:ascii="Times New Roman" w:hAnsi="Times New Roman" w:cs="Times New Roman"/>
                <w:sz w:val="24"/>
                <w:szCs w:val="24"/>
              </w:rPr>
              <w:t>Monsavon (1920), Mont-Saint Michel (1920), Dop (1934), Briochin (1919), Mercedes (1926), Toyota (1937),</w:t>
            </w:r>
          </w:p>
        </w:tc>
      </w:tr>
      <w:tr w:rsidR="002F5276" w:rsidRPr="00320A36" w14:paraId="2923137C" w14:textId="77777777" w:rsidTr="009C2A33">
        <w:tc>
          <w:tcPr>
            <w:tcW w:w="1236" w:type="dxa"/>
          </w:tcPr>
          <w:p w14:paraId="6F46F90C" w14:textId="77777777" w:rsidR="002F5276" w:rsidRPr="0040120E" w:rsidRDefault="002F5276" w:rsidP="007510C8">
            <w:pPr>
              <w:rPr>
                <w:rFonts w:ascii="Times New Roman" w:hAnsi="Times New Roman" w:cs="Times New Roman"/>
                <w:sz w:val="24"/>
                <w:szCs w:val="24"/>
                <w:lang w:val="en-GB"/>
              </w:rPr>
            </w:pPr>
            <w:r w:rsidRPr="0040120E">
              <w:rPr>
                <w:rFonts w:ascii="Times New Roman" w:hAnsi="Times New Roman" w:cs="Times New Roman"/>
                <w:sz w:val="24"/>
                <w:szCs w:val="24"/>
                <w:lang w:val="en-GB"/>
              </w:rPr>
              <w:t>1945-2000</w:t>
            </w:r>
          </w:p>
        </w:tc>
        <w:tc>
          <w:tcPr>
            <w:tcW w:w="7826" w:type="dxa"/>
          </w:tcPr>
          <w:p w14:paraId="10CD2577" w14:textId="77777777" w:rsidR="002F5276" w:rsidRPr="0040120E" w:rsidRDefault="002F5276" w:rsidP="007510C8">
            <w:pPr>
              <w:rPr>
                <w:rFonts w:ascii="Times New Roman" w:hAnsi="Times New Roman" w:cs="Times New Roman"/>
                <w:sz w:val="24"/>
                <w:szCs w:val="24"/>
                <w:lang w:val="es-ES"/>
              </w:rPr>
            </w:pPr>
            <w:r w:rsidRPr="0040120E">
              <w:rPr>
                <w:rFonts w:ascii="Times New Roman" w:hAnsi="Times New Roman" w:cs="Times New Roman"/>
                <w:sz w:val="24"/>
                <w:szCs w:val="24"/>
                <w:lang w:val="es-ES"/>
              </w:rPr>
              <w:t>Red Bull (1984), Visa (1958), PayPal (1998), Adidas (1949), H&amp;M (1947), Quézac (1994)</w:t>
            </w:r>
          </w:p>
        </w:tc>
      </w:tr>
    </w:tbl>
    <w:p w14:paraId="07810B44" w14:textId="77777777" w:rsidR="002F5276" w:rsidRPr="0040120E" w:rsidRDefault="002F5276" w:rsidP="002D7072">
      <w:pPr>
        <w:pStyle w:val="ListParagraph"/>
        <w:spacing w:line="480" w:lineRule="auto"/>
        <w:ind w:left="360"/>
        <w:rPr>
          <w:rFonts w:ascii="Times New Roman" w:hAnsi="Times New Roman" w:cs="Times New Roman"/>
          <w:sz w:val="24"/>
          <w:szCs w:val="24"/>
          <w:lang w:val="es-ES"/>
        </w:rPr>
      </w:pPr>
    </w:p>
    <w:p w14:paraId="279527CD" w14:textId="77777777" w:rsidR="00A626AD" w:rsidRPr="0040120E" w:rsidRDefault="008D78FB" w:rsidP="00E23412">
      <w:pPr>
        <w:spacing w:line="480" w:lineRule="auto"/>
        <w:rPr>
          <w:rFonts w:ascii="Times New Roman" w:hAnsi="Times New Roman" w:cs="Times New Roman"/>
          <w:b/>
          <w:i/>
          <w:sz w:val="24"/>
          <w:szCs w:val="24"/>
          <w:lang w:val="en-GB"/>
        </w:rPr>
      </w:pPr>
      <w:r w:rsidRPr="0040120E">
        <w:rPr>
          <w:rFonts w:ascii="Times New Roman" w:hAnsi="Times New Roman" w:cs="Times New Roman"/>
          <w:b/>
          <w:i/>
          <w:sz w:val="24"/>
          <w:szCs w:val="24"/>
          <w:lang w:val="en-GB"/>
        </w:rPr>
        <w:t xml:space="preserve">Study 1: </w:t>
      </w:r>
      <w:r w:rsidR="00A626AD" w:rsidRPr="0040120E">
        <w:rPr>
          <w:rFonts w:ascii="Times New Roman" w:hAnsi="Times New Roman" w:cs="Times New Roman"/>
          <w:b/>
          <w:i/>
          <w:sz w:val="24"/>
          <w:szCs w:val="24"/>
          <w:lang w:val="en-GB"/>
        </w:rPr>
        <w:t xml:space="preserve">Generation and </w:t>
      </w:r>
      <w:r w:rsidR="002D2684" w:rsidRPr="0040120E">
        <w:rPr>
          <w:rFonts w:ascii="Times New Roman" w:hAnsi="Times New Roman" w:cs="Times New Roman"/>
          <w:b/>
          <w:i/>
          <w:sz w:val="24"/>
          <w:szCs w:val="24"/>
          <w:lang w:val="en-GB"/>
        </w:rPr>
        <w:t>R</w:t>
      </w:r>
      <w:r w:rsidR="00A626AD" w:rsidRPr="0040120E">
        <w:rPr>
          <w:rFonts w:ascii="Times New Roman" w:hAnsi="Times New Roman" w:cs="Times New Roman"/>
          <w:b/>
          <w:i/>
          <w:sz w:val="24"/>
          <w:szCs w:val="24"/>
          <w:lang w:val="en-GB"/>
        </w:rPr>
        <w:t xml:space="preserve">eduction of </w:t>
      </w:r>
      <w:r w:rsidR="002D2684" w:rsidRPr="0040120E">
        <w:rPr>
          <w:rFonts w:ascii="Times New Roman" w:hAnsi="Times New Roman" w:cs="Times New Roman"/>
          <w:b/>
          <w:i/>
          <w:sz w:val="24"/>
          <w:szCs w:val="24"/>
          <w:lang w:val="en-GB"/>
        </w:rPr>
        <w:t>I</w:t>
      </w:r>
      <w:r w:rsidR="00A626AD" w:rsidRPr="0040120E">
        <w:rPr>
          <w:rFonts w:ascii="Times New Roman" w:hAnsi="Times New Roman" w:cs="Times New Roman"/>
          <w:b/>
          <w:i/>
          <w:sz w:val="24"/>
          <w:szCs w:val="24"/>
          <w:lang w:val="en-GB"/>
        </w:rPr>
        <w:t>tems</w:t>
      </w:r>
    </w:p>
    <w:p w14:paraId="3284E7D7" w14:textId="20272030" w:rsidR="0040780B" w:rsidRPr="0040120E" w:rsidRDefault="00E97677"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Study 1 aims to elicit candidate items for the Exploratory Factor Analysis in Study 2. It has three phases: one elicitation phase, and two reduction phases. </w:t>
      </w:r>
      <w:r w:rsidR="00095A94" w:rsidRPr="0040120E">
        <w:rPr>
          <w:rFonts w:ascii="Times New Roman" w:hAnsi="Times New Roman" w:cs="Times New Roman"/>
          <w:sz w:val="24"/>
          <w:szCs w:val="24"/>
          <w:lang w:val="en-GB"/>
        </w:rPr>
        <w:t>The</w:t>
      </w:r>
      <w:r w:rsidR="00D923A6" w:rsidRPr="0040120E">
        <w:rPr>
          <w:rFonts w:ascii="Times New Roman" w:hAnsi="Times New Roman" w:cs="Times New Roman"/>
          <w:sz w:val="24"/>
          <w:szCs w:val="24"/>
          <w:lang w:val="en-GB"/>
        </w:rPr>
        <w:t xml:space="preserve"> analysis of the</w:t>
      </w:r>
      <w:r w:rsidR="00095A94" w:rsidRPr="0040120E">
        <w:rPr>
          <w:rFonts w:ascii="Times New Roman" w:hAnsi="Times New Roman" w:cs="Times New Roman"/>
          <w:sz w:val="24"/>
          <w:szCs w:val="24"/>
          <w:lang w:val="en-GB"/>
        </w:rPr>
        <w:t xml:space="preserve"> literature and </w:t>
      </w:r>
      <w:r w:rsidR="00A626AD" w:rsidRPr="0040120E">
        <w:rPr>
          <w:rFonts w:ascii="Times New Roman" w:hAnsi="Times New Roman" w:cs="Times New Roman"/>
          <w:sz w:val="24"/>
          <w:szCs w:val="24"/>
          <w:lang w:val="en-GB"/>
        </w:rPr>
        <w:t xml:space="preserve">25 exploratory semi-structured interviews </w:t>
      </w:r>
      <w:r w:rsidR="008D78FB" w:rsidRPr="0040120E">
        <w:rPr>
          <w:rFonts w:ascii="Times New Roman" w:hAnsi="Times New Roman" w:cs="Times New Roman"/>
          <w:sz w:val="24"/>
          <w:szCs w:val="24"/>
          <w:lang w:val="en-GB"/>
        </w:rPr>
        <w:t xml:space="preserve">on the perception of brands using their brand heritage </w:t>
      </w:r>
      <w:r w:rsidR="00A626AD" w:rsidRPr="0040120E">
        <w:rPr>
          <w:rFonts w:ascii="Times New Roman" w:hAnsi="Times New Roman" w:cs="Times New Roman"/>
          <w:sz w:val="24"/>
          <w:szCs w:val="24"/>
          <w:lang w:val="en-GB"/>
        </w:rPr>
        <w:t>generate</w:t>
      </w:r>
      <w:r w:rsidR="003D226C" w:rsidRPr="0040120E">
        <w:rPr>
          <w:rFonts w:ascii="Times New Roman" w:hAnsi="Times New Roman" w:cs="Times New Roman"/>
          <w:sz w:val="24"/>
          <w:szCs w:val="24"/>
          <w:lang w:val="en-GB"/>
        </w:rPr>
        <w:t>d</w:t>
      </w:r>
      <w:r w:rsidR="00A626AD" w:rsidRPr="0040120E">
        <w:rPr>
          <w:rFonts w:ascii="Times New Roman" w:hAnsi="Times New Roman" w:cs="Times New Roman"/>
          <w:sz w:val="24"/>
          <w:szCs w:val="24"/>
          <w:lang w:val="en-GB"/>
        </w:rPr>
        <w:t xml:space="preserve"> </w:t>
      </w:r>
      <w:r w:rsidR="00095A94" w:rsidRPr="0040120E">
        <w:rPr>
          <w:rFonts w:ascii="Times New Roman" w:hAnsi="Times New Roman" w:cs="Times New Roman"/>
          <w:sz w:val="24"/>
          <w:szCs w:val="24"/>
          <w:lang w:val="en-GB"/>
        </w:rPr>
        <w:t>110</w:t>
      </w:r>
      <w:r w:rsidR="00A626AD" w:rsidRPr="0040120E">
        <w:rPr>
          <w:rFonts w:ascii="Times New Roman" w:hAnsi="Times New Roman" w:cs="Times New Roman"/>
          <w:sz w:val="24"/>
          <w:szCs w:val="24"/>
          <w:lang w:val="en-GB"/>
        </w:rPr>
        <w:t xml:space="preserve"> items. </w:t>
      </w:r>
      <w:r w:rsidR="00367011" w:rsidRPr="0040120E">
        <w:rPr>
          <w:rFonts w:ascii="Times New Roman" w:hAnsi="Times New Roman" w:cs="Times New Roman"/>
          <w:sz w:val="24"/>
          <w:szCs w:val="24"/>
          <w:lang w:val="en-GB"/>
        </w:rPr>
        <w:t>The comparison of the existing scales assesse</w:t>
      </w:r>
      <w:r w:rsidR="00F04845" w:rsidRPr="0040120E">
        <w:rPr>
          <w:rFonts w:ascii="Times New Roman" w:hAnsi="Times New Roman" w:cs="Times New Roman"/>
          <w:sz w:val="24"/>
          <w:szCs w:val="24"/>
          <w:lang w:val="en-GB"/>
        </w:rPr>
        <w:t>d</w:t>
      </w:r>
      <w:r w:rsidR="00367011" w:rsidRPr="0040120E">
        <w:rPr>
          <w:rFonts w:ascii="Times New Roman" w:hAnsi="Times New Roman" w:cs="Times New Roman"/>
          <w:sz w:val="24"/>
          <w:szCs w:val="24"/>
          <w:lang w:val="en-GB"/>
        </w:rPr>
        <w:t xml:space="preserve"> the</w:t>
      </w:r>
      <w:r w:rsidR="002577BE" w:rsidRPr="0040120E">
        <w:rPr>
          <w:rFonts w:ascii="Times New Roman" w:hAnsi="Times New Roman" w:cs="Times New Roman"/>
          <w:sz w:val="24"/>
          <w:szCs w:val="24"/>
          <w:lang w:val="en-GB"/>
        </w:rPr>
        <w:t>ir</w:t>
      </w:r>
      <w:r w:rsidR="00367011" w:rsidRPr="0040120E">
        <w:rPr>
          <w:rFonts w:ascii="Times New Roman" w:hAnsi="Times New Roman" w:cs="Times New Roman"/>
          <w:sz w:val="24"/>
          <w:szCs w:val="24"/>
          <w:lang w:val="en-GB"/>
        </w:rPr>
        <w:t xml:space="preserve"> limitations when taken independently one from another. However, it also show</w:t>
      </w:r>
      <w:r w:rsidR="00F04845" w:rsidRPr="0040120E">
        <w:rPr>
          <w:rFonts w:ascii="Times New Roman" w:hAnsi="Times New Roman" w:cs="Times New Roman"/>
          <w:sz w:val="24"/>
          <w:szCs w:val="24"/>
          <w:lang w:val="en-GB"/>
        </w:rPr>
        <w:t>ed</w:t>
      </w:r>
      <w:r w:rsidR="00367011" w:rsidRPr="0040120E">
        <w:rPr>
          <w:rFonts w:ascii="Times New Roman" w:hAnsi="Times New Roman" w:cs="Times New Roman"/>
          <w:sz w:val="24"/>
          <w:szCs w:val="24"/>
          <w:lang w:val="en-GB"/>
        </w:rPr>
        <w:t xml:space="preserve"> that they individually represent a facet of brand heritage (Merchant </w:t>
      </w:r>
      <w:r w:rsidR="007E6252" w:rsidRPr="0040120E">
        <w:rPr>
          <w:rFonts w:ascii="Times New Roman" w:hAnsi="Times New Roman" w:cs="Times New Roman"/>
          <w:sz w:val="24"/>
          <w:szCs w:val="24"/>
          <w:lang w:val="en-GB"/>
        </w:rPr>
        <w:t>&amp;</w:t>
      </w:r>
      <w:r w:rsidR="00367011" w:rsidRPr="0040120E">
        <w:rPr>
          <w:rFonts w:ascii="Times New Roman" w:hAnsi="Times New Roman" w:cs="Times New Roman"/>
          <w:sz w:val="24"/>
          <w:szCs w:val="24"/>
          <w:lang w:val="en-GB"/>
        </w:rPr>
        <w:t xml:space="preserve"> Rose, 2013; Napoli et al., 2014; Wiedmann et al., 2011). Consequently, the 33 items of the existing scales were considered in the process of generating a new scale</w:t>
      </w:r>
      <w:r w:rsidR="003D226C" w:rsidRPr="0040120E">
        <w:rPr>
          <w:rFonts w:ascii="Times New Roman" w:hAnsi="Times New Roman" w:cs="Times New Roman"/>
          <w:sz w:val="24"/>
          <w:szCs w:val="24"/>
          <w:lang w:val="en-GB"/>
        </w:rPr>
        <w:t>,</w:t>
      </w:r>
      <w:r w:rsidR="0040780B" w:rsidRPr="0040120E">
        <w:rPr>
          <w:rFonts w:ascii="Times New Roman" w:hAnsi="Times New Roman" w:cs="Times New Roman"/>
          <w:sz w:val="24"/>
          <w:szCs w:val="24"/>
          <w:lang w:val="en-GB"/>
        </w:rPr>
        <w:t xml:space="preserve"> </w:t>
      </w:r>
      <w:r w:rsidR="003D226C" w:rsidRPr="0040120E">
        <w:rPr>
          <w:rFonts w:ascii="Times New Roman" w:hAnsi="Times New Roman" w:cs="Times New Roman"/>
          <w:sz w:val="24"/>
          <w:szCs w:val="24"/>
          <w:lang w:val="en-GB"/>
        </w:rPr>
        <w:t>b</w:t>
      </w:r>
      <w:r w:rsidR="0040780B" w:rsidRPr="0040120E">
        <w:rPr>
          <w:rFonts w:ascii="Times New Roman" w:hAnsi="Times New Roman" w:cs="Times New Roman"/>
          <w:sz w:val="24"/>
          <w:szCs w:val="24"/>
          <w:lang w:val="en-GB"/>
        </w:rPr>
        <w:t xml:space="preserve">ut in order to </w:t>
      </w:r>
      <w:r w:rsidR="00BD7DDE" w:rsidRPr="0040120E">
        <w:rPr>
          <w:rFonts w:ascii="Times New Roman" w:hAnsi="Times New Roman" w:cs="Times New Roman"/>
          <w:sz w:val="24"/>
          <w:szCs w:val="24"/>
          <w:lang w:val="en-GB"/>
        </w:rPr>
        <w:t xml:space="preserve">provide new insights and increase the pool of candidate items, we conducted </w:t>
      </w:r>
      <w:r w:rsidR="0040780B" w:rsidRPr="0040120E">
        <w:rPr>
          <w:rFonts w:ascii="Times New Roman" w:hAnsi="Times New Roman" w:cs="Times New Roman"/>
          <w:sz w:val="24"/>
          <w:szCs w:val="24"/>
          <w:lang w:val="en-GB"/>
        </w:rPr>
        <w:t>a qualitative study</w:t>
      </w:r>
      <w:r w:rsidRPr="0040120E">
        <w:rPr>
          <w:rFonts w:ascii="Times New Roman" w:hAnsi="Times New Roman" w:cs="Times New Roman"/>
          <w:sz w:val="24"/>
          <w:szCs w:val="24"/>
          <w:lang w:val="en-GB"/>
        </w:rPr>
        <w:t xml:space="preserve"> and collected perceptual insights from consumers in order to generate new items (see details of th</w:t>
      </w:r>
      <w:r w:rsidR="00BC1062" w:rsidRPr="0040120E">
        <w:rPr>
          <w:rFonts w:ascii="Times New Roman" w:hAnsi="Times New Roman" w:cs="Times New Roman"/>
          <w:sz w:val="24"/>
          <w:szCs w:val="24"/>
          <w:lang w:val="en-GB"/>
        </w:rPr>
        <w:t>is</w:t>
      </w:r>
      <w:r w:rsidRPr="0040120E">
        <w:rPr>
          <w:rFonts w:ascii="Times New Roman" w:hAnsi="Times New Roman" w:cs="Times New Roman"/>
          <w:sz w:val="24"/>
          <w:szCs w:val="24"/>
          <w:lang w:val="en-GB"/>
        </w:rPr>
        <w:t xml:space="preserve"> qualitative study in</w:t>
      </w:r>
      <w:r w:rsidR="00240CE4" w:rsidRPr="0040120E">
        <w:rPr>
          <w:rFonts w:ascii="Times New Roman" w:hAnsi="Times New Roman" w:cs="Times New Roman"/>
          <w:sz w:val="24"/>
          <w:szCs w:val="24"/>
          <w:lang w:val="en-GB"/>
        </w:rPr>
        <w:t xml:space="preserve"> </w:t>
      </w:r>
      <w:r w:rsidR="00240CE4" w:rsidRPr="0040120E">
        <w:rPr>
          <w:rFonts w:ascii="Times New Roman" w:hAnsi="Times New Roman" w:cs="Times New Roman"/>
          <w:sz w:val="24"/>
          <w:szCs w:val="24"/>
          <w:lang w:val="en-GB"/>
        </w:rPr>
        <w:fldChar w:fldCharType="begin" w:fldLock="1"/>
      </w:r>
      <w:r w:rsidR="00240CE4" w:rsidRPr="0040120E">
        <w:rPr>
          <w:rFonts w:ascii="Times New Roman" w:hAnsi="Times New Roman" w:cs="Times New Roman"/>
          <w:sz w:val="24"/>
          <w:szCs w:val="24"/>
          <w:lang w:val="en-GB"/>
        </w:rPr>
        <w:instrText>ADDIN CSL_CITATION {"citationItems":[{"id":"ITEM-1","itemData":{"DOI":"10.1057/s41262-017-0076-y","ISSN":"14791803","abstract":"© 2017 Macmillan Publishers Ltd While existing literature on brand heritage focuses on corporate perspectives, this paper investigates the gap between intended and perceived heritage. Two sequential qualitative studies were performed: the preliminary study is based on observation and enables the selection of 27 fast-moving consumer brands using historical references that are explicit for consumers; the main study is composed of 25 semi-structured interviews of consumers in order to analyse their interpretations. Results show that consumers know little about parent companies behind brands. However, they imagine that companies are seeking a compromise between an ideal tradition and a necessary modernity. Finally, they also distinguish different strategies in the management of temporality. Results outline the critical role of the consumers and enable to distinguish two types of brands—familiar and aristocratic ones—and to formulate two distinct sets of recommendations for them based on the use of historical references.","author":[{"dropping-particle":"","family":"Pecot","given":"Fabien","non-dropping-particle":"","parse-names":false,"suffix":""},{"dropping-particle":"","family":"Barnier","given":"Virginie","non-dropping-particle":"de","parse-names":false,"suffix":""}],"container-title":"Journal of Brand Management","id":"ITEM-1","issue":"1","issued":{"date-parts":[["2018"]]},"page":"171-184","publisher":"Palgrave Macmillan UK","title":"Brands using historical references: a consumers’ perspective","type":"article-journal","volume":"25"},"uris":["http://www.mendeley.com/documents/?uuid=83f23fe8-2d35-4cd9-b6a8-13f57e6f16d5"]}],"mendeley":{"formattedCitation":"(Pecot &amp; de Barnier, 2018)","manualFormatting":"Pecot &amp; de Barnier, 2018)","plainTextFormattedCitation":"(Pecot &amp; de Barnier, 2018)","previouslyFormattedCitation":"(Pecot &amp; de Barnier, 2018)"},"properties":{"noteIndex":0},"schema":"https://github.com/citation-style-language/schema/raw/master/csl-citation.json"}</w:instrText>
      </w:r>
      <w:r w:rsidR="00240CE4" w:rsidRPr="0040120E">
        <w:rPr>
          <w:rFonts w:ascii="Times New Roman" w:hAnsi="Times New Roman" w:cs="Times New Roman"/>
          <w:sz w:val="24"/>
          <w:szCs w:val="24"/>
          <w:lang w:val="en-GB"/>
        </w:rPr>
        <w:fldChar w:fldCharType="separate"/>
      </w:r>
      <w:r w:rsidR="00240CE4" w:rsidRPr="0040120E">
        <w:rPr>
          <w:rFonts w:ascii="Times New Roman" w:hAnsi="Times New Roman" w:cs="Times New Roman"/>
          <w:noProof/>
          <w:sz w:val="24"/>
          <w:szCs w:val="24"/>
          <w:lang w:val="en-GB"/>
        </w:rPr>
        <w:t>Pecot &amp; de Barnier, 2018)</w:t>
      </w:r>
      <w:r w:rsidR="00240CE4" w:rsidRPr="0040120E">
        <w:rPr>
          <w:rFonts w:ascii="Times New Roman" w:hAnsi="Times New Roman" w:cs="Times New Roman"/>
          <w:sz w:val="24"/>
          <w:szCs w:val="24"/>
          <w:lang w:val="en-GB"/>
        </w:rPr>
        <w:fldChar w:fldCharType="end"/>
      </w:r>
      <w:r w:rsidR="00BC2B34" w:rsidRPr="0040120E">
        <w:rPr>
          <w:rFonts w:ascii="Times New Roman" w:hAnsi="Times New Roman" w:cs="Times New Roman"/>
          <w:sz w:val="24"/>
          <w:szCs w:val="24"/>
          <w:lang w:val="en-GB"/>
        </w:rPr>
        <w:t>.</w:t>
      </w:r>
      <w:r w:rsidR="00532676" w:rsidRPr="0040120E">
        <w:rPr>
          <w:rFonts w:ascii="Times New Roman" w:hAnsi="Times New Roman" w:cs="Times New Roman"/>
          <w:sz w:val="24"/>
          <w:szCs w:val="24"/>
          <w:lang w:val="en-GB"/>
        </w:rPr>
        <w:t xml:space="preserve"> </w:t>
      </w:r>
    </w:p>
    <w:p w14:paraId="2381DC7B" w14:textId="2956C939" w:rsidR="002D7072" w:rsidRPr="0040120E" w:rsidRDefault="002D7072" w:rsidP="002D7072">
      <w:pPr>
        <w:spacing w:line="480" w:lineRule="auto"/>
        <w:ind w:firstLine="360"/>
        <w:jc w:val="center"/>
        <w:rPr>
          <w:rFonts w:ascii="Times New Roman" w:hAnsi="Times New Roman" w:cs="Times New Roman"/>
          <w:sz w:val="24"/>
          <w:szCs w:val="24"/>
          <w:lang w:val="en-US"/>
        </w:rPr>
      </w:pPr>
      <w:r w:rsidRPr="0040120E">
        <w:rPr>
          <w:rFonts w:ascii="Times New Roman" w:hAnsi="Times New Roman" w:cs="Times New Roman"/>
          <w:sz w:val="24"/>
          <w:szCs w:val="24"/>
          <w:lang w:val="en-US"/>
        </w:rPr>
        <w:t xml:space="preserve">Figure </w:t>
      </w:r>
      <w:r w:rsidR="002F5276" w:rsidRPr="0040120E">
        <w:rPr>
          <w:rFonts w:ascii="Times New Roman" w:hAnsi="Times New Roman" w:cs="Times New Roman"/>
          <w:sz w:val="24"/>
          <w:szCs w:val="24"/>
          <w:lang w:val="en-US"/>
        </w:rPr>
        <w:t>2</w:t>
      </w:r>
      <w:r w:rsidRPr="0040120E">
        <w:rPr>
          <w:rFonts w:ascii="Times New Roman" w:hAnsi="Times New Roman" w:cs="Times New Roman"/>
          <w:sz w:val="24"/>
          <w:szCs w:val="24"/>
          <w:lang w:val="en-US"/>
        </w:rPr>
        <w:t xml:space="preserve"> - Design of the qualitative study</w:t>
      </w:r>
      <w:r w:rsidRPr="0040120E">
        <w:rPr>
          <w:rFonts w:ascii="Times New Roman" w:hAnsi="Times New Roman" w:cs="Times New Roman"/>
          <w:noProof/>
          <w:sz w:val="24"/>
          <w:szCs w:val="24"/>
          <w:lang w:val="en-GB" w:eastAsia="en-GB"/>
        </w:rPr>
        <w:drawing>
          <wp:inline distT="0" distB="0" distL="0" distR="0" wp14:anchorId="47F428E9" wp14:editId="7CD23E65">
            <wp:extent cx="4887595" cy="170477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6921" cy="1708024"/>
                    </a:xfrm>
                    <a:prstGeom prst="rect">
                      <a:avLst/>
                    </a:prstGeom>
                    <a:noFill/>
                  </pic:spPr>
                </pic:pic>
              </a:graphicData>
            </a:graphic>
          </wp:inline>
        </w:drawing>
      </w:r>
    </w:p>
    <w:p w14:paraId="64630B38" w14:textId="7947DDCD" w:rsidR="00AB6118" w:rsidRPr="0040120E" w:rsidRDefault="00AB6118" w:rsidP="00532676">
      <w:pPr>
        <w:spacing w:line="480" w:lineRule="auto"/>
        <w:ind w:firstLine="360"/>
        <w:jc w:val="both"/>
        <w:rPr>
          <w:rFonts w:ascii="Times New Roman" w:hAnsi="Times New Roman" w:cs="Times New Roman"/>
          <w:sz w:val="24"/>
          <w:szCs w:val="24"/>
          <w:lang w:val="en-GB"/>
        </w:rPr>
      </w:pPr>
    </w:p>
    <w:p w14:paraId="39495CB9" w14:textId="4DEE5320" w:rsidR="006B1E82" w:rsidRPr="0040120E" w:rsidRDefault="00AB6118"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lastRenderedPageBreak/>
        <w:t>Informants were introduced to 27 brands</w:t>
      </w:r>
      <w:r w:rsidR="00BC1062" w:rsidRPr="0040120E">
        <w:rPr>
          <w:rFonts w:ascii="Times New Roman" w:hAnsi="Times New Roman" w:cs="Times New Roman"/>
          <w:sz w:val="24"/>
          <w:szCs w:val="24"/>
          <w:lang w:val="en-GB"/>
        </w:rPr>
        <w:t xml:space="preserve"> with an emphasis on their heritage</w:t>
      </w:r>
      <w:r w:rsidRPr="0040120E">
        <w:rPr>
          <w:rFonts w:ascii="Times New Roman" w:hAnsi="Times New Roman" w:cs="Times New Roman"/>
          <w:sz w:val="24"/>
          <w:szCs w:val="24"/>
          <w:lang w:val="en-GB"/>
        </w:rPr>
        <w:t xml:space="preserve"> using flyers (one flyer per brand, displaying the logo, the brand name and a characteristic product). Informants were first asked to eliminate all unknown brands from the set, then to eliminate those they never buy, and finally to pick, within the remaining brands, the one, two or three brands they consider </w:t>
      </w:r>
      <w:r w:rsidR="003A7D9F" w:rsidRPr="0040120E">
        <w:rPr>
          <w:rFonts w:ascii="Times New Roman" w:hAnsi="Times New Roman" w:cs="Times New Roman"/>
          <w:sz w:val="24"/>
          <w:szCs w:val="24"/>
          <w:lang w:val="en-GB"/>
        </w:rPr>
        <w:t xml:space="preserve">themselves </w:t>
      </w:r>
      <w:r w:rsidRPr="0040120E">
        <w:rPr>
          <w:rFonts w:ascii="Times New Roman" w:hAnsi="Times New Roman" w:cs="Times New Roman"/>
          <w:sz w:val="24"/>
          <w:szCs w:val="24"/>
          <w:lang w:val="en-GB"/>
        </w:rPr>
        <w:t xml:space="preserve">to be the most loyal to. The interview guide was designed to generate detailed descriptions of the brands, and perceptual elements about the brand’s position towards temporality. Informants were simply asked to describe the first brand they had selected; follow-up questions were </w:t>
      </w:r>
      <w:r w:rsidR="003771CA" w:rsidRPr="0040120E">
        <w:rPr>
          <w:rFonts w:ascii="Times New Roman" w:hAnsi="Times New Roman" w:cs="Times New Roman"/>
          <w:sz w:val="24"/>
          <w:szCs w:val="24"/>
          <w:lang w:val="en-GB"/>
        </w:rPr>
        <w:t xml:space="preserve">asked </w:t>
      </w:r>
      <w:r w:rsidRPr="0040120E">
        <w:rPr>
          <w:rFonts w:ascii="Times New Roman" w:hAnsi="Times New Roman" w:cs="Times New Roman"/>
          <w:sz w:val="24"/>
          <w:szCs w:val="24"/>
          <w:lang w:val="en-GB"/>
        </w:rPr>
        <w:t xml:space="preserve">on memories, places, people, and images associated with the brand, with particular attention </w:t>
      </w:r>
      <w:r w:rsidR="00F04845" w:rsidRPr="0040120E">
        <w:rPr>
          <w:rFonts w:ascii="Times New Roman" w:hAnsi="Times New Roman" w:cs="Times New Roman"/>
          <w:sz w:val="24"/>
          <w:szCs w:val="24"/>
          <w:lang w:val="en-GB"/>
        </w:rPr>
        <w:t xml:space="preserve">given </w:t>
      </w:r>
      <w:r w:rsidRPr="0040120E">
        <w:rPr>
          <w:rFonts w:ascii="Times New Roman" w:hAnsi="Times New Roman" w:cs="Times New Roman"/>
          <w:sz w:val="24"/>
          <w:szCs w:val="24"/>
          <w:lang w:val="en-GB"/>
        </w:rPr>
        <w:t xml:space="preserve">to any unexpected information </w:t>
      </w:r>
      <w:r w:rsidR="00F04845" w:rsidRPr="0040120E">
        <w:rPr>
          <w:rFonts w:ascii="Times New Roman" w:hAnsi="Times New Roman" w:cs="Times New Roman"/>
          <w:sz w:val="24"/>
          <w:szCs w:val="24"/>
          <w:lang w:val="en-GB"/>
        </w:rPr>
        <w:t xml:space="preserve">introduced </w:t>
      </w:r>
      <w:r w:rsidRPr="0040120E">
        <w:rPr>
          <w:rFonts w:ascii="Times New Roman" w:hAnsi="Times New Roman" w:cs="Times New Roman"/>
          <w:sz w:val="24"/>
          <w:szCs w:val="24"/>
          <w:lang w:val="en-GB"/>
        </w:rPr>
        <w:t xml:space="preserve">by the informants. If the informants had selected a second or a third brand, the same process was repeated. When it had not been already raised and detailed in the first part of the interview, informants were specifically asked about their perception of the brands’ temporality, </w:t>
      </w:r>
      <w:r w:rsidR="003A7D9F" w:rsidRPr="0040120E">
        <w:rPr>
          <w:rFonts w:ascii="Times New Roman" w:hAnsi="Times New Roman" w:cs="Times New Roman"/>
          <w:sz w:val="24"/>
          <w:szCs w:val="24"/>
          <w:lang w:val="en-GB"/>
        </w:rPr>
        <w:t xml:space="preserve">and </w:t>
      </w:r>
      <w:r w:rsidRPr="0040120E">
        <w:rPr>
          <w:rFonts w:ascii="Times New Roman" w:hAnsi="Times New Roman" w:cs="Times New Roman"/>
          <w:sz w:val="24"/>
          <w:szCs w:val="24"/>
          <w:lang w:val="en-GB"/>
        </w:rPr>
        <w:t>follow-up questions were used to expand the perception of heritage branding to other product categories. On average, the i</w:t>
      </w:r>
      <w:r w:rsidR="00BF5D9A" w:rsidRPr="0040120E">
        <w:rPr>
          <w:rFonts w:ascii="Times New Roman" w:hAnsi="Times New Roman" w:cs="Times New Roman"/>
          <w:sz w:val="24"/>
          <w:szCs w:val="24"/>
          <w:lang w:val="en-GB"/>
        </w:rPr>
        <w:t>nterviews lasted 44 minutes</w:t>
      </w:r>
      <w:r w:rsidR="003A7D9F" w:rsidRPr="0040120E">
        <w:rPr>
          <w:rFonts w:ascii="Times New Roman" w:hAnsi="Times New Roman" w:cs="Times New Roman"/>
          <w:sz w:val="24"/>
          <w:szCs w:val="24"/>
          <w:lang w:val="en-GB"/>
        </w:rPr>
        <w:t>;</w:t>
      </w:r>
      <w:r w:rsidR="00BF5D9A" w:rsidRPr="0040120E">
        <w:rPr>
          <w:rFonts w:ascii="Times New Roman" w:hAnsi="Times New Roman" w:cs="Times New Roman"/>
          <w:sz w:val="24"/>
          <w:szCs w:val="24"/>
          <w:lang w:val="en-GB"/>
        </w:rPr>
        <w:t xml:space="preserve"> t</w:t>
      </w:r>
      <w:r w:rsidRPr="0040120E">
        <w:rPr>
          <w:rFonts w:ascii="Times New Roman" w:hAnsi="Times New Roman" w:cs="Times New Roman"/>
          <w:sz w:val="24"/>
          <w:szCs w:val="24"/>
          <w:lang w:val="en-GB"/>
        </w:rPr>
        <w:t>hey were fully recorded, transcribed and compiled in a single document. As is common for exploratory studies, we carried out a manual analysis. In practice, after a first impressionistic reading of the transcripts, a second reading focused on the words</w:t>
      </w:r>
      <w:r w:rsidR="00BF5D9A" w:rsidRPr="0040120E">
        <w:rPr>
          <w:rFonts w:ascii="Times New Roman" w:hAnsi="Times New Roman" w:cs="Times New Roman"/>
          <w:sz w:val="24"/>
          <w:szCs w:val="24"/>
          <w:lang w:val="en-GB"/>
        </w:rPr>
        <w:t xml:space="preserve"> or group of word</w:t>
      </w:r>
      <w:r w:rsidR="003A7D9F" w:rsidRPr="0040120E">
        <w:rPr>
          <w:rFonts w:ascii="Times New Roman" w:hAnsi="Times New Roman" w:cs="Times New Roman"/>
          <w:sz w:val="24"/>
          <w:szCs w:val="24"/>
          <w:lang w:val="en-GB"/>
        </w:rPr>
        <w:t>s that</w:t>
      </w:r>
      <w:r w:rsidRPr="0040120E">
        <w:rPr>
          <w:rFonts w:ascii="Times New Roman" w:hAnsi="Times New Roman" w:cs="Times New Roman"/>
          <w:sz w:val="24"/>
          <w:szCs w:val="24"/>
          <w:lang w:val="en-GB"/>
        </w:rPr>
        <w:t xml:space="preserve"> the interviewees used to describe the brands</w:t>
      </w:r>
      <w:r w:rsidR="00BF5D9A" w:rsidRPr="0040120E">
        <w:rPr>
          <w:rFonts w:ascii="Times New Roman" w:hAnsi="Times New Roman" w:cs="Times New Roman"/>
          <w:sz w:val="24"/>
          <w:szCs w:val="24"/>
          <w:lang w:val="en-GB"/>
        </w:rPr>
        <w:t xml:space="preserve">. These descriptions could be adjectives such as </w:t>
      </w:r>
      <w:r w:rsidR="00E23412" w:rsidRPr="0040120E">
        <w:rPr>
          <w:rFonts w:ascii="Times New Roman" w:hAnsi="Times New Roman" w:cs="Times New Roman"/>
          <w:sz w:val="24"/>
          <w:szCs w:val="24"/>
          <w:lang w:val="en-GB"/>
        </w:rPr>
        <w:t>‘</w:t>
      </w:r>
      <w:r w:rsidR="00BF5D9A" w:rsidRPr="0040120E">
        <w:rPr>
          <w:rFonts w:ascii="Times New Roman" w:hAnsi="Times New Roman" w:cs="Times New Roman"/>
          <w:sz w:val="24"/>
          <w:szCs w:val="24"/>
          <w:lang w:val="en-GB"/>
        </w:rPr>
        <w:t>tenacious</w:t>
      </w:r>
      <w:r w:rsidR="00E23412" w:rsidRPr="0040120E">
        <w:rPr>
          <w:rFonts w:ascii="Times New Roman" w:hAnsi="Times New Roman" w:cs="Times New Roman"/>
          <w:sz w:val="24"/>
          <w:szCs w:val="24"/>
          <w:lang w:val="en-GB"/>
        </w:rPr>
        <w:t>’</w:t>
      </w:r>
      <w:r w:rsidR="00BF5D9A" w:rsidRPr="0040120E">
        <w:rPr>
          <w:rFonts w:ascii="Times New Roman" w:hAnsi="Times New Roman" w:cs="Times New Roman"/>
          <w:sz w:val="24"/>
          <w:szCs w:val="24"/>
          <w:lang w:val="en-GB"/>
        </w:rPr>
        <w:t xml:space="preserve"> or </w:t>
      </w:r>
      <w:r w:rsidR="00E23412" w:rsidRPr="0040120E">
        <w:rPr>
          <w:rFonts w:ascii="Times New Roman" w:hAnsi="Times New Roman" w:cs="Times New Roman"/>
          <w:sz w:val="24"/>
          <w:szCs w:val="24"/>
          <w:lang w:val="en-GB"/>
        </w:rPr>
        <w:t>‘</w:t>
      </w:r>
      <w:r w:rsidR="00BF5D9A" w:rsidRPr="0040120E">
        <w:rPr>
          <w:rFonts w:ascii="Times New Roman" w:hAnsi="Times New Roman" w:cs="Times New Roman"/>
          <w:sz w:val="24"/>
          <w:szCs w:val="24"/>
          <w:lang w:val="en-GB"/>
        </w:rPr>
        <w:t>stable</w:t>
      </w:r>
      <w:r w:rsidR="00E23412" w:rsidRPr="0040120E">
        <w:rPr>
          <w:rFonts w:ascii="Times New Roman" w:hAnsi="Times New Roman" w:cs="Times New Roman"/>
          <w:sz w:val="24"/>
          <w:szCs w:val="24"/>
          <w:lang w:val="en-GB"/>
        </w:rPr>
        <w:t>’</w:t>
      </w:r>
      <w:r w:rsidR="00BF5D9A" w:rsidRPr="0040120E">
        <w:rPr>
          <w:rFonts w:ascii="Times New Roman" w:hAnsi="Times New Roman" w:cs="Times New Roman"/>
          <w:sz w:val="24"/>
          <w:szCs w:val="24"/>
          <w:lang w:val="en-GB"/>
        </w:rPr>
        <w:t xml:space="preserve">, or more elaborated characteristics such as </w:t>
      </w:r>
      <w:r w:rsidR="00E23412" w:rsidRPr="0040120E">
        <w:rPr>
          <w:rFonts w:ascii="Times New Roman" w:hAnsi="Times New Roman" w:cs="Times New Roman"/>
          <w:sz w:val="24"/>
          <w:szCs w:val="24"/>
          <w:lang w:val="en-GB"/>
        </w:rPr>
        <w:t>‘</w:t>
      </w:r>
      <w:r w:rsidR="00BF5D9A" w:rsidRPr="0040120E">
        <w:rPr>
          <w:rFonts w:ascii="Times New Roman" w:hAnsi="Times New Roman" w:cs="Times New Roman"/>
          <w:sz w:val="24"/>
          <w:szCs w:val="24"/>
          <w:lang w:val="en-GB"/>
        </w:rPr>
        <w:t>its packaging does not change</w:t>
      </w:r>
      <w:r w:rsidR="00E23412" w:rsidRPr="0040120E">
        <w:rPr>
          <w:rFonts w:ascii="Times New Roman" w:hAnsi="Times New Roman" w:cs="Times New Roman"/>
          <w:sz w:val="24"/>
          <w:szCs w:val="24"/>
          <w:lang w:val="en-GB"/>
        </w:rPr>
        <w:t>’</w:t>
      </w:r>
      <w:r w:rsidR="00BF5D9A" w:rsidRPr="0040120E">
        <w:rPr>
          <w:rFonts w:ascii="Times New Roman" w:hAnsi="Times New Roman" w:cs="Times New Roman"/>
          <w:sz w:val="24"/>
          <w:szCs w:val="24"/>
          <w:lang w:val="en-GB"/>
        </w:rPr>
        <w:t xml:space="preserve"> or </w:t>
      </w:r>
      <w:r w:rsidR="00E23412" w:rsidRPr="0040120E">
        <w:rPr>
          <w:rFonts w:ascii="Times New Roman" w:hAnsi="Times New Roman" w:cs="Times New Roman"/>
          <w:sz w:val="24"/>
          <w:szCs w:val="24"/>
          <w:lang w:val="en-GB"/>
        </w:rPr>
        <w:t>‘</w:t>
      </w:r>
      <w:r w:rsidR="00BF5D9A" w:rsidRPr="0040120E">
        <w:rPr>
          <w:rFonts w:ascii="Times New Roman" w:hAnsi="Times New Roman" w:cs="Times New Roman"/>
          <w:sz w:val="24"/>
          <w:szCs w:val="24"/>
          <w:lang w:val="en-GB"/>
        </w:rPr>
        <w:t>a brand one can transmit</w:t>
      </w:r>
      <w:r w:rsidR="00E23412" w:rsidRPr="0040120E">
        <w:rPr>
          <w:rFonts w:ascii="Times New Roman" w:hAnsi="Times New Roman" w:cs="Times New Roman"/>
          <w:sz w:val="24"/>
          <w:szCs w:val="24"/>
          <w:lang w:val="en-GB"/>
        </w:rPr>
        <w:t>’</w:t>
      </w:r>
      <w:r w:rsidR="00BF5D9A" w:rsidRPr="0040120E">
        <w:rPr>
          <w:rFonts w:ascii="Times New Roman" w:hAnsi="Times New Roman" w:cs="Times New Roman"/>
          <w:sz w:val="24"/>
          <w:szCs w:val="24"/>
          <w:lang w:val="en-GB"/>
        </w:rPr>
        <w:t>, sometimes stated in opposition to other brands.</w:t>
      </w:r>
      <w:r w:rsidRPr="0040120E">
        <w:rPr>
          <w:rFonts w:ascii="Times New Roman" w:hAnsi="Times New Roman" w:cs="Times New Roman"/>
          <w:sz w:val="24"/>
          <w:szCs w:val="24"/>
          <w:lang w:val="en-GB"/>
        </w:rPr>
        <w:t xml:space="preserve"> </w:t>
      </w:r>
      <w:r w:rsidR="00BF5D9A" w:rsidRPr="0040120E">
        <w:rPr>
          <w:rFonts w:ascii="Times New Roman" w:hAnsi="Times New Roman" w:cs="Times New Roman"/>
          <w:sz w:val="24"/>
          <w:szCs w:val="24"/>
          <w:lang w:val="en-GB"/>
        </w:rPr>
        <w:t xml:space="preserve">Altogether, this analysis </w:t>
      </w:r>
      <w:r w:rsidRPr="0040120E">
        <w:rPr>
          <w:rFonts w:ascii="Times New Roman" w:hAnsi="Times New Roman" w:cs="Times New Roman"/>
          <w:sz w:val="24"/>
          <w:szCs w:val="24"/>
          <w:lang w:val="en-GB"/>
        </w:rPr>
        <w:t>generat</w:t>
      </w:r>
      <w:r w:rsidR="00BF5D9A" w:rsidRPr="0040120E">
        <w:rPr>
          <w:rFonts w:ascii="Times New Roman" w:hAnsi="Times New Roman" w:cs="Times New Roman"/>
          <w:sz w:val="24"/>
          <w:szCs w:val="24"/>
          <w:lang w:val="en-GB"/>
        </w:rPr>
        <w:t>ed</w:t>
      </w:r>
      <w:r w:rsidRPr="0040120E">
        <w:rPr>
          <w:rFonts w:ascii="Times New Roman" w:hAnsi="Times New Roman" w:cs="Times New Roman"/>
          <w:sz w:val="24"/>
          <w:szCs w:val="24"/>
          <w:lang w:val="en-GB"/>
        </w:rPr>
        <w:t xml:space="preserve"> 77 additional items</w:t>
      </w:r>
      <w:r w:rsidR="00BF5D9A" w:rsidRPr="0040120E">
        <w:rPr>
          <w:rFonts w:ascii="Times New Roman" w:hAnsi="Times New Roman" w:cs="Times New Roman"/>
          <w:sz w:val="24"/>
          <w:szCs w:val="24"/>
          <w:lang w:val="en-GB"/>
        </w:rPr>
        <w:t>, creating a pool of 110 items.</w:t>
      </w:r>
    </w:p>
    <w:p w14:paraId="4E76F3F5" w14:textId="45BFDB7C" w:rsidR="00D73A2C" w:rsidRPr="0040120E" w:rsidRDefault="00D73A2C"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A </w:t>
      </w:r>
      <w:r w:rsidR="00BC1062" w:rsidRPr="0040120E">
        <w:rPr>
          <w:rFonts w:ascii="Times New Roman" w:hAnsi="Times New Roman" w:cs="Times New Roman"/>
          <w:sz w:val="24"/>
          <w:szCs w:val="24"/>
          <w:lang w:val="en-GB"/>
        </w:rPr>
        <w:t xml:space="preserve">second phase </w:t>
      </w:r>
      <w:r w:rsidRPr="0040120E">
        <w:rPr>
          <w:rFonts w:ascii="Times New Roman" w:hAnsi="Times New Roman" w:cs="Times New Roman"/>
          <w:sz w:val="24"/>
          <w:szCs w:val="24"/>
          <w:lang w:val="en-GB"/>
        </w:rPr>
        <w:t>aim</w:t>
      </w:r>
      <w:r w:rsidR="003A7D9F" w:rsidRPr="0040120E">
        <w:rPr>
          <w:rFonts w:ascii="Times New Roman" w:hAnsi="Times New Roman" w:cs="Times New Roman"/>
          <w:sz w:val="24"/>
          <w:szCs w:val="24"/>
          <w:lang w:val="en-GB"/>
        </w:rPr>
        <w:t>ed</w:t>
      </w:r>
      <w:r w:rsidRPr="0040120E">
        <w:rPr>
          <w:rFonts w:ascii="Times New Roman" w:hAnsi="Times New Roman" w:cs="Times New Roman"/>
          <w:sz w:val="24"/>
          <w:szCs w:val="24"/>
          <w:lang w:val="en-GB"/>
        </w:rPr>
        <w:t xml:space="preserve"> to eliminate the items inconsistent with the definition of the concept (e</w:t>
      </w:r>
      <w:r w:rsidR="002D2684" w:rsidRPr="0040120E">
        <w:rPr>
          <w:rFonts w:ascii="Times New Roman" w:hAnsi="Times New Roman" w:cs="Times New Roman"/>
          <w:sz w:val="24"/>
          <w:szCs w:val="24"/>
          <w:lang w:val="en-GB"/>
        </w:rPr>
        <w:t>.g</w:t>
      </w:r>
      <w:r w:rsidRPr="0040120E">
        <w:rPr>
          <w:rFonts w:ascii="Times New Roman" w:hAnsi="Times New Roman" w:cs="Times New Roman"/>
          <w:sz w:val="24"/>
          <w:szCs w:val="24"/>
          <w:lang w:val="en-GB"/>
        </w:rPr>
        <w:t>.</w:t>
      </w:r>
      <w:r w:rsidR="003A7D9F"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measuring a distinct concept such as trust or authenticity). </w:t>
      </w:r>
      <w:r w:rsidR="002E2DC0" w:rsidRPr="0040120E">
        <w:rPr>
          <w:rFonts w:ascii="Times New Roman" w:hAnsi="Times New Roman" w:cs="Times New Roman"/>
          <w:sz w:val="24"/>
          <w:szCs w:val="24"/>
          <w:lang w:val="en-GB"/>
        </w:rPr>
        <w:t>Two marketing academics</w:t>
      </w:r>
      <w:r w:rsidRPr="0040120E">
        <w:rPr>
          <w:rFonts w:ascii="Times New Roman" w:hAnsi="Times New Roman" w:cs="Times New Roman"/>
          <w:sz w:val="24"/>
          <w:szCs w:val="24"/>
          <w:lang w:val="en-GB"/>
        </w:rPr>
        <w:t xml:space="preserve"> with good expertise of brand heritage</w:t>
      </w:r>
      <w:r w:rsidR="002E2DC0" w:rsidRPr="0040120E">
        <w:rPr>
          <w:rFonts w:ascii="Times New Roman" w:hAnsi="Times New Roman" w:cs="Times New Roman"/>
          <w:sz w:val="24"/>
          <w:szCs w:val="24"/>
          <w:lang w:val="en-GB"/>
        </w:rPr>
        <w:t xml:space="preserve"> remove</w:t>
      </w:r>
      <w:r w:rsidR="003A7D9F" w:rsidRPr="0040120E">
        <w:rPr>
          <w:rFonts w:ascii="Times New Roman" w:hAnsi="Times New Roman" w:cs="Times New Roman"/>
          <w:sz w:val="24"/>
          <w:szCs w:val="24"/>
          <w:lang w:val="en-GB"/>
        </w:rPr>
        <w:t>d</w:t>
      </w:r>
      <w:r w:rsidR="002E2DC0" w:rsidRPr="0040120E">
        <w:rPr>
          <w:rFonts w:ascii="Times New Roman" w:hAnsi="Times New Roman" w:cs="Times New Roman"/>
          <w:sz w:val="24"/>
          <w:szCs w:val="24"/>
          <w:lang w:val="en-GB"/>
        </w:rPr>
        <w:t xml:space="preserve"> those</w:t>
      </w:r>
      <w:r w:rsidRPr="0040120E">
        <w:rPr>
          <w:rFonts w:ascii="Times New Roman" w:hAnsi="Times New Roman" w:cs="Times New Roman"/>
          <w:sz w:val="24"/>
          <w:szCs w:val="24"/>
          <w:lang w:val="en-GB"/>
        </w:rPr>
        <w:t xml:space="preserve"> items </w:t>
      </w:r>
      <w:r w:rsidR="003A7D9F" w:rsidRPr="0040120E">
        <w:rPr>
          <w:rFonts w:ascii="Times New Roman" w:hAnsi="Times New Roman" w:cs="Times New Roman"/>
          <w:sz w:val="24"/>
          <w:szCs w:val="24"/>
          <w:lang w:val="en-GB"/>
        </w:rPr>
        <w:t>that did</w:t>
      </w:r>
      <w:r w:rsidR="002E2DC0" w:rsidRPr="0040120E">
        <w:rPr>
          <w:rFonts w:ascii="Times New Roman" w:hAnsi="Times New Roman" w:cs="Times New Roman"/>
          <w:sz w:val="24"/>
          <w:szCs w:val="24"/>
          <w:lang w:val="en-GB"/>
        </w:rPr>
        <w:t xml:space="preserve"> not reflect the definition (</w:t>
      </w:r>
      <w:r w:rsidR="003A7D9F" w:rsidRPr="0040120E">
        <w:rPr>
          <w:rFonts w:ascii="Times New Roman" w:hAnsi="Times New Roman" w:cs="Times New Roman"/>
          <w:sz w:val="24"/>
          <w:szCs w:val="24"/>
          <w:lang w:val="en-GB"/>
        </w:rPr>
        <w:t>i</w:t>
      </w:r>
      <w:r w:rsidR="002E2DC0" w:rsidRPr="0040120E">
        <w:rPr>
          <w:rFonts w:ascii="Times New Roman" w:hAnsi="Times New Roman" w:cs="Times New Roman"/>
          <w:sz w:val="24"/>
          <w:szCs w:val="24"/>
          <w:lang w:val="en-GB"/>
        </w:rPr>
        <w:t>nter</w:t>
      </w:r>
      <w:r w:rsidR="003A7D9F" w:rsidRPr="0040120E">
        <w:rPr>
          <w:rFonts w:ascii="Times New Roman" w:hAnsi="Times New Roman" w:cs="Times New Roman"/>
          <w:sz w:val="24"/>
          <w:szCs w:val="24"/>
          <w:lang w:val="en-GB"/>
        </w:rPr>
        <w:t>-</w:t>
      </w:r>
      <w:r w:rsidR="002E2DC0" w:rsidRPr="0040120E">
        <w:rPr>
          <w:rFonts w:ascii="Times New Roman" w:hAnsi="Times New Roman" w:cs="Times New Roman"/>
          <w:sz w:val="24"/>
          <w:szCs w:val="24"/>
          <w:lang w:val="en-GB"/>
        </w:rPr>
        <w:t>judges reliability=0.74</w:t>
      </w:r>
      <w:r w:rsidR="003A7D9F" w:rsidRPr="0040120E">
        <w:rPr>
          <w:rFonts w:ascii="Times New Roman" w:hAnsi="Times New Roman" w:cs="Times New Roman"/>
          <w:sz w:val="24"/>
          <w:szCs w:val="24"/>
          <w:lang w:val="en-GB"/>
        </w:rPr>
        <w:t>;</w:t>
      </w:r>
      <w:r w:rsidR="009D42F5" w:rsidRPr="0040120E">
        <w:rPr>
          <w:rFonts w:ascii="Times New Roman" w:hAnsi="Times New Roman" w:cs="Times New Roman"/>
          <w:sz w:val="24"/>
          <w:szCs w:val="24"/>
          <w:lang w:val="en-GB"/>
        </w:rPr>
        <w:t xml:space="preserve"> </w:t>
      </w:r>
      <w:r w:rsidR="003A7D9F" w:rsidRPr="0040120E">
        <w:rPr>
          <w:rFonts w:ascii="Times New Roman" w:hAnsi="Times New Roman" w:cs="Times New Roman"/>
          <w:sz w:val="24"/>
          <w:szCs w:val="24"/>
          <w:lang w:val="en-GB"/>
        </w:rPr>
        <w:t xml:space="preserve">the </w:t>
      </w:r>
      <w:r w:rsidR="009D42F5" w:rsidRPr="0040120E">
        <w:rPr>
          <w:rFonts w:ascii="Times New Roman" w:hAnsi="Times New Roman" w:cs="Times New Roman"/>
          <w:sz w:val="24"/>
          <w:szCs w:val="24"/>
          <w:lang w:val="en-GB"/>
        </w:rPr>
        <w:t xml:space="preserve">judges discussed until </w:t>
      </w:r>
      <w:r w:rsidR="003A7D9F" w:rsidRPr="0040120E">
        <w:rPr>
          <w:rFonts w:ascii="Times New Roman" w:hAnsi="Times New Roman" w:cs="Times New Roman"/>
          <w:sz w:val="24"/>
          <w:szCs w:val="24"/>
          <w:lang w:val="en-GB"/>
        </w:rPr>
        <w:t xml:space="preserve">they </w:t>
      </w:r>
      <w:r w:rsidR="009D42F5" w:rsidRPr="0040120E">
        <w:rPr>
          <w:rFonts w:ascii="Times New Roman" w:hAnsi="Times New Roman" w:cs="Times New Roman"/>
          <w:sz w:val="24"/>
          <w:szCs w:val="24"/>
          <w:lang w:val="en-GB"/>
        </w:rPr>
        <w:t>reached</w:t>
      </w:r>
      <w:r w:rsidRPr="0040120E">
        <w:rPr>
          <w:rFonts w:ascii="Times New Roman" w:hAnsi="Times New Roman" w:cs="Times New Roman"/>
          <w:sz w:val="24"/>
          <w:szCs w:val="24"/>
          <w:lang w:val="en-GB"/>
        </w:rPr>
        <w:t xml:space="preserve"> agreement</w:t>
      </w:r>
      <w:r w:rsidR="002E2DC0" w:rsidRPr="0040120E">
        <w:rPr>
          <w:rFonts w:ascii="Times New Roman" w:hAnsi="Times New Roman" w:cs="Times New Roman"/>
          <w:sz w:val="24"/>
          <w:szCs w:val="24"/>
          <w:lang w:val="en-GB"/>
        </w:rPr>
        <w:t xml:space="preserve">). </w:t>
      </w:r>
    </w:p>
    <w:p w14:paraId="4479D42C" w14:textId="653C549A" w:rsidR="002E2DC0" w:rsidRPr="0040120E" w:rsidRDefault="002E2DC0"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lastRenderedPageBreak/>
        <w:t xml:space="preserve">This </w:t>
      </w:r>
      <w:r w:rsidR="00BC1062" w:rsidRPr="0040120E">
        <w:rPr>
          <w:rFonts w:ascii="Times New Roman" w:hAnsi="Times New Roman" w:cs="Times New Roman"/>
          <w:sz w:val="24"/>
          <w:szCs w:val="24"/>
          <w:lang w:val="en-GB"/>
        </w:rPr>
        <w:t xml:space="preserve">second </w:t>
      </w:r>
      <w:r w:rsidRPr="0040120E">
        <w:rPr>
          <w:rFonts w:ascii="Times New Roman" w:hAnsi="Times New Roman" w:cs="Times New Roman"/>
          <w:sz w:val="24"/>
          <w:szCs w:val="24"/>
          <w:lang w:val="en-GB"/>
        </w:rPr>
        <w:t>phase leaves the list with 42 items</w:t>
      </w:r>
      <w:r w:rsidR="002354F4"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which are used in an exploratory survey (N=102)</w:t>
      </w:r>
      <w:r w:rsidR="00F04845" w:rsidRPr="0040120E">
        <w:rPr>
          <w:rFonts w:ascii="Times New Roman" w:hAnsi="Times New Roman" w:cs="Times New Roman"/>
          <w:sz w:val="24"/>
          <w:szCs w:val="24"/>
          <w:lang w:val="en-GB"/>
        </w:rPr>
        <w:t>,</w:t>
      </w:r>
      <w:r w:rsidR="00D73A2C" w:rsidRPr="0040120E">
        <w:rPr>
          <w:rFonts w:ascii="Times New Roman" w:hAnsi="Times New Roman" w:cs="Times New Roman"/>
          <w:sz w:val="24"/>
          <w:szCs w:val="24"/>
          <w:lang w:val="en-GB"/>
        </w:rPr>
        <w:t xml:space="preserve"> aiming to eliminate those items that are not central from a consumers’ perspective</w:t>
      </w:r>
      <w:r w:rsidRPr="0040120E">
        <w:rPr>
          <w:rFonts w:ascii="Times New Roman" w:hAnsi="Times New Roman" w:cs="Times New Roman"/>
          <w:sz w:val="24"/>
          <w:szCs w:val="24"/>
          <w:lang w:val="en-GB"/>
        </w:rPr>
        <w:t xml:space="preserve">. Consumers recruited on an online panel are asked to choose one brand </w:t>
      </w:r>
      <w:r w:rsidR="00D73A2C" w:rsidRPr="0040120E">
        <w:rPr>
          <w:rFonts w:ascii="Times New Roman" w:hAnsi="Times New Roman" w:cs="Times New Roman"/>
          <w:sz w:val="24"/>
          <w:szCs w:val="24"/>
          <w:lang w:val="en-GB"/>
        </w:rPr>
        <w:t xml:space="preserve">they know </w:t>
      </w:r>
      <w:r w:rsidRPr="0040120E">
        <w:rPr>
          <w:rFonts w:ascii="Times New Roman" w:hAnsi="Times New Roman" w:cs="Times New Roman"/>
          <w:sz w:val="24"/>
          <w:szCs w:val="24"/>
          <w:lang w:val="en-GB"/>
        </w:rPr>
        <w:t xml:space="preserve">among 30 heritage brands </w:t>
      </w:r>
      <w:r w:rsidR="00D73A2C" w:rsidRPr="0040120E">
        <w:rPr>
          <w:rFonts w:ascii="Times New Roman" w:hAnsi="Times New Roman" w:cs="Times New Roman"/>
          <w:sz w:val="24"/>
          <w:szCs w:val="24"/>
          <w:lang w:val="en-GB"/>
        </w:rPr>
        <w:t>(selected a priori because they reflect the definition). Consumers rate the</w:t>
      </w:r>
      <w:r w:rsidRPr="0040120E">
        <w:rPr>
          <w:rFonts w:ascii="Times New Roman" w:hAnsi="Times New Roman" w:cs="Times New Roman"/>
          <w:sz w:val="24"/>
          <w:szCs w:val="24"/>
          <w:lang w:val="en-GB"/>
        </w:rPr>
        <w:t xml:space="preserve"> brand </w:t>
      </w:r>
      <w:r w:rsidR="00D73A2C" w:rsidRPr="0040120E">
        <w:rPr>
          <w:rFonts w:ascii="Times New Roman" w:hAnsi="Times New Roman" w:cs="Times New Roman"/>
          <w:sz w:val="24"/>
          <w:szCs w:val="24"/>
          <w:lang w:val="en-GB"/>
        </w:rPr>
        <w:t xml:space="preserve">they selected </w:t>
      </w:r>
      <w:r w:rsidRPr="0040120E">
        <w:rPr>
          <w:rFonts w:ascii="Times New Roman" w:hAnsi="Times New Roman" w:cs="Times New Roman"/>
          <w:sz w:val="24"/>
          <w:szCs w:val="24"/>
          <w:lang w:val="en-GB"/>
        </w:rPr>
        <w:t xml:space="preserve">on the 42 items. </w:t>
      </w:r>
      <w:r w:rsidR="005017B5" w:rsidRPr="0040120E">
        <w:rPr>
          <w:rFonts w:ascii="Times New Roman" w:hAnsi="Times New Roman" w:cs="Times New Roman"/>
          <w:sz w:val="24"/>
          <w:szCs w:val="24"/>
          <w:lang w:val="en-GB"/>
        </w:rPr>
        <w:t>We then remove t</w:t>
      </w:r>
      <w:r w:rsidRPr="0040120E">
        <w:rPr>
          <w:rFonts w:ascii="Times New Roman" w:hAnsi="Times New Roman" w:cs="Times New Roman"/>
          <w:sz w:val="24"/>
          <w:szCs w:val="24"/>
          <w:lang w:val="en-GB"/>
        </w:rPr>
        <w:t>he items that are less representative (average score under the mean), and those uncorrelated with others (loading inferior to .5), leaving 27 items.</w:t>
      </w:r>
    </w:p>
    <w:p w14:paraId="10CD717B" w14:textId="77777777" w:rsidR="00B33D28" w:rsidRPr="0040120E" w:rsidRDefault="008D78FB" w:rsidP="00E23412">
      <w:pPr>
        <w:spacing w:line="480" w:lineRule="auto"/>
        <w:jc w:val="both"/>
        <w:rPr>
          <w:rFonts w:ascii="Times New Roman" w:hAnsi="Times New Roman" w:cs="Times New Roman"/>
          <w:b/>
          <w:i/>
          <w:sz w:val="24"/>
          <w:szCs w:val="24"/>
          <w:lang w:val="en-GB"/>
        </w:rPr>
      </w:pPr>
      <w:r w:rsidRPr="0040120E">
        <w:rPr>
          <w:rFonts w:ascii="Times New Roman" w:hAnsi="Times New Roman" w:cs="Times New Roman"/>
          <w:b/>
          <w:i/>
          <w:sz w:val="24"/>
          <w:szCs w:val="24"/>
          <w:lang w:val="en-GB"/>
        </w:rPr>
        <w:t xml:space="preserve">Study 2: </w:t>
      </w:r>
      <w:r w:rsidR="00753C9F" w:rsidRPr="0040120E">
        <w:rPr>
          <w:rFonts w:ascii="Times New Roman" w:hAnsi="Times New Roman" w:cs="Times New Roman"/>
          <w:b/>
          <w:i/>
          <w:sz w:val="24"/>
          <w:szCs w:val="24"/>
          <w:lang w:val="en-GB"/>
        </w:rPr>
        <w:t>Expl</w:t>
      </w:r>
      <w:r w:rsidR="00EC6734" w:rsidRPr="0040120E">
        <w:rPr>
          <w:rFonts w:ascii="Times New Roman" w:hAnsi="Times New Roman" w:cs="Times New Roman"/>
          <w:b/>
          <w:i/>
          <w:sz w:val="24"/>
          <w:szCs w:val="24"/>
          <w:lang w:val="en-GB"/>
        </w:rPr>
        <w:t>oratory Factor Analysis</w:t>
      </w:r>
    </w:p>
    <w:p w14:paraId="13180666" w14:textId="166D7F4C" w:rsidR="00780801" w:rsidRPr="0040120E" w:rsidRDefault="00CF5FC3"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The questionnaire was administrated by Arcane Research, a profe</w:t>
      </w:r>
      <w:r w:rsidR="002D7072" w:rsidRPr="0040120E">
        <w:rPr>
          <w:rFonts w:ascii="Times New Roman" w:hAnsi="Times New Roman" w:cs="Times New Roman"/>
          <w:sz w:val="24"/>
          <w:szCs w:val="24"/>
          <w:lang w:val="en-GB"/>
        </w:rPr>
        <w:t>ssional survey company specialis</w:t>
      </w:r>
      <w:r w:rsidR="00F04845" w:rsidRPr="0040120E">
        <w:rPr>
          <w:rFonts w:ascii="Times New Roman" w:hAnsi="Times New Roman" w:cs="Times New Roman"/>
          <w:sz w:val="24"/>
          <w:szCs w:val="24"/>
          <w:lang w:val="en-GB"/>
        </w:rPr>
        <w:t>ing</w:t>
      </w:r>
      <w:r w:rsidRPr="0040120E">
        <w:rPr>
          <w:rFonts w:ascii="Times New Roman" w:hAnsi="Times New Roman" w:cs="Times New Roman"/>
          <w:sz w:val="24"/>
          <w:szCs w:val="24"/>
          <w:lang w:val="en-GB"/>
        </w:rPr>
        <w:t xml:space="preserve"> in consumer research. They use their own panel </w:t>
      </w:r>
      <w:r w:rsidR="00E93EA5" w:rsidRPr="0040120E">
        <w:rPr>
          <w:rFonts w:ascii="Times New Roman" w:hAnsi="Times New Roman" w:cs="Times New Roman"/>
          <w:sz w:val="24"/>
          <w:szCs w:val="24"/>
          <w:lang w:val="en-GB"/>
        </w:rPr>
        <w:t xml:space="preserve">- </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Panelia</w:t>
      </w:r>
      <w:r w:rsidR="00E23412" w:rsidRPr="0040120E">
        <w:rPr>
          <w:rFonts w:ascii="Times New Roman" w:hAnsi="Times New Roman" w:cs="Times New Roman"/>
          <w:sz w:val="24"/>
          <w:szCs w:val="24"/>
          <w:lang w:val="en-GB"/>
        </w:rPr>
        <w:t>’</w:t>
      </w:r>
      <w:r w:rsidR="00E93EA5"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 covering 60.000 households</w:t>
      </w:r>
      <w:r w:rsidR="00AA7247"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The collected sample has 243 respondents for 27 variables, representing a 9:1 ratio, close to the 10:1 ratio that is recommended, and clearly above the 5:1 minimum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{"citationItems":[{"id":"ITEM-1","itemData":{"author":[{"dropping-particle":"","family":"Hair","given":"Joseph F.","non-dropping-particle":"","parse-names":false,"suffix":""},{"dropping-particle":"","family":"Black","given":"W.C.","non-dropping-particle":"","parse-names":false,"suffix":""},{"dropping-particle":"","family":"Babin","given":"B.J.","non-dropping-particle":"","parse-names":false,"suffix":""},{"dropping-particle":"","family":"Anderson","given":"R.E.","non-dropping-particle":"","parse-names":false,"suffix":""}],"edition":"7th","id":"ITEM-1","issued":{"date-parts":[["2009"]]},"publisher":"Pearson","publisher-place":"Harlow","title":"Multivariate Data Analysis","type":"book"},"uris":["http://www.mendeley.com/documents/?uuid=94c8ba4f-8dc8-4526-af15-567eecee8d6a"]}],"mendeley":{"formattedCitation":"(Hair et al., 2009)","plainTextFormattedCitation":"(Hair et al., 2009)","previouslyFormattedCitation":"(Hair et al., 2009)"},"properties":{"noteIndex":0},"schema":"https://github.com/citation-style-language/schema/raw/master/csl-citation.json"}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(Hair et al., 2009)</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w:t>
      </w:r>
      <w:r w:rsidR="00130052" w:rsidRPr="0040120E">
        <w:rPr>
          <w:rFonts w:ascii="Times New Roman" w:hAnsi="Times New Roman" w:cs="Times New Roman"/>
          <w:sz w:val="24"/>
          <w:szCs w:val="24"/>
          <w:lang w:val="en-GB"/>
        </w:rPr>
        <w:t xml:space="preserve"> </w:t>
      </w:r>
      <w:r w:rsidR="00AA7247" w:rsidRPr="0040120E">
        <w:rPr>
          <w:rFonts w:ascii="Times New Roman" w:hAnsi="Times New Roman" w:cs="Times New Roman"/>
          <w:sz w:val="24"/>
          <w:szCs w:val="24"/>
          <w:lang w:val="en-GB"/>
        </w:rPr>
        <w:t>Respondents select one brand they know among the same group of brands used</w:t>
      </w:r>
      <w:r w:rsidR="00130052" w:rsidRPr="0040120E">
        <w:rPr>
          <w:rFonts w:ascii="Times New Roman" w:hAnsi="Times New Roman" w:cs="Times New Roman"/>
          <w:sz w:val="24"/>
          <w:szCs w:val="24"/>
          <w:lang w:val="en-GB"/>
        </w:rPr>
        <w:t xml:space="preserve"> for the interviews</w:t>
      </w:r>
      <w:r w:rsidR="00AA7247" w:rsidRPr="0040120E">
        <w:rPr>
          <w:rFonts w:ascii="Times New Roman" w:hAnsi="Times New Roman" w:cs="Times New Roman"/>
          <w:sz w:val="24"/>
          <w:szCs w:val="24"/>
          <w:lang w:val="en-GB"/>
        </w:rPr>
        <w:t xml:space="preserve"> in </w:t>
      </w:r>
      <w:r w:rsidR="00F04845" w:rsidRPr="0040120E">
        <w:rPr>
          <w:rFonts w:ascii="Times New Roman" w:hAnsi="Times New Roman" w:cs="Times New Roman"/>
          <w:sz w:val="24"/>
          <w:szCs w:val="24"/>
          <w:lang w:val="en-GB"/>
        </w:rPr>
        <w:t>S</w:t>
      </w:r>
      <w:r w:rsidR="00AA7247" w:rsidRPr="0040120E">
        <w:rPr>
          <w:rFonts w:ascii="Times New Roman" w:hAnsi="Times New Roman" w:cs="Times New Roman"/>
          <w:sz w:val="24"/>
          <w:szCs w:val="24"/>
          <w:lang w:val="en-GB"/>
        </w:rPr>
        <w:t xml:space="preserve">tudy 1. They report their perception of brand heritage </w:t>
      </w:r>
      <w:r w:rsidR="00626B78" w:rsidRPr="0040120E">
        <w:rPr>
          <w:rFonts w:ascii="Times New Roman" w:hAnsi="Times New Roman" w:cs="Times New Roman"/>
          <w:sz w:val="24"/>
          <w:szCs w:val="24"/>
          <w:lang w:val="en-GB"/>
        </w:rPr>
        <w:t xml:space="preserve">as regards </w:t>
      </w:r>
      <w:r w:rsidR="00AA7247" w:rsidRPr="0040120E">
        <w:rPr>
          <w:rFonts w:ascii="Times New Roman" w:hAnsi="Times New Roman" w:cs="Times New Roman"/>
          <w:sz w:val="24"/>
          <w:szCs w:val="24"/>
          <w:lang w:val="en-GB"/>
        </w:rPr>
        <w:t xml:space="preserve">the 27 remaining items. </w:t>
      </w:r>
      <w:r w:rsidR="00EC6734" w:rsidRPr="0040120E">
        <w:rPr>
          <w:rFonts w:ascii="Times New Roman" w:hAnsi="Times New Roman" w:cs="Times New Roman"/>
          <w:sz w:val="24"/>
          <w:szCs w:val="24"/>
          <w:lang w:val="en-GB"/>
        </w:rPr>
        <w:t xml:space="preserve">The EFA </w:t>
      </w:r>
      <w:r w:rsidR="00660998" w:rsidRPr="0040120E">
        <w:rPr>
          <w:rFonts w:ascii="Times New Roman" w:hAnsi="Times New Roman" w:cs="Times New Roman"/>
          <w:sz w:val="24"/>
          <w:szCs w:val="24"/>
          <w:lang w:val="en-GB"/>
        </w:rPr>
        <w:t xml:space="preserve">is performed on SPSS 24.0 using Maximum Likelihood as </w:t>
      </w:r>
      <w:r w:rsidR="00F04845" w:rsidRPr="0040120E">
        <w:rPr>
          <w:rFonts w:ascii="Times New Roman" w:hAnsi="Times New Roman" w:cs="Times New Roman"/>
          <w:sz w:val="24"/>
          <w:szCs w:val="24"/>
          <w:lang w:val="en-GB"/>
        </w:rPr>
        <w:t xml:space="preserve">the </w:t>
      </w:r>
      <w:r w:rsidR="00660998" w:rsidRPr="0040120E">
        <w:rPr>
          <w:rFonts w:ascii="Times New Roman" w:hAnsi="Times New Roman" w:cs="Times New Roman"/>
          <w:sz w:val="24"/>
          <w:szCs w:val="24"/>
          <w:lang w:val="en-GB"/>
        </w:rPr>
        <w:t>extraction method</w:t>
      </w:r>
      <w:r w:rsidR="00AE34AE" w:rsidRPr="0040120E">
        <w:rPr>
          <w:rFonts w:ascii="Times New Roman" w:hAnsi="Times New Roman" w:cs="Times New Roman"/>
          <w:sz w:val="24"/>
          <w:szCs w:val="24"/>
          <w:lang w:val="en-GB"/>
        </w:rPr>
        <w:t xml:space="preserve"> </w:t>
      </w:r>
      <w:r w:rsidR="00AE34AE"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{"citationItems":[{"id":"ITEM-1","itemData":{"DOI":"10.1080/00913367.2017.1281777","ISSN":"00913367","abstract":"In this article, we review applications of covariance-based structural equation modeling (SEM) in the Journal of Advertising (JA) starting with the first issue in 1972. We identify 111 articles from the earliest application of SEM in 1983 through 2015, and discuss important methodological issues related to the following aspects: confirmatory factor analysis (CFA), causal modeling, multiple group analysis, reporting, and guidelines for interpretation of results. Moreover, we summarize some issues related to varying terminology associated with different SEM methods. Findings indicate that the use of SEM in the JA contributes greatly to conceptual, empirical, and methodological advances in advertising research. The assessment contributes to the literature by offering advertising researchers a summary guide to best practices and a reminder of the basics that distinguish the powerful and unique approach involving structural analysis of covariances.","author":[{"dropping-particle":"","family":"Hair","given":"Joseph F.","non-dropping-particle":"","parse-names":false,"suffix":""},{"dropping-particle":"","family":"Babin","given":"Barry J.","non-dropping-particle":"","parse-names":false,"suffix":""},{"dropping-particle":"","family":"Krey","given":"Nina","non-dropping-particle":"","parse-names":false,"suffix":""}],"container-title":"Journal of Advertising","id":"ITEM-1","issue":"1","issued":{"date-parts":[["2017"]]},"page":"163-177","title":"Covariance-Based Structural Equation Modeling in the Journal of Advertising: Review and Recommendations","type":"article-journal","volume":"46"},"uris":["http://www.mendeley.com/documents/?uuid=05b16801-c1a0-4128-87ec-2040551408cf"]}],"mendeley":{"formattedCitation":"(Hair, Babin, &amp; Krey, 2017)","plainTextFormattedCitation":"(Hair, Babin, &amp; Krey, 2017)","previouslyFormattedCitation":"(Hair, Babin, &amp; Krey, 2017)"},"properties":{"noteIndex":0},"schema":"https://github.com/citation-style-language/schema/raw/master/csl-citation.json"}</w:instrText>
      </w:r>
      <w:r w:rsidR="00AE34AE"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(Hair, Babin, &amp; Krey, 2017)</w:t>
      </w:r>
      <w:r w:rsidR="00AE34AE" w:rsidRPr="0040120E">
        <w:rPr>
          <w:rFonts w:ascii="Times New Roman" w:hAnsi="Times New Roman" w:cs="Times New Roman"/>
          <w:sz w:val="24"/>
          <w:szCs w:val="24"/>
          <w:lang w:val="en-GB"/>
        </w:rPr>
        <w:fldChar w:fldCharType="end"/>
      </w:r>
      <w:r w:rsidR="00660998" w:rsidRPr="0040120E">
        <w:rPr>
          <w:rFonts w:ascii="Times New Roman" w:hAnsi="Times New Roman" w:cs="Times New Roman"/>
          <w:sz w:val="24"/>
          <w:szCs w:val="24"/>
          <w:lang w:val="en-GB"/>
        </w:rPr>
        <w:t>, and Promax rotations (k=4)</w:t>
      </w:r>
      <w:r w:rsidR="00F04845" w:rsidRPr="0040120E">
        <w:rPr>
          <w:rFonts w:ascii="Times New Roman" w:hAnsi="Times New Roman" w:cs="Times New Roman"/>
          <w:sz w:val="24"/>
          <w:szCs w:val="24"/>
          <w:lang w:val="en-GB"/>
        </w:rPr>
        <w:t>,</w:t>
      </w:r>
      <w:r w:rsidR="00660998" w:rsidRPr="0040120E">
        <w:rPr>
          <w:rFonts w:ascii="Times New Roman" w:hAnsi="Times New Roman" w:cs="Times New Roman"/>
          <w:sz w:val="24"/>
          <w:szCs w:val="24"/>
          <w:lang w:val="en-GB"/>
        </w:rPr>
        <w:t xml:space="preserve"> as the three dimensions should measure the same construct. </w:t>
      </w:r>
      <w:r w:rsidR="005017B5" w:rsidRPr="0040120E">
        <w:rPr>
          <w:rFonts w:ascii="Times New Roman" w:hAnsi="Times New Roman" w:cs="Times New Roman"/>
          <w:sz w:val="24"/>
          <w:szCs w:val="24"/>
          <w:lang w:val="en-GB"/>
        </w:rPr>
        <w:t>The literature advi</w:t>
      </w:r>
      <w:r w:rsidR="002354F4" w:rsidRPr="0040120E">
        <w:rPr>
          <w:rFonts w:ascii="Times New Roman" w:hAnsi="Times New Roman" w:cs="Times New Roman"/>
          <w:sz w:val="24"/>
          <w:szCs w:val="24"/>
          <w:lang w:val="en-GB"/>
        </w:rPr>
        <w:t>s</w:t>
      </w:r>
      <w:r w:rsidR="005017B5" w:rsidRPr="0040120E">
        <w:rPr>
          <w:rFonts w:ascii="Times New Roman" w:hAnsi="Times New Roman" w:cs="Times New Roman"/>
          <w:sz w:val="24"/>
          <w:szCs w:val="24"/>
          <w:lang w:val="en-GB"/>
        </w:rPr>
        <w:t>es removing</w:t>
      </w:r>
      <w:r w:rsidR="00660998" w:rsidRPr="0040120E">
        <w:rPr>
          <w:rFonts w:ascii="Times New Roman" w:hAnsi="Times New Roman" w:cs="Times New Roman"/>
          <w:sz w:val="24"/>
          <w:szCs w:val="24"/>
          <w:lang w:val="en-GB"/>
        </w:rPr>
        <w:t xml:space="preserve"> items with a quality of representa</w:t>
      </w:r>
      <w:r w:rsidR="00D73A2C" w:rsidRPr="0040120E">
        <w:rPr>
          <w:rFonts w:ascii="Times New Roman" w:hAnsi="Times New Roman" w:cs="Times New Roman"/>
          <w:sz w:val="24"/>
          <w:szCs w:val="24"/>
          <w:lang w:val="en-GB"/>
        </w:rPr>
        <w:t>tion or a loading inferior to .5</w:t>
      </w:r>
      <w:r w:rsidR="00660998" w:rsidRPr="0040120E">
        <w:rPr>
          <w:rFonts w:ascii="Times New Roman" w:hAnsi="Times New Roman" w:cs="Times New Roman"/>
          <w:sz w:val="24"/>
          <w:szCs w:val="24"/>
          <w:lang w:val="en-GB"/>
        </w:rPr>
        <w:t xml:space="preserve">, as well as the item with cross-loading </w:t>
      </w:r>
      <w:r w:rsidR="00780801" w:rsidRPr="0040120E">
        <w:rPr>
          <w:rFonts w:ascii="Times New Roman" w:hAnsi="Times New Roman" w:cs="Times New Roman"/>
          <w:sz w:val="24"/>
          <w:szCs w:val="24"/>
          <w:lang w:val="en-GB"/>
        </w:rPr>
        <w:t>above</w:t>
      </w:r>
      <w:r w:rsidR="00660998" w:rsidRPr="0040120E">
        <w:rPr>
          <w:rFonts w:ascii="Times New Roman" w:hAnsi="Times New Roman" w:cs="Times New Roman"/>
          <w:sz w:val="24"/>
          <w:szCs w:val="24"/>
          <w:lang w:val="en-GB"/>
        </w:rPr>
        <w:t xml:space="preserve"> 0.2 </w:t>
      </w:r>
      <w:r w:rsidR="00660998" w:rsidRPr="0040120E">
        <w:rPr>
          <w:rFonts w:ascii="Times New Roman" w:eastAsia="Times New Roman" w:hAnsi="Times New Roman" w:cs="Times New Roman"/>
          <w:sz w:val="24"/>
          <w:szCs w:val="18"/>
          <w:lang w:val="en-GB" w:eastAsia="fr-FR"/>
        </w:rPr>
        <w:fldChar w:fldCharType="begin" w:fldLock="1"/>
      </w:r>
      <w:r w:rsidR="003870BB" w:rsidRPr="0040120E">
        <w:rPr>
          <w:rFonts w:ascii="Times New Roman" w:eastAsia="Times New Roman" w:hAnsi="Times New Roman" w:cs="Times New Roman"/>
          <w:sz w:val="24"/>
          <w:szCs w:val="18"/>
          <w:lang w:val="en-GB" w:eastAsia="fr-FR"/>
        </w:rPr>
        <w:instrText>ADDIN CSL_CITATION {"citationItems":[{"id":"ITEM-1","itemData":{"author":[{"dropping-particle":"","family":"Hair","given":"Joseph F.","non-dropping-particle":"","parse-names":false,"suffix":""},{"dropping-particle":"","family":"Black","given":"W.C.","non-dropping-particle":"","parse-names":false,"suffix":""},{"dropping-particle":"","family":"Babin","given":"B.J.","non-dropping-particle":"","parse-names":false,"suffix":""},{"dropping-particle":"","family":"Anderson","given":"R.E.","non-dropping-particle":"","parse-names":false,"suffix":""}],"edition":"7th","id":"ITEM-1","issued":{"date-parts":[["2009"]]},"publisher":"Pearson","publisher-place":"Harlow","title":"Multivariate Data Analysis","type":"book"},"uris":["http://www.mendeley.com/documents/?uuid=94c8ba4f-8dc8-4526-af15-567eecee8d6a"]}],"mendeley":{"formattedCitation":"(Hair et al., 2009)","plainTextFormattedCitation":"(Hair et al., 2009)","previouslyFormattedCitation":"(Hair et al., 2009)"},"properties":{"noteIndex":0},"schema":"https://github.com/citation-style-language/schema/raw/master/csl-citation.json"}</w:instrText>
      </w:r>
      <w:r w:rsidR="00660998" w:rsidRPr="0040120E">
        <w:rPr>
          <w:rFonts w:ascii="Times New Roman" w:eastAsia="Times New Roman" w:hAnsi="Times New Roman" w:cs="Times New Roman"/>
          <w:sz w:val="24"/>
          <w:szCs w:val="18"/>
          <w:lang w:val="en-GB" w:eastAsia="fr-FR"/>
        </w:rPr>
        <w:fldChar w:fldCharType="separate"/>
      </w:r>
      <w:r w:rsidR="00660998" w:rsidRPr="0040120E">
        <w:rPr>
          <w:rFonts w:ascii="Times New Roman" w:eastAsia="Times New Roman" w:hAnsi="Times New Roman" w:cs="Times New Roman"/>
          <w:noProof/>
          <w:sz w:val="24"/>
          <w:szCs w:val="18"/>
          <w:lang w:val="en-GB" w:eastAsia="fr-FR"/>
        </w:rPr>
        <w:t>(Hair et al., 2009)</w:t>
      </w:r>
      <w:r w:rsidR="00660998" w:rsidRPr="0040120E">
        <w:rPr>
          <w:rFonts w:ascii="Times New Roman" w:eastAsia="Times New Roman" w:hAnsi="Times New Roman" w:cs="Times New Roman"/>
          <w:sz w:val="24"/>
          <w:szCs w:val="18"/>
          <w:lang w:val="en-GB" w:eastAsia="fr-FR"/>
        </w:rPr>
        <w:fldChar w:fldCharType="end"/>
      </w:r>
      <w:r w:rsidR="00660998" w:rsidRPr="0040120E">
        <w:rPr>
          <w:rFonts w:ascii="Times New Roman" w:hAnsi="Times New Roman" w:cs="Times New Roman"/>
          <w:sz w:val="24"/>
          <w:szCs w:val="24"/>
          <w:lang w:val="en-GB"/>
        </w:rPr>
        <w:t>.</w:t>
      </w:r>
      <w:r w:rsidR="006E649D" w:rsidRPr="0040120E">
        <w:rPr>
          <w:rFonts w:ascii="Times New Roman" w:hAnsi="Times New Roman" w:cs="Times New Roman"/>
          <w:sz w:val="24"/>
          <w:szCs w:val="24"/>
          <w:lang w:val="en-GB"/>
        </w:rPr>
        <w:t xml:space="preserve"> </w:t>
      </w:r>
    </w:p>
    <w:p w14:paraId="348738D3" w14:textId="0DCC4DB7" w:rsidR="00545D2E" w:rsidRPr="0040120E" w:rsidRDefault="00780801" w:rsidP="00D30661">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As far as the dimensionality is concerned, eigenvalues recommend retaining only two dimensions</w:t>
      </w:r>
      <w:r w:rsidR="005255F4"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according to Kaiser’s criterion. However, this criterion is over</w:t>
      </w:r>
      <w:r w:rsidR="003A7D9F"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conservative when there are fewer than 20 variables (Hair et al., 2009). In addition, two arguments advocate for retaining three dimensions: the sample is small and it influences Kaiser’s test (Hair et al., 2009), and the literature considers the extraction of too few factors as a more important error than </w:t>
      </w:r>
      <w:r w:rsidRPr="0040120E">
        <w:rPr>
          <w:rFonts w:ascii="Times New Roman" w:hAnsi="Times New Roman" w:cs="Times New Roman"/>
          <w:sz w:val="24"/>
          <w:szCs w:val="24"/>
          <w:lang w:val="en-GB"/>
        </w:rPr>
        <w:lastRenderedPageBreak/>
        <w:t xml:space="preserve">extracting too many factors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{"citationItems":[{"id":"ITEM-1","itemData":{"DOI":"10.1037/1082-989X.4.3.272","ISBN":"1939-1463","ISSN":"1082-989X","PMID":"18883","abstract":"Despite the widespread use of exploratory factor analysis in psychological research, researchers often make questionable decisions when conducting these analyses. This article reviews the major design and analytical decisions that must be made when conducting a factor analysis and notes that each of these decisions has important consequences for the obtained results. Recommendations that have been made in the methodological literature are discussed. Analyses of 3 existing empirical data sets are used to illustrate how questionable decisions in conducting factor analyses can yield problematic results. The article presents a survey of 2 prominent journals that suggests that researchers routinely conduct analyses using such questionable methods. The implications of these practices for psychological research are discussed, and the reasons for current practices are reviewed., (C) 1999 by the American Psychological Association","author":[{"dropping-particle":"","family":"Fabrigar","given":"Leandre R.","non-dropping-particle":"","parse-names":false,"suffix":""},{"dropping-particle":"","family":"Wegener","given":"Duane T.","non-dropping-particle":"","parse-names":false,"suffix":""},{"dropping-particle":"","family":"MacCallum","given":"Robert C.","non-dropping-particle":"","parse-names":false,"suffix":""},{"dropping-particle":"","family":"Strahan","given":"Erin J.","non-dropping-particle":"","parse-names":false,"suffix":""}],"container-title":"Psychological Methods","id":"ITEM-1","issue":"3","issued":{"date-parts":[["1999"]]},"page":"272-299","title":"Evaluating the use of exploratory factor analysis in psychological research","type":"article-journal","volume":"4"},"uris":["http://www.mendeley.com/documents/?uuid=87f54246-b0c0-497e-8e83-7710fe35378d"]}],"mendeley":{"formattedCitation":"(Fabrigar, Wegener, MacCallum, &amp; Strahan, 1999)","plainTextFormattedCitation":"(Fabrigar, Wegener, MacCallum, &amp; Strahan, 1999)","previouslyFormattedCitation":"(Fabrigar, Wegener, MacCallum, &amp; Strahan, 1999)"},"properties":{"noteIndex":0},"schema":"https://github.com/citation-style-language/schema/raw/master/csl-citation.json"}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(Fabrigar, Wegener, MacCallum, &amp; Strahan, 1999)</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w:t>
      </w:r>
      <w:r w:rsidR="00D30661" w:rsidRPr="0040120E">
        <w:rPr>
          <w:rFonts w:ascii="Times New Roman" w:hAnsi="Times New Roman" w:cs="Times New Roman"/>
          <w:sz w:val="24"/>
          <w:szCs w:val="24"/>
          <w:lang w:val="en-GB"/>
        </w:rPr>
        <w:t>In addition to these methodological considerations, if we understand time as a perception of change in our environment (Fraisse, 1984), we can see how the three dimensions reflect a temporal facet of the heritage concept (Table 2</w:t>
      </w:r>
      <w:r w:rsidR="009C2A33" w:rsidRPr="0040120E">
        <w:rPr>
          <w:rFonts w:ascii="Times New Roman" w:hAnsi="Times New Roman" w:cs="Times New Roman"/>
          <w:sz w:val="24"/>
          <w:szCs w:val="24"/>
          <w:lang w:val="en-GB"/>
        </w:rPr>
        <w:t xml:space="preserve"> and 3</w:t>
      </w:r>
      <w:r w:rsidR="00D30661" w:rsidRPr="0040120E">
        <w:rPr>
          <w:rFonts w:ascii="Times New Roman" w:hAnsi="Times New Roman" w:cs="Times New Roman"/>
          <w:sz w:val="24"/>
          <w:szCs w:val="24"/>
          <w:lang w:val="en-GB"/>
        </w:rPr>
        <w:t xml:space="preserve">). </w:t>
      </w:r>
      <w:r w:rsidR="005255F4" w:rsidRPr="0040120E">
        <w:rPr>
          <w:rFonts w:ascii="Times New Roman" w:hAnsi="Times New Roman" w:cs="Times New Roman"/>
          <w:sz w:val="24"/>
          <w:szCs w:val="24"/>
          <w:lang w:val="en-GB"/>
        </w:rPr>
        <w:t>This</w:t>
      </w:r>
      <w:r w:rsidR="00D30661" w:rsidRPr="0040120E">
        <w:rPr>
          <w:rFonts w:ascii="Times New Roman" w:hAnsi="Times New Roman" w:cs="Times New Roman"/>
          <w:sz w:val="24"/>
          <w:szCs w:val="24"/>
          <w:lang w:val="en-GB"/>
        </w:rPr>
        <w:t xml:space="preserve"> conveys the perception of three distinct qualities: the immunity from essential change, the length of the existence, and the ability to adjust to changes.</w:t>
      </w:r>
    </w:p>
    <w:p w14:paraId="034FF256" w14:textId="1687AFF1" w:rsidR="002D7072" w:rsidRPr="0040120E" w:rsidRDefault="002D7072" w:rsidP="002D7072">
      <w:pPr>
        <w:pStyle w:val="Caption"/>
        <w:keepNext/>
        <w:jc w:val="center"/>
        <w:rPr>
          <w:rFonts w:ascii="Times New Roman" w:hAnsi="Times New Roman" w:cs="Times New Roman"/>
          <w:color w:val="auto"/>
          <w:sz w:val="24"/>
          <w:lang w:val="en-GB"/>
        </w:rPr>
      </w:pPr>
      <w:r w:rsidRPr="0040120E">
        <w:rPr>
          <w:rFonts w:ascii="Times New Roman" w:hAnsi="Times New Roman" w:cs="Times New Roman"/>
          <w:color w:val="auto"/>
          <w:sz w:val="24"/>
          <w:lang w:val="en-GB"/>
        </w:rPr>
        <w:t xml:space="preserve">Table </w:t>
      </w:r>
      <w:r w:rsidRPr="0040120E">
        <w:rPr>
          <w:rFonts w:ascii="Times New Roman" w:hAnsi="Times New Roman" w:cs="Times New Roman"/>
          <w:color w:val="auto"/>
          <w:sz w:val="24"/>
        </w:rPr>
        <w:fldChar w:fldCharType="begin"/>
      </w:r>
      <w:r w:rsidRPr="0040120E">
        <w:rPr>
          <w:rFonts w:ascii="Times New Roman" w:hAnsi="Times New Roman" w:cs="Times New Roman"/>
          <w:color w:val="auto"/>
          <w:sz w:val="24"/>
          <w:lang w:val="en-GB"/>
        </w:rPr>
        <w:instrText xml:space="preserve"> SEQ Table \* ARABIC </w:instrText>
      </w:r>
      <w:r w:rsidRPr="0040120E">
        <w:rPr>
          <w:rFonts w:ascii="Times New Roman" w:hAnsi="Times New Roman" w:cs="Times New Roman"/>
          <w:color w:val="auto"/>
          <w:sz w:val="24"/>
        </w:rPr>
        <w:fldChar w:fldCharType="separate"/>
      </w:r>
      <w:r w:rsidR="00671C69">
        <w:rPr>
          <w:rFonts w:ascii="Times New Roman" w:hAnsi="Times New Roman" w:cs="Times New Roman"/>
          <w:noProof/>
          <w:color w:val="auto"/>
          <w:sz w:val="24"/>
          <w:lang w:val="en-GB"/>
        </w:rPr>
        <w:t>2</w:t>
      </w:r>
      <w:r w:rsidRPr="0040120E">
        <w:rPr>
          <w:rFonts w:ascii="Times New Roman" w:hAnsi="Times New Roman" w:cs="Times New Roman"/>
          <w:color w:val="auto"/>
          <w:sz w:val="24"/>
        </w:rPr>
        <w:fldChar w:fldCharType="end"/>
      </w:r>
      <w:r w:rsidRPr="0040120E">
        <w:rPr>
          <w:rFonts w:ascii="Times New Roman" w:hAnsi="Times New Roman" w:cs="Times New Roman"/>
          <w:color w:val="auto"/>
          <w:sz w:val="24"/>
          <w:lang w:val="en-GB"/>
        </w:rPr>
        <w:t xml:space="preserve"> - </w:t>
      </w:r>
      <w:r w:rsidR="00D30661" w:rsidRPr="0040120E">
        <w:rPr>
          <w:rFonts w:ascii="Times New Roman" w:hAnsi="Times New Roman" w:cs="Times New Roman"/>
          <w:color w:val="auto"/>
          <w:sz w:val="24"/>
          <w:lang w:val="en-GB"/>
        </w:rPr>
        <w:t>Exploratory Factor Analysis</w:t>
      </w:r>
      <w:r w:rsidR="009C2A33" w:rsidRPr="0040120E">
        <w:rPr>
          <w:rFonts w:ascii="Times New Roman" w:hAnsi="Times New Roman" w:cs="Times New Roman"/>
          <w:color w:val="auto"/>
          <w:sz w:val="24"/>
          <w:lang w:val="en-GB"/>
        </w:rPr>
        <w:t xml:space="preserve"> (loadings)</w:t>
      </w:r>
      <w:r w:rsidR="00D30661" w:rsidRPr="0040120E">
        <w:rPr>
          <w:rFonts w:ascii="Times New Roman" w:hAnsi="Times New Roman" w:cs="Times New Roman"/>
          <w:color w:val="auto"/>
          <w:sz w:val="24"/>
          <w:lang w:val="en-GB"/>
        </w:rPr>
        <w:t xml:space="preserve"> </w:t>
      </w:r>
    </w:p>
    <w:tbl>
      <w:tblPr>
        <w:tblW w:w="5003" w:type="pct"/>
        <w:tblLook w:val="04A0" w:firstRow="1" w:lastRow="0" w:firstColumn="1" w:lastColumn="0" w:noHBand="0" w:noVBand="1"/>
      </w:tblPr>
      <w:tblGrid>
        <w:gridCol w:w="5423"/>
        <w:gridCol w:w="1030"/>
        <w:gridCol w:w="1203"/>
        <w:gridCol w:w="1416"/>
      </w:tblGrid>
      <w:tr w:rsidR="009C2A33" w:rsidRPr="0040120E" w14:paraId="64D491EF" w14:textId="77777777" w:rsidTr="009C2A33">
        <w:trPr>
          <w:trHeight w:val="188"/>
        </w:trPr>
        <w:tc>
          <w:tcPr>
            <w:tcW w:w="3107" w:type="pct"/>
            <w:vMerge w:val="restart"/>
            <w:tcBorders>
              <w:top w:val="nil"/>
              <w:left w:val="nil"/>
              <w:bottom w:val="single" w:sz="4" w:space="0" w:color="993366"/>
              <w:right w:val="nil"/>
            </w:tcBorders>
            <w:shd w:val="clear" w:color="auto" w:fill="auto"/>
            <w:vAlign w:val="center"/>
            <w:hideMark/>
          </w:tcPr>
          <w:p w14:paraId="38869281" w14:textId="2806C036" w:rsidR="00730AF2" w:rsidRPr="0040120E" w:rsidRDefault="009C2A33" w:rsidP="009C2A33">
            <w:pPr>
              <w:spacing w:after="0" w:line="240" w:lineRule="auto"/>
              <w:rPr>
                <w:rFonts w:ascii="Times New Roman" w:eastAsia="Times New Roman" w:hAnsi="Times New Roman" w:cs="Times New Roman"/>
                <w:bCs/>
                <w:sz w:val="24"/>
                <w:szCs w:val="24"/>
                <w:lang w:val="en-GB" w:eastAsia="en-GB"/>
              </w:rPr>
            </w:pPr>
            <w:r w:rsidRPr="0040120E">
              <w:rPr>
                <w:rFonts w:ascii="Times New Roman" w:eastAsia="Times New Roman" w:hAnsi="Times New Roman" w:cs="Times New Roman"/>
                <w:bCs/>
                <w:sz w:val="24"/>
                <w:szCs w:val="24"/>
                <w:lang w:val="en-GB" w:eastAsia="en-GB"/>
              </w:rPr>
              <w:t>Items</w:t>
            </w:r>
          </w:p>
        </w:tc>
        <w:tc>
          <w:tcPr>
            <w:tcW w:w="1893" w:type="pct"/>
            <w:gridSpan w:val="3"/>
            <w:tcBorders>
              <w:top w:val="nil"/>
              <w:left w:val="nil"/>
              <w:bottom w:val="nil"/>
              <w:right w:val="single" w:sz="4" w:space="0" w:color="333333"/>
            </w:tcBorders>
            <w:shd w:val="clear" w:color="auto" w:fill="auto"/>
            <w:vAlign w:val="bottom"/>
            <w:hideMark/>
          </w:tcPr>
          <w:p w14:paraId="1DAF3017" w14:textId="6ACBF092" w:rsidR="00730AF2" w:rsidRPr="0040120E" w:rsidRDefault="00730AF2" w:rsidP="00730AF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Factor</w:t>
            </w:r>
            <w:r w:rsidR="009C2A33" w:rsidRPr="0040120E">
              <w:rPr>
                <w:rFonts w:ascii="Times New Roman" w:eastAsia="Times New Roman" w:hAnsi="Times New Roman" w:cs="Times New Roman"/>
                <w:sz w:val="24"/>
                <w:szCs w:val="24"/>
                <w:lang w:val="en-GB" w:eastAsia="en-GB"/>
              </w:rPr>
              <w:t>s</w:t>
            </w:r>
          </w:p>
        </w:tc>
      </w:tr>
      <w:tr w:rsidR="009C2A33" w:rsidRPr="0040120E" w14:paraId="0B338011" w14:textId="77777777" w:rsidTr="009C2A33">
        <w:trPr>
          <w:trHeight w:val="155"/>
        </w:trPr>
        <w:tc>
          <w:tcPr>
            <w:tcW w:w="3107" w:type="pct"/>
            <w:vMerge/>
            <w:tcBorders>
              <w:top w:val="nil"/>
              <w:left w:val="nil"/>
              <w:bottom w:val="single" w:sz="4" w:space="0" w:color="993366"/>
              <w:right w:val="nil"/>
            </w:tcBorders>
            <w:vAlign w:val="center"/>
            <w:hideMark/>
          </w:tcPr>
          <w:p w14:paraId="49EF64C7" w14:textId="77777777" w:rsidR="00730AF2" w:rsidRPr="0040120E" w:rsidRDefault="00730AF2" w:rsidP="00730AF2">
            <w:pPr>
              <w:spacing w:after="0" w:line="240" w:lineRule="auto"/>
              <w:rPr>
                <w:rFonts w:ascii="Times New Roman" w:eastAsia="Times New Roman" w:hAnsi="Times New Roman" w:cs="Times New Roman"/>
                <w:b/>
                <w:bCs/>
                <w:sz w:val="24"/>
                <w:szCs w:val="24"/>
                <w:lang w:val="en-GB" w:eastAsia="en-GB"/>
              </w:rPr>
            </w:pPr>
          </w:p>
        </w:tc>
        <w:tc>
          <w:tcPr>
            <w:tcW w:w="467" w:type="pct"/>
            <w:tcBorders>
              <w:top w:val="nil"/>
              <w:left w:val="nil"/>
              <w:bottom w:val="single" w:sz="4" w:space="0" w:color="993366"/>
              <w:right w:val="single" w:sz="4" w:space="0" w:color="333333"/>
            </w:tcBorders>
            <w:shd w:val="clear" w:color="auto" w:fill="auto"/>
            <w:noWrap/>
            <w:vAlign w:val="bottom"/>
            <w:hideMark/>
          </w:tcPr>
          <w:p w14:paraId="7FF9EFCB" w14:textId="77777777" w:rsidR="00730AF2" w:rsidRPr="0040120E" w:rsidRDefault="00730AF2" w:rsidP="00730AF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Stability</w:t>
            </w:r>
          </w:p>
        </w:tc>
        <w:tc>
          <w:tcPr>
            <w:tcW w:w="683" w:type="pct"/>
            <w:tcBorders>
              <w:top w:val="nil"/>
              <w:left w:val="nil"/>
              <w:bottom w:val="single" w:sz="4" w:space="0" w:color="993366"/>
              <w:right w:val="single" w:sz="4" w:space="0" w:color="333333"/>
            </w:tcBorders>
            <w:shd w:val="clear" w:color="auto" w:fill="auto"/>
            <w:noWrap/>
            <w:vAlign w:val="bottom"/>
            <w:hideMark/>
          </w:tcPr>
          <w:p w14:paraId="32714638" w14:textId="77777777" w:rsidR="00730AF2" w:rsidRPr="0040120E" w:rsidRDefault="00730AF2" w:rsidP="00730AF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Longevity</w:t>
            </w:r>
          </w:p>
        </w:tc>
        <w:tc>
          <w:tcPr>
            <w:tcW w:w="743" w:type="pct"/>
            <w:tcBorders>
              <w:top w:val="nil"/>
              <w:left w:val="nil"/>
              <w:bottom w:val="single" w:sz="4" w:space="0" w:color="993366"/>
              <w:right w:val="nil"/>
            </w:tcBorders>
            <w:shd w:val="clear" w:color="auto" w:fill="auto"/>
            <w:noWrap/>
            <w:vAlign w:val="bottom"/>
            <w:hideMark/>
          </w:tcPr>
          <w:p w14:paraId="3E9F9568" w14:textId="77777777" w:rsidR="00730AF2" w:rsidRPr="0040120E" w:rsidRDefault="00730AF2" w:rsidP="00730AF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Adaptability</w:t>
            </w:r>
          </w:p>
        </w:tc>
      </w:tr>
      <w:tr w:rsidR="009C2A33" w:rsidRPr="0040120E" w14:paraId="4517F0E2" w14:textId="77777777" w:rsidTr="009C2A33">
        <w:trPr>
          <w:trHeight w:val="130"/>
        </w:trPr>
        <w:tc>
          <w:tcPr>
            <w:tcW w:w="3107" w:type="pct"/>
            <w:tcBorders>
              <w:top w:val="nil"/>
              <w:left w:val="nil"/>
              <w:bottom w:val="single" w:sz="4" w:space="0" w:color="C0C0C0"/>
              <w:right w:val="nil"/>
            </w:tcBorders>
            <w:shd w:val="clear" w:color="auto" w:fill="auto"/>
            <w:hideMark/>
          </w:tcPr>
          <w:p w14:paraId="51C4B204" w14:textId="58C39BB4"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xml:space="preserve">A stable </w:t>
            </w:r>
            <w:r w:rsidR="003A7D9F" w:rsidRPr="0040120E">
              <w:rPr>
                <w:rFonts w:ascii="Times New Roman" w:eastAsia="Times New Roman" w:hAnsi="Times New Roman" w:cs="Times New Roman"/>
                <w:sz w:val="24"/>
                <w:szCs w:val="24"/>
                <w:lang w:val="en-GB" w:eastAsia="en-GB"/>
              </w:rPr>
              <w:t>b</w:t>
            </w:r>
            <w:r w:rsidRPr="0040120E">
              <w:rPr>
                <w:rFonts w:ascii="Times New Roman" w:eastAsia="Times New Roman" w:hAnsi="Times New Roman" w:cs="Times New Roman"/>
                <w:sz w:val="24"/>
                <w:szCs w:val="24"/>
                <w:lang w:val="en-GB" w:eastAsia="en-GB"/>
              </w:rPr>
              <w:t>rand</w:t>
            </w:r>
          </w:p>
        </w:tc>
        <w:tc>
          <w:tcPr>
            <w:tcW w:w="467" w:type="pct"/>
            <w:tcBorders>
              <w:top w:val="nil"/>
              <w:left w:val="nil"/>
              <w:bottom w:val="single" w:sz="4" w:space="0" w:color="C0C0C0"/>
              <w:right w:val="single" w:sz="4" w:space="0" w:color="333333"/>
            </w:tcBorders>
            <w:shd w:val="clear" w:color="auto" w:fill="auto"/>
            <w:noWrap/>
            <w:hideMark/>
          </w:tcPr>
          <w:p w14:paraId="01EE12E2"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0.907</w:t>
            </w:r>
          </w:p>
        </w:tc>
        <w:tc>
          <w:tcPr>
            <w:tcW w:w="683" w:type="pct"/>
            <w:tcBorders>
              <w:top w:val="nil"/>
              <w:left w:val="nil"/>
              <w:bottom w:val="single" w:sz="4" w:space="0" w:color="C0C0C0"/>
              <w:right w:val="single" w:sz="4" w:space="0" w:color="333333"/>
            </w:tcBorders>
            <w:shd w:val="clear" w:color="auto" w:fill="auto"/>
            <w:noWrap/>
            <w:hideMark/>
          </w:tcPr>
          <w:p w14:paraId="255709E5"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0.671</w:t>
            </w:r>
          </w:p>
        </w:tc>
        <w:tc>
          <w:tcPr>
            <w:tcW w:w="743" w:type="pct"/>
            <w:tcBorders>
              <w:top w:val="nil"/>
              <w:left w:val="nil"/>
              <w:bottom w:val="single" w:sz="4" w:space="0" w:color="C0C0C0"/>
              <w:right w:val="nil"/>
            </w:tcBorders>
            <w:shd w:val="clear" w:color="auto" w:fill="auto"/>
            <w:noWrap/>
            <w:hideMark/>
          </w:tcPr>
          <w:p w14:paraId="17236CF7"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0.495</w:t>
            </w:r>
          </w:p>
        </w:tc>
      </w:tr>
      <w:tr w:rsidR="009C2A33" w:rsidRPr="0040120E" w14:paraId="69C6EEF8" w14:textId="77777777" w:rsidTr="009C2A33">
        <w:trPr>
          <w:trHeight w:val="274"/>
        </w:trPr>
        <w:tc>
          <w:tcPr>
            <w:tcW w:w="3107" w:type="pct"/>
            <w:tcBorders>
              <w:top w:val="nil"/>
              <w:left w:val="nil"/>
              <w:bottom w:val="single" w:sz="4" w:space="0" w:color="C0C0C0"/>
              <w:right w:val="nil"/>
            </w:tcBorders>
            <w:shd w:val="clear" w:color="auto" w:fill="auto"/>
            <w:hideMark/>
          </w:tcPr>
          <w:p w14:paraId="4280EDEF"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that won't disappear tomorrow</w:t>
            </w:r>
          </w:p>
        </w:tc>
        <w:tc>
          <w:tcPr>
            <w:tcW w:w="467" w:type="pct"/>
            <w:tcBorders>
              <w:top w:val="nil"/>
              <w:left w:val="nil"/>
              <w:bottom w:val="single" w:sz="4" w:space="0" w:color="C0C0C0"/>
              <w:right w:val="single" w:sz="4" w:space="0" w:color="333333"/>
            </w:tcBorders>
            <w:shd w:val="clear" w:color="auto" w:fill="auto"/>
            <w:noWrap/>
            <w:hideMark/>
          </w:tcPr>
          <w:p w14:paraId="6734CFE0"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0.901</w:t>
            </w:r>
          </w:p>
        </w:tc>
        <w:tc>
          <w:tcPr>
            <w:tcW w:w="683" w:type="pct"/>
            <w:tcBorders>
              <w:top w:val="nil"/>
              <w:left w:val="nil"/>
              <w:bottom w:val="single" w:sz="4" w:space="0" w:color="C0C0C0"/>
              <w:right w:val="single" w:sz="4" w:space="0" w:color="333333"/>
            </w:tcBorders>
            <w:shd w:val="clear" w:color="auto" w:fill="auto"/>
            <w:noWrap/>
            <w:hideMark/>
          </w:tcPr>
          <w:p w14:paraId="7017AD59"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0.600</w:t>
            </w:r>
          </w:p>
        </w:tc>
        <w:tc>
          <w:tcPr>
            <w:tcW w:w="743" w:type="pct"/>
            <w:tcBorders>
              <w:top w:val="nil"/>
              <w:left w:val="nil"/>
              <w:bottom w:val="single" w:sz="4" w:space="0" w:color="C0C0C0"/>
              <w:right w:val="nil"/>
            </w:tcBorders>
            <w:shd w:val="clear" w:color="auto" w:fill="auto"/>
            <w:noWrap/>
            <w:hideMark/>
          </w:tcPr>
          <w:p w14:paraId="57621B87"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0.466</w:t>
            </w:r>
          </w:p>
        </w:tc>
      </w:tr>
      <w:tr w:rsidR="009C2A33" w:rsidRPr="0040120E" w14:paraId="7A919362" w14:textId="77777777" w:rsidTr="009C2A33">
        <w:trPr>
          <w:trHeight w:val="274"/>
        </w:trPr>
        <w:tc>
          <w:tcPr>
            <w:tcW w:w="3107" w:type="pct"/>
            <w:tcBorders>
              <w:top w:val="nil"/>
              <w:left w:val="nil"/>
              <w:bottom w:val="single" w:sz="4" w:space="0" w:color="C0C0C0"/>
              <w:right w:val="nil"/>
            </w:tcBorders>
            <w:shd w:val="clear" w:color="auto" w:fill="auto"/>
            <w:hideMark/>
          </w:tcPr>
          <w:p w14:paraId="0FCA93A3"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which will never go out of fashion</w:t>
            </w:r>
          </w:p>
        </w:tc>
        <w:tc>
          <w:tcPr>
            <w:tcW w:w="467" w:type="pct"/>
            <w:tcBorders>
              <w:top w:val="nil"/>
              <w:left w:val="nil"/>
              <w:bottom w:val="single" w:sz="4" w:space="0" w:color="C0C0C0"/>
              <w:right w:val="single" w:sz="4" w:space="0" w:color="333333"/>
            </w:tcBorders>
            <w:shd w:val="clear" w:color="auto" w:fill="auto"/>
            <w:noWrap/>
            <w:hideMark/>
          </w:tcPr>
          <w:p w14:paraId="698E8B23"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0.862</w:t>
            </w:r>
          </w:p>
        </w:tc>
        <w:tc>
          <w:tcPr>
            <w:tcW w:w="683" w:type="pct"/>
            <w:tcBorders>
              <w:top w:val="nil"/>
              <w:left w:val="nil"/>
              <w:bottom w:val="single" w:sz="4" w:space="0" w:color="C0C0C0"/>
              <w:right w:val="single" w:sz="4" w:space="0" w:color="333333"/>
            </w:tcBorders>
            <w:shd w:val="clear" w:color="auto" w:fill="auto"/>
            <w:noWrap/>
            <w:hideMark/>
          </w:tcPr>
          <w:p w14:paraId="1C7C9D07"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0.669</w:t>
            </w:r>
          </w:p>
        </w:tc>
        <w:tc>
          <w:tcPr>
            <w:tcW w:w="743" w:type="pct"/>
            <w:tcBorders>
              <w:top w:val="nil"/>
              <w:left w:val="nil"/>
              <w:bottom w:val="single" w:sz="4" w:space="0" w:color="C0C0C0"/>
              <w:right w:val="nil"/>
            </w:tcBorders>
            <w:shd w:val="clear" w:color="auto" w:fill="auto"/>
            <w:noWrap/>
            <w:hideMark/>
          </w:tcPr>
          <w:p w14:paraId="73A0CAD0"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0.532</w:t>
            </w:r>
          </w:p>
        </w:tc>
      </w:tr>
      <w:tr w:rsidR="009C2A33" w:rsidRPr="0040120E" w14:paraId="1FF97C20" w14:textId="77777777" w:rsidTr="009C2A33">
        <w:trPr>
          <w:trHeight w:val="145"/>
        </w:trPr>
        <w:tc>
          <w:tcPr>
            <w:tcW w:w="3107" w:type="pct"/>
            <w:tcBorders>
              <w:top w:val="nil"/>
              <w:left w:val="nil"/>
              <w:bottom w:val="single" w:sz="4" w:space="0" w:color="C0C0C0"/>
              <w:right w:val="nil"/>
            </w:tcBorders>
            <w:shd w:val="clear" w:color="auto" w:fill="auto"/>
            <w:hideMark/>
          </w:tcPr>
          <w:p w14:paraId="3DD00053" w14:textId="34F3B1FA"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timeless brand</w:t>
            </w:r>
          </w:p>
        </w:tc>
        <w:tc>
          <w:tcPr>
            <w:tcW w:w="467" w:type="pct"/>
            <w:tcBorders>
              <w:top w:val="nil"/>
              <w:left w:val="nil"/>
              <w:bottom w:val="single" w:sz="4" w:space="0" w:color="C0C0C0"/>
              <w:right w:val="single" w:sz="4" w:space="0" w:color="333333"/>
            </w:tcBorders>
            <w:shd w:val="clear" w:color="auto" w:fill="auto"/>
            <w:noWrap/>
            <w:hideMark/>
          </w:tcPr>
          <w:p w14:paraId="6FA95561"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0.851</w:t>
            </w:r>
          </w:p>
        </w:tc>
        <w:tc>
          <w:tcPr>
            <w:tcW w:w="683" w:type="pct"/>
            <w:tcBorders>
              <w:top w:val="nil"/>
              <w:left w:val="nil"/>
              <w:bottom w:val="single" w:sz="4" w:space="0" w:color="C0C0C0"/>
              <w:right w:val="single" w:sz="4" w:space="0" w:color="333333"/>
            </w:tcBorders>
            <w:shd w:val="clear" w:color="auto" w:fill="auto"/>
            <w:noWrap/>
            <w:hideMark/>
          </w:tcPr>
          <w:p w14:paraId="4E3D534A"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0.662</w:t>
            </w:r>
          </w:p>
        </w:tc>
        <w:tc>
          <w:tcPr>
            <w:tcW w:w="743" w:type="pct"/>
            <w:tcBorders>
              <w:top w:val="nil"/>
              <w:left w:val="nil"/>
              <w:bottom w:val="single" w:sz="4" w:space="0" w:color="C0C0C0"/>
              <w:right w:val="nil"/>
            </w:tcBorders>
            <w:shd w:val="clear" w:color="auto" w:fill="auto"/>
            <w:noWrap/>
            <w:hideMark/>
          </w:tcPr>
          <w:p w14:paraId="21B10AD6"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0.530</w:t>
            </w:r>
          </w:p>
        </w:tc>
      </w:tr>
      <w:tr w:rsidR="009C2A33" w:rsidRPr="0040120E" w14:paraId="66908EBE" w14:textId="77777777" w:rsidTr="009C2A33">
        <w:trPr>
          <w:trHeight w:val="205"/>
        </w:trPr>
        <w:tc>
          <w:tcPr>
            <w:tcW w:w="3107" w:type="pct"/>
            <w:tcBorders>
              <w:top w:val="nil"/>
              <w:left w:val="nil"/>
              <w:bottom w:val="single" w:sz="4" w:space="0" w:color="C0C0C0"/>
              <w:right w:val="nil"/>
            </w:tcBorders>
            <w:shd w:val="clear" w:color="auto" w:fill="auto"/>
            <w:hideMark/>
          </w:tcPr>
          <w:p w14:paraId="411B9CEF"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that is very continuous</w:t>
            </w:r>
          </w:p>
        </w:tc>
        <w:tc>
          <w:tcPr>
            <w:tcW w:w="467" w:type="pct"/>
            <w:tcBorders>
              <w:top w:val="nil"/>
              <w:left w:val="nil"/>
              <w:bottom w:val="single" w:sz="4" w:space="0" w:color="C0C0C0"/>
              <w:right w:val="single" w:sz="4" w:space="0" w:color="333333"/>
            </w:tcBorders>
            <w:shd w:val="clear" w:color="auto" w:fill="auto"/>
            <w:noWrap/>
            <w:hideMark/>
          </w:tcPr>
          <w:p w14:paraId="5B605756"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0.842</w:t>
            </w:r>
          </w:p>
        </w:tc>
        <w:tc>
          <w:tcPr>
            <w:tcW w:w="683" w:type="pct"/>
            <w:tcBorders>
              <w:top w:val="nil"/>
              <w:left w:val="nil"/>
              <w:bottom w:val="single" w:sz="4" w:space="0" w:color="C0C0C0"/>
              <w:right w:val="single" w:sz="4" w:space="0" w:color="333333"/>
            </w:tcBorders>
            <w:shd w:val="clear" w:color="auto" w:fill="auto"/>
            <w:noWrap/>
            <w:hideMark/>
          </w:tcPr>
          <w:p w14:paraId="1A036845"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0.640</w:t>
            </w:r>
          </w:p>
        </w:tc>
        <w:tc>
          <w:tcPr>
            <w:tcW w:w="743" w:type="pct"/>
            <w:tcBorders>
              <w:top w:val="nil"/>
              <w:left w:val="nil"/>
              <w:bottom w:val="single" w:sz="4" w:space="0" w:color="C0C0C0"/>
              <w:right w:val="nil"/>
            </w:tcBorders>
            <w:shd w:val="clear" w:color="auto" w:fill="auto"/>
            <w:noWrap/>
            <w:hideMark/>
          </w:tcPr>
          <w:p w14:paraId="0FC3D35F"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0.426</w:t>
            </w:r>
          </w:p>
        </w:tc>
      </w:tr>
      <w:tr w:rsidR="009C2A33" w:rsidRPr="0040120E" w14:paraId="411EC985" w14:textId="77777777" w:rsidTr="009C2A33">
        <w:trPr>
          <w:trHeight w:val="137"/>
        </w:trPr>
        <w:tc>
          <w:tcPr>
            <w:tcW w:w="3107" w:type="pct"/>
            <w:tcBorders>
              <w:top w:val="nil"/>
              <w:left w:val="nil"/>
              <w:bottom w:val="single" w:sz="4" w:space="0" w:color="C0C0C0"/>
              <w:right w:val="nil"/>
            </w:tcBorders>
            <w:shd w:val="clear" w:color="auto" w:fill="auto"/>
            <w:hideMark/>
          </w:tcPr>
          <w:p w14:paraId="52C107CF"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that has existed for a long time</w:t>
            </w:r>
          </w:p>
        </w:tc>
        <w:tc>
          <w:tcPr>
            <w:tcW w:w="467" w:type="pct"/>
            <w:tcBorders>
              <w:top w:val="nil"/>
              <w:left w:val="nil"/>
              <w:bottom w:val="single" w:sz="4" w:space="0" w:color="C0C0C0"/>
              <w:right w:val="single" w:sz="4" w:space="0" w:color="333333"/>
            </w:tcBorders>
            <w:shd w:val="clear" w:color="auto" w:fill="auto"/>
            <w:noWrap/>
            <w:hideMark/>
          </w:tcPr>
          <w:p w14:paraId="5255628B"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0.803</w:t>
            </w:r>
          </w:p>
        </w:tc>
        <w:tc>
          <w:tcPr>
            <w:tcW w:w="683" w:type="pct"/>
            <w:tcBorders>
              <w:top w:val="nil"/>
              <w:left w:val="nil"/>
              <w:bottom w:val="single" w:sz="4" w:space="0" w:color="C0C0C0"/>
              <w:right w:val="single" w:sz="4" w:space="0" w:color="333333"/>
            </w:tcBorders>
            <w:shd w:val="clear" w:color="auto" w:fill="auto"/>
            <w:noWrap/>
            <w:hideMark/>
          </w:tcPr>
          <w:p w14:paraId="30B2603D"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0.570</w:t>
            </w:r>
          </w:p>
        </w:tc>
        <w:tc>
          <w:tcPr>
            <w:tcW w:w="743" w:type="pct"/>
            <w:tcBorders>
              <w:top w:val="nil"/>
              <w:left w:val="nil"/>
              <w:bottom w:val="single" w:sz="4" w:space="0" w:color="C0C0C0"/>
              <w:right w:val="nil"/>
            </w:tcBorders>
            <w:shd w:val="clear" w:color="auto" w:fill="auto"/>
            <w:noWrap/>
            <w:hideMark/>
          </w:tcPr>
          <w:p w14:paraId="4622D3A9"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0.492</w:t>
            </w:r>
          </w:p>
        </w:tc>
      </w:tr>
      <w:tr w:rsidR="009C2A33" w:rsidRPr="0040120E" w14:paraId="566B20EE" w14:textId="77777777" w:rsidTr="009C2A33">
        <w:trPr>
          <w:trHeight w:val="56"/>
        </w:trPr>
        <w:tc>
          <w:tcPr>
            <w:tcW w:w="3107" w:type="pct"/>
            <w:tcBorders>
              <w:top w:val="nil"/>
              <w:left w:val="nil"/>
              <w:bottom w:val="single" w:sz="4" w:space="0" w:color="C0C0C0"/>
              <w:right w:val="nil"/>
            </w:tcBorders>
            <w:shd w:val="clear" w:color="auto" w:fill="auto"/>
            <w:hideMark/>
          </w:tcPr>
          <w:p w14:paraId="5525C5F6"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exuding a sense of tradition</w:t>
            </w:r>
          </w:p>
        </w:tc>
        <w:tc>
          <w:tcPr>
            <w:tcW w:w="467" w:type="pct"/>
            <w:tcBorders>
              <w:top w:val="nil"/>
              <w:left w:val="nil"/>
              <w:bottom w:val="single" w:sz="4" w:space="0" w:color="C0C0C0"/>
              <w:right w:val="single" w:sz="4" w:space="0" w:color="333333"/>
            </w:tcBorders>
            <w:shd w:val="clear" w:color="auto" w:fill="auto"/>
            <w:noWrap/>
            <w:hideMark/>
          </w:tcPr>
          <w:p w14:paraId="2528559F"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0.659</w:t>
            </w:r>
          </w:p>
        </w:tc>
        <w:tc>
          <w:tcPr>
            <w:tcW w:w="683" w:type="pct"/>
            <w:tcBorders>
              <w:top w:val="nil"/>
              <w:left w:val="nil"/>
              <w:bottom w:val="single" w:sz="4" w:space="0" w:color="C0C0C0"/>
              <w:right w:val="single" w:sz="4" w:space="0" w:color="333333"/>
            </w:tcBorders>
            <w:shd w:val="clear" w:color="auto" w:fill="auto"/>
            <w:noWrap/>
            <w:hideMark/>
          </w:tcPr>
          <w:p w14:paraId="176973C7"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0.889</w:t>
            </w:r>
          </w:p>
        </w:tc>
        <w:tc>
          <w:tcPr>
            <w:tcW w:w="743" w:type="pct"/>
            <w:tcBorders>
              <w:top w:val="nil"/>
              <w:left w:val="nil"/>
              <w:bottom w:val="single" w:sz="4" w:space="0" w:color="C0C0C0"/>
              <w:right w:val="nil"/>
            </w:tcBorders>
            <w:shd w:val="clear" w:color="auto" w:fill="auto"/>
            <w:noWrap/>
            <w:hideMark/>
          </w:tcPr>
          <w:p w14:paraId="438B69EA"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0.639</w:t>
            </w:r>
          </w:p>
        </w:tc>
      </w:tr>
      <w:tr w:rsidR="009C2A33" w:rsidRPr="0040120E" w14:paraId="57AE9F08" w14:textId="77777777" w:rsidTr="009C2A33">
        <w:trPr>
          <w:trHeight w:val="271"/>
        </w:trPr>
        <w:tc>
          <w:tcPr>
            <w:tcW w:w="3107" w:type="pct"/>
            <w:tcBorders>
              <w:top w:val="nil"/>
              <w:left w:val="nil"/>
              <w:bottom w:val="single" w:sz="4" w:space="0" w:color="C0C0C0"/>
              <w:right w:val="nil"/>
            </w:tcBorders>
            <w:shd w:val="clear" w:color="auto" w:fill="auto"/>
            <w:hideMark/>
          </w:tcPr>
          <w:p w14:paraId="66DB2C04"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that reinforces and builds on long-held traditions</w:t>
            </w:r>
          </w:p>
        </w:tc>
        <w:tc>
          <w:tcPr>
            <w:tcW w:w="467" w:type="pct"/>
            <w:tcBorders>
              <w:top w:val="nil"/>
              <w:left w:val="nil"/>
              <w:bottom w:val="single" w:sz="4" w:space="0" w:color="C0C0C0"/>
              <w:right w:val="single" w:sz="4" w:space="0" w:color="333333"/>
            </w:tcBorders>
            <w:shd w:val="clear" w:color="auto" w:fill="auto"/>
            <w:noWrap/>
            <w:hideMark/>
          </w:tcPr>
          <w:p w14:paraId="01348254"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0.704</w:t>
            </w:r>
          </w:p>
        </w:tc>
        <w:tc>
          <w:tcPr>
            <w:tcW w:w="683" w:type="pct"/>
            <w:tcBorders>
              <w:top w:val="nil"/>
              <w:left w:val="nil"/>
              <w:bottom w:val="single" w:sz="4" w:space="0" w:color="C0C0C0"/>
              <w:right w:val="single" w:sz="4" w:space="0" w:color="333333"/>
            </w:tcBorders>
            <w:shd w:val="clear" w:color="auto" w:fill="auto"/>
            <w:noWrap/>
            <w:hideMark/>
          </w:tcPr>
          <w:p w14:paraId="56788111"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0.836</w:t>
            </w:r>
          </w:p>
        </w:tc>
        <w:tc>
          <w:tcPr>
            <w:tcW w:w="743" w:type="pct"/>
            <w:tcBorders>
              <w:top w:val="nil"/>
              <w:left w:val="nil"/>
              <w:bottom w:val="single" w:sz="4" w:space="0" w:color="C0C0C0"/>
              <w:right w:val="nil"/>
            </w:tcBorders>
            <w:shd w:val="clear" w:color="auto" w:fill="auto"/>
            <w:noWrap/>
            <w:hideMark/>
          </w:tcPr>
          <w:p w14:paraId="67FC5DFD"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0.590</w:t>
            </w:r>
          </w:p>
        </w:tc>
      </w:tr>
      <w:tr w:rsidR="009C2A33" w:rsidRPr="0040120E" w14:paraId="254907EE" w14:textId="77777777" w:rsidTr="009C2A33">
        <w:trPr>
          <w:trHeight w:val="133"/>
        </w:trPr>
        <w:tc>
          <w:tcPr>
            <w:tcW w:w="3107" w:type="pct"/>
            <w:tcBorders>
              <w:top w:val="nil"/>
              <w:left w:val="nil"/>
              <w:bottom w:val="single" w:sz="4" w:space="0" w:color="C0C0C0"/>
              <w:right w:val="nil"/>
            </w:tcBorders>
            <w:shd w:val="clear" w:color="auto" w:fill="auto"/>
            <w:hideMark/>
          </w:tcPr>
          <w:p w14:paraId="6117D3DD"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with roots</w:t>
            </w:r>
          </w:p>
        </w:tc>
        <w:tc>
          <w:tcPr>
            <w:tcW w:w="467" w:type="pct"/>
            <w:tcBorders>
              <w:top w:val="nil"/>
              <w:left w:val="nil"/>
              <w:bottom w:val="single" w:sz="4" w:space="0" w:color="C0C0C0"/>
              <w:right w:val="single" w:sz="4" w:space="0" w:color="333333"/>
            </w:tcBorders>
            <w:shd w:val="clear" w:color="auto" w:fill="auto"/>
            <w:noWrap/>
            <w:hideMark/>
          </w:tcPr>
          <w:p w14:paraId="6A27BCF2"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0.645</w:t>
            </w:r>
          </w:p>
        </w:tc>
        <w:tc>
          <w:tcPr>
            <w:tcW w:w="683" w:type="pct"/>
            <w:tcBorders>
              <w:top w:val="nil"/>
              <w:left w:val="nil"/>
              <w:bottom w:val="single" w:sz="4" w:space="0" w:color="C0C0C0"/>
              <w:right w:val="single" w:sz="4" w:space="0" w:color="333333"/>
            </w:tcBorders>
            <w:shd w:val="clear" w:color="auto" w:fill="auto"/>
            <w:noWrap/>
            <w:hideMark/>
          </w:tcPr>
          <w:p w14:paraId="11886CD4"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0.822</w:t>
            </w:r>
          </w:p>
        </w:tc>
        <w:tc>
          <w:tcPr>
            <w:tcW w:w="743" w:type="pct"/>
            <w:tcBorders>
              <w:top w:val="nil"/>
              <w:left w:val="nil"/>
              <w:bottom w:val="single" w:sz="4" w:space="0" w:color="C0C0C0"/>
              <w:right w:val="nil"/>
            </w:tcBorders>
            <w:shd w:val="clear" w:color="auto" w:fill="auto"/>
            <w:noWrap/>
            <w:hideMark/>
          </w:tcPr>
          <w:p w14:paraId="39C3BD7C"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0.573</w:t>
            </w:r>
          </w:p>
        </w:tc>
      </w:tr>
      <w:tr w:rsidR="009C2A33" w:rsidRPr="0040120E" w14:paraId="31C61B16" w14:textId="77777777" w:rsidTr="009C2A33">
        <w:trPr>
          <w:trHeight w:val="192"/>
        </w:trPr>
        <w:tc>
          <w:tcPr>
            <w:tcW w:w="3107" w:type="pct"/>
            <w:tcBorders>
              <w:top w:val="nil"/>
              <w:left w:val="nil"/>
              <w:bottom w:val="single" w:sz="4" w:space="0" w:color="C0C0C0"/>
              <w:right w:val="nil"/>
            </w:tcBorders>
            <w:shd w:val="clear" w:color="auto" w:fill="auto"/>
            <w:hideMark/>
          </w:tcPr>
          <w:p w14:paraId="7DC1ECAE"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that has a strong link to the past</w:t>
            </w:r>
          </w:p>
        </w:tc>
        <w:tc>
          <w:tcPr>
            <w:tcW w:w="467" w:type="pct"/>
            <w:tcBorders>
              <w:top w:val="nil"/>
              <w:left w:val="nil"/>
              <w:bottom w:val="single" w:sz="4" w:space="0" w:color="C0C0C0"/>
              <w:right w:val="single" w:sz="4" w:space="0" w:color="333333"/>
            </w:tcBorders>
            <w:shd w:val="clear" w:color="auto" w:fill="auto"/>
            <w:noWrap/>
            <w:hideMark/>
          </w:tcPr>
          <w:p w14:paraId="13A1CA65"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0.524</w:t>
            </w:r>
          </w:p>
        </w:tc>
        <w:tc>
          <w:tcPr>
            <w:tcW w:w="683" w:type="pct"/>
            <w:tcBorders>
              <w:top w:val="nil"/>
              <w:left w:val="nil"/>
              <w:bottom w:val="single" w:sz="4" w:space="0" w:color="C0C0C0"/>
              <w:right w:val="single" w:sz="4" w:space="0" w:color="333333"/>
            </w:tcBorders>
            <w:shd w:val="clear" w:color="auto" w:fill="auto"/>
            <w:noWrap/>
            <w:hideMark/>
          </w:tcPr>
          <w:p w14:paraId="40DE4FD8"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0.781</w:t>
            </w:r>
          </w:p>
        </w:tc>
        <w:tc>
          <w:tcPr>
            <w:tcW w:w="743" w:type="pct"/>
            <w:tcBorders>
              <w:top w:val="nil"/>
              <w:left w:val="nil"/>
              <w:bottom w:val="single" w:sz="4" w:space="0" w:color="C0C0C0"/>
              <w:right w:val="nil"/>
            </w:tcBorders>
            <w:shd w:val="clear" w:color="auto" w:fill="auto"/>
            <w:noWrap/>
            <w:hideMark/>
          </w:tcPr>
          <w:p w14:paraId="2BA9F26D"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0.447</w:t>
            </w:r>
          </w:p>
        </w:tc>
      </w:tr>
      <w:tr w:rsidR="009C2A33" w:rsidRPr="0040120E" w14:paraId="5F5981A2" w14:textId="77777777" w:rsidTr="009C2A33">
        <w:trPr>
          <w:trHeight w:val="110"/>
        </w:trPr>
        <w:tc>
          <w:tcPr>
            <w:tcW w:w="3107" w:type="pct"/>
            <w:tcBorders>
              <w:top w:val="nil"/>
              <w:left w:val="nil"/>
              <w:bottom w:val="single" w:sz="4" w:space="0" w:color="C0C0C0"/>
              <w:right w:val="nil"/>
            </w:tcBorders>
            <w:shd w:val="clear" w:color="auto" w:fill="auto"/>
            <w:hideMark/>
          </w:tcPr>
          <w:p w14:paraId="1809EC84" w14:textId="35492101"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pointing to its founding date</w:t>
            </w:r>
          </w:p>
        </w:tc>
        <w:tc>
          <w:tcPr>
            <w:tcW w:w="467" w:type="pct"/>
            <w:tcBorders>
              <w:top w:val="nil"/>
              <w:left w:val="nil"/>
              <w:bottom w:val="single" w:sz="4" w:space="0" w:color="C0C0C0"/>
              <w:right w:val="single" w:sz="4" w:space="0" w:color="333333"/>
            </w:tcBorders>
            <w:shd w:val="clear" w:color="auto" w:fill="auto"/>
            <w:noWrap/>
            <w:hideMark/>
          </w:tcPr>
          <w:p w14:paraId="4FC34F68"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0.470</w:t>
            </w:r>
          </w:p>
        </w:tc>
        <w:tc>
          <w:tcPr>
            <w:tcW w:w="683" w:type="pct"/>
            <w:tcBorders>
              <w:top w:val="nil"/>
              <w:left w:val="nil"/>
              <w:bottom w:val="single" w:sz="4" w:space="0" w:color="C0C0C0"/>
              <w:right w:val="single" w:sz="4" w:space="0" w:color="333333"/>
            </w:tcBorders>
            <w:shd w:val="clear" w:color="auto" w:fill="auto"/>
            <w:noWrap/>
            <w:hideMark/>
          </w:tcPr>
          <w:p w14:paraId="12CA1F40"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0.635</w:t>
            </w:r>
          </w:p>
        </w:tc>
        <w:tc>
          <w:tcPr>
            <w:tcW w:w="743" w:type="pct"/>
            <w:tcBorders>
              <w:top w:val="nil"/>
              <w:left w:val="nil"/>
              <w:bottom w:val="single" w:sz="4" w:space="0" w:color="C0C0C0"/>
              <w:right w:val="nil"/>
            </w:tcBorders>
            <w:shd w:val="clear" w:color="auto" w:fill="auto"/>
            <w:noWrap/>
            <w:hideMark/>
          </w:tcPr>
          <w:p w14:paraId="6F1DA540"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0.466</w:t>
            </w:r>
          </w:p>
        </w:tc>
      </w:tr>
      <w:tr w:rsidR="009C2A33" w:rsidRPr="0040120E" w14:paraId="59F2AFE8" w14:textId="77777777" w:rsidTr="009C2A33">
        <w:trPr>
          <w:trHeight w:val="53"/>
        </w:trPr>
        <w:tc>
          <w:tcPr>
            <w:tcW w:w="3107" w:type="pct"/>
            <w:tcBorders>
              <w:top w:val="nil"/>
              <w:left w:val="nil"/>
              <w:bottom w:val="single" w:sz="4" w:space="0" w:color="C0C0C0"/>
              <w:right w:val="nil"/>
            </w:tcBorders>
            <w:shd w:val="clear" w:color="auto" w:fill="auto"/>
            <w:hideMark/>
          </w:tcPr>
          <w:p w14:paraId="07CF0796"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that renews itself</w:t>
            </w:r>
          </w:p>
        </w:tc>
        <w:tc>
          <w:tcPr>
            <w:tcW w:w="467" w:type="pct"/>
            <w:tcBorders>
              <w:top w:val="nil"/>
              <w:left w:val="nil"/>
              <w:bottom w:val="single" w:sz="4" w:space="0" w:color="C0C0C0"/>
              <w:right w:val="single" w:sz="4" w:space="0" w:color="333333"/>
            </w:tcBorders>
            <w:shd w:val="clear" w:color="auto" w:fill="auto"/>
            <w:noWrap/>
            <w:hideMark/>
          </w:tcPr>
          <w:p w14:paraId="2C62AFE7"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0.506</w:t>
            </w:r>
          </w:p>
        </w:tc>
        <w:tc>
          <w:tcPr>
            <w:tcW w:w="683" w:type="pct"/>
            <w:tcBorders>
              <w:top w:val="nil"/>
              <w:left w:val="nil"/>
              <w:bottom w:val="single" w:sz="4" w:space="0" w:color="C0C0C0"/>
              <w:right w:val="single" w:sz="4" w:space="0" w:color="333333"/>
            </w:tcBorders>
            <w:shd w:val="clear" w:color="auto" w:fill="auto"/>
            <w:noWrap/>
            <w:hideMark/>
          </w:tcPr>
          <w:p w14:paraId="6103036A"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0.550</w:t>
            </w:r>
          </w:p>
        </w:tc>
        <w:tc>
          <w:tcPr>
            <w:tcW w:w="743" w:type="pct"/>
            <w:tcBorders>
              <w:top w:val="nil"/>
              <w:left w:val="nil"/>
              <w:bottom w:val="single" w:sz="4" w:space="0" w:color="C0C0C0"/>
              <w:right w:val="nil"/>
            </w:tcBorders>
            <w:shd w:val="clear" w:color="auto" w:fill="auto"/>
            <w:noWrap/>
            <w:hideMark/>
          </w:tcPr>
          <w:p w14:paraId="4BA6D2D2"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0.883</w:t>
            </w:r>
          </w:p>
        </w:tc>
      </w:tr>
      <w:tr w:rsidR="009C2A33" w:rsidRPr="0040120E" w14:paraId="7681BADA" w14:textId="77777777" w:rsidTr="009C2A33">
        <w:trPr>
          <w:trHeight w:val="116"/>
        </w:trPr>
        <w:tc>
          <w:tcPr>
            <w:tcW w:w="3107" w:type="pct"/>
            <w:tcBorders>
              <w:top w:val="nil"/>
              <w:left w:val="nil"/>
              <w:bottom w:val="single" w:sz="4" w:space="0" w:color="993366"/>
              <w:right w:val="nil"/>
            </w:tcBorders>
            <w:shd w:val="clear" w:color="auto" w:fill="auto"/>
            <w:hideMark/>
          </w:tcPr>
          <w:p w14:paraId="4E534D84"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 brand that knows how to reinvent itself</w:t>
            </w:r>
          </w:p>
        </w:tc>
        <w:tc>
          <w:tcPr>
            <w:tcW w:w="467" w:type="pct"/>
            <w:tcBorders>
              <w:top w:val="nil"/>
              <w:left w:val="nil"/>
              <w:bottom w:val="single" w:sz="4" w:space="0" w:color="993366"/>
              <w:right w:val="single" w:sz="4" w:space="0" w:color="333333"/>
            </w:tcBorders>
            <w:shd w:val="clear" w:color="auto" w:fill="auto"/>
            <w:noWrap/>
            <w:hideMark/>
          </w:tcPr>
          <w:p w14:paraId="6CD1B2EB"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0.492</w:t>
            </w:r>
          </w:p>
        </w:tc>
        <w:tc>
          <w:tcPr>
            <w:tcW w:w="683" w:type="pct"/>
            <w:tcBorders>
              <w:top w:val="nil"/>
              <w:left w:val="nil"/>
              <w:bottom w:val="single" w:sz="4" w:space="0" w:color="993366"/>
              <w:right w:val="single" w:sz="4" w:space="0" w:color="333333"/>
            </w:tcBorders>
            <w:shd w:val="clear" w:color="auto" w:fill="auto"/>
            <w:noWrap/>
            <w:hideMark/>
          </w:tcPr>
          <w:p w14:paraId="43C9C5C6" w14:textId="77777777" w:rsidR="00730AF2" w:rsidRPr="0040120E" w:rsidRDefault="00730AF2" w:rsidP="00730AF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0.654</w:t>
            </w:r>
          </w:p>
        </w:tc>
        <w:tc>
          <w:tcPr>
            <w:tcW w:w="743" w:type="pct"/>
            <w:tcBorders>
              <w:top w:val="nil"/>
              <w:left w:val="nil"/>
              <w:bottom w:val="single" w:sz="4" w:space="0" w:color="993366"/>
              <w:right w:val="nil"/>
            </w:tcBorders>
            <w:shd w:val="clear" w:color="auto" w:fill="auto"/>
            <w:noWrap/>
            <w:hideMark/>
          </w:tcPr>
          <w:p w14:paraId="2EB5260E" w14:textId="77777777" w:rsidR="00730AF2" w:rsidRPr="0040120E" w:rsidRDefault="00730AF2" w:rsidP="00730AF2">
            <w:pPr>
              <w:spacing w:after="0" w:line="240" w:lineRule="auto"/>
              <w:jc w:val="right"/>
              <w:rPr>
                <w:rFonts w:ascii="Times New Roman" w:eastAsia="Times New Roman" w:hAnsi="Times New Roman" w:cs="Times New Roman"/>
                <w:b/>
                <w:bCs/>
                <w:sz w:val="24"/>
                <w:szCs w:val="24"/>
                <w:lang w:val="en-GB" w:eastAsia="en-GB"/>
              </w:rPr>
            </w:pPr>
            <w:r w:rsidRPr="0040120E">
              <w:rPr>
                <w:rFonts w:ascii="Times New Roman" w:eastAsia="Times New Roman" w:hAnsi="Times New Roman" w:cs="Times New Roman"/>
                <w:b/>
                <w:bCs/>
                <w:sz w:val="24"/>
                <w:szCs w:val="24"/>
                <w:lang w:val="en-GB" w:eastAsia="en-GB"/>
              </w:rPr>
              <w:t>0.881</w:t>
            </w:r>
          </w:p>
        </w:tc>
      </w:tr>
      <w:tr w:rsidR="009C2A33" w:rsidRPr="00320A36" w14:paraId="5AAF7EE3" w14:textId="77777777" w:rsidTr="009C2A33">
        <w:trPr>
          <w:trHeight w:val="300"/>
        </w:trPr>
        <w:tc>
          <w:tcPr>
            <w:tcW w:w="5000" w:type="pct"/>
            <w:gridSpan w:val="4"/>
            <w:tcBorders>
              <w:top w:val="nil"/>
              <w:left w:val="nil"/>
              <w:bottom w:val="nil"/>
              <w:right w:val="nil"/>
            </w:tcBorders>
            <w:shd w:val="clear" w:color="auto" w:fill="auto"/>
            <w:hideMark/>
          </w:tcPr>
          <w:p w14:paraId="69EA403E" w14:textId="77777777" w:rsidR="00730AF2" w:rsidRPr="0040120E" w:rsidRDefault="00730AF2" w:rsidP="00730AF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xml:space="preserve">Extraction Method: Maximum Likelihood. </w:t>
            </w:r>
            <w:r w:rsidRPr="0040120E">
              <w:rPr>
                <w:rFonts w:ascii="Times New Roman" w:eastAsia="Times New Roman" w:hAnsi="Times New Roman" w:cs="Times New Roman"/>
                <w:sz w:val="24"/>
                <w:szCs w:val="24"/>
                <w:lang w:val="en-GB" w:eastAsia="en-GB"/>
              </w:rPr>
              <w:br/>
              <w:t xml:space="preserve"> Rotation Method: Promax with Kaiser Normalization.</w:t>
            </w:r>
          </w:p>
        </w:tc>
      </w:tr>
    </w:tbl>
    <w:p w14:paraId="6474D989" w14:textId="49BD2A82" w:rsidR="00730AF2" w:rsidRPr="0040120E" w:rsidRDefault="00730AF2" w:rsidP="002D7072">
      <w:pPr>
        <w:spacing w:line="480" w:lineRule="auto"/>
        <w:rPr>
          <w:rFonts w:ascii="Times New Roman" w:hAnsi="Times New Roman" w:cs="Times New Roman"/>
          <w:sz w:val="24"/>
          <w:szCs w:val="24"/>
          <w:lang w:val="en-GB"/>
        </w:rPr>
      </w:pPr>
    </w:p>
    <w:p w14:paraId="49E2DC2B" w14:textId="5B1FD4A4" w:rsidR="009C2A33" w:rsidRPr="0040120E" w:rsidRDefault="009C2A33" w:rsidP="009C2A33">
      <w:pPr>
        <w:pStyle w:val="Caption"/>
        <w:keepNext/>
        <w:jc w:val="center"/>
        <w:rPr>
          <w:rFonts w:ascii="Times New Roman" w:hAnsi="Times New Roman" w:cs="Times New Roman"/>
          <w:color w:val="auto"/>
          <w:sz w:val="24"/>
        </w:rPr>
      </w:pPr>
      <w:r w:rsidRPr="0040120E">
        <w:rPr>
          <w:rFonts w:ascii="Times New Roman" w:hAnsi="Times New Roman" w:cs="Times New Roman"/>
          <w:color w:val="auto"/>
          <w:sz w:val="24"/>
        </w:rPr>
        <w:t xml:space="preserve">Table </w:t>
      </w:r>
      <w:r w:rsidRPr="0040120E">
        <w:rPr>
          <w:rFonts w:ascii="Times New Roman" w:hAnsi="Times New Roman" w:cs="Times New Roman"/>
          <w:color w:val="auto"/>
          <w:sz w:val="24"/>
        </w:rPr>
        <w:fldChar w:fldCharType="begin"/>
      </w:r>
      <w:r w:rsidRPr="0040120E">
        <w:rPr>
          <w:rFonts w:ascii="Times New Roman" w:hAnsi="Times New Roman" w:cs="Times New Roman"/>
          <w:color w:val="auto"/>
          <w:sz w:val="24"/>
        </w:rPr>
        <w:instrText xml:space="preserve"> SEQ Table \* ARABIC </w:instrText>
      </w:r>
      <w:r w:rsidRPr="0040120E">
        <w:rPr>
          <w:rFonts w:ascii="Times New Roman" w:hAnsi="Times New Roman" w:cs="Times New Roman"/>
          <w:color w:val="auto"/>
          <w:sz w:val="24"/>
        </w:rPr>
        <w:fldChar w:fldCharType="separate"/>
      </w:r>
      <w:r w:rsidR="00671C69">
        <w:rPr>
          <w:rFonts w:ascii="Times New Roman" w:hAnsi="Times New Roman" w:cs="Times New Roman"/>
          <w:noProof/>
          <w:color w:val="auto"/>
          <w:sz w:val="24"/>
        </w:rPr>
        <w:t>3</w:t>
      </w:r>
      <w:r w:rsidRPr="0040120E">
        <w:rPr>
          <w:rFonts w:ascii="Times New Roman" w:hAnsi="Times New Roman" w:cs="Times New Roman"/>
          <w:color w:val="auto"/>
          <w:sz w:val="24"/>
        </w:rPr>
        <w:fldChar w:fldCharType="end"/>
      </w:r>
      <w:r w:rsidRPr="0040120E">
        <w:rPr>
          <w:rFonts w:ascii="Times New Roman" w:hAnsi="Times New Roman" w:cs="Times New Roman"/>
          <w:color w:val="auto"/>
          <w:sz w:val="24"/>
        </w:rPr>
        <w:t xml:space="preserve"> - Factor Correlation Matrix (EFA)</w:t>
      </w:r>
    </w:p>
    <w:tbl>
      <w:tblPr>
        <w:tblW w:w="5103" w:type="dxa"/>
        <w:jc w:val="center"/>
        <w:tblLook w:val="04A0" w:firstRow="1" w:lastRow="0" w:firstColumn="1" w:lastColumn="0" w:noHBand="0" w:noVBand="1"/>
      </w:tblPr>
      <w:tblGrid>
        <w:gridCol w:w="1671"/>
        <w:gridCol w:w="1023"/>
        <w:gridCol w:w="1134"/>
        <w:gridCol w:w="1275"/>
      </w:tblGrid>
      <w:tr w:rsidR="009C2A33" w:rsidRPr="0040120E" w14:paraId="697D22EF" w14:textId="77777777" w:rsidTr="009C2A33">
        <w:trPr>
          <w:trHeight w:val="300"/>
          <w:jc w:val="center"/>
        </w:trPr>
        <w:tc>
          <w:tcPr>
            <w:tcW w:w="1671" w:type="dxa"/>
            <w:tcBorders>
              <w:top w:val="nil"/>
              <w:left w:val="nil"/>
              <w:bottom w:val="single" w:sz="4" w:space="0" w:color="993366"/>
              <w:right w:val="nil"/>
            </w:tcBorders>
            <w:shd w:val="clear" w:color="auto" w:fill="auto"/>
            <w:vAlign w:val="bottom"/>
            <w:hideMark/>
          </w:tcPr>
          <w:p w14:paraId="5F44B3FE" w14:textId="77777777" w:rsidR="00D30661" w:rsidRPr="0040120E" w:rsidRDefault="00D30661" w:rsidP="00D30661">
            <w:pPr>
              <w:spacing w:after="0" w:line="240" w:lineRule="auto"/>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Factor</w:t>
            </w:r>
          </w:p>
        </w:tc>
        <w:tc>
          <w:tcPr>
            <w:tcW w:w="1023" w:type="dxa"/>
            <w:tcBorders>
              <w:top w:val="nil"/>
              <w:left w:val="nil"/>
              <w:bottom w:val="single" w:sz="4" w:space="0" w:color="993366"/>
              <w:right w:val="single" w:sz="4" w:space="0" w:color="333333"/>
            </w:tcBorders>
            <w:shd w:val="clear" w:color="auto" w:fill="auto"/>
            <w:noWrap/>
            <w:vAlign w:val="bottom"/>
            <w:hideMark/>
          </w:tcPr>
          <w:p w14:paraId="69BA008C" w14:textId="77777777" w:rsidR="00D30661" w:rsidRPr="0040120E" w:rsidRDefault="00D30661" w:rsidP="00D30661">
            <w:pPr>
              <w:spacing w:after="0" w:line="240" w:lineRule="auto"/>
              <w:jc w:val="center"/>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1</w:t>
            </w:r>
          </w:p>
        </w:tc>
        <w:tc>
          <w:tcPr>
            <w:tcW w:w="1134" w:type="dxa"/>
            <w:tcBorders>
              <w:top w:val="nil"/>
              <w:left w:val="nil"/>
              <w:bottom w:val="single" w:sz="4" w:space="0" w:color="993366"/>
              <w:right w:val="single" w:sz="4" w:space="0" w:color="333333"/>
            </w:tcBorders>
            <w:shd w:val="clear" w:color="auto" w:fill="auto"/>
            <w:noWrap/>
            <w:vAlign w:val="bottom"/>
            <w:hideMark/>
          </w:tcPr>
          <w:p w14:paraId="1FB3DC91" w14:textId="77777777" w:rsidR="00D30661" w:rsidRPr="0040120E" w:rsidRDefault="00D30661" w:rsidP="00D30661">
            <w:pPr>
              <w:spacing w:after="0" w:line="240" w:lineRule="auto"/>
              <w:jc w:val="center"/>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2</w:t>
            </w:r>
          </w:p>
        </w:tc>
        <w:tc>
          <w:tcPr>
            <w:tcW w:w="1275" w:type="dxa"/>
            <w:tcBorders>
              <w:top w:val="nil"/>
              <w:left w:val="nil"/>
              <w:bottom w:val="single" w:sz="4" w:space="0" w:color="993366"/>
              <w:right w:val="nil"/>
            </w:tcBorders>
            <w:shd w:val="clear" w:color="auto" w:fill="auto"/>
            <w:noWrap/>
            <w:vAlign w:val="bottom"/>
            <w:hideMark/>
          </w:tcPr>
          <w:p w14:paraId="52217B1F" w14:textId="77777777" w:rsidR="00D30661" w:rsidRPr="0040120E" w:rsidRDefault="00D30661" w:rsidP="00D30661">
            <w:pPr>
              <w:spacing w:after="0" w:line="240" w:lineRule="auto"/>
              <w:jc w:val="center"/>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3</w:t>
            </w:r>
          </w:p>
        </w:tc>
      </w:tr>
      <w:tr w:rsidR="009C2A33" w:rsidRPr="0040120E" w14:paraId="41F9964E" w14:textId="77777777" w:rsidTr="009C2A33">
        <w:trPr>
          <w:trHeight w:val="300"/>
          <w:jc w:val="center"/>
        </w:trPr>
        <w:tc>
          <w:tcPr>
            <w:tcW w:w="1671" w:type="dxa"/>
            <w:tcBorders>
              <w:top w:val="nil"/>
              <w:left w:val="nil"/>
              <w:bottom w:val="single" w:sz="4" w:space="0" w:color="C0C0C0"/>
              <w:right w:val="nil"/>
            </w:tcBorders>
            <w:shd w:val="clear" w:color="auto" w:fill="auto"/>
            <w:noWrap/>
            <w:hideMark/>
          </w:tcPr>
          <w:p w14:paraId="00B22064" w14:textId="77777777" w:rsidR="00D30661" w:rsidRPr="0040120E" w:rsidRDefault="00D30661" w:rsidP="00D30661">
            <w:pPr>
              <w:spacing w:after="0" w:line="240" w:lineRule="auto"/>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1.Stability</w:t>
            </w:r>
          </w:p>
        </w:tc>
        <w:tc>
          <w:tcPr>
            <w:tcW w:w="1023" w:type="dxa"/>
            <w:tcBorders>
              <w:top w:val="nil"/>
              <w:left w:val="nil"/>
              <w:bottom w:val="single" w:sz="4" w:space="0" w:color="C0C0C0"/>
              <w:right w:val="single" w:sz="4" w:space="0" w:color="333333"/>
            </w:tcBorders>
            <w:shd w:val="clear" w:color="auto" w:fill="auto"/>
            <w:noWrap/>
            <w:hideMark/>
          </w:tcPr>
          <w:p w14:paraId="4C914F94" w14:textId="77777777" w:rsidR="00D30661" w:rsidRPr="0040120E" w:rsidRDefault="00D30661" w:rsidP="00D30661">
            <w:pPr>
              <w:spacing w:after="0" w:line="240" w:lineRule="auto"/>
              <w:jc w:val="right"/>
              <w:rPr>
                <w:rFonts w:ascii="Times New Roman" w:eastAsia="Times New Roman" w:hAnsi="Times New Roman" w:cs="Times New Roman"/>
                <w:b/>
                <w:bCs/>
                <w:sz w:val="24"/>
                <w:szCs w:val="18"/>
                <w:lang w:val="en-GB" w:eastAsia="en-GB"/>
              </w:rPr>
            </w:pPr>
            <w:r w:rsidRPr="0040120E">
              <w:rPr>
                <w:rFonts w:ascii="Times New Roman" w:eastAsia="Times New Roman" w:hAnsi="Times New Roman" w:cs="Times New Roman"/>
                <w:b/>
                <w:bCs/>
                <w:sz w:val="24"/>
                <w:szCs w:val="18"/>
                <w:lang w:val="en-GB" w:eastAsia="en-GB"/>
              </w:rPr>
              <w:t>0.742</w:t>
            </w:r>
          </w:p>
        </w:tc>
        <w:tc>
          <w:tcPr>
            <w:tcW w:w="1134" w:type="dxa"/>
            <w:tcBorders>
              <w:top w:val="nil"/>
              <w:left w:val="nil"/>
              <w:bottom w:val="single" w:sz="4" w:space="0" w:color="C0C0C0"/>
              <w:right w:val="single" w:sz="4" w:space="0" w:color="333333"/>
            </w:tcBorders>
            <w:shd w:val="clear" w:color="auto" w:fill="auto"/>
            <w:noWrap/>
            <w:hideMark/>
          </w:tcPr>
          <w:p w14:paraId="7DA6C3E5" w14:textId="77777777" w:rsidR="00D30661" w:rsidRPr="0040120E" w:rsidRDefault="00D30661" w:rsidP="00D30661">
            <w:pPr>
              <w:spacing w:after="0" w:line="240" w:lineRule="auto"/>
              <w:jc w:val="right"/>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0.518</w:t>
            </w:r>
          </w:p>
        </w:tc>
        <w:tc>
          <w:tcPr>
            <w:tcW w:w="1275" w:type="dxa"/>
            <w:tcBorders>
              <w:top w:val="nil"/>
              <w:left w:val="nil"/>
              <w:bottom w:val="single" w:sz="4" w:space="0" w:color="C0C0C0"/>
              <w:right w:val="nil"/>
            </w:tcBorders>
            <w:shd w:val="clear" w:color="auto" w:fill="auto"/>
            <w:noWrap/>
            <w:hideMark/>
          </w:tcPr>
          <w:p w14:paraId="01B6196A" w14:textId="77777777" w:rsidR="00D30661" w:rsidRPr="0040120E" w:rsidRDefault="00D30661" w:rsidP="00D30661">
            <w:pPr>
              <w:spacing w:after="0" w:line="240" w:lineRule="auto"/>
              <w:jc w:val="right"/>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0.309</w:t>
            </w:r>
          </w:p>
        </w:tc>
      </w:tr>
      <w:tr w:rsidR="009C2A33" w:rsidRPr="0040120E" w14:paraId="649C5C5F" w14:textId="77777777" w:rsidTr="009C2A33">
        <w:trPr>
          <w:trHeight w:val="300"/>
          <w:jc w:val="center"/>
        </w:trPr>
        <w:tc>
          <w:tcPr>
            <w:tcW w:w="1671" w:type="dxa"/>
            <w:tcBorders>
              <w:top w:val="nil"/>
              <w:left w:val="nil"/>
              <w:bottom w:val="single" w:sz="4" w:space="0" w:color="C0C0C0"/>
              <w:right w:val="nil"/>
            </w:tcBorders>
            <w:shd w:val="clear" w:color="auto" w:fill="auto"/>
            <w:noWrap/>
            <w:hideMark/>
          </w:tcPr>
          <w:p w14:paraId="1F07FAEB" w14:textId="77777777" w:rsidR="00D30661" w:rsidRPr="0040120E" w:rsidRDefault="00D30661" w:rsidP="00D30661">
            <w:pPr>
              <w:spacing w:after="0" w:line="240" w:lineRule="auto"/>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2.Longevity</w:t>
            </w:r>
          </w:p>
        </w:tc>
        <w:tc>
          <w:tcPr>
            <w:tcW w:w="1023" w:type="dxa"/>
            <w:tcBorders>
              <w:top w:val="nil"/>
              <w:left w:val="nil"/>
              <w:bottom w:val="single" w:sz="4" w:space="0" w:color="C0C0C0"/>
              <w:right w:val="single" w:sz="4" w:space="0" w:color="333333"/>
            </w:tcBorders>
            <w:shd w:val="clear" w:color="auto" w:fill="auto"/>
            <w:noWrap/>
            <w:hideMark/>
          </w:tcPr>
          <w:p w14:paraId="1031C5EB" w14:textId="77777777" w:rsidR="00D30661" w:rsidRPr="0040120E" w:rsidRDefault="00D30661" w:rsidP="00D30661">
            <w:pPr>
              <w:spacing w:after="0" w:line="240" w:lineRule="auto"/>
              <w:jc w:val="right"/>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0.720</w:t>
            </w:r>
          </w:p>
        </w:tc>
        <w:tc>
          <w:tcPr>
            <w:tcW w:w="1134" w:type="dxa"/>
            <w:tcBorders>
              <w:top w:val="nil"/>
              <w:left w:val="nil"/>
              <w:bottom w:val="single" w:sz="4" w:space="0" w:color="C0C0C0"/>
              <w:right w:val="single" w:sz="4" w:space="0" w:color="333333"/>
            </w:tcBorders>
            <w:shd w:val="clear" w:color="auto" w:fill="auto"/>
            <w:noWrap/>
            <w:hideMark/>
          </w:tcPr>
          <w:p w14:paraId="608272DB" w14:textId="77777777" w:rsidR="00D30661" w:rsidRPr="0040120E" w:rsidRDefault="00D30661" w:rsidP="00D30661">
            <w:pPr>
              <w:spacing w:after="0" w:line="240" w:lineRule="auto"/>
              <w:jc w:val="right"/>
              <w:rPr>
                <w:rFonts w:ascii="Times New Roman" w:eastAsia="Times New Roman" w:hAnsi="Times New Roman" w:cs="Times New Roman"/>
                <w:b/>
                <w:bCs/>
                <w:sz w:val="24"/>
                <w:szCs w:val="18"/>
                <w:lang w:val="en-GB" w:eastAsia="en-GB"/>
              </w:rPr>
            </w:pPr>
            <w:r w:rsidRPr="0040120E">
              <w:rPr>
                <w:rFonts w:ascii="Times New Roman" w:eastAsia="Times New Roman" w:hAnsi="Times New Roman" w:cs="Times New Roman"/>
                <w:b/>
                <w:bCs/>
                <w:sz w:val="24"/>
                <w:szCs w:val="18"/>
                <w:lang w:val="en-GB" w:eastAsia="en-GB"/>
              </w:rPr>
              <w:t>0.636</w:t>
            </w:r>
          </w:p>
        </w:tc>
        <w:tc>
          <w:tcPr>
            <w:tcW w:w="1275" w:type="dxa"/>
            <w:tcBorders>
              <w:top w:val="nil"/>
              <w:left w:val="nil"/>
              <w:bottom w:val="single" w:sz="4" w:space="0" w:color="C0C0C0"/>
              <w:right w:val="nil"/>
            </w:tcBorders>
            <w:shd w:val="clear" w:color="auto" w:fill="auto"/>
            <w:noWrap/>
            <w:hideMark/>
          </w:tcPr>
          <w:p w14:paraId="077D1507" w14:textId="77777777" w:rsidR="00D30661" w:rsidRPr="0040120E" w:rsidRDefault="00D30661" w:rsidP="00D30661">
            <w:pPr>
              <w:spacing w:after="0" w:line="240" w:lineRule="auto"/>
              <w:jc w:val="right"/>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0.438</w:t>
            </w:r>
          </w:p>
        </w:tc>
      </w:tr>
      <w:tr w:rsidR="009C2A33" w:rsidRPr="0040120E" w14:paraId="07033E70" w14:textId="77777777" w:rsidTr="009C2A33">
        <w:trPr>
          <w:trHeight w:val="300"/>
          <w:jc w:val="center"/>
        </w:trPr>
        <w:tc>
          <w:tcPr>
            <w:tcW w:w="1671" w:type="dxa"/>
            <w:tcBorders>
              <w:top w:val="nil"/>
              <w:left w:val="nil"/>
              <w:bottom w:val="single" w:sz="4" w:space="0" w:color="993366"/>
              <w:right w:val="nil"/>
            </w:tcBorders>
            <w:shd w:val="clear" w:color="auto" w:fill="auto"/>
            <w:noWrap/>
            <w:hideMark/>
          </w:tcPr>
          <w:p w14:paraId="5D909681" w14:textId="77777777" w:rsidR="00D30661" w:rsidRPr="0040120E" w:rsidRDefault="00D30661" w:rsidP="00D30661">
            <w:pPr>
              <w:spacing w:after="0" w:line="240" w:lineRule="auto"/>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3.Adaptability</w:t>
            </w:r>
          </w:p>
        </w:tc>
        <w:tc>
          <w:tcPr>
            <w:tcW w:w="1023" w:type="dxa"/>
            <w:tcBorders>
              <w:top w:val="nil"/>
              <w:left w:val="nil"/>
              <w:bottom w:val="single" w:sz="4" w:space="0" w:color="993366"/>
              <w:right w:val="single" w:sz="4" w:space="0" w:color="333333"/>
            </w:tcBorders>
            <w:shd w:val="clear" w:color="auto" w:fill="auto"/>
            <w:noWrap/>
            <w:hideMark/>
          </w:tcPr>
          <w:p w14:paraId="0EEAC595" w14:textId="77777777" w:rsidR="00D30661" w:rsidRPr="0040120E" w:rsidRDefault="00D30661" w:rsidP="00D30661">
            <w:pPr>
              <w:spacing w:after="0" w:line="240" w:lineRule="auto"/>
              <w:jc w:val="right"/>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0.556</w:t>
            </w:r>
          </w:p>
        </w:tc>
        <w:tc>
          <w:tcPr>
            <w:tcW w:w="1134" w:type="dxa"/>
            <w:tcBorders>
              <w:top w:val="nil"/>
              <w:left w:val="nil"/>
              <w:bottom w:val="single" w:sz="4" w:space="0" w:color="993366"/>
              <w:right w:val="single" w:sz="4" w:space="0" w:color="333333"/>
            </w:tcBorders>
            <w:shd w:val="clear" w:color="auto" w:fill="auto"/>
            <w:noWrap/>
            <w:hideMark/>
          </w:tcPr>
          <w:p w14:paraId="5FAA9C20" w14:textId="77777777" w:rsidR="00D30661" w:rsidRPr="0040120E" w:rsidRDefault="00D30661" w:rsidP="00D30661">
            <w:pPr>
              <w:spacing w:after="0" w:line="240" w:lineRule="auto"/>
              <w:jc w:val="right"/>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0.661</w:t>
            </w:r>
          </w:p>
        </w:tc>
        <w:tc>
          <w:tcPr>
            <w:tcW w:w="1275" w:type="dxa"/>
            <w:tcBorders>
              <w:top w:val="nil"/>
              <w:left w:val="nil"/>
              <w:bottom w:val="single" w:sz="4" w:space="0" w:color="993366"/>
              <w:right w:val="nil"/>
            </w:tcBorders>
            <w:shd w:val="clear" w:color="auto" w:fill="auto"/>
            <w:noWrap/>
            <w:hideMark/>
          </w:tcPr>
          <w:p w14:paraId="2F345DE7" w14:textId="77777777" w:rsidR="00D30661" w:rsidRPr="0040120E" w:rsidRDefault="00D30661" w:rsidP="00D30661">
            <w:pPr>
              <w:spacing w:after="0" w:line="240" w:lineRule="auto"/>
              <w:jc w:val="right"/>
              <w:rPr>
                <w:rFonts w:ascii="Times New Roman" w:eastAsia="Times New Roman" w:hAnsi="Times New Roman" w:cs="Times New Roman"/>
                <w:b/>
                <w:bCs/>
                <w:sz w:val="24"/>
                <w:szCs w:val="18"/>
                <w:lang w:val="en-GB" w:eastAsia="en-GB"/>
              </w:rPr>
            </w:pPr>
            <w:r w:rsidRPr="0040120E">
              <w:rPr>
                <w:rFonts w:ascii="Times New Roman" w:eastAsia="Times New Roman" w:hAnsi="Times New Roman" w:cs="Times New Roman"/>
                <w:b/>
                <w:bCs/>
                <w:sz w:val="24"/>
                <w:szCs w:val="18"/>
                <w:lang w:val="en-GB" w:eastAsia="en-GB"/>
              </w:rPr>
              <w:t>0.778</w:t>
            </w:r>
          </w:p>
        </w:tc>
      </w:tr>
      <w:tr w:rsidR="009C2A33" w:rsidRPr="00320A36" w14:paraId="7E68CC95" w14:textId="77777777" w:rsidTr="009C2A33">
        <w:trPr>
          <w:trHeight w:val="300"/>
          <w:jc w:val="center"/>
        </w:trPr>
        <w:tc>
          <w:tcPr>
            <w:tcW w:w="5103" w:type="dxa"/>
            <w:gridSpan w:val="4"/>
            <w:tcBorders>
              <w:top w:val="nil"/>
              <w:left w:val="nil"/>
              <w:bottom w:val="nil"/>
              <w:right w:val="nil"/>
            </w:tcBorders>
            <w:shd w:val="clear" w:color="auto" w:fill="auto"/>
            <w:hideMark/>
          </w:tcPr>
          <w:p w14:paraId="227F0829" w14:textId="77777777" w:rsidR="00D30661" w:rsidRPr="0040120E" w:rsidRDefault="00D30661" w:rsidP="00D30661">
            <w:pPr>
              <w:spacing w:after="0" w:line="240" w:lineRule="auto"/>
              <w:rPr>
                <w:rFonts w:ascii="Times New Roman" w:eastAsia="Times New Roman" w:hAnsi="Times New Roman" w:cs="Times New Roman"/>
                <w:sz w:val="24"/>
                <w:szCs w:val="18"/>
                <w:lang w:val="en-GB" w:eastAsia="en-GB"/>
              </w:rPr>
            </w:pPr>
            <w:r w:rsidRPr="0040120E">
              <w:rPr>
                <w:rFonts w:ascii="Times New Roman" w:eastAsia="Times New Roman" w:hAnsi="Times New Roman" w:cs="Times New Roman"/>
                <w:sz w:val="24"/>
                <w:szCs w:val="18"/>
                <w:lang w:val="en-GB" w:eastAsia="en-GB"/>
              </w:rPr>
              <w:t>AVEs are in bold on the diagonal; squared correlations are above the diagonal; correlations are below the diagonal</w:t>
            </w:r>
          </w:p>
        </w:tc>
      </w:tr>
    </w:tbl>
    <w:p w14:paraId="7914A8E5" w14:textId="77777777" w:rsidR="00D30661" w:rsidRPr="0040120E" w:rsidRDefault="00D30661" w:rsidP="002D7072">
      <w:pPr>
        <w:spacing w:line="480" w:lineRule="auto"/>
        <w:rPr>
          <w:rFonts w:ascii="Times New Roman" w:hAnsi="Times New Roman" w:cs="Times New Roman"/>
          <w:sz w:val="24"/>
          <w:szCs w:val="24"/>
          <w:lang w:val="en-GB"/>
        </w:rPr>
      </w:pPr>
    </w:p>
    <w:p w14:paraId="385DC6A6" w14:textId="6FC0F2D5" w:rsidR="00270416" w:rsidRPr="0040120E" w:rsidRDefault="006A6CF8"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The</w:t>
      </w:r>
      <w:r w:rsidR="00270416" w:rsidRPr="0040120E">
        <w:rPr>
          <w:rFonts w:ascii="Times New Roman" w:hAnsi="Times New Roman" w:cs="Times New Roman"/>
          <w:sz w:val="24"/>
          <w:szCs w:val="24"/>
          <w:lang w:val="en-GB"/>
        </w:rPr>
        <w:t xml:space="preserve"> items loading on the</w:t>
      </w:r>
      <w:r w:rsidRPr="0040120E">
        <w:rPr>
          <w:rFonts w:ascii="Times New Roman" w:hAnsi="Times New Roman" w:cs="Times New Roman"/>
          <w:sz w:val="24"/>
          <w:szCs w:val="24"/>
          <w:lang w:val="en-GB"/>
        </w:rPr>
        <w:t xml:space="preserve"> first dimension reflect the stability: the perception of persistence of the brand’s values and promises over time</w:t>
      </w:r>
      <w:r w:rsidR="00687850" w:rsidRPr="0040120E">
        <w:rPr>
          <w:rFonts w:ascii="Times New Roman" w:hAnsi="Times New Roman" w:cs="Times New Roman"/>
          <w:sz w:val="24"/>
          <w:szCs w:val="24"/>
          <w:lang w:val="en-GB"/>
        </w:rPr>
        <w:t>, without a change in essence</w:t>
      </w:r>
      <w:r w:rsidRPr="0040120E">
        <w:rPr>
          <w:rFonts w:ascii="Times New Roman" w:hAnsi="Times New Roman" w:cs="Times New Roman"/>
          <w:sz w:val="24"/>
          <w:szCs w:val="24"/>
          <w:lang w:val="en-GB"/>
        </w:rPr>
        <w:t xml:space="preserve">. Regardless of the age of the brand, stability is observed in the brand’s core values and a track record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{"citationItems":[{"id":"ITEM-1","itemData":{"DOI":"10.1057/palgrave.bm.2550106","ISBN":"1350231X","ISSN":"1350-231X","PMID":"26435846","abstract":"This paper articulates a concept of ‚Äòheritage brands‚Äô,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marketing.","author":[{"dropping-particle":"","family":"Urde","given":"Mats","non-dropping-particle":"","parse-names":false,"suffix":""},{"dropping-particle":"","family":"Greyser","given":"Stephen A","non-dropping-particle":"","parse-names":false,"suffix":""},{"dropping-particle":"","family":"Balmer","given":"John M T","non-dropping-particle":"","parse-names":false,"suffix":""}],"container-title":"Journal of Brand Management","id":"ITEM-1","issue":"1","issued":{"date-parts":[["2007"]]},"page":"4-19","title":"Corporate brands with a heritage","type":"article-journal","volume":"15"},"uris":["http://www.mendeley.com/documents/?uuid=867ee612-ee86-40d1-9ceb-f12530b951e9"]}],"mendeley":{"formattedCitation":"(Urde et al., 2007)","plainTextFormattedCitation":"(Urde et al., 2007)","previouslyFormattedCitation":"(Urde et al., 2007)"},"properties":{"noteIndex":0},"schema":"https://github.com/citation-style-language/schema/raw/master/csl-citation.json"}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 xml:space="preserve">(Urde et al., </w:t>
      </w:r>
      <w:r w:rsidRPr="0040120E">
        <w:rPr>
          <w:rFonts w:ascii="Times New Roman" w:hAnsi="Times New Roman" w:cs="Times New Roman"/>
          <w:noProof/>
          <w:sz w:val="24"/>
          <w:szCs w:val="24"/>
          <w:lang w:val="en-GB"/>
        </w:rPr>
        <w:lastRenderedPageBreak/>
        <w:t>2007)</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The permanence of symbols and values in the company’s operations and marketing activities make</w:t>
      </w:r>
      <w:r w:rsidR="003771CA" w:rsidRPr="0040120E">
        <w:rPr>
          <w:rFonts w:ascii="Times New Roman" w:hAnsi="Times New Roman" w:cs="Times New Roman"/>
          <w:sz w:val="24"/>
          <w:szCs w:val="24"/>
          <w:lang w:val="en-GB"/>
        </w:rPr>
        <w:t>s</w:t>
      </w:r>
      <w:r w:rsidRPr="0040120E">
        <w:rPr>
          <w:rFonts w:ascii="Times New Roman" w:hAnsi="Times New Roman" w:cs="Times New Roman"/>
          <w:sz w:val="24"/>
          <w:szCs w:val="24"/>
          <w:lang w:val="en-GB"/>
        </w:rPr>
        <w:t xml:space="preserve"> this stability available to the consumer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{"citationItems":[{"id":"ITEM-1","itemData":{"DOI":"10.1057/palgrave.bm.2550106","ISBN":"1350231X","ISSN":"1350-231X","PMID":"26435846","abstract":"This paper articulates a concept of ‚Äòheritage brands‚Äô,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marketing.","author":[{"dropping-particle":"","family":"Urde","given":"Mats","non-dropping-particle":"","parse-names":false,"suffix":""},{"dropping-particle":"","family":"Greyser","given":"Stephen A","non-dropping-particle":"","parse-names":false,"suffix":""},{"dropping-particle":"","family":"Balmer","given":"John M T","non-dropping-particle":"","parse-names":false,"suffix":""}],"container-title":"Journal of Brand Management","id":"ITEM-1","issue":"1","issued":{"date-parts":[["2007"]]},"page":"4-19","title":"Corporate brands with a heritage","type":"article-journal","volume":"15"},"uris":["http://www.mendeley.com/documents/?uuid=867ee612-ee86-40d1-9ceb-f12530b951e9"]},{"id":"ITEM-2","itemData":{"DOI":"10.1108/10610421111166595","ISBN":"1061042111","ISSN":"1061-0421","abstract":"Purpose: Brand heritage is acknowledged as one of the future priorities in branding research. Adopting it in an international context is challenging. In order to maximise its use it is necessary to know how strong it and the target country's cultural heritage are. Accordingly, the aim of the study is to construct a pioneering operationalisation of both brand and cultural heritage. Design/methodology/approach: The study begins with a discussion on the focal concepts. Definitions are proposed and suggestions for operationalisation put forward. Thereafter, the concepts are applied in an analysis of brand heritage in different countries. Findings: It is suggested that brand heritage is a mixture of the history as well as the consistency and continuity of core values, product brands, and visual symbols. A country's cultural heritage could be conceived of as homogeneity and endurance. Research limitations/implications: The preliminary operationalisation of the concept needs to be further tested. Nevertheless, the clarification and suggestions offered here should open up opportunities for further research. Practical implications: The exploitation of brand heritage in international markets is likely to be further accentuated. The operationalisations generated are easy for practitioners to apply, enabling companies to better evaluate what brand heritage means for them and to effectively plan its use in an international setting. Originality/value: To the authors' knowledge, this study is the first to suggest operationalisations of brand heritage and cultural heritage. © Emerald Group Publishing Limited.","author":[{"dropping-particle":"","family":"Hakala","given":"Ulla","non-dropping-particle":"","parse-names":false,"suffix":""},{"dropping-particle":"","family":"Lätti","given":"Sonja","non-dropping-particle":"","parse-names":false,"suffix":""},{"dropping-particle":"","family":"Sandberg","given":"Birgitta","non-dropping-particle":"","parse-names":false,"suffix":""}],"container-title":"Journal of Product &amp; Brand Management","id":"ITEM-2","issue":"6","issued":{"date-parts":[["2011"]]},"page":"447-456","title":"Operationalising brand heritage and cultural heritage","type":"article-journal","volume":"20"},"uris":["http://www.mendeley.com/documents/?uuid=9d213521-f346-4126-8c3a-c13e4ff38a11"]}],"mendeley":{"formattedCitation":"(Hakala et al., 2011; Urde et al., 2007)","plainTextFormattedCitation":"(Hakala et al., 2011; Urde et al., 2007)","previouslyFormattedCitation":"(Hakala et al., 2011; Urde et al., 2007)"},"properties":{"noteIndex":0},"schema":"https://github.com/citation-style-language/schema/raw/master/csl-citation.json"}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(Hakala et al., 2011; Urde et al., 2007)</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Examples are the permanence of the same logo, slogan, or packaging over time, or the inscription of the brand in a long-standing tradition and the use of words such as </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consistent</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continuous</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t>
      </w:r>
      <w:r w:rsidR="00E23412"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same</w:t>
      </w:r>
      <w:r w:rsidR="00E23412" w:rsidRPr="0040120E">
        <w:rPr>
          <w:rFonts w:ascii="Times New Roman" w:hAnsi="Times New Roman" w:cs="Times New Roman"/>
          <w:sz w:val="24"/>
          <w:szCs w:val="24"/>
          <w:lang w:val="en-GB"/>
        </w:rPr>
        <w:t>’</w:t>
      </w:r>
      <w:r w:rsidR="003A7D9F"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Stability provides a stronger sense of identity for the company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{"citationItems":[{"id":"ITEM-1","itemData":{"DOI":"10.1108/13563280910998754","ISBN":"1356328091","ISSN":"1356-3289","abstract":"Purpose – Thepurpose of this paper is to focus onhowfirmsdraw on historical references in corporate marketing. The paper seeks to analyze the logic behind such efforts from a corporate identity perspective and to propose potential risks and/or benefits of doing so. The paper aims to inspire the understanding of how references to history are used in marketing and the outcome of such use. Design/methodology/approach – The paper mainly draws on literature relating to corporate marketing and the use of history in organizations. Combining these theories, and pointing at empirical examples, the paper clarifies why references to history can be important manifestations of corporate identity. The paper comes up with propositions concerning what consequences the reference to history in corporate marketing can have for firms’ marketing strategies and business development. Findings – The paper outlines a connection among corporate identity, organizational identity, and image through corporate communications. It suggests thatamongthe range of corporate characteristics, historical references can be particular valuable for corporate communications thanks to the reliability age can provide (as opposed to liabilities of newness). Still, elaborations suggest that the planned use of historical references has both pros and cons in terms of business development. Originality/value – Despite the notion that history, as an inevitable and distinctive firm feature, can play an important role in corporate marketing, research on the topic is quite scarce. This paper offers some remedy to this gap by elaborating on the internal and external rationales for applying historical references and how these can be explained in connections between corporate identity and history.","author":[{"dropping-particle":"","family":"Blombäck","given":"Anna","non-dropping-particle":"","parse-names":false,"suffix":""},{"dropping-particle":"","family":"Brunninge","given":"Olof","non-dropping-particle":"","parse-names":false,"suffix":""}],"container-title":"Corporate Communications: An International Journal","id":"ITEM-1","issue":"4","issued":{"date-parts":[["2009"]]},"page":"404-419","title":"Corporate identity manifested through historical references","type":"article-journal","volume":"14"},"uris":["http://www.mendeley.com/documents/?uuid=6e6f52a3-8aa9-4d88-b1df-5858b05296ce"]}],"mendeley":{"formattedCitation":"(Blombäck &amp; Brunninge, 2009)","plainTextFormattedCitation":"(Blombäck &amp; Brunninge, 2009)","previouslyFormattedCitation":"(Blombäck &amp; Brunninge, 2009)"},"properties":{"noteIndex":0},"schema":"https://github.com/citation-style-language/schema/raw/master/csl-citation.json"}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(Blombäck &amp; Brunninge, 2009)</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and a long-term vision of how the brand should be managed</w:t>
      </w:r>
      <w:r w:rsidR="005255F4"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as it does not seek to change with trends (Hakala et al., 2011). </w:t>
      </w:r>
      <w:r w:rsidR="00687850" w:rsidRPr="0040120E">
        <w:rPr>
          <w:rFonts w:ascii="Times New Roman" w:hAnsi="Times New Roman" w:cs="Times New Roman"/>
          <w:sz w:val="24"/>
          <w:szCs w:val="24"/>
          <w:lang w:val="en-GB"/>
        </w:rPr>
        <w:t>This dimension is temporal in the sense of reflecting an attitude to change.</w:t>
      </w:r>
    </w:p>
    <w:p w14:paraId="63BA44B8" w14:textId="59DB970E" w:rsidR="006A6CF8" w:rsidRPr="0040120E" w:rsidRDefault="00270416"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The items loading on the second dimension</w:t>
      </w:r>
      <w:r w:rsidR="006A6CF8"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reflect </w:t>
      </w:r>
      <w:r w:rsidR="00FA0095" w:rsidRPr="0040120E">
        <w:rPr>
          <w:rFonts w:ascii="Times New Roman" w:hAnsi="Times New Roman" w:cs="Times New Roman"/>
          <w:sz w:val="24"/>
          <w:szCs w:val="24"/>
          <w:lang w:val="en-GB"/>
        </w:rPr>
        <w:t xml:space="preserve">a </w:t>
      </w:r>
      <w:r w:rsidRPr="0040120E">
        <w:rPr>
          <w:rFonts w:ascii="Times New Roman" w:hAnsi="Times New Roman" w:cs="Times New Roman"/>
          <w:sz w:val="24"/>
          <w:szCs w:val="24"/>
          <w:lang w:val="en-GB"/>
        </w:rPr>
        <w:t>perception of longevity</w:t>
      </w:r>
      <w:r w:rsidR="00FA0095"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that is</w:t>
      </w:r>
      <w:r w:rsidR="00FA0095"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the perception</w:t>
      </w:r>
      <w:r w:rsidR="006A6CF8" w:rsidRPr="0040120E">
        <w:rPr>
          <w:rFonts w:ascii="Times New Roman" w:hAnsi="Times New Roman" w:cs="Times New Roman"/>
          <w:sz w:val="24"/>
          <w:szCs w:val="24"/>
          <w:lang w:val="en-GB"/>
        </w:rPr>
        <w:t xml:space="preserve"> that the brand </w:t>
      </w:r>
      <w:r w:rsidR="00687850" w:rsidRPr="0040120E">
        <w:rPr>
          <w:rFonts w:ascii="Times New Roman" w:hAnsi="Times New Roman" w:cs="Times New Roman"/>
          <w:sz w:val="24"/>
          <w:szCs w:val="24"/>
          <w:lang w:val="en-GB"/>
        </w:rPr>
        <w:t xml:space="preserve">is conscious of the length of its existence, </w:t>
      </w:r>
      <w:r w:rsidR="006A6CF8" w:rsidRPr="0040120E">
        <w:rPr>
          <w:rFonts w:ascii="Times New Roman" w:hAnsi="Times New Roman" w:cs="Times New Roman"/>
          <w:sz w:val="24"/>
          <w:szCs w:val="24"/>
          <w:lang w:val="en-GB"/>
        </w:rPr>
        <w:t>its traditions an</w:t>
      </w:r>
      <w:r w:rsidR="002D7072" w:rsidRPr="0040120E">
        <w:rPr>
          <w:rFonts w:ascii="Times New Roman" w:hAnsi="Times New Roman" w:cs="Times New Roman"/>
          <w:sz w:val="24"/>
          <w:szCs w:val="24"/>
          <w:lang w:val="en-GB"/>
        </w:rPr>
        <w:t>d its roots. Brands emphasis</w:t>
      </w:r>
      <w:r w:rsidRPr="0040120E">
        <w:rPr>
          <w:rFonts w:ascii="Times New Roman" w:hAnsi="Times New Roman" w:cs="Times New Roman"/>
          <w:sz w:val="24"/>
          <w:szCs w:val="24"/>
          <w:lang w:val="en-GB"/>
        </w:rPr>
        <w:t>e their founding date, remind</w:t>
      </w:r>
      <w:r w:rsidR="006A6CF8" w:rsidRPr="0040120E">
        <w:rPr>
          <w:rFonts w:ascii="Times New Roman" w:hAnsi="Times New Roman" w:cs="Times New Roman"/>
          <w:sz w:val="24"/>
          <w:szCs w:val="24"/>
          <w:lang w:val="en-GB"/>
        </w:rPr>
        <w:t xml:space="preserve"> </w:t>
      </w:r>
      <w:r w:rsidR="00FA0095" w:rsidRPr="0040120E">
        <w:rPr>
          <w:rFonts w:ascii="Times New Roman" w:hAnsi="Times New Roman" w:cs="Times New Roman"/>
          <w:sz w:val="24"/>
          <w:szCs w:val="24"/>
          <w:lang w:val="en-GB"/>
        </w:rPr>
        <w:t xml:space="preserve">people </w:t>
      </w:r>
      <w:r w:rsidR="006A6CF8" w:rsidRPr="0040120E">
        <w:rPr>
          <w:rFonts w:ascii="Times New Roman" w:hAnsi="Times New Roman" w:cs="Times New Roman"/>
          <w:sz w:val="24"/>
          <w:szCs w:val="24"/>
          <w:lang w:val="en-GB"/>
        </w:rPr>
        <w:t xml:space="preserve">of the company’s history on the website or the packaging, but also </w:t>
      </w:r>
      <w:r w:rsidR="00FA0095" w:rsidRPr="0040120E">
        <w:rPr>
          <w:rFonts w:ascii="Times New Roman" w:hAnsi="Times New Roman" w:cs="Times New Roman"/>
          <w:sz w:val="24"/>
          <w:szCs w:val="24"/>
          <w:lang w:val="en-GB"/>
        </w:rPr>
        <w:t xml:space="preserve">place </w:t>
      </w:r>
      <w:r w:rsidR="00626B78" w:rsidRPr="0040120E">
        <w:rPr>
          <w:rFonts w:ascii="Times New Roman" w:hAnsi="Times New Roman" w:cs="Times New Roman"/>
          <w:sz w:val="24"/>
          <w:szCs w:val="24"/>
          <w:lang w:val="en-GB"/>
        </w:rPr>
        <w:t>importance</w:t>
      </w:r>
      <w:r w:rsidR="00FA0095" w:rsidRPr="0040120E">
        <w:rPr>
          <w:rFonts w:ascii="Times New Roman" w:hAnsi="Times New Roman" w:cs="Times New Roman"/>
          <w:sz w:val="24"/>
          <w:szCs w:val="24"/>
          <w:lang w:val="en-GB"/>
        </w:rPr>
        <w:t xml:space="preserve"> on </w:t>
      </w:r>
      <w:r w:rsidR="006A6CF8" w:rsidRPr="0040120E">
        <w:rPr>
          <w:rFonts w:ascii="Times New Roman" w:hAnsi="Times New Roman" w:cs="Times New Roman"/>
          <w:sz w:val="24"/>
          <w:szCs w:val="24"/>
          <w:lang w:val="en-GB"/>
        </w:rPr>
        <w:t>the use of certain fonts or black and white visuals</w:t>
      </w:r>
      <w:r w:rsidRPr="0040120E">
        <w:rPr>
          <w:rFonts w:ascii="Times New Roman" w:hAnsi="Times New Roman" w:cs="Times New Roman"/>
          <w:sz w:val="24"/>
          <w:szCs w:val="24"/>
          <w:lang w:val="en-GB"/>
        </w:rPr>
        <w:t xml:space="preserve">. </w:t>
      </w:r>
      <w:r w:rsidR="006A6CF8" w:rsidRPr="0040120E">
        <w:rPr>
          <w:rFonts w:ascii="Times New Roman" w:hAnsi="Times New Roman" w:cs="Times New Roman"/>
          <w:sz w:val="24"/>
          <w:szCs w:val="24"/>
          <w:lang w:val="en-GB"/>
        </w:rPr>
        <w:t>This dimension of brand herit</w:t>
      </w:r>
      <w:r w:rsidR="002D7072" w:rsidRPr="0040120E">
        <w:rPr>
          <w:rFonts w:ascii="Times New Roman" w:hAnsi="Times New Roman" w:cs="Times New Roman"/>
          <w:sz w:val="24"/>
          <w:szCs w:val="24"/>
          <w:lang w:val="en-GB"/>
        </w:rPr>
        <w:t>age is stronger when the organis</w:t>
      </w:r>
      <w:r w:rsidR="006A6CF8" w:rsidRPr="0040120E">
        <w:rPr>
          <w:rFonts w:ascii="Times New Roman" w:hAnsi="Times New Roman" w:cs="Times New Roman"/>
          <w:sz w:val="24"/>
          <w:szCs w:val="24"/>
          <w:lang w:val="en-GB"/>
        </w:rPr>
        <w:t xml:space="preserve">ation has manifest interest in history, care for traditions </w:t>
      </w:r>
      <w:r w:rsidR="006A6CF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{"citationItems":[{"id":"ITEM-1","itemData":{"DOI":"10.1016/j.jbusres.2014.06.019","ISBN":"0320130169","ISSN":"01482963","PMID":"1554287047","abstract":"This article advances the theoretical and instrumental understanding of corporate heritage identities. This exploratory, empirical study focuses on both the nature and the relevance of corporate heritage identity as employed by managers for corporate identity management purposes. The research is undertaken within Britain's oldest brewery - one of the oldest corporate entities in Great Britain with a provenance spanning many centuries - and utilizes a qualitative and theory building case study. The research reveals two classes of management responsibilities vis-à-vis corporate heritage identity management, namely corporate heritage management activities and corporate heritage implementation strategies, which follow a particular corporate heritage identity implementation pattern identified. A normative framework synthesizes and marshals the findings. The empirical study provides insight into corporate heritage identity management and is potentially useful to both scholars and practitioners. This study advances the nascent area of corporate heritage identity management by providing empirical and theoretical insight into the salience and strategic relevance of corporate heritage identity as a resource for corporate marketing. The article provides a normative framework of actionable categories of activities related to the management and implementation of substantive corporate heritage identity dimensions. © 2014 Elsevier Inc.","author":[{"dropping-particle":"","family":"Burghausen","given":"Mario","non-dropping-particle":"","parse-names":false,"suffix":""},{"dropping-particle":"","family":"Balmer","given":"John M T","non-dropping-particle":"","parse-names":false,"suffix":""}],"container-title":"Journal of Business Research","id":"ITEM-1","issue":"11","issued":{"date-parts":[["2014"]]},"page":"2311-2323","title":"Corporate heritage identity management and the multi-modal implementation of a corporate heritage identity","type":"article-journal","volume":"67"},"uris":["http://www.mendeley.com/documents/?uuid=4546970b-afad-4b5e-ad46-1b9a2492dae0"]}],"mendeley":{"formattedCitation":"(Burghausen &amp; Balmer, 2014)","plainTextFormattedCitation":"(Burghausen &amp; Balmer, 2014)","previouslyFormattedCitation":"(Burghausen &amp; Balmer, 2014)"},"properties":{"noteIndex":0},"schema":"https://github.com/citation-style-language/schema/raw/master/csl-citation.json"}</w:instrText>
      </w:r>
      <w:r w:rsidR="006A6CF8"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(Burghausen &amp; Balmer, 2014)</w:t>
      </w:r>
      <w:r w:rsidR="006A6CF8" w:rsidRPr="0040120E">
        <w:rPr>
          <w:rFonts w:ascii="Times New Roman" w:hAnsi="Times New Roman" w:cs="Times New Roman"/>
          <w:sz w:val="24"/>
          <w:szCs w:val="24"/>
          <w:lang w:val="en-GB"/>
        </w:rPr>
        <w:fldChar w:fldCharType="end"/>
      </w:r>
      <w:r w:rsidR="006A6CF8" w:rsidRPr="0040120E">
        <w:rPr>
          <w:rFonts w:ascii="Times New Roman" w:hAnsi="Times New Roman" w:cs="Times New Roman"/>
          <w:sz w:val="24"/>
          <w:szCs w:val="24"/>
          <w:lang w:val="en-GB"/>
        </w:rPr>
        <w:t xml:space="preserve">, or when symbols express a sense of the past </w:t>
      </w:r>
      <w:r w:rsidR="006A6CF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{"citationItems":[{"id":"ITEM-1","itemData":{"DOI":"10.1057/palgrave.bm.2550106","ISBN":"1350231X","ISSN":"1350-231X","PMID":"26435846","abstract":"This paper articulates a concept of ‚Äòheritage brands‚Äô,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marketing.","author":[{"dropping-particle":"","family":"Urde","given":"Mats","non-dropping-particle":"","parse-names":false,"suffix":""},{"dropping-particle":"","family":"Greyser","given":"Stephen A","non-dropping-particle":"","parse-names":false,"suffix":""},{"dropping-particle":"","family":"Balmer","given":"John M T","non-dropping-particle":"","parse-names":false,"suffix":""}],"container-title":"Journal of Brand Management","id":"ITEM-1","issue":"1","issued":{"date-parts":[["2007"]]},"page":"4-19","title":"Corporate brands with a heritage","type":"article-journal","volume":"15"},"uris":["http://www.mendeley.com/documents/?uuid=867ee612-ee86-40d1-9ceb-f12530b951e9"]}],"mendeley":{"formattedCitation":"(Urde et al., 2007)","plainTextFormattedCitation":"(Urde et al., 2007)","previouslyFormattedCitation":"(Urde et al., 2007)"},"properties":{"noteIndex":0},"schema":"https://github.com/citation-style-language/schema/raw/master/csl-citation.json"}</w:instrText>
      </w:r>
      <w:r w:rsidR="006A6CF8" w:rsidRPr="0040120E">
        <w:rPr>
          <w:rFonts w:ascii="Times New Roman" w:hAnsi="Times New Roman" w:cs="Times New Roman"/>
          <w:sz w:val="24"/>
          <w:szCs w:val="24"/>
          <w:lang w:val="en-GB"/>
        </w:rPr>
        <w:fldChar w:fldCharType="separate"/>
      </w:r>
      <w:r w:rsidR="006A6CF8" w:rsidRPr="0040120E">
        <w:rPr>
          <w:rFonts w:ascii="Times New Roman" w:hAnsi="Times New Roman" w:cs="Times New Roman"/>
          <w:noProof/>
          <w:sz w:val="24"/>
          <w:szCs w:val="24"/>
          <w:lang w:val="en-GB"/>
        </w:rPr>
        <w:t>(Urde et al., 2007)</w:t>
      </w:r>
      <w:r w:rsidR="006A6CF8" w:rsidRPr="0040120E">
        <w:rPr>
          <w:rFonts w:ascii="Times New Roman" w:hAnsi="Times New Roman" w:cs="Times New Roman"/>
          <w:sz w:val="24"/>
          <w:szCs w:val="24"/>
          <w:lang w:val="en-GB"/>
        </w:rPr>
        <w:fldChar w:fldCharType="end"/>
      </w:r>
      <w:r w:rsidR="006A6CF8" w:rsidRPr="0040120E">
        <w:rPr>
          <w:rFonts w:ascii="Times New Roman" w:hAnsi="Times New Roman" w:cs="Times New Roman"/>
          <w:sz w:val="24"/>
          <w:szCs w:val="24"/>
          <w:lang w:val="en-GB"/>
        </w:rPr>
        <w:t>. Factual age cannot stand for the perceived longevity</w:t>
      </w:r>
      <w:r w:rsidR="00FA0095" w:rsidRPr="0040120E">
        <w:rPr>
          <w:rFonts w:ascii="Times New Roman" w:hAnsi="Times New Roman" w:cs="Times New Roman"/>
          <w:sz w:val="24"/>
          <w:szCs w:val="24"/>
          <w:lang w:val="en-GB"/>
        </w:rPr>
        <w:t>,</w:t>
      </w:r>
      <w:r w:rsidR="006A6CF8" w:rsidRPr="0040120E">
        <w:rPr>
          <w:rFonts w:ascii="Times New Roman" w:hAnsi="Times New Roman" w:cs="Times New Roman"/>
          <w:sz w:val="24"/>
          <w:szCs w:val="24"/>
          <w:lang w:val="en-GB"/>
        </w:rPr>
        <w:t xml:space="preserve"> as m</w:t>
      </w:r>
      <w:r w:rsidR="002D7072" w:rsidRPr="0040120E">
        <w:rPr>
          <w:rFonts w:ascii="Times New Roman" w:hAnsi="Times New Roman" w:cs="Times New Roman"/>
          <w:sz w:val="24"/>
          <w:szCs w:val="24"/>
          <w:lang w:val="en-GB"/>
        </w:rPr>
        <w:t>any older brands do not emphasis</w:t>
      </w:r>
      <w:r w:rsidR="006A6CF8" w:rsidRPr="0040120E">
        <w:rPr>
          <w:rFonts w:ascii="Times New Roman" w:hAnsi="Times New Roman" w:cs="Times New Roman"/>
          <w:sz w:val="24"/>
          <w:szCs w:val="24"/>
          <w:lang w:val="en-GB"/>
        </w:rPr>
        <w:t xml:space="preserve">e their heritage </w:t>
      </w:r>
      <w:r w:rsidR="006A6CF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{"citationItems":[{"id":"ITEM-1","itemData":{"DOI":"10.1057/palgrave.bm.2550106","ISBN":"1350231X","ISSN":"1350-231X","PMID":"26435846","abstract":"This paper articulates a concept of ‚Äòheritage brands‚Äô,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marketing.","author":[{"dropping-particle":"","family":"Urde","given":"Mats","non-dropping-particle":"","parse-names":false,"suffix":""},{"dropping-particle":"","family":"Greyser","given":"Stephen A","non-dropping-particle":"","parse-names":false,"suffix":""},{"dropping-particle":"","family":"Balmer","given":"John M T","non-dropping-particle":"","parse-names":false,"suffix":""}],"container-title":"Journal of Brand Management","id":"ITEM-1","issue":"1","issued":{"date-parts":[["2007"]]},"page":"4-19","title":"Corporate brands with a heritage","type":"article-journal","volume":"15"},"uris":["http://www.mendeley.com/documents/?uuid=867ee612-ee86-40d1-9ceb-f12530b951e9"]}],"mendeley":{"formattedCitation":"(Urde et al., 2007)","plainTextFormattedCitation":"(Urde et al., 2007)","previouslyFormattedCitation":"(Urde et al., 2007)"},"properties":{"noteIndex":0},"schema":"https://github.com/citation-style-language/schema/raw/master/csl-citation.json"}</w:instrText>
      </w:r>
      <w:r w:rsidR="006A6CF8" w:rsidRPr="0040120E">
        <w:rPr>
          <w:rFonts w:ascii="Times New Roman" w:hAnsi="Times New Roman" w:cs="Times New Roman"/>
          <w:sz w:val="24"/>
          <w:szCs w:val="24"/>
          <w:lang w:val="en-GB"/>
        </w:rPr>
        <w:fldChar w:fldCharType="separate"/>
      </w:r>
      <w:r w:rsidR="006A6CF8" w:rsidRPr="0040120E">
        <w:rPr>
          <w:rFonts w:ascii="Times New Roman" w:hAnsi="Times New Roman" w:cs="Times New Roman"/>
          <w:noProof/>
          <w:sz w:val="24"/>
          <w:szCs w:val="24"/>
          <w:lang w:val="en-GB"/>
        </w:rPr>
        <w:t>(Urde et al., 2007)</w:t>
      </w:r>
      <w:r w:rsidR="006A6CF8" w:rsidRPr="0040120E">
        <w:rPr>
          <w:rFonts w:ascii="Times New Roman" w:hAnsi="Times New Roman" w:cs="Times New Roman"/>
          <w:sz w:val="24"/>
          <w:szCs w:val="24"/>
          <w:lang w:val="en-GB"/>
        </w:rPr>
        <w:fldChar w:fldCharType="end"/>
      </w:r>
      <w:r w:rsidR="006A6CF8" w:rsidRPr="0040120E">
        <w:rPr>
          <w:rFonts w:ascii="Times New Roman" w:hAnsi="Times New Roman" w:cs="Times New Roman"/>
          <w:sz w:val="24"/>
          <w:szCs w:val="24"/>
          <w:lang w:val="en-GB"/>
        </w:rPr>
        <w:t xml:space="preserve">. Moreover, as brand heritage is a construction, younger brands can build themselves a heritage </w:t>
      </w:r>
      <w:r w:rsidR="006A6CF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{"citationItems":[{"id":"ITEM-1","itemData":{"DOI":"10.1057/bm.2015.12","ISSN":"14791803","abstract":"This research represents an effort to fill the gap between brand development studies focusing expressly on Western brands and their markets and culture-specific global brand development in emerging markets, such as China. Case studies are presented of two Chinese brands, Shanghai Tang and Shang Xia, which use cultural heritage in their branding strategy. A consumer perspective sheds light on how consumers co-create brand meaning for cultural heritage brands, and clarifies concepts of brand culture, cultural heritage and brand heritage. A brand culture approach offers new perspectives on how brand actors co-create, circulate and re-configure existing meanings of brands and cultures, and how Chinese brands become vehicles for meaning co-creation across national boundaries. Implications include the benefits of being prepared to compete with a new type of Chinese brand that taps into China's rich cultural heritage, instead of relying on cheap mass production; connecting to ideas of Chineseness and drawing upon shared cultural knowledge to build brand values; engaging with cultural tensions, rather than sidestepping them; providing employees with in depth training about the cultural aspects of the brand in order to align branding strategy with what we have called operational identity; and engaging the co-creative stakeholders that play important roles in cultural heritage brands. [ABSTRACT FROM AUTHOR]","author":[{"dropping-particle":"","family":"Schroeder","given":"Jonathan","non-dropping-particle":"","parse-names":false,"suffix":""},{"dropping-particle":"","family":"Borgerson","given":"Janet","non-dropping-particle":"","parse-names":false,"suffix":""},{"dropping-particle":"","family":"Wu","given":"Zhiyan","non-dropping-particle":"","parse-names":false,"suffix":""}],"container-title":"Journal of Brand Management","id":"ITEM-1","issue":"3","issued":{"date-parts":[["2015"]]},"page":"261-279","title":"A brand culture approach to Chinese cultural heritage brands","type":"article-journal","volume":"22"},"uris":["http://www.mendeley.com/documents/?uuid=50ce27b9-1ee9-4aaf-94f4-d0cdb17db4c0"]}],"mendeley":{"formattedCitation":"(Schroeder, Borgerson, &amp; Wu, 2015)","plainTextFormattedCitation":"(Schroeder, Borgerson, &amp; Wu, 2015)","previouslyFormattedCitation":"(Schroeder, Borgerson, &amp; Wu, 2015)"},"properties":{"noteIndex":0},"schema":"https://github.com/citation-style-language/schema/raw/master/csl-citation.json"}</w:instrText>
      </w:r>
      <w:r w:rsidR="006A6CF8"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(Schroeder, Borgerson, &amp; Wu, 2015)</w:t>
      </w:r>
      <w:r w:rsidR="006A6CF8" w:rsidRPr="0040120E">
        <w:rPr>
          <w:rFonts w:ascii="Times New Roman" w:hAnsi="Times New Roman" w:cs="Times New Roman"/>
          <w:sz w:val="24"/>
          <w:szCs w:val="24"/>
          <w:lang w:val="en-GB"/>
        </w:rPr>
        <w:fldChar w:fldCharType="end"/>
      </w:r>
      <w:r w:rsidR="006A6CF8" w:rsidRPr="0040120E">
        <w:rPr>
          <w:rFonts w:ascii="Times New Roman" w:hAnsi="Times New Roman" w:cs="Times New Roman"/>
          <w:sz w:val="24"/>
          <w:szCs w:val="24"/>
          <w:lang w:val="en-GB"/>
        </w:rPr>
        <w:t>.</w:t>
      </w:r>
    </w:p>
    <w:p w14:paraId="07853D69" w14:textId="675F3614" w:rsidR="006A6CF8" w:rsidRPr="0040120E" w:rsidRDefault="00270416"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The items loading on the third dimension reflect the perception of a</w:t>
      </w:r>
      <w:r w:rsidR="006A6CF8" w:rsidRPr="0040120E">
        <w:rPr>
          <w:rFonts w:ascii="Times New Roman" w:hAnsi="Times New Roman" w:cs="Times New Roman"/>
          <w:sz w:val="24"/>
          <w:szCs w:val="24"/>
          <w:lang w:val="en-GB"/>
        </w:rPr>
        <w:t>daptability</w:t>
      </w:r>
      <w:r w:rsidRPr="0040120E">
        <w:rPr>
          <w:rFonts w:ascii="Times New Roman" w:hAnsi="Times New Roman" w:cs="Times New Roman"/>
          <w:sz w:val="24"/>
          <w:szCs w:val="24"/>
          <w:lang w:val="en-GB"/>
        </w:rPr>
        <w:t>, which</w:t>
      </w:r>
      <w:r w:rsidR="006A6CF8" w:rsidRPr="0040120E">
        <w:rPr>
          <w:rFonts w:ascii="Times New Roman" w:hAnsi="Times New Roman" w:cs="Times New Roman"/>
          <w:sz w:val="24"/>
          <w:szCs w:val="24"/>
          <w:lang w:val="en-GB"/>
        </w:rPr>
        <w:t xml:space="preserve"> is often cited in brand heritage literature in relation to the balance between radical change and immobility </w:t>
      </w:r>
      <w:r w:rsidR="006A6CF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{"citationItems":[{"id":"ITEM-1","itemData":{"DOI":"10.1108/03090561111151880","ISBN":"1593761139 9781593761134","ISSN":"0309-0566","PMID":"42012058","abstract":"Purpose – Brand heritage is an emerging concept within the marketing discipline, which suggests that the historical status of older companies is often explicitly linked to their brand identity and consumer appeal. The aim of this paper is to illustrate and validate this concept. Design/methodology/approach – This paper provides a profile of the Cunard Line, which offers limited evidence to support prior conceptual work by other scholars. The paper uses historical research methods to illustrate the principles of brand heritage within a specific circumstance. Findings – Heritage is central to the brand identity of Cunard and was a significant factor in the recent turnaround of the company. This paper demonstrates the nature and power of the brand heritage concept, even within a future-oriented repositioning effort. Research limitations/implications – Although the example of Cunard validates the brand heritage concept in a specific instance, it does not offer evidence that brand heritage is a universal phenomenon. Practical implications – Brand heritage should be included within the repertoires of marketing strategists and brand managers. Executives of older companies should be aware of this approach and should consider the potential to exploit heritage for competitive advantage. Originality/value – This paper offers original research to support prior conceptual scholarship on the emerging topic of brand heritage","author":[{"dropping-particle":"","family":"Hudson","given":"Bradford T.","non-dropping-particle":"","parse-names":false,"suffix":""}],"container-title":"European Journal of Marketing","id":"ITEM-1","issue":"9/10","issued":{"date-parts":[["2011"]]},"page":"1538-1556","title":"Brand heritage and the renaissance of Cunard","type":"article-journal","volume":"45"},"uris":["http://www.mendeley.com/documents/?uuid=b8fca23d-0679-499e-948e-919b1e09c0c0"]}],"mendeley":{"formattedCitation":"(Hudson, 2011)","plainTextFormattedCitation":"(Hudson, 2011)","previouslyFormattedCitation":"(Hudson, 2011)"},"properties":{"noteIndex":0},"schema":"https://github.com/citation-style-language/schema/raw/master/csl-citation.json"}</w:instrText>
      </w:r>
      <w:r w:rsidR="006A6CF8" w:rsidRPr="0040120E">
        <w:rPr>
          <w:rFonts w:ascii="Times New Roman" w:hAnsi="Times New Roman" w:cs="Times New Roman"/>
          <w:sz w:val="24"/>
          <w:szCs w:val="24"/>
          <w:lang w:val="en-GB"/>
        </w:rPr>
        <w:fldChar w:fldCharType="separate"/>
      </w:r>
      <w:r w:rsidR="006A6CF8" w:rsidRPr="0040120E">
        <w:rPr>
          <w:rFonts w:ascii="Times New Roman" w:hAnsi="Times New Roman" w:cs="Times New Roman"/>
          <w:noProof/>
          <w:sz w:val="24"/>
          <w:szCs w:val="24"/>
          <w:lang w:val="en-GB"/>
        </w:rPr>
        <w:t>(Hudson, 2011)</w:t>
      </w:r>
      <w:r w:rsidR="006A6CF8" w:rsidRPr="0040120E">
        <w:rPr>
          <w:rFonts w:ascii="Times New Roman" w:hAnsi="Times New Roman" w:cs="Times New Roman"/>
          <w:sz w:val="24"/>
          <w:szCs w:val="24"/>
          <w:lang w:val="en-GB"/>
        </w:rPr>
        <w:fldChar w:fldCharType="end"/>
      </w:r>
      <w:r w:rsidR="006A6CF8" w:rsidRPr="0040120E">
        <w:rPr>
          <w:rFonts w:ascii="Times New Roman" w:hAnsi="Times New Roman" w:cs="Times New Roman"/>
          <w:sz w:val="24"/>
          <w:szCs w:val="24"/>
          <w:lang w:val="en-GB"/>
        </w:rPr>
        <w:t xml:space="preserve">. The stewardship management of the heritage brand is based on a long-term strategy </w:t>
      </w:r>
      <w:r w:rsidR="006A6CF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{"citationItems":[{"id":"ITEM-1","itemData":{"DOI":"10.1057/palgrave.bm.2550106","ISBN":"1350231X","ISSN":"1350-231X","PMID":"26435846","abstract":"This paper articulates a concept of ‚Äòheritage brands‚Äô,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marketing.","author":[{"dropping-particle":"","family":"Urde","given":"Mats","non-dropping-particle":"","parse-names":false,"suffix":""},{"dropping-particle":"","family":"Greyser","given":"Stephen A","non-dropping-particle":"","parse-names":false,"suffix":""},{"dropping-particle":"","family":"Balmer","given":"John M T","non-dropping-particle":"","parse-names":false,"suffix":""}],"container-title":"Journal of Brand Management","id":"ITEM-1","issue":"1","issued":{"date-parts":[["2007"]]},"page":"4-19","title":"Corporate brands with a heritage","type":"article-journal","volume":"15"},"uris":["http://www.mendeley.com/documents/?uuid=867ee612-ee86-40d1-9ceb-f12530b951e9"]}],"mendeley":{"formattedCitation":"(Urde et al., 2007)","plainTextFormattedCitation":"(Urde et al., 2007)","previouslyFormattedCitation":"(Urde et al., 2007)"},"properties":{"noteIndex":0},"schema":"https://github.com/citation-style-language/schema/raw/master/csl-citation.json"}</w:instrText>
      </w:r>
      <w:r w:rsidR="006A6CF8" w:rsidRPr="0040120E">
        <w:rPr>
          <w:rFonts w:ascii="Times New Roman" w:hAnsi="Times New Roman" w:cs="Times New Roman"/>
          <w:sz w:val="24"/>
          <w:szCs w:val="24"/>
          <w:lang w:val="en-GB"/>
        </w:rPr>
        <w:fldChar w:fldCharType="separate"/>
      </w:r>
      <w:r w:rsidR="006A6CF8" w:rsidRPr="0040120E">
        <w:rPr>
          <w:rFonts w:ascii="Times New Roman" w:hAnsi="Times New Roman" w:cs="Times New Roman"/>
          <w:noProof/>
          <w:sz w:val="24"/>
          <w:szCs w:val="24"/>
          <w:lang w:val="en-GB"/>
        </w:rPr>
        <w:t>(Urde et al., 2007)</w:t>
      </w:r>
      <w:r w:rsidR="006A6CF8" w:rsidRPr="0040120E">
        <w:rPr>
          <w:rFonts w:ascii="Times New Roman" w:hAnsi="Times New Roman" w:cs="Times New Roman"/>
          <w:sz w:val="24"/>
          <w:szCs w:val="24"/>
          <w:lang w:val="en-GB"/>
        </w:rPr>
        <w:fldChar w:fldCharType="end"/>
      </w:r>
      <w:r w:rsidR="006A6CF8" w:rsidRPr="0040120E">
        <w:rPr>
          <w:rFonts w:ascii="Times New Roman" w:hAnsi="Times New Roman" w:cs="Times New Roman"/>
          <w:sz w:val="24"/>
          <w:szCs w:val="24"/>
          <w:lang w:val="en-GB"/>
        </w:rPr>
        <w:t xml:space="preserve">. This strategy requires some evolution to cope with market changes, but always with a long-term focus </w:t>
      </w:r>
      <w:r w:rsidR="006A6CF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{"citationItems":[{"id":"ITEM-1","itemData":{"DOI":"10.1108/EL-01-2014-0022","ISBN":"0520130251","ISSN":"0264-0473","PMID":"42012058","abstract":"Purpose – This paper aims to explore shared use of space and facilities as a concept, and present and illustrate the use of a typology to help classify and describe the different options for sharing space and facilities within buildings for optimised use of a building portfolio. Design/methodology/approach – The content presented is based on a cross-sectional study with an inductive approach. The results are based partly on secondary data in the form of a literature review and a mapping of 20 examples from Europe, USA and Australia, and partly on primary data from observations and interviews with key actors from two cases in Denmark and an illustration case from Ireland. Findings – The typology classi es and describes four archetypes of sharing between different people, building owners and organisations, to be used when discussing, planning, establishing and evaluating new and existing shared spaces. Research limitations/implications – The typology is the result of a first exploration of shared use of facilities and does not claim to be fully comprehensive or final. Practical implications – The typology is intended for both researchers and practitioners, and aims at increasing the understanding of sharing as a way to minimise the need for building new by better utilisation of the existing building stock. Originality/value – Shared space and facilities is a relatively new topic with not much research undertaken. This typology provides a language for discussing shared spaces and a base for further developing the research field.","author":[{"dropping-particle":"","family":"Burghausen","given":"Mario","non-dropping-particle":"","parse-names":false,"suffix":""},{"dropping-particle":"","family":"Balmer","given":"John M T","non-dropping-particle":"","parse-names":false,"suffix":""}],"container-title":"European Journal of Marketing","id":"ITEM-1","issue":"1/2","issued":{"date-parts":[["2015"]]},"page":"22-61","title":"Corporate heritage identity stewardship: a corporate marketing perspective","type":"article-journal","volume":"49"},"uris":["http://www.mendeley.com/documents/?uuid=5a1769de-a56e-41a7-8d80-70ccbc6763fd"]}],"mendeley":{"formattedCitation":"(Burghausen &amp; Balmer, 2015)","plainTextFormattedCitation":"(Burghausen &amp; Balmer, 2015)","previouslyFormattedCitation":"(Burghausen &amp; Balmer, 2015)"},"properties":{"noteIndex":0},"schema":"https://github.com/citation-style-language/schema/raw/master/csl-citation.json"}</w:instrText>
      </w:r>
      <w:r w:rsidR="006A6CF8"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(Burghausen &amp; Balmer, 2015)</w:t>
      </w:r>
      <w:r w:rsidR="006A6CF8" w:rsidRPr="0040120E">
        <w:rPr>
          <w:rFonts w:ascii="Times New Roman" w:hAnsi="Times New Roman" w:cs="Times New Roman"/>
          <w:sz w:val="24"/>
          <w:szCs w:val="24"/>
          <w:lang w:val="en-GB"/>
        </w:rPr>
        <w:fldChar w:fldCharType="end"/>
      </w:r>
      <w:r w:rsidR="006A6CF8" w:rsidRPr="0040120E">
        <w:rPr>
          <w:rFonts w:ascii="Times New Roman" w:hAnsi="Times New Roman" w:cs="Times New Roman"/>
          <w:sz w:val="24"/>
          <w:szCs w:val="24"/>
          <w:lang w:val="en-GB"/>
        </w:rPr>
        <w:t xml:space="preserve">, and the acknowledgement of what has been done before </w:t>
      </w:r>
      <w:r w:rsidR="006A6CF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{"citationItems":[{"id":"ITEM-1","itemData":{"DOI":"10.1108/10610421111166595","ISBN":"1061042111","ISSN":"1061-0421","abstract":"Purpose: Brand heritage is acknowledged as one of the future priorities in branding research. Adopting it in an international context is challenging. In order to maximise its use it is necessary to know how strong it and the target country's cultural heritage are. Accordingly, the aim of the study is to construct a pioneering operationalisation of both brand and cultural heritage. Design/methodology/approach: The study begins with a discussion on the focal concepts. Definitions are proposed and suggestions for operationalisation put forward. Thereafter, the concepts are applied in an analysis of brand heritage in different countries. Findings: It is suggested that brand heritage is a mixture of the history as well as the consistency and continuity of core values, product brands, and visual symbols. A country's cultural heritage could be conceived of as homogeneity and endurance. Research limitations/implications: The preliminary operationalisation of the concept needs to be further tested. Nevertheless, the clarification and suggestions offered here should open up opportunities for further research. Practical implications: The exploitation of brand heritage in international markets is likely to be further accentuated. The operationalisations generated are easy for practitioners to apply, enabling companies to better evaluate what brand heritage means for them and to effectively plan its use in an international setting. Originality/value: To the authors' knowledge, this study is the first to suggest operationalisations of brand heritage and cultural heritage. © Emerald Group Publishing Limited.","author":[{"dropping-particle":"","family":"Hakala","given":"Ulla","non-dropping-particle":"","parse-names":false,"suffix":""},{"dropping-particle":"","family":"Lätti","given":"Sonja","non-dropping-particle":"","parse-names":false,"suffix":""},{"dropping-particle":"","family":"Sandberg","given":"Birgitta","non-dropping-particle":"","parse-names":false,"suffix":""}],"container-title":"Journal of Product &amp; Brand Management","id":"ITEM-1","issue":"6","issued":{"date-parts":[["2011"]]},"page":"447-456","title":"Operationalising brand heritage and cultural heritage","type":"article-journal","volume":"20"},"uris":["http://www.mendeley.com/documents/?uuid=9d213521-f346-4126-8c3a-c13e4ff38a11"]}],"mendeley":{"formattedCitation":"(Hakala et al., 2011)","plainTextFormattedCitation":"(Hakala et al., 2011)","previouslyFormattedCitation":"(Hakala et al., 2011)"},"properties":{"noteIndex":0},"schema":"https://github.com/citation-style-language/schema/raw/master/csl-citation.json"}</w:instrText>
      </w:r>
      <w:r w:rsidR="006A6CF8" w:rsidRPr="0040120E">
        <w:rPr>
          <w:rFonts w:ascii="Times New Roman" w:hAnsi="Times New Roman" w:cs="Times New Roman"/>
          <w:sz w:val="24"/>
          <w:szCs w:val="24"/>
          <w:lang w:val="en-GB"/>
        </w:rPr>
        <w:fldChar w:fldCharType="separate"/>
      </w:r>
      <w:r w:rsidR="006A6CF8" w:rsidRPr="0040120E">
        <w:rPr>
          <w:rFonts w:ascii="Times New Roman" w:hAnsi="Times New Roman" w:cs="Times New Roman"/>
          <w:noProof/>
          <w:sz w:val="24"/>
          <w:szCs w:val="24"/>
          <w:lang w:val="en-GB"/>
        </w:rPr>
        <w:t>(Hakala et al., 2011)</w:t>
      </w:r>
      <w:r w:rsidR="006A6CF8" w:rsidRPr="0040120E">
        <w:rPr>
          <w:rFonts w:ascii="Times New Roman" w:hAnsi="Times New Roman" w:cs="Times New Roman"/>
          <w:sz w:val="24"/>
          <w:szCs w:val="24"/>
          <w:lang w:val="en-GB"/>
        </w:rPr>
        <w:fldChar w:fldCharType="end"/>
      </w:r>
      <w:r w:rsidR="006A6CF8" w:rsidRPr="0040120E">
        <w:rPr>
          <w:rFonts w:ascii="Times New Roman" w:hAnsi="Times New Roman" w:cs="Times New Roman"/>
          <w:sz w:val="24"/>
          <w:szCs w:val="24"/>
          <w:lang w:val="en-GB"/>
        </w:rPr>
        <w:t xml:space="preserve">. Brand heritage </w:t>
      </w:r>
      <w:r w:rsidR="00687850" w:rsidRPr="0040120E">
        <w:rPr>
          <w:rFonts w:ascii="Times New Roman" w:hAnsi="Times New Roman" w:cs="Times New Roman"/>
          <w:sz w:val="24"/>
          <w:szCs w:val="24"/>
          <w:lang w:val="en-GB"/>
        </w:rPr>
        <w:t xml:space="preserve">is omnitemporal: it </w:t>
      </w:r>
      <w:r w:rsidR="006A6CF8" w:rsidRPr="0040120E">
        <w:rPr>
          <w:rFonts w:ascii="Times New Roman" w:hAnsi="Times New Roman" w:cs="Times New Roman"/>
          <w:sz w:val="24"/>
          <w:szCs w:val="24"/>
          <w:lang w:val="en-GB"/>
        </w:rPr>
        <w:t xml:space="preserve">embraces the three timeframes of past, present and future. Making the past </w:t>
      </w:r>
      <w:r w:rsidR="006A6CF8" w:rsidRPr="0040120E">
        <w:rPr>
          <w:rFonts w:ascii="Times New Roman" w:hAnsi="Times New Roman" w:cs="Times New Roman"/>
          <w:sz w:val="24"/>
          <w:szCs w:val="24"/>
          <w:lang w:val="en-GB"/>
        </w:rPr>
        <w:lastRenderedPageBreak/>
        <w:t xml:space="preserve">relevant in the present requires </w:t>
      </w:r>
      <w:r w:rsidR="00687850" w:rsidRPr="0040120E">
        <w:rPr>
          <w:rFonts w:ascii="Times New Roman" w:hAnsi="Times New Roman" w:cs="Times New Roman"/>
          <w:sz w:val="24"/>
          <w:szCs w:val="24"/>
          <w:lang w:val="en-GB"/>
        </w:rPr>
        <w:t xml:space="preserve">adjusting </w:t>
      </w:r>
      <w:r w:rsidR="006A6CF8" w:rsidRPr="0040120E">
        <w:rPr>
          <w:rFonts w:ascii="Times New Roman" w:hAnsi="Times New Roman" w:cs="Times New Roman"/>
          <w:sz w:val="24"/>
          <w:szCs w:val="24"/>
          <w:lang w:val="en-GB"/>
        </w:rPr>
        <w:t>the past</w:t>
      </w:r>
      <w:r w:rsidR="00687850" w:rsidRPr="0040120E">
        <w:rPr>
          <w:rFonts w:ascii="Times New Roman" w:hAnsi="Times New Roman" w:cs="Times New Roman"/>
          <w:sz w:val="24"/>
          <w:szCs w:val="24"/>
          <w:lang w:val="en-GB"/>
        </w:rPr>
        <w:t xml:space="preserve"> without altering the essence of the brand</w:t>
      </w:r>
      <w:r w:rsidR="006A6CF8" w:rsidRPr="0040120E">
        <w:rPr>
          <w:rFonts w:ascii="Times New Roman" w:hAnsi="Times New Roman" w:cs="Times New Roman"/>
          <w:sz w:val="24"/>
          <w:szCs w:val="24"/>
          <w:lang w:val="en-GB"/>
        </w:rPr>
        <w:t xml:space="preserve"> </w:t>
      </w:r>
      <w:r w:rsidR="006A6CF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{"citationItems":[{"id":"ITEM-1","itemData":{"DOI":"10.1108/03090561111151817","ISBN":"1061042111","ISSN":"0309-0566","PMID":"42012058","abstract":"Purpose – This article scrutinises the nature and salience of corporate heritage identities via the lens of the British Monarchy. A corporate heritage identity framework is introduced. The heritage identity construct is positioned vis-a-vis other related constructs such as nostalgia, tradition, and custom. Design/methodology/approach – An embedded case study informed by desktop research and a literature review of the British Monarchy and by an empirical-collaborative study on the Swedish Monarchy. The paper is also informed by the literature on heritage and other historically-related constructs. Findings – The notion of relative invariance is introduced. The latter is important since it explains why heritage identities can remain the same and yet have changed, namely: The Relative Invariance Notion. Corporate heritage identities and brands are invested with special qualities in that they are a melding of identity continuity, identity change and are also invested with the identities of time (times past, present and future). Heritage identities are an accretion of various identities, which are variously linked to institutions, places, cultures, and to time frames. The notion of Institutional Role Identities is introduced. The study suggested that heritage identities have multiple institutional role identities. These identities can be utilised in various contexts and for a variety of purposes: this might account for their strength. One explanation of why heritage identities are powerful is because they meet customer and stakeholder needs by encapsulating and, importantly, by giving identity. Heritage identities, potentially, are an important dimension of a group’s collective memory. Practical implications – A revised corporate heritage identity framework relating to the British Monarchy is introduced. The model can be adapted so as to appraise our comprehension of corporate heritage identities in more general institutional contexts. The importance of bi-lateral institutional and stakeholder trust to the framework and the need for (institution) heritage authenticity – or perceived authenticity – and stakeholder affinity are noted. Originality/value – The paper focuses on heritage identities in institutional contexts and a distinction is made between corporate heritage identities and corporate heritage brands identities. Keywords Corporate heritage identity, Corporate heritage brands, Corporatemarketing, Corporate identity, Corporate image, Corporate strateg…","author":[{"dropping-particle":"","family":"Balmer","given":"John M T","non-dropping-particle":"","parse-names":false,"suffix":""}],"container-title":"European Journal of Marketing","id":"ITEM-1","issue":"9/10","issued":{"date-parts":[["2011"]]},"page":"1380-1398","title":"Corporate heritage identities, corporate heritage brands and the multiple heritage identities of the British Monarchy","type":"article-journal","volume":"45"},"uris":["http://www.mendeley.com/documents/?uuid=07b5c0bf-c9c9-4382-a90d-1f7b26f087cb"]}],"mendeley":{"formattedCitation":"(Balmer, 2011)","plainTextFormattedCitation":"(Balmer, 2011)","previouslyFormattedCitation":"(Balmer, 2011)"},"properties":{"noteIndex":0},"schema":"https://github.com/citation-style-language/schema/raw/master/csl-citation.json"}</w:instrText>
      </w:r>
      <w:r w:rsidR="006A6CF8" w:rsidRPr="0040120E">
        <w:rPr>
          <w:rFonts w:ascii="Times New Roman" w:hAnsi="Times New Roman" w:cs="Times New Roman"/>
          <w:sz w:val="24"/>
          <w:szCs w:val="24"/>
          <w:lang w:val="en-GB"/>
        </w:rPr>
        <w:fldChar w:fldCharType="separate"/>
      </w:r>
      <w:r w:rsidR="006A6CF8" w:rsidRPr="0040120E">
        <w:rPr>
          <w:rFonts w:ascii="Times New Roman" w:hAnsi="Times New Roman" w:cs="Times New Roman"/>
          <w:noProof/>
          <w:sz w:val="24"/>
          <w:szCs w:val="24"/>
          <w:lang w:val="en-GB"/>
        </w:rPr>
        <w:t>(Balmer, 2011)</w:t>
      </w:r>
      <w:r w:rsidR="006A6CF8" w:rsidRPr="0040120E">
        <w:rPr>
          <w:rFonts w:ascii="Times New Roman" w:hAnsi="Times New Roman" w:cs="Times New Roman"/>
          <w:sz w:val="24"/>
          <w:szCs w:val="24"/>
          <w:lang w:val="en-GB"/>
        </w:rPr>
        <w:fldChar w:fldCharType="end"/>
      </w:r>
      <w:r w:rsidR="006A6CF8" w:rsidRPr="0040120E">
        <w:rPr>
          <w:rFonts w:ascii="Times New Roman" w:hAnsi="Times New Roman" w:cs="Times New Roman"/>
          <w:sz w:val="24"/>
          <w:szCs w:val="24"/>
          <w:lang w:val="en-GB"/>
        </w:rPr>
        <w:t>.</w:t>
      </w:r>
    </w:p>
    <w:p w14:paraId="2453AA20" w14:textId="3DF61255" w:rsidR="009A5E47" w:rsidRPr="0040120E" w:rsidRDefault="006A6CF8" w:rsidP="00F216F2">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We therefore retain the </w:t>
      </w:r>
      <w:r w:rsidR="00FA0095" w:rsidRPr="0040120E">
        <w:rPr>
          <w:rFonts w:ascii="Times New Roman" w:hAnsi="Times New Roman" w:cs="Times New Roman"/>
          <w:sz w:val="24"/>
          <w:szCs w:val="24"/>
          <w:lang w:val="en-GB"/>
        </w:rPr>
        <w:t>three</w:t>
      </w:r>
      <w:r w:rsidRPr="0040120E">
        <w:rPr>
          <w:rFonts w:ascii="Times New Roman" w:hAnsi="Times New Roman" w:cs="Times New Roman"/>
          <w:sz w:val="24"/>
          <w:szCs w:val="24"/>
          <w:lang w:val="en-GB"/>
        </w:rPr>
        <w:t xml:space="preserve"> dimensions at this stage. A scale with 13</w:t>
      </w:r>
      <w:r w:rsidR="00AA50D8" w:rsidRPr="0040120E">
        <w:rPr>
          <w:rFonts w:ascii="Times New Roman" w:hAnsi="Times New Roman" w:cs="Times New Roman"/>
          <w:sz w:val="24"/>
          <w:szCs w:val="24"/>
          <w:lang w:val="en-GB"/>
        </w:rPr>
        <w:t xml:space="preserve"> items</w:t>
      </w:r>
      <w:r w:rsidRPr="0040120E">
        <w:rPr>
          <w:rFonts w:ascii="Times New Roman" w:hAnsi="Times New Roman" w:cs="Times New Roman"/>
          <w:sz w:val="24"/>
          <w:szCs w:val="24"/>
          <w:lang w:val="en-GB"/>
        </w:rPr>
        <w:t xml:space="preserve"> shows good indices of adequacy (MSA</w:t>
      </w:r>
      <w:r w:rsidR="0087638D" w:rsidRPr="0040120E">
        <w:rPr>
          <w:rStyle w:val="FootnoteReference"/>
          <w:rFonts w:ascii="Times New Roman" w:hAnsi="Times New Roman" w:cs="Times New Roman"/>
          <w:sz w:val="24"/>
          <w:szCs w:val="24"/>
          <w:lang w:val="en-GB"/>
        </w:rPr>
        <w:footnoteReference w:id="1"/>
      </w:r>
      <w:r w:rsidRPr="0040120E">
        <w:rPr>
          <w:rFonts w:ascii="Times New Roman" w:hAnsi="Times New Roman" w:cs="Times New Roman"/>
          <w:sz w:val="24"/>
          <w:szCs w:val="24"/>
          <w:lang w:val="en-GB"/>
        </w:rPr>
        <w:t xml:space="preserve"> .939; χ²=74.9; df 42) and convergent validity (Stability: AVE</w:t>
      </w:r>
      <w:r w:rsidR="0087638D" w:rsidRPr="0040120E">
        <w:rPr>
          <w:rStyle w:val="FootnoteReference"/>
          <w:rFonts w:ascii="Times New Roman" w:hAnsi="Times New Roman" w:cs="Times New Roman"/>
          <w:sz w:val="24"/>
          <w:szCs w:val="24"/>
          <w:lang w:val="en-GB"/>
        </w:rPr>
        <w:footnoteReference w:id="2"/>
      </w:r>
      <w:r w:rsidRPr="0040120E">
        <w:rPr>
          <w:rFonts w:ascii="Times New Roman" w:hAnsi="Times New Roman" w:cs="Times New Roman"/>
          <w:sz w:val="24"/>
          <w:szCs w:val="24"/>
          <w:lang w:val="en-GB"/>
        </w:rPr>
        <w:t>=0.704; Jöreskog=0.934; Longevity: AVE=0.552; Jöreskog=0.858; Adaptability: AVE=0.744; Jöreskog=0.853).</w:t>
      </w:r>
      <w:r w:rsidR="00270416" w:rsidRPr="0040120E">
        <w:rPr>
          <w:rFonts w:ascii="Times New Roman" w:hAnsi="Times New Roman" w:cs="Times New Roman"/>
          <w:sz w:val="24"/>
          <w:szCs w:val="24"/>
          <w:lang w:val="en-GB"/>
        </w:rPr>
        <w:t xml:space="preserve"> We assess di</w:t>
      </w:r>
      <w:r w:rsidR="00DB3AE6" w:rsidRPr="0040120E">
        <w:rPr>
          <w:rFonts w:ascii="Times New Roman" w:hAnsi="Times New Roman" w:cs="Times New Roman"/>
          <w:sz w:val="24"/>
          <w:szCs w:val="24"/>
          <w:lang w:val="en-GB"/>
        </w:rPr>
        <w:t xml:space="preserve">scriminant validity with two methods. A single factor solution shows a significant decrease of the fit index compared to the three factors solution: </w:t>
      </w:r>
      <w:r w:rsidR="006E649D" w:rsidRPr="0040120E">
        <w:rPr>
          <w:rFonts w:ascii="Times New Roman" w:hAnsi="Times New Roman" w:cs="Times New Roman"/>
          <w:sz w:val="24"/>
          <w:szCs w:val="24"/>
          <w:lang w:val="en-GB"/>
        </w:rPr>
        <w:t>524.021 (df: 65</w:t>
      </w:r>
      <w:r w:rsidR="00DB3AE6" w:rsidRPr="0040120E">
        <w:rPr>
          <w:rFonts w:ascii="Times New Roman" w:hAnsi="Times New Roman" w:cs="Times New Roman"/>
          <w:sz w:val="24"/>
          <w:szCs w:val="24"/>
          <w:lang w:val="en-GB"/>
        </w:rPr>
        <w:t xml:space="preserve">), Δχ²= </w:t>
      </w:r>
      <w:r w:rsidR="006E649D" w:rsidRPr="0040120E">
        <w:rPr>
          <w:rFonts w:ascii="Times New Roman" w:hAnsi="Times New Roman" w:cs="Times New Roman"/>
          <w:sz w:val="24"/>
          <w:szCs w:val="24"/>
          <w:lang w:val="en-GB"/>
        </w:rPr>
        <w:t>449.125 (23</w:t>
      </w:r>
      <w:r w:rsidR="00DB3AE6" w:rsidRPr="0040120E">
        <w:rPr>
          <w:rFonts w:ascii="Times New Roman" w:hAnsi="Times New Roman" w:cs="Times New Roman"/>
          <w:sz w:val="24"/>
          <w:szCs w:val="24"/>
          <w:lang w:val="en-GB"/>
        </w:rPr>
        <w:t>) p&lt;0.001. The square value of the highest common variance</w:t>
      </w:r>
      <w:r w:rsidR="006E649D" w:rsidRPr="0040120E">
        <w:rPr>
          <w:rFonts w:ascii="Times New Roman" w:hAnsi="Times New Roman" w:cs="Times New Roman"/>
          <w:sz w:val="24"/>
          <w:szCs w:val="24"/>
          <w:lang w:val="en-GB"/>
        </w:rPr>
        <w:t xml:space="preserve"> between the factors (0.518</w:t>
      </w:r>
      <w:r w:rsidR="00DB3AE6" w:rsidRPr="0040120E">
        <w:rPr>
          <w:rFonts w:ascii="Times New Roman" w:hAnsi="Times New Roman" w:cs="Times New Roman"/>
          <w:sz w:val="24"/>
          <w:szCs w:val="24"/>
          <w:lang w:val="en-GB"/>
        </w:rPr>
        <w:t xml:space="preserve">) is inferior to the lowest score of </w:t>
      </w:r>
      <w:r w:rsidR="006E649D" w:rsidRPr="0040120E">
        <w:rPr>
          <w:rFonts w:ascii="Times New Roman" w:hAnsi="Times New Roman" w:cs="Times New Roman"/>
          <w:sz w:val="24"/>
          <w:szCs w:val="24"/>
          <w:lang w:val="en-GB"/>
        </w:rPr>
        <w:t>average variance extracted (0.55</w:t>
      </w:r>
      <w:r w:rsidR="00DB3AE6" w:rsidRPr="0040120E">
        <w:rPr>
          <w:rFonts w:ascii="Times New Roman" w:hAnsi="Times New Roman" w:cs="Times New Roman"/>
          <w:sz w:val="24"/>
          <w:szCs w:val="24"/>
          <w:lang w:val="en-GB"/>
        </w:rPr>
        <w:t>2).</w:t>
      </w:r>
    </w:p>
    <w:p w14:paraId="6DE8998E" w14:textId="0C7A7431" w:rsidR="00612B97" w:rsidRPr="0040120E" w:rsidRDefault="00E2048B" w:rsidP="00E23412">
      <w:pPr>
        <w:spacing w:line="480" w:lineRule="auto"/>
        <w:jc w:val="both"/>
        <w:rPr>
          <w:rFonts w:ascii="Times New Roman" w:hAnsi="Times New Roman" w:cs="Times New Roman"/>
          <w:b/>
          <w:i/>
          <w:sz w:val="24"/>
          <w:szCs w:val="24"/>
          <w:lang w:val="en-GB"/>
        </w:rPr>
      </w:pPr>
      <w:r w:rsidRPr="0040120E">
        <w:rPr>
          <w:rFonts w:ascii="Times New Roman" w:hAnsi="Times New Roman" w:cs="Times New Roman"/>
          <w:b/>
          <w:i/>
          <w:sz w:val="24"/>
          <w:szCs w:val="24"/>
          <w:lang w:val="en-GB"/>
        </w:rPr>
        <w:t xml:space="preserve">Study 3: </w:t>
      </w:r>
      <w:r w:rsidR="00A553E1" w:rsidRPr="0040120E">
        <w:rPr>
          <w:rFonts w:ascii="Times New Roman" w:hAnsi="Times New Roman" w:cs="Times New Roman"/>
          <w:b/>
          <w:i/>
          <w:sz w:val="24"/>
          <w:szCs w:val="24"/>
          <w:lang w:val="en-GB"/>
        </w:rPr>
        <w:t>Confirmatory</w:t>
      </w:r>
      <w:r w:rsidR="00BD5F49" w:rsidRPr="0040120E">
        <w:rPr>
          <w:rFonts w:ascii="Times New Roman" w:hAnsi="Times New Roman" w:cs="Times New Roman"/>
          <w:b/>
          <w:i/>
          <w:sz w:val="24"/>
          <w:szCs w:val="24"/>
          <w:lang w:val="en-GB"/>
        </w:rPr>
        <w:t xml:space="preserve"> Factor Analysis </w:t>
      </w:r>
      <w:r w:rsidRPr="0040120E">
        <w:rPr>
          <w:rFonts w:ascii="Times New Roman" w:hAnsi="Times New Roman" w:cs="Times New Roman"/>
          <w:b/>
          <w:i/>
          <w:sz w:val="24"/>
          <w:szCs w:val="24"/>
          <w:lang w:val="en-GB"/>
        </w:rPr>
        <w:t xml:space="preserve">and </w:t>
      </w:r>
      <w:r w:rsidR="005255F4" w:rsidRPr="0040120E">
        <w:rPr>
          <w:rFonts w:ascii="Times New Roman" w:hAnsi="Times New Roman" w:cs="Times New Roman"/>
          <w:b/>
          <w:i/>
          <w:sz w:val="24"/>
          <w:szCs w:val="24"/>
          <w:lang w:val="en-GB"/>
        </w:rPr>
        <w:t>N</w:t>
      </w:r>
      <w:r w:rsidRPr="0040120E">
        <w:rPr>
          <w:rFonts w:ascii="Times New Roman" w:hAnsi="Times New Roman" w:cs="Times New Roman"/>
          <w:b/>
          <w:i/>
          <w:sz w:val="24"/>
          <w:szCs w:val="24"/>
          <w:lang w:val="en-GB"/>
        </w:rPr>
        <w:t xml:space="preserve">omological </w:t>
      </w:r>
      <w:r w:rsidR="005255F4" w:rsidRPr="0040120E">
        <w:rPr>
          <w:rFonts w:ascii="Times New Roman" w:hAnsi="Times New Roman" w:cs="Times New Roman"/>
          <w:b/>
          <w:i/>
          <w:sz w:val="24"/>
          <w:szCs w:val="24"/>
          <w:lang w:val="en-GB"/>
        </w:rPr>
        <w:t>V</w:t>
      </w:r>
      <w:r w:rsidRPr="0040120E">
        <w:rPr>
          <w:rFonts w:ascii="Times New Roman" w:hAnsi="Times New Roman" w:cs="Times New Roman"/>
          <w:b/>
          <w:i/>
          <w:sz w:val="24"/>
          <w:szCs w:val="24"/>
          <w:lang w:val="en-GB"/>
        </w:rPr>
        <w:t>alidity</w:t>
      </w:r>
    </w:p>
    <w:p w14:paraId="1342FF97" w14:textId="697F32B7" w:rsidR="00460439" w:rsidRPr="0040120E" w:rsidRDefault="00460439"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We collected a new set of data on a professional panel (N=989). These respondents took part in </w:t>
      </w:r>
      <w:r w:rsidR="00FA0095" w:rsidRPr="0040120E">
        <w:rPr>
          <w:rFonts w:ascii="Times New Roman" w:hAnsi="Times New Roman" w:cs="Times New Roman"/>
          <w:sz w:val="24"/>
          <w:szCs w:val="24"/>
          <w:lang w:val="en-GB"/>
        </w:rPr>
        <w:t xml:space="preserve">the </w:t>
      </w:r>
      <w:r w:rsidRPr="0040120E">
        <w:rPr>
          <w:rFonts w:ascii="Times New Roman" w:hAnsi="Times New Roman" w:cs="Times New Roman"/>
          <w:sz w:val="24"/>
          <w:szCs w:val="24"/>
          <w:lang w:val="en-GB"/>
        </w:rPr>
        <w:t xml:space="preserve">evaluation of four FMCG brands (Nestlé, Lindt, Heinz, and Hunts). These brands operate in two different markets and differ in their brand awareness. Respondents evaluate brand heritage on the 13 items extracted from the EFA, but also </w:t>
      </w:r>
      <w:r w:rsidR="00FA0095" w:rsidRPr="0040120E">
        <w:rPr>
          <w:rFonts w:ascii="Times New Roman" w:hAnsi="Times New Roman" w:cs="Times New Roman"/>
          <w:sz w:val="24"/>
          <w:szCs w:val="24"/>
          <w:lang w:val="en-GB"/>
        </w:rPr>
        <w:t xml:space="preserve">on </w:t>
      </w:r>
      <w:r w:rsidRPr="0040120E">
        <w:rPr>
          <w:rFonts w:ascii="Times New Roman" w:hAnsi="Times New Roman" w:cs="Times New Roman"/>
          <w:sz w:val="24"/>
          <w:szCs w:val="24"/>
          <w:lang w:val="en-GB"/>
        </w:rPr>
        <w:t>two additional variables selected to test the discriminant and nomological validity of the scale</w:t>
      </w:r>
      <w:r w:rsidR="00A16C27" w:rsidRPr="0040120E">
        <w:rPr>
          <w:rFonts w:ascii="Times New Roman" w:hAnsi="Times New Roman" w:cs="Times New Roman"/>
          <w:sz w:val="24"/>
          <w:szCs w:val="24"/>
          <w:lang w:val="en-GB"/>
        </w:rPr>
        <w:t xml:space="preserve"> with a cognitive and an affective outcome</w:t>
      </w:r>
      <w:r w:rsidR="00D30661" w:rsidRPr="0040120E">
        <w:rPr>
          <w:rFonts w:ascii="Times New Roman" w:hAnsi="Times New Roman" w:cs="Times New Roman"/>
          <w:sz w:val="24"/>
          <w:szCs w:val="24"/>
          <w:lang w:val="en-GB"/>
        </w:rPr>
        <w:t xml:space="preserve"> (Table </w:t>
      </w:r>
      <w:r w:rsidR="009C2A33" w:rsidRPr="0040120E">
        <w:rPr>
          <w:rFonts w:ascii="Times New Roman" w:hAnsi="Times New Roman" w:cs="Times New Roman"/>
          <w:sz w:val="24"/>
          <w:szCs w:val="24"/>
          <w:lang w:val="en-GB"/>
        </w:rPr>
        <w:t>4</w:t>
      </w:r>
      <w:r w:rsidR="00D30661"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brand</w:t>
      </w:r>
      <w:r w:rsidR="00130258" w:rsidRPr="0040120E">
        <w:rPr>
          <w:rFonts w:ascii="Times New Roman" w:hAnsi="Times New Roman" w:cs="Times New Roman"/>
          <w:sz w:val="24"/>
          <w:szCs w:val="24"/>
          <w:lang w:val="en-GB"/>
        </w:rPr>
        <w:t xml:space="preserve"> credibility on </w:t>
      </w:r>
      <w:r w:rsidR="00FA0095" w:rsidRPr="0040120E">
        <w:rPr>
          <w:rFonts w:ascii="Times New Roman" w:hAnsi="Times New Roman" w:cs="Times New Roman"/>
          <w:sz w:val="24"/>
          <w:szCs w:val="24"/>
          <w:lang w:val="en-GB"/>
        </w:rPr>
        <w:t xml:space="preserve">five </w:t>
      </w:r>
      <w:r w:rsidR="00130258" w:rsidRPr="0040120E">
        <w:rPr>
          <w:rFonts w:ascii="Times New Roman" w:hAnsi="Times New Roman" w:cs="Times New Roman"/>
          <w:sz w:val="24"/>
          <w:szCs w:val="24"/>
          <w:lang w:val="en-GB"/>
        </w:rPr>
        <w:t xml:space="preserve">items </w:t>
      </w:r>
      <w:r w:rsidR="0013025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{"citationItems":[{"id":"ITEM-1","itemData":{"DOI":"10.1097/01.rhu.0000200424.58122.38","ISBN":"00222429","ISSN":"00222429","PMID":"19451860","abstract":"This article tests how well the information economics view of brand equity explains consumer brand choice in countries that represent different cultural dimensions. In this empirical analysis, the authors use survey and experimental data on orange juice and personal computers collected from respondents in Brazil, Germany, India, Japan, Spain, Turkey, and the United States. The results provide strong empirical evidence across countries for the role of brands as signals of product positions. In addition, the positive effect of brand credibility on choice is greater for consumers who rate high on either collectivism or uncertainty avoidance. Credible brands provide more value to collectivist consumers because such consumers perceive these brands as being of higher quality (i.e., reinforcing group identity). Credible brands provide more value to high-uncertainty-avoidance consumers because such brands have lower perceived risk and information costs. [ABSTRACT FROM AUTHOR]","author":[{"dropping-particle":"","family":"Erdem","given":"","non-dropping-particle":"","parse-names":false,"suffix":""},{"dropping-particle":"","family":"Swait","given":"Joffre","non-dropping-particle":"","parse-names":false,"suffix":""},{"dropping-particle":"","family":"Valenzuela","given":"Ana","non-dropping-particle":"","parse-names":false,"suffix":""}],"container-title":"Journal of Marketing","id":"ITEM-1","issue":"1","issued":{"date-parts":[["2006"]]},"page":"34-49","title":"Brands as signals: A cross-country validation study","type":"article-journal","volume":"70"},"uris":["http://www.mendeley.com/documents/?uuid=4520d702-7b67-4020-8aa9-1881384c002c"]}],"mendeley":{"formattedCitation":"(Erdem, Swait, &amp; Valenzuela, 2006)","plainTextFormattedCitation":"(Erdem, Swait, &amp; Valenzuela, 2006)","previouslyFormattedCitation":"(Erdem, Swait, &amp; Valenzuela, 2006)"},"properties":{"noteIndex":0},"schema":"https://github.com/citation-style-language/schema/raw/master/csl-citation.json"}</w:instrText>
      </w:r>
      <w:r w:rsidR="00130258"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(Erdem, Swait, &amp; Valenzuela, 2006)</w:t>
      </w:r>
      <w:r w:rsidR="00130258"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xml:space="preserve"> and personal nostalgia</w:t>
      </w:r>
      <w:r w:rsidR="00FA0095"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defined as the nostalgia felt in reaction to a stimulus on </w:t>
      </w:r>
      <w:r w:rsidR="00FA0095" w:rsidRPr="0040120E">
        <w:rPr>
          <w:rFonts w:ascii="Times New Roman" w:hAnsi="Times New Roman" w:cs="Times New Roman"/>
          <w:sz w:val="24"/>
          <w:szCs w:val="24"/>
          <w:lang w:val="en-GB"/>
        </w:rPr>
        <w:t xml:space="preserve">three </w:t>
      </w:r>
      <w:r w:rsidRPr="0040120E">
        <w:rPr>
          <w:rFonts w:ascii="Times New Roman" w:hAnsi="Times New Roman" w:cs="Times New Roman"/>
          <w:sz w:val="24"/>
          <w:szCs w:val="24"/>
          <w:lang w:val="en-GB"/>
        </w:rPr>
        <w:t xml:space="preserve">items </w:t>
      </w:r>
      <w:r w:rsidRPr="0040120E">
        <w:rPr>
          <w:rFonts w:ascii="Times New Roman" w:hAnsi="Times New Roman" w:cs="Times New Roman"/>
          <w:sz w:val="24"/>
          <w:lang w:val="en-GB"/>
        </w:rPr>
        <w:fldChar w:fldCharType="begin" w:fldLock="1"/>
      </w:r>
      <w:r w:rsidR="003870BB" w:rsidRPr="0040120E">
        <w:rPr>
          <w:rFonts w:ascii="Times New Roman" w:hAnsi="Times New Roman" w:cs="Times New Roman"/>
          <w:sz w:val="24"/>
          <w:lang w:val="en-GB"/>
        </w:rPr>
        <w:instrText>ADDIN CSL_CITATION {"citationItems":[{"id":"ITEM-1","itemData":{"DOI":"10.1037/a0038033","ISBN":"0022-3514","ISSN":"00223514","PMID":"25347125","abstract":"Seven studies reveal that nostalgia, a sentimental affection for the past, offers a window to the intrinsic self-concept—who people think they truly are. In Study 1, state nostalgia was associated with higher authenticity and lower extrinsic self-focus (concern with meeting extrinsic value standards). In Study 2, experimentally primed nostalgia increased perceived authenticity of the past self, which in turn predicted reduced current extrinsic self-focus. Study 3 showed that nostalgia increased the accessibility of the intrinsic self-concept but not the everyday self-concept. Study 4 provided evidence for a moderator suggested by our theoretical analysis: Recalling a nostalgic event increased felt nostalgia and positive affect, but this effect was attenuated if participants were prompted to recognize external factors controlling their behavior during that event. Next we treated nostalgia as an outcome variable and a moderator to test whether nostalgia is triggered by, and buffers against, threats to the intrinsic self. Using a mediation approach, Study 5 showed that participants primed to feel blocked in intrinsic self-expression responded with increased nostalgia. In Study 6, intrinsic self-threat reduced intrinsic self-expression and subjective well-being for participants who were not given an opportunity to respond with nostalgia but not for participants who were allowed to reflect on a nostalgic memory. In line with the experimental findings, correlational data from Study 7 indicated that dispositional nostalgia positively predicted intrinsic self-expression and well-being. Understanding nostalgia as a window to the intrinsic self points to new directions for research on nostalgia’s antecedents, moderators, and consequences for well-being.","author":[{"dropping-particle":"","family":"Baldwin","given":"Matthew","non-dropping-particle":"","parse-names":false,"suffix":""},{"dropping-particle":"","family":"Biernat","given":"Monica","non-dropping-particle":"","parse-names":false,"suffix":""},{"dropping-particle":"","family":"Landau","given":"Mark J.","non-dropping-particle":"","parse-names":false,"suffix":""}],"container-title":"Journal of Personality and Social Psychology","id":"ITEM-1","issue":"1","issued":{"date-parts":[["2015"]]},"page":"128-147","title":"Remembering the real me: Nostalgia offers a window to the intrinsic self","type":"article-journal","volume":"108"},"uris":["http://www.mendeley.com/documents/?uuid=7ad63e82-d8c3-42df-ac6c-0b28caccd28c"]},{"id":"ITEM-2","itemData":{"DOI":"10.1080/02650487.2015.1090049","ISSN":"02650487","abstract":"The practice of imbuing marketing communications with nostalgic reverie is prevalent in numerous countries. However, scholarly research investigating consumer response to such communication across cultures is lacking. This inquiry follows an emic approach examining and measuring ad-evoked personal nostalgia in France. Findings from five studies (N D 699) reveal significant differences in consumer reactions in France, as compared to earlier research based on American samples. Among the French, nostalgic advertising evokes personal memories and cultural nostalgia, contrasted to reports of past imagery, physiological and positive and negative emotional reactions in the United States. Furthermore, while cultural nostalgia is an important component of the French personal nostalgic experience, it is the personal memories that are the key to the creation of positive impressions about the ad and brand (brand heritage, brand bonds, and attitudes), and driving behavioral intentions. The emic French scale was found to be superior to an etic ad-nostalgia measure, in terms of fit and variance explained of the endogenous variables. The findings contribute to cross-cultural advertising and marketing research, and can be instructive for advertisers targeting the French market.","author":[{"dropping-particle":"","family":"Merchant","given":"Altaf","non-dropping-particle":"","parse-names":false,"suffix":""},{"dropping-particle":"","family":"Ford","given":"John B.","non-dropping-particle":"","parse-names":false,"suffix":""},{"dropping-particle":"","family":"Dianoux","given":"Christian","non-dropping-particle":"","parse-names":false,"suffix":""},{"dropping-particle":"","family":"Herrmann","given":"Jean Luc","non-dropping-particle":"","parse-names":false,"suffix":""}],"container-title":"International Journal of Advertising","id":"ITEM-2","issue":"4","issued":{"date-parts":[["2016"]]},"page":"706-729","title":"Development and validation of an emic scale to measure ad-evoked nostalgia in France","type":"article-journal","volume":"35"},"uris":["http://www.mendeley.com/documents/?uuid=5aa63be1-17b2-4b71-a0d9-3a9599049417"]},{"id":"ITEM-3","itemData":{"author":[{"dropping-particle":"","family":"Pascal","given":"Vincent","non-dropping-particle":"","parse-names":false,"suffix":""},{"dropping-particle":"","family":"Sprott","given":"David","non-dropping-particle":"","parse-names":false,"suffix":""},{"dropping-particle":"","family":"Muehling","given":"Darrel","non-dropping-particle":"","parse-names":false,"suffix":""}],"container-title":"Journal of Current Issues &amp; Research in Advertising","id":"ITEM-3","issue":"1","issued":{"date-parts":[["2002"]]},"page":"39-47","title":"The Influence of Evoked Nostalgia on Consumers ' Responses to Advertising : An Exploratory Study to Advertising : An Explorato y Study","type":"article-journal","volume":"24"},"uris":["http://www.mendeley.com/documents/?uuid=c73a9186-8bb7-40f5-b154-3662cbe6509a","http://www.mendeley.com/documents/?uuid=ffc94dae-28da-4f88-b344-079e375757ae"]}],"mendeley":{"formattedCitation":"(Baldwin, Biernat, &amp; Landau, 2015; Merchant, Ford, Dianoux, &amp; Herrmann, 2016; Pascal, Sprott, &amp; Muehling, 2002)","manualFormatting":"(adapted from Baldwin, Biernat, &amp; Landau, 2015; Merchant, Ford, Dianoux, &amp; Herrmann, 2016; Pascal, Sprott, &amp; Muehling, 2002)","plainTextFormattedCitation":"(Baldwin, Biernat, &amp; Landau, 2015; Merchant, Ford, Dianoux, &amp; Herrmann, 2016; Pascal, Sprott, &amp; Muehling, 2002)","previouslyFormattedCitation":"(Baldwin, Biernat, &amp; Landau, 2015; Merchant, Ford, Dianoux, &amp; Herrmann, 2016; Pascal, Sprott, &amp; Muehling, 2002)"},"properties":{"noteIndex":0},"schema":"https://github.com/citation-style-language/schema/raw/master/csl-citation.json"}</w:instrText>
      </w:r>
      <w:r w:rsidRPr="0040120E">
        <w:rPr>
          <w:rFonts w:ascii="Times New Roman" w:hAnsi="Times New Roman" w:cs="Times New Roman"/>
          <w:sz w:val="24"/>
          <w:lang w:val="en-GB"/>
        </w:rPr>
        <w:fldChar w:fldCharType="separate"/>
      </w:r>
      <w:r w:rsidRPr="0040120E">
        <w:rPr>
          <w:rFonts w:ascii="Times New Roman" w:hAnsi="Times New Roman" w:cs="Times New Roman"/>
          <w:noProof/>
          <w:sz w:val="24"/>
          <w:lang w:val="en-GB"/>
        </w:rPr>
        <w:t>(adapted from Baldwin, Biernat, &amp; Landau, 2015; Merchant, Ford, Dianoux, &amp; Herrmann, 2016; Pascal, Sprott, &amp; Muehling, 2002)</w:t>
      </w:r>
      <w:r w:rsidRPr="0040120E">
        <w:rPr>
          <w:rFonts w:ascii="Times New Roman" w:hAnsi="Times New Roman" w:cs="Times New Roman"/>
          <w:sz w:val="24"/>
          <w:lang w:val="en-GB"/>
        </w:rPr>
        <w:fldChar w:fldCharType="end"/>
      </w:r>
      <w:r w:rsidRPr="0040120E">
        <w:rPr>
          <w:rFonts w:ascii="Times New Roman" w:hAnsi="Times New Roman" w:cs="Times New Roman"/>
          <w:sz w:val="24"/>
          <w:szCs w:val="24"/>
          <w:lang w:val="en-GB"/>
        </w:rPr>
        <w:t>.</w:t>
      </w:r>
    </w:p>
    <w:p w14:paraId="16D4577A" w14:textId="1A1C41F3" w:rsidR="00460439" w:rsidRPr="0040120E" w:rsidRDefault="00460439" w:rsidP="00532676">
      <w:pPr>
        <w:spacing w:line="480" w:lineRule="auto"/>
        <w:ind w:firstLine="360"/>
        <w:jc w:val="both"/>
        <w:rPr>
          <w:rFonts w:ascii="Times New Roman" w:hAnsi="Times New Roman" w:cs="Times New Roman"/>
          <w:sz w:val="24"/>
          <w:lang w:val="en-GB"/>
        </w:rPr>
      </w:pPr>
      <w:r w:rsidRPr="0040120E">
        <w:rPr>
          <w:rFonts w:ascii="Times New Roman" w:hAnsi="Times New Roman" w:cs="Times New Roman"/>
          <w:sz w:val="24"/>
          <w:szCs w:val="24"/>
          <w:lang w:val="en-GB"/>
        </w:rPr>
        <w:t xml:space="preserve">We select these two variables for the discriminant and nomological validity because they often overlap with brand heritage in existing past-related research in marketing. The credibility </w:t>
      </w:r>
      <w:r w:rsidRPr="0040120E">
        <w:rPr>
          <w:rFonts w:ascii="Times New Roman" w:hAnsi="Times New Roman" w:cs="Times New Roman"/>
          <w:sz w:val="24"/>
          <w:szCs w:val="24"/>
          <w:lang w:val="en-GB"/>
        </w:rPr>
        <w:lastRenderedPageBreak/>
        <w:t>of the brand as it is measured by Erdem et al. (2006) is conceptually similar to perceived brand authenticity</w:t>
      </w:r>
      <w:r w:rsidR="00FA0095"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as </w:t>
      </w:r>
      <w:r w:rsidR="00FA0095" w:rsidRPr="0040120E">
        <w:rPr>
          <w:rFonts w:ascii="Times New Roman" w:hAnsi="Times New Roman" w:cs="Times New Roman"/>
          <w:sz w:val="24"/>
          <w:szCs w:val="24"/>
          <w:lang w:val="en-GB"/>
        </w:rPr>
        <w:t xml:space="preserve">the </w:t>
      </w:r>
      <w:r w:rsidRPr="0040120E">
        <w:rPr>
          <w:rFonts w:ascii="Times New Roman" w:hAnsi="Times New Roman" w:cs="Times New Roman"/>
          <w:sz w:val="24"/>
          <w:szCs w:val="24"/>
          <w:lang w:val="en-GB"/>
        </w:rPr>
        <w:t>latest research consider</w:t>
      </w:r>
      <w:r w:rsidR="00FA0095" w:rsidRPr="0040120E">
        <w:rPr>
          <w:rFonts w:ascii="Times New Roman" w:hAnsi="Times New Roman" w:cs="Times New Roman"/>
          <w:sz w:val="24"/>
          <w:szCs w:val="24"/>
          <w:lang w:val="en-GB"/>
        </w:rPr>
        <w:t>s</w:t>
      </w:r>
      <w:r w:rsidRPr="0040120E">
        <w:rPr>
          <w:rFonts w:ascii="Times New Roman" w:hAnsi="Times New Roman" w:cs="Times New Roman"/>
          <w:sz w:val="24"/>
          <w:szCs w:val="24"/>
          <w:lang w:val="en-GB"/>
        </w:rPr>
        <w:t xml:space="preserve"> credibility as the dimension of authenticity that explains most variance</w:t>
      </w:r>
      <w:r w:rsidRPr="0040120E">
        <w:rPr>
          <w:rFonts w:ascii="Times New Roman" w:hAnsi="Times New Roman" w:cs="Times New Roman"/>
          <w:sz w:val="24"/>
          <w:lang w:val="en-GB"/>
        </w:rPr>
        <w:t xml:space="preserve"> </w:t>
      </w:r>
      <w:r w:rsidRPr="0040120E">
        <w:rPr>
          <w:rFonts w:ascii="Times New Roman" w:hAnsi="Times New Roman" w:cs="Times New Roman"/>
          <w:sz w:val="24"/>
          <w:lang w:val="en-GB"/>
        </w:rPr>
        <w:fldChar w:fldCharType="begin" w:fldLock="1"/>
      </w:r>
      <w:r w:rsidR="003870BB" w:rsidRPr="0040120E">
        <w:rPr>
          <w:rFonts w:ascii="Times New Roman" w:hAnsi="Times New Roman" w:cs="Times New Roman"/>
          <w:sz w:val="24"/>
          <w:lang w:val="en-GB"/>
        </w:rPr>
        <w:instrText>ADDIN CSL_CITATION {"citationItems":[{"id":"ITEM-1","itemData":{"DOI":"10.1016/j.jcps.2014.11.006","ISBN":"1057-7408","ISSN":"10577408","abstract":"Although brand authenticity is gaining increasing interest in consumer behavior research and managerial practice, literature on its measurement and contribution to branding theory is still limited. This article develops an integrative framework of the concept of brand authenticity and reports the development and validation of a scale measuring consumers' perceived brand authenticity (PBA). A multi-phase scale development process resulted in a 15-item PBA scale measuring four dimensions: credibility, integrity, symbolism, and continuity. This scale is reliable across different brands and cultural contexts. We find that brand authenticity perceptions are influenced by indexical, existential, and iconic cues, whereby some of the latters' influence is moderated by consumers' level of marketing skepticism. Results also suggest that PBA increases emotional brand attachment and word-of-mouth, and that it drives brand choice likelihood through self-congruence for consumers high in self-authenticity.","author":[{"dropping-particle":"","family":"Morhart","given":"Felicitas","non-dropping-particle":"","parse-names":false,"suffix":""},{"dropping-particle":"","family":"Malär","given":"Lucia","non-dropping-particle":"","parse-names":false,"suffix":""},{"dropping-particle":"","family":"Guèvremont","given":"Amélie","non-dropping-particle":"","parse-names":false,"suffix":""},{"dropping-particle":"","family":"Girardin","given":"Florent","non-dropping-particle":"","parse-names":false,"suffix":""},{"dropping-particle":"","family":"Grohmann","given":"Bianca","non-dropping-particle":"","parse-names":false,"suffix":""}],"container-title":"Journal of Consumer Psychology","id":"ITEM-1","issue":"2","issued":{"date-parts":[["2015"]]},"page":"200-218","publisher":"Society for Consumer Psychology","title":"Brand authenticity: An integrative framework and measurement scale","type":"article-journal","volume":"25"},"uris":["http://www.mendeley.com/documents/?uuid=aca9e80c-9e66-4931-a477-27dac7055119"]}],"mendeley":{"formattedCitation":"(Morhart et al., 2015)","plainTextFormattedCitation":"(Morhart et al., 2015)","previouslyFormattedCitation":"(Morhart et al., 2015)"},"properties":{"noteIndex":0},"schema":"https://github.com/citation-style-language/schema/raw/master/csl-citation.json"}</w:instrText>
      </w:r>
      <w:r w:rsidRPr="0040120E">
        <w:rPr>
          <w:rFonts w:ascii="Times New Roman" w:hAnsi="Times New Roman" w:cs="Times New Roman"/>
          <w:sz w:val="24"/>
          <w:lang w:val="en-GB"/>
        </w:rPr>
        <w:fldChar w:fldCharType="separate"/>
      </w:r>
      <w:r w:rsidR="005531EE" w:rsidRPr="0040120E">
        <w:rPr>
          <w:rFonts w:ascii="Times New Roman" w:hAnsi="Times New Roman" w:cs="Times New Roman"/>
          <w:noProof/>
          <w:sz w:val="24"/>
          <w:lang w:val="en-GB"/>
        </w:rPr>
        <w:t>(Morhart et al., 2015)</w:t>
      </w:r>
      <w:r w:rsidRPr="0040120E">
        <w:rPr>
          <w:rFonts w:ascii="Times New Roman" w:hAnsi="Times New Roman" w:cs="Times New Roman"/>
          <w:sz w:val="24"/>
          <w:lang w:val="en-GB"/>
        </w:rPr>
        <w:fldChar w:fldCharType="end"/>
      </w:r>
      <w:r w:rsidRPr="0040120E">
        <w:rPr>
          <w:rFonts w:ascii="Times New Roman" w:hAnsi="Times New Roman" w:cs="Times New Roman"/>
          <w:sz w:val="24"/>
          <w:lang w:val="en-GB"/>
        </w:rPr>
        <w:t xml:space="preserve">. </w:t>
      </w:r>
      <w:r w:rsidR="00A16C27" w:rsidRPr="0040120E">
        <w:rPr>
          <w:rFonts w:ascii="Times New Roman" w:hAnsi="Times New Roman" w:cs="Times New Roman"/>
          <w:sz w:val="24"/>
          <w:lang w:val="en-GB"/>
        </w:rPr>
        <w:t xml:space="preserve">It also provides an example of a cognitive outcome of brand heritage. </w:t>
      </w:r>
      <w:r w:rsidRPr="0040120E">
        <w:rPr>
          <w:rFonts w:ascii="Times New Roman" w:hAnsi="Times New Roman" w:cs="Times New Roman"/>
          <w:sz w:val="24"/>
          <w:lang w:val="en-GB"/>
        </w:rPr>
        <w:t>Nostalgia is probably the past-related concept receiving most of the attention in marketing research. Personal nostalgia is a bittersweet feeling</w:t>
      </w:r>
      <w:r w:rsidR="00FA0095" w:rsidRPr="0040120E">
        <w:rPr>
          <w:rFonts w:ascii="Times New Roman" w:hAnsi="Times New Roman" w:cs="Times New Roman"/>
          <w:sz w:val="24"/>
          <w:lang w:val="en-GB"/>
        </w:rPr>
        <w:t>,</w:t>
      </w:r>
      <w:r w:rsidRPr="0040120E">
        <w:rPr>
          <w:rFonts w:ascii="Times New Roman" w:hAnsi="Times New Roman" w:cs="Times New Roman"/>
          <w:sz w:val="24"/>
          <w:lang w:val="en-GB"/>
        </w:rPr>
        <w:t xml:space="preserve"> caused by distance from one’s own past with an effect on consumers’ emotions and attitudes towards brands</w:t>
      </w:r>
      <w:r w:rsidR="003C144A" w:rsidRPr="0040120E">
        <w:rPr>
          <w:rFonts w:ascii="Times New Roman" w:hAnsi="Times New Roman" w:cs="Times New Roman"/>
          <w:sz w:val="24"/>
          <w:lang w:val="en-GB"/>
        </w:rPr>
        <w:t xml:space="preserve"> </w:t>
      </w:r>
      <w:r w:rsidRPr="0040120E">
        <w:rPr>
          <w:rFonts w:ascii="Times New Roman" w:hAnsi="Times New Roman" w:cs="Times New Roman"/>
          <w:sz w:val="24"/>
          <w:lang w:val="en-GB"/>
        </w:rPr>
        <w:fldChar w:fldCharType="begin" w:fldLock="1"/>
      </w:r>
      <w:r w:rsidR="003870BB" w:rsidRPr="0040120E">
        <w:rPr>
          <w:rFonts w:ascii="Times New Roman" w:hAnsi="Times New Roman" w:cs="Times New Roman"/>
          <w:sz w:val="24"/>
          <w:lang w:val="en-GB"/>
        </w:rPr>
        <w:instrText>ADDIN CSL_CITATION {"citationItems":[{"id":"ITEM-1","itemData":{"author":[{"dropping-particle":"","family":"Baker","given":"SE","non-dropping-particle":"","parse-names":false,"suffix":""},{"dropping-particle":"","family":"Kennedy","given":"PF","non-dropping-particle":"","parse-names":false,"suffix":""}],"container-title":"NA - Advances in Consumer Research","id":"ITEM-1","issued":{"date-parts":[["1994"]]},"page":"169–174","title":"Death by nostalgia: A diagnosis of context-specific cases","type":"paper-conference"},"uris":["http://www.mendeley.com/documents/?uuid=1fef9f6e-5a83-4a31-8b56-95a755b796a6"]},{"id":"ITEM-2","itemData":{"DOI":"10.1080/0267257X.2015.1088889","ISBN":"978-0-471-72085-0","ISSN":"14721376","abstract":"This study focuses on the cultural consumer environment of brands considered as nostalgic. The research questions are thus the following: what is the impact of culture on the consumer relationship with brands considered as nostalgic? In which cases are these relationships positive, and in which cases are they negative? To answer these questions, a longitudinal data collection was conducted, consisting of interviewing the same sample of respondents three times, at more or less one-year intervals. The results were analysed taking into account three dimensions of culture: time, place and social aspects. In the time-based approach, brands are associated with traditional celebrations and rites of passage. Thus, they give rise to ‘traditional purchase’ and consumer loyalty. In the place-based approach, brands evoke original authenticity and myths. They offer protection to reduce perceived risks and therefore facilitate consumers’ trust. In the social approach, brands are associated with symbolic icons and attract communities of fans. Finally, this article shows that culture involves sweeter rather than bitter nostalgic brand relationships. This article brings to light four cases when the consumer cultural environment may induce a rejection of the nostalgic brand: (1) the ‘corrupted’ brand; (2) the ‘immoral’ brand; (3) the ‘precarious’ brand; and (4) the ‘stereotypical’ brand. It shows that only one case – the ‘corrupted’ brand – may be particularly prejudicial due to its unwelcome role in History. [ABSTRACT FROM PUBLISHER]","author":[{"dropping-particle":"","family":"Kessous","given":"Aurelie","non-dropping-particle":"","parse-names":false,"suffix":""}],"container-title":"Journal of Marketing Management","id":"ITEM-2","issue":"17-18","issued":{"date-parts":[["2015"]]},"page":"1899-1923","publisher":"Routledge","title":"Nostalgia and brands: A sweet rather than a bitter cultural evocation of the past","type":"article-journal","volume":"31"},"uris":["http://www.mendeley.com/documents/?uuid=0776660a-051f-41e9-a556-f91ae42f4626"]},{"id":"ITEM-3","itemData":{"DOI":"10.1086/209346","ISBN":"00935301","ISSN":"0093-5301","abstract":"As studied in recent consumer research, the role of nostalgia involves both (1) a link between age and the development of consumer tastes (over time) and (2) the relationship of nostalgia proneness (a psychographic variable) to patterns of consumer preferences. However, questions remain concerning whether the influence of nos-talgia proneness and age can be regarded as two independent aspects of nostalgic consumption. This research reports a pair of studies that investigate this issue with respect to motion picture preferences among subjects. Study 1 uses an age-ho-mogeneous sample to examine 20 items that assess nostalgia proneness, to derive a nostalgia scale, to form a spatial representation of movie preferences, and to test the fit of a vector reflecting differential nostalgia-related tastes in this preference space. Study 2 generalizes these results to a sample heterogeneous with respect to age and shows that age and nostalgia proneness appear to work independently as separate aspects of nostalgic preference patterns. As a basic aspect of the human condition, the phe-nomenon of nostalgia has received attention from such disciplines as history (Hobsbawm 1983; Lowenthal 1985), psychology (Fodor 1950; Nawas and Platt 1965), sociology (Davis 1979), anthropology (McCracken 1988), environmental psychology (Taylor and Konrad 1980), and other more eclectic approaches in social sci-ence (Campbell 1987; Csikszentmihalyi and Rochberg-Halton 1981). Further, by virtue of the potential con-nection of nostalgic feelings to consumption experiences of many kinds, several consumer researchers have ex-amined various questions related to nostalgia and to consumption associated with the \"dear departed past.\" For example, Holbrook (1989) traces nostalgic themes in the songs of David Frishberg. Belk (1990, 1991) deals with the meanings of possessions in establishing one's \"sense of past.\" Belk et al. (1988; 1991) apply this gen-eral perspective to the specific case of collecting and explore the manner in which collections of memora-bilia, souvenirs, and other relics preserve memories that enhance people's lives. Havlena and Holak (1991) re-view the use of nostalgic appeals in advertising and other commercial settings, while Holbrook and Schindler (1991) consider these and other phenomena en route to building some theoretical connections between age and the development of nostalgia-related consumer tastes. Most recently, Holak and Havlena (1992) ex-amine the recurring per…","author":[{"dropping-particle":"","family":"Holbrook","given":"Morris B.","non-dropping-particle":"","parse-names":false,"suffix":""}],"container-title":"Journal of Consumer Research","id":"ITEM-3","issue":"2","issued":{"date-parts":[["1993"]]},"page":"245","title":"Nostalgia and Consumption Preferences: Some Emerging Patterns of Consumer Tastes","type":"article-journal","volume":"20"},"uris":["http://www.mendeley.com/documents/?uuid=7660d7fa-0ddf-47c5-89bd-4820eba870cd"]}],"mendeley":{"formattedCitation":"(Baker &amp; Kennedy, 1994; Holbrook, 1993; Kessous, 2015)","plainTextFormattedCitation":"(Baker &amp; Kennedy, 1994; Holbrook, 1993; Kessous, 2015)","previouslyFormattedCitation":"(Baker &amp; Kennedy, 1994; Holbrook, 1993; Kessous, 2015)"},"properties":{"noteIndex":0},"schema":"https://github.com/citation-style-language/schema/raw/master/csl-citation.json"}</w:instrText>
      </w:r>
      <w:r w:rsidRPr="0040120E">
        <w:rPr>
          <w:rFonts w:ascii="Times New Roman" w:hAnsi="Times New Roman" w:cs="Times New Roman"/>
          <w:sz w:val="24"/>
          <w:lang w:val="en-GB"/>
        </w:rPr>
        <w:fldChar w:fldCharType="separate"/>
      </w:r>
      <w:r w:rsidR="0014146D" w:rsidRPr="0040120E">
        <w:rPr>
          <w:rFonts w:ascii="Times New Roman" w:hAnsi="Times New Roman" w:cs="Times New Roman"/>
          <w:noProof/>
          <w:sz w:val="24"/>
          <w:lang w:val="en-GB"/>
        </w:rPr>
        <w:t>(Baker &amp; Kennedy, 1994; Holbrook, 1993; Kessous, 2015)</w:t>
      </w:r>
      <w:r w:rsidRPr="0040120E">
        <w:rPr>
          <w:rFonts w:ascii="Times New Roman" w:hAnsi="Times New Roman" w:cs="Times New Roman"/>
          <w:sz w:val="24"/>
          <w:lang w:val="en-GB"/>
        </w:rPr>
        <w:fldChar w:fldCharType="end"/>
      </w:r>
      <w:r w:rsidRPr="0040120E">
        <w:rPr>
          <w:rFonts w:ascii="Times New Roman" w:hAnsi="Times New Roman" w:cs="Times New Roman"/>
          <w:sz w:val="24"/>
          <w:lang w:val="en-GB"/>
        </w:rPr>
        <w:t>. As it is an emotion of the consumer, we expect it to be different from the mere perception of a brand’s characteristics</w:t>
      </w:r>
      <w:r w:rsidR="00FA0095" w:rsidRPr="0040120E">
        <w:rPr>
          <w:rFonts w:ascii="Times New Roman" w:hAnsi="Times New Roman" w:cs="Times New Roman"/>
          <w:sz w:val="24"/>
          <w:lang w:val="en-GB"/>
        </w:rPr>
        <w:t>,</w:t>
      </w:r>
      <w:r w:rsidRPr="0040120E">
        <w:rPr>
          <w:rFonts w:ascii="Times New Roman" w:hAnsi="Times New Roman" w:cs="Times New Roman"/>
          <w:sz w:val="24"/>
          <w:lang w:val="en-GB"/>
        </w:rPr>
        <w:t xml:space="preserve"> such as heritage.</w:t>
      </w:r>
      <w:r w:rsidR="00A16C27" w:rsidRPr="0040120E">
        <w:rPr>
          <w:rFonts w:ascii="Times New Roman" w:hAnsi="Times New Roman" w:cs="Times New Roman"/>
          <w:sz w:val="24"/>
          <w:lang w:val="en-GB"/>
        </w:rPr>
        <w:t xml:space="preserve"> It exemplifies an affective outcome of brand heritage.</w:t>
      </w:r>
    </w:p>
    <w:p w14:paraId="2338E600" w14:textId="674D4946" w:rsidR="002D7072" w:rsidRPr="0040120E" w:rsidRDefault="002D7072" w:rsidP="002D7072">
      <w:pPr>
        <w:pStyle w:val="Caption"/>
        <w:keepNext/>
        <w:jc w:val="center"/>
        <w:rPr>
          <w:rFonts w:ascii="Times New Roman" w:hAnsi="Times New Roman" w:cs="Times New Roman"/>
          <w:b w:val="0"/>
          <w:color w:val="auto"/>
          <w:sz w:val="24"/>
          <w:lang w:val="en-GB"/>
        </w:rPr>
      </w:pPr>
      <w:r w:rsidRPr="0040120E">
        <w:rPr>
          <w:rFonts w:ascii="Times New Roman" w:hAnsi="Times New Roman" w:cs="Times New Roman"/>
          <w:b w:val="0"/>
          <w:color w:val="auto"/>
          <w:sz w:val="24"/>
          <w:lang w:val="en-GB"/>
        </w:rPr>
        <w:t xml:space="preserve">Table </w:t>
      </w:r>
      <w:r w:rsidRPr="0040120E">
        <w:rPr>
          <w:rFonts w:ascii="Times New Roman" w:hAnsi="Times New Roman" w:cs="Times New Roman"/>
          <w:b w:val="0"/>
          <w:color w:val="auto"/>
          <w:sz w:val="24"/>
        </w:rPr>
        <w:fldChar w:fldCharType="begin"/>
      </w:r>
      <w:r w:rsidRPr="0040120E">
        <w:rPr>
          <w:rFonts w:ascii="Times New Roman" w:hAnsi="Times New Roman" w:cs="Times New Roman"/>
          <w:b w:val="0"/>
          <w:color w:val="auto"/>
          <w:sz w:val="24"/>
          <w:lang w:val="en-GB"/>
        </w:rPr>
        <w:instrText xml:space="preserve"> SEQ Table \* ARABIC </w:instrText>
      </w:r>
      <w:r w:rsidRPr="0040120E">
        <w:rPr>
          <w:rFonts w:ascii="Times New Roman" w:hAnsi="Times New Roman" w:cs="Times New Roman"/>
          <w:b w:val="0"/>
          <w:color w:val="auto"/>
          <w:sz w:val="24"/>
        </w:rPr>
        <w:fldChar w:fldCharType="separate"/>
      </w:r>
      <w:r w:rsidR="00671C69">
        <w:rPr>
          <w:rFonts w:ascii="Times New Roman" w:hAnsi="Times New Roman" w:cs="Times New Roman"/>
          <w:b w:val="0"/>
          <w:noProof/>
          <w:color w:val="auto"/>
          <w:sz w:val="24"/>
          <w:lang w:val="en-GB"/>
        </w:rPr>
        <w:t>4</w:t>
      </w:r>
      <w:r w:rsidRPr="0040120E">
        <w:rPr>
          <w:rFonts w:ascii="Times New Roman" w:hAnsi="Times New Roman" w:cs="Times New Roman"/>
          <w:b w:val="0"/>
          <w:color w:val="auto"/>
          <w:sz w:val="24"/>
        </w:rPr>
        <w:fldChar w:fldCharType="end"/>
      </w:r>
      <w:r w:rsidRPr="0040120E">
        <w:rPr>
          <w:rFonts w:ascii="Times New Roman" w:hAnsi="Times New Roman" w:cs="Times New Roman"/>
          <w:b w:val="0"/>
          <w:color w:val="auto"/>
          <w:sz w:val="24"/>
          <w:lang w:val="en-GB"/>
        </w:rPr>
        <w:t xml:space="preserve"> - Items used in </w:t>
      </w:r>
      <w:r w:rsidR="00FA0095" w:rsidRPr="0040120E">
        <w:rPr>
          <w:rFonts w:ascii="Times New Roman" w:hAnsi="Times New Roman" w:cs="Times New Roman"/>
          <w:b w:val="0"/>
          <w:color w:val="auto"/>
          <w:sz w:val="24"/>
          <w:lang w:val="en-GB"/>
        </w:rPr>
        <w:t>S</w:t>
      </w:r>
      <w:r w:rsidRPr="0040120E">
        <w:rPr>
          <w:rFonts w:ascii="Times New Roman" w:hAnsi="Times New Roman" w:cs="Times New Roman"/>
          <w:b w:val="0"/>
          <w:color w:val="auto"/>
          <w:sz w:val="24"/>
          <w:lang w:val="en-GB"/>
        </w:rPr>
        <w:t>tudy 3</w:t>
      </w:r>
    </w:p>
    <w:tbl>
      <w:tblPr>
        <w:tblStyle w:val="TableGrid"/>
        <w:tblW w:w="0" w:type="auto"/>
        <w:jc w:val="center"/>
        <w:tblLook w:val="04A0" w:firstRow="1" w:lastRow="0" w:firstColumn="1" w:lastColumn="0" w:noHBand="0" w:noVBand="1"/>
      </w:tblPr>
      <w:tblGrid>
        <w:gridCol w:w="4121"/>
        <w:gridCol w:w="4941"/>
      </w:tblGrid>
      <w:tr w:rsidR="002D7072" w:rsidRPr="0040120E" w14:paraId="748B774C" w14:textId="77777777" w:rsidTr="002D7072">
        <w:trPr>
          <w:jc w:val="center"/>
        </w:trPr>
        <w:tc>
          <w:tcPr>
            <w:tcW w:w="4219" w:type="dxa"/>
          </w:tcPr>
          <w:p w14:paraId="58DC57A7" w14:textId="77777777" w:rsidR="002D7072" w:rsidRPr="0040120E" w:rsidRDefault="002D7072" w:rsidP="002D7072">
            <w:pPr>
              <w:jc w:val="center"/>
              <w:rPr>
                <w:rFonts w:ascii="Times New Roman" w:hAnsi="Times New Roman" w:cs="Times New Roman"/>
                <w:sz w:val="24"/>
                <w:szCs w:val="24"/>
              </w:rPr>
            </w:pPr>
            <w:r w:rsidRPr="0040120E">
              <w:rPr>
                <w:rFonts w:ascii="Times New Roman" w:hAnsi="Times New Roman" w:cs="Times New Roman"/>
                <w:b/>
                <w:sz w:val="24"/>
                <w:szCs w:val="24"/>
                <w:lang w:val="en-US"/>
              </w:rPr>
              <w:t>Brand heritage</w:t>
            </w:r>
          </w:p>
        </w:tc>
        <w:tc>
          <w:tcPr>
            <w:tcW w:w="5069" w:type="dxa"/>
          </w:tcPr>
          <w:p w14:paraId="181B90B7" w14:textId="77777777" w:rsidR="002D7072" w:rsidRPr="0040120E" w:rsidRDefault="002D7072" w:rsidP="002D7072">
            <w:pPr>
              <w:jc w:val="center"/>
              <w:rPr>
                <w:rFonts w:ascii="Times New Roman" w:hAnsi="Times New Roman" w:cs="Times New Roman"/>
                <w:b/>
                <w:sz w:val="24"/>
                <w:szCs w:val="24"/>
                <w:lang w:val="en-US"/>
              </w:rPr>
            </w:pPr>
            <w:r w:rsidRPr="0040120E">
              <w:rPr>
                <w:rFonts w:ascii="Times New Roman" w:hAnsi="Times New Roman" w:cs="Times New Roman"/>
                <w:b/>
                <w:sz w:val="24"/>
                <w:szCs w:val="24"/>
                <w:lang w:val="en-US"/>
              </w:rPr>
              <w:t>Brand credibility</w:t>
            </w:r>
          </w:p>
        </w:tc>
      </w:tr>
      <w:tr w:rsidR="002D7072" w:rsidRPr="00320A36" w14:paraId="47CAA5AF" w14:textId="77777777" w:rsidTr="002D7072">
        <w:trPr>
          <w:trHeight w:val="2220"/>
          <w:jc w:val="center"/>
        </w:trPr>
        <w:tc>
          <w:tcPr>
            <w:tcW w:w="4219" w:type="dxa"/>
            <w:vMerge w:val="restart"/>
          </w:tcPr>
          <w:p w14:paraId="256C8F01" w14:textId="64199892"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This brand will never go out of fashion</w:t>
            </w:r>
            <w:r w:rsidR="00FA0095" w:rsidRPr="0040120E">
              <w:rPr>
                <w:rFonts w:ascii="Times New Roman" w:hAnsi="Times New Roman" w:cs="Times New Roman"/>
                <w:sz w:val="24"/>
                <w:szCs w:val="24"/>
                <w:lang w:val="en-US"/>
              </w:rPr>
              <w:t>.</w:t>
            </w:r>
          </w:p>
          <w:p w14:paraId="50B6DE85" w14:textId="44FEFC3F"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This brand is continuous</w:t>
            </w:r>
            <w:r w:rsidR="00FA0095" w:rsidRPr="0040120E">
              <w:rPr>
                <w:rFonts w:ascii="Times New Roman" w:hAnsi="Times New Roman" w:cs="Times New Roman"/>
                <w:sz w:val="24"/>
                <w:szCs w:val="24"/>
                <w:lang w:val="en-US"/>
              </w:rPr>
              <w:t>.</w:t>
            </w:r>
          </w:p>
          <w:p w14:paraId="12838742" w14:textId="051FC340"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This brand is stable</w:t>
            </w:r>
            <w:r w:rsidR="00FA0095" w:rsidRPr="0040120E">
              <w:rPr>
                <w:rFonts w:ascii="Times New Roman" w:hAnsi="Times New Roman" w:cs="Times New Roman"/>
                <w:sz w:val="24"/>
                <w:szCs w:val="24"/>
                <w:lang w:val="en-US"/>
              </w:rPr>
              <w:t>.</w:t>
            </w:r>
          </w:p>
          <w:p w14:paraId="5AE8BAE1" w14:textId="2E9210DE" w:rsidR="002D7072" w:rsidRPr="0040120E" w:rsidRDefault="002D7072" w:rsidP="002D7072">
            <w:pPr>
              <w:jc w:val="both"/>
              <w:rPr>
                <w:rFonts w:ascii="Times New Roman" w:eastAsia="Times New Roman" w:hAnsi="Times New Roman" w:cs="Times New Roman"/>
                <w:color w:val="000000"/>
                <w:sz w:val="24"/>
                <w:szCs w:val="24"/>
                <w:lang w:val="en-US" w:eastAsia="fr-FR"/>
              </w:rPr>
            </w:pPr>
            <w:r w:rsidRPr="0040120E">
              <w:rPr>
                <w:rFonts w:ascii="Times New Roman" w:eastAsia="Times New Roman" w:hAnsi="Times New Roman" w:cs="Times New Roman"/>
                <w:color w:val="000000"/>
                <w:sz w:val="24"/>
                <w:szCs w:val="24"/>
                <w:lang w:val="en-US" w:eastAsia="fr-FR"/>
              </w:rPr>
              <w:t>This brand won't disappear tomorrow</w:t>
            </w:r>
            <w:r w:rsidR="00FA0095" w:rsidRPr="0040120E">
              <w:rPr>
                <w:rFonts w:ascii="Times New Roman" w:eastAsia="Times New Roman" w:hAnsi="Times New Roman" w:cs="Times New Roman"/>
                <w:color w:val="000000"/>
                <w:sz w:val="24"/>
                <w:szCs w:val="24"/>
                <w:lang w:val="en-US" w:eastAsia="fr-FR"/>
              </w:rPr>
              <w:t>.</w:t>
            </w:r>
          </w:p>
          <w:p w14:paraId="2D5623A7" w14:textId="349DEB57" w:rsidR="002D7072" w:rsidRPr="0040120E" w:rsidRDefault="002D7072" w:rsidP="002D7072">
            <w:pPr>
              <w:jc w:val="both"/>
              <w:rPr>
                <w:rFonts w:ascii="Times New Roman" w:eastAsia="Times New Roman" w:hAnsi="Times New Roman" w:cs="Times New Roman"/>
                <w:color w:val="000000"/>
                <w:sz w:val="24"/>
                <w:szCs w:val="24"/>
                <w:lang w:val="en-US" w:eastAsia="fr-FR"/>
              </w:rPr>
            </w:pPr>
            <w:r w:rsidRPr="0040120E">
              <w:rPr>
                <w:rFonts w:ascii="Times New Roman" w:eastAsia="Times New Roman" w:hAnsi="Times New Roman" w:cs="Times New Roman"/>
                <w:color w:val="000000"/>
                <w:sz w:val="24"/>
                <w:szCs w:val="24"/>
                <w:lang w:val="en-US" w:eastAsia="fr-FR"/>
              </w:rPr>
              <w:t>This brand is timeless</w:t>
            </w:r>
            <w:r w:rsidR="00FA0095" w:rsidRPr="0040120E">
              <w:rPr>
                <w:rFonts w:ascii="Times New Roman" w:eastAsia="Times New Roman" w:hAnsi="Times New Roman" w:cs="Times New Roman"/>
                <w:color w:val="000000"/>
                <w:sz w:val="24"/>
                <w:szCs w:val="24"/>
                <w:lang w:val="en-US" w:eastAsia="fr-FR"/>
              </w:rPr>
              <w:t>.</w:t>
            </w:r>
            <w:r w:rsidRPr="0040120E">
              <w:rPr>
                <w:rFonts w:ascii="Times New Roman" w:eastAsia="Times New Roman" w:hAnsi="Times New Roman" w:cs="Times New Roman"/>
                <w:color w:val="000000"/>
                <w:sz w:val="24"/>
                <w:szCs w:val="24"/>
                <w:lang w:val="en-US" w:eastAsia="fr-FR"/>
              </w:rPr>
              <w:t xml:space="preserve"> </w:t>
            </w:r>
          </w:p>
          <w:p w14:paraId="5CA2964F" w14:textId="295A4884" w:rsidR="002D7072" w:rsidRPr="0040120E" w:rsidRDefault="002D7072" w:rsidP="002D7072">
            <w:pPr>
              <w:jc w:val="both"/>
              <w:rPr>
                <w:rFonts w:ascii="Times New Roman" w:eastAsia="Times New Roman" w:hAnsi="Times New Roman" w:cs="Times New Roman"/>
                <w:color w:val="000000"/>
                <w:sz w:val="24"/>
                <w:szCs w:val="24"/>
                <w:lang w:val="en-US" w:eastAsia="fr-FR"/>
              </w:rPr>
            </w:pPr>
            <w:r w:rsidRPr="0040120E">
              <w:rPr>
                <w:rFonts w:ascii="Times New Roman" w:eastAsia="Times New Roman" w:hAnsi="Times New Roman" w:cs="Times New Roman"/>
                <w:color w:val="000000"/>
                <w:sz w:val="24"/>
                <w:szCs w:val="24"/>
                <w:lang w:val="en-US" w:eastAsia="fr-FR"/>
              </w:rPr>
              <w:t>This brand has existed for a long time</w:t>
            </w:r>
            <w:r w:rsidR="00FA0095" w:rsidRPr="0040120E">
              <w:rPr>
                <w:rFonts w:ascii="Times New Roman" w:eastAsia="Times New Roman" w:hAnsi="Times New Roman" w:cs="Times New Roman"/>
                <w:color w:val="000000"/>
                <w:sz w:val="24"/>
                <w:szCs w:val="24"/>
                <w:lang w:val="en-US" w:eastAsia="fr-FR"/>
              </w:rPr>
              <w:t>.</w:t>
            </w:r>
          </w:p>
          <w:p w14:paraId="646D29F7" w14:textId="079CB69D" w:rsidR="002D7072" w:rsidRPr="0040120E" w:rsidRDefault="002D7072" w:rsidP="002D7072">
            <w:pPr>
              <w:jc w:val="both"/>
              <w:rPr>
                <w:rFonts w:ascii="Times New Roman" w:eastAsia="Times New Roman" w:hAnsi="Times New Roman" w:cs="Times New Roman"/>
                <w:color w:val="000000"/>
                <w:sz w:val="24"/>
                <w:szCs w:val="24"/>
                <w:lang w:val="en-US" w:eastAsia="fr-FR"/>
              </w:rPr>
            </w:pPr>
            <w:r w:rsidRPr="0040120E">
              <w:rPr>
                <w:rFonts w:ascii="Times New Roman" w:eastAsia="Times New Roman" w:hAnsi="Times New Roman" w:cs="Times New Roman"/>
                <w:color w:val="000000"/>
                <w:sz w:val="24"/>
                <w:szCs w:val="24"/>
                <w:lang w:val="en-US" w:eastAsia="fr-FR"/>
              </w:rPr>
              <w:t>This brand exudes a sense of tradition</w:t>
            </w:r>
            <w:r w:rsidR="00FA0095" w:rsidRPr="0040120E">
              <w:rPr>
                <w:rFonts w:ascii="Times New Roman" w:eastAsia="Times New Roman" w:hAnsi="Times New Roman" w:cs="Times New Roman"/>
                <w:color w:val="000000"/>
                <w:sz w:val="24"/>
                <w:szCs w:val="24"/>
                <w:lang w:val="en-US" w:eastAsia="fr-FR"/>
              </w:rPr>
              <w:t>.</w:t>
            </w:r>
          </w:p>
          <w:p w14:paraId="4AEFDDB1" w14:textId="22166387" w:rsidR="002D7072" w:rsidRPr="0040120E" w:rsidRDefault="002D7072" w:rsidP="002D7072">
            <w:pPr>
              <w:jc w:val="both"/>
              <w:rPr>
                <w:rFonts w:ascii="Times New Roman" w:eastAsia="Times New Roman" w:hAnsi="Times New Roman" w:cs="Times New Roman"/>
                <w:color w:val="000000"/>
                <w:sz w:val="24"/>
                <w:szCs w:val="24"/>
                <w:lang w:val="en-US" w:eastAsia="fr-FR"/>
              </w:rPr>
            </w:pPr>
            <w:r w:rsidRPr="0040120E">
              <w:rPr>
                <w:rFonts w:ascii="Times New Roman" w:eastAsia="Times New Roman" w:hAnsi="Times New Roman" w:cs="Times New Roman"/>
                <w:color w:val="000000"/>
                <w:sz w:val="24"/>
                <w:szCs w:val="24"/>
                <w:lang w:val="en-US" w:eastAsia="fr-FR"/>
              </w:rPr>
              <w:t>This brand reinforces and builds on long-held traditions</w:t>
            </w:r>
            <w:r w:rsidR="00FA0095" w:rsidRPr="0040120E">
              <w:rPr>
                <w:rFonts w:ascii="Times New Roman" w:eastAsia="Times New Roman" w:hAnsi="Times New Roman" w:cs="Times New Roman"/>
                <w:color w:val="000000"/>
                <w:sz w:val="24"/>
                <w:szCs w:val="24"/>
                <w:lang w:val="en-US" w:eastAsia="fr-FR"/>
              </w:rPr>
              <w:t>.</w:t>
            </w:r>
          </w:p>
          <w:p w14:paraId="6F18BDE4" w14:textId="4FF4F840" w:rsidR="002D7072" w:rsidRPr="0040120E" w:rsidRDefault="002D7072" w:rsidP="002D7072">
            <w:pPr>
              <w:jc w:val="both"/>
              <w:rPr>
                <w:rFonts w:ascii="Times New Roman" w:eastAsia="Times New Roman" w:hAnsi="Times New Roman" w:cs="Times New Roman"/>
                <w:color w:val="000000"/>
                <w:sz w:val="24"/>
                <w:szCs w:val="24"/>
                <w:lang w:val="en-US" w:eastAsia="fr-FR"/>
              </w:rPr>
            </w:pPr>
            <w:r w:rsidRPr="0040120E">
              <w:rPr>
                <w:rFonts w:ascii="Times New Roman" w:eastAsia="Times New Roman" w:hAnsi="Times New Roman" w:cs="Times New Roman"/>
                <w:color w:val="000000"/>
                <w:sz w:val="24"/>
                <w:szCs w:val="24"/>
                <w:lang w:val="en-US" w:eastAsia="fr-FR"/>
              </w:rPr>
              <w:t>This brand has roots</w:t>
            </w:r>
            <w:r w:rsidR="00FA0095" w:rsidRPr="0040120E">
              <w:rPr>
                <w:rFonts w:ascii="Times New Roman" w:eastAsia="Times New Roman" w:hAnsi="Times New Roman" w:cs="Times New Roman"/>
                <w:color w:val="000000"/>
                <w:sz w:val="24"/>
                <w:szCs w:val="24"/>
                <w:lang w:val="en-US" w:eastAsia="fr-FR"/>
              </w:rPr>
              <w:t>.</w:t>
            </w:r>
          </w:p>
          <w:p w14:paraId="2339D7EE" w14:textId="03E490A9" w:rsidR="002D7072" w:rsidRPr="0040120E" w:rsidRDefault="002D7072" w:rsidP="002D7072">
            <w:pPr>
              <w:jc w:val="both"/>
              <w:rPr>
                <w:rFonts w:ascii="Times New Roman" w:eastAsia="Times New Roman" w:hAnsi="Times New Roman" w:cs="Times New Roman"/>
                <w:color w:val="000000"/>
                <w:sz w:val="24"/>
                <w:szCs w:val="24"/>
                <w:lang w:val="en-US" w:eastAsia="fr-FR"/>
              </w:rPr>
            </w:pPr>
            <w:r w:rsidRPr="0040120E">
              <w:rPr>
                <w:rFonts w:ascii="Times New Roman" w:eastAsia="Times New Roman" w:hAnsi="Times New Roman" w:cs="Times New Roman"/>
                <w:color w:val="000000"/>
                <w:sz w:val="24"/>
                <w:szCs w:val="24"/>
                <w:lang w:val="en-US" w:eastAsia="fr-FR"/>
              </w:rPr>
              <w:t>This brand has a strong link to the past</w:t>
            </w:r>
            <w:r w:rsidR="00FA0095" w:rsidRPr="0040120E">
              <w:rPr>
                <w:rFonts w:ascii="Times New Roman" w:eastAsia="Times New Roman" w:hAnsi="Times New Roman" w:cs="Times New Roman"/>
                <w:color w:val="000000"/>
                <w:sz w:val="24"/>
                <w:szCs w:val="24"/>
                <w:lang w:val="en-US" w:eastAsia="fr-FR"/>
              </w:rPr>
              <w:t>.</w:t>
            </w:r>
          </w:p>
          <w:p w14:paraId="7D1D81ED" w14:textId="5D657E21" w:rsidR="002D7072" w:rsidRPr="0040120E" w:rsidRDefault="002D7072" w:rsidP="002D7072">
            <w:pPr>
              <w:jc w:val="both"/>
              <w:rPr>
                <w:rFonts w:ascii="Times New Roman" w:eastAsia="Times New Roman" w:hAnsi="Times New Roman" w:cs="Times New Roman"/>
                <w:color w:val="000000"/>
                <w:sz w:val="24"/>
                <w:szCs w:val="24"/>
                <w:lang w:val="en-US" w:eastAsia="fr-FR"/>
              </w:rPr>
            </w:pPr>
            <w:r w:rsidRPr="0040120E">
              <w:rPr>
                <w:rFonts w:ascii="Times New Roman" w:eastAsia="Times New Roman" w:hAnsi="Times New Roman" w:cs="Times New Roman"/>
                <w:color w:val="000000"/>
                <w:sz w:val="24"/>
                <w:szCs w:val="24"/>
                <w:lang w:val="en-US" w:eastAsia="fr-FR"/>
              </w:rPr>
              <w:t>This brand points to its founding date</w:t>
            </w:r>
            <w:r w:rsidR="00FA0095" w:rsidRPr="0040120E">
              <w:rPr>
                <w:rFonts w:ascii="Times New Roman" w:eastAsia="Times New Roman" w:hAnsi="Times New Roman" w:cs="Times New Roman"/>
                <w:color w:val="000000"/>
                <w:sz w:val="24"/>
                <w:szCs w:val="24"/>
                <w:lang w:val="en-US" w:eastAsia="fr-FR"/>
              </w:rPr>
              <w:t>.</w:t>
            </w:r>
          </w:p>
          <w:p w14:paraId="700E5156" w14:textId="5A6AF1E3" w:rsidR="002D7072" w:rsidRPr="0040120E" w:rsidRDefault="002D7072" w:rsidP="002D7072">
            <w:pPr>
              <w:jc w:val="both"/>
              <w:rPr>
                <w:rFonts w:ascii="Times New Roman" w:eastAsia="Times New Roman" w:hAnsi="Times New Roman" w:cs="Times New Roman"/>
                <w:color w:val="000000"/>
                <w:sz w:val="24"/>
                <w:szCs w:val="24"/>
                <w:lang w:val="en-US" w:eastAsia="fr-FR"/>
              </w:rPr>
            </w:pPr>
            <w:r w:rsidRPr="0040120E">
              <w:rPr>
                <w:rFonts w:ascii="Times New Roman" w:eastAsia="Times New Roman" w:hAnsi="Times New Roman" w:cs="Times New Roman"/>
                <w:color w:val="000000"/>
                <w:sz w:val="24"/>
                <w:szCs w:val="24"/>
                <w:lang w:val="en-US" w:eastAsia="fr-FR"/>
              </w:rPr>
              <w:t>This brand knows how to reinvent itself</w:t>
            </w:r>
            <w:r w:rsidR="00FA0095" w:rsidRPr="0040120E">
              <w:rPr>
                <w:rFonts w:ascii="Times New Roman" w:eastAsia="Times New Roman" w:hAnsi="Times New Roman" w:cs="Times New Roman"/>
                <w:color w:val="000000"/>
                <w:sz w:val="24"/>
                <w:szCs w:val="24"/>
                <w:lang w:val="en-US" w:eastAsia="fr-FR"/>
              </w:rPr>
              <w:t>.</w:t>
            </w:r>
          </w:p>
          <w:p w14:paraId="70535457" w14:textId="53CE85AE"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This brand renews itself</w:t>
            </w:r>
            <w:r w:rsidR="00FA0095" w:rsidRPr="0040120E">
              <w:rPr>
                <w:rFonts w:ascii="Times New Roman" w:hAnsi="Times New Roman" w:cs="Times New Roman"/>
                <w:sz w:val="24"/>
                <w:szCs w:val="24"/>
                <w:lang w:val="en-US"/>
              </w:rPr>
              <w:t>.</w:t>
            </w:r>
          </w:p>
        </w:tc>
        <w:tc>
          <w:tcPr>
            <w:tcW w:w="5069" w:type="dxa"/>
          </w:tcPr>
          <w:p w14:paraId="47D77070"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 xml:space="preserve">This brand delivers what it promises. </w:t>
            </w:r>
          </w:p>
          <w:p w14:paraId="2F0142A5"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This brand’s product claims are believable.</w:t>
            </w:r>
          </w:p>
          <w:p w14:paraId="5E667221"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 xml:space="preserve">This brand is committed to delivering on its claims, no more and no less. </w:t>
            </w:r>
          </w:p>
          <w:p w14:paraId="1B35530D"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This brand has a name you can trust.</w:t>
            </w:r>
          </w:p>
          <w:p w14:paraId="67BFE540"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This brand has the ability to deliver what it promises.</w:t>
            </w:r>
          </w:p>
        </w:tc>
      </w:tr>
      <w:tr w:rsidR="002D7072" w:rsidRPr="0040120E" w14:paraId="570867C8" w14:textId="77777777" w:rsidTr="002D7072">
        <w:trPr>
          <w:trHeight w:val="353"/>
          <w:jc w:val="center"/>
        </w:trPr>
        <w:tc>
          <w:tcPr>
            <w:tcW w:w="4219" w:type="dxa"/>
            <w:vMerge/>
          </w:tcPr>
          <w:p w14:paraId="444317D2" w14:textId="77777777" w:rsidR="002D7072" w:rsidRPr="0040120E" w:rsidRDefault="002D7072" w:rsidP="002D7072">
            <w:pPr>
              <w:jc w:val="both"/>
              <w:rPr>
                <w:rFonts w:ascii="Times New Roman" w:hAnsi="Times New Roman" w:cs="Times New Roman"/>
                <w:sz w:val="24"/>
                <w:szCs w:val="24"/>
                <w:lang w:val="en-US"/>
              </w:rPr>
            </w:pPr>
          </w:p>
        </w:tc>
        <w:tc>
          <w:tcPr>
            <w:tcW w:w="5069" w:type="dxa"/>
          </w:tcPr>
          <w:p w14:paraId="5CF5A6AF" w14:textId="77777777" w:rsidR="002D7072" w:rsidRPr="0040120E" w:rsidRDefault="002D7072" w:rsidP="002D7072">
            <w:pPr>
              <w:jc w:val="center"/>
              <w:rPr>
                <w:rFonts w:ascii="Times New Roman" w:hAnsi="Times New Roman" w:cs="Times New Roman"/>
                <w:sz w:val="24"/>
                <w:szCs w:val="24"/>
                <w:lang w:val="en-US"/>
              </w:rPr>
            </w:pPr>
            <w:r w:rsidRPr="0040120E">
              <w:rPr>
                <w:rFonts w:ascii="Times New Roman" w:hAnsi="Times New Roman" w:cs="Times New Roman"/>
                <w:b/>
                <w:sz w:val="24"/>
                <w:szCs w:val="24"/>
                <w:lang w:val="en-US"/>
              </w:rPr>
              <w:t>Personal nostalgia</w:t>
            </w:r>
          </w:p>
        </w:tc>
      </w:tr>
      <w:tr w:rsidR="002D7072" w:rsidRPr="00320A36" w14:paraId="1E35071E" w14:textId="77777777" w:rsidTr="002D7072">
        <w:trPr>
          <w:jc w:val="center"/>
        </w:trPr>
        <w:tc>
          <w:tcPr>
            <w:tcW w:w="4219" w:type="dxa"/>
            <w:vMerge/>
          </w:tcPr>
          <w:p w14:paraId="7882462F" w14:textId="77777777" w:rsidR="002D7072" w:rsidRPr="0040120E" w:rsidRDefault="002D7072" w:rsidP="002D7072">
            <w:pPr>
              <w:jc w:val="center"/>
              <w:rPr>
                <w:rFonts w:ascii="Times New Roman" w:hAnsi="Times New Roman" w:cs="Times New Roman"/>
                <w:sz w:val="24"/>
                <w:szCs w:val="24"/>
                <w:lang w:val="en-US"/>
              </w:rPr>
            </w:pPr>
          </w:p>
        </w:tc>
        <w:tc>
          <w:tcPr>
            <w:tcW w:w="5069" w:type="dxa"/>
          </w:tcPr>
          <w:p w14:paraId="38CB73CF" w14:textId="3702F49A"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This brand makes me feel nostalgic</w:t>
            </w:r>
            <w:r w:rsidR="00FA0095" w:rsidRPr="0040120E">
              <w:rPr>
                <w:rFonts w:ascii="Times New Roman" w:hAnsi="Times New Roman" w:cs="Times New Roman"/>
                <w:sz w:val="24"/>
                <w:szCs w:val="24"/>
                <w:lang w:val="en-US"/>
              </w:rPr>
              <w:t>.</w:t>
            </w:r>
          </w:p>
          <w:p w14:paraId="7026940E" w14:textId="076E93F6"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This brand takes me back to my past</w:t>
            </w:r>
            <w:r w:rsidR="00FA0095" w:rsidRPr="0040120E">
              <w:rPr>
                <w:rFonts w:ascii="Times New Roman" w:hAnsi="Times New Roman" w:cs="Times New Roman"/>
                <w:sz w:val="24"/>
                <w:szCs w:val="24"/>
                <w:lang w:val="en-US"/>
              </w:rPr>
              <w:t>.</w:t>
            </w:r>
          </w:p>
          <w:p w14:paraId="130ABE59" w14:textId="004C659C"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 xml:space="preserve">This brand evokes </w:t>
            </w:r>
            <w:r w:rsidR="00FA0095" w:rsidRPr="0040120E">
              <w:rPr>
                <w:rFonts w:ascii="Times New Roman" w:hAnsi="Times New Roman" w:cs="Times New Roman"/>
                <w:sz w:val="24"/>
                <w:szCs w:val="24"/>
                <w:lang w:val="en-US"/>
              </w:rPr>
              <w:t>in</w:t>
            </w:r>
            <w:r w:rsidR="005255F4" w:rsidRPr="0040120E">
              <w:rPr>
                <w:rFonts w:ascii="Times New Roman" w:hAnsi="Times New Roman" w:cs="Times New Roman"/>
                <w:sz w:val="24"/>
                <w:szCs w:val="24"/>
                <w:lang w:val="en-US"/>
              </w:rPr>
              <w:t xml:space="preserve"> </w:t>
            </w:r>
            <w:r w:rsidRPr="0040120E">
              <w:rPr>
                <w:rFonts w:ascii="Times New Roman" w:hAnsi="Times New Roman" w:cs="Times New Roman"/>
                <w:sz w:val="24"/>
                <w:szCs w:val="24"/>
                <w:lang w:val="en-US"/>
              </w:rPr>
              <w:t>me the good old days</w:t>
            </w:r>
            <w:r w:rsidR="00FA0095" w:rsidRPr="0040120E">
              <w:rPr>
                <w:rFonts w:ascii="Times New Roman" w:hAnsi="Times New Roman" w:cs="Times New Roman"/>
                <w:sz w:val="24"/>
                <w:szCs w:val="24"/>
                <w:lang w:val="en-US"/>
              </w:rPr>
              <w:t>.</w:t>
            </w:r>
          </w:p>
        </w:tc>
      </w:tr>
    </w:tbl>
    <w:p w14:paraId="252006CB" w14:textId="77777777" w:rsidR="00E2048B" w:rsidRPr="0040120E" w:rsidRDefault="00E2048B" w:rsidP="00460439">
      <w:pPr>
        <w:spacing w:line="480" w:lineRule="auto"/>
        <w:jc w:val="both"/>
        <w:rPr>
          <w:rFonts w:ascii="Times New Roman" w:hAnsi="Times New Roman" w:cs="Times New Roman"/>
          <w:sz w:val="24"/>
          <w:szCs w:val="24"/>
          <w:lang w:val="en-GB"/>
        </w:rPr>
      </w:pPr>
    </w:p>
    <w:p w14:paraId="409874D7" w14:textId="6704031E" w:rsidR="00460439" w:rsidRPr="0040120E" w:rsidRDefault="00E2048B" w:rsidP="00460439">
      <w:pPr>
        <w:spacing w:line="480" w:lineRule="auto"/>
        <w:jc w:val="both"/>
        <w:rPr>
          <w:rFonts w:ascii="Times New Roman" w:eastAsia="Times New Roman" w:hAnsi="Times New Roman" w:cs="Times New Roman"/>
          <w:color w:val="000000"/>
          <w:sz w:val="24"/>
          <w:szCs w:val="24"/>
          <w:lang w:val="en-GB" w:eastAsia="fr-FR"/>
        </w:rPr>
      </w:pPr>
      <w:r w:rsidRPr="0040120E">
        <w:rPr>
          <w:rFonts w:ascii="Times New Roman" w:hAnsi="Times New Roman" w:cs="Times New Roman"/>
          <w:sz w:val="24"/>
          <w:szCs w:val="24"/>
          <w:lang w:val="en-GB"/>
        </w:rPr>
        <w:t>W</w:t>
      </w:r>
      <w:r w:rsidR="00460439" w:rsidRPr="0040120E">
        <w:rPr>
          <w:rFonts w:ascii="Times New Roman" w:hAnsi="Times New Roman" w:cs="Times New Roman"/>
          <w:sz w:val="24"/>
          <w:szCs w:val="24"/>
          <w:lang w:val="en-GB"/>
        </w:rPr>
        <w:t xml:space="preserve">e specify a reflective model and test it on AMOS 21.0 with </w:t>
      </w:r>
      <w:r w:rsidR="00626B78" w:rsidRPr="0040120E">
        <w:rPr>
          <w:rFonts w:ascii="Times New Roman" w:hAnsi="Times New Roman" w:cs="Times New Roman"/>
          <w:sz w:val="24"/>
          <w:szCs w:val="24"/>
          <w:lang w:val="en-GB"/>
        </w:rPr>
        <w:t>s</w:t>
      </w:r>
      <w:r w:rsidR="00460439" w:rsidRPr="0040120E">
        <w:rPr>
          <w:rFonts w:ascii="Times New Roman" w:hAnsi="Times New Roman" w:cs="Times New Roman"/>
          <w:sz w:val="24"/>
          <w:szCs w:val="24"/>
          <w:lang w:val="en-GB"/>
        </w:rPr>
        <w:t xml:space="preserve">tructural </w:t>
      </w:r>
      <w:r w:rsidR="00626B78" w:rsidRPr="0040120E">
        <w:rPr>
          <w:rFonts w:ascii="Times New Roman" w:hAnsi="Times New Roman" w:cs="Times New Roman"/>
          <w:sz w:val="24"/>
          <w:szCs w:val="24"/>
          <w:lang w:val="en-GB"/>
        </w:rPr>
        <w:t>e</w:t>
      </w:r>
      <w:r w:rsidR="00460439" w:rsidRPr="0040120E">
        <w:rPr>
          <w:rFonts w:ascii="Times New Roman" w:hAnsi="Times New Roman" w:cs="Times New Roman"/>
          <w:sz w:val="24"/>
          <w:szCs w:val="24"/>
          <w:lang w:val="en-GB"/>
        </w:rPr>
        <w:t xml:space="preserve">quation </w:t>
      </w:r>
      <w:r w:rsidR="00626B78" w:rsidRPr="0040120E">
        <w:rPr>
          <w:rFonts w:ascii="Times New Roman" w:hAnsi="Times New Roman" w:cs="Times New Roman"/>
          <w:sz w:val="24"/>
          <w:szCs w:val="24"/>
          <w:lang w:val="en-GB"/>
        </w:rPr>
        <w:t>m</w:t>
      </w:r>
      <w:r w:rsidR="002D7072" w:rsidRPr="0040120E">
        <w:rPr>
          <w:rFonts w:ascii="Times New Roman" w:hAnsi="Times New Roman" w:cs="Times New Roman"/>
          <w:sz w:val="24"/>
          <w:szCs w:val="24"/>
          <w:lang w:val="en-GB"/>
        </w:rPr>
        <w:t>odelling</w:t>
      </w:r>
      <w:r w:rsidR="00460439" w:rsidRPr="0040120E">
        <w:rPr>
          <w:rFonts w:ascii="Times New Roman" w:hAnsi="Times New Roman" w:cs="Times New Roman"/>
          <w:sz w:val="24"/>
          <w:szCs w:val="24"/>
          <w:lang w:val="en-GB"/>
        </w:rPr>
        <w:t xml:space="preserve"> </w:t>
      </w:r>
      <w:r w:rsidR="00460439"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{"citationItems":[{"id":"ITEM-1","itemData":{"author":[{"dropping-particle":"","family":"Hair","given":"Joseph F.","non-dropping-particle":"","parse-names":false,"suffix":""},{"dropping-particle":"","family":"Black","given":"W.C.","non-dropping-particle":"","parse-names":false,"suffix":""},{"dropping-particle":"","family":"Babin","given":"B.J.","non-dropping-particle":"","parse-names":false,"suffix":""},{"dropping-particle":"","family":"Anderson","given":"R.E.","non-dropping-particle":"","parse-names":false,"suffix":""}],"edition":"7th","id":"ITEM-1","issued":{"date-parts":[["2009"]]},"publisher":"Pearson","publisher-place":"Harlow","title":"Multivariate Data Analysis","type":"book"},"uris":["http://www.mendeley.com/documents/?uuid=94c8ba4f-8dc8-4526-af15-567eecee8d6a"]}],"mendeley":{"formattedCitation":"(Hair et al., 2009)","plainTextFormattedCitation":"(Hair et al., 2009)","previouslyFormattedCitation":"(Hair et al., 2009)"},"properties":{"noteIndex":0},"schema":"https://github.com/citation-style-language/schema/raw/master/csl-citation.json"}</w:instrText>
      </w:r>
      <w:r w:rsidR="00460439" w:rsidRPr="0040120E">
        <w:rPr>
          <w:rFonts w:ascii="Times New Roman" w:hAnsi="Times New Roman" w:cs="Times New Roman"/>
          <w:sz w:val="24"/>
          <w:szCs w:val="24"/>
          <w:lang w:val="en-GB"/>
        </w:rPr>
        <w:fldChar w:fldCharType="separate"/>
      </w:r>
      <w:r w:rsidR="00460439" w:rsidRPr="0040120E">
        <w:rPr>
          <w:rFonts w:ascii="Times New Roman" w:hAnsi="Times New Roman" w:cs="Times New Roman"/>
          <w:noProof/>
          <w:sz w:val="24"/>
          <w:szCs w:val="24"/>
          <w:lang w:val="en-GB"/>
        </w:rPr>
        <w:t>(Hair et al., 2009)</w:t>
      </w:r>
      <w:r w:rsidR="00460439" w:rsidRPr="0040120E">
        <w:rPr>
          <w:rFonts w:ascii="Times New Roman" w:hAnsi="Times New Roman" w:cs="Times New Roman"/>
          <w:sz w:val="24"/>
          <w:szCs w:val="24"/>
          <w:lang w:val="en-GB"/>
        </w:rPr>
        <w:fldChar w:fldCharType="end"/>
      </w:r>
      <w:r w:rsidR="00460439" w:rsidRPr="0040120E">
        <w:rPr>
          <w:rFonts w:ascii="Times New Roman" w:hAnsi="Times New Roman" w:cs="Times New Roman"/>
          <w:sz w:val="24"/>
          <w:szCs w:val="24"/>
          <w:lang w:val="en-GB"/>
        </w:rPr>
        <w:t xml:space="preserve">. The measurement model of brand heritage is expected to be reflective: brand heritage leads to </w:t>
      </w:r>
      <w:r w:rsidR="002354F4" w:rsidRPr="0040120E">
        <w:rPr>
          <w:rFonts w:ascii="Times New Roman" w:hAnsi="Times New Roman" w:cs="Times New Roman"/>
          <w:sz w:val="24"/>
          <w:szCs w:val="24"/>
          <w:lang w:val="en-GB"/>
        </w:rPr>
        <w:t xml:space="preserve">a </w:t>
      </w:r>
      <w:r w:rsidR="00460439" w:rsidRPr="0040120E">
        <w:rPr>
          <w:rFonts w:ascii="Times New Roman" w:hAnsi="Times New Roman" w:cs="Times New Roman"/>
          <w:sz w:val="24"/>
          <w:szCs w:val="24"/>
          <w:lang w:val="en-GB"/>
        </w:rPr>
        <w:t>perception of stability, longevity, and adaptability, which then leads to the measured variables (e.g.</w:t>
      </w:r>
      <w:r w:rsidR="00FA0095" w:rsidRPr="0040120E">
        <w:rPr>
          <w:rFonts w:ascii="Times New Roman" w:hAnsi="Times New Roman" w:cs="Times New Roman"/>
          <w:sz w:val="24"/>
          <w:szCs w:val="24"/>
          <w:lang w:val="en-GB"/>
        </w:rPr>
        <w:t>,</w:t>
      </w:r>
      <w:r w:rsidR="00460439" w:rsidRPr="0040120E">
        <w:rPr>
          <w:rFonts w:ascii="Times New Roman" w:hAnsi="Times New Roman" w:cs="Times New Roman"/>
          <w:sz w:val="24"/>
          <w:szCs w:val="24"/>
          <w:lang w:val="en-GB"/>
        </w:rPr>
        <w:t xml:space="preserve"> </w:t>
      </w:r>
      <w:r w:rsidR="00E23412" w:rsidRPr="0040120E">
        <w:rPr>
          <w:rFonts w:ascii="Times New Roman" w:hAnsi="Times New Roman" w:cs="Times New Roman"/>
          <w:sz w:val="24"/>
          <w:szCs w:val="24"/>
          <w:lang w:val="en-GB"/>
        </w:rPr>
        <w:t>‘</w:t>
      </w:r>
      <w:r w:rsidR="00460439" w:rsidRPr="0040120E">
        <w:rPr>
          <w:rFonts w:ascii="Times New Roman" w:eastAsia="Times New Roman" w:hAnsi="Times New Roman" w:cs="Times New Roman"/>
          <w:color w:val="000000"/>
          <w:sz w:val="24"/>
          <w:szCs w:val="24"/>
          <w:lang w:val="en-GB" w:eastAsia="fr-FR"/>
        </w:rPr>
        <w:t>A brand with roots</w:t>
      </w:r>
      <w:r w:rsidR="00E23412" w:rsidRPr="0040120E">
        <w:rPr>
          <w:rFonts w:ascii="Times New Roman" w:eastAsia="Times New Roman" w:hAnsi="Times New Roman" w:cs="Times New Roman"/>
          <w:color w:val="000000"/>
          <w:sz w:val="24"/>
          <w:szCs w:val="24"/>
          <w:lang w:val="en-GB" w:eastAsia="fr-FR"/>
        </w:rPr>
        <w:t>’</w:t>
      </w:r>
      <w:r w:rsidR="00460439" w:rsidRPr="0040120E">
        <w:rPr>
          <w:rFonts w:ascii="Times New Roman" w:eastAsia="Times New Roman" w:hAnsi="Times New Roman" w:cs="Times New Roman"/>
          <w:color w:val="000000"/>
          <w:sz w:val="24"/>
          <w:szCs w:val="24"/>
          <w:lang w:val="en-GB" w:eastAsia="fr-FR"/>
        </w:rPr>
        <w:t>) rather than the other way around (e.g.</w:t>
      </w:r>
      <w:r w:rsidR="00FA0095" w:rsidRPr="0040120E">
        <w:rPr>
          <w:rFonts w:ascii="Times New Roman" w:eastAsia="Times New Roman" w:hAnsi="Times New Roman" w:cs="Times New Roman"/>
          <w:color w:val="000000"/>
          <w:sz w:val="24"/>
          <w:szCs w:val="24"/>
          <w:lang w:val="en-GB" w:eastAsia="fr-FR"/>
        </w:rPr>
        <w:t>,</w:t>
      </w:r>
      <w:r w:rsidR="00460439" w:rsidRPr="0040120E">
        <w:rPr>
          <w:rFonts w:ascii="Times New Roman" w:eastAsia="Times New Roman" w:hAnsi="Times New Roman" w:cs="Times New Roman"/>
          <w:color w:val="000000"/>
          <w:sz w:val="24"/>
          <w:szCs w:val="24"/>
          <w:lang w:val="en-GB" w:eastAsia="fr-FR"/>
        </w:rPr>
        <w:t xml:space="preserve"> a measured variable causes longevity</w:t>
      </w:r>
      <w:r w:rsidR="00FA0095" w:rsidRPr="0040120E">
        <w:rPr>
          <w:rFonts w:ascii="Times New Roman" w:eastAsia="Times New Roman" w:hAnsi="Times New Roman" w:cs="Times New Roman"/>
          <w:color w:val="000000"/>
          <w:sz w:val="24"/>
          <w:szCs w:val="24"/>
          <w:lang w:val="en-GB" w:eastAsia="fr-FR"/>
        </w:rPr>
        <w:t>,</w:t>
      </w:r>
      <w:r w:rsidR="00460439" w:rsidRPr="0040120E">
        <w:rPr>
          <w:rFonts w:ascii="Times New Roman" w:eastAsia="Times New Roman" w:hAnsi="Times New Roman" w:cs="Times New Roman"/>
          <w:color w:val="000000"/>
          <w:sz w:val="24"/>
          <w:szCs w:val="24"/>
          <w:lang w:val="en-GB" w:eastAsia="fr-FR"/>
        </w:rPr>
        <w:t xml:space="preserve"> which causes brand heritage). Using </w:t>
      </w:r>
      <w:r w:rsidR="00460439" w:rsidRPr="0040120E">
        <w:rPr>
          <w:rFonts w:ascii="Times New Roman" w:eastAsia="Times New Roman" w:hAnsi="Times New Roman" w:cs="Times New Roman"/>
          <w:color w:val="000000"/>
          <w:sz w:val="24"/>
          <w:szCs w:val="24"/>
          <w:lang w:val="en-GB" w:eastAsia="fr-FR"/>
        </w:rPr>
        <w:fldChar w:fldCharType="begin" w:fldLock="1"/>
      </w:r>
      <w:r w:rsidR="003870BB" w:rsidRPr="0040120E">
        <w:rPr>
          <w:rFonts w:ascii="Times New Roman" w:eastAsia="Times New Roman" w:hAnsi="Times New Roman" w:cs="Times New Roman"/>
          <w:color w:val="000000"/>
          <w:sz w:val="24"/>
          <w:szCs w:val="24"/>
          <w:lang w:val="en-GB" w:eastAsia="fr-FR"/>
        </w:rPr>
        <w:instrText>ADDIN CSL_CITATION {"citationItems":[{"id":"ITEM-1","itemData":{"author":[{"dropping-particle":"","family":"Bollen","given":"Kenneth A","non-dropping-particle":"","parse-names":false,"suffix":""}],"id":"ITEM-1","issued":{"date-parts":[["1989"]]},"number-of-pages":"528","publisher":"Wiley","publisher-place":"New York","title":"Structural equations with latent variables","type":"book"},"uris":["http://www.mendeley.com/documents/?uuid=19c4432a-3b19-41a7-9b58-06f52908e9a9"]}],"mendeley":{"formattedCitation":"(Bollen, 1989)","manualFormatting":"Bollen's example (1989)","plainTextFormattedCitation":"(Bollen, 1989)","previouslyFormattedCitation":"(Bollen, 1989)"},"properties":{"noteIndex":0},"schema":"https://github.com/citation-style-language/schema/raw/master/csl-citation.json"}</w:instrText>
      </w:r>
      <w:r w:rsidR="00460439" w:rsidRPr="0040120E">
        <w:rPr>
          <w:rFonts w:ascii="Times New Roman" w:eastAsia="Times New Roman" w:hAnsi="Times New Roman" w:cs="Times New Roman"/>
          <w:color w:val="000000"/>
          <w:sz w:val="24"/>
          <w:szCs w:val="24"/>
          <w:lang w:val="en-GB" w:eastAsia="fr-FR"/>
        </w:rPr>
        <w:fldChar w:fldCharType="separate"/>
      </w:r>
      <w:r w:rsidR="00460439" w:rsidRPr="0040120E">
        <w:rPr>
          <w:rFonts w:ascii="Times New Roman" w:eastAsia="Times New Roman" w:hAnsi="Times New Roman" w:cs="Times New Roman"/>
          <w:noProof/>
          <w:color w:val="000000"/>
          <w:sz w:val="24"/>
          <w:szCs w:val="24"/>
          <w:lang w:val="en-GB" w:eastAsia="fr-FR"/>
        </w:rPr>
        <w:t>Bollen's example (1989)</w:t>
      </w:r>
      <w:r w:rsidR="00460439" w:rsidRPr="0040120E">
        <w:rPr>
          <w:rFonts w:ascii="Times New Roman" w:eastAsia="Times New Roman" w:hAnsi="Times New Roman" w:cs="Times New Roman"/>
          <w:color w:val="000000"/>
          <w:sz w:val="24"/>
          <w:szCs w:val="24"/>
          <w:lang w:val="en-GB" w:eastAsia="fr-FR"/>
        </w:rPr>
        <w:fldChar w:fldCharType="end"/>
      </w:r>
      <w:r w:rsidR="00460439" w:rsidRPr="0040120E">
        <w:rPr>
          <w:rFonts w:ascii="Times New Roman" w:eastAsia="Times New Roman" w:hAnsi="Times New Roman" w:cs="Times New Roman"/>
          <w:color w:val="000000"/>
          <w:sz w:val="24"/>
          <w:szCs w:val="24"/>
          <w:lang w:val="en-GB" w:eastAsia="fr-FR"/>
        </w:rPr>
        <w:t>: unlike variables such as gender or divorce</w:t>
      </w:r>
      <w:r w:rsidR="002354F4" w:rsidRPr="0040120E">
        <w:rPr>
          <w:rFonts w:ascii="Times New Roman" w:eastAsia="Times New Roman" w:hAnsi="Times New Roman" w:cs="Times New Roman"/>
          <w:color w:val="000000"/>
          <w:sz w:val="24"/>
          <w:szCs w:val="24"/>
          <w:lang w:val="en-GB" w:eastAsia="fr-FR"/>
        </w:rPr>
        <w:t>,</w:t>
      </w:r>
      <w:r w:rsidR="00460439" w:rsidRPr="0040120E">
        <w:rPr>
          <w:rFonts w:ascii="Times New Roman" w:eastAsia="Times New Roman" w:hAnsi="Times New Roman" w:cs="Times New Roman"/>
          <w:color w:val="000000"/>
          <w:sz w:val="24"/>
          <w:szCs w:val="24"/>
          <w:lang w:val="en-GB" w:eastAsia="fr-FR"/>
        </w:rPr>
        <w:t xml:space="preserve"> that are cause indicators because they do not </w:t>
      </w:r>
      <w:r w:rsidR="00460439" w:rsidRPr="0040120E">
        <w:rPr>
          <w:rFonts w:ascii="Times New Roman" w:eastAsia="Times New Roman" w:hAnsi="Times New Roman" w:cs="Times New Roman"/>
          <w:color w:val="000000"/>
          <w:sz w:val="24"/>
          <w:szCs w:val="24"/>
          <w:lang w:val="en-GB" w:eastAsia="fr-FR"/>
        </w:rPr>
        <w:lastRenderedPageBreak/>
        <w:t xml:space="preserve">change when the latent variable is modified, a modification of the brand heritage is likely to cause change in </w:t>
      </w:r>
      <w:r w:rsidR="00FA0095" w:rsidRPr="0040120E">
        <w:rPr>
          <w:rFonts w:ascii="Times New Roman" w:eastAsia="Times New Roman" w:hAnsi="Times New Roman" w:cs="Times New Roman"/>
          <w:color w:val="000000"/>
          <w:sz w:val="24"/>
          <w:szCs w:val="24"/>
          <w:lang w:val="en-GB" w:eastAsia="fr-FR"/>
        </w:rPr>
        <w:t xml:space="preserve">a </w:t>
      </w:r>
      <w:r w:rsidR="00460439" w:rsidRPr="0040120E">
        <w:rPr>
          <w:rFonts w:ascii="Times New Roman" w:eastAsia="Times New Roman" w:hAnsi="Times New Roman" w:cs="Times New Roman"/>
          <w:color w:val="000000"/>
          <w:sz w:val="24"/>
          <w:szCs w:val="24"/>
          <w:lang w:val="en-GB" w:eastAsia="fr-FR"/>
        </w:rPr>
        <w:t xml:space="preserve">consumer’s answer to </w:t>
      </w:r>
      <w:r w:rsidR="00E23412" w:rsidRPr="0040120E">
        <w:rPr>
          <w:rFonts w:ascii="Times New Roman" w:eastAsia="Times New Roman" w:hAnsi="Times New Roman" w:cs="Times New Roman"/>
          <w:color w:val="000000"/>
          <w:sz w:val="24"/>
          <w:szCs w:val="24"/>
          <w:lang w:val="en-GB" w:eastAsia="fr-FR"/>
        </w:rPr>
        <w:t>‘</w:t>
      </w:r>
      <w:r w:rsidR="00460439" w:rsidRPr="0040120E">
        <w:rPr>
          <w:rFonts w:ascii="Times New Roman" w:eastAsia="Times New Roman" w:hAnsi="Times New Roman" w:cs="Times New Roman"/>
          <w:color w:val="000000"/>
          <w:sz w:val="24"/>
          <w:szCs w:val="24"/>
          <w:lang w:val="en-GB" w:eastAsia="fr-FR"/>
        </w:rPr>
        <w:t>Is that a brand with roots?</w:t>
      </w:r>
      <w:r w:rsidR="00E23412" w:rsidRPr="0040120E">
        <w:rPr>
          <w:rFonts w:ascii="Times New Roman" w:eastAsia="Times New Roman" w:hAnsi="Times New Roman" w:cs="Times New Roman"/>
          <w:color w:val="000000"/>
          <w:sz w:val="24"/>
          <w:szCs w:val="24"/>
          <w:lang w:val="en-GB" w:eastAsia="fr-FR"/>
        </w:rPr>
        <w:t>’</w:t>
      </w:r>
      <w:r w:rsidR="00460439" w:rsidRPr="0040120E">
        <w:rPr>
          <w:rFonts w:ascii="Times New Roman" w:eastAsia="Times New Roman" w:hAnsi="Times New Roman" w:cs="Times New Roman"/>
          <w:color w:val="000000"/>
          <w:sz w:val="24"/>
          <w:szCs w:val="24"/>
          <w:lang w:val="en-GB" w:eastAsia="fr-FR"/>
        </w:rPr>
        <w:t>. This is why the measured variables are considered as effect indicators.</w:t>
      </w:r>
    </w:p>
    <w:p w14:paraId="7C5C175C" w14:textId="24751AEE" w:rsidR="00460439" w:rsidRPr="0040120E" w:rsidRDefault="00460439"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The specified model extracted from EFA with 13 items shows good but unsatisfactory fit indices. Following recommendations from the literature, three items correlating with more </w:t>
      </w:r>
      <w:r w:rsidR="00F05206" w:rsidRPr="0040120E">
        <w:rPr>
          <w:rFonts w:ascii="Times New Roman" w:hAnsi="Times New Roman" w:cs="Times New Roman"/>
          <w:sz w:val="24"/>
          <w:szCs w:val="24"/>
          <w:lang w:val="en-GB"/>
        </w:rPr>
        <w:t>than one factor</w:t>
      </w:r>
      <w:r w:rsidRPr="0040120E">
        <w:rPr>
          <w:rFonts w:ascii="Times New Roman" w:hAnsi="Times New Roman" w:cs="Times New Roman"/>
          <w:sz w:val="24"/>
          <w:szCs w:val="24"/>
          <w:lang w:val="en-GB"/>
        </w:rPr>
        <w:t xml:space="preserve"> are removed to improve the quality of the measure. The final measurement model has three dimensions and ten items (</w:t>
      </w:r>
      <w:r w:rsidR="00E1342A" w:rsidRPr="0040120E">
        <w:rPr>
          <w:rFonts w:ascii="Times New Roman" w:hAnsi="Times New Roman" w:cs="Times New Roman"/>
          <w:sz w:val="24"/>
          <w:szCs w:val="24"/>
          <w:lang w:val="en-GB"/>
        </w:rPr>
        <w:t xml:space="preserve">χ²=77.5; df=32; </w:t>
      </w:r>
      <w:r w:rsidRPr="0040120E">
        <w:rPr>
          <w:rFonts w:ascii="Times New Roman" w:hAnsi="Times New Roman" w:cs="Times New Roman"/>
          <w:sz w:val="24"/>
          <w:szCs w:val="24"/>
          <w:lang w:val="en-GB"/>
        </w:rPr>
        <w:t>χ²/df=2.423; CFI=.993; TLI=.991; RMSEA=.038). It satisfies the criteria for convergent validity and reliability</w:t>
      </w:r>
      <w:r w:rsidR="009C2A33" w:rsidRPr="0040120E">
        <w:rPr>
          <w:rFonts w:ascii="Times New Roman" w:hAnsi="Times New Roman" w:cs="Times New Roman"/>
          <w:sz w:val="24"/>
          <w:szCs w:val="24"/>
          <w:lang w:val="en-GB"/>
        </w:rPr>
        <w:t xml:space="preserve"> (Table 5</w:t>
      </w:r>
      <w:r w:rsidR="00D30661"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We find measurement invariance across groups. </w:t>
      </w:r>
    </w:p>
    <w:p w14:paraId="38ABD5E3" w14:textId="6F09D233" w:rsidR="002D7072" w:rsidRPr="0040120E" w:rsidRDefault="002D7072" w:rsidP="002D7072">
      <w:pPr>
        <w:pStyle w:val="Caption"/>
        <w:keepNext/>
        <w:spacing w:line="480" w:lineRule="auto"/>
        <w:jc w:val="center"/>
        <w:rPr>
          <w:rFonts w:ascii="Times New Roman" w:hAnsi="Times New Roman" w:cs="Times New Roman"/>
          <w:color w:val="auto"/>
          <w:sz w:val="24"/>
          <w:lang w:val="en-US"/>
        </w:rPr>
      </w:pPr>
      <w:r w:rsidRPr="0040120E">
        <w:rPr>
          <w:rFonts w:ascii="Times New Roman" w:hAnsi="Times New Roman" w:cs="Times New Roman"/>
          <w:color w:val="auto"/>
          <w:sz w:val="24"/>
          <w:lang w:val="en-US"/>
        </w:rPr>
        <w:t xml:space="preserve">Table </w:t>
      </w:r>
      <w:r w:rsidRPr="0040120E">
        <w:rPr>
          <w:rFonts w:ascii="Times New Roman" w:hAnsi="Times New Roman" w:cs="Times New Roman"/>
          <w:color w:val="auto"/>
          <w:sz w:val="24"/>
        </w:rPr>
        <w:fldChar w:fldCharType="begin"/>
      </w:r>
      <w:r w:rsidRPr="0040120E">
        <w:rPr>
          <w:rFonts w:ascii="Times New Roman" w:hAnsi="Times New Roman" w:cs="Times New Roman"/>
          <w:color w:val="auto"/>
          <w:sz w:val="24"/>
          <w:lang w:val="en-US"/>
        </w:rPr>
        <w:instrText xml:space="preserve"> SEQ Table \* ARABIC </w:instrText>
      </w:r>
      <w:r w:rsidRPr="0040120E">
        <w:rPr>
          <w:rFonts w:ascii="Times New Roman" w:hAnsi="Times New Roman" w:cs="Times New Roman"/>
          <w:color w:val="auto"/>
          <w:sz w:val="24"/>
        </w:rPr>
        <w:fldChar w:fldCharType="separate"/>
      </w:r>
      <w:r w:rsidR="00671C69">
        <w:rPr>
          <w:rFonts w:ascii="Times New Roman" w:hAnsi="Times New Roman" w:cs="Times New Roman"/>
          <w:noProof/>
          <w:color w:val="auto"/>
          <w:sz w:val="24"/>
          <w:lang w:val="en-US"/>
        </w:rPr>
        <w:t>5</w:t>
      </w:r>
      <w:r w:rsidRPr="0040120E">
        <w:rPr>
          <w:rFonts w:ascii="Times New Roman" w:hAnsi="Times New Roman" w:cs="Times New Roman"/>
          <w:color w:val="auto"/>
          <w:sz w:val="24"/>
        </w:rPr>
        <w:fldChar w:fldCharType="end"/>
      </w:r>
      <w:r w:rsidRPr="0040120E">
        <w:rPr>
          <w:rFonts w:ascii="Times New Roman" w:hAnsi="Times New Roman" w:cs="Times New Roman"/>
          <w:color w:val="auto"/>
          <w:sz w:val="24"/>
          <w:lang w:val="en-US"/>
        </w:rPr>
        <w:t xml:space="preserve"> - Perceived Brand Heritage Scale</w:t>
      </w:r>
    </w:p>
    <w:tbl>
      <w:tblPr>
        <w:tblStyle w:val="TableGrid"/>
        <w:tblW w:w="9180" w:type="dxa"/>
        <w:tblLayout w:type="fixed"/>
        <w:tblLook w:val="04A0" w:firstRow="1" w:lastRow="0" w:firstColumn="1" w:lastColumn="0" w:noHBand="0" w:noVBand="1"/>
      </w:tblPr>
      <w:tblGrid>
        <w:gridCol w:w="1526"/>
        <w:gridCol w:w="5245"/>
        <w:gridCol w:w="1559"/>
        <w:gridCol w:w="850"/>
      </w:tblGrid>
      <w:tr w:rsidR="002D7072" w:rsidRPr="0040120E" w14:paraId="68FBD984" w14:textId="77777777" w:rsidTr="002D7072">
        <w:tc>
          <w:tcPr>
            <w:tcW w:w="1526" w:type="dxa"/>
          </w:tcPr>
          <w:p w14:paraId="333943CD"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Dimensions</w:t>
            </w:r>
          </w:p>
        </w:tc>
        <w:tc>
          <w:tcPr>
            <w:tcW w:w="5245" w:type="dxa"/>
          </w:tcPr>
          <w:p w14:paraId="36EADD40"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Items (loading)</w:t>
            </w:r>
          </w:p>
        </w:tc>
        <w:tc>
          <w:tcPr>
            <w:tcW w:w="1559" w:type="dxa"/>
          </w:tcPr>
          <w:p w14:paraId="6B36A88E"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Jöreskog’s ρ</w:t>
            </w:r>
          </w:p>
        </w:tc>
        <w:tc>
          <w:tcPr>
            <w:tcW w:w="850" w:type="dxa"/>
          </w:tcPr>
          <w:p w14:paraId="2AED344B"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AVE</w:t>
            </w:r>
          </w:p>
        </w:tc>
      </w:tr>
      <w:tr w:rsidR="002D7072" w:rsidRPr="0040120E" w14:paraId="18EDA905" w14:textId="77777777" w:rsidTr="002D7072">
        <w:tc>
          <w:tcPr>
            <w:tcW w:w="1526" w:type="dxa"/>
          </w:tcPr>
          <w:p w14:paraId="20D4869B" w14:textId="77777777" w:rsidR="002D7072" w:rsidRPr="0040120E" w:rsidRDefault="002D7072" w:rsidP="002D7072">
            <w:pPr>
              <w:jc w:val="both"/>
              <w:rPr>
                <w:rFonts w:ascii="Times New Roman" w:hAnsi="Times New Roman" w:cs="Times New Roman"/>
                <w:sz w:val="24"/>
                <w:szCs w:val="24"/>
              </w:rPr>
            </w:pPr>
            <w:r w:rsidRPr="0040120E">
              <w:rPr>
                <w:rFonts w:ascii="Times New Roman" w:hAnsi="Times New Roman" w:cs="Times New Roman"/>
                <w:sz w:val="24"/>
                <w:szCs w:val="24"/>
              </w:rPr>
              <w:t>Stability</w:t>
            </w:r>
          </w:p>
          <w:p w14:paraId="143CA022" w14:textId="77777777" w:rsidR="002D7072" w:rsidRPr="0040120E" w:rsidRDefault="002D7072" w:rsidP="002D7072">
            <w:pPr>
              <w:jc w:val="both"/>
              <w:rPr>
                <w:rFonts w:ascii="Times New Roman" w:hAnsi="Times New Roman" w:cs="Times New Roman"/>
                <w:sz w:val="24"/>
                <w:szCs w:val="24"/>
              </w:rPr>
            </w:pPr>
          </w:p>
          <w:p w14:paraId="74D7F830" w14:textId="77777777" w:rsidR="002D7072" w:rsidRPr="0040120E" w:rsidRDefault="002D7072" w:rsidP="002D7072">
            <w:pPr>
              <w:jc w:val="both"/>
              <w:rPr>
                <w:rFonts w:ascii="Times New Roman" w:hAnsi="Times New Roman" w:cs="Times New Roman"/>
                <w:sz w:val="24"/>
                <w:szCs w:val="24"/>
              </w:rPr>
            </w:pPr>
          </w:p>
        </w:tc>
        <w:tc>
          <w:tcPr>
            <w:tcW w:w="5245" w:type="dxa"/>
          </w:tcPr>
          <w:p w14:paraId="1C59405A"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A brand which will never go out of fashion (.839)</w:t>
            </w:r>
          </w:p>
          <w:p w14:paraId="27067A5D"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 xml:space="preserve">A brand that is very continuous (.712) </w:t>
            </w:r>
          </w:p>
          <w:p w14:paraId="3E910811"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A timeless brand (.825)</w:t>
            </w:r>
          </w:p>
          <w:p w14:paraId="5CEF5C8D"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A brand that won’t disappear tomorrow (.815)</w:t>
            </w:r>
          </w:p>
        </w:tc>
        <w:tc>
          <w:tcPr>
            <w:tcW w:w="1559" w:type="dxa"/>
          </w:tcPr>
          <w:p w14:paraId="65BE6809" w14:textId="77777777" w:rsidR="002D7072" w:rsidRPr="0040120E" w:rsidRDefault="002D7072" w:rsidP="002D7072">
            <w:pPr>
              <w:jc w:val="both"/>
              <w:rPr>
                <w:rFonts w:ascii="Times New Roman" w:hAnsi="Times New Roman" w:cs="Times New Roman"/>
                <w:sz w:val="24"/>
                <w:szCs w:val="24"/>
              </w:rPr>
            </w:pPr>
            <w:r w:rsidRPr="0040120E">
              <w:rPr>
                <w:rFonts w:ascii="Times New Roman" w:hAnsi="Times New Roman" w:cs="Times New Roman"/>
                <w:sz w:val="24"/>
                <w:szCs w:val="24"/>
              </w:rPr>
              <w:t>.876</w:t>
            </w:r>
          </w:p>
        </w:tc>
        <w:tc>
          <w:tcPr>
            <w:tcW w:w="850" w:type="dxa"/>
          </w:tcPr>
          <w:p w14:paraId="54AA00CD" w14:textId="77777777" w:rsidR="002D7072" w:rsidRPr="0040120E" w:rsidRDefault="002D7072" w:rsidP="002D7072">
            <w:pPr>
              <w:jc w:val="both"/>
              <w:rPr>
                <w:rFonts w:ascii="Times New Roman" w:hAnsi="Times New Roman" w:cs="Times New Roman"/>
                <w:sz w:val="24"/>
                <w:szCs w:val="24"/>
              </w:rPr>
            </w:pPr>
            <w:r w:rsidRPr="0040120E">
              <w:rPr>
                <w:rFonts w:ascii="Times New Roman" w:hAnsi="Times New Roman" w:cs="Times New Roman"/>
                <w:sz w:val="24"/>
                <w:szCs w:val="24"/>
              </w:rPr>
              <w:t>.639</w:t>
            </w:r>
          </w:p>
        </w:tc>
      </w:tr>
      <w:tr w:rsidR="002D7072" w:rsidRPr="0040120E" w14:paraId="0D3C9697" w14:textId="77777777" w:rsidTr="002D7072">
        <w:tc>
          <w:tcPr>
            <w:tcW w:w="1526" w:type="dxa"/>
          </w:tcPr>
          <w:p w14:paraId="7079D18C"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Longevity</w:t>
            </w:r>
          </w:p>
          <w:p w14:paraId="0C68D290" w14:textId="77777777" w:rsidR="002D7072" w:rsidRPr="0040120E" w:rsidRDefault="002D7072" w:rsidP="002D7072">
            <w:pPr>
              <w:jc w:val="both"/>
              <w:rPr>
                <w:rFonts w:ascii="Times New Roman" w:hAnsi="Times New Roman" w:cs="Times New Roman"/>
                <w:sz w:val="24"/>
                <w:szCs w:val="24"/>
                <w:lang w:val="en-US"/>
              </w:rPr>
            </w:pPr>
          </w:p>
          <w:p w14:paraId="2C62849A" w14:textId="77777777" w:rsidR="002D7072" w:rsidRPr="0040120E" w:rsidRDefault="002D7072" w:rsidP="002D7072">
            <w:pPr>
              <w:jc w:val="both"/>
              <w:rPr>
                <w:rFonts w:ascii="Times New Roman" w:hAnsi="Times New Roman" w:cs="Times New Roman"/>
                <w:sz w:val="24"/>
                <w:szCs w:val="24"/>
                <w:lang w:val="en-US"/>
              </w:rPr>
            </w:pPr>
          </w:p>
        </w:tc>
        <w:tc>
          <w:tcPr>
            <w:tcW w:w="5245" w:type="dxa"/>
          </w:tcPr>
          <w:p w14:paraId="5A85DAD1"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 xml:space="preserve">A brand exuding a sense of tradition (.835) </w:t>
            </w:r>
          </w:p>
          <w:p w14:paraId="5C2859B8"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 xml:space="preserve">A brand that reinforces and builds on long-held traditions (.846) </w:t>
            </w:r>
          </w:p>
          <w:p w14:paraId="1306C0DD"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 xml:space="preserve">A brand with roots (.879) </w:t>
            </w:r>
          </w:p>
          <w:p w14:paraId="052189AC"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 xml:space="preserve">A brand that has a strong link to the past </w:t>
            </w:r>
            <w:r w:rsidRPr="0040120E">
              <w:rPr>
                <w:rFonts w:ascii="Times New Roman" w:hAnsi="Times New Roman" w:cs="Times New Roman"/>
                <w:sz w:val="24"/>
                <w:szCs w:val="24"/>
                <w:lang w:val="en-US"/>
              </w:rPr>
              <w:tab/>
              <w:t>(.820)</w:t>
            </w:r>
          </w:p>
        </w:tc>
        <w:tc>
          <w:tcPr>
            <w:tcW w:w="1559" w:type="dxa"/>
          </w:tcPr>
          <w:p w14:paraId="72AB457A"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.909</w:t>
            </w:r>
          </w:p>
        </w:tc>
        <w:tc>
          <w:tcPr>
            <w:tcW w:w="850" w:type="dxa"/>
          </w:tcPr>
          <w:p w14:paraId="2F9549CA"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.714</w:t>
            </w:r>
          </w:p>
        </w:tc>
      </w:tr>
      <w:tr w:rsidR="002D7072" w:rsidRPr="0040120E" w14:paraId="06F24D15" w14:textId="77777777" w:rsidTr="002D7072">
        <w:tc>
          <w:tcPr>
            <w:tcW w:w="1526" w:type="dxa"/>
          </w:tcPr>
          <w:p w14:paraId="6869C7EA"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Adaptability</w:t>
            </w:r>
          </w:p>
          <w:p w14:paraId="3D274A87" w14:textId="77777777" w:rsidR="002D7072" w:rsidRPr="0040120E" w:rsidRDefault="002D7072" w:rsidP="002D7072">
            <w:pPr>
              <w:jc w:val="both"/>
              <w:rPr>
                <w:rFonts w:ascii="Times New Roman" w:hAnsi="Times New Roman" w:cs="Times New Roman"/>
                <w:sz w:val="24"/>
                <w:szCs w:val="24"/>
                <w:lang w:val="en-US"/>
              </w:rPr>
            </w:pPr>
          </w:p>
        </w:tc>
        <w:tc>
          <w:tcPr>
            <w:tcW w:w="5245" w:type="dxa"/>
          </w:tcPr>
          <w:p w14:paraId="2762F3D0"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A brand that knows how to reinvent itself (</w:t>
            </w:r>
            <w:r w:rsidRPr="0040120E">
              <w:rPr>
                <w:rFonts w:ascii="Times New Roman" w:hAnsi="Times New Roman" w:cs="Times New Roman"/>
                <w:sz w:val="24"/>
                <w:szCs w:val="24"/>
                <w:lang w:val="en-US"/>
              </w:rPr>
              <w:tab/>
              <w:t xml:space="preserve">.956) </w:t>
            </w:r>
          </w:p>
          <w:p w14:paraId="1A303314"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A brand that renews itself (.926)</w:t>
            </w:r>
          </w:p>
        </w:tc>
        <w:tc>
          <w:tcPr>
            <w:tcW w:w="1559" w:type="dxa"/>
          </w:tcPr>
          <w:p w14:paraId="462448CD"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.939</w:t>
            </w:r>
          </w:p>
        </w:tc>
        <w:tc>
          <w:tcPr>
            <w:tcW w:w="850" w:type="dxa"/>
          </w:tcPr>
          <w:p w14:paraId="7909C5B3" w14:textId="77777777" w:rsidR="002D7072" w:rsidRPr="0040120E" w:rsidRDefault="002D7072" w:rsidP="002D7072">
            <w:pPr>
              <w:jc w:val="both"/>
              <w:rPr>
                <w:rFonts w:ascii="Times New Roman" w:hAnsi="Times New Roman" w:cs="Times New Roman"/>
                <w:sz w:val="24"/>
                <w:szCs w:val="24"/>
                <w:lang w:val="en-US"/>
              </w:rPr>
            </w:pPr>
            <w:r w:rsidRPr="0040120E">
              <w:rPr>
                <w:rFonts w:ascii="Times New Roman" w:hAnsi="Times New Roman" w:cs="Times New Roman"/>
                <w:sz w:val="24"/>
                <w:szCs w:val="24"/>
                <w:lang w:val="en-US"/>
              </w:rPr>
              <w:t>.886</w:t>
            </w:r>
          </w:p>
        </w:tc>
      </w:tr>
    </w:tbl>
    <w:p w14:paraId="3BF9605D" w14:textId="77777777" w:rsidR="00E2048B" w:rsidRPr="0040120E" w:rsidRDefault="00E2048B" w:rsidP="00532676">
      <w:pPr>
        <w:spacing w:line="480" w:lineRule="auto"/>
        <w:ind w:firstLine="360"/>
        <w:jc w:val="both"/>
        <w:rPr>
          <w:rFonts w:ascii="Times New Roman" w:hAnsi="Times New Roman" w:cs="Times New Roman"/>
          <w:sz w:val="24"/>
          <w:szCs w:val="24"/>
          <w:lang w:val="en-GB"/>
        </w:rPr>
      </w:pPr>
    </w:p>
    <w:p w14:paraId="4F6DB511" w14:textId="404191EC" w:rsidR="00B260CF" w:rsidRPr="0040120E" w:rsidRDefault="00C12099"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To establish </w:t>
      </w:r>
      <w:r w:rsidR="00460439" w:rsidRPr="0040120E">
        <w:rPr>
          <w:rFonts w:ascii="Times New Roman" w:hAnsi="Times New Roman" w:cs="Times New Roman"/>
          <w:sz w:val="24"/>
          <w:szCs w:val="24"/>
          <w:lang w:val="en-GB"/>
        </w:rPr>
        <w:t xml:space="preserve">nomological </w:t>
      </w:r>
      <w:r w:rsidRPr="0040120E">
        <w:rPr>
          <w:rFonts w:ascii="Times New Roman" w:hAnsi="Times New Roman" w:cs="Times New Roman"/>
          <w:sz w:val="24"/>
          <w:szCs w:val="24"/>
          <w:lang w:val="en-GB"/>
        </w:rPr>
        <w:t xml:space="preserve">validity, </w:t>
      </w:r>
      <w:r w:rsidR="00B260CF" w:rsidRPr="0040120E">
        <w:rPr>
          <w:rFonts w:ascii="Times New Roman" w:hAnsi="Times New Roman" w:cs="Times New Roman"/>
          <w:sz w:val="24"/>
          <w:szCs w:val="24"/>
          <w:lang w:val="en-GB"/>
        </w:rPr>
        <w:t>we</w:t>
      </w:r>
      <w:r w:rsidR="00460439" w:rsidRPr="0040120E">
        <w:rPr>
          <w:rFonts w:ascii="Times New Roman" w:hAnsi="Times New Roman" w:cs="Times New Roman"/>
          <w:sz w:val="24"/>
          <w:szCs w:val="24"/>
          <w:lang w:val="en-GB"/>
        </w:rPr>
        <w:t xml:space="preserve"> first need to establish the discriminant validity between brand heritage, personal nostalgia and brand credibility. We</w:t>
      </w:r>
      <w:r w:rsidR="00B260CF" w:rsidRPr="0040120E">
        <w:rPr>
          <w:rFonts w:ascii="Times New Roman" w:hAnsi="Times New Roman" w:cs="Times New Roman"/>
          <w:sz w:val="24"/>
          <w:szCs w:val="24"/>
          <w:lang w:val="en-GB"/>
        </w:rPr>
        <w:t xml:space="preserve"> test </w:t>
      </w:r>
      <w:r w:rsidR="00460439" w:rsidRPr="0040120E">
        <w:rPr>
          <w:rFonts w:ascii="Times New Roman" w:hAnsi="Times New Roman" w:cs="Times New Roman"/>
          <w:sz w:val="24"/>
          <w:szCs w:val="24"/>
          <w:lang w:val="en-GB"/>
        </w:rPr>
        <w:t>a covariate model with</w:t>
      </w:r>
      <w:r w:rsidR="00B260CF" w:rsidRPr="0040120E">
        <w:rPr>
          <w:rFonts w:ascii="Times New Roman" w:hAnsi="Times New Roman" w:cs="Times New Roman"/>
          <w:sz w:val="24"/>
          <w:szCs w:val="24"/>
          <w:lang w:val="en-GB"/>
        </w:rPr>
        <w:t xml:space="preserve"> brand he</w:t>
      </w:r>
      <w:r w:rsidR="00460439" w:rsidRPr="0040120E">
        <w:rPr>
          <w:rFonts w:ascii="Times New Roman" w:hAnsi="Times New Roman" w:cs="Times New Roman"/>
          <w:sz w:val="24"/>
          <w:szCs w:val="24"/>
          <w:lang w:val="en-GB"/>
        </w:rPr>
        <w:t xml:space="preserve">ritage as a second-order factor, </w:t>
      </w:r>
      <w:r w:rsidR="00B260CF" w:rsidRPr="0040120E">
        <w:rPr>
          <w:rFonts w:ascii="Times New Roman" w:hAnsi="Times New Roman" w:cs="Times New Roman"/>
          <w:sz w:val="24"/>
          <w:szCs w:val="24"/>
          <w:lang w:val="en-GB"/>
        </w:rPr>
        <w:t>brand cre</w:t>
      </w:r>
      <w:r w:rsidR="00460439" w:rsidRPr="0040120E">
        <w:rPr>
          <w:rFonts w:ascii="Times New Roman" w:hAnsi="Times New Roman" w:cs="Times New Roman"/>
          <w:sz w:val="24"/>
          <w:szCs w:val="24"/>
          <w:lang w:val="en-GB"/>
        </w:rPr>
        <w:t>dibility and personal nostalgia</w:t>
      </w:r>
      <w:r w:rsidR="00B260CF" w:rsidRPr="0040120E">
        <w:rPr>
          <w:rFonts w:ascii="Times New Roman" w:hAnsi="Times New Roman" w:cs="Times New Roman"/>
          <w:sz w:val="24"/>
          <w:szCs w:val="24"/>
          <w:lang w:val="en-GB"/>
        </w:rPr>
        <w:t xml:space="preserve">. </w:t>
      </w:r>
      <w:r w:rsidR="003937F6" w:rsidRPr="0040120E">
        <w:rPr>
          <w:rFonts w:ascii="Times New Roman" w:hAnsi="Times New Roman" w:cs="Times New Roman"/>
          <w:sz w:val="24"/>
          <w:lang w:val="en-GB"/>
        </w:rPr>
        <w:t>A</w:t>
      </w:r>
      <w:r w:rsidR="00B260CF" w:rsidRPr="0040120E">
        <w:rPr>
          <w:rFonts w:ascii="Times New Roman" w:hAnsi="Times New Roman" w:cs="Times New Roman"/>
          <w:sz w:val="24"/>
          <w:szCs w:val="24"/>
          <w:lang w:val="en-GB"/>
        </w:rPr>
        <w:t>s expected, t</w:t>
      </w:r>
      <w:r w:rsidRPr="0040120E">
        <w:rPr>
          <w:rFonts w:ascii="Times New Roman" w:hAnsi="Times New Roman" w:cs="Times New Roman"/>
          <w:sz w:val="24"/>
          <w:szCs w:val="24"/>
          <w:lang w:val="en-GB"/>
        </w:rPr>
        <w:t>he confidence interval around the correlation between the constructs does not include ± 1</w:t>
      </w:r>
      <w:r w:rsidR="005C15B3" w:rsidRPr="0040120E">
        <w:rPr>
          <w:rFonts w:ascii="Times New Roman" w:hAnsi="Times New Roman" w:cs="Times New Roman"/>
          <w:sz w:val="24"/>
          <w:szCs w:val="24"/>
          <w:lang w:val="en-GB"/>
        </w:rPr>
        <w:t xml:space="preserve"> (Table </w:t>
      </w:r>
      <w:r w:rsidR="009C2A33" w:rsidRPr="0040120E">
        <w:rPr>
          <w:rFonts w:ascii="Times New Roman" w:hAnsi="Times New Roman" w:cs="Times New Roman"/>
          <w:sz w:val="24"/>
          <w:szCs w:val="24"/>
          <w:lang w:val="en-GB"/>
        </w:rPr>
        <w:t>6</w:t>
      </w:r>
      <w:r w:rsidR="000C250C"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supporting discriminant validity </w:t>
      </w:r>
      <w:r w:rsidR="00412B05"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{"citationItems":[{"id":"ITEM-1","itemData":{"DOI":"10.1037/0033-2909.103.3.411","ISBN":"0033-2909\\r1939-1455","ISSN":"0033-2909","PMID":"3802905","abstract":"In this article, we provide guidance for substantive researchers on the use of structural equation modeling in practice for theory testing and development. We present a comprehensive, two-step modeling approach that employs a series of nested models and sequential chi-square difference tests. We discuss the comparative advantages of this approach over a one-step approach. Considerations in specification, assessment of fit, and respecification of measurement models using confirmatory factor analysis are reviewed. As background to the two-step approach, the distinction between exploratory and confirmatory analysis, the distinction between complementary approaches for theory testing versus predictive application, and some developments in estimation methods also are discussed. (PsycINFO Database Record (c) 2010 APA, all rights reserved)","author":[{"dropping-particle":"","family":"Anderson","given":"J C","non-dropping-particle":"","parse-names":false,"suffix":""},{"dropping-particle":"","family":"Gerbing","given":"David W","non-dropping-particle":"","parse-names":false,"suffix":""}],"container-title":"Psychological Bulletin","id":"ITEM-1","issue":"3","issued":{"date-parts":[["1988"]]},"page":"411-423","title":"Structural equation modeling in practice: A review and recommended two-step approach","type":"article-journal","volume":"103"},"uris":["http://www.mendeley.com/documents/?uuid=a9f39530-7323-42f1-be97-ba3bd44fe24e"]}],"mendeley":{"formattedCitation":"(Anderson &amp; Gerbing, 1988)","plainTextFormattedCitation":"(Anderson &amp; Gerbing, 1988)","previouslyFormattedCitation":"(Anderson &amp; Gerbing, 1988)"},"properties":{"noteIndex":0},"schema":"https://github.com/citation-style-language/schema/raw/master/csl-citation.json"}</w:instrText>
      </w:r>
      <w:r w:rsidR="00412B05"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(Anderson &amp; Gerbing, 1988)</w:t>
      </w:r>
      <w:r w:rsidR="00412B05"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w:t>
      </w:r>
      <w:r w:rsidR="000F43B2" w:rsidRPr="0040120E">
        <w:rPr>
          <w:rFonts w:ascii="Times New Roman" w:hAnsi="Times New Roman" w:cs="Times New Roman"/>
          <w:sz w:val="24"/>
          <w:szCs w:val="24"/>
          <w:lang w:val="en-GB"/>
        </w:rPr>
        <w:t xml:space="preserve"> </w:t>
      </w:r>
    </w:p>
    <w:p w14:paraId="0E432FDC" w14:textId="58F74DE3" w:rsidR="002D7072" w:rsidRPr="0040120E" w:rsidRDefault="002D7072" w:rsidP="002D7072">
      <w:pPr>
        <w:pStyle w:val="Caption"/>
        <w:keepNext/>
        <w:jc w:val="center"/>
        <w:rPr>
          <w:rFonts w:ascii="Times New Roman" w:hAnsi="Times New Roman" w:cs="Times New Roman"/>
          <w:color w:val="auto"/>
          <w:sz w:val="24"/>
          <w:lang w:val="en-GB"/>
        </w:rPr>
      </w:pPr>
      <w:r w:rsidRPr="0040120E">
        <w:rPr>
          <w:rFonts w:ascii="Times New Roman" w:hAnsi="Times New Roman" w:cs="Times New Roman"/>
          <w:color w:val="auto"/>
          <w:sz w:val="24"/>
          <w:lang w:val="en-GB"/>
        </w:rPr>
        <w:lastRenderedPageBreak/>
        <w:t xml:space="preserve">Table </w:t>
      </w:r>
      <w:r w:rsidRPr="0040120E">
        <w:rPr>
          <w:rFonts w:ascii="Times New Roman" w:hAnsi="Times New Roman" w:cs="Times New Roman"/>
          <w:color w:val="auto"/>
          <w:sz w:val="24"/>
        </w:rPr>
        <w:fldChar w:fldCharType="begin"/>
      </w:r>
      <w:r w:rsidRPr="0040120E">
        <w:rPr>
          <w:rFonts w:ascii="Times New Roman" w:hAnsi="Times New Roman" w:cs="Times New Roman"/>
          <w:color w:val="auto"/>
          <w:sz w:val="24"/>
          <w:lang w:val="en-GB"/>
        </w:rPr>
        <w:instrText xml:space="preserve"> SEQ Table \* ARABIC </w:instrText>
      </w:r>
      <w:r w:rsidRPr="0040120E">
        <w:rPr>
          <w:rFonts w:ascii="Times New Roman" w:hAnsi="Times New Roman" w:cs="Times New Roman"/>
          <w:color w:val="auto"/>
          <w:sz w:val="24"/>
        </w:rPr>
        <w:fldChar w:fldCharType="separate"/>
      </w:r>
      <w:r w:rsidR="00671C69">
        <w:rPr>
          <w:rFonts w:ascii="Times New Roman" w:hAnsi="Times New Roman" w:cs="Times New Roman"/>
          <w:noProof/>
          <w:color w:val="auto"/>
          <w:sz w:val="24"/>
          <w:lang w:val="en-GB"/>
        </w:rPr>
        <w:t>6</w:t>
      </w:r>
      <w:r w:rsidRPr="0040120E">
        <w:rPr>
          <w:rFonts w:ascii="Times New Roman" w:hAnsi="Times New Roman" w:cs="Times New Roman"/>
          <w:color w:val="auto"/>
          <w:sz w:val="24"/>
        </w:rPr>
        <w:fldChar w:fldCharType="end"/>
      </w:r>
      <w:r w:rsidRPr="0040120E">
        <w:rPr>
          <w:rFonts w:ascii="Times New Roman" w:hAnsi="Times New Roman" w:cs="Times New Roman"/>
          <w:color w:val="auto"/>
          <w:sz w:val="24"/>
          <w:lang w:val="en-GB"/>
        </w:rPr>
        <w:t xml:space="preserve"> - Correlations between brand heritage, brand credibility and personal nostalgia</w:t>
      </w:r>
    </w:p>
    <w:tbl>
      <w:tblPr>
        <w:tblStyle w:val="TableGrid"/>
        <w:tblW w:w="0" w:type="auto"/>
        <w:tblLayout w:type="fixed"/>
        <w:tblLook w:val="04A0" w:firstRow="1" w:lastRow="0" w:firstColumn="1" w:lastColumn="0" w:noHBand="0" w:noVBand="1"/>
      </w:tblPr>
      <w:tblGrid>
        <w:gridCol w:w="4815"/>
        <w:gridCol w:w="1168"/>
        <w:gridCol w:w="1026"/>
        <w:gridCol w:w="1026"/>
        <w:gridCol w:w="1027"/>
      </w:tblGrid>
      <w:tr w:rsidR="002D7072" w:rsidRPr="0040120E" w14:paraId="7BD5AC24" w14:textId="77777777" w:rsidTr="002D7072">
        <w:tc>
          <w:tcPr>
            <w:tcW w:w="4815" w:type="dxa"/>
          </w:tcPr>
          <w:p w14:paraId="428FD4F4"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Parameters</w:t>
            </w:r>
          </w:p>
        </w:tc>
        <w:tc>
          <w:tcPr>
            <w:tcW w:w="1168" w:type="dxa"/>
          </w:tcPr>
          <w:p w14:paraId="22E959CD"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Estimate</w:t>
            </w:r>
          </w:p>
        </w:tc>
        <w:tc>
          <w:tcPr>
            <w:tcW w:w="1026" w:type="dxa"/>
          </w:tcPr>
          <w:p w14:paraId="6D26DA0C"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Lower</w:t>
            </w:r>
          </w:p>
        </w:tc>
        <w:tc>
          <w:tcPr>
            <w:tcW w:w="1026" w:type="dxa"/>
          </w:tcPr>
          <w:p w14:paraId="0687F0A1"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Upper</w:t>
            </w:r>
          </w:p>
        </w:tc>
        <w:tc>
          <w:tcPr>
            <w:tcW w:w="1027" w:type="dxa"/>
          </w:tcPr>
          <w:p w14:paraId="2827041E"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P value</w:t>
            </w:r>
          </w:p>
        </w:tc>
      </w:tr>
      <w:tr w:rsidR="002D7072" w:rsidRPr="0040120E" w14:paraId="3329BEAA" w14:textId="77777777" w:rsidTr="002D7072">
        <w:tc>
          <w:tcPr>
            <w:tcW w:w="4815" w:type="dxa"/>
          </w:tcPr>
          <w:p w14:paraId="4F39D897"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Brand Heritage – Brand Credibility</w:t>
            </w:r>
          </w:p>
        </w:tc>
        <w:tc>
          <w:tcPr>
            <w:tcW w:w="1168" w:type="dxa"/>
          </w:tcPr>
          <w:p w14:paraId="7936E7E7"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.799</w:t>
            </w:r>
          </w:p>
        </w:tc>
        <w:tc>
          <w:tcPr>
            <w:tcW w:w="1026" w:type="dxa"/>
          </w:tcPr>
          <w:p w14:paraId="4A6B7AF5"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.751</w:t>
            </w:r>
          </w:p>
        </w:tc>
        <w:tc>
          <w:tcPr>
            <w:tcW w:w="1026" w:type="dxa"/>
          </w:tcPr>
          <w:p w14:paraId="1858F487"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.842</w:t>
            </w:r>
          </w:p>
        </w:tc>
        <w:tc>
          <w:tcPr>
            <w:tcW w:w="1027" w:type="dxa"/>
          </w:tcPr>
          <w:p w14:paraId="27A9AB9F"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.001</w:t>
            </w:r>
          </w:p>
        </w:tc>
      </w:tr>
      <w:tr w:rsidR="002D7072" w:rsidRPr="0040120E" w14:paraId="3816666D" w14:textId="77777777" w:rsidTr="002D7072">
        <w:tc>
          <w:tcPr>
            <w:tcW w:w="4815" w:type="dxa"/>
          </w:tcPr>
          <w:p w14:paraId="638459AB" w14:textId="18D44BA6"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 xml:space="preserve">Brand Heritage – Personal </w:t>
            </w:r>
            <w:r w:rsidR="002354F4" w:rsidRPr="0040120E">
              <w:rPr>
                <w:rFonts w:ascii="Times New Roman" w:hAnsi="Times New Roman" w:cs="Times New Roman"/>
                <w:sz w:val="24"/>
                <w:szCs w:val="24"/>
                <w:lang w:val="en-US"/>
              </w:rPr>
              <w:t>N</w:t>
            </w:r>
            <w:r w:rsidRPr="0040120E">
              <w:rPr>
                <w:rFonts w:ascii="Times New Roman" w:hAnsi="Times New Roman" w:cs="Times New Roman"/>
                <w:sz w:val="24"/>
                <w:szCs w:val="24"/>
                <w:lang w:val="en-US"/>
              </w:rPr>
              <w:t>ostalgia</w:t>
            </w:r>
          </w:p>
        </w:tc>
        <w:tc>
          <w:tcPr>
            <w:tcW w:w="1168" w:type="dxa"/>
          </w:tcPr>
          <w:p w14:paraId="6770F41F"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.149</w:t>
            </w:r>
          </w:p>
        </w:tc>
        <w:tc>
          <w:tcPr>
            <w:tcW w:w="1026" w:type="dxa"/>
          </w:tcPr>
          <w:p w14:paraId="735244E4"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.086</w:t>
            </w:r>
          </w:p>
        </w:tc>
        <w:tc>
          <w:tcPr>
            <w:tcW w:w="1026" w:type="dxa"/>
          </w:tcPr>
          <w:p w14:paraId="3629D3CB"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.220</w:t>
            </w:r>
          </w:p>
        </w:tc>
        <w:tc>
          <w:tcPr>
            <w:tcW w:w="1027" w:type="dxa"/>
          </w:tcPr>
          <w:p w14:paraId="7DAEDB0C" w14:textId="77777777" w:rsidR="002D7072" w:rsidRPr="0040120E" w:rsidRDefault="002D7072" w:rsidP="002D7072">
            <w:pPr>
              <w:spacing w:line="480" w:lineRule="auto"/>
              <w:rPr>
                <w:rFonts w:ascii="Times New Roman" w:hAnsi="Times New Roman" w:cs="Times New Roman"/>
                <w:sz w:val="24"/>
                <w:szCs w:val="24"/>
                <w:lang w:val="en-US"/>
              </w:rPr>
            </w:pPr>
            <w:r w:rsidRPr="0040120E">
              <w:rPr>
                <w:rFonts w:ascii="Times New Roman" w:hAnsi="Times New Roman" w:cs="Times New Roman"/>
                <w:sz w:val="24"/>
                <w:szCs w:val="24"/>
                <w:lang w:val="en-US"/>
              </w:rPr>
              <w:t>.001</w:t>
            </w:r>
          </w:p>
        </w:tc>
      </w:tr>
    </w:tbl>
    <w:p w14:paraId="4E64423B" w14:textId="77777777" w:rsidR="002D7072" w:rsidRPr="0040120E" w:rsidRDefault="002D7072" w:rsidP="002D7072">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14:paraId="13FD5C0F" w14:textId="424259FE" w:rsidR="00B260CF" w:rsidRPr="0040120E" w:rsidRDefault="00460439"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Then, we specify a</w:t>
      </w:r>
      <w:r w:rsidR="00C12099" w:rsidRPr="0040120E">
        <w:rPr>
          <w:rFonts w:ascii="Times New Roman" w:hAnsi="Times New Roman" w:cs="Times New Roman"/>
          <w:sz w:val="24"/>
          <w:szCs w:val="24"/>
          <w:lang w:val="en-GB"/>
        </w:rPr>
        <w:t xml:space="preserve"> structural model with brand credibility and personal nostalgia </w:t>
      </w:r>
      <w:r w:rsidR="00AA06FA" w:rsidRPr="0040120E">
        <w:rPr>
          <w:rFonts w:ascii="Times New Roman" w:hAnsi="Times New Roman" w:cs="Times New Roman"/>
          <w:sz w:val="24"/>
          <w:szCs w:val="24"/>
          <w:lang w:val="en-GB"/>
        </w:rPr>
        <w:t xml:space="preserve">as dependent variables </w:t>
      </w:r>
      <w:r w:rsidR="008F38DD" w:rsidRPr="0040120E">
        <w:rPr>
          <w:rFonts w:ascii="Times New Roman" w:hAnsi="Times New Roman" w:cs="Times New Roman"/>
          <w:sz w:val="24"/>
          <w:szCs w:val="24"/>
          <w:lang w:val="en-GB"/>
        </w:rPr>
        <w:t xml:space="preserve">in order </w:t>
      </w:r>
      <w:r w:rsidRPr="0040120E">
        <w:rPr>
          <w:rFonts w:ascii="Times New Roman" w:hAnsi="Times New Roman" w:cs="Times New Roman"/>
          <w:sz w:val="24"/>
          <w:szCs w:val="24"/>
          <w:lang w:val="en-GB"/>
        </w:rPr>
        <w:t xml:space="preserve">to </w:t>
      </w:r>
      <w:r w:rsidR="00AA06FA" w:rsidRPr="0040120E">
        <w:rPr>
          <w:rFonts w:ascii="Times New Roman" w:hAnsi="Times New Roman" w:cs="Times New Roman"/>
          <w:sz w:val="24"/>
          <w:szCs w:val="24"/>
          <w:lang w:val="en-GB"/>
        </w:rPr>
        <w:t>test the predictive validity of the measurement scale</w:t>
      </w:r>
      <w:r w:rsidR="00C12099" w:rsidRPr="0040120E">
        <w:rPr>
          <w:rFonts w:ascii="Times New Roman" w:hAnsi="Times New Roman" w:cs="Times New Roman"/>
          <w:sz w:val="24"/>
          <w:szCs w:val="24"/>
          <w:lang w:val="en-GB"/>
        </w:rPr>
        <w:t>.</w:t>
      </w:r>
      <w:r w:rsidR="00AA06FA" w:rsidRPr="0040120E">
        <w:rPr>
          <w:rFonts w:ascii="Times New Roman" w:hAnsi="Times New Roman" w:cs="Times New Roman"/>
          <w:sz w:val="24"/>
          <w:szCs w:val="24"/>
          <w:lang w:val="en-GB"/>
        </w:rPr>
        <w:t xml:space="preserve"> </w:t>
      </w:r>
      <w:r w:rsidR="00B260CF" w:rsidRPr="0040120E">
        <w:rPr>
          <w:rFonts w:ascii="Times New Roman" w:hAnsi="Times New Roman" w:cs="Times New Roman"/>
          <w:sz w:val="24"/>
          <w:szCs w:val="24"/>
          <w:lang w:val="en-GB"/>
        </w:rPr>
        <w:t xml:space="preserve">The </w:t>
      </w:r>
      <w:r w:rsidR="002D7072" w:rsidRPr="0040120E">
        <w:rPr>
          <w:rFonts w:ascii="Times New Roman" w:hAnsi="Times New Roman" w:cs="Times New Roman"/>
          <w:sz w:val="24"/>
          <w:szCs w:val="24"/>
          <w:lang w:val="en-GB"/>
        </w:rPr>
        <w:t>signalling</w:t>
      </w:r>
      <w:r w:rsidR="00B260CF" w:rsidRPr="0040120E">
        <w:rPr>
          <w:rFonts w:ascii="Times New Roman" w:hAnsi="Times New Roman" w:cs="Times New Roman"/>
          <w:sz w:val="24"/>
          <w:szCs w:val="24"/>
          <w:lang w:val="en-GB"/>
        </w:rPr>
        <w:t xml:space="preserve"> theory supports the causal relationship between our definition of brand heritage and brand credibility</w:t>
      </w:r>
      <w:r w:rsidR="00240CE4" w:rsidRPr="0040120E">
        <w:rPr>
          <w:rFonts w:ascii="Times New Roman" w:hAnsi="Times New Roman" w:cs="Times New Roman"/>
          <w:sz w:val="24"/>
          <w:szCs w:val="24"/>
          <w:lang w:val="en-GB"/>
        </w:rPr>
        <w:t xml:space="preserve"> </w:t>
      </w:r>
      <w:r w:rsidR="00240CE4" w:rsidRPr="0040120E">
        <w:rPr>
          <w:rFonts w:ascii="Times New Roman" w:hAnsi="Times New Roman" w:cs="Times New Roman"/>
          <w:sz w:val="24"/>
          <w:szCs w:val="24"/>
          <w:lang w:val="en-GB"/>
        </w:rPr>
        <w:fldChar w:fldCharType="begin" w:fldLock="1"/>
      </w:r>
      <w:r w:rsidR="00240CE4" w:rsidRPr="0040120E">
        <w:rPr>
          <w:rFonts w:ascii="Times New Roman" w:hAnsi="Times New Roman" w:cs="Times New Roman"/>
          <w:sz w:val="24"/>
          <w:szCs w:val="24"/>
          <w:lang w:val="en-GB"/>
        </w:rPr>
        <w:instrText>ADDIN CSL_CITATION {"citationItems":[{"id":"ITEM-1","itemData":{"DOI":"10.1016/j.jbusres.2018.01.016","ISSN":"01482963","abstract":"This paper examines the cognitive outcomes of brand heritage in the theoretical framework of signaling theory. Three quantitative studies show the added value of making brand heritage available to consumers in different situations of familiarity. The results show that brand heritage enhances perceived brand quality and commands a price premium for established companies (Study 1) as well as companies penetrating a new market (Study 2). It also outlines the moderating effect of the familiarity that consumers have with the company, and consumers’ past time orientation. Theoretical and managerial implications are also discussed.","author":[{"dropping-particle":"","family":"Pecot","given":"Fabien","non-dropping-particle":"","parse-names":false,"suffix":""},{"dropping-particle":"","family":"Merchant","given":"Altaf","non-dropping-particle":"","parse-names":false,"suffix":""},{"dropping-particle":"","family":"Valette-Florence","given":"Pierre","non-dropping-particle":"","parse-names":false,"suffix":""},{"dropping-particle":"","family":"Barnier","given":"Virginie","non-dropping-particle":"De","parse-names":false,"suffix":""}],"container-title":"Journal of Business Research","id":"ITEM-1","issue":"March 2017","issued":{"date-parts":[["2018"]]},"page":"304-316","publisher":"Elsevier","title":"Cognitive outcomes of brand heritage: A signaling perspective","type":"article-journal","volume":"85"},"uris":["http://www.mendeley.com/documents/?uuid=a551be5a-acf9-4b1d-9737-7b4b4c9284f0"]}],"mendeley":{"formattedCitation":"(Pecot, Merchant, Valette-Florence, &amp; De Barnier, 2018)","plainTextFormattedCitation":"(Pecot, Merchant, Valette-Florence, &amp; De Barnier, 2018)"},"properties":{"noteIndex":0},"schema":"https://github.com/citation-style-language/schema/raw/master/csl-citation.json"}</w:instrText>
      </w:r>
      <w:r w:rsidR="00240CE4" w:rsidRPr="0040120E">
        <w:rPr>
          <w:rFonts w:ascii="Times New Roman" w:hAnsi="Times New Roman" w:cs="Times New Roman"/>
          <w:sz w:val="24"/>
          <w:szCs w:val="24"/>
          <w:lang w:val="en-GB"/>
        </w:rPr>
        <w:fldChar w:fldCharType="separate"/>
      </w:r>
      <w:r w:rsidR="00240CE4" w:rsidRPr="0040120E">
        <w:rPr>
          <w:rFonts w:ascii="Times New Roman" w:hAnsi="Times New Roman" w:cs="Times New Roman"/>
          <w:noProof/>
          <w:sz w:val="24"/>
          <w:szCs w:val="24"/>
          <w:lang w:val="en-GB"/>
        </w:rPr>
        <w:t>(Pecot, Merchant, Valette-Florence, &amp; De Barnier, 2018)</w:t>
      </w:r>
      <w:r w:rsidR="00240CE4" w:rsidRPr="0040120E">
        <w:rPr>
          <w:rFonts w:ascii="Times New Roman" w:hAnsi="Times New Roman" w:cs="Times New Roman"/>
          <w:sz w:val="24"/>
          <w:szCs w:val="24"/>
          <w:lang w:val="en-GB"/>
        </w:rPr>
        <w:fldChar w:fldCharType="end"/>
      </w:r>
      <w:r w:rsidR="00B260CF" w:rsidRPr="0040120E">
        <w:rPr>
          <w:rFonts w:ascii="Times New Roman" w:hAnsi="Times New Roman" w:cs="Times New Roman"/>
          <w:sz w:val="24"/>
          <w:szCs w:val="24"/>
          <w:lang w:val="en-GB"/>
        </w:rPr>
        <w:t xml:space="preserve">. The applications of the </w:t>
      </w:r>
      <w:r w:rsidR="002D7072" w:rsidRPr="0040120E">
        <w:rPr>
          <w:rFonts w:ascii="Times New Roman" w:hAnsi="Times New Roman" w:cs="Times New Roman"/>
          <w:sz w:val="24"/>
          <w:szCs w:val="24"/>
          <w:lang w:val="en-GB"/>
        </w:rPr>
        <w:t>signalling</w:t>
      </w:r>
      <w:r w:rsidR="00B260CF" w:rsidRPr="0040120E">
        <w:rPr>
          <w:rFonts w:ascii="Times New Roman" w:hAnsi="Times New Roman" w:cs="Times New Roman"/>
          <w:sz w:val="24"/>
          <w:szCs w:val="24"/>
          <w:lang w:val="en-GB"/>
        </w:rPr>
        <w:t xml:space="preserve"> theory in marketing posit that </w:t>
      </w:r>
      <w:r w:rsidR="002D7072" w:rsidRPr="0040120E">
        <w:rPr>
          <w:rFonts w:ascii="Times New Roman" w:hAnsi="Times New Roman" w:cs="Times New Roman"/>
          <w:sz w:val="24"/>
          <w:szCs w:val="24"/>
          <w:lang w:val="en-GB"/>
        </w:rPr>
        <w:t>signalling</w:t>
      </w:r>
      <w:r w:rsidR="00B260CF" w:rsidRPr="0040120E">
        <w:rPr>
          <w:rFonts w:ascii="Times New Roman" w:hAnsi="Times New Roman" w:cs="Times New Roman"/>
          <w:sz w:val="24"/>
          <w:szCs w:val="24"/>
          <w:lang w:val="en-GB"/>
        </w:rPr>
        <w:t xml:space="preserve"> the temporal consistency of the branding strategy generates more brand credibility</w:t>
      </w:r>
      <w:r w:rsidR="00067ECD" w:rsidRPr="0040120E">
        <w:rPr>
          <w:rFonts w:ascii="Times New Roman" w:hAnsi="Times New Roman" w:cs="Times New Roman"/>
          <w:sz w:val="24"/>
          <w:szCs w:val="24"/>
          <w:lang w:val="en-GB"/>
        </w:rPr>
        <w:t xml:space="preserve"> </w:t>
      </w:r>
      <w:r w:rsidR="00067ECD"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{"citationItems":[{"id":"ITEM-1","itemData":{"DOI":"10.1086/383434","ISBN":"00935301","ISSN":"0093-5301","PMID":"13993450","abstract":"We examine the role of brand credibility (trustworthiness and expertise) on brand choice and consideration across multiple product categories that vary in regard to potential uncertainty about attributes and associated information acquisition costs and perceived risks of consumption. We find that brand credibility increases probability of inclusion of a brand in the consideration set, as well as brand choice conditional on consideration. We also find that although credibility impacts brand choice and consideration set formation more and through more constructs in contexts with high uncertainty and sensitivity to such uncertainty, credibility effects are present in all categories. Finally, our results indicate that trustworthiness, rather than expertise, affects consumer choices and brand consideration more.","author":[{"dropping-particle":"","family":"Erdem","given":"Tulin","non-dropping-particle":"","parse-names":false,"suffix":""},{"dropping-particle":"","family":"Swait","given":"Joffre","non-dropping-particle":"","parse-names":false,"suffix":""}],"container-title":"Journal of Consumer Research","id":"ITEM-1","issue":"1","issued":{"date-parts":[["2004"]]},"page":"191-198","title":"Brand Credibility, Brand Consideration, and Choice","type":"article-journal","volume":"31"},"uris":["http://www.mendeley.com/documents/?uuid=d7877a09-3dca-4b70-8c8f-66c317ca2695"]}],"mendeley":{"formattedCitation":"(Erdem &amp; Swait, 2004)","plainTextFormattedCitation":"(Erdem &amp; Swait, 2004)","previouslyFormattedCitation":"(Erdem &amp; Swait, 2004)"},"properties":{"noteIndex":0},"schema":"https://github.com/citation-style-language/schema/raw/master/csl-citation.json"}</w:instrText>
      </w:r>
      <w:r w:rsidR="00067ECD"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(Erdem &amp; Swait, 2004)</w:t>
      </w:r>
      <w:r w:rsidR="00067ECD" w:rsidRPr="0040120E">
        <w:rPr>
          <w:rFonts w:ascii="Times New Roman" w:hAnsi="Times New Roman" w:cs="Times New Roman"/>
          <w:sz w:val="24"/>
          <w:szCs w:val="24"/>
          <w:lang w:val="en-GB"/>
        </w:rPr>
        <w:fldChar w:fldCharType="end"/>
      </w:r>
      <w:r w:rsidR="00B260CF" w:rsidRPr="0040120E">
        <w:rPr>
          <w:rFonts w:ascii="Times New Roman" w:hAnsi="Times New Roman" w:cs="Times New Roman"/>
          <w:sz w:val="24"/>
          <w:szCs w:val="24"/>
          <w:lang w:val="en-GB"/>
        </w:rPr>
        <w:t xml:space="preserve">. Brand credibility is defined as </w:t>
      </w:r>
      <w:r w:rsidR="00E23412" w:rsidRPr="0040120E">
        <w:rPr>
          <w:rFonts w:ascii="Times New Roman" w:hAnsi="Times New Roman" w:cs="Times New Roman"/>
          <w:sz w:val="24"/>
          <w:szCs w:val="24"/>
          <w:lang w:val="en-GB"/>
        </w:rPr>
        <w:t>‘</w:t>
      </w:r>
      <w:r w:rsidR="00B260CF" w:rsidRPr="0040120E">
        <w:rPr>
          <w:rFonts w:ascii="Times New Roman" w:hAnsi="Times New Roman" w:cs="Times New Roman"/>
          <w:sz w:val="24"/>
          <w:szCs w:val="24"/>
          <w:lang w:val="en-GB"/>
        </w:rPr>
        <w:t>the believability of the product position information contained in a brand, which entails consistently delivering what is promised, and it represents the cumulative effect of the credibility of all previous marketing actions taken by that brand</w:t>
      </w:r>
      <w:r w:rsidR="00E23412" w:rsidRPr="0040120E">
        <w:rPr>
          <w:rFonts w:ascii="Times New Roman" w:hAnsi="Times New Roman" w:cs="Times New Roman"/>
          <w:sz w:val="24"/>
          <w:szCs w:val="24"/>
          <w:lang w:val="en-GB"/>
        </w:rPr>
        <w:t>’</w:t>
      </w:r>
      <w:r w:rsidR="00B260CF" w:rsidRPr="0040120E">
        <w:rPr>
          <w:rFonts w:ascii="Times New Roman" w:hAnsi="Times New Roman" w:cs="Times New Roman"/>
          <w:sz w:val="24"/>
          <w:szCs w:val="24"/>
          <w:lang w:val="en-GB"/>
        </w:rPr>
        <w:t xml:space="preserve"> </w:t>
      </w:r>
      <w:r w:rsidR="00B260CF"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{"citationItems":[{"id":"ITEM-1","itemData":{"DOI":"10.1016/S0167-8116(01)00048-9","ISBN":"1510642463","ISSN":"01678116","PMID":"11895903","abstract":"Brands can affect various stages of consumer choice processes, and hence, various components of consumer utility functions. Previous conceptual and empirical work focused on the effects of brands on consumer perceptions of tangible and intangible product attributes. In this paper, we extend the work on brand effects with information economics underpinnings to analyze whether consumer price sensitivity, that is, the weight attached to price in a consumer valuation of a product's overall attractiveness or utility, is impacted by brand credibility. In other words, we investigate how the impact of product price on consumer utility is moderated by brand credibility. To explore the impact of brand credibility on consumer price sensitivity across categories that may involve different levels of consumer uncertainty, we conduct our analysis for four products: frozen concentrate juice, jeans, shampoo and personal computers. These categories vary in the degree of potential consumer uncertainty about product attributes, as well as in a number of other category-specific features that may affect consumer sensitivity to uncertainty. Our results indicate that brand credibility decreases price sensitivity. Our results also indicate that although the direction of the impact is the same, the magnitude of brand credibility's impact on consumer choices and price sensitivity vary across product categories, as a function of product category characteristics that affect potential consumer uncertainty and consumer sensitivity to such uncertainty. ?? 2002 Elsevier Science B.V. All rights reserved.","author":[{"dropping-particle":"","family":"Erdem","given":"Tulin","non-dropping-particle":"","parse-names":false,"suffix":""},{"dropping-particle":"","family":"Swait","given":"Joffre","non-dropping-particle":"","parse-names":false,"suffix":""},{"dropping-particle":"","family":"Louviere","given":"Jordan","non-dropping-particle":"","parse-names":false,"suffix":""}],"container-title":"International Journal of Research in Marketing","id":"ITEM-1","issue":"1","issued":{"date-parts":[["2002"]]},"page":"1-19","title":"The impact of brand credibility on consumer price sensitivity","type":"article-journal","volume":"19"},"uris":["http://www.mendeley.com/documents/?uuid=01446c8e-1d0d-4da3-ab02-f8b42c0aee04"]}],"mendeley":{"formattedCitation":"(Erdem, Swait, &amp; Louviere, 2002)","manualFormatting":"(Erdem et al., 2002, p. 3)","plainTextFormattedCitation":"(Erdem, Swait, &amp; Louviere, 2002)","previouslyFormattedCitation":"(Erdem, Swait, &amp; Louviere, 2002)"},"properties":{"noteIndex":0},"schema":"https://github.com/citation-style-language/schema/raw/master/csl-citation.json"}</w:instrText>
      </w:r>
      <w:r w:rsidR="00B260CF" w:rsidRPr="0040120E">
        <w:rPr>
          <w:rFonts w:ascii="Times New Roman" w:hAnsi="Times New Roman" w:cs="Times New Roman"/>
          <w:sz w:val="24"/>
          <w:szCs w:val="24"/>
          <w:lang w:val="en-GB"/>
        </w:rPr>
        <w:fldChar w:fldCharType="separate"/>
      </w:r>
      <w:r w:rsidR="00B260CF" w:rsidRPr="0040120E">
        <w:rPr>
          <w:rFonts w:ascii="Times New Roman" w:hAnsi="Times New Roman" w:cs="Times New Roman"/>
          <w:noProof/>
          <w:sz w:val="24"/>
          <w:szCs w:val="24"/>
          <w:lang w:val="en-GB"/>
        </w:rPr>
        <w:t>(Erdem et al., 2002, p. 3)</w:t>
      </w:r>
      <w:r w:rsidR="00B260CF" w:rsidRPr="0040120E">
        <w:rPr>
          <w:rFonts w:ascii="Times New Roman" w:hAnsi="Times New Roman" w:cs="Times New Roman"/>
          <w:sz w:val="24"/>
          <w:szCs w:val="24"/>
          <w:lang w:val="en-GB"/>
        </w:rPr>
        <w:fldChar w:fldCharType="end"/>
      </w:r>
      <w:r w:rsidR="00B260CF" w:rsidRPr="0040120E">
        <w:rPr>
          <w:rFonts w:ascii="Times New Roman" w:hAnsi="Times New Roman" w:cs="Times New Roman"/>
          <w:sz w:val="24"/>
          <w:szCs w:val="24"/>
          <w:lang w:val="en-GB"/>
        </w:rPr>
        <w:t>. It has a strong temporal component and it is reasonable to expect brand heritage perception to influence brand credibility.</w:t>
      </w:r>
      <w:r w:rsidR="00B91ED0" w:rsidRPr="0040120E">
        <w:rPr>
          <w:rFonts w:ascii="Times New Roman" w:hAnsi="Times New Roman" w:cs="Times New Roman"/>
          <w:sz w:val="24"/>
          <w:szCs w:val="24"/>
          <w:lang w:val="en-GB"/>
        </w:rPr>
        <w:t xml:space="preserve"> </w:t>
      </w:r>
      <w:r w:rsidR="00B260CF" w:rsidRPr="0040120E">
        <w:rPr>
          <w:rFonts w:ascii="Times New Roman" w:hAnsi="Times New Roman" w:cs="Times New Roman"/>
          <w:sz w:val="24"/>
          <w:szCs w:val="24"/>
          <w:lang w:val="en-GB"/>
        </w:rPr>
        <w:t>We draw the causal relationship between brand heritage and personal nostalgia from the literature. Personal nostalgia is caused by temporal distance from an earlier period of one’s life</w:t>
      </w:r>
      <w:r w:rsidR="00067ECD" w:rsidRPr="0040120E">
        <w:rPr>
          <w:rFonts w:ascii="Times New Roman" w:hAnsi="Times New Roman" w:cs="Times New Roman"/>
          <w:sz w:val="24"/>
          <w:szCs w:val="24"/>
          <w:lang w:val="en-GB"/>
        </w:rPr>
        <w:t xml:space="preserve"> </w:t>
      </w:r>
      <w:r w:rsidR="00067ECD"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Baker","given":"SE","non-dropping-particle":"","parse-names":false,"suffix":""},{"dropping-particle":"","family":"Kennedy","given":"PF","non-dropping-particle":"","parse-names":false,"suffix":""}],"container-title":"NA - Advances in Consumer Research","id":"ITEM-1","issued":{"date-parts":[["1994"]]},"page":"169–174","title":"Death by nostalgia: A diagnosis of context-specific cases","type":"paper-conference"},"uris":["http://www.mendeley.com/documents/?uuid=1fef9f6e-5a83-4a31-8b56-95a755b796a6"]},{"id":"ITEM-2","itemData":{"DOI":"10.1037/0022-3514.91.5.975","ISBN":"9781604138795","ISSN":"00223514","PMID":"17059314","abstract":"Seven methodologically diverse studies addressed 3 fundamental questions about nostalgia. Studies 1 and 2 examined the content of nostalgic experiences. Descriptions of nostalgic experiences typically featured the self as a protagonist in interactions with close others (e.g., friends) or in momentous events (e.g., weddings). Also, the descriptions contained more expressions of positive than negative affect and often depicted the redemption of negative life scenes by subsequent triumphs. Studies 3 and 4 examined triggers of nostalgia and revealed that nostalgia occurs in response to negative mood and the discrete affective state of loneliness. Studies 5, 6, and 7 investigated the functional utility of nostalgia and established that nostalgia bolsters social bonds, increases positive self-regard, and generates positive affect. These findings demarcate key landmarks in the hitherto uncharted research domain of nostalgia.","author":[{"dropping-particle":"","family":"Wildschut","given":"Tim","non-dropping-particle":"","parse-names":false,"suffix":""},{"dropping-particle":"","family":"Sedikides","given":"Constantine","non-dropping-particle":"","parse-names":false,"suffix":""},{"dropping-particle":"","family":"Arndt","given":"Jamie","non-dropping-particle":"","parse-names":false,"suffix":""},{"dropping-particle":"","family":"Routledge","given":"Clay","non-dropping-particle":"","parse-names":false,"suffix":""}],"container-title":"Journal of Personality and Social Psychology","id":"ITEM-2","issue":"5","issued":{"date-parts":[["2006"]]},"page":"975-993","title":"Nostalgia: Content, triggers, functions","type":"article-journal","volume":"91"},"uris":["http://www.mendeley.com/documents/?uuid=816bfac7-4969-409e-8174-601fcf20cdfb"]}],"mendeley":{"formattedCitation":"(Baker &amp; Kennedy, 1994; Wildschut, Sedikides, Arndt, &amp; Routledge, 2006)","plainTextFormattedCitation":"(Baker &amp; Kennedy, 1994; Wildschut, Sedikides, Arndt, &amp; Routledge, 2006)","previouslyFormattedCitation":"(Baker &amp; Kennedy, 1994; Wildschut, Sedikides, Arndt, &amp; Routledge, 2006)"},"properties":{"noteIndex":0},"schema":"https://github.com/citation-style-language/schema/raw/master/csl-citation.json"}</w:instrText>
      </w:r>
      <w:r w:rsidR="00067ECD"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(Baker &amp; Kennedy, 1994; Wildschut, Sedikides, Arndt, &amp; Routledge, 2006)</w:t>
      </w:r>
      <w:r w:rsidR="00067ECD" w:rsidRPr="0040120E">
        <w:rPr>
          <w:rFonts w:ascii="Times New Roman" w:hAnsi="Times New Roman" w:cs="Times New Roman"/>
          <w:sz w:val="24"/>
          <w:szCs w:val="24"/>
          <w:lang w:val="en-GB"/>
        </w:rPr>
        <w:fldChar w:fldCharType="end"/>
      </w:r>
      <w:r w:rsidR="00B260CF" w:rsidRPr="0040120E">
        <w:rPr>
          <w:rFonts w:ascii="Times New Roman" w:hAnsi="Times New Roman" w:cs="Times New Roman"/>
          <w:sz w:val="24"/>
          <w:szCs w:val="24"/>
          <w:lang w:val="en-GB"/>
        </w:rPr>
        <w:t>. A temporally distant branding such as the use of brand heritage is likely to cause more nostalgia than a branding connecting the brand with the here and now. In addition, recent research suggest</w:t>
      </w:r>
      <w:r w:rsidR="00CE297B" w:rsidRPr="0040120E">
        <w:rPr>
          <w:rFonts w:ascii="Times New Roman" w:hAnsi="Times New Roman" w:cs="Times New Roman"/>
          <w:sz w:val="24"/>
          <w:szCs w:val="24"/>
          <w:lang w:val="en-GB"/>
        </w:rPr>
        <w:t>s</w:t>
      </w:r>
      <w:r w:rsidR="00B260CF" w:rsidRPr="0040120E">
        <w:rPr>
          <w:rFonts w:ascii="Times New Roman" w:hAnsi="Times New Roman" w:cs="Times New Roman"/>
          <w:sz w:val="24"/>
          <w:szCs w:val="24"/>
          <w:lang w:val="en-GB"/>
        </w:rPr>
        <w:t xml:space="preserve"> that brands whose adverts are associated with the past generate a process of reconstructing nostalgic memories </w:t>
      </w:r>
      <w:r w:rsidR="00B260CF"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{"citationItems":[{"id":"ITEM-1","itemData":{"DOI":"10.1080/00913367.2013.853633","ISBN":"1070011120058","ISSN":"00913367","abstract":"Employing different experimental priming procedures and advertising treatments across two studies, we examine the moderating role of consumer affective state on individuals responses to nostalgic and nonnostalgic advertising. Consistent with hypothesized expectations, our findings indicate that when consumers are in a positive affective state they respond more favorably (i.e., report more positive memories and favorable brand-related responses) to nostalgic (versus nonnostalgic) ads. In contrast, one's negative affective state appears to play a limited role in affecting responses between ad types. The theoretical implications of these findings as they relate to nostalgic advertising effects are discussed, and recommendations for advertising practitioners are offered. © 2014 American Academy of Advertising.","author":[{"dropping-particle":"","family":"Zhao","given":"Guangzhi","non-dropping-particle":"","parse-names":false,"suffix":""},{"dropping-particle":"","family":"Muehling","given":"Darrel D.","non-dropping-particle":"","parse-names":false,"suffix":""},{"dropping-particle":"","family":"Kareklas","given":"Ioannis","non-dropping-particle":"","parse-names":false,"suffix":""}],"container-title":"Journal of Advertising","id":"ITEM-1","issue":"3","issued":{"date-parts":[["2014"]]},"page":"244-255","title":"Remembering the good old days: The Moderating Role of Consumer Affective State on the Effectiveness of Nostalgic Advertising","type":"article-journal","volume":"43"},"uris":["http://www.mendeley.com/documents/?uuid=808149fe-74a2-4823-a821-4849336c12ed"]}],"mendeley":{"formattedCitation":"(Zhao, Muehling, &amp; Kareklas, 2014)","plainTextFormattedCitation":"(Zhao, Muehling, &amp; Kareklas, 2014)","previouslyFormattedCitation":"(Zhao, Muehling, &amp; Kareklas, 2014)"},"properties":{"noteIndex":0},"schema":"https://github.com/citation-style-language/schema/raw/master/csl-citation.json"}</w:instrText>
      </w:r>
      <w:r w:rsidR="00B260CF"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(Zhao, Muehling, &amp; Kareklas, 2014)</w:t>
      </w:r>
      <w:r w:rsidR="00B260CF" w:rsidRPr="0040120E">
        <w:rPr>
          <w:rFonts w:ascii="Times New Roman" w:hAnsi="Times New Roman" w:cs="Times New Roman"/>
          <w:sz w:val="24"/>
          <w:szCs w:val="24"/>
          <w:lang w:val="en-GB"/>
        </w:rPr>
        <w:fldChar w:fldCharType="end"/>
      </w:r>
      <w:r w:rsidR="00B260CF" w:rsidRPr="0040120E">
        <w:rPr>
          <w:rFonts w:ascii="Times New Roman" w:hAnsi="Times New Roman" w:cs="Times New Roman"/>
          <w:sz w:val="24"/>
          <w:szCs w:val="24"/>
          <w:lang w:val="en-GB"/>
        </w:rPr>
        <w:t>.</w:t>
      </w:r>
    </w:p>
    <w:p w14:paraId="5DA1CD6F" w14:textId="1FDEE5AE" w:rsidR="002D7072" w:rsidRPr="0040120E" w:rsidRDefault="00AA06FA" w:rsidP="002D7072">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The </w:t>
      </w:r>
      <w:r w:rsidR="00460439" w:rsidRPr="0040120E">
        <w:rPr>
          <w:rFonts w:ascii="Times New Roman" w:hAnsi="Times New Roman" w:cs="Times New Roman"/>
          <w:sz w:val="24"/>
          <w:szCs w:val="24"/>
          <w:lang w:val="en-GB"/>
        </w:rPr>
        <w:t xml:space="preserve">causal </w:t>
      </w:r>
      <w:r w:rsidRPr="0040120E">
        <w:rPr>
          <w:rFonts w:ascii="Times New Roman" w:hAnsi="Times New Roman" w:cs="Times New Roman"/>
          <w:sz w:val="24"/>
          <w:szCs w:val="24"/>
          <w:lang w:val="en-GB"/>
        </w:rPr>
        <w:t>model has good fit indices (</w:t>
      </w:r>
      <w:r w:rsidR="00E1342A" w:rsidRPr="0040120E">
        <w:rPr>
          <w:rFonts w:ascii="Times New Roman" w:hAnsi="Times New Roman" w:cs="Times New Roman"/>
          <w:sz w:val="24"/>
          <w:szCs w:val="24"/>
          <w:lang w:val="en-GB"/>
        </w:rPr>
        <w:t>χ²=485.5;df=147; χ</w:t>
      </w:r>
      <w:r w:rsidRPr="0040120E">
        <w:rPr>
          <w:rFonts w:ascii="Times New Roman" w:hAnsi="Times New Roman" w:cs="Times New Roman"/>
          <w:sz w:val="24"/>
          <w:szCs w:val="24"/>
          <w:lang w:val="en-GB"/>
        </w:rPr>
        <w:t>²/df=3.303; TLI=.971; CFI=.975; RMSEA=.048</w:t>
      </w:r>
      <w:r w:rsidR="00D95B85" w:rsidRPr="0040120E">
        <w:rPr>
          <w:rFonts w:ascii="Times New Roman" w:hAnsi="Times New Roman" w:cs="Times New Roman"/>
          <w:sz w:val="24"/>
          <w:szCs w:val="24"/>
          <w:lang w:val="en-GB"/>
        </w:rPr>
        <w:t>). A bootstrap analysis (5</w:t>
      </w:r>
      <w:r w:rsidRPr="0040120E">
        <w:rPr>
          <w:rFonts w:ascii="Times New Roman" w:hAnsi="Times New Roman" w:cs="Times New Roman"/>
          <w:sz w:val="24"/>
          <w:szCs w:val="24"/>
          <w:lang w:val="en-GB"/>
        </w:rPr>
        <w:t xml:space="preserve">000 samples, confidence interval 95%) confirms </w:t>
      </w:r>
      <w:r w:rsidR="00CE297B" w:rsidRPr="0040120E">
        <w:rPr>
          <w:rFonts w:ascii="Times New Roman" w:hAnsi="Times New Roman" w:cs="Times New Roman"/>
          <w:sz w:val="24"/>
          <w:szCs w:val="24"/>
          <w:lang w:val="en-GB"/>
        </w:rPr>
        <w:t xml:space="preserve">that </w:t>
      </w:r>
      <w:r w:rsidRPr="0040120E">
        <w:rPr>
          <w:rFonts w:ascii="Times New Roman" w:hAnsi="Times New Roman" w:cs="Times New Roman"/>
          <w:sz w:val="24"/>
          <w:szCs w:val="24"/>
          <w:lang w:val="en-GB"/>
        </w:rPr>
        <w:t>brand heritage has a signific</w:t>
      </w:r>
      <w:r w:rsidR="000C250C" w:rsidRPr="0040120E">
        <w:rPr>
          <w:rFonts w:ascii="Times New Roman" w:hAnsi="Times New Roman" w:cs="Times New Roman"/>
          <w:sz w:val="24"/>
          <w:szCs w:val="24"/>
          <w:lang w:val="en-GB"/>
        </w:rPr>
        <w:t>ant</w:t>
      </w:r>
      <w:r w:rsidR="00B77210" w:rsidRPr="0040120E">
        <w:rPr>
          <w:rFonts w:ascii="Times New Roman" w:hAnsi="Times New Roman" w:cs="Times New Roman"/>
          <w:sz w:val="24"/>
          <w:szCs w:val="24"/>
          <w:lang w:val="en-GB"/>
        </w:rPr>
        <w:t xml:space="preserve"> and positive</w:t>
      </w:r>
      <w:r w:rsidR="000C250C" w:rsidRPr="0040120E">
        <w:rPr>
          <w:rFonts w:ascii="Times New Roman" w:hAnsi="Times New Roman" w:cs="Times New Roman"/>
          <w:sz w:val="24"/>
          <w:szCs w:val="24"/>
          <w:lang w:val="en-GB"/>
        </w:rPr>
        <w:t xml:space="preserve"> effect on brand credibility</w:t>
      </w:r>
      <w:r w:rsidRPr="0040120E">
        <w:rPr>
          <w:rFonts w:ascii="Times New Roman" w:hAnsi="Times New Roman" w:cs="Times New Roman"/>
          <w:sz w:val="24"/>
          <w:szCs w:val="24"/>
          <w:lang w:val="en-GB"/>
        </w:rPr>
        <w:t xml:space="preserve"> and on personal </w:t>
      </w:r>
      <w:r w:rsidRPr="0040120E">
        <w:rPr>
          <w:rFonts w:ascii="Times New Roman" w:hAnsi="Times New Roman" w:cs="Times New Roman"/>
          <w:sz w:val="24"/>
          <w:szCs w:val="24"/>
          <w:lang w:val="en-GB"/>
        </w:rPr>
        <w:lastRenderedPageBreak/>
        <w:t xml:space="preserve">nostalgia </w:t>
      </w:r>
      <w:r w:rsidR="005C15B3" w:rsidRPr="0040120E">
        <w:rPr>
          <w:rFonts w:ascii="Times New Roman" w:hAnsi="Times New Roman" w:cs="Times New Roman"/>
          <w:sz w:val="24"/>
          <w:szCs w:val="24"/>
          <w:lang w:val="en-GB"/>
        </w:rPr>
        <w:t>(Figure 4</w:t>
      </w:r>
      <w:r w:rsidR="000C250C"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t>
      </w:r>
      <w:r w:rsidR="00E1342A" w:rsidRPr="0040120E">
        <w:rPr>
          <w:rFonts w:ascii="Times New Roman" w:hAnsi="Times New Roman" w:cs="Times New Roman"/>
          <w:sz w:val="24"/>
          <w:szCs w:val="24"/>
          <w:lang w:val="en-GB"/>
        </w:rPr>
        <w:t xml:space="preserve">Given the rather high </w:t>
      </w:r>
      <w:r w:rsidR="00AA5D01" w:rsidRPr="0040120E">
        <w:rPr>
          <w:rFonts w:ascii="Times New Roman" w:hAnsi="Times New Roman" w:cs="Times New Roman"/>
          <w:sz w:val="24"/>
          <w:szCs w:val="24"/>
          <w:lang w:val="en-GB"/>
        </w:rPr>
        <w:t xml:space="preserve">loading of </w:t>
      </w:r>
      <w:r w:rsidR="00CE297B" w:rsidRPr="0040120E">
        <w:rPr>
          <w:rFonts w:ascii="Times New Roman" w:hAnsi="Times New Roman" w:cs="Times New Roman"/>
          <w:sz w:val="24"/>
          <w:szCs w:val="24"/>
          <w:lang w:val="en-GB"/>
        </w:rPr>
        <w:t>b</w:t>
      </w:r>
      <w:r w:rsidR="00AA5D01" w:rsidRPr="0040120E">
        <w:rPr>
          <w:rFonts w:ascii="Times New Roman" w:hAnsi="Times New Roman" w:cs="Times New Roman"/>
          <w:sz w:val="24"/>
          <w:szCs w:val="24"/>
          <w:lang w:val="en-GB"/>
        </w:rPr>
        <w:t xml:space="preserve">rand heritage on brand credibility, we perform another test of discriminant analysis. We compute the heterotrait-monotrait ratio of correlations </w:t>
      </w:r>
      <w:r w:rsidR="007510C8" w:rsidRPr="0040120E">
        <w:rPr>
          <w:rFonts w:ascii="Times New Roman" w:hAnsi="Times New Roman" w:cs="Times New Roman"/>
          <w:sz w:val="24"/>
          <w:szCs w:val="24"/>
          <w:lang w:val="en-GB"/>
        </w:rPr>
        <w:t xml:space="preserve">(HTMT) </w:t>
      </w:r>
      <w:r w:rsidR="00AA5D01" w:rsidRPr="0040120E">
        <w:rPr>
          <w:rFonts w:ascii="Times New Roman" w:hAnsi="Times New Roman" w:cs="Times New Roman"/>
          <w:sz w:val="24"/>
          <w:szCs w:val="24"/>
          <w:lang w:val="en-GB"/>
        </w:rPr>
        <w:t xml:space="preserve">between the two constructs and obtain the score of 0.77, below the recommended threshold of 0.85 </w:t>
      </w:r>
      <w:r w:rsidR="00AA5D01"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{"citationItems":[{"id":"ITEM-1","itemData":{"DOI":"10.1007/s11747-014-0403-8","ISBN":"1174701404","ISSN":"00920703","abstract":"Discriminant validity assessment has become a generally accepted prerequisite for analyzing relationships between latent variables. For variance-based structural equa- tion modeling, such as partial least squares, the Fornell- Larcker criterion and the examination of cross-loadings are the dominant approaches for evaluating discriminant validity. By means of a simulation study, we show that these ap- proaches do not reliably detect the lack of discriminant valid- ity in common research situations. We therefore propose an alternative approach, based on the multitrait-multimethod ma- trix, to assess discriminant validity: the heterotrait-monotrait ratio of correlations.We demonstrate its superior performance by means of a Monte Carlo simulation study, in which we compare the new approach to the Fornell-Larcker criterion and the assessment of (partial) cross-loadings. Finally, we provide guidelines on how to handle discriminant validity issues in variance-based structural equation modeling","author":[{"dropping-particle":"","family":"Henseler","given":"Jörg","non-dropping-particle":"","parse-names":false,"suffix":""},{"dropping-particle":"","family":"Ringle","given":"Christian M.","non-dropping-particle":"","parse-names":false,"suffix":""},{"dropping-particle":"","family":"Sarstedt","given":"Marko","non-dropping-particle":"","parse-names":false,"suffix":""}],"container-title":"Journal of the Academy of Marketing Science","id":"ITEM-1","issue":"1","issued":{"date-parts":[["2015"]]},"page":"115-135","title":"A new criterion for assessing discriminant validity in variance-based structural equation modeling","type":"article-journal","volume":"43"},"uris":["http://www.mendeley.com/documents/?uuid=9bbadef0-2031-4916-998f-3a73e9385f30"]}],"mendeley":{"formattedCitation":"(Henseler, Ringle, &amp; Sarstedt, 2015)","plainTextFormattedCitation":"(Henseler, Ringle, &amp; Sarstedt, 2015)","previouslyFormattedCitation":"(Henseler, Ringle, &amp; Sarstedt, 2015)"},"properties":{"noteIndex":0},"schema":"https://github.com/citation-style-language/schema/raw/master/csl-citation.json"}</w:instrText>
      </w:r>
      <w:r w:rsidR="00AA5D01"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(Henseler, Ringle, &amp; Sarstedt, 2015)</w:t>
      </w:r>
      <w:r w:rsidR="00AA5D01" w:rsidRPr="0040120E">
        <w:rPr>
          <w:rFonts w:ascii="Times New Roman" w:hAnsi="Times New Roman" w:cs="Times New Roman"/>
          <w:sz w:val="24"/>
          <w:szCs w:val="24"/>
          <w:lang w:val="en-GB"/>
        </w:rPr>
        <w:fldChar w:fldCharType="end"/>
      </w:r>
      <w:r w:rsidR="00AA5D01" w:rsidRPr="0040120E">
        <w:rPr>
          <w:rFonts w:ascii="Times New Roman" w:hAnsi="Times New Roman" w:cs="Times New Roman"/>
          <w:sz w:val="24"/>
          <w:szCs w:val="24"/>
          <w:lang w:val="en-GB"/>
        </w:rPr>
        <w:t xml:space="preserve">. </w:t>
      </w:r>
      <w:r w:rsidR="00A21FA2" w:rsidRPr="0040120E">
        <w:rPr>
          <w:rFonts w:ascii="Times New Roman" w:hAnsi="Times New Roman" w:cs="Times New Roman"/>
          <w:sz w:val="24"/>
          <w:szCs w:val="24"/>
          <w:lang w:val="en-GB"/>
        </w:rPr>
        <w:t xml:space="preserve">The last analysis performed in </w:t>
      </w:r>
      <w:r w:rsidR="00CE297B" w:rsidRPr="0040120E">
        <w:rPr>
          <w:rFonts w:ascii="Times New Roman" w:hAnsi="Times New Roman" w:cs="Times New Roman"/>
          <w:sz w:val="24"/>
          <w:szCs w:val="24"/>
          <w:lang w:val="en-GB"/>
        </w:rPr>
        <w:t>S</w:t>
      </w:r>
      <w:r w:rsidR="00A21FA2" w:rsidRPr="0040120E">
        <w:rPr>
          <w:rFonts w:ascii="Times New Roman" w:hAnsi="Times New Roman" w:cs="Times New Roman"/>
          <w:sz w:val="24"/>
          <w:szCs w:val="24"/>
          <w:lang w:val="en-GB"/>
        </w:rPr>
        <w:t xml:space="preserve">tudy 3 aims to check the existence of brand heritage as a second-order factor in a nomological network </w:t>
      </w:r>
      <w:r w:rsidR="00A21FA2"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{"citationItems":[{"id":"ITEM-1","itemData":{"DOI":"Editorial","ISBN":"02767783","ISSN":"02767783","PMID":"345479","abstract":"In the past few years, the IS field has seen a substantial increase in the number of submissions and publications using structural equation modeling (SEM) techniques. Part of the reason may be the increase in software packages to perform such covariance-based (e.g., LISREL, EQS, AMOS, SEPATH, RAMONA, MX, and CALLS) and component-based (e.g., PLS-PC, PLS-Graph) analysis. Viewed as a coupling of two traditions--an econometric perspective focusing on prediction and a psychometric emphasis that models concepts as latent (unobserved) variables that are indirectly inferred from multiple observed measures (alternately termed as indicators or manifest variables)--SEM has allowed social scientists to perform path analytic modeling with latent variables (LVs), which in turn has led some to describe this approach as an example of 'a second generation of multivariate analysis.' (Fornell 1987, p. 408). [ABSTRACT FROM AUTHOR]","author":[{"dropping-particle":"","family":"Chin","given":"Wynne W.","non-dropping-particle":"","parse-names":false,"suffix":""}],"container-title":"MIS Quarterly","id":"ITEM-1","issue":"March","issued":{"date-parts":[["1998"]]},"page":"vii-xvi","title":"Issues and Opinion on Structural Equation Modeling","type":"article-journal","volume":"22"},"uris":["http://www.mendeley.com/documents/?uuid=3fd79804-78b7-448c-93a1-4c64293cb41e","http://www.mendeley.com/documents/?uuid=27d50e99-4b4a-4072-83fe-0f3a44c52880"]}],"mendeley":{"formattedCitation":"(Chin, 1998)","plainTextFormattedCitation":"(Chin, 1998)","previouslyFormattedCitation":"(Chin, 1998)"},"properties":{"noteIndex":0},"schema":"https://github.com/citation-style-language/schema/raw/master/csl-citation.json"}</w:instrText>
      </w:r>
      <w:r w:rsidR="00A21FA2" w:rsidRPr="0040120E">
        <w:rPr>
          <w:rFonts w:ascii="Times New Roman" w:hAnsi="Times New Roman" w:cs="Times New Roman"/>
          <w:sz w:val="24"/>
          <w:szCs w:val="24"/>
          <w:lang w:val="en-GB"/>
        </w:rPr>
        <w:fldChar w:fldCharType="separate"/>
      </w:r>
      <w:r w:rsidR="00A21FA2" w:rsidRPr="0040120E">
        <w:rPr>
          <w:rFonts w:ascii="Times New Roman" w:hAnsi="Times New Roman" w:cs="Times New Roman"/>
          <w:noProof/>
          <w:sz w:val="24"/>
          <w:szCs w:val="24"/>
          <w:lang w:val="en-GB"/>
        </w:rPr>
        <w:t>(Chin, 1998)</w:t>
      </w:r>
      <w:r w:rsidR="00A21FA2" w:rsidRPr="0040120E">
        <w:rPr>
          <w:rFonts w:ascii="Times New Roman" w:hAnsi="Times New Roman" w:cs="Times New Roman"/>
          <w:sz w:val="24"/>
          <w:szCs w:val="24"/>
          <w:lang w:val="en-GB"/>
        </w:rPr>
        <w:fldChar w:fldCharType="end"/>
      </w:r>
      <w:r w:rsidR="00A21FA2" w:rsidRPr="0040120E">
        <w:rPr>
          <w:rFonts w:ascii="Times New Roman" w:hAnsi="Times New Roman" w:cs="Times New Roman"/>
          <w:sz w:val="24"/>
          <w:szCs w:val="24"/>
          <w:lang w:val="en-GB"/>
        </w:rPr>
        <w:t>. We specify a rival model with the dimensions of stability, longevity and adaptability directly related to credibility and personal nostalgia. This model shows poorer indices of fit compared to the solution with brand heritage as a second-order factor (Χ²/df=8.940; GFI=.882; AGFI=.846; TLI=.900; CFI=.915; RMSEA=.048).</w:t>
      </w:r>
    </w:p>
    <w:p w14:paraId="23530A4C" w14:textId="77777777" w:rsidR="002D7072" w:rsidRPr="0040120E" w:rsidRDefault="002D7072" w:rsidP="002D7072">
      <w:pPr>
        <w:spacing w:line="480" w:lineRule="auto"/>
        <w:ind w:firstLine="360"/>
        <w:jc w:val="center"/>
        <w:rPr>
          <w:rFonts w:ascii="Times New Roman" w:hAnsi="Times New Roman" w:cs="Times New Roman"/>
          <w:sz w:val="24"/>
          <w:szCs w:val="24"/>
          <w:lang w:val="en-US"/>
        </w:rPr>
      </w:pPr>
      <w:r w:rsidRPr="0040120E">
        <w:rPr>
          <w:rFonts w:ascii="Times New Roman" w:hAnsi="Times New Roman" w:cs="Times New Roman"/>
          <w:sz w:val="24"/>
          <w:szCs w:val="24"/>
          <w:lang w:val="en-US"/>
        </w:rPr>
        <w:t>Figure 4 - Causal model</w:t>
      </w:r>
      <w:r w:rsidRPr="0040120E">
        <w:rPr>
          <w:rFonts w:ascii="Times New Roman" w:hAnsi="Times New Roman" w:cs="Times New Roman"/>
          <w:noProof/>
          <w:sz w:val="24"/>
          <w:szCs w:val="24"/>
          <w:lang w:val="en-GB" w:eastAsia="en-GB"/>
        </w:rPr>
        <w:drawing>
          <wp:inline distT="0" distB="0" distL="0" distR="0" wp14:anchorId="02032E9B" wp14:editId="4F1F9A0B">
            <wp:extent cx="5447030" cy="240815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5121" cy="2442681"/>
                    </a:xfrm>
                    <a:prstGeom prst="rect">
                      <a:avLst/>
                    </a:prstGeom>
                    <a:noFill/>
                  </pic:spPr>
                </pic:pic>
              </a:graphicData>
            </a:graphic>
          </wp:inline>
        </w:drawing>
      </w:r>
    </w:p>
    <w:p w14:paraId="06DDB205" w14:textId="37A92360" w:rsidR="002D7072" w:rsidRPr="0040120E" w:rsidRDefault="002D7072" w:rsidP="002D7072">
      <w:pPr>
        <w:rPr>
          <w:lang w:val="en-US"/>
        </w:rPr>
      </w:pPr>
    </w:p>
    <w:p w14:paraId="57921FC6" w14:textId="3963E65E" w:rsidR="00B77210" w:rsidRPr="0040120E" w:rsidRDefault="00A21FA2"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T</w:t>
      </w:r>
      <w:r w:rsidR="00B77210" w:rsidRPr="0040120E">
        <w:rPr>
          <w:rFonts w:ascii="Times New Roman" w:hAnsi="Times New Roman" w:cs="Times New Roman"/>
          <w:sz w:val="24"/>
          <w:szCs w:val="24"/>
          <w:lang w:val="en-GB"/>
        </w:rPr>
        <w:t>his third study confirms the reliability of the</w:t>
      </w:r>
      <w:r w:rsidRPr="0040120E">
        <w:rPr>
          <w:rFonts w:ascii="Times New Roman" w:hAnsi="Times New Roman" w:cs="Times New Roman"/>
          <w:sz w:val="24"/>
          <w:szCs w:val="24"/>
          <w:lang w:val="en-GB"/>
        </w:rPr>
        <w:t xml:space="preserve"> tri-dimensional</w:t>
      </w:r>
      <w:r w:rsidR="00B77210" w:rsidRPr="0040120E">
        <w:rPr>
          <w:rFonts w:ascii="Times New Roman" w:hAnsi="Times New Roman" w:cs="Times New Roman"/>
          <w:sz w:val="24"/>
          <w:szCs w:val="24"/>
          <w:lang w:val="en-GB"/>
        </w:rPr>
        <w:t xml:space="preserve"> scale</w:t>
      </w:r>
      <w:r w:rsidR="00CE297B" w:rsidRPr="0040120E">
        <w:rPr>
          <w:rFonts w:ascii="Times New Roman" w:hAnsi="Times New Roman" w:cs="Times New Roman"/>
          <w:sz w:val="24"/>
          <w:szCs w:val="24"/>
          <w:lang w:val="en-GB"/>
        </w:rPr>
        <w:t>,</w:t>
      </w:r>
      <w:r w:rsidR="00B77210" w:rsidRPr="0040120E">
        <w:rPr>
          <w:rFonts w:ascii="Times New Roman" w:hAnsi="Times New Roman" w:cs="Times New Roman"/>
          <w:sz w:val="24"/>
          <w:szCs w:val="24"/>
          <w:lang w:val="en-GB"/>
        </w:rPr>
        <w:t xml:space="preserve"> as well as its discriminant and predictive validity from similar concepts</w:t>
      </w:r>
      <w:r w:rsidR="00CE297B" w:rsidRPr="0040120E">
        <w:rPr>
          <w:rFonts w:ascii="Times New Roman" w:hAnsi="Times New Roman" w:cs="Times New Roman"/>
          <w:sz w:val="24"/>
          <w:szCs w:val="24"/>
          <w:lang w:val="en-GB"/>
        </w:rPr>
        <w:t>,</w:t>
      </w:r>
      <w:r w:rsidR="00B77210" w:rsidRPr="0040120E">
        <w:rPr>
          <w:rFonts w:ascii="Times New Roman" w:hAnsi="Times New Roman" w:cs="Times New Roman"/>
          <w:sz w:val="24"/>
          <w:szCs w:val="24"/>
          <w:lang w:val="en-GB"/>
        </w:rPr>
        <w:t xml:space="preserve"> such as the perceptions of brand credibility and the feeling</w:t>
      </w:r>
      <w:r w:rsidR="00CE297B" w:rsidRPr="0040120E">
        <w:rPr>
          <w:rFonts w:ascii="Times New Roman" w:hAnsi="Times New Roman" w:cs="Times New Roman"/>
          <w:sz w:val="24"/>
          <w:szCs w:val="24"/>
          <w:lang w:val="en-GB"/>
        </w:rPr>
        <w:t>s</w:t>
      </w:r>
      <w:r w:rsidR="00B77210" w:rsidRPr="0040120E">
        <w:rPr>
          <w:rFonts w:ascii="Times New Roman" w:hAnsi="Times New Roman" w:cs="Times New Roman"/>
          <w:sz w:val="24"/>
          <w:szCs w:val="24"/>
          <w:lang w:val="en-GB"/>
        </w:rPr>
        <w:t xml:space="preserve"> of personal nostalgia. </w:t>
      </w:r>
      <w:r w:rsidRPr="0040120E">
        <w:rPr>
          <w:rFonts w:ascii="Times New Roman" w:hAnsi="Times New Roman" w:cs="Times New Roman"/>
          <w:sz w:val="24"/>
          <w:szCs w:val="24"/>
          <w:lang w:val="en-GB"/>
        </w:rPr>
        <w:t>It brings empirical evidence for our suggested definition</w:t>
      </w:r>
      <w:r w:rsidR="00CE297B"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w:t>
      </w:r>
      <w:r w:rsidR="00CE297B" w:rsidRPr="0040120E">
        <w:rPr>
          <w:rFonts w:ascii="Times New Roman" w:hAnsi="Times New Roman" w:cs="Times New Roman"/>
          <w:sz w:val="24"/>
          <w:szCs w:val="24"/>
          <w:lang w:val="en-GB"/>
        </w:rPr>
        <w:t xml:space="preserve">which </w:t>
      </w:r>
      <w:r w:rsidRPr="0040120E">
        <w:rPr>
          <w:rFonts w:ascii="Times New Roman" w:hAnsi="Times New Roman" w:cs="Times New Roman"/>
          <w:sz w:val="24"/>
          <w:szCs w:val="24"/>
          <w:lang w:val="en-GB"/>
        </w:rPr>
        <w:t>focuses on the perception of change and continuities in brand management. This phenomenon that we label brand heritage is shown to trigger cognitive and affective reactions.</w:t>
      </w:r>
    </w:p>
    <w:p w14:paraId="0D557EDA" w14:textId="644E3695" w:rsidR="000615D3" w:rsidRPr="0040120E" w:rsidRDefault="00E2048B" w:rsidP="00E23412">
      <w:pPr>
        <w:spacing w:line="480" w:lineRule="auto"/>
        <w:rPr>
          <w:rFonts w:ascii="Times New Roman" w:hAnsi="Times New Roman" w:cs="Times New Roman"/>
          <w:b/>
          <w:i/>
          <w:sz w:val="24"/>
          <w:szCs w:val="24"/>
          <w:lang w:val="en-GB"/>
        </w:rPr>
      </w:pPr>
      <w:r w:rsidRPr="0040120E">
        <w:rPr>
          <w:rFonts w:ascii="Times New Roman" w:hAnsi="Times New Roman" w:cs="Times New Roman"/>
          <w:b/>
          <w:i/>
          <w:sz w:val="24"/>
          <w:szCs w:val="24"/>
          <w:lang w:val="en-GB"/>
        </w:rPr>
        <w:lastRenderedPageBreak/>
        <w:t xml:space="preserve">Study 4: </w:t>
      </w:r>
      <w:r w:rsidR="00D95370" w:rsidRPr="0040120E">
        <w:rPr>
          <w:rFonts w:ascii="Times New Roman" w:hAnsi="Times New Roman" w:cs="Times New Roman"/>
          <w:b/>
          <w:i/>
          <w:sz w:val="24"/>
          <w:szCs w:val="24"/>
          <w:lang w:val="en-GB"/>
        </w:rPr>
        <w:t>Retest</w:t>
      </w:r>
      <w:r w:rsidR="00AA291B" w:rsidRPr="0040120E">
        <w:rPr>
          <w:rFonts w:ascii="Times New Roman" w:hAnsi="Times New Roman" w:cs="Times New Roman"/>
          <w:b/>
          <w:i/>
          <w:sz w:val="24"/>
          <w:szCs w:val="24"/>
          <w:lang w:val="en-GB"/>
        </w:rPr>
        <w:t>s</w:t>
      </w:r>
      <w:r w:rsidR="00D95370" w:rsidRPr="0040120E">
        <w:rPr>
          <w:rFonts w:ascii="Times New Roman" w:hAnsi="Times New Roman" w:cs="Times New Roman"/>
          <w:b/>
          <w:i/>
          <w:sz w:val="24"/>
          <w:szCs w:val="24"/>
          <w:lang w:val="en-GB"/>
        </w:rPr>
        <w:t xml:space="preserve"> and </w:t>
      </w:r>
      <w:r w:rsidR="008F38DD" w:rsidRPr="0040120E">
        <w:rPr>
          <w:rFonts w:ascii="Times New Roman" w:hAnsi="Times New Roman" w:cs="Times New Roman"/>
          <w:b/>
          <w:i/>
          <w:sz w:val="24"/>
          <w:szCs w:val="24"/>
          <w:lang w:val="en-GB"/>
        </w:rPr>
        <w:t>K</w:t>
      </w:r>
      <w:r w:rsidR="00D95370" w:rsidRPr="0040120E">
        <w:rPr>
          <w:rFonts w:ascii="Times New Roman" w:hAnsi="Times New Roman" w:cs="Times New Roman"/>
          <w:b/>
          <w:i/>
          <w:sz w:val="24"/>
          <w:szCs w:val="24"/>
          <w:lang w:val="en-GB"/>
        </w:rPr>
        <w:t xml:space="preserve">nown-group </w:t>
      </w:r>
      <w:r w:rsidR="008F38DD" w:rsidRPr="0040120E">
        <w:rPr>
          <w:rFonts w:ascii="Times New Roman" w:hAnsi="Times New Roman" w:cs="Times New Roman"/>
          <w:b/>
          <w:i/>
          <w:sz w:val="24"/>
          <w:szCs w:val="24"/>
          <w:lang w:val="en-GB"/>
        </w:rPr>
        <w:t>V</w:t>
      </w:r>
      <w:r w:rsidR="00D95370" w:rsidRPr="0040120E">
        <w:rPr>
          <w:rFonts w:ascii="Times New Roman" w:hAnsi="Times New Roman" w:cs="Times New Roman"/>
          <w:b/>
          <w:i/>
          <w:sz w:val="24"/>
          <w:szCs w:val="24"/>
          <w:lang w:val="en-GB"/>
        </w:rPr>
        <w:t>alidity</w:t>
      </w:r>
    </w:p>
    <w:p w14:paraId="2EB17A3E" w14:textId="39E7C248" w:rsidR="00EE3BC4" w:rsidRPr="0040120E" w:rsidRDefault="00D95370"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The fourth</w:t>
      </w:r>
      <w:r w:rsidR="00B91ED0" w:rsidRPr="0040120E">
        <w:rPr>
          <w:rFonts w:ascii="Times New Roman" w:hAnsi="Times New Roman" w:cs="Times New Roman"/>
          <w:sz w:val="24"/>
          <w:szCs w:val="24"/>
          <w:lang w:val="en-GB"/>
        </w:rPr>
        <w:t xml:space="preserve"> and last</w:t>
      </w:r>
      <w:r w:rsidRPr="0040120E">
        <w:rPr>
          <w:rFonts w:ascii="Times New Roman" w:hAnsi="Times New Roman" w:cs="Times New Roman"/>
          <w:sz w:val="24"/>
          <w:szCs w:val="24"/>
          <w:lang w:val="en-GB"/>
        </w:rPr>
        <w:t xml:space="preserve"> study aims to </w:t>
      </w:r>
      <w:r w:rsidR="00AA291B" w:rsidRPr="0040120E">
        <w:rPr>
          <w:rFonts w:ascii="Times New Roman" w:hAnsi="Times New Roman" w:cs="Times New Roman"/>
          <w:sz w:val="24"/>
          <w:szCs w:val="24"/>
          <w:lang w:val="en-GB"/>
        </w:rPr>
        <w:t xml:space="preserve">retest and </w:t>
      </w:r>
      <w:r w:rsidRPr="0040120E">
        <w:rPr>
          <w:rFonts w:ascii="Times New Roman" w:hAnsi="Times New Roman" w:cs="Times New Roman"/>
          <w:sz w:val="24"/>
          <w:szCs w:val="24"/>
          <w:lang w:val="en-GB"/>
        </w:rPr>
        <w:t xml:space="preserve">validate the scale in other product categories than food, </w:t>
      </w:r>
      <w:r w:rsidR="007510C8" w:rsidRPr="0040120E">
        <w:rPr>
          <w:rFonts w:ascii="Times New Roman" w:hAnsi="Times New Roman" w:cs="Times New Roman"/>
          <w:sz w:val="24"/>
          <w:szCs w:val="24"/>
          <w:lang w:val="en-GB"/>
        </w:rPr>
        <w:t>to show discriminant validity with perceived authenticity (measured with three items</w:t>
      </w:r>
      <w:r w:rsidR="008F38DD" w:rsidRPr="0040120E">
        <w:rPr>
          <w:rFonts w:ascii="Times New Roman" w:hAnsi="Times New Roman" w:cs="Times New Roman"/>
          <w:sz w:val="24"/>
          <w:szCs w:val="24"/>
          <w:lang w:val="en-GB"/>
        </w:rPr>
        <w:t>:</w:t>
      </w:r>
      <w:r w:rsidR="007510C8" w:rsidRPr="0040120E">
        <w:rPr>
          <w:rFonts w:ascii="Times New Roman" w:hAnsi="Times New Roman" w:cs="Times New Roman"/>
          <w:sz w:val="24"/>
          <w:szCs w:val="24"/>
          <w:lang w:val="en-GB"/>
        </w:rPr>
        <w:t xml:space="preserve"> “This brand is not an imitation”, “This brand is the original [product category]”, “This brand is authentic”), </w:t>
      </w:r>
      <w:r w:rsidRPr="0040120E">
        <w:rPr>
          <w:rFonts w:ascii="Times New Roman" w:hAnsi="Times New Roman" w:cs="Times New Roman"/>
          <w:sz w:val="24"/>
          <w:szCs w:val="24"/>
          <w:lang w:val="en-GB"/>
        </w:rPr>
        <w:t xml:space="preserve">and to demonstrate that the scale differentiates between brands that are a priori expected to differ </w:t>
      </w:r>
      <w:r w:rsidR="008F38DD" w:rsidRPr="0040120E">
        <w:rPr>
          <w:rFonts w:ascii="Times New Roman" w:hAnsi="Times New Roman" w:cs="Times New Roman"/>
          <w:sz w:val="24"/>
          <w:szCs w:val="24"/>
          <w:lang w:val="en-GB"/>
        </w:rPr>
        <w:t>i</w:t>
      </w:r>
      <w:r w:rsidRPr="0040120E">
        <w:rPr>
          <w:rFonts w:ascii="Times New Roman" w:hAnsi="Times New Roman" w:cs="Times New Roman"/>
          <w:sz w:val="24"/>
          <w:szCs w:val="24"/>
          <w:lang w:val="en-GB"/>
        </w:rPr>
        <w:t xml:space="preserve">n their use of brand heritage. </w:t>
      </w:r>
      <w:r w:rsidR="00EE3BC4" w:rsidRPr="0040120E">
        <w:rPr>
          <w:rFonts w:ascii="Times New Roman" w:hAnsi="Times New Roman" w:cs="Times New Roman"/>
          <w:sz w:val="24"/>
          <w:szCs w:val="24"/>
          <w:lang w:val="en-GB"/>
        </w:rPr>
        <w:t>Three marketing experts</w:t>
      </w:r>
      <w:r w:rsidR="00356775" w:rsidRPr="0040120E">
        <w:rPr>
          <w:rFonts w:ascii="Times New Roman" w:hAnsi="Times New Roman" w:cs="Times New Roman"/>
          <w:sz w:val="24"/>
          <w:szCs w:val="24"/>
          <w:lang w:val="en-GB"/>
        </w:rPr>
        <w:t xml:space="preserve"> were asked to</w:t>
      </w:r>
      <w:r w:rsidR="00EE3BC4"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select</w:t>
      </w:r>
      <w:r w:rsidR="00356775" w:rsidRPr="0040120E">
        <w:rPr>
          <w:rFonts w:ascii="Times New Roman" w:hAnsi="Times New Roman" w:cs="Times New Roman"/>
          <w:sz w:val="24"/>
          <w:szCs w:val="24"/>
          <w:lang w:val="en-GB"/>
        </w:rPr>
        <w:t xml:space="preserve"> pairs of</w:t>
      </w:r>
      <w:r w:rsidRPr="0040120E">
        <w:rPr>
          <w:rFonts w:ascii="Times New Roman" w:hAnsi="Times New Roman" w:cs="Times New Roman"/>
          <w:sz w:val="24"/>
          <w:szCs w:val="24"/>
          <w:lang w:val="en-GB"/>
        </w:rPr>
        <w:t xml:space="preserve"> brands </w:t>
      </w:r>
      <w:r w:rsidR="00EE3BC4" w:rsidRPr="0040120E">
        <w:rPr>
          <w:rFonts w:ascii="Times New Roman" w:hAnsi="Times New Roman" w:cs="Times New Roman"/>
          <w:sz w:val="24"/>
          <w:szCs w:val="24"/>
          <w:lang w:val="en-GB"/>
        </w:rPr>
        <w:t>expected to differ in their use of heritage</w:t>
      </w:r>
      <w:r w:rsidR="00356775" w:rsidRPr="0040120E">
        <w:rPr>
          <w:rFonts w:ascii="Times New Roman" w:hAnsi="Times New Roman" w:cs="Times New Roman"/>
          <w:sz w:val="24"/>
          <w:szCs w:val="24"/>
          <w:lang w:val="en-GB"/>
        </w:rPr>
        <w:t xml:space="preserve"> within similar categories in the Interbrand ranking</w:t>
      </w:r>
      <w:r w:rsidR="00EE3BC4" w:rsidRPr="0040120E">
        <w:rPr>
          <w:rFonts w:ascii="Times New Roman" w:hAnsi="Times New Roman" w:cs="Times New Roman"/>
          <w:sz w:val="24"/>
          <w:szCs w:val="24"/>
          <w:lang w:val="en-GB"/>
        </w:rPr>
        <w:t>. They selected</w:t>
      </w:r>
      <w:r w:rsidRPr="0040120E">
        <w:rPr>
          <w:rFonts w:ascii="Times New Roman" w:hAnsi="Times New Roman" w:cs="Times New Roman"/>
          <w:sz w:val="24"/>
          <w:szCs w:val="24"/>
          <w:lang w:val="en-GB"/>
        </w:rPr>
        <w:t xml:space="preserve"> Mercedes and Toyota</w:t>
      </w:r>
      <w:r w:rsidR="00356775" w:rsidRPr="0040120E">
        <w:rPr>
          <w:rFonts w:ascii="Times New Roman" w:hAnsi="Times New Roman" w:cs="Times New Roman"/>
          <w:sz w:val="24"/>
          <w:szCs w:val="24"/>
          <w:lang w:val="en-GB"/>
        </w:rPr>
        <w:t xml:space="preserve"> in automobile</w:t>
      </w:r>
      <w:r w:rsidR="00CE297B" w:rsidRPr="0040120E">
        <w:rPr>
          <w:rFonts w:ascii="Times New Roman" w:hAnsi="Times New Roman" w:cs="Times New Roman"/>
          <w:sz w:val="24"/>
          <w:szCs w:val="24"/>
          <w:lang w:val="en-GB"/>
        </w:rPr>
        <w:t>s</w:t>
      </w:r>
      <w:r w:rsidR="0032332F" w:rsidRPr="0040120E">
        <w:rPr>
          <w:rFonts w:ascii="Times New Roman" w:hAnsi="Times New Roman" w:cs="Times New Roman"/>
          <w:sz w:val="24"/>
          <w:szCs w:val="24"/>
          <w:lang w:val="en-GB"/>
        </w:rPr>
        <w:t>, Coca-Cola and Red Bull</w:t>
      </w:r>
      <w:r w:rsidR="00356775" w:rsidRPr="0040120E">
        <w:rPr>
          <w:rFonts w:ascii="Times New Roman" w:hAnsi="Times New Roman" w:cs="Times New Roman"/>
          <w:sz w:val="24"/>
          <w:szCs w:val="24"/>
          <w:lang w:val="en-GB"/>
        </w:rPr>
        <w:t xml:space="preserve"> in soft drinks</w:t>
      </w:r>
      <w:r w:rsidR="0032332F" w:rsidRPr="0040120E">
        <w:rPr>
          <w:rFonts w:ascii="Times New Roman" w:hAnsi="Times New Roman" w:cs="Times New Roman"/>
          <w:sz w:val="24"/>
          <w:szCs w:val="24"/>
          <w:lang w:val="en-GB"/>
        </w:rPr>
        <w:t>, Visa and PayPal</w:t>
      </w:r>
      <w:r w:rsidR="00356775" w:rsidRPr="0040120E">
        <w:rPr>
          <w:rFonts w:ascii="Times New Roman" w:hAnsi="Times New Roman" w:cs="Times New Roman"/>
          <w:sz w:val="24"/>
          <w:szCs w:val="24"/>
          <w:lang w:val="en-GB"/>
        </w:rPr>
        <w:t xml:space="preserve"> in credit cards</w:t>
      </w:r>
      <w:r w:rsidR="0032332F" w:rsidRPr="0040120E">
        <w:rPr>
          <w:rFonts w:ascii="Times New Roman" w:hAnsi="Times New Roman" w:cs="Times New Roman"/>
          <w:sz w:val="24"/>
          <w:szCs w:val="24"/>
          <w:lang w:val="en-GB"/>
        </w:rPr>
        <w:t>, Adidas and H&amp;M</w:t>
      </w:r>
      <w:r w:rsidR="00356775" w:rsidRPr="0040120E">
        <w:rPr>
          <w:rFonts w:ascii="Times New Roman" w:hAnsi="Times New Roman" w:cs="Times New Roman"/>
          <w:sz w:val="24"/>
          <w:szCs w:val="24"/>
          <w:lang w:val="en-GB"/>
        </w:rPr>
        <w:t xml:space="preserve"> in apparel</w:t>
      </w:r>
      <w:r w:rsidR="0032332F" w:rsidRPr="0040120E">
        <w:rPr>
          <w:rFonts w:ascii="Times New Roman" w:hAnsi="Times New Roman" w:cs="Times New Roman"/>
          <w:sz w:val="24"/>
          <w:szCs w:val="24"/>
          <w:lang w:val="en-GB"/>
        </w:rPr>
        <w:t>.</w:t>
      </w:r>
      <w:r w:rsidR="00356775" w:rsidRPr="0040120E">
        <w:rPr>
          <w:rFonts w:ascii="Times New Roman" w:hAnsi="Times New Roman" w:cs="Times New Roman"/>
          <w:sz w:val="24"/>
          <w:szCs w:val="24"/>
          <w:lang w:val="en-GB"/>
        </w:rPr>
        <w:t xml:space="preserve"> Unlike prior studies, this one covers a larger set of categories, beyond FMCG.</w:t>
      </w:r>
    </w:p>
    <w:p w14:paraId="3444BC59" w14:textId="143D3A97" w:rsidR="00AA50D8" w:rsidRPr="0040120E" w:rsidRDefault="0032332F" w:rsidP="00532676">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A sample of 316 consumers recruited on an online panel evaluated these eight brands on the 10 items of the brand heritage scale</w:t>
      </w:r>
      <w:r w:rsidR="007510C8" w:rsidRPr="0040120E">
        <w:rPr>
          <w:rFonts w:ascii="Times New Roman" w:hAnsi="Times New Roman" w:cs="Times New Roman"/>
          <w:sz w:val="24"/>
          <w:szCs w:val="24"/>
          <w:lang w:val="en-GB"/>
        </w:rPr>
        <w:t>, and on three items of brand authenticity</w:t>
      </w:r>
      <w:r w:rsidRPr="0040120E">
        <w:rPr>
          <w:rFonts w:ascii="Times New Roman" w:hAnsi="Times New Roman" w:cs="Times New Roman"/>
          <w:sz w:val="24"/>
          <w:szCs w:val="24"/>
          <w:lang w:val="en-GB"/>
        </w:rPr>
        <w:t>.</w:t>
      </w:r>
      <w:r w:rsidR="007510C8" w:rsidRPr="0040120E">
        <w:rPr>
          <w:rFonts w:ascii="Times New Roman" w:hAnsi="Times New Roman" w:cs="Times New Roman"/>
          <w:sz w:val="24"/>
          <w:szCs w:val="24"/>
          <w:lang w:val="en-GB"/>
        </w:rPr>
        <w:t xml:space="preserve"> We compute the heterotrait-monotrait ratio of correlations between the items of brand heritage and brand authenticity. This ratio is .76, under the .85 threshold, supporting our assumption that when brand heritage is measured as a temporal construct, it measures something different from brand authenticity. </w:t>
      </w:r>
      <w:r w:rsidR="003A01EE" w:rsidRPr="0040120E">
        <w:rPr>
          <w:rFonts w:ascii="Times New Roman" w:hAnsi="Times New Roman" w:cs="Times New Roman"/>
          <w:sz w:val="24"/>
          <w:szCs w:val="24"/>
          <w:lang w:val="en-GB"/>
        </w:rPr>
        <w:t xml:space="preserve">We impute a factor score for the brand heritage construct on AMOS to obtain a measure </w:t>
      </w:r>
      <w:r w:rsidR="00D61D5E" w:rsidRPr="0040120E">
        <w:rPr>
          <w:rFonts w:ascii="Times New Roman" w:hAnsi="Times New Roman" w:cs="Times New Roman"/>
          <w:sz w:val="24"/>
          <w:szCs w:val="24"/>
          <w:lang w:val="en-GB"/>
        </w:rPr>
        <w:t xml:space="preserve">without the residual error. We then run t-tests </w:t>
      </w:r>
      <w:r w:rsidR="00AA50D8" w:rsidRPr="0040120E">
        <w:rPr>
          <w:rFonts w:ascii="Times New Roman" w:hAnsi="Times New Roman" w:cs="Times New Roman"/>
          <w:sz w:val="24"/>
          <w:szCs w:val="24"/>
          <w:lang w:val="en-GB"/>
        </w:rPr>
        <w:t xml:space="preserve">and a Duncan test </w:t>
      </w:r>
      <w:r w:rsidR="00D61D5E" w:rsidRPr="0040120E">
        <w:rPr>
          <w:rFonts w:ascii="Times New Roman" w:hAnsi="Times New Roman" w:cs="Times New Roman"/>
          <w:sz w:val="24"/>
          <w:szCs w:val="24"/>
          <w:lang w:val="en-GB"/>
        </w:rPr>
        <w:t>on SPSS</w:t>
      </w:r>
      <w:r w:rsidR="00CE297B" w:rsidRPr="0040120E">
        <w:rPr>
          <w:rFonts w:ascii="Times New Roman" w:hAnsi="Times New Roman" w:cs="Times New Roman"/>
          <w:sz w:val="24"/>
          <w:szCs w:val="24"/>
          <w:lang w:val="en-GB"/>
        </w:rPr>
        <w:t>,</w:t>
      </w:r>
      <w:r w:rsidR="00D61D5E" w:rsidRPr="0040120E">
        <w:rPr>
          <w:rFonts w:ascii="Times New Roman" w:hAnsi="Times New Roman" w:cs="Times New Roman"/>
          <w:sz w:val="24"/>
          <w:szCs w:val="24"/>
          <w:lang w:val="en-GB"/>
        </w:rPr>
        <w:t xml:space="preserve"> using the brand heritage factorial scores</w:t>
      </w:r>
      <w:r w:rsidR="00AA50D8" w:rsidRPr="0040120E">
        <w:rPr>
          <w:rFonts w:ascii="Times New Roman" w:hAnsi="Times New Roman" w:cs="Times New Roman"/>
          <w:sz w:val="24"/>
          <w:szCs w:val="24"/>
          <w:lang w:val="en-GB"/>
        </w:rPr>
        <w:t xml:space="preserve"> (Table 5)</w:t>
      </w:r>
      <w:r w:rsidR="00D61D5E" w:rsidRPr="0040120E">
        <w:rPr>
          <w:rFonts w:ascii="Times New Roman" w:hAnsi="Times New Roman" w:cs="Times New Roman"/>
          <w:sz w:val="24"/>
          <w:szCs w:val="24"/>
          <w:lang w:val="en-GB"/>
        </w:rPr>
        <w:t xml:space="preserve">. </w:t>
      </w:r>
    </w:p>
    <w:p w14:paraId="5BCC3031" w14:textId="7D7BC11A" w:rsidR="00F216F2" w:rsidRPr="0040120E" w:rsidRDefault="00F216F2" w:rsidP="00F216F2">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As expected, Coca-Cola shows a higher score than Red Bull (t(87) =7.277; p&lt;.001), Mercedes than Toyota (t(75) =4.730; p&lt;.001), Visa than PayPal (t(74) =2.016; p&lt;.05), and Adidas than H&amp;M (t(72) =3.826; p&lt;.001). The scale is able to differentiate brands within distinct product categories. The Duncan test identifies six groups of brands, reinforcing the ability of the scale to discriminate across categories</w:t>
      </w:r>
      <w:r w:rsidR="00D30661" w:rsidRPr="0040120E">
        <w:rPr>
          <w:rFonts w:ascii="Times New Roman" w:hAnsi="Times New Roman" w:cs="Times New Roman"/>
          <w:sz w:val="24"/>
          <w:szCs w:val="24"/>
          <w:lang w:val="en-GB"/>
        </w:rPr>
        <w:t xml:space="preserve"> (Table </w:t>
      </w:r>
      <w:r w:rsidR="009C2A33" w:rsidRPr="0040120E">
        <w:rPr>
          <w:rFonts w:ascii="Times New Roman" w:hAnsi="Times New Roman" w:cs="Times New Roman"/>
          <w:sz w:val="24"/>
          <w:szCs w:val="24"/>
          <w:lang w:val="en-GB"/>
        </w:rPr>
        <w:t>7</w:t>
      </w:r>
      <w:r w:rsidR="00D30661"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w:t>
      </w:r>
      <w:r w:rsidR="00384C23" w:rsidRPr="0040120E">
        <w:rPr>
          <w:rFonts w:ascii="Times New Roman" w:hAnsi="Times New Roman" w:cs="Times New Roman"/>
          <w:sz w:val="24"/>
          <w:szCs w:val="24"/>
          <w:lang w:val="en-GB"/>
        </w:rPr>
        <w:t xml:space="preserve"> It shows that although brand heritage has a positive effect on credibility and nostalgia, many brands such as Red Bull can be </w:t>
      </w:r>
      <w:r w:rsidR="00384C23" w:rsidRPr="0040120E">
        <w:rPr>
          <w:rFonts w:ascii="Times New Roman" w:hAnsi="Times New Roman" w:cs="Times New Roman"/>
          <w:sz w:val="24"/>
          <w:szCs w:val="24"/>
          <w:lang w:val="en-GB"/>
        </w:rPr>
        <w:lastRenderedPageBreak/>
        <w:t>hugely successful without scoring high on brand heritage perceptions.</w:t>
      </w:r>
      <w:r w:rsidRPr="0040120E">
        <w:rPr>
          <w:rFonts w:ascii="Times New Roman" w:hAnsi="Times New Roman" w:cs="Times New Roman"/>
          <w:sz w:val="24"/>
          <w:szCs w:val="24"/>
          <w:lang w:val="en-GB"/>
        </w:rPr>
        <w:t xml:space="preserve"> This test also shows that brand heritage is not contingent </w:t>
      </w:r>
      <w:r w:rsidR="00CE297B" w:rsidRPr="0040120E">
        <w:rPr>
          <w:rFonts w:ascii="Times New Roman" w:hAnsi="Times New Roman" w:cs="Times New Roman"/>
          <w:sz w:val="24"/>
          <w:szCs w:val="24"/>
          <w:lang w:val="en-GB"/>
        </w:rPr>
        <w:t xml:space="preserve">on </w:t>
      </w:r>
      <w:r w:rsidRPr="0040120E">
        <w:rPr>
          <w:rFonts w:ascii="Times New Roman" w:hAnsi="Times New Roman" w:cs="Times New Roman"/>
          <w:sz w:val="24"/>
          <w:szCs w:val="24"/>
          <w:lang w:val="en-GB"/>
        </w:rPr>
        <w:t>the product category, as consumers perceive similar levels of brand heritage for Coca-Cola and Adidas</w:t>
      </w:r>
      <w:r w:rsidR="00CE297B"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for example. However, we still recommend using this scale to compare brands within product categories, or to track the evolution of a brand over time.</w:t>
      </w:r>
    </w:p>
    <w:p w14:paraId="2F57A208" w14:textId="26FCFFC7" w:rsidR="002D7072" w:rsidRPr="0040120E" w:rsidRDefault="002D7072" w:rsidP="002D7072">
      <w:pPr>
        <w:pStyle w:val="Caption"/>
        <w:keepNext/>
        <w:jc w:val="center"/>
        <w:rPr>
          <w:lang w:val="en-GB"/>
        </w:rPr>
      </w:pPr>
      <w:r w:rsidRPr="0040120E">
        <w:rPr>
          <w:rFonts w:ascii="Times New Roman" w:hAnsi="Times New Roman" w:cs="Times New Roman"/>
          <w:color w:val="auto"/>
          <w:sz w:val="24"/>
          <w:lang w:val="en-GB"/>
        </w:rPr>
        <w:t xml:space="preserve">Table </w:t>
      </w:r>
      <w:r w:rsidRPr="0040120E">
        <w:rPr>
          <w:rFonts w:ascii="Times New Roman" w:hAnsi="Times New Roman" w:cs="Times New Roman"/>
          <w:color w:val="auto"/>
          <w:sz w:val="24"/>
          <w:lang w:val="en-GB"/>
        </w:rPr>
        <w:fldChar w:fldCharType="begin"/>
      </w:r>
      <w:r w:rsidRPr="0040120E">
        <w:rPr>
          <w:rFonts w:ascii="Times New Roman" w:hAnsi="Times New Roman" w:cs="Times New Roman"/>
          <w:color w:val="auto"/>
          <w:sz w:val="24"/>
          <w:lang w:val="en-GB"/>
        </w:rPr>
        <w:instrText xml:space="preserve"> SEQ Table \* ARABIC </w:instrText>
      </w:r>
      <w:r w:rsidRPr="0040120E">
        <w:rPr>
          <w:rFonts w:ascii="Times New Roman" w:hAnsi="Times New Roman" w:cs="Times New Roman"/>
          <w:color w:val="auto"/>
          <w:sz w:val="24"/>
          <w:lang w:val="en-GB"/>
        </w:rPr>
        <w:fldChar w:fldCharType="separate"/>
      </w:r>
      <w:r w:rsidR="00671C69">
        <w:rPr>
          <w:rFonts w:ascii="Times New Roman" w:hAnsi="Times New Roman" w:cs="Times New Roman"/>
          <w:noProof/>
          <w:color w:val="auto"/>
          <w:sz w:val="24"/>
          <w:lang w:val="en-GB"/>
        </w:rPr>
        <w:t>7</w:t>
      </w:r>
      <w:r w:rsidRPr="0040120E">
        <w:rPr>
          <w:rFonts w:ascii="Times New Roman" w:hAnsi="Times New Roman" w:cs="Times New Roman"/>
          <w:color w:val="auto"/>
          <w:sz w:val="24"/>
          <w:lang w:val="en-GB"/>
        </w:rPr>
        <w:fldChar w:fldCharType="end"/>
      </w:r>
      <w:r w:rsidRPr="0040120E">
        <w:rPr>
          <w:rFonts w:ascii="Times New Roman" w:hAnsi="Times New Roman" w:cs="Times New Roman"/>
          <w:color w:val="auto"/>
          <w:sz w:val="24"/>
          <w:lang w:val="en-GB"/>
        </w:rPr>
        <w:t xml:space="preserve"> - Results of </w:t>
      </w:r>
      <w:r w:rsidR="008F38DD" w:rsidRPr="0040120E">
        <w:rPr>
          <w:rFonts w:ascii="Times New Roman" w:hAnsi="Times New Roman" w:cs="Times New Roman"/>
          <w:color w:val="auto"/>
          <w:sz w:val="24"/>
          <w:lang w:val="en-GB"/>
        </w:rPr>
        <w:t xml:space="preserve">the </w:t>
      </w:r>
      <w:r w:rsidRPr="0040120E">
        <w:rPr>
          <w:rFonts w:ascii="Times New Roman" w:hAnsi="Times New Roman" w:cs="Times New Roman"/>
          <w:color w:val="auto"/>
          <w:sz w:val="24"/>
          <w:lang w:val="en-GB"/>
        </w:rPr>
        <w:t>Duncan test</w:t>
      </w:r>
    </w:p>
    <w:tbl>
      <w:tblPr>
        <w:tblW w:w="0" w:type="auto"/>
        <w:jc w:val="center"/>
        <w:tblCellMar>
          <w:top w:w="15" w:type="dxa"/>
          <w:left w:w="15" w:type="dxa"/>
          <w:bottom w:w="15" w:type="dxa"/>
          <w:right w:w="15" w:type="dxa"/>
        </w:tblCellMar>
        <w:tblLook w:val="04A0" w:firstRow="1" w:lastRow="0" w:firstColumn="1" w:lastColumn="0" w:noHBand="0" w:noVBand="1"/>
      </w:tblPr>
      <w:tblGrid>
        <w:gridCol w:w="1093"/>
        <w:gridCol w:w="380"/>
        <w:gridCol w:w="800"/>
        <w:gridCol w:w="800"/>
        <w:gridCol w:w="800"/>
        <w:gridCol w:w="800"/>
        <w:gridCol w:w="800"/>
        <w:gridCol w:w="800"/>
      </w:tblGrid>
      <w:tr w:rsidR="009C2A33" w:rsidRPr="0040120E" w14:paraId="09B1BAF5" w14:textId="77777777" w:rsidTr="009C2A33">
        <w:trPr>
          <w:trHeight w:val="300"/>
          <w:jc w:val="center"/>
        </w:trPr>
        <w:tc>
          <w:tcPr>
            <w:tcW w:w="0" w:type="auto"/>
            <w:vMerge w:val="restart"/>
            <w:tcBorders>
              <w:bottom w:val="single" w:sz="4" w:space="0" w:color="152935"/>
            </w:tcBorders>
            <w:tcMar>
              <w:top w:w="0" w:type="dxa"/>
              <w:left w:w="70" w:type="dxa"/>
              <w:bottom w:w="0" w:type="dxa"/>
              <w:right w:w="70" w:type="dxa"/>
            </w:tcMar>
            <w:vAlign w:val="center"/>
            <w:hideMark/>
          </w:tcPr>
          <w:p w14:paraId="57855445" w14:textId="77777777" w:rsidR="002D7072" w:rsidRPr="0040120E" w:rsidRDefault="002D7072" w:rsidP="009C2A33">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Brands</w:t>
            </w:r>
          </w:p>
        </w:tc>
        <w:tc>
          <w:tcPr>
            <w:tcW w:w="0" w:type="auto"/>
            <w:vMerge w:val="restart"/>
            <w:tcBorders>
              <w:bottom w:val="single" w:sz="4" w:space="0" w:color="152935"/>
              <w:right w:val="single" w:sz="4" w:space="0" w:color="E0E0E0"/>
            </w:tcBorders>
            <w:tcMar>
              <w:top w:w="0" w:type="dxa"/>
              <w:left w:w="70" w:type="dxa"/>
              <w:bottom w:w="0" w:type="dxa"/>
              <w:right w:w="70" w:type="dxa"/>
            </w:tcMar>
            <w:vAlign w:val="bottom"/>
            <w:hideMark/>
          </w:tcPr>
          <w:p w14:paraId="30FEB655" w14:textId="77777777" w:rsidR="002D7072" w:rsidRPr="0040120E" w:rsidRDefault="002D7072" w:rsidP="002D707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N</w:t>
            </w:r>
          </w:p>
        </w:tc>
        <w:tc>
          <w:tcPr>
            <w:tcW w:w="0" w:type="auto"/>
            <w:gridSpan w:val="6"/>
            <w:tcBorders>
              <w:left w:val="single" w:sz="4" w:space="0" w:color="E0E0E0"/>
              <w:right w:val="single" w:sz="4" w:space="0" w:color="E0E0E0"/>
            </w:tcBorders>
            <w:tcMar>
              <w:top w:w="0" w:type="dxa"/>
              <w:left w:w="70" w:type="dxa"/>
              <w:bottom w:w="0" w:type="dxa"/>
              <w:right w:w="70" w:type="dxa"/>
            </w:tcMar>
            <w:vAlign w:val="bottom"/>
            <w:hideMark/>
          </w:tcPr>
          <w:p w14:paraId="36A5977F" w14:textId="77777777" w:rsidR="002D7072" w:rsidRPr="0040120E" w:rsidRDefault="002D7072" w:rsidP="002D707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alpha = 0.05</w:t>
            </w:r>
          </w:p>
        </w:tc>
      </w:tr>
      <w:tr w:rsidR="009C2A33" w:rsidRPr="0040120E" w14:paraId="7551E46F" w14:textId="77777777" w:rsidTr="002D7072">
        <w:trPr>
          <w:trHeight w:val="300"/>
          <w:jc w:val="center"/>
        </w:trPr>
        <w:tc>
          <w:tcPr>
            <w:tcW w:w="0" w:type="auto"/>
            <w:vMerge/>
            <w:tcBorders>
              <w:bottom w:val="single" w:sz="4" w:space="0" w:color="152935"/>
            </w:tcBorders>
            <w:vAlign w:val="center"/>
            <w:hideMark/>
          </w:tcPr>
          <w:p w14:paraId="025DF7FD"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p>
        </w:tc>
        <w:tc>
          <w:tcPr>
            <w:tcW w:w="0" w:type="auto"/>
            <w:vMerge/>
            <w:tcBorders>
              <w:bottom w:val="single" w:sz="4" w:space="0" w:color="152935"/>
              <w:right w:val="single" w:sz="4" w:space="0" w:color="E0E0E0"/>
            </w:tcBorders>
            <w:vAlign w:val="center"/>
            <w:hideMark/>
          </w:tcPr>
          <w:p w14:paraId="69FF541D"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p>
        </w:tc>
        <w:tc>
          <w:tcPr>
            <w:tcW w:w="0" w:type="auto"/>
            <w:tcBorders>
              <w:left w:val="single" w:sz="4" w:space="0" w:color="E0E0E0"/>
              <w:bottom w:val="single" w:sz="4" w:space="0" w:color="152935"/>
              <w:right w:val="single" w:sz="4" w:space="0" w:color="E0E0E0"/>
            </w:tcBorders>
            <w:tcMar>
              <w:top w:w="0" w:type="dxa"/>
              <w:left w:w="70" w:type="dxa"/>
              <w:bottom w:w="0" w:type="dxa"/>
              <w:right w:w="70" w:type="dxa"/>
            </w:tcMar>
            <w:vAlign w:val="bottom"/>
            <w:hideMark/>
          </w:tcPr>
          <w:p w14:paraId="034AC704" w14:textId="77777777" w:rsidR="002D7072" w:rsidRPr="0040120E" w:rsidRDefault="002D7072" w:rsidP="002D707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1</w:t>
            </w:r>
          </w:p>
        </w:tc>
        <w:tc>
          <w:tcPr>
            <w:tcW w:w="0" w:type="auto"/>
            <w:tcBorders>
              <w:left w:val="single" w:sz="4" w:space="0" w:color="E0E0E0"/>
              <w:bottom w:val="single" w:sz="4" w:space="0" w:color="152935"/>
              <w:right w:val="single" w:sz="4" w:space="0" w:color="E0E0E0"/>
            </w:tcBorders>
            <w:tcMar>
              <w:top w:w="0" w:type="dxa"/>
              <w:left w:w="70" w:type="dxa"/>
              <w:bottom w:w="0" w:type="dxa"/>
              <w:right w:w="70" w:type="dxa"/>
            </w:tcMar>
            <w:vAlign w:val="bottom"/>
            <w:hideMark/>
          </w:tcPr>
          <w:p w14:paraId="66C18CD6" w14:textId="77777777" w:rsidR="002D7072" w:rsidRPr="0040120E" w:rsidRDefault="002D7072" w:rsidP="002D707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2</w:t>
            </w:r>
          </w:p>
        </w:tc>
        <w:tc>
          <w:tcPr>
            <w:tcW w:w="0" w:type="auto"/>
            <w:tcBorders>
              <w:left w:val="single" w:sz="4" w:space="0" w:color="E0E0E0"/>
              <w:bottom w:val="single" w:sz="4" w:space="0" w:color="152935"/>
              <w:right w:val="single" w:sz="4" w:space="0" w:color="E0E0E0"/>
            </w:tcBorders>
            <w:tcMar>
              <w:top w:w="0" w:type="dxa"/>
              <w:left w:w="70" w:type="dxa"/>
              <w:bottom w:w="0" w:type="dxa"/>
              <w:right w:w="70" w:type="dxa"/>
            </w:tcMar>
            <w:vAlign w:val="bottom"/>
            <w:hideMark/>
          </w:tcPr>
          <w:p w14:paraId="2A44EA47" w14:textId="77777777" w:rsidR="002D7072" w:rsidRPr="0040120E" w:rsidRDefault="002D7072" w:rsidP="002D707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3</w:t>
            </w:r>
          </w:p>
        </w:tc>
        <w:tc>
          <w:tcPr>
            <w:tcW w:w="0" w:type="auto"/>
            <w:tcBorders>
              <w:left w:val="single" w:sz="4" w:space="0" w:color="E0E0E0"/>
              <w:bottom w:val="single" w:sz="4" w:space="0" w:color="152935"/>
              <w:right w:val="single" w:sz="4" w:space="0" w:color="E0E0E0"/>
            </w:tcBorders>
            <w:tcMar>
              <w:top w:w="0" w:type="dxa"/>
              <w:left w:w="70" w:type="dxa"/>
              <w:bottom w:w="0" w:type="dxa"/>
              <w:right w:w="70" w:type="dxa"/>
            </w:tcMar>
            <w:vAlign w:val="bottom"/>
            <w:hideMark/>
          </w:tcPr>
          <w:p w14:paraId="30DC6BED" w14:textId="77777777" w:rsidR="002D7072" w:rsidRPr="0040120E" w:rsidRDefault="002D7072" w:rsidP="002D707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4</w:t>
            </w:r>
          </w:p>
        </w:tc>
        <w:tc>
          <w:tcPr>
            <w:tcW w:w="0" w:type="auto"/>
            <w:tcBorders>
              <w:left w:val="single" w:sz="4" w:space="0" w:color="E0E0E0"/>
              <w:bottom w:val="single" w:sz="4" w:space="0" w:color="152935"/>
              <w:right w:val="single" w:sz="4" w:space="0" w:color="E0E0E0"/>
            </w:tcBorders>
            <w:tcMar>
              <w:top w:w="0" w:type="dxa"/>
              <w:left w:w="70" w:type="dxa"/>
              <w:bottom w:w="0" w:type="dxa"/>
              <w:right w:w="70" w:type="dxa"/>
            </w:tcMar>
            <w:vAlign w:val="bottom"/>
            <w:hideMark/>
          </w:tcPr>
          <w:p w14:paraId="13253D8A" w14:textId="77777777" w:rsidR="002D7072" w:rsidRPr="0040120E" w:rsidRDefault="002D7072" w:rsidP="002D707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5</w:t>
            </w:r>
          </w:p>
        </w:tc>
        <w:tc>
          <w:tcPr>
            <w:tcW w:w="0" w:type="auto"/>
            <w:tcBorders>
              <w:left w:val="single" w:sz="4" w:space="0" w:color="E0E0E0"/>
              <w:bottom w:val="single" w:sz="4" w:space="0" w:color="152935"/>
            </w:tcBorders>
            <w:tcMar>
              <w:top w:w="0" w:type="dxa"/>
              <w:left w:w="70" w:type="dxa"/>
              <w:bottom w:w="0" w:type="dxa"/>
              <w:right w:w="70" w:type="dxa"/>
            </w:tcMar>
            <w:vAlign w:val="bottom"/>
            <w:hideMark/>
          </w:tcPr>
          <w:p w14:paraId="16B693D4" w14:textId="77777777" w:rsidR="002D7072" w:rsidRPr="0040120E" w:rsidRDefault="002D7072" w:rsidP="002D7072">
            <w:pPr>
              <w:spacing w:after="0" w:line="240" w:lineRule="auto"/>
              <w:jc w:val="center"/>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6</w:t>
            </w:r>
          </w:p>
        </w:tc>
      </w:tr>
      <w:tr w:rsidR="009C2A33" w:rsidRPr="0040120E" w14:paraId="195FFC94" w14:textId="77777777" w:rsidTr="002D7072">
        <w:trPr>
          <w:trHeight w:val="300"/>
          <w:jc w:val="center"/>
        </w:trPr>
        <w:tc>
          <w:tcPr>
            <w:tcW w:w="0" w:type="auto"/>
            <w:tcBorders>
              <w:top w:val="single" w:sz="4" w:space="0" w:color="152935"/>
              <w:bottom w:val="single" w:sz="4" w:space="0" w:color="AEAEAE"/>
            </w:tcBorders>
            <w:shd w:val="clear" w:color="auto" w:fill="E0E0E0"/>
            <w:tcMar>
              <w:top w:w="0" w:type="dxa"/>
              <w:left w:w="70" w:type="dxa"/>
              <w:bottom w:w="0" w:type="dxa"/>
              <w:right w:w="70" w:type="dxa"/>
            </w:tcMar>
            <w:hideMark/>
          </w:tcPr>
          <w:p w14:paraId="61B56DE8"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Red Bull</w:t>
            </w:r>
          </w:p>
        </w:tc>
        <w:tc>
          <w:tcPr>
            <w:tcW w:w="0" w:type="auto"/>
            <w:tcBorders>
              <w:top w:val="single" w:sz="4" w:space="0" w:color="152935"/>
              <w:bottom w:val="single" w:sz="4" w:space="0" w:color="AEAEAE"/>
              <w:right w:val="single" w:sz="4" w:space="0" w:color="E0E0E0"/>
            </w:tcBorders>
            <w:tcMar>
              <w:top w:w="0" w:type="dxa"/>
              <w:left w:w="70" w:type="dxa"/>
              <w:bottom w:w="0" w:type="dxa"/>
              <w:right w:w="70" w:type="dxa"/>
            </w:tcMar>
            <w:hideMark/>
          </w:tcPr>
          <w:p w14:paraId="08465997"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40</w:t>
            </w:r>
          </w:p>
        </w:tc>
        <w:tc>
          <w:tcPr>
            <w:tcW w:w="0" w:type="auto"/>
            <w:tcBorders>
              <w:top w:val="single" w:sz="4" w:space="0" w:color="152935"/>
              <w:left w:val="single" w:sz="4" w:space="0" w:color="E0E0E0"/>
              <w:bottom w:val="single" w:sz="4" w:space="0" w:color="AEAEAE"/>
              <w:right w:val="single" w:sz="4" w:space="0" w:color="E0E0E0"/>
            </w:tcBorders>
            <w:tcMar>
              <w:top w:w="0" w:type="dxa"/>
              <w:left w:w="70" w:type="dxa"/>
              <w:bottom w:w="0" w:type="dxa"/>
              <w:right w:w="70" w:type="dxa"/>
            </w:tcMar>
            <w:hideMark/>
          </w:tcPr>
          <w:p w14:paraId="0DE7B672"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2,9415</w:t>
            </w:r>
          </w:p>
        </w:tc>
        <w:tc>
          <w:tcPr>
            <w:tcW w:w="0" w:type="auto"/>
            <w:tcBorders>
              <w:top w:val="single" w:sz="4" w:space="0" w:color="152935"/>
              <w:left w:val="single" w:sz="4" w:space="0" w:color="E0E0E0"/>
              <w:bottom w:val="single" w:sz="4" w:space="0" w:color="AEAEAE"/>
              <w:right w:val="single" w:sz="4" w:space="0" w:color="E0E0E0"/>
            </w:tcBorders>
            <w:tcMar>
              <w:top w:w="0" w:type="dxa"/>
              <w:left w:w="70" w:type="dxa"/>
              <w:bottom w:w="0" w:type="dxa"/>
              <w:right w:w="70" w:type="dxa"/>
            </w:tcMar>
            <w:hideMark/>
          </w:tcPr>
          <w:p w14:paraId="0D4EFCEC"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152935"/>
              <w:left w:val="single" w:sz="4" w:space="0" w:color="E0E0E0"/>
              <w:bottom w:val="single" w:sz="4" w:space="0" w:color="AEAEAE"/>
              <w:right w:val="single" w:sz="4" w:space="0" w:color="E0E0E0"/>
            </w:tcBorders>
            <w:tcMar>
              <w:top w:w="0" w:type="dxa"/>
              <w:left w:w="70" w:type="dxa"/>
              <w:bottom w:w="0" w:type="dxa"/>
              <w:right w:w="70" w:type="dxa"/>
            </w:tcMar>
            <w:hideMark/>
          </w:tcPr>
          <w:p w14:paraId="2A49A47B"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152935"/>
              <w:left w:val="single" w:sz="4" w:space="0" w:color="E0E0E0"/>
              <w:bottom w:val="single" w:sz="4" w:space="0" w:color="AEAEAE"/>
              <w:right w:val="single" w:sz="4" w:space="0" w:color="E0E0E0"/>
            </w:tcBorders>
            <w:tcMar>
              <w:top w:w="0" w:type="dxa"/>
              <w:left w:w="70" w:type="dxa"/>
              <w:bottom w:w="0" w:type="dxa"/>
              <w:right w:w="70" w:type="dxa"/>
            </w:tcMar>
            <w:hideMark/>
          </w:tcPr>
          <w:p w14:paraId="6637C5BE"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152935"/>
              <w:left w:val="single" w:sz="4" w:space="0" w:color="E0E0E0"/>
              <w:bottom w:val="single" w:sz="4" w:space="0" w:color="AEAEAE"/>
              <w:right w:val="single" w:sz="4" w:space="0" w:color="E0E0E0"/>
            </w:tcBorders>
            <w:tcMar>
              <w:top w:w="0" w:type="dxa"/>
              <w:left w:w="70" w:type="dxa"/>
              <w:bottom w:w="0" w:type="dxa"/>
              <w:right w:w="70" w:type="dxa"/>
            </w:tcMar>
            <w:hideMark/>
          </w:tcPr>
          <w:p w14:paraId="04A9F9AC"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152935"/>
              <w:left w:val="single" w:sz="4" w:space="0" w:color="E0E0E0"/>
              <w:bottom w:val="single" w:sz="4" w:space="0" w:color="AEAEAE"/>
            </w:tcBorders>
            <w:tcMar>
              <w:top w:w="0" w:type="dxa"/>
              <w:left w:w="70" w:type="dxa"/>
              <w:bottom w:w="0" w:type="dxa"/>
              <w:right w:w="70" w:type="dxa"/>
            </w:tcMar>
            <w:hideMark/>
          </w:tcPr>
          <w:p w14:paraId="07DBE154"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r>
      <w:tr w:rsidR="009C2A33" w:rsidRPr="0040120E" w14:paraId="7FA0CB98" w14:textId="77777777" w:rsidTr="002D7072">
        <w:trPr>
          <w:trHeight w:val="300"/>
          <w:jc w:val="center"/>
        </w:trPr>
        <w:tc>
          <w:tcPr>
            <w:tcW w:w="0" w:type="auto"/>
            <w:tcBorders>
              <w:top w:val="single" w:sz="4" w:space="0" w:color="AEAEAE"/>
              <w:bottom w:val="single" w:sz="4" w:space="0" w:color="AEAEAE"/>
            </w:tcBorders>
            <w:shd w:val="clear" w:color="auto" w:fill="E0E0E0"/>
            <w:tcMar>
              <w:top w:w="0" w:type="dxa"/>
              <w:left w:w="70" w:type="dxa"/>
              <w:bottom w:w="0" w:type="dxa"/>
              <w:right w:w="70" w:type="dxa"/>
            </w:tcMar>
            <w:hideMark/>
          </w:tcPr>
          <w:p w14:paraId="126981ED"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PayPal</w:t>
            </w:r>
          </w:p>
        </w:tc>
        <w:tc>
          <w:tcPr>
            <w:tcW w:w="0" w:type="auto"/>
            <w:tcBorders>
              <w:top w:val="single" w:sz="4" w:space="0" w:color="AEAEAE"/>
              <w:bottom w:val="single" w:sz="4" w:space="0" w:color="AEAEAE"/>
              <w:right w:val="single" w:sz="4" w:space="0" w:color="E0E0E0"/>
            </w:tcBorders>
            <w:tcMar>
              <w:top w:w="0" w:type="dxa"/>
              <w:left w:w="70" w:type="dxa"/>
              <w:bottom w:w="0" w:type="dxa"/>
              <w:right w:w="70" w:type="dxa"/>
            </w:tcMar>
            <w:hideMark/>
          </w:tcPr>
          <w:p w14:paraId="74AA1180"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44</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3B6E4261"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0FF545DA"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3,5193</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4F858207"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4FDA2B79"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7FC28E21"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tcBorders>
            <w:tcMar>
              <w:top w:w="0" w:type="dxa"/>
              <w:left w:w="70" w:type="dxa"/>
              <w:bottom w:w="0" w:type="dxa"/>
              <w:right w:w="70" w:type="dxa"/>
            </w:tcMar>
            <w:hideMark/>
          </w:tcPr>
          <w:p w14:paraId="65D38BA3"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r>
      <w:tr w:rsidR="009C2A33" w:rsidRPr="0040120E" w14:paraId="7DDA74B0" w14:textId="77777777" w:rsidTr="002D7072">
        <w:trPr>
          <w:trHeight w:val="300"/>
          <w:jc w:val="center"/>
        </w:trPr>
        <w:tc>
          <w:tcPr>
            <w:tcW w:w="0" w:type="auto"/>
            <w:tcBorders>
              <w:top w:val="single" w:sz="4" w:space="0" w:color="AEAEAE"/>
              <w:bottom w:val="single" w:sz="4" w:space="0" w:color="AEAEAE"/>
            </w:tcBorders>
            <w:shd w:val="clear" w:color="auto" w:fill="E0E0E0"/>
            <w:tcMar>
              <w:top w:w="0" w:type="dxa"/>
              <w:left w:w="70" w:type="dxa"/>
              <w:bottom w:w="0" w:type="dxa"/>
              <w:right w:w="70" w:type="dxa"/>
            </w:tcMar>
            <w:hideMark/>
          </w:tcPr>
          <w:p w14:paraId="56AF8F30"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Visa</w:t>
            </w:r>
          </w:p>
        </w:tc>
        <w:tc>
          <w:tcPr>
            <w:tcW w:w="0" w:type="auto"/>
            <w:tcBorders>
              <w:top w:val="single" w:sz="4" w:space="0" w:color="AEAEAE"/>
              <w:bottom w:val="single" w:sz="4" w:space="0" w:color="AEAEAE"/>
              <w:right w:val="single" w:sz="4" w:space="0" w:color="E0E0E0"/>
            </w:tcBorders>
            <w:tcMar>
              <w:top w:w="0" w:type="dxa"/>
              <w:left w:w="70" w:type="dxa"/>
              <w:bottom w:w="0" w:type="dxa"/>
              <w:right w:w="70" w:type="dxa"/>
            </w:tcMar>
            <w:hideMark/>
          </w:tcPr>
          <w:p w14:paraId="2814FFC7"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32</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48A538E1"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0583E370"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2FB8EF0B"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3,8607</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64B74B0A"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66C6BADD"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tcBorders>
            <w:tcMar>
              <w:top w:w="0" w:type="dxa"/>
              <w:left w:w="70" w:type="dxa"/>
              <w:bottom w:w="0" w:type="dxa"/>
              <w:right w:w="70" w:type="dxa"/>
            </w:tcMar>
            <w:hideMark/>
          </w:tcPr>
          <w:p w14:paraId="70FB9044"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r>
      <w:tr w:rsidR="009C2A33" w:rsidRPr="0040120E" w14:paraId="453A0733" w14:textId="77777777" w:rsidTr="002D7072">
        <w:trPr>
          <w:trHeight w:val="300"/>
          <w:jc w:val="center"/>
        </w:trPr>
        <w:tc>
          <w:tcPr>
            <w:tcW w:w="0" w:type="auto"/>
            <w:tcBorders>
              <w:top w:val="single" w:sz="4" w:space="0" w:color="AEAEAE"/>
              <w:bottom w:val="single" w:sz="4" w:space="0" w:color="AEAEAE"/>
            </w:tcBorders>
            <w:shd w:val="clear" w:color="auto" w:fill="E0E0E0"/>
            <w:tcMar>
              <w:top w:w="0" w:type="dxa"/>
              <w:left w:w="70" w:type="dxa"/>
              <w:bottom w:w="0" w:type="dxa"/>
              <w:right w:w="70" w:type="dxa"/>
            </w:tcMar>
            <w:hideMark/>
          </w:tcPr>
          <w:p w14:paraId="40BB8B09"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H &amp; M</w:t>
            </w:r>
          </w:p>
        </w:tc>
        <w:tc>
          <w:tcPr>
            <w:tcW w:w="0" w:type="auto"/>
            <w:tcBorders>
              <w:top w:val="single" w:sz="4" w:space="0" w:color="AEAEAE"/>
              <w:bottom w:val="single" w:sz="4" w:space="0" w:color="AEAEAE"/>
              <w:right w:val="single" w:sz="4" w:space="0" w:color="E0E0E0"/>
            </w:tcBorders>
            <w:tcMar>
              <w:top w:w="0" w:type="dxa"/>
              <w:left w:w="70" w:type="dxa"/>
              <w:bottom w:w="0" w:type="dxa"/>
              <w:right w:w="70" w:type="dxa"/>
            </w:tcMar>
            <w:hideMark/>
          </w:tcPr>
          <w:p w14:paraId="75D19EED"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34</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05CACEF4"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50722CFF"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473521FB"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5C6570E0"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3,9467</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3AA82149"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tcBorders>
            <w:tcMar>
              <w:top w:w="0" w:type="dxa"/>
              <w:left w:w="70" w:type="dxa"/>
              <w:bottom w:w="0" w:type="dxa"/>
              <w:right w:w="70" w:type="dxa"/>
            </w:tcMar>
            <w:hideMark/>
          </w:tcPr>
          <w:p w14:paraId="5F11B42D"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r>
      <w:tr w:rsidR="009C2A33" w:rsidRPr="0040120E" w14:paraId="37B5F09C" w14:textId="77777777" w:rsidTr="002D7072">
        <w:trPr>
          <w:trHeight w:val="300"/>
          <w:jc w:val="center"/>
        </w:trPr>
        <w:tc>
          <w:tcPr>
            <w:tcW w:w="0" w:type="auto"/>
            <w:tcBorders>
              <w:top w:val="single" w:sz="4" w:space="0" w:color="AEAEAE"/>
              <w:bottom w:val="single" w:sz="4" w:space="0" w:color="AEAEAE"/>
            </w:tcBorders>
            <w:shd w:val="clear" w:color="auto" w:fill="E0E0E0"/>
            <w:tcMar>
              <w:top w:w="0" w:type="dxa"/>
              <w:left w:w="70" w:type="dxa"/>
              <w:bottom w:w="0" w:type="dxa"/>
              <w:right w:w="70" w:type="dxa"/>
            </w:tcMar>
            <w:hideMark/>
          </w:tcPr>
          <w:p w14:paraId="5E331C19"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Toyota</w:t>
            </w:r>
          </w:p>
        </w:tc>
        <w:tc>
          <w:tcPr>
            <w:tcW w:w="0" w:type="auto"/>
            <w:tcBorders>
              <w:top w:val="single" w:sz="4" w:space="0" w:color="AEAEAE"/>
              <w:bottom w:val="single" w:sz="4" w:space="0" w:color="AEAEAE"/>
              <w:right w:val="single" w:sz="4" w:space="0" w:color="E0E0E0"/>
            </w:tcBorders>
            <w:tcMar>
              <w:top w:w="0" w:type="dxa"/>
              <w:left w:w="70" w:type="dxa"/>
              <w:bottom w:w="0" w:type="dxa"/>
              <w:right w:w="70" w:type="dxa"/>
            </w:tcMar>
            <w:hideMark/>
          </w:tcPr>
          <w:p w14:paraId="69C9CC7D"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39</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7DB6B657"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657E2D20"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349618D7"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7D43BF60"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4,0173</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2B11CCD3"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tcBorders>
            <w:tcMar>
              <w:top w:w="0" w:type="dxa"/>
              <w:left w:w="70" w:type="dxa"/>
              <w:bottom w:w="0" w:type="dxa"/>
              <w:right w:w="70" w:type="dxa"/>
            </w:tcMar>
            <w:hideMark/>
          </w:tcPr>
          <w:p w14:paraId="64EB735F"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r>
      <w:tr w:rsidR="009C2A33" w:rsidRPr="0040120E" w14:paraId="3C663A3A" w14:textId="77777777" w:rsidTr="002D7072">
        <w:trPr>
          <w:trHeight w:val="300"/>
          <w:jc w:val="center"/>
        </w:trPr>
        <w:tc>
          <w:tcPr>
            <w:tcW w:w="0" w:type="auto"/>
            <w:tcBorders>
              <w:top w:val="single" w:sz="4" w:space="0" w:color="AEAEAE"/>
              <w:bottom w:val="single" w:sz="4" w:space="0" w:color="AEAEAE"/>
            </w:tcBorders>
            <w:shd w:val="clear" w:color="auto" w:fill="E0E0E0"/>
            <w:tcMar>
              <w:top w:w="0" w:type="dxa"/>
              <w:left w:w="70" w:type="dxa"/>
              <w:bottom w:w="0" w:type="dxa"/>
              <w:right w:w="70" w:type="dxa"/>
            </w:tcMar>
            <w:hideMark/>
          </w:tcPr>
          <w:p w14:paraId="59DC5621"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Coca cola</w:t>
            </w:r>
          </w:p>
        </w:tc>
        <w:tc>
          <w:tcPr>
            <w:tcW w:w="0" w:type="auto"/>
            <w:tcBorders>
              <w:top w:val="single" w:sz="4" w:space="0" w:color="AEAEAE"/>
              <w:bottom w:val="single" w:sz="4" w:space="0" w:color="AEAEAE"/>
              <w:right w:val="single" w:sz="4" w:space="0" w:color="E0E0E0"/>
            </w:tcBorders>
            <w:tcMar>
              <w:top w:w="0" w:type="dxa"/>
              <w:left w:w="70" w:type="dxa"/>
              <w:bottom w:w="0" w:type="dxa"/>
              <w:right w:w="70" w:type="dxa"/>
            </w:tcMar>
            <w:hideMark/>
          </w:tcPr>
          <w:p w14:paraId="74E1186F"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49</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7A736277"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37957115"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7B200439"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164EF77F"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6E796F1E"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4,2996</w:t>
            </w:r>
          </w:p>
        </w:tc>
        <w:tc>
          <w:tcPr>
            <w:tcW w:w="0" w:type="auto"/>
            <w:tcBorders>
              <w:top w:val="single" w:sz="4" w:space="0" w:color="AEAEAE"/>
              <w:left w:val="single" w:sz="4" w:space="0" w:color="E0E0E0"/>
              <w:bottom w:val="single" w:sz="4" w:space="0" w:color="AEAEAE"/>
            </w:tcBorders>
            <w:tcMar>
              <w:top w:w="0" w:type="dxa"/>
              <w:left w:w="70" w:type="dxa"/>
              <w:bottom w:w="0" w:type="dxa"/>
              <w:right w:w="70" w:type="dxa"/>
            </w:tcMar>
            <w:hideMark/>
          </w:tcPr>
          <w:p w14:paraId="43A8C3A4"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r>
      <w:tr w:rsidR="009C2A33" w:rsidRPr="0040120E" w14:paraId="6BC1A444" w14:textId="77777777" w:rsidTr="002D7072">
        <w:trPr>
          <w:trHeight w:val="300"/>
          <w:jc w:val="center"/>
        </w:trPr>
        <w:tc>
          <w:tcPr>
            <w:tcW w:w="0" w:type="auto"/>
            <w:tcBorders>
              <w:top w:val="single" w:sz="4" w:space="0" w:color="AEAEAE"/>
              <w:bottom w:val="single" w:sz="4" w:space="0" w:color="AEAEAE"/>
            </w:tcBorders>
            <w:shd w:val="clear" w:color="auto" w:fill="E0E0E0"/>
            <w:tcMar>
              <w:top w:w="0" w:type="dxa"/>
              <w:left w:w="70" w:type="dxa"/>
              <w:bottom w:w="0" w:type="dxa"/>
              <w:right w:w="70" w:type="dxa"/>
            </w:tcMar>
            <w:hideMark/>
          </w:tcPr>
          <w:p w14:paraId="38D4A022"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Adidas</w:t>
            </w:r>
          </w:p>
        </w:tc>
        <w:tc>
          <w:tcPr>
            <w:tcW w:w="0" w:type="auto"/>
            <w:tcBorders>
              <w:top w:val="single" w:sz="4" w:space="0" w:color="AEAEAE"/>
              <w:bottom w:val="single" w:sz="4" w:space="0" w:color="AEAEAE"/>
              <w:right w:val="single" w:sz="4" w:space="0" w:color="E0E0E0"/>
            </w:tcBorders>
            <w:tcMar>
              <w:top w:w="0" w:type="dxa"/>
              <w:left w:w="70" w:type="dxa"/>
              <w:bottom w:w="0" w:type="dxa"/>
              <w:right w:w="70" w:type="dxa"/>
            </w:tcMar>
            <w:hideMark/>
          </w:tcPr>
          <w:p w14:paraId="501002C1"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40</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11468E1E"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5AC6CCDE"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17AE54CA"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15F791B1"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559CF1A4"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4,5827</w:t>
            </w:r>
          </w:p>
        </w:tc>
        <w:tc>
          <w:tcPr>
            <w:tcW w:w="0" w:type="auto"/>
            <w:tcBorders>
              <w:top w:val="single" w:sz="4" w:space="0" w:color="AEAEAE"/>
              <w:left w:val="single" w:sz="4" w:space="0" w:color="E0E0E0"/>
              <w:bottom w:val="single" w:sz="4" w:space="0" w:color="AEAEAE"/>
            </w:tcBorders>
            <w:tcMar>
              <w:top w:w="0" w:type="dxa"/>
              <w:left w:w="70" w:type="dxa"/>
              <w:bottom w:w="0" w:type="dxa"/>
              <w:right w:w="70" w:type="dxa"/>
            </w:tcMar>
            <w:hideMark/>
          </w:tcPr>
          <w:p w14:paraId="00EEFF37"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r>
      <w:tr w:rsidR="009C2A33" w:rsidRPr="0040120E" w14:paraId="6EDEFF71" w14:textId="77777777" w:rsidTr="002D7072">
        <w:trPr>
          <w:trHeight w:val="300"/>
          <w:jc w:val="center"/>
        </w:trPr>
        <w:tc>
          <w:tcPr>
            <w:tcW w:w="0" w:type="auto"/>
            <w:tcBorders>
              <w:top w:val="single" w:sz="4" w:space="0" w:color="AEAEAE"/>
              <w:bottom w:val="single" w:sz="4" w:space="0" w:color="AEAEAE"/>
            </w:tcBorders>
            <w:shd w:val="clear" w:color="auto" w:fill="E0E0E0"/>
            <w:tcMar>
              <w:top w:w="0" w:type="dxa"/>
              <w:left w:w="70" w:type="dxa"/>
              <w:bottom w:w="0" w:type="dxa"/>
              <w:right w:w="70" w:type="dxa"/>
            </w:tcMar>
            <w:hideMark/>
          </w:tcPr>
          <w:p w14:paraId="7EC7A2E3"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Mercedes</w:t>
            </w:r>
          </w:p>
        </w:tc>
        <w:tc>
          <w:tcPr>
            <w:tcW w:w="0" w:type="auto"/>
            <w:tcBorders>
              <w:top w:val="single" w:sz="4" w:space="0" w:color="AEAEAE"/>
              <w:bottom w:val="single" w:sz="4" w:space="0" w:color="AEAEAE"/>
              <w:right w:val="single" w:sz="4" w:space="0" w:color="E0E0E0"/>
            </w:tcBorders>
            <w:tcMar>
              <w:top w:w="0" w:type="dxa"/>
              <w:left w:w="70" w:type="dxa"/>
              <w:bottom w:w="0" w:type="dxa"/>
              <w:right w:w="70" w:type="dxa"/>
            </w:tcMar>
            <w:hideMark/>
          </w:tcPr>
          <w:p w14:paraId="4BC0D048"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38</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3F0330B3"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787014FF"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7EE26FE5"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4FEBAEBC"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right w:val="single" w:sz="4" w:space="0" w:color="E0E0E0"/>
            </w:tcBorders>
            <w:tcMar>
              <w:top w:w="0" w:type="dxa"/>
              <w:left w:w="70" w:type="dxa"/>
              <w:bottom w:w="0" w:type="dxa"/>
              <w:right w:w="70" w:type="dxa"/>
            </w:tcMar>
            <w:hideMark/>
          </w:tcPr>
          <w:p w14:paraId="1F9B3698"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AEAEAE"/>
            </w:tcBorders>
            <w:tcMar>
              <w:top w:w="0" w:type="dxa"/>
              <w:left w:w="70" w:type="dxa"/>
              <w:bottom w:w="0" w:type="dxa"/>
              <w:right w:w="70" w:type="dxa"/>
            </w:tcMar>
            <w:hideMark/>
          </w:tcPr>
          <w:p w14:paraId="208A25F6"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4,7136</w:t>
            </w:r>
          </w:p>
        </w:tc>
      </w:tr>
      <w:tr w:rsidR="009C2A33" w:rsidRPr="0040120E" w14:paraId="6B61948A" w14:textId="77777777" w:rsidTr="002D7072">
        <w:trPr>
          <w:trHeight w:val="300"/>
          <w:jc w:val="center"/>
        </w:trPr>
        <w:tc>
          <w:tcPr>
            <w:tcW w:w="0" w:type="auto"/>
            <w:tcBorders>
              <w:top w:val="single" w:sz="4" w:space="0" w:color="AEAEAE"/>
              <w:bottom w:val="single" w:sz="4" w:space="0" w:color="152935"/>
            </w:tcBorders>
            <w:shd w:val="clear" w:color="auto" w:fill="E0E0E0"/>
            <w:tcMar>
              <w:top w:w="0" w:type="dxa"/>
              <w:left w:w="70" w:type="dxa"/>
              <w:bottom w:w="0" w:type="dxa"/>
              <w:right w:w="70" w:type="dxa"/>
            </w:tcMar>
            <w:hideMark/>
          </w:tcPr>
          <w:p w14:paraId="7BFA9147"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Sig.</w:t>
            </w:r>
          </w:p>
        </w:tc>
        <w:tc>
          <w:tcPr>
            <w:tcW w:w="0" w:type="auto"/>
            <w:tcBorders>
              <w:top w:val="single" w:sz="4" w:space="0" w:color="AEAEAE"/>
              <w:bottom w:val="single" w:sz="4" w:space="0" w:color="152935"/>
              <w:right w:val="single" w:sz="4" w:space="0" w:color="E0E0E0"/>
            </w:tcBorders>
            <w:tcMar>
              <w:top w:w="0" w:type="dxa"/>
              <w:left w:w="70" w:type="dxa"/>
              <w:bottom w:w="0" w:type="dxa"/>
              <w:right w:w="70" w:type="dxa"/>
            </w:tcMar>
            <w:hideMark/>
          </w:tcPr>
          <w:p w14:paraId="56A43B1D" w14:textId="77777777" w:rsidR="002D7072" w:rsidRPr="0040120E" w:rsidRDefault="002D7072" w:rsidP="002D7072">
            <w:pPr>
              <w:spacing w:after="0" w:line="240" w:lineRule="auto"/>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 </w:t>
            </w:r>
          </w:p>
        </w:tc>
        <w:tc>
          <w:tcPr>
            <w:tcW w:w="0" w:type="auto"/>
            <w:tcBorders>
              <w:top w:val="single" w:sz="4" w:space="0" w:color="AEAEAE"/>
              <w:left w:val="single" w:sz="4" w:space="0" w:color="E0E0E0"/>
              <w:bottom w:val="single" w:sz="4" w:space="0" w:color="152935"/>
              <w:right w:val="single" w:sz="4" w:space="0" w:color="E0E0E0"/>
            </w:tcBorders>
            <w:tcMar>
              <w:top w:w="0" w:type="dxa"/>
              <w:left w:w="70" w:type="dxa"/>
              <w:bottom w:w="0" w:type="dxa"/>
              <w:right w:w="70" w:type="dxa"/>
            </w:tcMar>
            <w:hideMark/>
          </w:tcPr>
          <w:p w14:paraId="757CBE25"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1,000</w:t>
            </w:r>
          </w:p>
        </w:tc>
        <w:tc>
          <w:tcPr>
            <w:tcW w:w="0" w:type="auto"/>
            <w:tcBorders>
              <w:top w:val="single" w:sz="4" w:space="0" w:color="AEAEAE"/>
              <w:left w:val="single" w:sz="4" w:space="0" w:color="E0E0E0"/>
              <w:bottom w:val="single" w:sz="4" w:space="0" w:color="152935"/>
              <w:right w:val="single" w:sz="4" w:space="0" w:color="E0E0E0"/>
            </w:tcBorders>
            <w:tcMar>
              <w:top w:w="0" w:type="dxa"/>
              <w:left w:w="70" w:type="dxa"/>
              <w:bottom w:w="0" w:type="dxa"/>
              <w:right w:w="70" w:type="dxa"/>
            </w:tcMar>
            <w:hideMark/>
          </w:tcPr>
          <w:p w14:paraId="4D977FE3"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1,000</w:t>
            </w:r>
          </w:p>
        </w:tc>
        <w:tc>
          <w:tcPr>
            <w:tcW w:w="0" w:type="auto"/>
            <w:tcBorders>
              <w:top w:val="single" w:sz="4" w:space="0" w:color="AEAEAE"/>
              <w:left w:val="single" w:sz="4" w:space="0" w:color="E0E0E0"/>
              <w:bottom w:val="single" w:sz="4" w:space="0" w:color="152935"/>
              <w:right w:val="single" w:sz="4" w:space="0" w:color="E0E0E0"/>
            </w:tcBorders>
            <w:tcMar>
              <w:top w:w="0" w:type="dxa"/>
              <w:left w:w="70" w:type="dxa"/>
              <w:bottom w:w="0" w:type="dxa"/>
              <w:right w:w="70" w:type="dxa"/>
            </w:tcMar>
            <w:hideMark/>
          </w:tcPr>
          <w:p w14:paraId="4811F76A"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1,000</w:t>
            </w:r>
          </w:p>
        </w:tc>
        <w:tc>
          <w:tcPr>
            <w:tcW w:w="0" w:type="auto"/>
            <w:tcBorders>
              <w:top w:val="single" w:sz="4" w:space="0" w:color="AEAEAE"/>
              <w:left w:val="single" w:sz="4" w:space="0" w:color="E0E0E0"/>
              <w:bottom w:val="single" w:sz="4" w:space="0" w:color="152935"/>
              <w:right w:val="single" w:sz="4" w:space="0" w:color="E0E0E0"/>
            </w:tcBorders>
            <w:tcMar>
              <w:top w:w="0" w:type="dxa"/>
              <w:left w:w="70" w:type="dxa"/>
              <w:bottom w:w="0" w:type="dxa"/>
              <w:right w:w="70" w:type="dxa"/>
            </w:tcMar>
            <w:hideMark/>
          </w:tcPr>
          <w:p w14:paraId="744D7013"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0,050</w:t>
            </w:r>
          </w:p>
        </w:tc>
        <w:tc>
          <w:tcPr>
            <w:tcW w:w="0" w:type="auto"/>
            <w:tcBorders>
              <w:top w:val="single" w:sz="4" w:space="0" w:color="AEAEAE"/>
              <w:left w:val="single" w:sz="4" w:space="0" w:color="E0E0E0"/>
              <w:bottom w:val="single" w:sz="4" w:space="0" w:color="152935"/>
              <w:right w:val="single" w:sz="4" w:space="0" w:color="E0E0E0"/>
            </w:tcBorders>
            <w:tcMar>
              <w:top w:w="0" w:type="dxa"/>
              <w:left w:w="70" w:type="dxa"/>
              <w:bottom w:w="0" w:type="dxa"/>
              <w:right w:w="70" w:type="dxa"/>
            </w:tcMar>
            <w:hideMark/>
          </w:tcPr>
          <w:p w14:paraId="59D18F8C"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0,098</w:t>
            </w:r>
          </w:p>
        </w:tc>
        <w:tc>
          <w:tcPr>
            <w:tcW w:w="0" w:type="auto"/>
            <w:tcBorders>
              <w:top w:val="single" w:sz="4" w:space="0" w:color="AEAEAE"/>
              <w:left w:val="single" w:sz="4" w:space="0" w:color="E0E0E0"/>
              <w:bottom w:val="single" w:sz="4" w:space="0" w:color="152935"/>
              <w:right w:val="single" w:sz="4" w:space="0" w:color="E0E0E0"/>
            </w:tcBorders>
            <w:tcMar>
              <w:top w:w="0" w:type="dxa"/>
              <w:left w:w="70" w:type="dxa"/>
              <w:bottom w:w="0" w:type="dxa"/>
              <w:right w:w="70" w:type="dxa"/>
            </w:tcMar>
            <w:hideMark/>
          </w:tcPr>
          <w:p w14:paraId="577CD76F" w14:textId="77777777" w:rsidR="002D7072" w:rsidRPr="0040120E" w:rsidRDefault="002D7072" w:rsidP="002D7072">
            <w:pPr>
              <w:spacing w:after="0" w:line="240" w:lineRule="auto"/>
              <w:jc w:val="right"/>
              <w:rPr>
                <w:rFonts w:ascii="Times New Roman" w:eastAsia="Times New Roman" w:hAnsi="Times New Roman" w:cs="Times New Roman"/>
                <w:sz w:val="24"/>
                <w:szCs w:val="24"/>
                <w:lang w:val="en-GB" w:eastAsia="en-GB"/>
              </w:rPr>
            </w:pPr>
            <w:r w:rsidRPr="0040120E">
              <w:rPr>
                <w:rFonts w:ascii="Times New Roman" w:eastAsia="Times New Roman" w:hAnsi="Times New Roman" w:cs="Times New Roman"/>
                <w:sz w:val="24"/>
                <w:szCs w:val="24"/>
                <w:lang w:val="en-GB" w:eastAsia="en-GB"/>
              </w:rPr>
              <w:t>1,000</w:t>
            </w:r>
          </w:p>
        </w:tc>
      </w:tr>
    </w:tbl>
    <w:p w14:paraId="081C97D8" w14:textId="77777777" w:rsidR="002D7072" w:rsidRPr="0040120E" w:rsidRDefault="002D7072" w:rsidP="00532676">
      <w:pPr>
        <w:spacing w:line="480" w:lineRule="auto"/>
        <w:ind w:firstLine="360"/>
        <w:jc w:val="both"/>
        <w:rPr>
          <w:rFonts w:ascii="Times New Roman" w:hAnsi="Times New Roman" w:cs="Times New Roman"/>
          <w:sz w:val="24"/>
          <w:szCs w:val="24"/>
        </w:rPr>
      </w:pPr>
    </w:p>
    <w:p w14:paraId="68ADC0EE" w14:textId="4026B118" w:rsidR="00623376" w:rsidRPr="0040120E" w:rsidRDefault="008E1CC9" w:rsidP="00E23412">
      <w:pPr>
        <w:spacing w:line="480" w:lineRule="auto"/>
        <w:jc w:val="both"/>
        <w:rPr>
          <w:rFonts w:ascii="Times New Roman" w:hAnsi="Times New Roman" w:cs="Times New Roman"/>
          <w:b/>
          <w:sz w:val="24"/>
          <w:szCs w:val="24"/>
          <w:lang w:val="en-GB"/>
        </w:rPr>
      </w:pPr>
      <w:r w:rsidRPr="0040120E">
        <w:rPr>
          <w:rFonts w:ascii="Times New Roman" w:hAnsi="Times New Roman" w:cs="Times New Roman"/>
          <w:b/>
          <w:sz w:val="24"/>
          <w:szCs w:val="24"/>
          <w:lang w:val="en-GB"/>
        </w:rPr>
        <w:t>Discussion</w:t>
      </w:r>
    </w:p>
    <w:p w14:paraId="6C305A5D" w14:textId="2A4C9B52" w:rsidR="00090F6C" w:rsidRPr="0040120E" w:rsidRDefault="003A39B6" w:rsidP="00090F6C">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This paper suggests an operationalisation of brand heritage as a set of temporal brand associations. </w:t>
      </w:r>
      <w:r w:rsidR="007C2417" w:rsidRPr="0040120E">
        <w:rPr>
          <w:rFonts w:ascii="Times New Roman" w:hAnsi="Times New Roman" w:cs="Times New Roman"/>
          <w:sz w:val="24"/>
          <w:szCs w:val="24"/>
          <w:lang w:val="en-GB"/>
        </w:rPr>
        <w:t>One qualitative study generate</w:t>
      </w:r>
      <w:r w:rsidRPr="0040120E">
        <w:rPr>
          <w:rFonts w:ascii="Times New Roman" w:hAnsi="Times New Roman" w:cs="Times New Roman"/>
          <w:sz w:val="24"/>
          <w:szCs w:val="24"/>
          <w:lang w:val="en-GB"/>
        </w:rPr>
        <w:t>s</w:t>
      </w:r>
      <w:r w:rsidR="007C2417" w:rsidRPr="0040120E">
        <w:rPr>
          <w:rFonts w:ascii="Times New Roman" w:hAnsi="Times New Roman" w:cs="Times New Roman"/>
          <w:sz w:val="24"/>
          <w:szCs w:val="24"/>
          <w:lang w:val="en-GB"/>
        </w:rPr>
        <w:t xml:space="preserve"> items, and three surveys </w:t>
      </w:r>
      <w:r w:rsidR="00714C6B" w:rsidRPr="0040120E">
        <w:rPr>
          <w:rFonts w:ascii="Times New Roman" w:hAnsi="Times New Roman" w:cs="Times New Roman"/>
          <w:sz w:val="24"/>
          <w:szCs w:val="24"/>
          <w:lang w:val="en-GB"/>
        </w:rPr>
        <w:t xml:space="preserve">(with more than 1,500 respondents in total) </w:t>
      </w:r>
      <w:r w:rsidR="007C2417" w:rsidRPr="0040120E">
        <w:rPr>
          <w:rFonts w:ascii="Times New Roman" w:hAnsi="Times New Roman" w:cs="Times New Roman"/>
          <w:sz w:val="24"/>
          <w:szCs w:val="24"/>
          <w:lang w:val="en-GB"/>
        </w:rPr>
        <w:t xml:space="preserve">show the reliability and validity of a 10-item scale to measure this perception. </w:t>
      </w:r>
      <w:r w:rsidR="00090F6C" w:rsidRPr="0040120E">
        <w:rPr>
          <w:rFonts w:ascii="Times New Roman" w:hAnsi="Times New Roman" w:cs="Times New Roman"/>
          <w:sz w:val="24"/>
          <w:szCs w:val="24"/>
          <w:lang w:val="en-GB"/>
        </w:rPr>
        <w:t>The structure of the scale</w:t>
      </w:r>
      <w:r w:rsidRPr="0040120E">
        <w:rPr>
          <w:rFonts w:ascii="Times New Roman" w:hAnsi="Times New Roman" w:cs="Times New Roman"/>
          <w:sz w:val="24"/>
          <w:szCs w:val="24"/>
          <w:lang w:val="en-GB"/>
        </w:rPr>
        <w:t xml:space="preserve"> with three dimensions (stability, longevity, adaptability)</w:t>
      </w:r>
      <w:r w:rsidR="00090F6C" w:rsidRPr="0040120E">
        <w:rPr>
          <w:rFonts w:ascii="Times New Roman" w:hAnsi="Times New Roman" w:cs="Times New Roman"/>
          <w:sz w:val="24"/>
          <w:szCs w:val="24"/>
          <w:lang w:val="en-GB"/>
        </w:rPr>
        <w:t xml:space="preserve"> is stable across product categories; it also</w:t>
      </w:r>
      <w:r w:rsidR="009350D0" w:rsidRPr="0040120E">
        <w:rPr>
          <w:rFonts w:ascii="Times New Roman" w:hAnsi="Times New Roman" w:cs="Times New Roman"/>
          <w:sz w:val="24"/>
          <w:szCs w:val="24"/>
          <w:lang w:val="en-GB"/>
        </w:rPr>
        <w:t xml:space="preserve"> proves to be</w:t>
      </w:r>
      <w:r w:rsidR="00090F6C" w:rsidRPr="0040120E">
        <w:rPr>
          <w:rFonts w:ascii="Times New Roman" w:hAnsi="Times New Roman" w:cs="Times New Roman"/>
          <w:sz w:val="24"/>
          <w:szCs w:val="24"/>
          <w:lang w:val="en-GB"/>
        </w:rPr>
        <w:t xml:space="preserve"> able to differentiate brands</w:t>
      </w:r>
      <w:r w:rsidR="009350D0" w:rsidRPr="0040120E">
        <w:rPr>
          <w:rFonts w:ascii="Times New Roman" w:hAnsi="Times New Roman" w:cs="Times New Roman"/>
          <w:sz w:val="24"/>
          <w:szCs w:val="24"/>
          <w:lang w:val="en-GB"/>
        </w:rPr>
        <w:t xml:space="preserve"> within a category</w:t>
      </w:r>
      <w:r w:rsidR="00090F6C" w:rsidRPr="0040120E">
        <w:rPr>
          <w:rFonts w:ascii="Times New Roman" w:hAnsi="Times New Roman" w:cs="Times New Roman"/>
          <w:sz w:val="24"/>
          <w:szCs w:val="24"/>
          <w:lang w:val="en-GB"/>
        </w:rPr>
        <w:t xml:space="preserve">. </w:t>
      </w:r>
      <w:r w:rsidRPr="0040120E">
        <w:rPr>
          <w:rFonts w:ascii="Times New Roman" w:hAnsi="Times New Roman" w:cs="Times New Roman"/>
          <w:sz w:val="24"/>
          <w:szCs w:val="24"/>
          <w:lang w:val="en-GB"/>
        </w:rPr>
        <w:t xml:space="preserve">Finally, brand </w:t>
      </w:r>
      <w:r w:rsidR="00A21FA2" w:rsidRPr="0040120E">
        <w:rPr>
          <w:rFonts w:ascii="Times New Roman" w:hAnsi="Times New Roman" w:cs="Times New Roman"/>
          <w:sz w:val="24"/>
          <w:szCs w:val="24"/>
          <w:lang w:val="en-GB"/>
        </w:rPr>
        <w:t>heritage is found to be positively correlated to, but different from, brand credibility and personal nostalgia.</w:t>
      </w:r>
      <w:r w:rsidR="00090F6C" w:rsidRPr="0040120E">
        <w:rPr>
          <w:rFonts w:ascii="Times New Roman" w:hAnsi="Times New Roman" w:cs="Times New Roman"/>
          <w:sz w:val="24"/>
          <w:szCs w:val="24"/>
          <w:lang w:val="en-GB"/>
        </w:rPr>
        <w:t xml:space="preserve"> </w:t>
      </w:r>
    </w:p>
    <w:p w14:paraId="370E5E80" w14:textId="40B1D9A5" w:rsidR="007C2417" w:rsidRPr="0040120E" w:rsidRDefault="007C2417" w:rsidP="007C2417">
      <w:pPr>
        <w:spacing w:line="480" w:lineRule="auto"/>
        <w:ind w:firstLine="360"/>
        <w:jc w:val="both"/>
        <w:rPr>
          <w:rFonts w:ascii="Times New Roman" w:hAnsi="Times New Roman" w:cs="Times New Roman"/>
          <w:sz w:val="24"/>
          <w:szCs w:val="24"/>
          <w:lang w:val="en-GB"/>
        </w:rPr>
      </w:pPr>
    </w:p>
    <w:p w14:paraId="33A1396F" w14:textId="7CE40DB3" w:rsidR="007003DB" w:rsidRPr="0040120E" w:rsidRDefault="00F17D0B" w:rsidP="00E23412">
      <w:pPr>
        <w:spacing w:line="480" w:lineRule="auto"/>
        <w:jc w:val="both"/>
        <w:rPr>
          <w:rFonts w:ascii="Times New Roman" w:hAnsi="Times New Roman" w:cs="Times New Roman"/>
          <w:b/>
          <w:i/>
          <w:sz w:val="24"/>
          <w:szCs w:val="24"/>
          <w:lang w:val="en-GB"/>
        </w:rPr>
      </w:pPr>
      <w:r w:rsidRPr="0040120E">
        <w:rPr>
          <w:rFonts w:ascii="Times New Roman" w:hAnsi="Times New Roman" w:cs="Times New Roman"/>
          <w:b/>
          <w:i/>
          <w:sz w:val="24"/>
          <w:szCs w:val="24"/>
          <w:lang w:val="en-GB"/>
        </w:rPr>
        <w:t xml:space="preserve">Theoretical and </w:t>
      </w:r>
      <w:r w:rsidR="00262A2B" w:rsidRPr="0040120E">
        <w:rPr>
          <w:rFonts w:ascii="Times New Roman" w:hAnsi="Times New Roman" w:cs="Times New Roman"/>
          <w:b/>
          <w:i/>
          <w:sz w:val="24"/>
          <w:szCs w:val="24"/>
          <w:lang w:val="en-GB"/>
        </w:rPr>
        <w:t>C</w:t>
      </w:r>
      <w:r w:rsidRPr="0040120E">
        <w:rPr>
          <w:rFonts w:ascii="Times New Roman" w:hAnsi="Times New Roman" w:cs="Times New Roman"/>
          <w:b/>
          <w:i/>
          <w:sz w:val="24"/>
          <w:szCs w:val="24"/>
          <w:lang w:val="en-GB"/>
        </w:rPr>
        <w:t xml:space="preserve">onceptual </w:t>
      </w:r>
      <w:r w:rsidR="00262A2B" w:rsidRPr="0040120E">
        <w:rPr>
          <w:rFonts w:ascii="Times New Roman" w:hAnsi="Times New Roman" w:cs="Times New Roman"/>
          <w:b/>
          <w:i/>
          <w:sz w:val="24"/>
          <w:szCs w:val="24"/>
          <w:lang w:val="en-GB"/>
        </w:rPr>
        <w:t>C</w:t>
      </w:r>
      <w:r w:rsidRPr="0040120E">
        <w:rPr>
          <w:rFonts w:ascii="Times New Roman" w:hAnsi="Times New Roman" w:cs="Times New Roman"/>
          <w:b/>
          <w:i/>
          <w:sz w:val="24"/>
          <w:szCs w:val="24"/>
          <w:lang w:val="en-GB"/>
        </w:rPr>
        <w:t xml:space="preserve">ontributions </w:t>
      </w:r>
    </w:p>
    <w:p w14:paraId="472405A7" w14:textId="44E9D00F" w:rsidR="00F17D0B" w:rsidRPr="0040120E" w:rsidRDefault="007003DB" w:rsidP="007003DB">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lastRenderedPageBreak/>
        <w:t xml:space="preserve">This </w:t>
      </w:r>
      <w:r w:rsidR="003771CA" w:rsidRPr="0040120E">
        <w:rPr>
          <w:rFonts w:ascii="Times New Roman" w:hAnsi="Times New Roman" w:cs="Times New Roman"/>
          <w:sz w:val="24"/>
          <w:szCs w:val="24"/>
          <w:lang w:val="en-GB"/>
        </w:rPr>
        <w:t>research</w:t>
      </w:r>
      <w:r w:rsidR="003A39B6" w:rsidRPr="0040120E">
        <w:rPr>
          <w:rFonts w:ascii="Times New Roman" w:hAnsi="Times New Roman" w:cs="Times New Roman"/>
          <w:sz w:val="24"/>
          <w:szCs w:val="24"/>
          <w:lang w:val="en-GB"/>
        </w:rPr>
        <w:t xml:space="preserve"> primarily</w:t>
      </w:r>
      <w:r w:rsidR="003771CA" w:rsidRPr="0040120E">
        <w:rPr>
          <w:rFonts w:ascii="Times New Roman" w:hAnsi="Times New Roman" w:cs="Times New Roman"/>
          <w:sz w:val="24"/>
          <w:szCs w:val="24"/>
          <w:lang w:val="en-GB"/>
        </w:rPr>
        <w:t xml:space="preserve"> </w:t>
      </w:r>
      <w:r w:rsidR="00F17D0B" w:rsidRPr="0040120E">
        <w:rPr>
          <w:rFonts w:ascii="Times New Roman" w:hAnsi="Times New Roman" w:cs="Times New Roman"/>
          <w:sz w:val="24"/>
          <w:szCs w:val="24"/>
          <w:lang w:val="en-GB"/>
        </w:rPr>
        <w:t>contributes to</w:t>
      </w:r>
      <w:r w:rsidR="003A39B6" w:rsidRPr="0040120E">
        <w:rPr>
          <w:rFonts w:ascii="Times New Roman" w:hAnsi="Times New Roman" w:cs="Times New Roman"/>
          <w:sz w:val="24"/>
          <w:szCs w:val="24"/>
          <w:lang w:val="en-GB"/>
        </w:rPr>
        <w:t xml:space="preserve"> brand management: not only to the research on brand heritage, but also to the research on time perception in marketing. </w:t>
      </w:r>
      <w:r w:rsidR="00F17D0B" w:rsidRPr="0040120E">
        <w:rPr>
          <w:rFonts w:ascii="Times New Roman" w:hAnsi="Times New Roman" w:cs="Times New Roman"/>
          <w:sz w:val="24"/>
          <w:szCs w:val="24"/>
          <w:lang w:val="en-GB"/>
        </w:rPr>
        <w:t xml:space="preserve"> </w:t>
      </w:r>
      <w:r w:rsidR="003A39B6" w:rsidRPr="0040120E">
        <w:rPr>
          <w:rFonts w:ascii="Times New Roman" w:hAnsi="Times New Roman" w:cs="Times New Roman"/>
          <w:sz w:val="24"/>
          <w:szCs w:val="24"/>
          <w:lang w:val="en-GB"/>
        </w:rPr>
        <w:t>It also contributes</w:t>
      </w:r>
      <w:r w:rsidR="00F17D0B" w:rsidRPr="0040120E">
        <w:rPr>
          <w:rFonts w:ascii="Times New Roman" w:hAnsi="Times New Roman" w:cs="Times New Roman"/>
          <w:sz w:val="24"/>
          <w:szCs w:val="24"/>
          <w:lang w:val="en-GB"/>
        </w:rPr>
        <w:t xml:space="preserve"> to other </w:t>
      </w:r>
      <w:r w:rsidR="009350D0" w:rsidRPr="0040120E">
        <w:rPr>
          <w:rFonts w:ascii="Times New Roman" w:hAnsi="Times New Roman" w:cs="Times New Roman"/>
          <w:sz w:val="24"/>
          <w:szCs w:val="24"/>
          <w:lang w:val="en-GB"/>
        </w:rPr>
        <w:t>disciplines</w:t>
      </w:r>
      <w:r w:rsidR="00F17D0B" w:rsidRPr="0040120E">
        <w:rPr>
          <w:rFonts w:ascii="Times New Roman" w:hAnsi="Times New Roman" w:cs="Times New Roman"/>
          <w:sz w:val="24"/>
          <w:szCs w:val="24"/>
          <w:lang w:val="en-GB"/>
        </w:rPr>
        <w:t xml:space="preserve"> interested in the perception of heritage in other contexts. </w:t>
      </w:r>
    </w:p>
    <w:p w14:paraId="74C54DA4" w14:textId="55E92EB8" w:rsidR="00CF4EC0" w:rsidRPr="0040120E" w:rsidRDefault="00F17D0B" w:rsidP="009C2A33">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First, the results contribute</w:t>
      </w:r>
      <w:r w:rsidR="007003DB" w:rsidRPr="0040120E">
        <w:rPr>
          <w:rFonts w:ascii="Times New Roman" w:hAnsi="Times New Roman" w:cs="Times New Roman"/>
          <w:sz w:val="24"/>
          <w:szCs w:val="24"/>
          <w:lang w:val="en-GB"/>
        </w:rPr>
        <w:t xml:space="preserve"> to the research</w:t>
      </w:r>
      <w:r w:rsidR="00BB6427" w:rsidRPr="0040120E">
        <w:rPr>
          <w:rFonts w:ascii="Times New Roman" w:hAnsi="Times New Roman" w:cs="Times New Roman"/>
          <w:sz w:val="24"/>
          <w:szCs w:val="24"/>
          <w:lang w:val="en-GB"/>
        </w:rPr>
        <w:t xml:space="preserve"> on</w:t>
      </w:r>
      <w:r w:rsidR="009C0560" w:rsidRPr="0040120E">
        <w:rPr>
          <w:rFonts w:ascii="Times New Roman" w:hAnsi="Times New Roman" w:cs="Times New Roman"/>
          <w:sz w:val="24"/>
          <w:szCs w:val="24"/>
          <w:lang w:val="en-GB"/>
        </w:rPr>
        <w:t xml:space="preserve"> </w:t>
      </w:r>
      <w:r w:rsidR="007003DB" w:rsidRPr="0040120E">
        <w:rPr>
          <w:rFonts w:ascii="Times New Roman" w:hAnsi="Times New Roman" w:cs="Times New Roman"/>
          <w:sz w:val="24"/>
          <w:szCs w:val="24"/>
          <w:lang w:val="en-GB"/>
        </w:rPr>
        <w:t>brand heritage</w:t>
      </w:r>
      <w:r w:rsidR="00BA08C0" w:rsidRPr="0040120E">
        <w:rPr>
          <w:rFonts w:ascii="Times New Roman" w:hAnsi="Times New Roman" w:cs="Times New Roman"/>
          <w:sz w:val="24"/>
          <w:szCs w:val="24"/>
          <w:lang w:val="en-GB"/>
        </w:rPr>
        <w:t xml:space="preserve">. </w:t>
      </w:r>
      <w:r w:rsidR="00BB6427" w:rsidRPr="0040120E">
        <w:rPr>
          <w:rFonts w:ascii="Times New Roman" w:hAnsi="Times New Roman" w:cs="Times New Roman"/>
          <w:sz w:val="24"/>
          <w:szCs w:val="24"/>
          <w:lang w:val="en-GB"/>
        </w:rPr>
        <w:t>Building on a temporal approach of the concept, we distinguish its perception from other perceptual concepts. It proves different from authenticity</w:t>
      </w:r>
      <w:r w:rsidR="00CE297B" w:rsidRPr="0040120E">
        <w:rPr>
          <w:rFonts w:ascii="Times New Roman" w:hAnsi="Times New Roman" w:cs="Times New Roman"/>
          <w:sz w:val="24"/>
          <w:szCs w:val="24"/>
          <w:lang w:val="en-GB"/>
        </w:rPr>
        <w:t>,</w:t>
      </w:r>
      <w:r w:rsidR="00BB6427" w:rsidRPr="0040120E">
        <w:rPr>
          <w:rFonts w:ascii="Times New Roman" w:hAnsi="Times New Roman" w:cs="Times New Roman"/>
          <w:sz w:val="24"/>
          <w:szCs w:val="24"/>
          <w:lang w:val="en-GB"/>
        </w:rPr>
        <w:t xml:space="preserve"> which captures genuineness and goes beyond temporal perceptions (</w:t>
      </w:r>
      <w:r w:rsidR="006142EE" w:rsidRPr="0040120E">
        <w:rPr>
          <w:rFonts w:ascii="Times New Roman" w:hAnsi="Times New Roman" w:cs="Times New Roman"/>
          <w:sz w:val="24"/>
          <w:szCs w:val="24"/>
          <w:lang w:val="en-GB"/>
        </w:rPr>
        <w:t xml:space="preserve">Guevremont, 2018; </w:t>
      </w:r>
      <w:r w:rsidR="00BB6427" w:rsidRPr="0040120E">
        <w:rPr>
          <w:rFonts w:ascii="Times New Roman" w:hAnsi="Times New Roman" w:cs="Times New Roman"/>
          <w:sz w:val="24"/>
          <w:szCs w:val="24"/>
          <w:lang w:val="en-GB"/>
        </w:rPr>
        <w:t>Morhart et al., 2015), and from nostalgia</w:t>
      </w:r>
      <w:r w:rsidR="00CE297B" w:rsidRPr="0040120E">
        <w:rPr>
          <w:rFonts w:ascii="Times New Roman" w:hAnsi="Times New Roman" w:cs="Times New Roman"/>
          <w:sz w:val="24"/>
          <w:szCs w:val="24"/>
          <w:lang w:val="en-GB"/>
        </w:rPr>
        <w:t>,</w:t>
      </w:r>
      <w:r w:rsidR="00BB6427" w:rsidRPr="0040120E">
        <w:rPr>
          <w:rFonts w:ascii="Times New Roman" w:hAnsi="Times New Roman" w:cs="Times New Roman"/>
          <w:sz w:val="24"/>
          <w:szCs w:val="24"/>
          <w:lang w:val="en-GB"/>
        </w:rPr>
        <w:t xml:space="preserve"> </w:t>
      </w:r>
      <w:r w:rsidR="00CE297B" w:rsidRPr="0040120E">
        <w:rPr>
          <w:rFonts w:ascii="Times New Roman" w:hAnsi="Times New Roman" w:cs="Times New Roman"/>
          <w:sz w:val="24"/>
          <w:szCs w:val="24"/>
          <w:lang w:val="en-GB"/>
        </w:rPr>
        <w:t>which</w:t>
      </w:r>
      <w:r w:rsidR="00BB6427" w:rsidRPr="0040120E">
        <w:rPr>
          <w:rFonts w:ascii="Times New Roman" w:hAnsi="Times New Roman" w:cs="Times New Roman"/>
          <w:sz w:val="24"/>
          <w:szCs w:val="24"/>
          <w:lang w:val="en-GB"/>
        </w:rPr>
        <w:t xml:space="preserve"> requires an interaction with the consumers’ own or fantasised past </w:t>
      </w:r>
      <w:r w:rsidR="00BB6427" w:rsidRPr="0040120E">
        <w:rPr>
          <w:rFonts w:ascii="Times New Roman" w:hAnsi="Times New Roman" w:cs="Times New Roman"/>
          <w:sz w:val="24"/>
          <w:szCs w:val="24"/>
          <w:lang w:val="en-GB"/>
        </w:rPr>
        <w:fldChar w:fldCharType="begin" w:fldLock="1"/>
      </w:r>
      <w:r w:rsidR="006142EE" w:rsidRPr="0040120E">
        <w:rPr>
          <w:rFonts w:ascii="Times New Roman" w:hAnsi="Times New Roman" w:cs="Times New Roman"/>
          <w:sz w:val="24"/>
          <w:szCs w:val="24"/>
          <w:lang w:val="en-GB"/>
        </w:rPr>
        <w:instrText>ADDIN CSL_CITATION {"citationItems":[{"id":"ITEM-1","itemData":{"DOI":"10.1002/mar.10074","ISBN":"0742-6046","ISSN":"07426046","PMID":"9345523","abstract":"Studies of music, motion pictures, movie stars, and fashion products have shown that styles popular during a consumer's youth can influence the consumer's lifelong preferences. The authors present an integrative model of this phenomenon and propose that these nostalgic effects are not limited to products that relate to the arts and entertainment or are primarily aesthetic. As an illustrative example, the authors investigate the effects of early experience on consumer preferences (aged 16-92 yrs old) for automobile styles. Consistent with expectations, they find that men do but women do not show evidence of nostalgic attachment to the styles experienced in their youth--that is, their preferences peaked for products that were popular when they were young. Also, as expected, individual differences in the psychographic variable of nostalgia proneness play a role in moderating these effects. These findings expend the understanding of the generality, the boundaries, and the managerial relevance of the age-related peak-preference phenomenon. (PsycINFO Database Record (c) 2012 APA, all rights reserved)","author":[{"dropping-particle":"","family":"Schindler","given":"Robert M.","non-dropping-particle":"","parse-names":false,"suffix":""},{"dropping-particle":"","family":"Holbrook","given":"Morris B.","non-dropping-particle":"","parse-names":false,"suffix":""}],"container-title":"Psychology &amp; Marketing","id":"ITEM-1","issue":"4","issued":{"date-parts":[["2003"]]},"page":"275-302","title":"Nostalgia for Early Experience as a Determinant of Consumer Preferences","type":"article-journal","volume":"20"},"uris":["http://www.mendeley.com/documents/?uuid=a83774e5-d97f-4af9-88d7-5dd4439abe79"]},{"id":"ITEM-2","itemData":{"DOI":"10.1016/j.jbusres.2017.09.049","ISSN":"01482963","abstract":"Scale development in a cross-cultural context is demanding and exacting. The purpose of this paper is to follow the necessary protocols to examine the emerging construct of brand nostalgia. This research contributes to the literature by developing a rigorously tested, reliable and valid scale to measure the multi-dimensional nature of brand nostalgia across two countries – Belgium and the U.S. Following the rigorous scale development procedures suggested by Churchill (1979) and Devellis (2003), emic (country and market-specific) scales are developed in Belgium and the United States through a series of iterative studies. By using items common to both emic scales, a derived etic scale is created and tested. The scale's robustness is validated via tests of invariance, dimensionality, reliability, discriminant and nomological validity. Suggestions for future research and managerial implications are provided.","author":[{"dropping-particle":"","family":"Ford","given":"John B.","non-dropping-particle":"","parse-names":false,"suffix":""},{"dropping-particle":"","family":"Merchant","given":"Altaf","non-dropping-particle":"","parse-names":false,"suffix":""},{"dropping-particle":"","family":"Bartier","given":"Anne Laure","non-dropping-particle":"","parse-names":false,"suffix":""},{"dropping-particle":"","family":"Friedman","given":"Mike","non-dropping-particle":"","parse-names":false,"suffix":""}],"container-title":"Journal of Business Research","id":"ITEM-2","issue":"September 2017","issued":{"date-parts":[["2018"]]},"page":"19-29","publisher":"Elsevier","title":"The cross-cultural scale development process: The case of brand-evoked nostalgia in Belgium and the United States","type":"article-journal","volume":"83"},"uris":["http://www.mendeley.com/documents/?uuid=cf5817db-6292-460b-ad4e-60db062e349d"]}],"mendeley":{"formattedCitation":"(Ford et al., 2018; Schindler &amp; Holbrook, 2003)","plainTextFormattedCitation":"(Ford et al., 2018; Schindler &amp; Holbrook, 2003)","previouslyFormattedCitation":"(Ford et al., 2018; Schindler &amp; Holbrook, 2003)"},"properties":{"noteIndex":0},"schema":"https://github.com/citation-style-language/schema/raw/master/csl-citation.json"}</w:instrText>
      </w:r>
      <w:r w:rsidR="00BB6427" w:rsidRPr="0040120E">
        <w:rPr>
          <w:rFonts w:ascii="Times New Roman" w:hAnsi="Times New Roman" w:cs="Times New Roman"/>
          <w:sz w:val="24"/>
          <w:szCs w:val="24"/>
          <w:lang w:val="en-GB"/>
        </w:rPr>
        <w:fldChar w:fldCharType="separate"/>
      </w:r>
      <w:r w:rsidR="006142EE" w:rsidRPr="0040120E">
        <w:rPr>
          <w:rFonts w:ascii="Times New Roman" w:hAnsi="Times New Roman" w:cs="Times New Roman"/>
          <w:noProof/>
          <w:sz w:val="24"/>
          <w:szCs w:val="24"/>
          <w:lang w:val="en-GB"/>
        </w:rPr>
        <w:t>(Ford et al., 2018; Schindler &amp; Holbrook, 2003)</w:t>
      </w:r>
      <w:r w:rsidR="00BB6427" w:rsidRPr="0040120E">
        <w:rPr>
          <w:rFonts w:ascii="Times New Roman" w:hAnsi="Times New Roman" w:cs="Times New Roman"/>
          <w:sz w:val="24"/>
          <w:szCs w:val="24"/>
          <w:lang w:val="en-GB"/>
        </w:rPr>
        <w:fldChar w:fldCharType="end"/>
      </w:r>
      <w:r w:rsidR="00BB6427" w:rsidRPr="0040120E">
        <w:rPr>
          <w:rFonts w:ascii="Times New Roman" w:hAnsi="Times New Roman" w:cs="Times New Roman"/>
          <w:sz w:val="24"/>
          <w:szCs w:val="24"/>
          <w:lang w:val="en-GB"/>
        </w:rPr>
        <w:t xml:space="preserve">. </w:t>
      </w:r>
      <w:r w:rsidR="00090F6C" w:rsidRPr="0040120E">
        <w:rPr>
          <w:rFonts w:ascii="Times New Roman" w:hAnsi="Times New Roman" w:cs="Times New Roman"/>
          <w:sz w:val="24"/>
          <w:szCs w:val="24"/>
          <w:lang w:val="en-GB"/>
        </w:rPr>
        <w:t>There are other conceptualisation</w:t>
      </w:r>
      <w:r w:rsidR="0073719E" w:rsidRPr="0040120E">
        <w:rPr>
          <w:rFonts w:ascii="Times New Roman" w:hAnsi="Times New Roman" w:cs="Times New Roman"/>
          <w:sz w:val="24"/>
          <w:szCs w:val="24"/>
          <w:lang w:val="en-GB"/>
        </w:rPr>
        <w:t>s</w:t>
      </w:r>
      <w:r w:rsidR="00090F6C" w:rsidRPr="0040120E">
        <w:rPr>
          <w:rFonts w:ascii="Times New Roman" w:hAnsi="Times New Roman" w:cs="Times New Roman"/>
          <w:sz w:val="24"/>
          <w:szCs w:val="24"/>
          <w:lang w:val="en-GB"/>
        </w:rPr>
        <w:t xml:space="preserve"> of heritage incorporating authenticity, but we argue that our </w:t>
      </w:r>
      <w:r w:rsidR="00BB6427" w:rsidRPr="0040120E">
        <w:rPr>
          <w:rFonts w:ascii="Times New Roman" w:hAnsi="Times New Roman" w:cs="Times New Roman"/>
          <w:sz w:val="24"/>
          <w:szCs w:val="24"/>
          <w:lang w:val="en-GB"/>
        </w:rPr>
        <w:t>approach through</w:t>
      </w:r>
      <w:r w:rsidR="00090F6C" w:rsidRPr="0040120E">
        <w:rPr>
          <w:rFonts w:ascii="Times New Roman" w:hAnsi="Times New Roman" w:cs="Times New Roman"/>
          <w:sz w:val="24"/>
          <w:szCs w:val="24"/>
          <w:lang w:val="en-GB"/>
        </w:rPr>
        <w:t xml:space="preserve"> temporality is consistent </w:t>
      </w:r>
      <w:r w:rsidR="00BB6427" w:rsidRPr="0040120E">
        <w:rPr>
          <w:rFonts w:ascii="Times New Roman" w:hAnsi="Times New Roman" w:cs="Times New Roman"/>
          <w:sz w:val="24"/>
          <w:szCs w:val="24"/>
          <w:lang w:val="en-GB"/>
        </w:rPr>
        <w:t>with the focus on omni-temporality, intergenerational continuity and relative invariance as core characteristics of corporate heritage (Balmer &amp; Burghausen, 2018)</w:t>
      </w:r>
      <w:r w:rsidR="006142EE" w:rsidRPr="0040120E">
        <w:rPr>
          <w:rFonts w:ascii="Times New Roman" w:hAnsi="Times New Roman" w:cs="Times New Roman"/>
          <w:sz w:val="24"/>
          <w:szCs w:val="24"/>
          <w:lang w:val="en-GB"/>
        </w:rPr>
        <w:t xml:space="preserve">, as well as with conceptualisation of authenticity as non-temporal </w:t>
      </w:r>
      <w:r w:rsidR="006142EE" w:rsidRPr="0040120E">
        <w:rPr>
          <w:rFonts w:ascii="Times New Roman" w:hAnsi="Times New Roman" w:cs="Times New Roman"/>
          <w:sz w:val="24"/>
          <w:szCs w:val="24"/>
          <w:lang w:val="en-GB"/>
        </w:rPr>
        <w:fldChar w:fldCharType="begin" w:fldLock="1"/>
      </w:r>
      <w:r w:rsidR="00240CE4" w:rsidRPr="0040120E">
        <w:rPr>
          <w:rFonts w:ascii="Times New Roman" w:hAnsi="Times New Roman" w:cs="Times New Roman"/>
          <w:sz w:val="24"/>
          <w:szCs w:val="24"/>
          <w:lang w:val="en-GB"/>
        </w:rPr>
        <w:instrText>ADDIN CSL_CITATION {"citationItems":[{"id":"ITEM-1","itemData":{"DOI":"10.1002/cb.1735","ISBN":"1472-0817","ISSN":"14791838","abstract":"Consumers increasingly seek authenticity in the brands they consume. Although studied extensively, brand authenticity appears to be restricted to older, more timeless brands. This article challenges previous research findings by examining whether or not young brands can be perceived as authentic and, if so, how? Adopting a holistic view, the author investigates interpretation-by consumers-and construction-by the brand-of an authentic image in the case of a young brand. The twofold objective of this research involves identifying dimensions of consumer-perceived brand authenticity in the early stages of the development of an authentic brand and then understanding the practices employed by the brand to support the observed dimensions of authenticity. Supplemented by seven individual interviews, a netnography of the online community of a young brand quickly recognized for authenticity reveals three central dimensions of authenticity, namely, transparency, virtuousness, and proximity. An analysis of brand publications within the community further expose the interplay of indexical (i.e., evidence-based authenticity signals) and iconic cues (i.e., impression-based authenticity signals) in support of the dimensions. Findings substantiate the prevalence of brand transparency over both virtuousness and proximity in the early stages of the development of an authentic brand. In addition, although indexical cues dominate in conveying transparency, iconic cues prove central to virtuousness, and both signal proximity. The article, the first to broach the construction of authenticity for a young brand, enhances the corpus of knowledge on authenticity through a re-examination of the significance and construction of the concept.","author":[{"dropping-particle":"","family":"Guèvremont","given":"Amélie","non-dropping-particle":"","parse-names":false,"suffix":""}],"container-title":"Journal of Consumer Behaviour","id":"ITEM-1","issue":"6","issued":{"date-parts":[["2018"]]},"page":"505-518","title":"Creating and interpreting brand authenticity: The case of a young brand","type":"article-journal","volume":"17"},"uris":["http://www.mendeley.com/documents/?uuid=32738e9f-ee9f-4ef1-9ee2-41b7d54d1370"]}],"mendeley":{"formattedCitation":"(Guèvremont, 2018)","plainTextFormattedCitation":"(Guèvremont, 2018)","previouslyFormattedCitation":"(Guèvremont, 2018)"},"properties":{"noteIndex":0},"schema":"https://github.com/citation-style-language/schema/raw/master/csl-citation.json"}</w:instrText>
      </w:r>
      <w:r w:rsidR="006142EE" w:rsidRPr="0040120E">
        <w:rPr>
          <w:rFonts w:ascii="Times New Roman" w:hAnsi="Times New Roman" w:cs="Times New Roman"/>
          <w:sz w:val="24"/>
          <w:szCs w:val="24"/>
          <w:lang w:val="en-GB"/>
        </w:rPr>
        <w:fldChar w:fldCharType="separate"/>
      </w:r>
      <w:r w:rsidR="006142EE" w:rsidRPr="0040120E">
        <w:rPr>
          <w:rFonts w:ascii="Times New Roman" w:hAnsi="Times New Roman" w:cs="Times New Roman"/>
          <w:noProof/>
          <w:sz w:val="24"/>
          <w:szCs w:val="24"/>
          <w:lang w:val="en-GB"/>
        </w:rPr>
        <w:t>(Guèvremont, 2018)</w:t>
      </w:r>
      <w:r w:rsidR="006142EE" w:rsidRPr="0040120E">
        <w:rPr>
          <w:rFonts w:ascii="Times New Roman" w:hAnsi="Times New Roman" w:cs="Times New Roman"/>
          <w:sz w:val="24"/>
          <w:szCs w:val="24"/>
          <w:lang w:val="en-GB"/>
        </w:rPr>
        <w:fldChar w:fldCharType="end"/>
      </w:r>
      <w:r w:rsidR="00BB6427" w:rsidRPr="0040120E">
        <w:rPr>
          <w:rFonts w:ascii="Times New Roman" w:hAnsi="Times New Roman" w:cs="Times New Roman"/>
          <w:sz w:val="24"/>
          <w:szCs w:val="24"/>
          <w:lang w:val="en-GB"/>
        </w:rPr>
        <w:t xml:space="preserve">. It is also consistent </w:t>
      </w:r>
      <w:r w:rsidR="00090F6C" w:rsidRPr="0040120E">
        <w:rPr>
          <w:rFonts w:ascii="Times New Roman" w:hAnsi="Times New Roman" w:cs="Times New Roman"/>
          <w:sz w:val="24"/>
          <w:szCs w:val="24"/>
          <w:lang w:val="en-GB"/>
        </w:rPr>
        <w:t>with the meaning of heritage in other social sciences</w:t>
      </w:r>
      <w:r w:rsidR="00BB6427" w:rsidRPr="0040120E">
        <w:rPr>
          <w:rFonts w:ascii="Times New Roman" w:hAnsi="Times New Roman" w:cs="Times New Roman"/>
          <w:sz w:val="24"/>
          <w:szCs w:val="24"/>
          <w:lang w:val="en-GB"/>
        </w:rPr>
        <w:t xml:space="preserve"> (Hartog, 2015; Smith, 1991)</w:t>
      </w:r>
      <w:r w:rsidR="0073719E" w:rsidRPr="0040120E">
        <w:rPr>
          <w:rFonts w:ascii="Times New Roman" w:hAnsi="Times New Roman" w:cs="Times New Roman"/>
          <w:sz w:val="24"/>
          <w:szCs w:val="24"/>
          <w:lang w:val="en-GB"/>
        </w:rPr>
        <w:t xml:space="preserve">. </w:t>
      </w:r>
    </w:p>
    <w:p w14:paraId="55FF3902" w14:textId="194B31E1" w:rsidR="007003DB" w:rsidRPr="0040120E" w:rsidRDefault="00BB6427" w:rsidP="009C2A33">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W</w:t>
      </w:r>
      <w:r w:rsidR="007003DB" w:rsidRPr="0040120E">
        <w:rPr>
          <w:rFonts w:ascii="Times New Roman" w:hAnsi="Times New Roman" w:cs="Times New Roman"/>
          <w:sz w:val="24"/>
          <w:szCs w:val="24"/>
          <w:lang w:val="en-GB"/>
        </w:rPr>
        <w:t>e demonstrate that the perception of brand heritage includes</w:t>
      </w:r>
      <w:r w:rsidR="00090F6C" w:rsidRPr="0040120E">
        <w:rPr>
          <w:rFonts w:ascii="Times New Roman" w:hAnsi="Times New Roman" w:cs="Times New Roman"/>
          <w:sz w:val="24"/>
          <w:szCs w:val="24"/>
          <w:lang w:val="en-GB"/>
        </w:rPr>
        <w:t xml:space="preserve"> </w:t>
      </w:r>
      <w:r w:rsidR="00A6142D" w:rsidRPr="0040120E">
        <w:rPr>
          <w:rFonts w:ascii="Times New Roman" w:hAnsi="Times New Roman" w:cs="Times New Roman"/>
          <w:sz w:val="24"/>
          <w:szCs w:val="24"/>
          <w:lang w:val="en-GB"/>
        </w:rPr>
        <w:t xml:space="preserve">three </w:t>
      </w:r>
      <w:r w:rsidR="00090F6C" w:rsidRPr="0040120E">
        <w:rPr>
          <w:rFonts w:ascii="Times New Roman" w:hAnsi="Times New Roman" w:cs="Times New Roman"/>
          <w:sz w:val="24"/>
          <w:szCs w:val="24"/>
          <w:lang w:val="en-GB"/>
        </w:rPr>
        <w:t>temporal</w:t>
      </w:r>
      <w:r w:rsidR="00A6142D" w:rsidRPr="0040120E">
        <w:rPr>
          <w:rFonts w:ascii="Times New Roman" w:hAnsi="Times New Roman" w:cs="Times New Roman"/>
          <w:sz w:val="24"/>
          <w:szCs w:val="24"/>
          <w:lang w:val="en-GB"/>
        </w:rPr>
        <w:t xml:space="preserve"> dimensions:</w:t>
      </w:r>
      <w:r w:rsidRPr="0040120E">
        <w:rPr>
          <w:rFonts w:ascii="Times New Roman" w:hAnsi="Times New Roman" w:cs="Times New Roman"/>
          <w:sz w:val="24"/>
          <w:szCs w:val="24"/>
          <w:lang w:val="en-GB"/>
        </w:rPr>
        <w:t xml:space="preserve"> a perception of duration (longevity) and a paradoxical combination of </w:t>
      </w:r>
      <w:r w:rsidR="00840B92" w:rsidRPr="0040120E">
        <w:rPr>
          <w:rFonts w:ascii="Times New Roman" w:hAnsi="Times New Roman" w:cs="Times New Roman"/>
          <w:sz w:val="24"/>
          <w:szCs w:val="24"/>
          <w:lang w:val="en-GB"/>
        </w:rPr>
        <w:t>a perception of immunity to radical changes (stability) with an ability to adjust to changes in the environment (adaptability). This is a contribution to p</w:t>
      </w:r>
      <w:r w:rsidR="00DE3735" w:rsidRPr="0040120E">
        <w:rPr>
          <w:rFonts w:ascii="Times New Roman" w:hAnsi="Times New Roman" w:cs="Times New Roman"/>
          <w:sz w:val="24"/>
          <w:szCs w:val="24"/>
          <w:lang w:val="en-GB"/>
        </w:rPr>
        <w:t xml:space="preserve">rior work </w:t>
      </w:r>
      <w:r w:rsidR="00661F15" w:rsidRPr="0040120E">
        <w:rPr>
          <w:rFonts w:ascii="Times New Roman" w:hAnsi="Times New Roman" w:cs="Times New Roman"/>
          <w:sz w:val="24"/>
          <w:szCs w:val="24"/>
          <w:lang w:val="en-GB"/>
        </w:rPr>
        <w:t>mention</w:t>
      </w:r>
      <w:r w:rsidR="00840B92" w:rsidRPr="0040120E">
        <w:rPr>
          <w:rFonts w:ascii="Times New Roman" w:hAnsi="Times New Roman" w:cs="Times New Roman"/>
          <w:sz w:val="24"/>
          <w:szCs w:val="24"/>
          <w:lang w:val="en-GB"/>
        </w:rPr>
        <w:t>ing</w:t>
      </w:r>
      <w:r w:rsidR="00661F15" w:rsidRPr="0040120E">
        <w:rPr>
          <w:rFonts w:ascii="Times New Roman" w:hAnsi="Times New Roman" w:cs="Times New Roman"/>
          <w:sz w:val="24"/>
          <w:szCs w:val="24"/>
          <w:lang w:val="en-GB"/>
        </w:rPr>
        <w:t xml:space="preserve"> </w:t>
      </w:r>
      <w:r w:rsidR="00DE3735" w:rsidRPr="0040120E">
        <w:rPr>
          <w:rFonts w:ascii="Times New Roman" w:hAnsi="Times New Roman" w:cs="Times New Roman"/>
          <w:sz w:val="24"/>
          <w:szCs w:val="24"/>
          <w:lang w:val="en-GB"/>
        </w:rPr>
        <w:t>seniority</w:t>
      </w:r>
      <w:r w:rsidR="00661F15" w:rsidRPr="0040120E">
        <w:rPr>
          <w:rFonts w:ascii="Times New Roman" w:hAnsi="Times New Roman" w:cs="Times New Roman"/>
          <w:sz w:val="24"/>
          <w:szCs w:val="24"/>
          <w:lang w:val="en-GB"/>
        </w:rPr>
        <w:t>, longevity</w:t>
      </w:r>
      <w:r w:rsidR="00DE3735" w:rsidRPr="0040120E">
        <w:rPr>
          <w:rFonts w:ascii="Times New Roman" w:hAnsi="Times New Roman" w:cs="Times New Roman"/>
          <w:sz w:val="24"/>
          <w:szCs w:val="24"/>
          <w:lang w:val="en-GB"/>
        </w:rPr>
        <w:t xml:space="preserve"> and stability </w:t>
      </w:r>
      <w:r w:rsidR="00DE3735"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{"citationItems":[{"id":"ITEM-1","itemData":{"DOI":"10.1057/palgrave.bm.2550031","ISBN":"1350231X","ISSN":"1350-231X","PMID":"23521032","abstract":"This paper explores monarchies through a corporate branding lens. It is based on extensive fi eld interviewing of individuals with knowledge and experience in what we (not they) term ‘ managing the Monarchy as a brand ’ , including senior members of the Swedish Royal Court and the Swedish Royal Family. It also draws from literature regarding monarchies across a range of disciplines beyond management; we found no previous brand-related literature on the topic. Our conclusion is that the monarchy, as an institution, is very much like a corporate brand, including amenability to being managed in a manner analogous to that for a corporate brand, especially one with a heritage.","author":[{"dropping-particle":"","family":"Balmer","given":"John M T","non-dropping-particle":"","parse-names":false,"suffix":""},{"dropping-particle":"","family":"Greyser","given":"Stephen","non-dropping-particle":"","parse-names":false,"suffix":""},{"dropping-particle":"","family":"Urde","given":"Mats","non-dropping-particle":"","parse-names":false,"suffix":""}],"container-title":"Journal of Brand Management","id":"ITEM-1","issue":"1-2","issued":{"date-parts":[["2006"]]},"page":"137-161","title":"The Crown as a corporate brand: Insights from monarchies","type":"article-journal","volume":"14"},"uris":["http://www.mendeley.com/documents/?uuid=28aa5478-1fe4-4e11-9bdb-e1755086957f"]},{"id":"ITEM-2","itemData":{"DOI":"10.1016/j.jbusres.2012.05.021","ISBN":"0148-2963","ISSN":"01482963","abstract":"Why do people feel emotional attachment to events occurring before they were born? This paper examines ad-evoked vicarious nostalgia-induced longing for a time period that an individual did not live through. Vicarious nostalgia impacts brand heritage and leads to stronger brand attachment. Qualitative research (Study 1) and a literature review identify two vicarious nostalgia dimensions-fantasies about past eras and emotions. Initial quantitative research (Study 2) refines these measures, while subsequent quantitative research (Study 3) relates vicarious nostalgia to both antecedents (alienation, fantasy proneness, and nostalgia proneness) and consequences (brand heritage and brand attachment). Self-referencing moderates the relationship between nostalgia proneness and fantasies, while vicarious nostalgia partially mediates the relationship between nostalgia proneness and brand heritage. Both individual propensities (nostalgia proneness) and advertising-evoked vicarious nostalgia enhance or build brand heritage perceptions. © 2012 Elsevier Inc.","author":[{"dropping-particle":"","family":"Merchant","given":"Altaf","non-dropping-particle":"","parse-names":false,"suffix":""},{"dropping-particle":"","family":"Rose","given":"Gregory M.","non-dropping-particle":"","parse-names":false,"suffix":""}],"container-title":"Journal of Business Research","id":"ITEM-2","issue":"12","issued":{"date-parts":[["2013"]]},"page":"2619-2625","publisher":"Elsevier Inc.","title":"Effects of advertising-evoked vicarious nostalgia on brand heritage","type":"article-journal","volume":"66"},"uris":["http://www.mendeley.com/documents/?uuid=1017aa2b-961c-4c16-8285-1845c54ae624"]}],"mendeley":{"formattedCitation":"(Balmer, Greyser, &amp; Urde, 2006; Merchant &amp; Rose, 2013)","plainTextFormattedCitation":"(Balmer, Greyser, &amp; Urde, 2006; Merchant &amp; Rose, 2013)","previouslyFormattedCitation":"(Balmer, Greyser, &amp; Urde, 2006; Merchant &amp; Rose, 2013)"},"properties":{"noteIndex":0},"schema":"https://github.com/citation-style-language/schema/raw/master/csl-citation.json"}</w:instrText>
      </w:r>
      <w:r w:rsidR="00DE3735"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(Balmer, Greyser, &amp; Urde, 2006; Merchant &amp; Rose, 2013)</w:t>
      </w:r>
      <w:r w:rsidR="00DE3735" w:rsidRPr="0040120E">
        <w:rPr>
          <w:rFonts w:ascii="Times New Roman" w:hAnsi="Times New Roman" w:cs="Times New Roman"/>
          <w:sz w:val="24"/>
          <w:szCs w:val="24"/>
          <w:lang w:val="en-GB"/>
        </w:rPr>
        <w:fldChar w:fldCharType="end"/>
      </w:r>
      <w:r w:rsidR="00DE3735" w:rsidRPr="0040120E">
        <w:rPr>
          <w:rFonts w:ascii="Times New Roman" w:hAnsi="Times New Roman" w:cs="Times New Roman"/>
          <w:sz w:val="24"/>
          <w:szCs w:val="24"/>
          <w:lang w:val="en-GB"/>
        </w:rPr>
        <w:t xml:space="preserve">. </w:t>
      </w:r>
      <w:r w:rsidR="00661F15" w:rsidRPr="0040120E">
        <w:rPr>
          <w:rFonts w:ascii="Times New Roman" w:hAnsi="Times New Roman" w:cs="Times New Roman"/>
          <w:sz w:val="24"/>
          <w:szCs w:val="24"/>
          <w:lang w:val="en-GB"/>
        </w:rPr>
        <w:t>Our results suggest that</w:t>
      </w:r>
      <w:r w:rsidR="00DE3735" w:rsidRPr="0040120E">
        <w:rPr>
          <w:rFonts w:ascii="Times New Roman" w:hAnsi="Times New Roman" w:cs="Times New Roman"/>
          <w:sz w:val="24"/>
          <w:szCs w:val="24"/>
          <w:lang w:val="en-GB"/>
        </w:rPr>
        <w:t xml:space="preserve"> stability and longevity alone do not perfectly reflect the particularity of brand heritage and its</w:t>
      </w:r>
      <w:r w:rsidR="00090F6C" w:rsidRPr="0040120E">
        <w:rPr>
          <w:rFonts w:ascii="Times New Roman" w:hAnsi="Times New Roman" w:cs="Times New Roman"/>
          <w:sz w:val="24"/>
          <w:szCs w:val="24"/>
          <w:lang w:val="en-GB"/>
        </w:rPr>
        <w:t xml:space="preserve"> omnitemporal characteristic</w:t>
      </w:r>
      <w:r w:rsidR="00DE3735" w:rsidRPr="0040120E">
        <w:rPr>
          <w:rFonts w:ascii="Times New Roman" w:hAnsi="Times New Roman" w:cs="Times New Roman"/>
          <w:sz w:val="24"/>
          <w:szCs w:val="24"/>
          <w:lang w:val="en-GB"/>
        </w:rPr>
        <w:t xml:space="preserve"> </w:t>
      </w:r>
      <w:r w:rsidR="00DE3735"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{"citationItems":[{"id":"ITEM-1","itemData":{"DOI":"10.1108/03090561111151817","ISBN":"1061042111","ISSN":"0309-0566","PMID":"42012058","abstract":"Purpose – This article scrutinises the nature and salience of corporate heritage identities via the lens of the British Monarchy. A corporate heritage identity framework is introduced. The heritage identity construct is positioned vis-a-vis other related constructs such as nostalgia, tradition, and custom. Design/methodology/approach – An embedded case study informed by desktop research and a literature review of the British Monarchy and by an empirical-collaborative study on the Swedish Monarchy. The paper is also informed by the literature on heritage and other historically-related constructs. Findings – The notion of relative invariance is introduced. The latter is important since it explains why heritage identities can remain the same and yet have changed, namely: The Relative Invariance Notion. Corporate heritage identities and brands are invested with special qualities in that they are a melding of identity continuity, identity change and are also invested with the identities of time (times past, present and future). Heritage identities are an accretion of various identities, which are variously linked to institutions, places, cultures, and to time frames. The notion of Institutional Role Identities is introduced. The study suggested that heritage identities have multiple institutional role identities. These identities can be utilised in various contexts and for a variety of purposes: this might account for their strength. One explanation of why heritage identities are powerful is because they meet customer and stakeholder needs by encapsulating and, importantly, by giving identity. Heritage identities, potentially, are an important dimension of a group’s collective memory. Practical implications – A revised corporate heritage identity framework relating to the British Monarchy is introduced. The model can be adapted so as to appraise our comprehension of corporate heritage identities in more general institutional contexts. The importance of bi-lateral institutional and stakeholder trust to the framework and the need for (institution) heritage authenticity – or perceived authenticity – and stakeholder affinity are noted. Originality/value – The paper focuses on heritage identities in institutional contexts and a distinction is made between corporate heritage identities and corporate heritage brands identities. Keywords Corporate heritage identity, Corporate heritage brands, Corporatemarketing, Corporate identity, Corporate image, Corporate strateg…","author":[{"dropping-particle":"","family":"Balmer","given":"John M T","non-dropping-particle":"","parse-names":false,"suffix":""}],"container-title":"European Journal of Marketing","id":"ITEM-1","issue":"9/10","issued":{"date-parts":[["2011"]]},"page":"1380-1398","title":"Corporate heritage identities, corporate heritage brands and the multiple heritage identities of the British Monarchy","type":"article-journal","volume":"45"},"uris":["http://www.mendeley.com/documents/?uuid=07b5c0bf-c9c9-4382-a90d-1f7b26f087cb"]}],"mendeley":{"formattedCitation":"(Balmer, 2011)","plainTextFormattedCitation":"(Balmer, 2011)","previouslyFormattedCitation":"(Balmer, 2011)"},"properties":{"noteIndex":0},"schema":"https://github.com/citation-style-language/schema/raw/master/csl-citation.json"}</w:instrText>
      </w:r>
      <w:r w:rsidR="00DE3735" w:rsidRPr="0040120E">
        <w:rPr>
          <w:rFonts w:ascii="Times New Roman" w:hAnsi="Times New Roman" w:cs="Times New Roman"/>
          <w:sz w:val="24"/>
          <w:szCs w:val="24"/>
          <w:lang w:val="en-GB"/>
        </w:rPr>
        <w:fldChar w:fldCharType="separate"/>
      </w:r>
      <w:r w:rsidR="00661F15" w:rsidRPr="0040120E">
        <w:rPr>
          <w:rFonts w:ascii="Times New Roman" w:hAnsi="Times New Roman" w:cs="Times New Roman"/>
          <w:noProof/>
          <w:sz w:val="24"/>
          <w:szCs w:val="24"/>
          <w:lang w:val="en-GB"/>
        </w:rPr>
        <w:t>(Balmer, 2011)</w:t>
      </w:r>
      <w:r w:rsidR="00DE3735" w:rsidRPr="0040120E">
        <w:rPr>
          <w:rFonts w:ascii="Times New Roman" w:hAnsi="Times New Roman" w:cs="Times New Roman"/>
          <w:sz w:val="24"/>
          <w:szCs w:val="24"/>
          <w:lang w:val="en-GB"/>
        </w:rPr>
        <w:fldChar w:fldCharType="end"/>
      </w:r>
      <w:r w:rsidR="00DE3735" w:rsidRPr="0040120E">
        <w:rPr>
          <w:rFonts w:ascii="Times New Roman" w:hAnsi="Times New Roman" w:cs="Times New Roman"/>
          <w:sz w:val="24"/>
          <w:szCs w:val="24"/>
          <w:lang w:val="en-GB"/>
        </w:rPr>
        <w:t xml:space="preserve">. </w:t>
      </w:r>
      <w:r w:rsidR="007003DB" w:rsidRPr="0040120E">
        <w:rPr>
          <w:rFonts w:ascii="Times New Roman" w:hAnsi="Times New Roman" w:cs="Times New Roman"/>
          <w:sz w:val="24"/>
          <w:szCs w:val="24"/>
          <w:lang w:val="en-GB"/>
        </w:rPr>
        <w:t xml:space="preserve">These results </w:t>
      </w:r>
      <w:r w:rsidR="00661F15" w:rsidRPr="0040120E">
        <w:rPr>
          <w:rFonts w:ascii="Times New Roman" w:hAnsi="Times New Roman" w:cs="Times New Roman"/>
          <w:sz w:val="24"/>
          <w:szCs w:val="24"/>
          <w:lang w:val="en-GB"/>
        </w:rPr>
        <w:t xml:space="preserve">also </w:t>
      </w:r>
      <w:r w:rsidR="007003DB" w:rsidRPr="0040120E">
        <w:rPr>
          <w:rFonts w:ascii="Times New Roman" w:hAnsi="Times New Roman" w:cs="Times New Roman"/>
          <w:sz w:val="24"/>
          <w:szCs w:val="24"/>
          <w:lang w:val="en-GB"/>
        </w:rPr>
        <w:t>contrast with prior research focusing on longevity</w:t>
      </w:r>
      <w:r w:rsidR="00067ECD" w:rsidRPr="0040120E">
        <w:rPr>
          <w:rFonts w:ascii="Times New Roman" w:hAnsi="Times New Roman" w:cs="Times New Roman"/>
          <w:sz w:val="24"/>
          <w:szCs w:val="24"/>
          <w:lang w:val="en-GB"/>
        </w:rPr>
        <w:t xml:space="preserve"> </w:t>
      </w:r>
      <w:r w:rsidR="00067ECD"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{"citationItems":[{"id":"ITEM-1","itemData":{"DOI":"10.1509/jmkg.72.1.95","ISBN":"00222429","ISSN":"0022-2429","PMID":"27741316","abstract":"The authors examine how a service firm's longevity may affect consumers' perceptions of risk in conducting business with the firm. Depending on the nature of information available to consumers, a firm's longevity can act in one of two ways to reduce the consumers' perceived risk: (1) Longevity may act as an extrinsic cue of the firm's quality, or (2) availability of a longer track record of an older firm may allow consumers to make more precise prediction of the firm's future quality. The authors develop a set of hypotheses that relate these two effects to consumers' preferences and test them in a series of four experiments. They find that a firm's age can act as an extrinsic cue of the firm's quality. When consumers also have information about firms' intrinsic attributes, the effect of a firm's age as an extrinsic cue is diminished under conditions of high involvement. The experiments also show that consumers prefer firms with longer track records, especially when firms' performance/quality levels are subject to more variability. However, when consumers have high aspiration levels, they prefer firms with shorter track records, even though the consumers perceive these firms as riskier choices. [ABSTRACT FROM AUTHOR]","author":[{"dropping-particle":"","family":"Desai","given":"Preyas S","non-dropping-particle":"","parse-names":false,"suffix":""},{"dropping-particle":"","family":"Kalra","given":"Ajay","non-dropping-particle":"","parse-names":false,"suffix":""},{"dropping-particle":"","family":"Murthi","given":"B.P.S","non-dropping-particle":"","parse-names":false,"suffix":""}],"container-title":"Journal of Marketing","id":"ITEM-1","issue":"1","issued":{"date-parts":[["2008"]]},"page":"95-107","title":"When Old Is Gold:The Role of Business Longevity in Risky Situations","type":"article-journal","volume":"72"},"uris":["http://www.mendeley.com/documents/?uuid=1c8501b2-e792-45dd-bd24-5357c7951d2a"]}],"mendeley":{"formattedCitation":"(Desai, Kalra, &amp; Murthi, 2008)","plainTextFormattedCitation":"(Desai, Kalra, &amp; Murthi, 2008)","previouslyFormattedCitation":"(Desai, Kalra, &amp; Murthi, 2008)"},"properties":{"noteIndex":0},"schema":"https://github.com/citation-style-language/schema/raw/master/csl-citation.json"}</w:instrText>
      </w:r>
      <w:r w:rsidR="00067ECD" w:rsidRPr="0040120E">
        <w:rPr>
          <w:rFonts w:ascii="Times New Roman" w:hAnsi="Times New Roman" w:cs="Times New Roman"/>
          <w:sz w:val="24"/>
          <w:szCs w:val="24"/>
          <w:lang w:val="en-GB"/>
        </w:rPr>
        <w:fldChar w:fldCharType="separate"/>
      </w:r>
      <w:r w:rsidR="007E6252" w:rsidRPr="0040120E">
        <w:rPr>
          <w:rFonts w:ascii="Times New Roman" w:hAnsi="Times New Roman" w:cs="Times New Roman"/>
          <w:noProof/>
          <w:sz w:val="24"/>
          <w:szCs w:val="24"/>
          <w:lang w:val="en-GB"/>
        </w:rPr>
        <w:t>(Desai, Kalra, &amp; Murthi, 2008)</w:t>
      </w:r>
      <w:r w:rsidR="00067ECD" w:rsidRPr="0040120E">
        <w:rPr>
          <w:rFonts w:ascii="Times New Roman" w:hAnsi="Times New Roman" w:cs="Times New Roman"/>
          <w:sz w:val="24"/>
          <w:szCs w:val="24"/>
          <w:lang w:val="en-GB"/>
        </w:rPr>
        <w:fldChar w:fldCharType="end"/>
      </w:r>
      <w:r w:rsidR="00067ECD" w:rsidRPr="0040120E">
        <w:rPr>
          <w:rFonts w:ascii="Times New Roman" w:hAnsi="Times New Roman" w:cs="Times New Roman"/>
          <w:sz w:val="24"/>
          <w:szCs w:val="24"/>
          <w:lang w:val="en-GB"/>
        </w:rPr>
        <w:t>,</w:t>
      </w:r>
      <w:r w:rsidR="007003DB" w:rsidRPr="0040120E">
        <w:rPr>
          <w:rFonts w:ascii="Times New Roman" w:hAnsi="Times New Roman" w:cs="Times New Roman"/>
          <w:sz w:val="24"/>
          <w:szCs w:val="24"/>
          <w:lang w:val="en-GB"/>
        </w:rPr>
        <w:t xml:space="preserve"> </w:t>
      </w:r>
      <w:r w:rsidR="009E0811" w:rsidRPr="0040120E">
        <w:rPr>
          <w:rFonts w:ascii="Times New Roman" w:hAnsi="Times New Roman" w:cs="Times New Roman"/>
          <w:sz w:val="24"/>
          <w:szCs w:val="24"/>
          <w:lang w:val="en-GB"/>
        </w:rPr>
        <w:t xml:space="preserve">in which it is </w:t>
      </w:r>
      <w:r w:rsidR="007003DB" w:rsidRPr="0040120E">
        <w:rPr>
          <w:rFonts w:ascii="Times New Roman" w:hAnsi="Times New Roman" w:cs="Times New Roman"/>
          <w:sz w:val="24"/>
          <w:szCs w:val="24"/>
          <w:lang w:val="en-GB"/>
        </w:rPr>
        <w:t>suggest</w:t>
      </w:r>
      <w:r w:rsidR="009E0811" w:rsidRPr="0040120E">
        <w:rPr>
          <w:rFonts w:ascii="Times New Roman" w:hAnsi="Times New Roman" w:cs="Times New Roman"/>
          <w:sz w:val="24"/>
          <w:szCs w:val="24"/>
          <w:lang w:val="en-GB"/>
        </w:rPr>
        <w:t>ed</w:t>
      </w:r>
      <w:r w:rsidR="007003DB" w:rsidRPr="0040120E">
        <w:rPr>
          <w:rFonts w:ascii="Times New Roman" w:hAnsi="Times New Roman" w:cs="Times New Roman"/>
          <w:sz w:val="24"/>
          <w:szCs w:val="24"/>
          <w:lang w:val="en-GB"/>
        </w:rPr>
        <w:t xml:space="preserve"> that</w:t>
      </w:r>
      <w:r w:rsidR="00840B92" w:rsidRPr="0040120E">
        <w:rPr>
          <w:rFonts w:ascii="Times New Roman" w:hAnsi="Times New Roman" w:cs="Times New Roman"/>
          <w:sz w:val="24"/>
          <w:szCs w:val="24"/>
          <w:lang w:val="en-GB"/>
        </w:rPr>
        <w:t xml:space="preserve"> brand heritage is not only about</w:t>
      </w:r>
      <w:r w:rsidR="007003DB" w:rsidRPr="0040120E">
        <w:rPr>
          <w:rFonts w:ascii="Times New Roman" w:hAnsi="Times New Roman" w:cs="Times New Roman"/>
          <w:sz w:val="24"/>
          <w:szCs w:val="24"/>
          <w:lang w:val="en-GB"/>
        </w:rPr>
        <w:t xml:space="preserve"> the longevity </w:t>
      </w:r>
      <w:r w:rsidR="00840B92" w:rsidRPr="0040120E">
        <w:rPr>
          <w:rFonts w:ascii="Times New Roman" w:hAnsi="Times New Roman" w:cs="Times New Roman"/>
          <w:sz w:val="24"/>
          <w:szCs w:val="24"/>
          <w:lang w:val="en-GB"/>
        </w:rPr>
        <w:t xml:space="preserve">or the age </w:t>
      </w:r>
      <w:r w:rsidR="007003DB" w:rsidRPr="0040120E">
        <w:rPr>
          <w:rFonts w:ascii="Times New Roman" w:hAnsi="Times New Roman" w:cs="Times New Roman"/>
          <w:sz w:val="24"/>
          <w:szCs w:val="24"/>
          <w:lang w:val="en-GB"/>
        </w:rPr>
        <w:t xml:space="preserve">of the brand. </w:t>
      </w:r>
    </w:p>
    <w:p w14:paraId="2A60633E" w14:textId="5AA41C12" w:rsidR="009071EA" w:rsidRPr="0040120E" w:rsidRDefault="00090F6C" w:rsidP="009071EA">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lastRenderedPageBreak/>
        <w:t>Second, t</w:t>
      </w:r>
      <w:r w:rsidR="007003DB" w:rsidRPr="0040120E">
        <w:rPr>
          <w:rFonts w:ascii="Times New Roman" w:hAnsi="Times New Roman" w:cs="Times New Roman"/>
          <w:sz w:val="24"/>
          <w:szCs w:val="24"/>
          <w:lang w:val="en-GB"/>
        </w:rPr>
        <w:t>he results also contribute to</w:t>
      </w:r>
      <w:r w:rsidR="00840B92" w:rsidRPr="0040120E">
        <w:rPr>
          <w:rFonts w:ascii="Times New Roman" w:hAnsi="Times New Roman" w:cs="Times New Roman"/>
          <w:sz w:val="24"/>
          <w:szCs w:val="24"/>
          <w:lang w:val="en-GB"/>
        </w:rPr>
        <w:t xml:space="preserve"> the research on the temporal perception of brands. Our approach builds on an experience of time through the perception of change and continuity in one’s environment (Fraisse, 1984). Theoretically, it suggests that consumers make sense of a brand’s temporal dimensions through the changes they perceive (or do not perceive) when they interact with the brand. Sometimes, radical change meets consumers’ hostility </w:t>
      </w:r>
      <w:r w:rsidR="00840B92" w:rsidRPr="0040120E">
        <w:rPr>
          <w:rFonts w:ascii="Times New Roman" w:hAnsi="Times New Roman" w:cs="Times New Roman"/>
          <w:sz w:val="24"/>
          <w:szCs w:val="24"/>
          <w:lang w:val="en-GB"/>
        </w:rPr>
        <w:fldChar w:fldCharType="begin" w:fldLock="1"/>
      </w:r>
      <w:r w:rsidR="00840B92" w:rsidRPr="0040120E">
        <w:rPr>
          <w:rFonts w:ascii="Times New Roman" w:hAnsi="Times New Roman" w:cs="Times New Roman"/>
          <w:sz w:val="24"/>
          <w:szCs w:val="24"/>
          <w:lang w:val="en-GB"/>
        </w:rPr>
        <w:instrText>ADDIN CSL_CITATION {"citationItems":[{"id":"ITEM-1","itemData":{"DOI":"10.1016/S0148-2963(97)00220-8","ISSN":"01482963","abstract":"The Coca-Cola Company’s 1985 decision to change the formula of Coca-Cola is examined in the context of “mixture perception”—that domain of psychophysics, which deals with the taste of substances in mixtures. The decision-making process at Coca-Cola is discussed, and the presence of an alternative strategy that was rejected is revealed—a “gradualist approach,” which would have changed the formula in a series of small steps, without announcing the change. A working hypothesis that was invoked (but never tested) to reject the gradualist approach is also revealed—the flavor balance hypothesis (FBH). The FBH asserted that, due to mixture perception, one of the physically small changes of the gradualist approach would be perceptually large and detectable. A test of the FBH using new Coke (aka Coke II) and the original formula (Coke classic) is reported. The results suggest that the FBH was invalid for Coke versus new Coke, and that The Coca-Cola Company could have successfully used the gradualist approach, unannounced. The strategic product management implications of the FBH versus the gradualist approach are discussed for other cases of successful and unsuccessful formula changes.","author":[{"dropping-particle":"","family":"Dubow","given":"Joel S","non-dropping-particle":"","parse-names":false,"suffix":""},{"dropping-particle":"","family":"Childs","given":"Nancy M","non-dropping-particle":"","parse-names":false,"suffix":""}],"container-title":"Journal of Business Research","id":"ITEM-1","issue":"3","issued":{"date-parts":[["1998"]]},"page":"147-155","title":"New Coke, Mixture Perception, and the Flavor Balance Hypothesis","type":"article-journal","volume":"43"},"uris":["http://www.mendeley.com/documents/?uuid=846c3197-2d83-4191-a830-eaf955264b70"]},{"id":"ITEM-2","itemData":{"DOI":"10.1002/mar.21071","ISSN":"15206793","PMID":"21300466","abstract":"PURPOSE: To compare the long-term outcome of treatment with concomitant cisplatin and hyperfractionated radiotherapy versus treatment with hyperfractionated radiotherapy alone in patients with locally advanced head and neck cancer. METHODS AND MATERIALS: From July 1994 to July 2000, a total of 224 patients with squamous cell carcinoma of the head and neck were randomized to receive either hyperfractionated radiotherapy alone (median total dose, 74.4 Gy; 1.2 Gy twice daily; 5 days per week) or the same radiotherapy combined with two cycles of cisplatin (20 mg/m(2) for 5 consecutive days during weeks 1 and 5). The primary endpoint was the time to any treatment failure; secondary endpoints were locoregional failure, metastatic failure, overall survival, and late toxicity assessed according to Radiation Therapy Oncology Group criteria. RESULTS: Median follow-up was 9.5 years (range, 0.1-15.4 years). Median time to any treatment failure was not significantly different between treatment arms (hazard ratio [HR], 1.2 [95% confidence interval {CI}, 0.9-1.7; p = 0.17]). Rates of locoregional failure-free survival (HR, 1.5 [95% CI, 1.1-2.1; p = 0.02]), distant metastasis-free survival (HR, 1.6 [95% CI, 1.1-2.5; p = 0.02]), and cancer-specific survival (HR, 1.6 [95% CI, 1.0-2.5; p = 0.03]) were significantly improved in the combined-treatment arm, with no difference in major late toxicity between treatment arms. However, overall survival was not significantly different (HR, 1.3 [95% CI, 0.9-1.8; p = 0.11]). CONCLUSIONS: After long-term follow-up, combined-treatment with cisplatin and hyperfractionated radiotherapy maintained improved rates of locoregional control, distant metastasis-free survival, and cancer-specific survival compared to that of hyperfractionated radiotherapy alone, with no difference in major late toxicity.","author":[{"dropping-particle":"","family":"Merchant","given":"Altaf","non-dropping-particle":"","parse-names":false,"suffix":""},{"dropping-particle":"","family":"LaTour","given":"Kathryn A.","non-dropping-particle":"","parse-names":false,"suffix":""},{"dropping-particle":"","family":"Ford","given":"John B.","non-dropping-particle":"","parse-names":false,"suffix":""},{"dropping-particle":"","family":"LaTour","given":"Michael S.","non-dropping-particle":"","parse-names":false,"suffix":""}],"container-title":"Psychology &amp; Marketing","id":"ITEM-2","issue":"1","issued":{"date-parts":[["2018"]]},"page":"64-78","title":"Should Cookie Monster adopt a healthy lifestyle or continue to indulge? Insights into brand icons","type":"article-journal","volume":"35"},"uris":["http://www.mendeley.com/documents/?uuid=9278e5d2-6325-4da7-bc80-6de27fc9bcdd"]}],"mendeley":{"formattedCitation":"(Dubow &amp; Childs, 1998; Merchant, LaTour, Ford, &amp; LaTour, 2018)","plainTextFormattedCitation":"(Dubow &amp; Childs, 1998; Merchant, LaTour, Ford, &amp; LaTour, 2018)","previouslyFormattedCitation":"(Dubow &amp; Childs, 1998; Merchant, LaTour, Ford, &amp; LaTour, 2018)"},"properties":{"noteIndex":0},"schema":"https://github.com/citation-style-language/schema/raw/master/csl-citation.json"}</w:instrText>
      </w:r>
      <w:r w:rsidR="00840B92" w:rsidRPr="0040120E">
        <w:rPr>
          <w:rFonts w:ascii="Times New Roman" w:hAnsi="Times New Roman" w:cs="Times New Roman"/>
          <w:sz w:val="24"/>
          <w:szCs w:val="24"/>
          <w:lang w:val="en-GB"/>
        </w:rPr>
        <w:fldChar w:fldCharType="separate"/>
      </w:r>
      <w:r w:rsidR="00840B92" w:rsidRPr="0040120E">
        <w:rPr>
          <w:rFonts w:ascii="Times New Roman" w:hAnsi="Times New Roman" w:cs="Times New Roman"/>
          <w:noProof/>
          <w:sz w:val="24"/>
          <w:szCs w:val="24"/>
          <w:lang w:val="en-GB"/>
        </w:rPr>
        <w:t>(Dubow &amp; Childs, 1998; Merchant, LaTour, Ford, &amp; LaTour, 2018)</w:t>
      </w:r>
      <w:r w:rsidR="00840B92" w:rsidRPr="0040120E">
        <w:rPr>
          <w:rFonts w:ascii="Times New Roman" w:hAnsi="Times New Roman" w:cs="Times New Roman"/>
          <w:sz w:val="24"/>
          <w:szCs w:val="24"/>
          <w:lang w:val="en-GB"/>
        </w:rPr>
        <w:fldChar w:fldCharType="end"/>
      </w:r>
      <w:r w:rsidR="00840B92" w:rsidRPr="0040120E">
        <w:rPr>
          <w:rFonts w:ascii="Times New Roman" w:hAnsi="Times New Roman" w:cs="Times New Roman"/>
          <w:sz w:val="24"/>
          <w:szCs w:val="24"/>
          <w:lang w:val="en-GB"/>
        </w:rPr>
        <w:t xml:space="preserve">. </w:t>
      </w:r>
      <w:r w:rsidR="00A65D7C" w:rsidRPr="0040120E">
        <w:rPr>
          <w:rFonts w:ascii="Times New Roman" w:hAnsi="Times New Roman" w:cs="Times New Roman"/>
          <w:sz w:val="24"/>
          <w:szCs w:val="24"/>
          <w:lang w:val="en-GB"/>
        </w:rPr>
        <w:t>O</w:t>
      </w:r>
      <w:r w:rsidR="00840B92" w:rsidRPr="0040120E">
        <w:rPr>
          <w:rFonts w:ascii="Times New Roman" w:hAnsi="Times New Roman" w:cs="Times New Roman"/>
          <w:sz w:val="24"/>
          <w:szCs w:val="24"/>
          <w:lang w:val="en-GB"/>
        </w:rPr>
        <w:t xml:space="preserve">n the other hand, evolution is necessary </w:t>
      </w:r>
      <w:r w:rsidR="00840B92" w:rsidRPr="0040120E">
        <w:rPr>
          <w:rFonts w:ascii="Times New Roman" w:hAnsi="Times New Roman" w:cs="Times New Roman"/>
          <w:sz w:val="24"/>
          <w:szCs w:val="24"/>
          <w:lang w:val="en-GB"/>
        </w:rPr>
        <w:fldChar w:fldCharType="begin" w:fldLock="1"/>
      </w:r>
      <w:r w:rsidR="00840B92" w:rsidRPr="0040120E">
        <w:rPr>
          <w:rFonts w:ascii="Times New Roman" w:hAnsi="Times New Roman" w:cs="Times New Roman"/>
          <w:sz w:val="24"/>
          <w:szCs w:val="24"/>
          <w:lang w:val="en-GB"/>
        </w:rPr>
        <w:instrText>ADDIN CSL_CITATION {"citationItems":[{"id":"ITEM-1","itemData":{"DOI":"10.1017/S0021849905050221","ISBN":"00218499","ISSN":"00218499","PMID":"19415761","abstract":"The article highlights the importance of brand evolution as a necessary component of successful marketing strategy. In particular the article emphasizes the decision to revitalize the core brand. Three key constructs are used as a framework for analyzing rebranding decisions, namely brand vision, brand orientation, and brand strategy implementation. It is proposed that the key to successful rebranding is the need to build each of these three components as well as ensuring that they are tightly linked and coordinated. The normative framework was applied to a major Canadian retailer, Canadian Tire, and found to be helpful in analyzing their rebranding. Lessons have been drawn from the case study, including the important role of advertising. [ABSTRACT FROM AUTHOR]","author":[{"dropping-particle":"","family":"Merrilees","given":"Bill","non-dropping-particle":"","parse-names":false,"suffix":""}],"container-title":"Journal of Advertising Research","id":"ITEM-1","issue":"2","issued":{"date-parts":[["2005"]]},"page":"201-210","title":"Radical brand evolution: A case-based framework","type":"article-journal","volume":"45"},"uris":["http://www.mendeley.com/documents/?uuid=fefb10ce-54a2-457f-bb4c-c943a432bc13"]}],"mendeley":{"formattedCitation":"(Merrilees, 2005)","plainTextFormattedCitation":"(Merrilees, 2005)","previouslyFormattedCitation":"(Merrilees, 2005)"},"properties":{"noteIndex":0},"schema":"https://github.com/citation-style-language/schema/raw/master/csl-citation.json"}</w:instrText>
      </w:r>
      <w:r w:rsidR="00840B92" w:rsidRPr="0040120E">
        <w:rPr>
          <w:rFonts w:ascii="Times New Roman" w:hAnsi="Times New Roman" w:cs="Times New Roman"/>
          <w:sz w:val="24"/>
          <w:szCs w:val="24"/>
          <w:lang w:val="en-GB"/>
        </w:rPr>
        <w:fldChar w:fldCharType="separate"/>
      </w:r>
      <w:r w:rsidR="00840B92" w:rsidRPr="0040120E">
        <w:rPr>
          <w:rFonts w:ascii="Times New Roman" w:hAnsi="Times New Roman" w:cs="Times New Roman"/>
          <w:noProof/>
          <w:sz w:val="24"/>
          <w:szCs w:val="24"/>
          <w:lang w:val="en-GB"/>
        </w:rPr>
        <w:t>(Merrilees, 2005)</w:t>
      </w:r>
      <w:r w:rsidR="00840B92" w:rsidRPr="0040120E">
        <w:rPr>
          <w:rFonts w:ascii="Times New Roman" w:hAnsi="Times New Roman" w:cs="Times New Roman"/>
          <w:sz w:val="24"/>
          <w:szCs w:val="24"/>
          <w:lang w:val="en-GB"/>
        </w:rPr>
        <w:fldChar w:fldCharType="end"/>
      </w:r>
      <w:r w:rsidR="00840B92" w:rsidRPr="0040120E">
        <w:rPr>
          <w:rFonts w:ascii="Times New Roman" w:hAnsi="Times New Roman" w:cs="Times New Roman"/>
          <w:sz w:val="24"/>
          <w:szCs w:val="24"/>
          <w:lang w:val="en-GB"/>
        </w:rPr>
        <w:t xml:space="preserve"> because markets change and brands need to reinvent their offerings </w:t>
      </w:r>
      <w:r w:rsidR="00840B92" w:rsidRPr="0040120E">
        <w:rPr>
          <w:rFonts w:ascii="Times New Roman" w:hAnsi="Times New Roman" w:cs="Times New Roman"/>
          <w:sz w:val="24"/>
          <w:szCs w:val="24"/>
          <w:lang w:val="en-GB"/>
        </w:rPr>
        <w:fldChar w:fldCharType="begin" w:fldLock="1"/>
      </w:r>
      <w:r w:rsidR="00840B92" w:rsidRPr="0040120E">
        <w:rPr>
          <w:rFonts w:ascii="Times New Roman" w:hAnsi="Times New Roman" w:cs="Times New Roman"/>
          <w:sz w:val="24"/>
          <w:szCs w:val="24"/>
          <w:lang w:val="en-GB"/>
        </w:rPr>
        <w:instrText>ADDIN CSL_CITATION {"citationItems":[{"id":"ITEM-1","itemData":{"DOI":"10.1086/339922","ISBN":"0093-5301","ISSN":"0093-5301","PMID":"6789004","abstract":"Brands are today under attack by an emerging countercultural movement. This study builds a dialectical theory of consumer culture and branding that explains the rise of this movement and its potential effects. Results of an interpretive study challenge existing theories of consumer resistance. To develop an alternative model, I first trace the rise of the modern cultural engineering paradigm of branding, premised upon a consumer culture that granted marketers cultural authority. In- trinsic contradictions erased its efficacy. Next I describe the current postmodern consumer culture, which is premised upon the pursuit of personal sovereignty through brands. I detail five postmodern branding techniques that are premised upon the principle that brands are authentic cultural resources. Postmodernbrand- ing is now giving rise to new contradictions that have inflamed the antibranding sentiment sweeping Western countries. I detail these contradictions and project that they will give rise to a new post-postmodern branding paradigm premisedupon brands as citizen-artists. The","author":[{"dropping-particle":"","family":"Holt","given":"Douglas B.","non-dropping-particle":"","parse-names":false,"suffix":""}],"container-title":"Journal of Consumer Research","id":"ITEM-1","issue":"1","issued":{"date-parts":[["2002"]]},"page":"70-90","title":"Why Do Brands Cause Trouble? A Dialectical Theory of Consumer Culture and Branding","type":"article-journal","volume":"29"},"uris":["http://www.mendeley.com/documents/?uuid=80c9d9cd-e348-47fd-8d18-4b02b067b152"]},{"id":"ITEM-2","itemData":{"DOI":"10.1177/1470593115572668","ISSN":"1741301X","abstract":"This article examines the evolution of brands within fast-moving consumer goods (FMCG) markets using existing theory from the palaeontology literature. This article demonstrates that the theory of evolution by punctuated equilibrium can be applied to the development of FMCG markets and brands to explain the highly destructive ‘marketing earthquakes’ that periodically occur within them. The mechanisms of punctuated equilibrium are presented, and the means by which they can be applied to the development of FMCG brands and markets is explained. It is proposed that genes and species and memes and brands are highly analogous to one another and that the marketing environment is particularly suited to the application of existing palaeontological mechanisms. Two recent case studies of marketing earthquakes from New Zealand are presented. A final section showing how this theory can be applied to develop analytical tools that are capable of identifying critically stable brands and markets that may be prone to earthquake-like punctuation events concludes the article. © 2015, © The Author(s) 2015.","author":[{"dropping-particle":"","family":"Hamlin","given":"Robert P.","non-dropping-particle":"","parse-names":false,"suffix":""},{"dropping-particle":"","family":"Bishop","given":"David","non-dropping-particle":"","parse-names":false,"suffix":""},{"dropping-particle":"","family":"Mather","given":"Damien W.","non-dropping-particle":"","parse-names":false,"suffix":""}],"container-title":"Marketing Theory","id":"ITEM-2","issue":"3","issued":{"date-parts":[["2015"]]},"page":"299-320","title":"‘Marketing earthquakes’: A process of brand and market evolution by punctuated equilibrium","type":"article-journal","volume":"15"},"uris":["http://www.mendeley.com/documents/?uuid=cb7f3118-39c9-4f75-b707-d364d77bd88f"]}],"mendeley":{"formattedCitation":"(Hamlin, Bishop, &amp; Mather, 2015; Holt, 2002)","plainTextFormattedCitation":"(Hamlin, Bishop, &amp; Mather, 2015; Holt, 2002)","previouslyFormattedCitation":"(Hamlin, Bishop, &amp; Mather, 2015; Holt, 2002)"},"properties":{"noteIndex":0},"schema":"https://github.com/citation-style-language/schema/raw/master/csl-citation.json"}</w:instrText>
      </w:r>
      <w:r w:rsidR="00840B92" w:rsidRPr="0040120E">
        <w:rPr>
          <w:rFonts w:ascii="Times New Roman" w:hAnsi="Times New Roman" w:cs="Times New Roman"/>
          <w:sz w:val="24"/>
          <w:szCs w:val="24"/>
          <w:lang w:val="en-GB"/>
        </w:rPr>
        <w:fldChar w:fldCharType="separate"/>
      </w:r>
      <w:r w:rsidR="00840B92" w:rsidRPr="0040120E">
        <w:rPr>
          <w:rFonts w:ascii="Times New Roman" w:hAnsi="Times New Roman" w:cs="Times New Roman"/>
          <w:noProof/>
          <w:sz w:val="24"/>
          <w:szCs w:val="24"/>
          <w:lang w:val="en-GB"/>
        </w:rPr>
        <w:t>(Hamlin, Bishop, &amp; Mather, 2015; Holt, 2002)</w:t>
      </w:r>
      <w:r w:rsidR="00840B92" w:rsidRPr="0040120E">
        <w:rPr>
          <w:rFonts w:ascii="Times New Roman" w:hAnsi="Times New Roman" w:cs="Times New Roman"/>
          <w:sz w:val="24"/>
          <w:szCs w:val="24"/>
          <w:lang w:val="en-GB"/>
        </w:rPr>
        <w:fldChar w:fldCharType="end"/>
      </w:r>
      <w:r w:rsidR="00840B92" w:rsidRPr="0040120E">
        <w:rPr>
          <w:rFonts w:ascii="Times New Roman" w:hAnsi="Times New Roman" w:cs="Times New Roman"/>
          <w:sz w:val="24"/>
          <w:szCs w:val="24"/>
          <w:lang w:val="en-GB"/>
        </w:rPr>
        <w:t xml:space="preserve">. Our scale shows that consumers can perceive the same brand as being stable and yet adaptable. </w:t>
      </w:r>
      <w:r w:rsidR="007003DB" w:rsidRPr="0040120E">
        <w:rPr>
          <w:rFonts w:ascii="Times New Roman" w:hAnsi="Times New Roman" w:cs="Times New Roman"/>
          <w:sz w:val="24"/>
          <w:szCs w:val="24"/>
          <w:lang w:val="en-GB"/>
        </w:rPr>
        <w:t xml:space="preserve">. </w:t>
      </w:r>
    </w:p>
    <w:p w14:paraId="1003A034" w14:textId="12261072" w:rsidR="009071EA" w:rsidRPr="0040120E" w:rsidRDefault="000D501D" w:rsidP="009071EA">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US"/>
        </w:rPr>
        <w:t xml:space="preserve">These </w:t>
      </w:r>
      <w:r w:rsidR="00E23412" w:rsidRPr="0040120E">
        <w:rPr>
          <w:rFonts w:ascii="Times New Roman" w:hAnsi="Times New Roman" w:cs="Times New Roman"/>
          <w:sz w:val="24"/>
          <w:szCs w:val="24"/>
          <w:lang w:val="en-US"/>
        </w:rPr>
        <w:t>results</w:t>
      </w:r>
      <w:r w:rsidR="0014146D" w:rsidRPr="0040120E">
        <w:rPr>
          <w:rFonts w:ascii="Times New Roman" w:hAnsi="Times New Roman" w:cs="Times New Roman"/>
          <w:sz w:val="24"/>
          <w:szCs w:val="24"/>
          <w:lang w:val="en-US"/>
        </w:rPr>
        <w:t xml:space="preserve"> add to recent research on brand ambidexterity</w:t>
      </w:r>
      <w:r w:rsidR="00E23412" w:rsidRPr="0040120E">
        <w:rPr>
          <w:rFonts w:ascii="Times New Roman" w:hAnsi="Times New Roman" w:cs="Times New Roman"/>
          <w:sz w:val="24"/>
          <w:szCs w:val="24"/>
          <w:lang w:val="en-US"/>
        </w:rPr>
        <w:t xml:space="preserve"> </w:t>
      </w:r>
      <w:r w:rsidR="00E23412" w:rsidRPr="0040120E">
        <w:rPr>
          <w:rFonts w:ascii="Times New Roman" w:hAnsi="Times New Roman" w:cs="Times New Roman"/>
          <w:sz w:val="24"/>
          <w:szCs w:val="24"/>
          <w:lang w:val="en-US"/>
        </w:rPr>
        <w:fldChar w:fldCharType="begin" w:fldLock="1"/>
      </w:r>
      <w:r w:rsidR="003870BB" w:rsidRPr="0040120E">
        <w:rPr>
          <w:rFonts w:ascii="Times New Roman" w:hAnsi="Times New Roman" w:cs="Times New Roman"/>
          <w:sz w:val="24"/>
          <w:szCs w:val="24"/>
          <w:lang w:val="en-US"/>
        </w:rPr>
        <w:instrText>ADDIN CSL_CITATION {"citationItems":[{"id":"ITEM-1","itemData":{"DOI":"10.1177/1094428113518348","author":[{"dropping-particle":"","family":"Beverland","given":"Michael","non-dropping-particle":"","parse-names":false,"suffix":""},{"dropping-particle":"","family":"Wilner","given":"S.J.S.","non-dropping-particle":"","parse-names":false,"suffix":""},{"dropping-particle":"","family":"Micheli","given":"P.","non-dropping-particle":"","parse-names":false,"suffix":""}],"container-title":"Journal of the Academy of Marketing Science","id":"ITEM-1","issue":"5","issued":{"date-parts":[["2015"]]},"page":"589-609","title":"Reconciling the tension between consistency and relevance:design thinking as a mechanism for brand ambidexterity","type":"article-journal","volume":"43"},"uris":["http://www.mendeley.com/documents/?uuid=3f754043-0ca1-4e5a-98b3-b0cff3185a3c"]}],"mendeley":{"formattedCitation":"(Beverland, Wilner, &amp; Micheli, 2015)","plainTextFormattedCitation":"(Beverland, Wilner, &amp; Micheli, 2015)","previouslyFormattedCitation":"(Beverland, Wilner, &amp; Micheli, 2015)"},"properties":{"noteIndex":0},"schema":"https://github.com/citation-style-language/schema/raw/master/csl-citation.json"}</w:instrText>
      </w:r>
      <w:r w:rsidR="00E23412" w:rsidRPr="0040120E">
        <w:rPr>
          <w:rFonts w:ascii="Times New Roman" w:hAnsi="Times New Roman" w:cs="Times New Roman"/>
          <w:sz w:val="24"/>
          <w:szCs w:val="24"/>
          <w:lang w:val="en-US"/>
        </w:rPr>
        <w:fldChar w:fldCharType="separate"/>
      </w:r>
      <w:r w:rsidR="00E23412" w:rsidRPr="0040120E">
        <w:rPr>
          <w:rFonts w:ascii="Times New Roman" w:hAnsi="Times New Roman" w:cs="Times New Roman"/>
          <w:noProof/>
          <w:sz w:val="24"/>
          <w:szCs w:val="24"/>
          <w:lang w:val="en-US"/>
        </w:rPr>
        <w:t>(Beverland, Wilner, &amp; Micheli, 2015)</w:t>
      </w:r>
      <w:r w:rsidR="00E23412" w:rsidRPr="0040120E">
        <w:rPr>
          <w:rFonts w:ascii="Times New Roman" w:hAnsi="Times New Roman" w:cs="Times New Roman"/>
          <w:sz w:val="24"/>
          <w:szCs w:val="24"/>
          <w:lang w:val="en-US"/>
        </w:rPr>
        <w:fldChar w:fldCharType="end"/>
      </w:r>
      <w:r w:rsidR="0014146D" w:rsidRPr="0040120E">
        <w:rPr>
          <w:rFonts w:ascii="Times New Roman" w:hAnsi="Times New Roman" w:cs="Times New Roman"/>
          <w:sz w:val="24"/>
          <w:szCs w:val="24"/>
          <w:lang w:val="en-US"/>
        </w:rPr>
        <w:t>. Existing research suggests a three</w:t>
      </w:r>
      <w:r w:rsidR="00F06C95" w:rsidRPr="0040120E">
        <w:rPr>
          <w:rFonts w:ascii="Times New Roman" w:hAnsi="Times New Roman" w:cs="Times New Roman"/>
          <w:sz w:val="24"/>
          <w:szCs w:val="24"/>
          <w:lang w:val="en-US"/>
        </w:rPr>
        <w:t>-</w:t>
      </w:r>
      <w:r w:rsidR="0014146D" w:rsidRPr="0040120E">
        <w:rPr>
          <w:rFonts w:ascii="Times New Roman" w:hAnsi="Times New Roman" w:cs="Times New Roman"/>
          <w:sz w:val="24"/>
          <w:szCs w:val="24"/>
          <w:lang w:val="en-US"/>
        </w:rPr>
        <w:t xml:space="preserve">stage process based on design thinking to help brand managers </w:t>
      </w:r>
      <w:r w:rsidR="00F06C95" w:rsidRPr="0040120E">
        <w:rPr>
          <w:rFonts w:ascii="Times New Roman" w:hAnsi="Times New Roman" w:cs="Times New Roman"/>
          <w:sz w:val="24"/>
          <w:szCs w:val="24"/>
          <w:lang w:val="en-US"/>
        </w:rPr>
        <w:t xml:space="preserve">to </w:t>
      </w:r>
      <w:r w:rsidR="00840B92" w:rsidRPr="0040120E">
        <w:rPr>
          <w:rFonts w:ascii="Times New Roman" w:hAnsi="Times New Roman" w:cs="Times New Roman"/>
          <w:sz w:val="24"/>
          <w:szCs w:val="24"/>
          <w:lang w:val="en-US"/>
        </w:rPr>
        <w:t>a</w:t>
      </w:r>
      <w:r w:rsidR="00E23412" w:rsidRPr="0040120E">
        <w:rPr>
          <w:rFonts w:ascii="Times New Roman" w:hAnsi="Times New Roman" w:cs="Times New Roman"/>
          <w:sz w:val="24"/>
          <w:szCs w:val="24"/>
          <w:lang w:val="en-US"/>
        </w:rPr>
        <w:t>chiev</w:t>
      </w:r>
      <w:r w:rsidR="00F06C95" w:rsidRPr="0040120E">
        <w:rPr>
          <w:rFonts w:ascii="Times New Roman" w:hAnsi="Times New Roman" w:cs="Times New Roman"/>
          <w:sz w:val="24"/>
          <w:szCs w:val="24"/>
          <w:lang w:val="en-US"/>
        </w:rPr>
        <w:t>e</w:t>
      </w:r>
      <w:r w:rsidR="00E23412" w:rsidRPr="0040120E">
        <w:rPr>
          <w:rFonts w:ascii="Times New Roman" w:hAnsi="Times New Roman" w:cs="Times New Roman"/>
          <w:sz w:val="24"/>
          <w:szCs w:val="24"/>
          <w:lang w:val="en-US"/>
        </w:rPr>
        <w:t xml:space="preserve"> ambidexterity</w:t>
      </w:r>
      <w:r w:rsidR="00840B92" w:rsidRPr="0040120E">
        <w:rPr>
          <w:rFonts w:ascii="Times New Roman" w:hAnsi="Times New Roman" w:cs="Times New Roman"/>
          <w:sz w:val="24"/>
          <w:szCs w:val="24"/>
          <w:lang w:val="en-US"/>
        </w:rPr>
        <w:t xml:space="preserve">. This quality allows </w:t>
      </w:r>
      <w:r w:rsidR="00F06C95" w:rsidRPr="0040120E">
        <w:rPr>
          <w:rFonts w:ascii="Times New Roman" w:hAnsi="Times New Roman" w:cs="Times New Roman"/>
          <w:sz w:val="24"/>
          <w:szCs w:val="24"/>
          <w:lang w:val="en-US"/>
        </w:rPr>
        <w:t xml:space="preserve">a </w:t>
      </w:r>
      <w:r w:rsidR="00840B92" w:rsidRPr="0040120E">
        <w:rPr>
          <w:rFonts w:ascii="Times New Roman" w:hAnsi="Times New Roman" w:cs="Times New Roman"/>
          <w:sz w:val="24"/>
          <w:szCs w:val="24"/>
          <w:lang w:val="en-US"/>
        </w:rPr>
        <w:t xml:space="preserve">brand to explore and exploit at the same time, </w:t>
      </w:r>
      <w:r w:rsidR="00F06C95" w:rsidRPr="0040120E">
        <w:rPr>
          <w:rFonts w:ascii="Times New Roman" w:hAnsi="Times New Roman" w:cs="Times New Roman"/>
          <w:sz w:val="24"/>
          <w:szCs w:val="24"/>
          <w:lang w:val="en-US"/>
        </w:rPr>
        <w:t>which</w:t>
      </w:r>
      <w:r w:rsidR="00E23412" w:rsidRPr="0040120E">
        <w:rPr>
          <w:rFonts w:ascii="Times New Roman" w:hAnsi="Times New Roman" w:cs="Times New Roman"/>
          <w:sz w:val="24"/>
          <w:szCs w:val="24"/>
          <w:lang w:val="en-US"/>
        </w:rPr>
        <w:t xml:space="preserve"> would be a way of addressing the problem of senescence. However, this important step does not consider the consumers’ perception</w:t>
      </w:r>
      <w:r w:rsidR="00262A2B" w:rsidRPr="0040120E">
        <w:rPr>
          <w:rFonts w:ascii="Times New Roman" w:hAnsi="Times New Roman" w:cs="Times New Roman"/>
          <w:sz w:val="24"/>
          <w:szCs w:val="24"/>
          <w:lang w:val="en-US"/>
        </w:rPr>
        <w:t>s</w:t>
      </w:r>
      <w:r w:rsidR="00E23412" w:rsidRPr="0040120E">
        <w:rPr>
          <w:rFonts w:ascii="Times New Roman" w:hAnsi="Times New Roman" w:cs="Times New Roman"/>
          <w:sz w:val="24"/>
          <w:szCs w:val="24"/>
          <w:lang w:val="en-US"/>
        </w:rPr>
        <w:t xml:space="preserve"> of these efforts. </w:t>
      </w:r>
      <w:r w:rsidR="0014146D" w:rsidRPr="0040120E">
        <w:rPr>
          <w:rFonts w:ascii="Times New Roman" w:hAnsi="Times New Roman" w:cs="Times New Roman"/>
          <w:sz w:val="24"/>
          <w:szCs w:val="24"/>
          <w:lang w:val="en-US"/>
        </w:rPr>
        <w:t xml:space="preserve">Our results </w:t>
      </w:r>
      <w:r w:rsidR="00E23412" w:rsidRPr="0040120E">
        <w:rPr>
          <w:rFonts w:ascii="Times New Roman" w:hAnsi="Times New Roman" w:cs="Times New Roman"/>
          <w:sz w:val="24"/>
          <w:szCs w:val="24"/>
          <w:lang w:val="en-US"/>
        </w:rPr>
        <w:t>take</w:t>
      </w:r>
      <w:r w:rsidR="0014146D" w:rsidRPr="0040120E">
        <w:rPr>
          <w:rFonts w:ascii="Times New Roman" w:hAnsi="Times New Roman" w:cs="Times New Roman"/>
          <w:sz w:val="24"/>
          <w:szCs w:val="24"/>
          <w:lang w:val="en-US"/>
        </w:rPr>
        <w:t xml:space="preserve"> a different and temporal perspective</w:t>
      </w:r>
      <w:r w:rsidR="00F06C95" w:rsidRPr="0040120E">
        <w:rPr>
          <w:rFonts w:ascii="Times New Roman" w:hAnsi="Times New Roman" w:cs="Times New Roman"/>
          <w:sz w:val="24"/>
          <w:szCs w:val="24"/>
          <w:lang w:val="en-US"/>
        </w:rPr>
        <w:t>:</w:t>
      </w:r>
      <w:r w:rsidR="00E23412" w:rsidRPr="0040120E">
        <w:rPr>
          <w:rFonts w:ascii="Times New Roman" w:hAnsi="Times New Roman" w:cs="Times New Roman"/>
          <w:sz w:val="24"/>
          <w:szCs w:val="24"/>
          <w:lang w:val="en-US"/>
        </w:rPr>
        <w:t xml:space="preserve"> the</w:t>
      </w:r>
      <w:r w:rsidR="0014146D" w:rsidRPr="0040120E">
        <w:rPr>
          <w:rFonts w:ascii="Times New Roman" w:hAnsi="Times New Roman" w:cs="Times New Roman"/>
          <w:sz w:val="24"/>
          <w:szCs w:val="24"/>
          <w:lang w:val="en-US"/>
        </w:rPr>
        <w:t xml:space="preserve"> scale does not aim to measure the perception of ambidexterity per se, but it allows an estimation of consumers’ perception</w:t>
      </w:r>
      <w:r w:rsidR="003D02B6" w:rsidRPr="0040120E">
        <w:rPr>
          <w:rFonts w:ascii="Times New Roman" w:hAnsi="Times New Roman" w:cs="Times New Roman"/>
          <w:sz w:val="24"/>
          <w:szCs w:val="24"/>
          <w:lang w:val="en-US"/>
        </w:rPr>
        <w:t>s</w:t>
      </w:r>
      <w:r w:rsidR="0014146D" w:rsidRPr="0040120E">
        <w:rPr>
          <w:rFonts w:ascii="Times New Roman" w:hAnsi="Times New Roman" w:cs="Times New Roman"/>
          <w:sz w:val="24"/>
          <w:szCs w:val="24"/>
          <w:lang w:val="en-US"/>
        </w:rPr>
        <w:t xml:space="preserve"> of the stability, the longevity, and the adaptability of a brand.</w:t>
      </w:r>
      <w:r w:rsidR="00E23412" w:rsidRPr="0040120E">
        <w:rPr>
          <w:rFonts w:ascii="Times New Roman" w:hAnsi="Times New Roman" w:cs="Times New Roman"/>
          <w:sz w:val="24"/>
          <w:szCs w:val="24"/>
          <w:lang w:val="en-US"/>
        </w:rPr>
        <w:t xml:space="preserve"> </w:t>
      </w:r>
    </w:p>
    <w:p w14:paraId="12475F39" w14:textId="4E2890BA" w:rsidR="009071EA" w:rsidRPr="0040120E" w:rsidRDefault="00840B92" w:rsidP="002358D1">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Third, a</w:t>
      </w:r>
      <w:r w:rsidR="009071EA" w:rsidRPr="0040120E" w:rsidDel="000D501D">
        <w:rPr>
          <w:rFonts w:ascii="Times New Roman" w:hAnsi="Times New Roman" w:cs="Times New Roman"/>
          <w:sz w:val="24"/>
          <w:szCs w:val="24"/>
          <w:lang w:val="en-GB"/>
        </w:rPr>
        <w:t xml:space="preserve">lthough it emerges from the study of brand, this scale could also contribute to further research in disciplines interested in the perception of </w:t>
      </w:r>
      <w:r w:rsidR="002D7072" w:rsidRPr="0040120E" w:rsidDel="000D501D">
        <w:rPr>
          <w:rFonts w:ascii="Times New Roman" w:hAnsi="Times New Roman" w:cs="Times New Roman"/>
          <w:sz w:val="24"/>
          <w:szCs w:val="24"/>
          <w:lang w:val="en-GB"/>
        </w:rPr>
        <w:t>organis</w:t>
      </w:r>
      <w:r w:rsidR="00F05206" w:rsidRPr="0040120E" w:rsidDel="000D501D">
        <w:rPr>
          <w:rFonts w:ascii="Times New Roman" w:hAnsi="Times New Roman" w:cs="Times New Roman"/>
          <w:sz w:val="24"/>
          <w:szCs w:val="24"/>
          <w:lang w:val="en-GB"/>
        </w:rPr>
        <w:t>ations</w:t>
      </w:r>
      <w:r w:rsidR="009071EA" w:rsidRPr="0040120E" w:rsidDel="000D501D">
        <w:rPr>
          <w:rFonts w:ascii="Times New Roman" w:hAnsi="Times New Roman" w:cs="Times New Roman"/>
          <w:sz w:val="24"/>
          <w:szCs w:val="24"/>
          <w:lang w:val="en-GB"/>
        </w:rPr>
        <w:t xml:space="preserve"> or objects related to the past. Our approach through consumption captures a perception of continuity that accommodates change. Psychologists, but also archaeologists, historians or sociologists interested in the perception of heritage could replicate our approach, if not our scale, to carry out quantitative studies. Similarly, sites managers could use the scale to monitor how well their audiences perceive the balance between change and continuity. As they are consistently focusing on a single level of analysis, the scale is very versatile. The items can easily serve another </w:t>
      </w:r>
      <w:r w:rsidR="009071EA" w:rsidRPr="0040120E" w:rsidDel="000D501D">
        <w:rPr>
          <w:rFonts w:ascii="Times New Roman" w:hAnsi="Times New Roman" w:cs="Times New Roman"/>
          <w:sz w:val="24"/>
          <w:szCs w:val="24"/>
          <w:lang w:val="en-GB"/>
        </w:rPr>
        <w:lastRenderedPageBreak/>
        <w:t>discipline’s purposes. We focus on a brand target but we could adapt them to monuments, sites or museums, e</w:t>
      </w:r>
      <w:r w:rsidR="00F05206" w:rsidRPr="0040120E" w:rsidDel="000D501D">
        <w:rPr>
          <w:rFonts w:ascii="Times New Roman" w:hAnsi="Times New Roman" w:cs="Times New Roman"/>
          <w:sz w:val="24"/>
          <w:szCs w:val="24"/>
          <w:lang w:val="en-GB"/>
        </w:rPr>
        <w:t>.</w:t>
      </w:r>
      <w:r w:rsidR="009071EA" w:rsidRPr="0040120E" w:rsidDel="000D501D">
        <w:rPr>
          <w:rFonts w:ascii="Times New Roman" w:hAnsi="Times New Roman" w:cs="Times New Roman"/>
          <w:sz w:val="24"/>
          <w:szCs w:val="24"/>
          <w:lang w:val="en-GB"/>
        </w:rPr>
        <w:t>g</w:t>
      </w:r>
      <w:r w:rsidR="00F05206" w:rsidRPr="0040120E" w:rsidDel="000D501D">
        <w:rPr>
          <w:rFonts w:ascii="Times New Roman" w:hAnsi="Times New Roman" w:cs="Times New Roman"/>
          <w:sz w:val="24"/>
          <w:szCs w:val="24"/>
          <w:lang w:val="en-GB"/>
        </w:rPr>
        <w:t>.</w:t>
      </w:r>
      <w:r w:rsidR="00F06C95" w:rsidRPr="0040120E">
        <w:rPr>
          <w:rFonts w:ascii="Times New Roman" w:hAnsi="Times New Roman" w:cs="Times New Roman"/>
          <w:sz w:val="24"/>
          <w:szCs w:val="24"/>
          <w:lang w:val="en-GB"/>
        </w:rPr>
        <w:t>,</w:t>
      </w:r>
      <w:r w:rsidR="009071EA" w:rsidRPr="0040120E" w:rsidDel="000D501D">
        <w:rPr>
          <w:rFonts w:ascii="Times New Roman" w:hAnsi="Times New Roman" w:cs="Times New Roman"/>
          <w:sz w:val="24"/>
          <w:szCs w:val="24"/>
          <w:lang w:val="en-GB"/>
        </w:rPr>
        <w:t xml:space="preserve"> </w:t>
      </w:r>
      <w:r w:rsidR="00E23412" w:rsidRPr="0040120E" w:rsidDel="000D501D">
        <w:rPr>
          <w:rFonts w:ascii="Times New Roman" w:hAnsi="Times New Roman" w:cs="Times New Roman"/>
          <w:sz w:val="24"/>
          <w:szCs w:val="24"/>
          <w:lang w:val="en-GB"/>
        </w:rPr>
        <w:t>‘</w:t>
      </w:r>
      <w:r w:rsidR="009071EA" w:rsidRPr="0040120E" w:rsidDel="000D501D">
        <w:rPr>
          <w:rFonts w:ascii="Times New Roman" w:hAnsi="Times New Roman" w:cs="Times New Roman"/>
          <w:sz w:val="24"/>
          <w:szCs w:val="24"/>
          <w:lang w:val="en-GB"/>
        </w:rPr>
        <w:t>A site that would never go out of fashion</w:t>
      </w:r>
      <w:r w:rsidR="00E23412" w:rsidRPr="0040120E" w:rsidDel="000D501D">
        <w:rPr>
          <w:rFonts w:ascii="Times New Roman" w:hAnsi="Times New Roman" w:cs="Times New Roman"/>
          <w:sz w:val="24"/>
          <w:szCs w:val="24"/>
          <w:lang w:val="en-GB"/>
        </w:rPr>
        <w:t>’</w:t>
      </w:r>
      <w:r w:rsidR="009071EA" w:rsidRPr="0040120E" w:rsidDel="000D501D">
        <w:rPr>
          <w:rFonts w:ascii="Times New Roman" w:hAnsi="Times New Roman" w:cs="Times New Roman"/>
          <w:sz w:val="24"/>
          <w:szCs w:val="24"/>
          <w:lang w:val="en-GB"/>
        </w:rPr>
        <w:t xml:space="preserve">, </w:t>
      </w:r>
      <w:r w:rsidR="00E23412" w:rsidRPr="0040120E" w:rsidDel="000D501D">
        <w:rPr>
          <w:rFonts w:ascii="Times New Roman" w:hAnsi="Times New Roman" w:cs="Times New Roman"/>
          <w:sz w:val="24"/>
          <w:szCs w:val="24"/>
          <w:lang w:val="en-GB"/>
        </w:rPr>
        <w:t>‘</w:t>
      </w:r>
      <w:r w:rsidR="009071EA" w:rsidRPr="0040120E" w:rsidDel="000D501D">
        <w:rPr>
          <w:rFonts w:ascii="Times New Roman" w:hAnsi="Times New Roman" w:cs="Times New Roman"/>
          <w:sz w:val="24"/>
          <w:szCs w:val="24"/>
          <w:lang w:val="en-GB"/>
        </w:rPr>
        <w:t>A monument that reinforces and builds on long-held traditions</w:t>
      </w:r>
      <w:r w:rsidR="00E23412" w:rsidRPr="0040120E" w:rsidDel="000D501D">
        <w:rPr>
          <w:rFonts w:ascii="Times New Roman" w:hAnsi="Times New Roman" w:cs="Times New Roman"/>
          <w:sz w:val="24"/>
          <w:szCs w:val="24"/>
          <w:lang w:val="en-GB"/>
        </w:rPr>
        <w:t>’</w:t>
      </w:r>
      <w:r w:rsidR="009071EA" w:rsidRPr="0040120E" w:rsidDel="000D501D">
        <w:rPr>
          <w:rFonts w:ascii="Times New Roman" w:hAnsi="Times New Roman" w:cs="Times New Roman"/>
          <w:sz w:val="24"/>
          <w:szCs w:val="24"/>
          <w:lang w:val="en-GB"/>
        </w:rPr>
        <w:t xml:space="preserve">, </w:t>
      </w:r>
      <w:r w:rsidR="00E23412" w:rsidRPr="0040120E" w:rsidDel="000D501D">
        <w:rPr>
          <w:rFonts w:ascii="Times New Roman" w:hAnsi="Times New Roman" w:cs="Times New Roman"/>
          <w:sz w:val="24"/>
          <w:szCs w:val="24"/>
          <w:lang w:val="en-GB"/>
        </w:rPr>
        <w:t>‘</w:t>
      </w:r>
      <w:r w:rsidR="009071EA" w:rsidRPr="0040120E" w:rsidDel="000D501D">
        <w:rPr>
          <w:rFonts w:ascii="Times New Roman" w:hAnsi="Times New Roman" w:cs="Times New Roman"/>
          <w:sz w:val="24"/>
          <w:szCs w:val="24"/>
          <w:lang w:val="en-GB"/>
        </w:rPr>
        <w:t>A museum that reinvent</w:t>
      </w:r>
      <w:r w:rsidR="00271193" w:rsidRPr="0040120E">
        <w:rPr>
          <w:rFonts w:ascii="Times New Roman" w:hAnsi="Times New Roman" w:cs="Times New Roman"/>
          <w:sz w:val="24"/>
          <w:szCs w:val="24"/>
          <w:lang w:val="en-GB"/>
        </w:rPr>
        <w:t>s</w:t>
      </w:r>
      <w:r w:rsidR="009071EA" w:rsidRPr="0040120E" w:rsidDel="000D501D">
        <w:rPr>
          <w:rFonts w:ascii="Times New Roman" w:hAnsi="Times New Roman" w:cs="Times New Roman"/>
          <w:sz w:val="24"/>
          <w:szCs w:val="24"/>
          <w:lang w:val="en-GB"/>
        </w:rPr>
        <w:t xml:space="preserve"> itself</w:t>
      </w:r>
      <w:r w:rsidR="00E23412" w:rsidRPr="0040120E" w:rsidDel="000D501D">
        <w:rPr>
          <w:rFonts w:ascii="Times New Roman" w:hAnsi="Times New Roman" w:cs="Times New Roman"/>
          <w:sz w:val="24"/>
          <w:szCs w:val="24"/>
          <w:lang w:val="en-GB"/>
        </w:rPr>
        <w:t>’</w:t>
      </w:r>
      <w:r w:rsidR="009071EA" w:rsidRPr="0040120E" w:rsidDel="000D501D">
        <w:rPr>
          <w:rFonts w:ascii="Times New Roman" w:hAnsi="Times New Roman" w:cs="Times New Roman"/>
          <w:sz w:val="24"/>
          <w:szCs w:val="24"/>
          <w:lang w:val="en-GB"/>
        </w:rPr>
        <w:t>.</w:t>
      </w:r>
      <w:r w:rsidR="002358D1" w:rsidRPr="0040120E" w:rsidDel="000D501D">
        <w:rPr>
          <w:rFonts w:ascii="Times New Roman" w:hAnsi="Times New Roman" w:cs="Times New Roman"/>
          <w:sz w:val="24"/>
          <w:szCs w:val="24"/>
          <w:lang w:val="en-GB"/>
        </w:rPr>
        <w:t xml:space="preserve"> </w:t>
      </w:r>
    </w:p>
    <w:p w14:paraId="1112DA17" w14:textId="77777777" w:rsidR="00F17D0B" w:rsidRPr="0040120E" w:rsidRDefault="00F17D0B" w:rsidP="00E23412">
      <w:pPr>
        <w:spacing w:line="480" w:lineRule="auto"/>
        <w:jc w:val="both"/>
        <w:rPr>
          <w:rFonts w:ascii="Times New Roman" w:hAnsi="Times New Roman" w:cs="Times New Roman"/>
          <w:b/>
          <w:i/>
          <w:sz w:val="24"/>
          <w:szCs w:val="24"/>
          <w:lang w:val="en-GB"/>
        </w:rPr>
      </w:pPr>
      <w:r w:rsidRPr="0040120E">
        <w:rPr>
          <w:rFonts w:ascii="Times New Roman" w:hAnsi="Times New Roman" w:cs="Times New Roman"/>
          <w:b/>
          <w:i/>
          <w:sz w:val="24"/>
          <w:szCs w:val="24"/>
          <w:lang w:val="en-GB"/>
        </w:rPr>
        <w:t>Managerial contributions</w:t>
      </w:r>
    </w:p>
    <w:p w14:paraId="79864379" w14:textId="72ED5E6A" w:rsidR="00F17D0B" w:rsidRPr="0040120E" w:rsidRDefault="00F17D0B" w:rsidP="00F17D0B">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Our scale shows that brands do not need to choose between the radical options of changing everything or nothing. We confirm the observations reported by prior qualitative research on these long-standing organisations </w:t>
      </w:r>
      <w:r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{"citationItems":[{"id":"ITEM-1","itemData":{"DOI":"10.1108/03090561111151880","ISBN":"1593761139 9781593761134","ISSN":"0309-0566","PMID":"42012058","abstract":"Purpose – Brand heritage is an emerging concept within the marketing discipline, which suggests that the historical status of older companies is often explicitly linked to their brand identity and consumer appeal. The aim of this paper is to illustrate and validate this concept. Design/methodology/approach – This paper provides a profile of the Cunard Line, which offers limited evidence to support prior conceptual work by other scholars. The paper uses historical research methods to illustrate the principles of brand heritage within a specific circumstance. Findings – Heritage is central to the brand identity of Cunard and was a significant factor in the recent turnaround of the company. This paper demonstrates the nature and power of the brand heritage concept, even within a future-oriented repositioning effort. Research limitations/implications – Although the example of Cunard validates the brand heritage concept in a specific instance, it does not offer evidence that brand heritage is a universal phenomenon. Practical implications – Brand heritage should be included within the repertoires of marketing strategists and brand managers. Executives of older companies should be aware of this approach and should consider the potential to exploit heritage for competitive advantage. Originality/value – This paper offers original research to support prior conceptual scholarship on the emerging topic of brand heritage","author":[{"dropping-particle":"","family":"Hudson","given":"Bradford T.","non-dropping-particle":"","parse-names":false,"suffix":""}],"container-title":"European Journal of Marketing","id":"ITEM-1","issue":"9/10","issued":{"date-parts":[["2011"]]},"page":"1538-1556","title":"Brand heritage and the renaissance of Cunard","type":"article-journal","volume":"45"},"uris":["http://www.mendeley.com/documents/?uuid=b8fca23d-0679-499e-948e-919b1e09c0c0"]},{"id":"ITEM-2","itemData":{"DOI":"10.1057/palgrave.bm.2550106","ISBN":"1350231X","ISSN":"1350-231X","PMID":"26435846","abstract":"This paper articulates a concept of ‚Äòheritage brands‚Äô,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marketing.","author":[{"dropping-particle":"","family":"Urde","given":"Mats","non-dropping-particle":"","parse-names":false,"suffix":""},{"dropping-particle":"","family":"Greyser","given":"Stephen A","non-dropping-particle":"","parse-names":false,"suffix":""},{"dropping-particle":"","family":"Balmer","given":"John M T","non-dropping-particle":"","parse-names":false,"suffix":""}],"container-title":"Journal of Brand Management","id":"ITEM-2","issue":"1","issued":{"date-parts":[["2007"]]},"page":"4-19","title":"Corporate brands with a heritage","type":"article-journal","volume":"15"},"uris":["http://www.mendeley.com/documents/?uuid=867ee612-ee86-40d1-9ceb-f12530b951e9"]},{"id":"ITEM-3","itemData":{"DOI":"10.1016/j.jbusres.2014.06.019","ISBN":"0320130169","ISSN":"01482963","PMID":"1554287047","abstract":"This article advances the theoretical and instrumental understanding of corporate heritage identities. This exploratory, empirical study focuses on both the nature and the relevance of corporate heritage identity as employed by managers for corporate identity management purposes. The research is undertaken within Britain's oldest brewery - one of the oldest corporate entities in Great Britain with a provenance spanning many centuries - and utilizes a qualitative and theory building case study. The research reveals two classes of management responsibilities vis-à-vis corporate heritage identity management, namely corporate heritage management activities and corporate heritage implementation strategies, which follow a particular corporate heritage identity implementation pattern identified. A normative framework synthesizes and marshals the findings. The empirical study provides insight into corporate heritage identity management and is potentially useful to both scholars and practitioners. This study advances the nascent area of corporate heritage identity management by providing empirical and theoretical insight into the salience and strategic relevance of corporate heritage identity as a resource for corporate marketing. The article provides a normative framework of actionable categories of activities related to the management and implementation of substantive corporate heritage identity dimensions. © 2014 Elsevier Inc.","author":[{"dropping-particle":"","family":"Burghausen","given":"Mario","non-dropping-particle":"","parse-names":false,"suffix":""},{"dropping-particle":"","family":"Balmer","given":"John M T","non-dropping-particle":"","parse-names":false,"suffix":""}],"container-title":"Journal of Business Research","id":"ITEM-3","issue":"11","issued":{"date-parts":[["2014"]]},"page":"2311-2323","title":"Corporate heritage identity management and the multi-modal implementation of a corporate heritage identity","type":"article-journal","volume":"67"},"uris":["http://www.mendeley.com/documents/?uuid=4546970b-afad-4b5e-ad46-1b9a2492dae0"]}],"mendeley":{"formattedCitation":"(Burghausen &amp; Balmer, 2014; Hudson, 2011; Urde et al., 2007)","plainTextFormattedCitation":"(Burghausen &amp; Balmer, 2014; Hudson, 2011; Urde et al., 2007)","previouslyFormattedCitation":"(Burghausen &amp; Balmer, 2014; Hudson, 2011; Urde et al., 2007)"},"properties":{"noteIndex":0},"schema":"https://github.com/citation-style-language/schema/raw/master/csl-citation.json"}</w:instrText>
      </w:r>
      <w:r w:rsidRPr="0040120E">
        <w:rPr>
          <w:rFonts w:ascii="Times New Roman" w:hAnsi="Times New Roman" w:cs="Times New Roman"/>
          <w:sz w:val="24"/>
          <w:szCs w:val="24"/>
          <w:lang w:val="en-GB"/>
        </w:rPr>
        <w:fldChar w:fldCharType="separate"/>
      </w:r>
      <w:r w:rsidRPr="0040120E">
        <w:rPr>
          <w:rFonts w:ascii="Times New Roman" w:hAnsi="Times New Roman" w:cs="Times New Roman"/>
          <w:noProof/>
          <w:sz w:val="24"/>
          <w:szCs w:val="24"/>
          <w:lang w:val="en-GB"/>
        </w:rPr>
        <w:t>(Burghausen &amp; Balmer, 2014; Hudson, 2011; Urde et al., 2007)</w:t>
      </w:r>
      <w:r w:rsidRPr="0040120E">
        <w:rPr>
          <w:rFonts w:ascii="Times New Roman" w:hAnsi="Times New Roman" w:cs="Times New Roman"/>
          <w:sz w:val="24"/>
          <w:szCs w:val="24"/>
          <w:lang w:val="en-GB"/>
        </w:rPr>
        <w:fldChar w:fldCharType="end"/>
      </w:r>
      <w:r w:rsidRPr="0040120E">
        <w:rPr>
          <w:rFonts w:ascii="Times New Roman" w:hAnsi="Times New Roman" w:cs="Times New Roman"/>
          <w:sz w:val="24"/>
          <w:szCs w:val="24"/>
          <w:lang w:val="en-GB"/>
        </w:rPr>
        <w:t>, and the intuition that Lampedusa’s maxim applies to brand management: sometimes, if one wants things to stay the same, they will need to change. Our scale is able to estimate the extent to which consumers perceive the brand to master this paradox.</w:t>
      </w:r>
    </w:p>
    <w:p w14:paraId="3016B0B0" w14:textId="0F45F37D" w:rsidR="00F17D0B" w:rsidRPr="0040120E" w:rsidRDefault="00A95EB6" w:rsidP="00F17D0B">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O</w:t>
      </w:r>
      <w:r w:rsidR="00F17D0B" w:rsidRPr="0040120E">
        <w:rPr>
          <w:rFonts w:ascii="Times New Roman" w:hAnsi="Times New Roman" w:cs="Times New Roman"/>
          <w:sz w:val="24"/>
          <w:szCs w:val="24"/>
          <w:lang w:val="en-GB"/>
        </w:rPr>
        <w:t>ur scale equips managers with an important tool. As long-standing firms must resist new entrants with business models favouring constant innovations (MSI, 2016), this scale adds to the existing tool kit</w:t>
      </w:r>
      <w:r w:rsidR="00F06C95" w:rsidRPr="0040120E">
        <w:rPr>
          <w:rFonts w:ascii="Times New Roman" w:hAnsi="Times New Roman" w:cs="Times New Roman"/>
          <w:sz w:val="24"/>
          <w:szCs w:val="24"/>
          <w:lang w:val="en-GB"/>
        </w:rPr>
        <w:t>,</w:t>
      </w:r>
      <w:r w:rsidR="00F17D0B" w:rsidRPr="0040120E">
        <w:rPr>
          <w:rFonts w:ascii="Times New Roman" w:hAnsi="Times New Roman" w:cs="Times New Roman"/>
          <w:sz w:val="24"/>
          <w:szCs w:val="24"/>
          <w:lang w:val="en-GB"/>
        </w:rPr>
        <w:t xml:space="preserve"> with a scale to monitor how and to </w:t>
      </w:r>
      <w:r w:rsidR="00F06C95" w:rsidRPr="0040120E">
        <w:rPr>
          <w:rFonts w:ascii="Times New Roman" w:hAnsi="Times New Roman" w:cs="Times New Roman"/>
          <w:sz w:val="24"/>
          <w:szCs w:val="24"/>
          <w:lang w:val="en-GB"/>
        </w:rPr>
        <w:t>what</w:t>
      </w:r>
      <w:r w:rsidR="00F17D0B" w:rsidRPr="0040120E">
        <w:rPr>
          <w:rFonts w:ascii="Times New Roman" w:hAnsi="Times New Roman" w:cs="Times New Roman"/>
          <w:sz w:val="24"/>
          <w:szCs w:val="24"/>
          <w:lang w:val="en-GB"/>
        </w:rPr>
        <w:t xml:space="preserve"> extent these changes impact consumer perceptions. Brand managers can use the scale to reposition their brands around </w:t>
      </w:r>
      <w:r w:rsidR="003D02B6" w:rsidRPr="0040120E">
        <w:rPr>
          <w:rFonts w:ascii="Times New Roman" w:hAnsi="Times New Roman" w:cs="Times New Roman"/>
          <w:sz w:val="24"/>
          <w:szCs w:val="24"/>
          <w:lang w:val="en-GB"/>
        </w:rPr>
        <w:t>their</w:t>
      </w:r>
      <w:r w:rsidR="00F17D0B" w:rsidRPr="0040120E">
        <w:rPr>
          <w:rFonts w:ascii="Times New Roman" w:hAnsi="Times New Roman" w:cs="Times New Roman"/>
          <w:sz w:val="24"/>
          <w:szCs w:val="24"/>
          <w:lang w:val="en-GB"/>
        </w:rPr>
        <w:t xml:space="preserve"> heritage, </w:t>
      </w:r>
      <w:r w:rsidR="00F06C95" w:rsidRPr="0040120E">
        <w:rPr>
          <w:rFonts w:ascii="Times New Roman" w:hAnsi="Times New Roman" w:cs="Times New Roman"/>
          <w:sz w:val="24"/>
          <w:szCs w:val="24"/>
          <w:lang w:val="en-GB"/>
        </w:rPr>
        <w:t xml:space="preserve">and </w:t>
      </w:r>
      <w:r w:rsidR="00F17D0B" w:rsidRPr="0040120E">
        <w:rPr>
          <w:rFonts w:ascii="Times New Roman" w:hAnsi="Times New Roman" w:cs="Times New Roman"/>
          <w:sz w:val="24"/>
          <w:szCs w:val="24"/>
          <w:lang w:val="en-GB"/>
        </w:rPr>
        <w:t>they can also use it as a guidance tool to set objectives or monitor the influence of their actions on consumers’ perception. The distinction between three dimensions of the concept is particularly relevant for managers aiming to find the right balance between respect for traditions and their adaptability. Depending on their marketing objectives, managers could focus more on one of the three dimensions</w:t>
      </w:r>
      <w:r w:rsidR="00F06C95" w:rsidRPr="0040120E">
        <w:rPr>
          <w:rFonts w:ascii="Times New Roman" w:hAnsi="Times New Roman" w:cs="Times New Roman"/>
          <w:sz w:val="24"/>
          <w:szCs w:val="24"/>
          <w:lang w:val="en-GB"/>
        </w:rPr>
        <w:t>:</w:t>
      </w:r>
      <w:r w:rsidR="00F17D0B" w:rsidRPr="0040120E">
        <w:rPr>
          <w:rFonts w:ascii="Times New Roman" w:hAnsi="Times New Roman" w:cs="Times New Roman"/>
          <w:sz w:val="24"/>
          <w:szCs w:val="24"/>
          <w:lang w:val="en-GB"/>
        </w:rPr>
        <w:t xml:space="preserve"> </w:t>
      </w:r>
      <w:r w:rsidR="00F06C95" w:rsidRPr="0040120E">
        <w:rPr>
          <w:rFonts w:ascii="Times New Roman" w:hAnsi="Times New Roman" w:cs="Times New Roman"/>
          <w:sz w:val="24"/>
          <w:szCs w:val="24"/>
          <w:lang w:val="en-GB"/>
        </w:rPr>
        <w:t>f</w:t>
      </w:r>
      <w:r w:rsidR="00F17D0B" w:rsidRPr="0040120E">
        <w:rPr>
          <w:rFonts w:ascii="Times New Roman" w:hAnsi="Times New Roman" w:cs="Times New Roman"/>
          <w:sz w:val="24"/>
          <w:szCs w:val="24"/>
          <w:lang w:val="en-GB"/>
        </w:rPr>
        <w:t xml:space="preserve">or instance, stability for brands that have launched many innovations and need to anchor them into a longer perspective, like Apple; longevity for brands that need to reassert their past due to harsh competition, </w:t>
      </w:r>
      <w:r w:rsidR="00F06C95" w:rsidRPr="0040120E">
        <w:rPr>
          <w:rFonts w:ascii="Times New Roman" w:hAnsi="Times New Roman" w:cs="Times New Roman"/>
          <w:sz w:val="24"/>
          <w:szCs w:val="24"/>
          <w:lang w:val="en-GB"/>
        </w:rPr>
        <w:t>which</w:t>
      </w:r>
      <w:r w:rsidR="00F17D0B" w:rsidRPr="0040120E">
        <w:rPr>
          <w:rFonts w:ascii="Times New Roman" w:hAnsi="Times New Roman" w:cs="Times New Roman"/>
          <w:sz w:val="24"/>
          <w:szCs w:val="24"/>
          <w:lang w:val="en-GB"/>
        </w:rPr>
        <w:t xml:space="preserve"> may be the case for Citroën; and adaptability for brands that need to be perceived </w:t>
      </w:r>
      <w:r w:rsidR="00271193" w:rsidRPr="0040120E">
        <w:rPr>
          <w:rFonts w:ascii="Times New Roman" w:hAnsi="Times New Roman" w:cs="Times New Roman"/>
          <w:sz w:val="24"/>
          <w:szCs w:val="24"/>
          <w:lang w:val="en-GB"/>
        </w:rPr>
        <w:t>to be</w:t>
      </w:r>
      <w:r w:rsidR="00F17D0B" w:rsidRPr="0040120E">
        <w:rPr>
          <w:rFonts w:ascii="Times New Roman" w:hAnsi="Times New Roman" w:cs="Times New Roman"/>
          <w:sz w:val="24"/>
          <w:szCs w:val="24"/>
          <w:lang w:val="en-GB"/>
        </w:rPr>
        <w:t xml:space="preserve"> more innovative, such as Coca-Cola.</w:t>
      </w:r>
    </w:p>
    <w:p w14:paraId="24774496" w14:textId="0E36F730" w:rsidR="00F17D0B" w:rsidRPr="0040120E" w:rsidRDefault="000D501D" w:rsidP="00F17D0B">
      <w:pPr>
        <w:spacing w:line="480" w:lineRule="auto"/>
        <w:ind w:firstLine="360"/>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lastRenderedPageBreak/>
        <w:t>As</w:t>
      </w:r>
      <w:r w:rsidR="00A6142D" w:rsidRPr="0040120E">
        <w:rPr>
          <w:rFonts w:ascii="Times New Roman" w:hAnsi="Times New Roman" w:cs="Times New Roman"/>
          <w:sz w:val="24"/>
          <w:szCs w:val="24"/>
          <w:lang w:val="en-GB"/>
        </w:rPr>
        <w:t xml:space="preserve"> our 10</w:t>
      </w:r>
      <w:r w:rsidRPr="0040120E">
        <w:rPr>
          <w:rFonts w:ascii="Times New Roman" w:hAnsi="Times New Roman" w:cs="Times New Roman"/>
          <w:sz w:val="24"/>
          <w:szCs w:val="24"/>
          <w:lang w:val="en-GB"/>
        </w:rPr>
        <w:t xml:space="preserve"> items are versatile, managers of heritage sites could adapt the scale to monitor how well their audiences perceive the balance between change and continuity. </w:t>
      </w:r>
      <w:r w:rsidR="00F17D0B" w:rsidRPr="0040120E">
        <w:rPr>
          <w:rFonts w:ascii="Times New Roman" w:hAnsi="Times New Roman" w:cs="Times New Roman"/>
          <w:sz w:val="24"/>
          <w:szCs w:val="24"/>
          <w:lang w:val="en-GB"/>
        </w:rPr>
        <w:t>Th</w:t>
      </w:r>
      <w:r w:rsidRPr="0040120E">
        <w:rPr>
          <w:rFonts w:ascii="Times New Roman" w:hAnsi="Times New Roman" w:cs="Times New Roman"/>
          <w:sz w:val="24"/>
          <w:szCs w:val="24"/>
          <w:lang w:val="en-GB"/>
        </w:rPr>
        <w:t>e</w:t>
      </w:r>
      <w:r w:rsidR="00F17D0B" w:rsidRPr="0040120E">
        <w:rPr>
          <w:rFonts w:ascii="Times New Roman" w:hAnsi="Times New Roman" w:cs="Times New Roman"/>
          <w:sz w:val="24"/>
          <w:szCs w:val="24"/>
          <w:lang w:val="en-GB"/>
        </w:rPr>
        <w:t xml:space="preserve"> scale could also be used for territorial marketing in order to assess </w:t>
      </w:r>
      <w:r w:rsidR="00F06C95" w:rsidRPr="0040120E">
        <w:rPr>
          <w:rFonts w:ascii="Times New Roman" w:hAnsi="Times New Roman" w:cs="Times New Roman"/>
          <w:sz w:val="24"/>
          <w:szCs w:val="24"/>
          <w:lang w:val="en-GB"/>
        </w:rPr>
        <w:t xml:space="preserve">a </w:t>
      </w:r>
      <w:r w:rsidR="00F17D0B" w:rsidRPr="0040120E">
        <w:rPr>
          <w:rFonts w:ascii="Times New Roman" w:hAnsi="Times New Roman" w:cs="Times New Roman"/>
          <w:sz w:val="24"/>
          <w:szCs w:val="24"/>
          <w:lang w:val="en-GB"/>
        </w:rPr>
        <w:t>city’s perceived heritage with items such as ‘a city that has strong links to the past’, or ‘a city that knows how to reinvent itself’. City brand manager</w:t>
      </w:r>
      <w:r w:rsidR="00F06C95" w:rsidRPr="0040120E">
        <w:rPr>
          <w:rFonts w:ascii="Times New Roman" w:hAnsi="Times New Roman" w:cs="Times New Roman"/>
          <w:sz w:val="24"/>
          <w:szCs w:val="24"/>
          <w:lang w:val="en-GB"/>
        </w:rPr>
        <w:t>s</w:t>
      </w:r>
      <w:r w:rsidR="00F17D0B" w:rsidRPr="0040120E">
        <w:rPr>
          <w:rFonts w:ascii="Times New Roman" w:hAnsi="Times New Roman" w:cs="Times New Roman"/>
          <w:sz w:val="24"/>
          <w:szCs w:val="24"/>
          <w:lang w:val="en-GB"/>
        </w:rPr>
        <w:t xml:space="preserve"> could use the scale </w:t>
      </w:r>
      <w:r w:rsidR="00F06C95" w:rsidRPr="0040120E">
        <w:rPr>
          <w:rFonts w:ascii="Times New Roman" w:hAnsi="Times New Roman" w:cs="Times New Roman"/>
          <w:sz w:val="24"/>
          <w:szCs w:val="24"/>
          <w:lang w:val="en-GB"/>
        </w:rPr>
        <w:t>to</w:t>
      </w:r>
      <w:r w:rsidR="00F17D0B" w:rsidRPr="0040120E">
        <w:rPr>
          <w:rFonts w:ascii="Times New Roman" w:hAnsi="Times New Roman" w:cs="Times New Roman"/>
          <w:sz w:val="24"/>
          <w:szCs w:val="24"/>
          <w:lang w:val="en-GB"/>
        </w:rPr>
        <w:t xml:space="preserve"> benchmark their city with other ones.</w:t>
      </w:r>
    </w:p>
    <w:p w14:paraId="63D8A843" w14:textId="51784402" w:rsidR="007C2417" w:rsidRPr="0040120E" w:rsidRDefault="007C2417" w:rsidP="00E23412">
      <w:pPr>
        <w:spacing w:line="480" w:lineRule="auto"/>
        <w:jc w:val="both"/>
        <w:rPr>
          <w:rFonts w:ascii="Times New Roman" w:hAnsi="Times New Roman" w:cs="Times New Roman"/>
          <w:b/>
          <w:i/>
          <w:sz w:val="24"/>
          <w:szCs w:val="24"/>
          <w:lang w:val="en-GB"/>
        </w:rPr>
      </w:pPr>
      <w:r w:rsidRPr="0040120E">
        <w:rPr>
          <w:rFonts w:ascii="Times New Roman" w:hAnsi="Times New Roman" w:cs="Times New Roman"/>
          <w:b/>
          <w:i/>
          <w:sz w:val="24"/>
          <w:szCs w:val="24"/>
          <w:lang w:val="en-GB"/>
        </w:rPr>
        <w:t xml:space="preserve">Limitations and </w:t>
      </w:r>
      <w:r w:rsidR="00271193" w:rsidRPr="0040120E">
        <w:rPr>
          <w:rFonts w:ascii="Times New Roman" w:hAnsi="Times New Roman" w:cs="Times New Roman"/>
          <w:b/>
          <w:i/>
          <w:sz w:val="24"/>
          <w:szCs w:val="24"/>
          <w:lang w:val="en-GB"/>
        </w:rPr>
        <w:t>F</w:t>
      </w:r>
      <w:r w:rsidRPr="0040120E">
        <w:rPr>
          <w:rFonts w:ascii="Times New Roman" w:hAnsi="Times New Roman" w:cs="Times New Roman"/>
          <w:b/>
          <w:i/>
          <w:sz w:val="24"/>
          <w:szCs w:val="24"/>
          <w:lang w:val="en-GB"/>
        </w:rPr>
        <w:t xml:space="preserve">urther </w:t>
      </w:r>
      <w:r w:rsidR="00271193" w:rsidRPr="0040120E">
        <w:rPr>
          <w:rFonts w:ascii="Times New Roman" w:hAnsi="Times New Roman" w:cs="Times New Roman"/>
          <w:b/>
          <w:i/>
          <w:sz w:val="24"/>
          <w:szCs w:val="24"/>
          <w:lang w:val="en-GB"/>
        </w:rPr>
        <w:t>R</w:t>
      </w:r>
      <w:r w:rsidRPr="0040120E">
        <w:rPr>
          <w:rFonts w:ascii="Times New Roman" w:hAnsi="Times New Roman" w:cs="Times New Roman"/>
          <w:b/>
          <w:i/>
          <w:sz w:val="24"/>
          <w:szCs w:val="24"/>
          <w:lang w:val="en-GB"/>
        </w:rPr>
        <w:t>esearch</w:t>
      </w:r>
    </w:p>
    <w:p w14:paraId="71F73E5B" w14:textId="319640D7" w:rsidR="003B6176" w:rsidRPr="0040120E" w:rsidRDefault="00DC4751" w:rsidP="009071EA">
      <w:pPr>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This work also</w:t>
      </w:r>
      <w:r w:rsidR="004C5D14" w:rsidRPr="0040120E">
        <w:rPr>
          <w:rFonts w:ascii="Times New Roman" w:hAnsi="Times New Roman" w:cs="Times New Roman"/>
          <w:sz w:val="24"/>
          <w:szCs w:val="24"/>
          <w:lang w:val="en-GB"/>
        </w:rPr>
        <w:t xml:space="preserve"> has limitations that further research</w:t>
      </w:r>
      <w:r w:rsidR="005017B5" w:rsidRPr="0040120E">
        <w:rPr>
          <w:rFonts w:ascii="Times New Roman" w:hAnsi="Times New Roman" w:cs="Times New Roman"/>
          <w:sz w:val="24"/>
          <w:szCs w:val="24"/>
          <w:lang w:val="en-GB"/>
        </w:rPr>
        <w:t xml:space="preserve"> could address</w:t>
      </w:r>
      <w:r w:rsidR="004C5D14" w:rsidRPr="0040120E">
        <w:rPr>
          <w:rFonts w:ascii="Times New Roman" w:hAnsi="Times New Roman" w:cs="Times New Roman"/>
          <w:sz w:val="24"/>
          <w:szCs w:val="24"/>
          <w:lang w:val="en-GB"/>
        </w:rPr>
        <w:t xml:space="preserve">. First, </w:t>
      </w:r>
      <w:r w:rsidRPr="0040120E">
        <w:rPr>
          <w:rFonts w:ascii="Times New Roman" w:hAnsi="Times New Roman" w:cs="Times New Roman"/>
          <w:sz w:val="24"/>
          <w:szCs w:val="24"/>
          <w:lang w:val="en-GB"/>
        </w:rPr>
        <w:t xml:space="preserve">the data come from French </w:t>
      </w:r>
      <w:r w:rsidR="00A34A11" w:rsidRPr="0040120E">
        <w:rPr>
          <w:rFonts w:ascii="Times New Roman" w:hAnsi="Times New Roman" w:cs="Times New Roman"/>
          <w:sz w:val="24"/>
          <w:szCs w:val="24"/>
          <w:lang w:val="en-GB"/>
        </w:rPr>
        <w:t>respondents</w:t>
      </w:r>
      <w:r w:rsidRPr="0040120E">
        <w:rPr>
          <w:rFonts w:ascii="Times New Roman" w:hAnsi="Times New Roman" w:cs="Times New Roman"/>
          <w:sz w:val="24"/>
          <w:szCs w:val="24"/>
          <w:lang w:val="en-GB"/>
        </w:rPr>
        <w:t>.</w:t>
      </w:r>
      <w:r w:rsidR="00036423" w:rsidRPr="0040120E">
        <w:rPr>
          <w:rFonts w:ascii="Times New Roman" w:hAnsi="Times New Roman" w:cs="Times New Roman"/>
          <w:sz w:val="24"/>
          <w:szCs w:val="24"/>
          <w:lang w:val="en-GB"/>
        </w:rPr>
        <w:t xml:space="preserve"> Many scales are built from single-country samples</w:t>
      </w:r>
      <w:r w:rsidR="00F06C95" w:rsidRPr="0040120E">
        <w:rPr>
          <w:rFonts w:ascii="Times New Roman" w:hAnsi="Times New Roman" w:cs="Times New Roman"/>
          <w:sz w:val="24"/>
          <w:szCs w:val="24"/>
          <w:lang w:val="en-GB"/>
        </w:rPr>
        <w:t>;</w:t>
      </w:r>
      <w:r w:rsidR="00036423" w:rsidRPr="0040120E">
        <w:rPr>
          <w:rFonts w:ascii="Times New Roman" w:hAnsi="Times New Roman" w:cs="Times New Roman"/>
          <w:sz w:val="24"/>
          <w:szCs w:val="24"/>
          <w:lang w:val="en-GB"/>
        </w:rPr>
        <w:t xml:space="preserve"> as an example, previous scales have only been tested in Germany or in the US. However, we argue that brand heritage is a temporal phenomenon and the perception of time varies i</w:t>
      </w:r>
      <w:r w:rsidR="00130258" w:rsidRPr="0040120E">
        <w:rPr>
          <w:rFonts w:ascii="Times New Roman" w:hAnsi="Times New Roman" w:cs="Times New Roman"/>
          <w:sz w:val="24"/>
          <w:szCs w:val="24"/>
          <w:lang w:val="en-GB"/>
        </w:rPr>
        <w:t>n distinct cultural background</w:t>
      </w:r>
      <w:r w:rsidR="00F06C95" w:rsidRPr="0040120E">
        <w:rPr>
          <w:rFonts w:ascii="Times New Roman" w:hAnsi="Times New Roman" w:cs="Times New Roman"/>
          <w:sz w:val="24"/>
          <w:szCs w:val="24"/>
          <w:lang w:val="en-GB"/>
        </w:rPr>
        <w:t>s</w:t>
      </w:r>
      <w:r w:rsidR="00130258" w:rsidRPr="0040120E">
        <w:rPr>
          <w:rFonts w:ascii="Times New Roman" w:hAnsi="Times New Roman" w:cs="Times New Roman"/>
          <w:sz w:val="24"/>
          <w:szCs w:val="24"/>
          <w:lang w:val="en-GB"/>
        </w:rPr>
        <w:t xml:space="preserve"> </w:t>
      </w:r>
      <w:r w:rsidR="00130258" w:rsidRPr="0040120E">
        <w:rPr>
          <w:rFonts w:ascii="Times New Roman" w:hAnsi="Times New Roman" w:cs="Times New Roman"/>
          <w:sz w:val="24"/>
          <w:szCs w:val="24"/>
          <w:lang w:val="en-GB"/>
        </w:rPr>
        <w:fldChar w:fldCharType="begin" w:fldLock="1"/>
      </w:r>
      <w:r w:rsidR="003870BB" w:rsidRPr="0040120E">
        <w:rPr>
          <w:rFonts w:ascii="Times New Roman" w:hAnsi="Times New Roman" w:cs="Times New Roman"/>
          <w:sz w:val="24"/>
          <w:szCs w:val="24"/>
          <w:lang w:val="en-GB"/>
        </w:rPr>
        <w:instrText>ADDIN CSL_CITATION {"citationItems":[{"id":"ITEM-1","itemData":{"author":[{"dropping-particle":"","family":"Geertz","given":"Clifford","non-dropping-particle":"","parse-names":false,"suffix":""}],"container-title":"The Interpretation of Cultures: Selected Essays","editor":[{"dropping-particle":"","family":"Geertz","given":"Clifford","non-dropping-particle":"","parse-names":false,"suffix":""}],"id":"ITEM-1","issued":{"date-parts":[["1973"]]},"page":"360–411","publisher":"Basic Books","publisher-place":"New York","title":"Person, time, and conduct in Bali","type":"chapter"},"uris":["http://www.mendeley.com/documents/?uuid=bd55cee7-e8dd-4b3e-a5de-ee5d4892d5ac"]}],"mendeley":{"formattedCitation":"(Geertz, 1973)","plainTextFormattedCitation":"(Geertz, 1973)","previouslyFormattedCitation":"(Geertz, 1973)"},"properties":{"noteIndex":0},"schema":"https://github.com/citation-style-language/schema/raw/master/csl-citation.json"}</w:instrText>
      </w:r>
      <w:r w:rsidR="00130258" w:rsidRPr="0040120E">
        <w:rPr>
          <w:rFonts w:ascii="Times New Roman" w:hAnsi="Times New Roman" w:cs="Times New Roman"/>
          <w:sz w:val="24"/>
          <w:szCs w:val="24"/>
          <w:lang w:val="en-GB"/>
        </w:rPr>
        <w:fldChar w:fldCharType="separate"/>
      </w:r>
      <w:r w:rsidR="00130258" w:rsidRPr="0040120E">
        <w:rPr>
          <w:rFonts w:ascii="Times New Roman" w:hAnsi="Times New Roman" w:cs="Times New Roman"/>
          <w:noProof/>
          <w:sz w:val="24"/>
          <w:szCs w:val="24"/>
          <w:lang w:val="en-GB"/>
        </w:rPr>
        <w:t>(Geertz, 1973)</w:t>
      </w:r>
      <w:r w:rsidR="00130258" w:rsidRPr="0040120E">
        <w:rPr>
          <w:rFonts w:ascii="Times New Roman" w:hAnsi="Times New Roman" w:cs="Times New Roman"/>
          <w:sz w:val="24"/>
          <w:szCs w:val="24"/>
          <w:lang w:val="en-GB"/>
        </w:rPr>
        <w:fldChar w:fldCharType="end"/>
      </w:r>
      <w:r w:rsidR="00036423" w:rsidRPr="0040120E">
        <w:rPr>
          <w:rFonts w:ascii="Times New Roman" w:hAnsi="Times New Roman" w:cs="Times New Roman"/>
          <w:sz w:val="24"/>
          <w:szCs w:val="24"/>
          <w:lang w:val="en-GB"/>
        </w:rPr>
        <w:t>. D</w:t>
      </w:r>
      <w:r w:rsidR="00383047" w:rsidRPr="0040120E">
        <w:rPr>
          <w:rFonts w:ascii="Times New Roman" w:hAnsi="Times New Roman" w:cs="Times New Roman"/>
          <w:sz w:val="24"/>
          <w:szCs w:val="24"/>
          <w:lang w:val="en-GB"/>
        </w:rPr>
        <w:t xml:space="preserve">ata from Europe or America </w:t>
      </w:r>
      <w:r w:rsidR="005017B5" w:rsidRPr="0040120E">
        <w:rPr>
          <w:rFonts w:ascii="Times New Roman" w:hAnsi="Times New Roman" w:cs="Times New Roman"/>
          <w:sz w:val="24"/>
          <w:szCs w:val="24"/>
          <w:lang w:val="en-GB"/>
        </w:rPr>
        <w:t>could increase the psychometric properties of the scale</w:t>
      </w:r>
      <w:r w:rsidR="009A1C0D" w:rsidRPr="0040120E">
        <w:rPr>
          <w:rFonts w:ascii="Times New Roman" w:hAnsi="Times New Roman" w:cs="Times New Roman"/>
          <w:sz w:val="24"/>
          <w:szCs w:val="24"/>
          <w:lang w:val="en-GB"/>
        </w:rPr>
        <w:t>.</w:t>
      </w:r>
      <w:r w:rsidR="00383047" w:rsidRPr="0040120E">
        <w:rPr>
          <w:rFonts w:ascii="Times New Roman" w:hAnsi="Times New Roman" w:cs="Times New Roman"/>
          <w:sz w:val="24"/>
          <w:szCs w:val="24"/>
          <w:lang w:val="en-GB"/>
        </w:rPr>
        <w:t xml:space="preserve"> Data from Asian countries</w:t>
      </w:r>
      <w:r w:rsidR="00DC4F17" w:rsidRPr="0040120E">
        <w:rPr>
          <w:rFonts w:ascii="Times New Roman" w:hAnsi="Times New Roman" w:cs="Times New Roman"/>
          <w:sz w:val="24"/>
          <w:szCs w:val="24"/>
          <w:lang w:val="en-GB"/>
        </w:rPr>
        <w:t xml:space="preserve"> </w:t>
      </w:r>
      <w:r w:rsidR="00383047" w:rsidRPr="0040120E">
        <w:rPr>
          <w:rFonts w:ascii="Times New Roman" w:hAnsi="Times New Roman" w:cs="Times New Roman"/>
          <w:sz w:val="24"/>
          <w:szCs w:val="24"/>
          <w:lang w:val="en-GB"/>
        </w:rPr>
        <w:t>where time is perceived in</w:t>
      </w:r>
      <w:r w:rsidR="00F06C95" w:rsidRPr="0040120E">
        <w:rPr>
          <w:rFonts w:ascii="Times New Roman" w:hAnsi="Times New Roman" w:cs="Times New Roman"/>
          <w:sz w:val="24"/>
          <w:szCs w:val="24"/>
          <w:lang w:val="en-GB"/>
        </w:rPr>
        <w:t xml:space="preserve"> a rather</w:t>
      </w:r>
      <w:r w:rsidR="00383047" w:rsidRPr="0040120E">
        <w:rPr>
          <w:rFonts w:ascii="Times New Roman" w:hAnsi="Times New Roman" w:cs="Times New Roman"/>
          <w:sz w:val="24"/>
          <w:szCs w:val="24"/>
          <w:lang w:val="en-GB"/>
        </w:rPr>
        <w:t xml:space="preserve"> cyclical way could show different results or dimensions. </w:t>
      </w:r>
      <w:r w:rsidR="00AA06FA" w:rsidRPr="0040120E">
        <w:rPr>
          <w:rFonts w:ascii="Times New Roman" w:hAnsi="Times New Roman" w:cs="Times New Roman"/>
          <w:sz w:val="24"/>
          <w:szCs w:val="24"/>
          <w:lang w:val="en-GB"/>
        </w:rPr>
        <w:t>Nevertheless</w:t>
      </w:r>
      <w:r w:rsidR="009A1C0D" w:rsidRPr="0040120E">
        <w:rPr>
          <w:rFonts w:ascii="Times New Roman" w:hAnsi="Times New Roman" w:cs="Times New Roman"/>
          <w:sz w:val="24"/>
          <w:szCs w:val="24"/>
          <w:lang w:val="en-GB"/>
        </w:rPr>
        <w:t xml:space="preserve">, </w:t>
      </w:r>
      <w:r w:rsidR="00545D2E" w:rsidRPr="0040120E">
        <w:rPr>
          <w:rFonts w:ascii="Times New Roman" w:hAnsi="Times New Roman" w:cs="Times New Roman"/>
          <w:sz w:val="24"/>
          <w:szCs w:val="24"/>
          <w:lang w:val="en-GB"/>
        </w:rPr>
        <w:t xml:space="preserve">as such, </w:t>
      </w:r>
      <w:r w:rsidR="009A1C0D" w:rsidRPr="0040120E">
        <w:rPr>
          <w:rFonts w:ascii="Times New Roman" w:hAnsi="Times New Roman" w:cs="Times New Roman"/>
          <w:sz w:val="24"/>
          <w:szCs w:val="24"/>
          <w:lang w:val="en-GB"/>
        </w:rPr>
        <w:t xml:space="preserve">this research </w:t>
      </w:r>
      <w:r w:rsidR="00545D2E" w:rsidRPr="0040120E">
        <w:rPr>
          <w:rFonts w:ascii="Times New Roman" w:hAnsi="Times New Roman" w:cs="Times New Roman"/>
          <w:sz w:val="24"/>
          <w:szCs w:val="24"/>
          <w:lang w:val="en-GB"/>
        </w:rPr>
        <w:t xml:space="preserve">already </w:t>
      </w:r>
      <w:r w:rsidR="009A1C0D" w:rsidRPr="0040120E">
        <w:rPr>
          <w:rFonts w:ascii="Times New Roman" w:hAnsi="Times New Roman" w:cs="Times New Roman"/>
          <w:sz w:val="24"/>
          <w:szCs w:val="24"/>
          <w:lang w:val="en-GB"/>
        </w:rPr>
        <w:t xml:space="preserve">brings new perspectives </w:t>
      </w:r>
      <w:r w:rsidR="00AB3986" w:rsidRPr="0040120E">
        <w:rPr>
          <w:rFonts w:ascii="Times New Roman" w:hAnsi="Times New Roman" w:cs="Times New Roman"/>
          <w:sz w:val="24"/>
          <w:szCs w:val="24"/>
          <w:lang w:val="en-GB"/>
        </w:rPr>
        <w:t>to</w:t>
      </w:r>
      <w:r w:rsidR="009A1C0D" w:rsidRPr="0040120E">
        <w:rPr>
          <w:rFonts w:ascii="Times New Roman" w:hAnsi="Times New Roman" w:cs="Times New Roman"/>
          <w:sz w:val="24"/>
          <w:szCs w:val="24"/>
          <w:lang w:val="en-GB"/>
        </w:rPr>
        <w:t xml:space="preserve"> brand management </w:t>
      </w:r>
      <w:r w:rsidR="00AB3986" w:rsidRPr="0040120E">
        <w:rPr>
          <w:rFonts w:ascii="Times New Roman" w:hAnsi="Times New Roman" w:cs="Times New Roman"/>
          <w:sz w:val="24"/>
          <w:szCs w:val="24"/>
          <w:lang w:val="en-GB"/>
        </w:rPr>
        <w:t>research</w:t>
      </w:r>
      <w:r w:rsidR="00383047" w:rsidRPr="0040120E">
        <w:rPr>
          <w:rFonts w:ascii="Times New Roman" w:hAnsi="Times New Roman" w:cs="Times New Roman"/>
          <w:sz w:val="24"/>
          <w:szCs w:val="24"/>
          <w:lang w:val="en-GB"/>
        </w:rPr>
        <w:t xml:space="preserve"> on a European market where the heritage phenomenon is </w:t>
      </w:r>
      <w:r w:rsidR="00384C23" w:rsidRPr="0040120E">
        <w:rPr>
          <w:rFonts w:ascii="Times New Roman" w:hAnsi="Times New Roman" w:cs="Times New Roman"/>
          <w:sz w:val="24"/>
          <w:szCs w:val="24"/>
          <w:lang w:val="en-GB"/>
        </w:rPr>
        <w:t>arguably very</w:t>
      </w:r>
      <w:r w:rsidR="00383047" w:rsidRPr="0040120E">
        <w:rPr>
          <w:rFonts w:ascii="Times New Roman" w:hAnsi="Times New Roman" w:cs="Times New Roman"/>
          <w:sz w:val="24"/>
          <w:szCs w:val="24"/>
          <w:lang w:val="en-GB"/>
        </w:rPr>
        <w:t xml:space="preserve"> pronounced</w:t>
      </w:r>
      <w:r w:rsidR="009A1C0D" w:rsidRPr="0040120E">
        <w:rPr>
          <w:rFonts w:ascii="Times New Roman" w:hAnsi="Times New Roman" w:cs="Times New Roman"/>
          <w:sz w:val="24"/>
          <w:szCs w:val="24"/>
          <w:lang w:val="en-GB"/>
        </w:rPr>
        <w:t>.</w:t>
      </w:r>
      <w:r w:rsidR="00383047" w:rsidRPr="0040120E">
        <w:rPr>
          <w:rFonts w:ascii="Times New Roman" w:hAnsi="Times New Roman" w:cs="Times New Roman"/>
          <w:sz w:val="24"/>
          <w:szCs w:val="24"/>
          <w:lang w:val="en-GB"/>
        </w:rPr>
        <w:t xml:space="preserve"> The development and construction of the scale is based on a large variety of packaged consumer goods</w:t>
      </w:r>
      <w:r w:rsidR="00F06C95" w:rsidRPr="0040120E">
        <w:rPr>
          <w:rFonts w:ascii="Times New Roman" w:hAnsi="Times New Roman" w:cs="Times New Roman"/>
          <w:sz w:val="24"/>
          <w:szCs w:val="24"/>
          <w:lang w:val="en-GB"/>
        </w:rPr>
        <w:t>;</w:t>
      </w:r>
      <w:r w:rsidR="00383047" w:rsidRPr="0040120E">
        <w:rPr>
          <w:rFonts w:ascii="Times New Roman" w:hAnsi="Times New Roman" w:cs="Times New Roman"/>
          <w:sz w:val="24"/>
          <w:szCs w:val="24"/>
          <w:lang w:val="en-GB"/>
        </w:rPr>
        <w:t xml:space="preserve"> we then extend the validity to automobile</w:t>
      </w:r>
      <w:r w:rsidR="002B6A58" w:rsidRPr="0040120E">
        <w:rPr>
          <w:rFonts w:ascii="Times New Roman" w:hAnsi="Times New Roman" w:cs="Times New Roman"/>
          <w:sz w:val="24"/>
          <w:szCs w:val="24"/>
          <w:lang w:val="en-GB"/>
        </w:rPr>
        <w:t xml:space="preserve"> and financial services</w:t>
      </w:r>
      <w:r w:rsidR="00F06C95" w:rsidRPr="0040120E">
        <w:rPr>
          <w:rFonts w:ascii="Times New Roman" w:hAnsi="Times New Roman" w:cs="Times New Roman"/>
          <w:sz w:val="24"/>
          <w:szCs w:val="24"/>
          <w:lang w:val="en-GB"/>
        </w:rPr>
        <w:t>,</w:t>
      </w:r>
      <w:r w:rsidR="00383047" w:rsidRPr="0040120E">
        <w:rPr>
          <w:rFonts w:ascii="Times New Roman" w:hAnsi="Times New Roman" w:cs="Times New Roman"/>
          <w:sz w:val="24"/>
          <w:szCs w:val="24"/>
          <w:lang w:val="en-GB"/>
        </w:rPr>
        <w:t xml:space="preserve"> but more resear</w:t>
      </w:r>
      <w:r w:rsidR="002D7072" w:rsidRPr="0040120E">
        <w:rPr>
          <w:rFonts w:ascii="Times New Roman" w:hAnsi="Times New Roman" w:cs="Times New Roman"/>
          <w:sz w:val="24"/>
          <w:szCs w:val="24"/>
          <w:lang w:val="en-GB"/>
        </w:rPr>
        <w:t>ch could allow further generalis</w:t>
      </w:r>
      <w:r w:rsidR="00383047" w:rsidRPr="0040120E">
        <w:rPr>
          <w:rFonts w:ascii="Times New Roman" w:hAnsi="Times New Roman" w:cs="Times New Roman"/>
          <w:sz w:val="24"/>
          <w:szCs w:val="24"/>
          <w:lang w:val="en-GB"/>
        </w:rPr>
        <w:t>ation of the results.</w:t>
      </w:r>
      <w:r w:rsidR="002358D1" w:rsidRPr="0040120E">
        <w:rPr>
          <w:rFonts w:ascii="Times New Roman" w:hAnsi="Times New Roman" w:cs="Times New Roman"/>
          <w:sz w:val="24"/>
          <w:szCs w:val="24"/>
          <w:lang w:val="en-GB"/>
        </w:rPr>
        <w:t xml:space="preserve"> Future research could also investigate how this scale applies to luxury brands. The links between luxury scales and this</w:t>
      </w:r>
      <w:r w:rsidR="00BC2B34" w:rsidRPr="0040120E">
        <w:rPr>
          <w:rFonts w:ascii="Times New Roman" w:hAnsi="Times New Roman" w:cs="Times New Roman"/>
          <w:sz w:val="24"/>
          <w:szCs w:val="24"/>
          <w:lang w:val="en-GB"/>
        </w:rPr>
        <w:t xml:space="preserve"> perceived</w:t>
      </w:r>
      <w:r w:rsidR="002358D1" w:rsidRPr="0040120E">
        <w:rPr>
          <w:rFonts w:ascii="Times New Roman" w:hAnsi="Times New Roman" w:cs="Times New Roman"/>
          <w:sz w:val="24"/>
          <w:szCs w:val="24"/>
          <w:lang w:val="en-GB"/>
        </w:rPr>
        <w:t xml:space="preserve"> brand heritage scale could be studied in order to assess </w:t>
      </w:r>
      <w:r w:rsidR="00BC2B34" w:rsidRPr="0040120E">
        <w:rPr>
          <w:rFonts w:ascii="Times New Roman" w:hAnsi="Times New Roman" w:cs="Times New Roman"/>
          <w:sz w:val="24"/>
          <w:szCs w:val="24"/>
          <w:lang w:val="en-GB"/>
        </w:rPr>
        <w:t>how important</w:t>
      </w:r>
      <w:r w:rsidR="002358D1" w:rsidRPr="0040120E">
        <w:rPr>
          <w:rFonts w:ascii="Times New Roman" w:hAnsi="Times New Roman" w:cs="Times New Roman"/>
          <w:sz w:val="24"/>
          <w:szCs w:val="24"/>
          <w:lang w:val="en-GB"/>
        </w:rPr>
        <w:t xml:space="preserve"> brand heritage </w:t>
      </w:r>
      <w:r w:rsidR="00BC2B34" w:rsidRPr="0040120E">
        <w:rPr>
          <w:rFonts w:ascii="Times New Roman" w:hAnsi="Times New Roman" w:cs="Times New Roman"/>
          <w:sz w:val="24"/>
          <w:szCs w:val="24"/>
          <w:lang w:val="en-GB"/>
        </w:rPr>
        <w:t>actually is</w:t>
      </w:r>
      <w:r w:rsidR="002358D1" w:rsidRPr="0040120E">
        <w:rPr>
          <w:rFonts w:ascii="Times New Roman" w:hAnsi="Times New Roman" w:cs="Times New Roman"/>
          <w:sz w:val="24"/>
          <w:szCs w:val="24"/>
          <w:lang w:val="en-GB"/>
        </w:rPr>
        <w:t xml:space="preserve"> in luxury</w:t>
      </w:r>
      <w:r w:rsidR="00577F50" w:rsidRPr="0040120E">
        <w:rPr>
          <w:rFonts w:ascii="Times New Roman" w:hAnsi="Times New Roman" w:cs="Times New Roman"/>
          <w:sz w:val="24"/>
          <w:szCs w:val="24"/>
          <w:lang w:val="en-GB"/>
        </w:rPr>
        <w:t xml:space="preserve"> marketing</w:t>
      </w:r>
      <w:r w:rsidR="002358D1" w:rsidRPr="0040120E">
        <w:rPr>
          <w:rFonts w:ascii="Times New Roman" w:hAnsi="Times New Roman" w:cs="Times New Roman"/>
          <w:sz w:val="24"/>
          <w:szCs w:val="24"/>
          <w:lang w:val="en-GB"/>
        </w:rPr>
        <w:t>.</w:t>
      </w:r>
    </w:p>
    <w:p w14:paraId="46C0648F" w14:textId="19F04962" w:rsidR="00384C23" w:rsidRPr="0040120E" w:rsidRDefault="00384C23" w:rsidP="009071EA">
      <w:pPr>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 xml:space="preserve">Another limitation of this research is that it does not consider situations in which brands do not use heritage but are still successful. As it focuses on the development of the tool, it does not engage with the identification of moderators explaining under which conditions a lower or a higher salience of brand heritage leads to optimal effect on dependent variables such as attitudes </w:t>
      </w:r>
      <w:r w:rsidRPr="0040120E">
        <w:rPr>
          <w:rFonts w:ascii="Times New Roman" w:hAnsi="Times New Roman" w:cs="Times New Roman"/>
          <w:sz w:val="24"/>
          <w:szCs w:val="24"/>
          <w:lang w:val="en-GB"/>
        </w:rPr>
        <w:lastRenderedPageBreak/>
        <w:t>towards the brand, preference, willingness to pay</w:t>
      </w:r>
      <w:r w:rsidR="00271193" w:rsidRPr="0040120E">
        <w:rPr>
          <w:rFonts w:ascii="Times New Roman" w:hAnsi="Times New Roman" w:cs="Times New Roman"/>
          <w:sz w:val="24"/>
          <w:szCs w:val="24"/>
          <w:lang w:val="en-GB"/>
        </w:rPr>
        <w:t>,</w:t>
      </w:r>
      <w:r w:rsidRPr="0040120E">
        <w:rPr>
          <w:rFonts w:ascii="Times New Roman" w:hAnsi="Times New Roman" w:cs="Times New Roman"/>
          <w:sz w:val="24"/>
          <w:szCs w:val="24"/>
          <w:lang w:val="en-GB"/>
        </w:rPr>
        <w:t xml:space="preserve"> etc. Further research could use this scale to investigate the moderators.</w:t>
      </w:r>
    </w:p>
    <w:p w14:paraId="5E350566" w14:textId="4F4B4717" w:rsidR="00384C23" w:rsidRPr="0040120E" w:rsidRDefault="00384C23" w:rsidP="009071EA">
      <w:pPr>
        <w:spacing w:line="480" w:lineRule="auto"/>
        <w:jc w:val="both"/>
        <w:rPr>
          <w:rFonts w:ascii="Times New Roman" w:hAnsi="Times New Roman" w:cs="Times New Roman"/>
          <w:sz w:val="24"/>
          <w:szCs w:val="24"/>
          <w:lang w:val="en-GB"/>
        </w:rPr>
      </w:pPr>
      <w:r w:rsidRPr="0040120E">
        <w:rPr>
          <w:rFonts w:ascii="Times New Roman" w:hAnsi="Times New Roman" w:cs="Times New Roman"/>
          <w:sz w:val="24"/>
          <w:szCs w:val="24"/>
          <w:lang w:val="en-GB"/>
        </w:rPr>
        <w:t>Finally, this scale identifies that longevity is part of the perception of brand heritage</w:t>
      </w:r>
      <w:r w:rsidR="00F17D0B" w:rsidRPr="0040120E">
        <w:rPr>
          <w:rFonts w:ascii="Times New Roman" w:hAnsi="Times New Roman" w:cs="Times New Roman"/>
          <w:sz w:val="24"/>
          <w:szCs w:val="24"/>
          <w:lang w:val="en-GB"/>
        </w:rPr>
        <w:t>. Although we insist that the official age of a brand and its perception as heritage are not the same, most of the brand</w:t>
      </w:r>
      <w:r w:rsidR="00F06C95" w:rsidRPr="0040120E">
        <w:rPr>
          <w:rFonts w:ascii="Times New Roman" w:hAnsi="Times New Roman" w:cs="Times New Roman"/>
          <w:sz w:val="24"/>
          <w:szCs w:val="24"/>
          <w:lang w:val="en-GB"/>
        </w:rPr>
        <w:t>s</w:t>
      </w:r>
      <w:r w:rsidR="00F17D0B" w:rsidRPr="0040120E">
        <w:rPr>
          <w:rFonts w:ascii="Times New Roman" w:hAnsi="Times New Roman" w:cs="Times New Roman"/>
          <w:sz w:val="24"/>
          <w:szCs w:val="24"/>
          <w:lang w:val="en-GB"/>
        </w:rPr>
        <w:t xml:space="preserve"> we identified in the qualitative study are more than 100 years old. An interesting question that further research could look at i</w:t>
      </w:r>
      <w:r w:rsidRPr="0040120E">
        <w:rPr>
          <w:rFonts w:ascii="Times New Roman" w:hAnsi="Times New Roman" w:cs="Times New Roman"/>
          <w:sz w:val="24"/>
          <w:szCs w:val="24"/>
          <w:lang w:val="en-GB"/>
        </w:rPr>
        <w:t xml:space="preserve">s: how old should a brand be to be perceived as </w:t>
      </w:r>
      <w:r w:rsidR="00F17D0B" w:rsidRPr="0040120E">
        <w:rPr>
          <w:rFonts w:ascii="Times New Roman" w:hAnsi="Times New Roman" w:cs="Times New Roman"/>
          <w:sz w:val="24"/>
          <w:szCs w:val="24"/>
          <w:lang w:val="en-GB"/>
        </w:rPr>
        <w:t>heritage</w:t>
      </w:r>
      <w:r w:rsidRPr="0040120E">
        <w:rPr>
          <w:rFonts w:ascii="Times New Roman" w:hAnsi="Times New Roman" w:cs="Times New Roman"/>
          <w:sz w:val="24"/>
          <w:szCs w:val="24"/>
          <w:lang w:val="en-GB"/>
        </w:rPr>
        <w:t xml:space="preserve">? </w:t>
      </w:r>
    </w:p>
    <w:p w14:paraId="065EACC4" w14:textId="3A0364C2" w:rsidR="0027155C" w:rsidRPr="0040120E" w:rsidRDefault="009C0C10" w:rsidP="00AA7870">
      <w:pPr>
        <w:pStyle w:val="NormalWeb"/>
        <w:spacing w:line="480" w:lineRule="auto"/>
        <w:ind w:left="480" w:hanging="480"/>
        <w:divId w:val="570849481"/>
        <w:rPr>
          <w:b/>
          <w:lang w:val="en-GB"/>
        </w:rPr>
      </w:pPr>
      <w:r w:rsidRPr="0040120E">
        <w:rPr>
          <w:b/>
          <w:lang w:val="en-GB"/>
        </w:rPr>
        <w:t>References</w:t>
      </w:r>
    </w:p>
    <w:p w14:paraId="35EBA94E" w14:textId="7A550434" w:rsidR="00240CE4" w:rsidRPr="00320A36" w:rsidRDefault="00130258"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40120E">
        <w:rPr>
          <w:rFonts w:ascii="Times New Roman" w:hAnsi="Times New Roman" w:cs="Times New Roman"/>
          <w:sz w:val="24"/>
          <w:szCs w:val="24"/>
          <w:lang w:val="en-GB"/>
        </w:rPr>
        <w:fldChar w:fldCharType="begin" w:fldLock="1"/>
      </w:r>
      <w:r w:rsidRPr="0040120E">
        <w:rPr>
          <w:rFonts w:ascii="Times New Roman" w:hAnsi="Times New Roman" w:cs="Times New Roman"/>
          <w:sz w:val="24"/>
          <w:szCs w:val="24"/>
          <w:lang w:val="en-GB"/>
        </w:rPr>
        <w:instrText xml:space="preserve">ADDIN Mendeley Bibliography CSL_BIBLIOGRAPHY </w:instrText>
      </w:r>
      <w:r w:rsidRPr="0040120E">
        <w:rPr>
          <w:rFonts w:ascii="Times New Roman" w:hAnsi="Times New Roman" w:cs="Times New Roman"/>
          <w:sz w:val="24"/>
          <w:szCs w:val="24"/>
          <w:lang w:val="en-GB"/>
        </w:rPr>
        <w:fldChar w:fldCharType="separate"/>
      </w:r>
      <w:r w:rsidR="00240CE4" w:rsidRPr="00320A36">
        <w:rPr>
          <w:rFonts w:ascii="Times New Roman" w:hAnsi="Times New Roman" w:cs="Times New Roman"/>
          <w:noProof/>
          <w:sz w:val="24"/>
          <w:szCs w:val="24"/>
          <w:lang w:val="en-GB"/>
        </w:rPr>
        <w:t xml:space="preserve">Anderson, J. C., &amp; Gerbing, D. W. (1988). Structural equation modeling in practice: A review and recommended two-step approach. </w:t>
      </w:r>
      <w:r w:rsidR="00240CE4" w:rsidRPr="00320A36">
        <w:rPr>
          <w:rFonts w:ascii="Times New Roman" w:hAnsi="Times New Roman" w:cs="Times New Roman"/>
          <w:i/>
          <w:iCs/>
          <w:noProof/>
          <w:sz w:val="24"/>
          <w:szCs w:val="24"/>
          <w:lang w:val="en-GB"/>
        </w:rPr>
        <w:t>Psychological Bulletin</w:t>
      </w:r>
      <w:r w:rsidR="00240CE4" w:rsidRPr="00320A36">
        <w:rPr>
          <w:rFonts w:ascii="Times New Roman" w:hAnsi="Times New Roman" w:cs="Times New Roman"/>
          <w:noProof/>
          <w:sz w:val="24"/>
          <w:szCs w:val="24"/>
          <w:lang w:val="en-GB"/>
        </w:rPr>
        <w:t xml:space="preserve">, </w:t>
      </w:r>
      <w:r w:rsidR="00240CE4" w:rsidRPr="00320A36">
        <w:rPr>
          <w:rFonts w:ascii="Times New Roman" w:hAnsi="Times New Roman" w:cs="Times New Roman"/>
          <w:i/>
          <w:iCs/>
          <w:noProof/>
          <w:sz w:val="24"/>
          <w:szCs w:val="24"/>
          <w:lang w:val="en-GB"/>
        </w:rPr>
        <w:t>103</w:t>
      </w:r>
      <w:r w:rsidR="00240CE4" w:rsidRPr="00320A36">
        <w:rPr>
          <w:rFonts w:ascii="Times New Roman" w:hAnsi="Times New Roman" w:cs="Times New Roman"/>
          <w:noProof/>
          <w:sz w:val="24"/>
          <w:szCs w:val="24"/>
          <w:lang w:val="en-GB"/>
        </w:rPr>
        <w:t>(3), 411–423. https://doi.org/10.1037/0033-2909.103.3.411</w:t>
      </w:r>
    </w:p>
    <w:p w14:paraId="2CCAF73B"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Athwal, N., &amp; Harris, L. C. (2018). Examining how brand authenticity is established and maintained: the case of the Reverso. </w:t>
      </w:r>
      <w:r w:rsidRPr="00320A36">
        <w:rPr>
          <w:rFonts w:ascii="Times New Roman" w:hAnsi="Times New Roman" w:cs="Times New Roman"/>
          <w:i/>
          <w:iCs/>
          <w:noProof/>
          <w:sz w:val="24"/>
          <w:szCs w:val="24"/>
          <w:lang w:val="en-GB"/>
        </w:rPr>
        <w:t>Journal of Marketing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34</w:t>
      </w:r>
      <w:r w:rsidRPr="00320A36">
        <w:rPr>
          <w:rFonts w:ascii="Times New Roman" w:hAnsi="Times New Roman" w:cs="Times New Roman"/>
          <w:noProof/>
          <w:sz w:val="24"/>
          <w:szCs w:val="24"/>
          <w:lang w:val="en-GB"/>
        </w:rPr>
        <w:t>(3–4), 347–369. https://doi.org/10.1080/0267257X.2018.1447008</w:t>
      </w:r>
    </w:p>
    <w:p w14:paraId="017B6529"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Baker, S., &amp; Kennedy, P. (1994). Death by nostalgia: A diagnosis of context-specific cases. In </w:t>
      </w:r>
      <w:r w:rsidRPr="00320A36">
        <w:rPr>
          <w:rFonts w:ascii="Times New Roman" w:hAnsi="Times New Roman" w:cs="Times New Roman"/>
          <w:i/>
          <w:iCs/>
          <w:noProof/>
          <w:sz w:val="24"/>
          <w:szCs w:val="24"/>
          <w:lang w:val="en-GB"/>
        </w:rPr>
        <w:t>NA - Advances in Consumer Research</w:t>
      </w:r>
      <w:r w:rsidRPr="00320A36">
        <w:rPr>
          <w:rFonts w:ascii="Times New Roman" w:hAnsi="Times New Roman" w:cs="Times New Roman"/>
          <w:noProof/>
          <w:sz w:val="24"/>
          <w:szCs w:val="24"/>
          <w:lang w:val="en-GB"/>
        </w:rPr>
        <w:t xml:space="preserve"> (pp. 169–174).</w:t>
      </w:r>
    </w:p>
    <w:p w14:paraId="75E4776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Baldwin, M., Biernat, M., &amp; Landau, M. J. (2015). Remembering the real me: Nostalgia offers a window to the intrinsic self. </w:t>
      </w:r>
      <w:r w:rsidRPr="00320A36">
        <w:rPr>
          <w:rFonts w:ascii="Times New Roman" w:hAnsi="Times New Roman" w:cs="Times New Roman"/>
          <w:i/>
          <w:iCs/>
          <w:noProof/>
          <w:sz w:val="24"/>
          <w:szCs w:val="24"/>
          <w:lang w:val="en-GB"/>
        </w:rPr>
        <w:t>Journal of Personality and Social Psychology</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108</w:t>
      </w:r>
      <w:r w:rsidRPr="00320A36">
        <w:rPr>
          <w:rFonts w:ascii="Times New Roman" w:hAnsi="Times New Roman" w:cs="Times New Roman"/>
          <w:noProof/>
          <w:sz w:val="24"/>
          <w:szCs w:val="24"/>
          <w:lang w:val="en-GB"/>
        </w:rPr>
        <w:t>(1), 128–147. https://doi.org/10.1037/a0038033</w:t>
      </w:r>
    </w:p>
    <w:p w14:paraId="58C4F239"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Balmer, J. M. T. (2011). Corporate heritage identities, corporate heritage brands and the multiple heritage identities of the British Monarchy. </w:t>
      </w:r>
      <w:r w:rsidRPr="00320A36">
        <w:rPr>
          <w:rFonts w:ascii="Times New Roman" w:hAnsi="Times New Roman" w:cs="Times New Roman"/>
          <w:i/>
          <w:iCs/>
          <w:noProof/>
          <w:sz w:val="24"/>
          <w:szCs w:val="24"/>
          <w:lang w:val="en-GB"/>
        </w:rPr>
        <w:t>European Journal of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45</w:t>
      </w:r>
      <w:r w:rsidRPr="00320A36">
        <w:rPr>
          <w:rFonts w:ascii="Times New Roman" w:hAnsi="Times New Roman" w:cs="Times New Roman"/>
          <w:noProof/>
          <w:sz w:val="24"/>
          <w:szCs w:val="24"/>
          <w:lang w:val="en-GB"/>
        </w:rPr>
        <w:t>(9/10), 1380–1398. https://doi.org/10.1108/03090561111151817</w:t>
      </w:r>
    </w:p>
    <w:p w14:paraId="168D513F"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Balmer, J. M. T. (2013). Corporate heritage, corporate heritage marketing, and total corporate heritage communications: What are they? What of them? </w:t>
      </w:r>
      <w:r w:rsidRPr="00320A36">
        <w:rPr>
          <w:rFonts w:ascii="Times New Roman" w:hAnsi="Times New Roman" w:cs="Times New Roman"/>
          <w:i/>
          <w:iCs/>
          <w:noProof/>
          <w:sz w:val="24"/>
          <w:szCs w:val="24"/>
          <w:lang w:val="en-GB"/>
        </w:rPr>
        <w:t xml:space="preserve">Corporate Communications: </w:t>
      </w:r>
      <w:r w:rsidRPr="00320A36">
        <w:rPr>
          <w:rFonts w:ascii="Times New Roman" w:hAnsi="Times New Roman" w:cs="Times New Roman"/>
          <w:i/>
          <w:iCs/>
          <w:noProof/>
          <w:sz w:val="24"/>
          <w:szCs w:val="24"/>
          <w:lang w:val="en-GB"/>
        </w:rPr>
        <w:lastRenderedPageBreak/>
        <w:t>An International Journal</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18</w:t>
      </w:r>
      <w:r w:rsidRPr="00320A36">
        <w:rPr>
          <w:rFonts w:ascii="Times New Roman" w:hAnsi="Times New Roman" w:cs="Times New Roman"/>
          <w:noProof/>
          <w:sz w:val="24"/>
          <w:szCs w:val="24"/>
          <w:lang w:val="en-GB"/>
        </w:rPr>
        <w:t>(3), 290–326. https://doi.org/10.1108/CCIJ-05-2013-0031</w:t>
      </w:r>
    </w:p>
    <w:p w14:paraId="46729DE0"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Balmer, J. M. T., &amp; Burghausen, M. (2015). Explicating corporate heritage, corporate heritage brands and organisational heritage. </w:t>
      </w:r>
      <w:r w:rsidRPr="00320A36">
        <w:rPr>
          <w:rFonts w:ascii="Times New Roman" w:hAnsi="Times New Roman" w:cs="Times New Roman"/>
          <w:i/>
          <w:iCs/>
          <w:noProof/>
          <w:sz w:val="24"/>
          <w:szCs w:val="24"/>
          <w:lang w:val="en-GB"/>
        </w:rPr>
        <w:t>Journal of Brand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22</w:t>
      </w:r>
      <w:r w:rsidRPr="00320A36">
        <w:rPr>
          <w:rFonts w:ascii="Times New Roman" w:hAnsi="Times New Roman" w:cs="Times New Roman"/>
          <w:noProof/>
          <w:sz w:val="24"/>
          <w:szCs w:val="24"/>
          <w:lang w:val="en-GB"/>
        </w:rPr>
        <w:t>(5), 364–384. https://doi.org/10.1057/bm.2015.26</w:t>
      </w:r>
    </w:p>
    <w:p w14:paraId="361F78DC"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Balmer, J. M. T., &amp; Burghausen, M. (2019). Marketing, the past and corporate heritage. </w:t>
      </w:r>
      <w:r w:rsidRPr="00320A36">
        <w:rPr>
          <w:rFonts w:ascii="Times New Roman" w:hAnsi="Times New Roman" w:cs="Times New Roman"/>
          <w:i/>
          <w:iCs/>
          <w:noProof/>
          <w:sz w:val="24"/>
          <w:szCs w:val="24"/>
          <w:lang w:val="en-GB"/>
        </w:rPr>
        <w:t>Marketing Theory</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19</w:t>
      </w:r>
      <w:r w:rsidRPr="00320A36">
        <w:rPr>
          <w:rFonts w:ascii="Times New Roman" w:hAnsi="Times New Roman" w:cs="Times New Roman"/>
          <w:noProof/>
          <w:sz w:val="24"/>
          <w:szCs w:val="24"/>
          <w:lang w:val="en-GB"/>
        </w:rPr>
        <w:t>(2), 217–227. https://doi.org/10.1177/1470593118790636</w:t>
      </w:r>
    </w:p>
    <w:p w14:paraId="706C6BA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Balmer, J. M. T., Greyser, S., &amp; Urde, M. (2006). The Crown as a corporate brand: Insights from monarchies. </w:t>
      </w:r>
      <w:r w:rsidRPr="00320A36">
        <w:rPr>
          <w:rFonts w:ascii="Times New Roman" w:hAnsi="Times New Roman" w:cs="Times New Roman"/>
          <w:i/>
          <w:iCs/>
          <w:noProof/>
          <w:sz w:val="24"/>
          <w:szCs w:val="24"/>
          <w:lang w:val="en-GB"/>
        </w:rPr>
        <w:t>Journal of Brand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14</w:t>
      </w:r>
      <w:r w:rsidRPr="00320A36">
        <w:rPr>
          <w:rFonts w:ascii="Times New Roman" w:hAnsi="Times New Roman" w:cs="Times New Roman"/>
          <w:noProof/>
          <w:sz w:val="24"/>
          <w:szCs w:val="24"/>
          <w:lang w:val="en-GB"/>
        </w:rPr>
        <w:t>(1–2), 137–161. https://doi.org/10.1057/palgrave.bm.2550031</w:t>
      </w:r>
    </w:p>
    <w:p w14:paraId="0A6A0C48"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Bergadaa, M. M. (1990). The Role of Time in the Action of the Consumer. </w:t>
      </w:r>
      <w:r w:rsidRPr="00320A36">
        <w:rPr>
          <w:rFonts w:ascii="Times New Roman" w:hAnsi="Times New Roman" w:cs="Times New Roman"/>
          <w:i/>
          <w:iCs/>
          <w:noProof/>
          <w:sz w:val="24"/>
          <w:szCs w:val="24"/>
          <w:lang w:val="en-GB"/>
        </w:rPr>
        <w:t>Journal of Consumer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17</w:t>
      </w:r>
      <w:r w:rsidRPr="00320A36">
        <w:rPr>
          <w:rFonts w:ascii="Times New Roman" w:hAnsi="Times New Roman" w:cs="Times New Roman"/>
          <w:noProof/>
          <w:sz w:val="24"/>
          <w:szCs w:val="24"/>
          <w:lang w:val="en-GB"/>
        </w:rPr>
        <w:t>(3), 289. https://doi.org/10.1086/208558</w:t>
      </w:r>
    </w:p>
    <w:p w14:paraId="2165E553"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Beverland, M. (2006). The “real thing”: Branding authenticity in the luxury wine trade. </w:t>
      </w:r>
      <w:r w:rsidRPr="00320A36">
        <w:rPr>
          <w:rFonts w:ascii="Times New Roman" w:hAnsi="Times New Roman" w:cs="Times New Roman"/>
          <w:i/>
          <w:iCs/>
          <w:noProof/>
          <w:sz w:val="24"/>
          <w:szCs w:val="24"/>
          <w:lang w:val="en-GB"/>
        </w:rPr>
        <w:t>Journal of Business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59</w:t>
      </w:r>
      <w:r w:rsidRPr="00320A36">
        <w:rPr>
          <w:rFonts w:ascii="Times New Roman" w:hAnsi="Times New Roman" w:cs="Times New Roman"/>
          <w:noProof/>
          <w:sz w:val="24"/>
          <w:szCs w:val="24"/>
          <w:lang w:val="en-GB"/>
        </w:rPr>
        <w:t>(2), 251–258. https://doi.org/10.1016/j.jbusres.2005.04.007</w:t>
      </w:r>
    </w:p>
    <w:p w14:paraId="5D1B5959"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Beverland, M., Wilner, S. J. S., &amp; Micheli, P. (2015). Reconciling the tension between consistency and relevance:design thinking as a mechanism for brand ambidexterity. </w:t>
      </w:r>
      <w:r w:rsidRPr="00320A36">
        <w:rPr>
          <w:rFonts w:ascii="Times New Roman" w:hAnsi="Times New Roman" w:cs="Times New Roman"/>
          <w:i/>
          <w:iCs/>
          <w:noProof/>
          <w:sz w:val="24"/>
          <w:szCs w:val="24"/>
          <w:lang w:val="en-GB"/>
        </w:rPr>
        <w:t>Journal of the Academy of Marketing Science</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43</w:t>
      </w:r>
      <w:r w:rsidRPr="00320A36">
        <w:rPr>
          <w:rFonts w:ascii="Times New Roman" w:hAnsi="Times New Roman" w:cs="Times New Roman"/>
          <w:noProof/>
          <w:sz w:val="24"/>
          <w:szCs w:val="24"/>
          <w:lang w:val="en-GB"/>
        </w:rPr>
        <w:t>(5), 589–609. https://doi.org/10.1177/1094428113518348</w:t>
      </w:r>
    </w:p>
    <w:p w14:paraId="7D3F8E0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Blombäck, A., &amp; Brunninge, O. (2009). Corporate identity manifested through historical references. </w:t>
      </w:r>
      <w:r w:rsidRPr="00320A36">
        <w:rPr>
          <w:rFonts w:ascii="Times New Roman" w:hAnsi="Times New Roman" w:cs="Times New Roman"/>
          <w:i/>
          <w:iCs/>
          <w:noProof/>
          <w:sz w:val="24"/>
          <w:szCs w:val="24"/>
          <w:lang w:val="en-GB"/>
        </w:rPr>
        <w:t>Corporate Communications: An International Journal</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14</w:t>
      </w:r>
      <w:r w:rsidRPr="00320A36">
        <w:rPr>
          <w:rFonts w:ascii="Times New Roman" w:hAnsi="Times New Roman" w:cs="Times New Roman"/>
          <w:noProof/>
          <w:sz w:val="24"/>
          <w:szCs w:val="24"/>
          <w:lang w:val="en-GB"/>
        </w:rPr>
        <w:t>(4), 404–419. https://doi.org/10.1108/13563280910998754</w:t>
      </w:r>
    </w:p>
    <w:p w14:paraId="0A37EB66"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Bollen, K. A. (1989). </w:t>
      </w:r>
      <w:r w:rsidRPr="00320A36">
        <w:rPr>
          <w:rFonts w:ascii="Times New Roman" w:hAnsi="Times New Roman" w:cs="Times New Roman"/>
          <w:i/>
          <w:iCs/>
          <w:noProof/>
          <w:sz w:val="24"/>
          <w:szCs w:val="24"/>
          <w:lang w:val="en-GB"/>
        </w:rPr>
        <w:t>Structural equations with latent variables</w:t>
      </w:r>
      <w:r w:rsidRPr="00320A36">
        <w:rPr>
          <w:rFonts w:ascii="Times New Roman" w:hAnsi="Times New Roman" w:cs="Times New Roman"/>
          <w:noProof/>
          <w:sz w:val="24"/>
          <w:szCs w:val="24"/>
          <w:lang w:val="en-GB"/>
        </w:rPr>
        <w:t>. New York: Wiley.</w:t>
      </w:r>
    </w:p>
    <w:p w14:paraId="1E4E6785"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Brown, S. (2001). Marketing for muggles: The harry potter way to higher profits. </w:t>
      </w:r>
      <w:r w:rsidRPr="00320A36">
        <w:rPr>
          <w:rFonts w:ascii="Times New Roman" w:hAnsi="Times New Roman" w:cs="Times New Roman"/>
          <w:i/>
          <w:iCs/>
          <w:noProof/>
          <w:sz w:val="24"/>
          <w:szCs w:val="24"/>
          <w:lang w:val="en-GB"/>
        </w:rPr>
        <w:t>Journal of Marketing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17</w:t>
      </w:r>
      <w:r w:rsidRPr="00320A36">
        <w:rPr>
          <w:rFonts w:ascii="Times New Roman" w:hAnsi="Times New Roman" w:cs="Times New Roman"/>
          <w:noProof/>
          <w:sz w:val="24"/>
          <w:szCs w:val="24"/>
          <w:lang w:val="en-GB"/>
        </w:rPr>
        <w:t>(5:6), 463–479. https://doi.org/10.1016/S0007-6813(02)80004-0</w:t>
      </w:r>
    </w:p>
    <w:p w14:paraId="40E62D63"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lastRenderedPageBreak/>
        <w:t xml:space="preserve">Burghausen, M., &amp; Balmer, J. M. T. (2014). Corporate heritage identity management and the multi-modal implementation of a corporate heritage identity. </w:t>
      </w:r>
      <w:r w:rsidRPr="00320A36">
        <w:rPr>
          <w:rFonts w:ascii="Times New Roman" w:hAnsi="Times New Roman" w:cs="Times New Roman"/>
          <w:i/>
          <w:iCs/>
          <w:noProof/>
          <w:sz w:val="24"/>
          <w:szCs w:val="24"/>
          <w:lang w:val="en-GB"/>
        </w:rPr>
        <w:t>Journal of Business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67</w:t>
      </w:r>
      <w:r w:rsidRPr="00320A36">
        <w:rPr>
          <w:rFonts w:ascii="Times New Roman" w:hAnsi="Times New Roman" w:cs="Times New Roman"/>
          <w:noProof/>
          <w:sz w:val="24"/>
          <w:szCs w:val="24"/>
          <w:lang w:val="en-GB"/>
        </w:rPr>
        <w:t>(11), 2311–2323. https://doi.org/10.1016/j.jbusres.2014.06.019</w:t>
      </w:r>
    </w:p>
    <w:p w14:paraId="59680129"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Burghausen, M., &amp; Balmer, J. M. T. (2015). Corporate heritage identity stewardship: a corporate marketing perspective. </w:t>
      </w:r>
      <w:r w:rsidRPr="00320A36">
        <w:rPr>
          <w:rFonts w:ascii="Times New Roman" w:hAnsi="Times New Roman" w:cs="Times New Roman"/>
          <w:i/>
          <w:iCs/>
          <w:noProof/>
          <w:sz w:val="24"/>
          <w:szCs w:val="24"/>
          <w:lang w:val="en-GB"/>
        </w:rPr>
        <w:t>European Journal of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49</w:t>
      </w:r>
      <w:r w:rsidRPr="00320A36">
        <w:rPr>
          <w:rFonts w:ascii="Times New Roman" w:hAnsi="Times New Roman" w:cs="Times New Roman"/>
          <w:noProof/>
          <w:sz w:val="24"/>
          <w:szCs w:val="24"/>
          <w:lang w:val="en-GB"/>
        </w:rPr>
        <w:t>(1/2), 22–61. https://doi.org/10.1108/EL-01-2014-0022</w:t>
      </w:r>
    </w:p>
    <w:p w14:paraId="060165B4"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Chin, W. W. (1998). Issues and Opinion on Structural Equation Modeling. </w:t>
      </w:r>
      <w:r w:rsidRPr="00320A36">
        <w:rPr>
          <w:rFonts w:ascii="Times New Roman" w:hAnsi="Times New Roman" w:cs="Times New Roman"/>
          <w:i/>
          <w:iCs/>
          <w:noProof/>
          <w:sz w:val="24"/>
          <w:szCs w:val="24"/>
          <w:lang w:val="en-GB"/>
        </w:rPr>
        <w:t>MIS Quarterly</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22</w:t>
      </w:r>
      <w:r w:rsidRPr="00320A36">
        <w:rPr>
          <w:rFonts w:ascii="Times New Roman" w:hAnsi="Times New Roman" w:cs="Times New Roman"/>
          <w:noProof/>
          <w:sz w:val="24"/>
          <w:szCs w:val="24"/>
          <w:lang w:val="en-GB"/>
        </w:rPr>
        <w:t>(March), vii–xvi. https://doi.org/Editorial</w:t>
      </w:r>
    </w:p>
    <w:p w14:paraId="7EA75BC4"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Chronis, A. (2005). Our Byzantine heritage: Consumption of the past and its experiential benefits. </w:t>
      </w:r>
      <w:r w:rsidRPr="00320A36">
        <w:rPr>
          <w:rFonts w:ascii="Times New Roman" w:hAnsi="Times New Roman" w:cs="Times New Roman"/>
          <w:i/>
          <w:iCs/>
          <w:noProof/>
          <w:sz w:val="24"/>
          <w:szCs w:val="24"/>
          <w:lang w:val="en-GB"/>
        </w:rPr>
        <w:t>Journal of Consumer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22</w:t>
      </w:r>
      <w:r w:rsidRPr="00320A36">
        <w:rPr>
          <w:rFonts w:ascii="Times New Roman" w:hAnsi="Times New Roman" w:cs="Times New Roman"/>
          <w:noProof/>
          <w:sz w:val="24"/>
          <w:szCs w:val="24"/>
          <w:lang w:val="en-GB"/>
        </w:rPr>
        <w:t>(4), 213–222. https://doi.org/10.1108/07363760510605326</w:t>
      </w:r>
    </w:p>
    <w:p w14:paraId="757862F0"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Churchill, G. A. (1979). A Paradigm for Developing Better Measures of Marketing Constructs. </w:t>
      </w:r>
      <w:r w:rsidRPr="00320A36">
        <w:rPr>
          <w:rFonts w:ascii="Times New Roman" w:hAnsi="Times New Roman" w:cs="Times New Roman"/>
          <w:i/>
          <w:iCs/>
          <w:noProof/>
          <w:sz w:val="24"/>
          <w:szCs w:val="24"/>
          <w:lang w:val="en-GB"/>
        </w:rPr>
        <w:t>Journal of Marketing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16</w:t>
      </w:r>
      <w:r w:rsidRPr="00320A36">
        <w:rPr>
          <w:rFonts w:ascii="Times New Roman" w:hAnsi="Times New Roman" w:cs="Times New Roman"/>
          <w:noProof/>
          <w:sz w:val="24"/>
          <w:szCs w:val="24"/>
          <w:lang w:val="en-GB"/>
        </w:rPr>
        <w:t>(1), 64. https://doi.org/10.2307/3150876</w:t>
      </w:r>
    </w:p>
    <w:p w14:paraId="26789164"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Desai, P. S., Kalra, A., &amp; Murthi, B. P. . (2008). When Old Is Gold:The Role of Business Longevity in Risky Situations. </w:t>
      </w:r>
      <w:r w:rsidRPr="00320A36">
        <w:rPr>
          <w:rFonts w:ascii="Times New Roman" w:hAnsi="Times New Roman" w:cs="Times New Roman"/>
          <w:i/>
          <w:iCs/>
          <w:noProof/>
          <w:sz w:val="24"/>
          <w:szCs w:val="24"/>
          <w:lang w:val="en-GB"/>
        </w:rPr>
        <w:t>Journal of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72</w:t>
      </w:r>
      <w:r w:rsidRPr="00320A36">
        <w:rPr>
          <w:rFonts w:ascii="Times New Roman" w:hAnsi="Times New Roman" w:cs="Times New Roman"/>
          <w:noProof/>
          <w:sz w:val="24"/>
          <w:szCs w:val="24"/>
          <w:lang w:val="en-GB"/>
        </w:rPr>
        <w:t>(1), 95–107. https://doi.org/10.1509/jmkg.72.1.95</w:t>
      </w:r>
    </w:p>
    <w:p w14:paraId="7A6E7B1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Dion, D., &amp; Borraz, S. (2015). Managing heritage brands: A study of the sacralization of heritage stores in the luxury industry. </w:t>
      </w:r>
      <w:r w:rsidRPr="00320A36">
        <w:rPr>
          <w:rFonts w:ascii="Times New Roman" w:hAnsi="Times New Roman" w:cs="Times New Roman"/>
          <w:i/>
          <w:iCs/>
          <w:noProof/>
          <w:sz w:val="24"/>
          <w:szCs w:val="24"/>
          <w:lang w:val="en-GB"/>
        </w:rPr>
        <w:t>Journal of Retailing and Consumer Services</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22</w:t>
      </w:r>
      <w:r w:rsidRPr="00320A36">
        <w:rPr>
          <w:rFonts w:ascii="Times New Roman" w:hAnsi="Times New Roman" w:cs="Times New Roman"/>
          <w:noProof/>
          <w:sz w:val="24"/>
          <w:szCs w:val="24"/>
          <w:lang w:val="en-GB"/>
        </w:rPr>
        <w:t>, 77–84. https://doi.org/10.1016/j.jretconser.2014.09.005</w:t>
      </w:r>
    </w:p>
    <w:p w14:paraId="7B74684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Dubow, J. S., &amp; Childs, N. M. (1998). New Coke, Mixture Perception, and the Flavor Balance Hypothesis. </w:t>
      </w:r>
      <w:r w:rsidRPr="00320A36">
        <w:rPr>
          <w:rFonts w:ascii="Times New Roman" w:hAnsi="Times New Roman" w:cs="Times New Roman"/>
          <w:i/>
          <w:iCs/>
          <w:noProof/>
          <w:sz w:val="24"/>
          <w:szCs w:val="24"/>
          <w:lang w:val="en-GB"/>
        </w:rPr>
        <w:t>Journal of Business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43</w:t>
      </w:r>
      <w:r w:rsidRPr="00320A36">
        <w:rPr>
          <w:rFonts w:ascii="Times New Roman" w:hAnsi="Times New Roman" w:cs="Times New Roman"/>
          <w:noProof/>
          <w:sz w:val="24"/>
          <w:szCs w:val="24"/>
          <w:lang w:val="en-GB"/>
        </w:rPr>
        <w:t>(3), 147–155. https://doi.org/10.1016/S0148-2963(97)00220-8</w:t>
      </w:r>
    </w:p>
    <w:p w14:paraId="3BD09C98"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Erdem, Swait, J., &amp; Valenzuela, A. (2006). Brands as signals: A cross-country validation study. </w:t>
      </w:r>
      <w:r w:rsidRPr="00320A36">
        <w:rPr>
          <w:rFonts w:ascii="Times New Roman" w:hAnsi="Times New Roman" w:cs="Times New Roman"/>
          <w:i/>
          <w:iCs/>
          <w:noProof/>
          <w:sz w:val="24"/>
          <w:szCs w:val="24"/>
          <w:lang w:val="en-GB"/>
        </w:rPr>
        <w:t>Journal of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70</w:t>
      </w:r>
      <w:r w:rsidRPr="00320A36">
        <w:rPr>
          <w:rFonts w:ascii="Times New Roman" w:hAnsi="Times New Roman" w:cs="Times New Roman"/>
          <w:noProof/>
          <w:sz w:val="24"/>
          <w:szCs w:val="24"/>
          <w:lang w:val="en-GB"/>
        </w:rPr>
        <w:t>(1), 34–49. https://doi.org/10.1097/01.rhu.0000200424.58122.38</w:t>
      </w:r>
    </w:p>
    <w:p w14:paraId="4D144D5B"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lastRenderedPageBreak/>
        <w:t xml:space="preserve">Erdem, T., &amp; Swait, J. (2004). Brand Credibility, Brand Consideration, and Choice. </w:t>
      </w:r>
      <w:r w:rsidRPr="00320A36">
        <w:rPr>
          <w:rFonts w:ascii="Times New Roman" w:hAnsi="Times New Roman" w:cs="Times New Roman"/>
          <w:i/>
          <w:iCs/>
          <w:noProof/>
          <w:sz w:val="24"/>
          <w:szCs w:val="24"/>
          <w:lang w:val="en-GB"/>
        </w:rPr>
        <w:t>Journal of Consumer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31</w:t>
      </w:r>
      <w:r w:rsidRPr="00320A36">
        <w:rPr>
          <w:rFonts w:ascii="Times New Roman" w:hAnsi="Times New Roman" w:cs="Times New Roman"/>
          <w:noProof/>
          <w:sz w:val="24"/>
          <w:szCs w:val="24"/>
          <w:lang w:val="en-GB"/>
        </w:rPr>
        <w:t>(1), 191–198. https://doi.org/10.1086/383434</w:t>
      </w:r>
    </w:p>
    <w:p w14:paraId="1EE8899B"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Erdem, T., Swait, J., &amp; Louviere, J. (2002). The impact of brand credibility on consumer price sensitivity. </w:t>
      </w:r>
      <w:r w:rsidRPr="00320A36">
        <w:rPr>
          <w:rFonts w:ascii="Times New Roman" w:hAnsi="Times New Roman" w:cs="Times New Roman"/>
          <w:i/>
          <w:iCs/>
          <w:noProof/>
          <w:sz w:val="24"/>
          <w:szCs w:val="24"/>
          <w:lang w:val="en-GB"/>
        </w:rPr>
        <w:t>International Journal of Research in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19</w:t>
      </w:r>
      <w:r w:rsidRPr="00320A36">
        <w:rPr>
          <w:rFonts w:ascii="Times New Roman" w:hAnsi="Times New Roman" w:cs="Times New Roman"/>
          <w:noProof/>
          <w:sz w:val="24"/>
          <w:szCs w:val="24"/>
          <w:lang w:val="en-GB"/>
        </w:rPr>
        <w:t>(1), 1–19. https://doi.org/10.1016/S0167-8116(01)00048-9</w:t>
      </w:r>
    </w:p>
    <w:p w14:paraId="59F3C836"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Fabrigar, L. R., Wegener, D. T., MacCallum, R. C., &amp; Strahan, E. J. (1999). Evaluating the use of exploratory factor analysis in psychological research. </w:t>
      </w:r>
      <w:r w:rsidRPr="00320A36">
        <w:rPr>
          <w:rFonts w:ascii="Times New Roman" w:hAnsi="Times New Roman" w:cs="Times New Roman"/>
          <w:i/>
          <w:iCs/>
          <w:noProof/>
          <w:sz w:val="24"/>
          <w:szCs w:val="24"/>
          <w:lang w:val="en-GB"/>
        </w:rPr>
        <w:t>Psychological Methods</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w:t>
      </w:r>
      <w:r w:rsidRPr="00320A36">
        <w:rPr>
          <w:rFonts w:ascii="Times New Roman" w:hAnsi="Times New Roman" w:cs="Times New Roman"/>
          <w:noProof/>
          <w:sz w:val="24"/>
          <w:szCs w:val="24"/>
          <w:lang w:val="en-GB"/>
        </w:rPr>
        <w:t>(3), 272–299. https://doi.org/10.1037/1082-989X.4.3.272</w:t>
      </w:r>
    </w:p>
    <w:p w14:paraId="7854B5B3"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Ford, J. B., Merchant, A., Bartier, A. L., &amp; Friedman, M. (2018). The cross-cultural scale development process: The case of brand-evoked nostalgia in Belgium and the United States. </w:t>
      </w:r>
      <w:r w:rsidRPr="00320A36">
        <w:rPr>
          <w:rFonts w:ascii="Times New Roman" w:hAnsi="Times New Roman" w:cs="Times New Roman"/>
          <w:i/>
          <w:iCs/>
          <w:noProof/>
          <w:sz w:val="24"/>
          <w:szCs w:val="24"/>
          <w:lang w:val="en-GB"/>
        </w:rPr>
        <w:t>Journal of Business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83</w:t>
      </w:r>
      <w:r w:rsidRPr="00320A36">
        <w:rPr>
          <w:rFonts w:ascii="Times New Roman" w:hAnsi="Times New Roman" w:cs="Times New Roman"/>
          <w:noProof/>
          <w:sz w:val="24"/>
          <w:szCs w:val="24"/>
          <w:lang w:val="en-GB"/>
        </w:rPr>
        <w:t>(September 2017), 19–29. https://doi.org/10.1016/j.jbusres.2017.09.049</w:t>
      </w:r>
    </w:p>
    <w:p w14:paraId="64CB9E6B"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Fraisse, P. (1984). Perception and Estimation of Time. </w:t>
      </w:r>
      <w:r w:rsidRPr="00320A36">
        <w:rPr>
          <w:rFonts w:ascii="Times New Roman" w:hAnsi="Times New Roman" w:cs="Times New Roman"/>
          <w:i/>
          <w:iCs/>
          <w:noProof/>
          <w:sz w:val="24"/>
          <w:szCs w:val="24"/>
          <w:lang w:val="en-GB"/>
        </w:rPr>
        <w:t>Annual Review of Psychology</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35</w:t>
      </w:r>
      <w:r w:rsidRPr="00320A36">
        <w:rPr>
          <w:rFonts w:ascii="Times New Roman" w:hAnsi="Times New Roman" w:cs="Times New Roman"/>
          <w:noProof/>
          <w:sz w:val="24"/>
          <w:szCs w:val="24"/>
          <w:lang w:val="en-GB"/>
        </w:rPr>
        <w:t>, 1–36.</w:t>
      </w:r>
    </w:p>
    <w:p w14:paraId="72895B97"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Fritz, K., Schoenmueller, V., &amp; Bruhn, M. (2017). Authenticity in branding – exploring antecedents and consequences of brand authenticity. </w:t>
      </w:r>
      <w:r w:rsidRPr="00320A36">
        <w:rPr>
          <w:rFonts w:ascii="Times New Roman" w:hAnsi="Times New Roman" w:cs="Times New Roman"/>
          <w:i/>
          <w:iCs/>
          <w:noProof/>
          <w:sz w:val="24"/>
          <w:szCs w:val="24"/>
          <w:lang w:val="en-GB"/>
        </w:rPr>
        <w:t>European Journal of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51</w:t>
      </w:r>
      <w:r w:rsidRPr="00320A36">
        <w:rPr>
          <w:rFonts w:ascii="Times New Roman" w:hAnsi="Times New Roman" w:cs="Times New Roman"/>
          <w:noProof/>
          <w:sz w:val="24"/>
          <w:szCs w:val="24"/>
          <w:lang w:val="en-GB"/>
        </w:rPr>
        <w:t>(2), 324–348. https://doi.org/10.1108/EJM-10-2014-0633</w:t>
      </w:r>
    </w:p>
    <w:p w14:paraId="1A8B9F34"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Geertz, C. (1973). Person, time, and conduct in Bali. In C. Geertz (Ed.), </w:t>
      </w:r>
      <w:r w:rsidRPr="00320A36">
        <w:rPr>
          <w:rFonts w:ascii="Times New Roman" w:hAnsi="Times New Roman" w:cs="Times New Roman"/>
          <w:i/>
          <w:iCs/>
          <w:noProof/>
          <w:sz w:val="24"/>
          <w:szCs w:val="24"/>
          <w:lang w:val="en-GB"/>
        </w:rPr>
        <w:t>The Interpretation of Cultures: Selected Essays</w:t>
      </w:r>
      <w:r w:rsidRPr="00320A36">
        <w:rPr>
          <w:rFonts w:ascii="Times New Roman" w:hAnsi="Times New Roman" w:cs="Times New Roman"/>
          <w:noProof/>
          <w:sz w:val="24"/>
          <w:szCs w:val="24"/>
          <w:lang w:val="en-GB"/>
        </w:rPr>
        <w:t xml:space="preserve"> (pp. 360–411). New York: Basic Books.</w:t>
      </w:r>
    </w:p>
    <w:p w14:paraId="79673E5E"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Gerbing, D. W., &amp; Hamilton, J. G. (1996). Viability of exploratory factor analysis as a precursor to confirmatory factor analysis. </w:t>
      </w:r>
      <w:r w:rsidRPr="00320A36">
        <w:rPr>
          <w:rFonts w:ascii="Times New Roman" w:hAnsi="Times New Roman" w:cs="Times New Roman"/>
          <w:i/>
          <w:iCs/>
          <w:noProof/>
          <w:sz w:val="24"/>
          <w:szCs w:val="24"/>
          <w:lang w:val="en-GB"/>
        </w:rPr>
        <w:t>Structural Equation Modeling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w:t>
      </w:r>
      <w:r w:rsidRPr="00320A36">
        <w:rPr>
          <w:rFonts w:ascii="Times New Roman" w:hAnsi="Times New Roman" w:cs="Times New Roman"/>
          <w:noProof/>
          <w:sz w:val="24"/>
          <w:szCs w:val="24"/>
          <w:lang w:val="en-GB"/>
        </w:rPr>
        <w:t>(1), 62–72. https://doi.org/10.1080/10705519609540030</w:t>
      </w:r>
    </w:p>
    <w:p w14:paraId="08D089FF"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Goulding, C. (2001). Romancing the past: Heritage visiting and the nostalgic consumer. </w:t>
      </w:r>
      <w:r w:rsidRPr="00320A36">
        <w:rPr>
          <w:rFonts w:ascii="Times New Roman" w:hAnsi="Times New Roman" w:cs="Times New Roman"/>
          <w:i/>
          <w:iCs/>
          <w:noProof/>
          <w:sz w:val="24"/>
          <w:szCs w:val="24"/>
          <w:lang w:val="en-GB"/>
        </w:rPr>
        <w:t>Psychology &amp;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18</w:t>
      </w:r>
      <w:r w:rsidRPr="00320A36">
        <w:rPr>
          <w:rFonts w:ascii="Times New Roman" w:hAnsi="Times New Roman" w:cs="Times New Roman"/>
          <w:noProof/>
          <w:sz w:val="24"/>
          <w:szCs w:val="24"/>
          <w:lang w:val="en-GB"/>
        </w:rPr>
        <w:t>(6), 565–592. https://doi.org/10.1002/mar.1021</w:t>
      </w:r>
    </w:p>
    <w:p w14:paraId="434ABA34"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Guèvremont, A. (2018). Creating and interpreting brand authenticity: The case of a young </w:t>
      </w:r>
      <w:r w:rsidRPr="00320A36">
        <w:rPr>
          <w:rFonts w:ascii="Times New Roman" w:hAnsi="Times New Roman" w:cs="Times New Roman"/>
          <w:noProof/>
          <w:sz w:val="24"/>
          <w:szCs w:val="24"/>
          <w:lang w:val="en-GB"/>
        </w:rPr>
        <w:lastRenderedPageBreak/>
        <w:t xml:space="preserve">brand. </w:t>
      </w:r>
      <w:r w:rsidRPr="00320A36">
        <w:rPr>
          <w:rFonts w:ascii="Times New Roman" w:hAnsi="Times New Roman" w:cs="Times New Roman"/>
          <w:i/>
          <w:iCs/>
          <w:noProof/>
          <w:sz w:val="24"/>
          <w:szCs w:val="24"/>
          <w:lang w:val="en-GB"/>
        </w:rPr>
        <w:t>Journal of Consumer Behaviour</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17</w:t>
      </w:r>
      <w:r w:rsidRPr="00320A36">
        <w:rPr>
          <w:rFonts w:ascii="Times New Roman" w:hAnsi="Times New Roman" w:cs="Times New Roman"/>
          <w:noProof/>
          <w:sz w:val="24"/>
          <w:szCs w:val="24"/>
          <w:lang w:val="en-GB"/>
        </w:rPr>
        <w:t>(6), 505–518. https://doi.org/10.1002/cb.1735</w:t>
      </w:r>
    </w:p>
    <w:p w14:paraId="24D62A1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Hair, J. F., Babin, B. J., &amp; Krey, N. (2017). Covariance-Based Structural Equation Modeling in the Journal of Advertising: Review and Recommendations. </w:t>
      </w:r>
      <w:r w:rsidRPr="00320A36">
        <w:rPr>
          <w:rFonts w:ascii="Times New Roman" w:hAnsi="Times New Roman" w:cs="Times New Roman"/>
          <w:i/>
          <w:iCs/>
          <w:noProof/>
          <w:sz w:val="24"/>
          <w:szCs w:val="24"/>
          <w:lang w:val="en-GB"/>
        </w:rPr>
        <w:t>Journal of Advertising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46</w:t>
      </w:r>
      <w:r w:rsidRPr="00320A36">
        <w:rPr>
          <w:rFonts w:ascii="Times New Roman" w:hAnsi="Times New Roman" w:cs="Times New Roman"/>
          <w:noProof/>
          <w:sz w:val="24"/>
          <w:szCs w:val="24"/>
          <w:lang w:val="en-GB"/>
        </w:rPr>
        <w:t>(1), 163–177. https://doi.org/10.1080/00913367.2017.1281777</w:t>
      </w:r>
    </w:p>
    <w:p w14:paraId="4718AB76"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Hair, J. F., Black, W. C., Babin, B. J., &amp; Anderson, R. E. (2009). </w:t>
      </w:r>
      <w:r w:rsidRPr="00320A36">
        <w:rPr>
          <w:rFonts w:ascii="Times New Roman" w:hAnsi="Times New Roman" w:cs="Times New Roman"/>
          <w:i/>
          <w:iCs/>
          <w:noProof/>
          <w:sz w:val="24"/>
          <w:szCs w:val="24"/>
          <w:lang w:val="en-GB"/>
        </w:rPr>
        <w:t>Multivariate Data Analysis</w:t>
      </w:r>
      <w:r w:rsidRPr="00320A36">
        <w:rPr>
          <w:rFonts w:ascii="Times New Roman" w:hAnsi="Times New Roman" w:cs="Times New Roman"/>
          <w:noProof/>
          <w:sz w:val="24"/>
          <w:szCs w:val="24"/>
          <w:lang w:val="en-GB"/>
        </w:rPr>
        <w:t xml:space="preserve"> (7th ed.). Harlow: Pearson.</w:t>
      </w:r>
    </w:p>
    <w:p w14:paraId="1876AD2E"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Hakala, U., Lätti, S., &amp; Sandberg, B. (2011). Operationalising brand heritage and cultural heritage. </w:t>
      </w:r>
      <w:r w:rsidRPr="00320A36">
        <w:rPr>
          <w:rFonts w:ascii="Times New Roman" w:hAnsi="Times New Roman" w:cs="Times New Roman"/>
          <w:i/>
          <w:iCs/>
          <w:noProof/>
          <w:sz w:val="24"/>
          <w:szCs w:val="24"/>
          <w:lang w:val="en-GB"/>
        </w:rPr>
        <w:t>Journal of Product &amp; Brand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20</w:t>
      </w:r>
      <w:r w:rsidRPr="00320A36">
        <w:rPr>
          <w:rFonts w:ascii="Times New Roman" w:hAnsi="Times New Roman" w:cs="Times New Roman"/>
          <w:noProof/>
          <w:sz w:val="24"/>
          <w:szCs w:val="24"/>
          <w:lang w:val="en-GB"/>
        </w:rPr>
        <w:t>(6), 447–456. https://doi.org/10.1108/10610421111166595</w:t>
      </w:r>
    </w:p>
    <w:p w14:paraId="1BDE72FD"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Hamlin, R. P., Bishop, D., &amp; Mather, D. W. (2015). ‘Marketing earthquakes’: A process of brand and market evolution by punctuated equilibrium. </w:t>
      </w:r>
      <w:r w:rsidRPr="00320A36">
        <w:rPr>
          <w:rFonts w:ascii="Times New Roman" w:hAnsi="Times New Roman" w:cs="Times New Roman"/>
          <w:i/>
          <w:iCs/>
          <w:noProof/>
          <w:sz w:val="24"/>
          <w:szCs w:val="24"/>
          <w:lang w:val="en-GB"/>
        </w:rPr>
        <w:t>Marketing Theory</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15</w:t>
      </w:r>
      <w:r w:rsidRPr="00320A36">
        <w:rPr>
          <w:rFonts w:ascii="Times New Roman" w:hAnsi="Times New Roman" w:cs="Times New Roman"/>
          <w:noProof/>
          <w:sz w:val="24"/>
          <w:szCs w:val="24"/>
          <w:lang w:val="en-GB"/>
        </w:rPr>
        <w:t>(3), 299–320. https://doi.org/10.1177/1470593115572668</w:t>
      </w:r>
    </w:p>
    <w:p w14:paraId="3FEE0D01"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Hartog, F. (2015). </w:t>
      </w:r>
      <w:r w:rsidRPr="00320A36">
        <w:rPr>
          <w:rFonts w:ascii="Times New Roman" w:hAnsi="Times New Roman" w:cs="Times New Roman"/>
          <w:i/>
          <w:iCs/>
          <w:noProof/>
          <w:sz w:val="24"/>
          <w:szCs w:val="24"/>
          <w:lang w:val="en-GB"/>
        </w:rPr>
        <w:t>Regimes of Historicity: Presentism and Experiences of Time</w:t>
      </w:r>
      <w:r w:rsidRPr="00320A36">
        <w:rPr>
          <w:rFonts w:ascii="Times New Roman" w:hAnsi="Times New Roman" w:cs="Times New Roman"/>
          <w:noProof/>
          <w:sz w:val="24"/>
          <w:szCs w:val="24"/>
          <w:lang w:val="en-GB"/>
        </w:rPr>
        <w:t>. New York: Columbia University Press.</w:t>
      </w:r>
    </w:p>
    <w:p w14:paraId="2A75C8F0"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Henseler, J., Ringle, C. M., &amp; Sarstedt, M. (2015). A new criterion for assessing discriminant validity in variance-based structural equation modeling. </w:t>
      </w:r>
      <w:r w:rsidRPr="00320A36">
        <w:rPr>
          <w:rFonts w:ascii="Times New Roman" w:hAnsi="Times New Roman" w:cs="Times New Roman"/>
          <w:i/>
          <w:iCs/>
          <w:noProof/>
          <w:sz w:val="24"/>
          <w:szCs w:val="24"/>
          <w:lang w:val="en-GB"/>
        </w:rPr>
        <w:t>Journal of the Academy of Marketing Science</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43</w:t>
      </w:r>
      <w:r w:rsidRPr="00320A36">
        <w:rPr>
          <w:rFonts w:ascii="Times New Roman" w:hAnsi="Times New Roman" w:cs="Times New Roman"/>
          <w:noProof/>
          <w:sz w:val="24"/>
          <w:szCs w:val="24"/>
          <w:lang w:val="en-GB"/>
        </w:rPr>
        <w:t>(1), 115–135. https://doi.org/10.1007/s11747-014-0403-8</w:t>
      </w:r>
    </w:p>
    <w:p w14:paraId="03AA7668"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Higson, A. (2014). Nostalgia is not what it used to be: Heritage films, nostalgia websites and contemporary consumers. </w:t>
      </w:r>
      <w:r w:rsidRPr="00320A36">
        <w:rPr>
          <w:rFonts w:ascii="Times New Roman" w:hAnsi="Times New Roman" w:cs="Times New Roman"/>
          <w:i/>
          <w:iCs/>
          <w:noProof/>
          <w:sz w:val="24"/>
          <w:szCs w:val="24"/>
          <w:lang w:val="en-GB"/>
        </w:rPr>
        <w:t>Consumption Markets and Culture</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17</w:t>
      </w:r>
      <w:r w:rsidRPr="00320A36">
        <w:rPr>
          <w:rFonts w:ascii="Times New Roman" w:hAnsi="Times New Roman" w:cs="Times New Roman"/>
          <w:noProof/>
          <w:sz w:val="24"/>
          <w:szCs w:val="24"/>
          <w:lang w:val="en-GB"/>
        </w:rPr>
        <w:t>(2), 120–142. https://doi.org/10.1080/10253866.2013.776305</w:t>
      </w:r>
    </w:p>
    <w:p w14:paraId="3D8D37BE"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Holbrook, M. B. (1993). Nostalgia and Consumption Preferences: Some Emerging Patterns of Consumer Tastes. </w:t>
      </w:r>
      <w:r w:rsidRPr="00320A36">
        <w:rPr>
          <w:rFonts w:ascii="Times New Roman" w:hAnsi="Times New Roman" w:cs="Times New Roman"/>
          <w:i/>
          <w:iCs/>
          <w:noProof/>
          <w:sz w:val="24"/>
          <w:szCs w:val="24"/>
          <w:lang w:val="en-GB"/>
        </w:rPr>
        <w:t>Journal of Consumer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20</w:t>
      </w:r>
      <w:r w:rsidRPr="00320A36">
        <w:rPr>
          <w:rFonts w:ascii="Times New Roman" w:hAnsi="Times New Roman" w:cs="Times New Roman"/>
          <w:noProof/>
          <w:sz w:val="24"/>
          <w:szCs w:val="24"/>
          <w:lang w:val="en-GB"/>
        </w:rPr>
        <w:t>(2), 245. https://doi.org/10.1086/209346</w:t>
      </w:r>
    </w:p>
    <w:p w14:paraId="6DA0443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Holt, D. B. (2002). Why Do Brands Cause Trouble? A Dialectical Theory of Consumer Culture and Branding. </w:t>
      </w:r>
      <w:r w:rsidRPr="00320A36">
        <w:rPr>
          <w:rFonts w:ascii="Times New Roman" w:hAnsi="Times New Roman" w:cs="Times New Roman"/>
          <w:i/>
          <w:iCs/>
          <w:noProof/>
          <w:sz w:val="24"/>
          <w:szCs w:val="24"/>
          <w:lang w:val="en-GB"/>
        </w:rPr>
        <w:t>Journal of Consumer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29</w:t>
      </w:r>
      <w:r w:rsidRPr="00320A36">
        <w:rPr>
          <w:rFonts w:ascii="Times New Roman" w:hAnsi="Times New Roman" w:cs="Times New Roman"/>
          <w:noProof/>
          <w:sz w:val="24"/>
          <w:szCs w:val="24"/>
          <w:lang w:val="en-GB"/>
        </w:rPr>
        <w:t xml:space="preserve">(1), 70–90. </w:t>
      </w:r>
      <w:r w:rsidRPr="00320A36">
        <w:rPr>
          <w:rFonts w:ascii="Times New Roman" w:hAnsi="Times New Roman" w:cs="Times New Roman"/>
          <w:noProof/>
          <w:sz w:val="24"/>
          <w:szCs w:val="24"/>
          <w:lang w:val="en-GB"/>
        </w:rPr>
        <w:lastRenderedPageBreak/>
        <w:t>https://doi.org/10.1086/339922</w:t>
      </w:r>
    </w:p>
    <w:p w14:paraId="386519A4"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Hudson, B. T. (2011). Brand heritage and the renaissance of Cunard. </w:t>
      </w:r>
      <w:r w:rsidRPr="00320A36">
        <w:rPr>
          <w:rFonts w:ascii="Times New Roman" w:hAnsi="Times New Roman" w:cs="Times New Roman"/>
          <w:i/>
          <w:iCs/>
          <w:noProof/>
          <w:sz w:val="24"/>
          <w:szCs w:val="24"/>
          <w:lang w:val="en-GB"/>
        </w:rPr>
        <w:t>European Journal of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45</w:t>
      </w:r>
      <w:r w:rsidRPr="00320A36">
        <w:rPr>
          <w:rFonts w:ascii="Times New Roman" w:hAnsi="Times New Roman" w:cs="Times New Roman"/>
          <w:noProof/>
          <w:sz w:val="24"/>
          <w:szCs w:val="24"/>
          <w:lang w:val="en-GB"/>
        </w:rPr>
        <w:t>(9/10), 1538–1556. https://doi.org/10.1108/03090561111151880</w:t>
      </w:r>
    </w:p>
    <w:p w14:paraId="19957C93"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Ilicic, J., &amp; Webster, C. M. (2016). Being True to Oneself: Investigating Celebrity Brand Authenticity. </w:t>
      </w:r>
      <w:r w:rsidRPr="00320A36">
        <w:rPr>
          <w:rFonts w:ascii="Times New Roman" w:hAnsi="Times New Roman" w:cs="Times New Roman"/>
          <w:i/>
          <w:iCs/>
          <w:noProof/>
          <w:sz w:val="24"/>
          <w:szCs w:val="24"/>
          <w:lang w:val="en-GB"/>
        </w:rPr>
        <w:t>Psychology &amp;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33</w:t>
      </w:r>
      <w:r w:rsidRPr="00320A36">
        <w:rPr>
          <w:rFonts w:ascii="Times New Roman" w:hAnsi="Times New Roman" w:cs="Times New Roman"/>
          <w:noProof/>
          <w:sz w:val="24"/>
          <w:szCs w:val="24"/>
          <w:lang w:val="en-GB"/>
        </w:rPr>
        <w:t>(6), 410–420. https://doi.org/10.1002/mar</w:t>
      </w:r>
    </w:p>
    <w:p w14:paraId="16D8DEA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Keller. (2016). Reflections on customer-based brand equity: perspectives, progress, and priorities. </w:t>
      </w:r>
      <w:r w:rsidRPr="00320A36">
        <w:rPr>
          <w:rFonts w:ascii="Times New Roman" w:hAnsi="Times New Roman" w:cs="Times New Roman"/>
          <w:i/>
          <w:iCs/>
          <w:noProof/>
          <w:sz w:val="24"/>
          <w:szCs w:val="24"/>
          <w:lang w:val="en-GB"/>
        </w:rPr>
        <w:t>AMS Review</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6</w:t>
      </w:r>
      <w:r w:rsidRPr="00320A36">
        <w:rPr>
          <w:rFonts w:ascii="Times New Roman" w:hAnsi="Times New Roman" w:cs="Times New Roman"/>
          <w:noProof/>
          <w:sz w:val="24"/>
          <w:szCs w:val="24"/>
          <w:lang w:val="en-GB"/>
        </w:rPr>
        <w:t>(1–2), 1–16. https://doi.org/10.1007/s13162-016-0078-z</w:t>
      </w:r>
    </w:p>
    <w:p w14:paraId="18E1AE6B"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Keller, K. L. (1993). Cocneptualizing, Measuring, and Managing Customer-Based Brand Equity. </w:t>
      </w:r>
      <w:r w:rsidRPr="00320A36">
        <w:rPr>
          <w:rFonts w:ascii="Times New Roman" w:hAnsi="Times New Roman" w:cs="Times New Roman"/>
          <w:i/>
          <w:iCs/>
          <w:noProof/>
          <w:sz w:val="24"/>
          <w:szCs w:val="24"/>
          <w:lang w:val="en-GB"/>
        </w:rPr>
        <w:t>Journal of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57</w:t>
      </w:r>
      <w:r w:rsidRPr="00320A36">
        <w:rPr>
          <w:rFonts w:ascii="Times New Roman" w:hAnsi="Times New Roman" w:cs="Times New Roman"/>
          <w:noProof/>
          <w:sz w:val="24"/>
          <w:szCs w:val="24"/>
          <w:lang w:val="en-GB"/>
        </w:rPr>
        <w:t>(January), 1–22.</w:t>
      </w:r>
    </w:p>
    <w:p w14:paraId="24ECEFE0"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Keller, &amp; Lehmann, D. R. (2006). Brand and Branding: Research Findings and Future Priorities. </w:t>
      </w:r>
      <w:r w:rsidRPr="00320A36">
        <w:rPr>
          <w:rFonts w:ascii="Times New Roman" w:hAnsi="Times New Roman" w:cs="Times New Roman"/>
          <w:i/>
          <w:iCs/>
          <w:noProof/>
          <w:sz w:val="24"/>
          <w:szCs w:val="24"/>
          <w:lang w:val="en-GB"/>
        </w:rPr>
        <w:t>Marketing Science</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25</w:t>
      </w:r>
      <w:r w:rsidRPr="00320A36">
        <w:rPr>
          <w:rFonts w:ascii="Times New Roman" w:hAnsi="Times New Roman" w:cs="Times New Roman"/>
          <w:noProof/>
          <w:sz w:val="24"/>
          <w:szCs w:val="24"/>
          <w:lang w:val="en-GB"/>
        </w:rPr>
        <w:t>(6), 740–759. https://doi.org/10.1287/mksc.l050.0153</w:t>
      </w:r>
    </w:p>
    <w:p w14:paraId="30BB3646"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Kessous, A. (2015). Nostalgia and brands: A sweet rather than a bitter cultural evocation of the past. </w:t>
      </w:r>
      <w:r w:rsidRPr="00320A36">
        <w:rPr>
          <w:rFonts w:ascii="Times New Roman" w:hAnsi="Times New Roman" w:cs="Times New Roman"/>
          <w:i/>
          <w:iCs/>
          <w:noProof/>
          <w:sz w:val="24"/>
          <w:szCs w:val="24"/>
          <w:lang w:val="en-GB"/>
        </w:rPr>
        <w:t>Journal of Marketing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31</w:t>
      </w:r>
      <w:r w:rsidRPr="00320A36">
        <w:rPr>
          <w:rFonts w:ascii="Times New Roman" w:hAnsi="Times New Roman" w:cs="Times New Roman"/>
          <w:noProof/>
          <w:sz w:val="24"/>
          <w:szCs w:val="24"/>
          <w:lang w:val="en-GB"/>
        </w:rPr>
        <w:t>(17–18), 1899–1923. https://doi.org/10.1080/0267257X.2015.1088889</w:t>
      </w:r>
    </w:p>
    <w:p w14:paraId="191DE35D"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Leigh, T. W., Peters, C., &amp; Shelton, J. (2006). The consumer quest for authenticity: The multiplicity of meanings within the MG subculture of consumption. </w:t>
      </w:r>
      <w:r w:rsidRPr="00320A36">
        <w:rPr>
          <w:rFonts w:ascii="Times New Roman" w:hAnsi="Times New Roman" w:cs="Times New Roman"/>
          <w:i/>
          <w:iCs/>
          <w:noProof/>
          <w:sz w:val="24"/>
          <w:szCs w:val="24"/>
          <w:lang w:val="en-GB"/>
        </w:rPr>
        <w:t>Journal of the Academy of Marketing Science</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34</w:t>
      </w:r>
      <w:r w:rsidRPr="00320A36">
        <w:rPr>
          <w:rFonts w:ascii="Times New Roman" w:hAnsi="Times New Roman" w:cs="Times New Roman"/>
          <w:noProof/>
          <w:sz w:val="24"/>
          <w:szCs w:val="24"/>
          <w:lang w:val="en-GB"/>
        </w:rPr>
        <w:t>(4), 481–493. https://doi.org/10.1177/0092070306288403</w:t>
      </w:r>
    </w:p>
    <w:p w14:paraId="2AA828A6"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Lowenthal, D. (2015). </w:t>
      </w:r>
      <w:r w:rsidRPr="00320A36">
        <w:rPr>
          <w:rFonts w:ascii="Times New Roman" w:hAnsi="Times New Roman" w:cs="Times New Roman"/>
          <w:i/>
          <w:iCs/>
          <w:noProof/>
          <w:sz w:val="24"/>
          <w:szCs w:val="24"/>
          <w:lang w:val="en-GB"/>
        </w:rPr>
        <w:t>The past is a foreign country-revisited</w:t>
      </w:r>
      <w:r w:rsidRPr="00320A36">
        <w:rPr>
          <w:rFonts w:ascii="Times New Roman" w:hAnsi="Times New Roman" w:cs="Times New Roman"/>
          <w:noProof/>
          <w:sz w:val="24"/>
          <w:szCs w:val="24"/>
          <w:lang w:val="en-GB"/>
        </w:rPr>
        <w:t>. Cambridge: Cambridge University Press.</w:t>
      </w:r>
    </w:p>
    <w:p w14:paraId="102C352F"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MacKenzie, S. B. (2003). The Dangers of Poor Construct Conceptualization. </w:t>
      </w:r>
      <w:r w:rsidRPr="00320A36">
        <w:rPr>
          <w:rFonts w:ascii="Times New Roman" w:hAnsi="Times New Roman" w:cs="Times New Roman"/>
          <w:i/>
          <w:iCs/>
          <w:noProof/>
          <w:sz w:val="24"/>
          <w:szCs w:val="24"/>
          <w:lang w:val="en-GB"/>
        </w:rPr>
        <w:t>Journal of the Academy of Marketing Science</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31</w:t>
      </w:r>
      <w:r w:rsidRPr="00320A36">
        <w:rPr>
          <w:rFonts w:ascii="Times New Roman" w:hAnsi="Times New Roman" w:cs="Times New Roman"/>
          <w:noProof/>
          <w:sz w:val="24"/>
          <w:szCs w:val="24"/>
          <w:lang w:val="en-GB"/>
        </w:rPr>
        <w:t>(3), 323–326. https://doi.org/10.1177/0092070303254130</w:t>
      </w:r>
    </w:p>
    <w:p w14:paraId="0B010D7D"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Marketing Science Institute (MSI). (2016). </w:t>
      </w:r>
      <w:r w:rsidRPr="00320A36">
        <w:rPr>
          <w:rFonts w:ascii="Times New Roman" w:hAnsi="Times New Roman" w:cs="Times New Roman"/>
          <w:i/>
          <w:iCs/>
          <w:noProof/>
          <w:sz w:val="24"/>
          <w:szCs w:val="24"/>
          <w:lang w:val="en-GB"/>
        </w:rPr>
        <w:t>Research Priorities 2016–2018</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Marketing Science Institute (MSI)</w:t>
      </w:r>
      <w:r w:rsidRPr="00320A36">
        <w:rPr>
          <w:rFonts w:ascii="Times New Roman" w:hAnsi="Times New Roman" w:cs="Times New Roman"/>
          <w:noProof/>
          <w:sz w:val="24"/>
          <w:szCs w:val="24"/>
          <w:lang w:val="en-GB"/>
        </w:rPr>
        <w:t>. Retrieved from http://www.msi.org/uploads/articles/MSI_RP16-</w:t>
      </w:r>
      <w:r w:rsidRPr="00320A36">
        <w:rPr>
          <w:rFonts w:ascii="Times New Roman" w:hAnsi="Times New Roman" w:cs="Times New Roman"/>
          <w:noProof/>
          <w:sz w:val="24"/>
          <w:szCs w:val="24"/>
          <w:lang w:val="en-GB"/>
        </w:rPr>
        <w:lastRenderedPageBreak/>
        <w:t>18.pdf</w:t>
      </w:r>
    </w:p>
    <w:p w14:paraId="426F3DD7"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Martino, V., &amp; Lovari, A. (2016). When the past makes news: Cultivating media relations through brand heritage. </w:t>
      </w:r>
      <w:r w:rsidRPr="00320A36">
        <w:rPr>
          <w:rFonts w:ascii="Times New Roman" w:hAnsi="Times New Roman" w:cs="Times New Roman"/>
          <w:i/>
          <w:iCs/>
          <w:noProof/>
          <w:sz w:val="24"/>
          <w:szCs w:val="24"/>
          <w:lang w:val="en-GB"/>
        </w:rPr>
        <w:t>Public Relations Review</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42</w:t>
      </w:r>
      <w:r w:rsidRPr="00320A36">
        <w:rPr>
          <w:rFonts w:ascii="Times New Roman" w:hAnsi="Times New Roman" w:cs="Times New Roman"/>
          <w:noProof/>
          <w:sz w:val="24"/>
          <w:szCs w:val="24"/>
          <w:lang w:val="en-GB"/>
        </w:rPr>
        <w:t>(4), 539–547. https://doi.org/10.1016/j.pubrev.2016.03.009</w:t>
      </w:r>
    </w:p>
    <w:p w14:paraId="40A43B3F"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McCrone, D., Morris, A., &amp; Kiely, R. (1995). </w:t>
      </w:r>
      <w:r w:rsidRPr="00320A36">
        <w:rPr>
          <w:rFonts w:ascii="Times New Roman" w:hAnsi="Times New Roman" w:cs="Times New Roman"/>
          <w:i/>
          <w:iCs/>
          <w:noProof/>
          <w:sz w:val="24"/>
          <w:szCs w:val="24"/>
          <w:lang w:val="en-GB"/>
        </w:rPr>
        <w:t>Scotland - the brand: the making of Scottish heritage</w:t>
      </w:r>
      <w:r w:rsidRPr="00320A36">
        <w:rPr>
          <w:rFonts w:ascii="Times New Roman" w:hAnsi="Times New Roman" w:cs="Times New Roman"/>
          <w:noProof/>
          <w:sz w:val="24"/>
          <w:szCs w:val="24"/>
          <w:lang w:val="en-GB"/>
        </w:rPr>
        <w:t>. Edinburgh: Edinburgh University Press.</w:t>
      </w:r>
    </w:p>
    <w:p w14:paraId="7781A711"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Merchant, A., Ford, J. B., Dianoux, C., &amp; Herrmann, J. L. (2016). Development and validation of an emic scale to measure ad-evoked nostalgia in France. </w:t>
      </w:r>
      <w:r w:rsidRPr="00320A36">
        <w:rPr>
          <w:rFonts w:ascii="Times New Roman" w:hAnsi="Times New Roman" w:cs="Times New Roman"/>
          <w:i/>
          <w:iCs/>
          <w:noProof/>
          <w:sz w:val="24"/>
          <w:szCs w:val="24"/>
          <w:lang w:val="en-GB"/>
        </w:rPr>
        <w:t>International Journal of Advertising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35</w:t>
      </w:r>
      <w:r w:rsidRPr="00320A36">
        <w:rPr>
          <w:rFonts w:ascii="Times New Roman" w:hAnsi="Times New Roman" w:cs="Times New Roman"/>
          <w:noProof/>
          <w:sz w:val="24"/>
          <w:szCs w:val="24"/>
          <w:lang w:val="en-GB"/>
        </w:rPr>
        <w:t>(4), 706–729. https://doi.org/10.1080/02650487.2015.1090049</w:t>
      </w:r>
    </w:p>
    <w:p w14:paraId="43F3267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Merchant, A., LaTour, K. A., Ford, J. B., &amp; LaTour, M. S. (2018). Should Cookie Monster adopt a healthy lifestyle or continue to indulge? Insights into brand icons. </w:t>
      </w:r>
      <w:r w:rsidRPr="00320A36">
        <w:rPr>
          <w:rFonts w:ascii="Times New Roman" w:hAnsi="Times New Roman" w:cs="Times New Roman"/>
          <w:i/>
          <w:iCs/>
          <w:noProof/>
          <w:sz w:val="24"/>
          <w:szCs w:val="24"/>
          <w:lang w:val="en-GB"/>
        </w:rPr>
        <w:t>Psychology &amp;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35</w:t>
      </w:r>
      <w:r w:rsidRPr="00320A36">
        <w:rPr>
          <w:rFonts w:ascii="Times New Roman" w:hAnsi="Times New Roman" w:cs="Times New Roman"/>
          <w:noProof/>
          <w:sz w:val="24"/>
          <w:szCs w:val="24"/>
          <w:lang w:val="en-GB"/>
        </w:rPr>
        <w:t>(1), 64–78. https://doi.org/10.1002/mar.21071</w:t>
      </w:r>
    </w:p>
    <w:p w14:paraId="6216B336"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40120E">
        <w:rPr>
          <w:rFonts w:ascii="Times New Roman" w:hAnsi="Times New Roman" w:cs="Times New Roman"/>
          <w:noProof/>
          <w:sz w:val="24"/>
          <w:szCs w:val="24"/>
        </w:rPr>
        <w:t xml:space="preserve">Merchant, A., &amp; Rose, G. M. (2013). </w:t>
      </w:r>
      <w:r w:rsidRPr="00320A36">
        <w:rPr>
          <w:rFonts w:ascii="Times New Roman" w:hAnsi="Times New Roman" w:cs="Times New Roman"/>
          <w:noProof/>
          <w:sz w:val="24"/>
          <w:szCs w:val="24"/>
          <w:lang w:val="en-GB"/>
        </w:rPr>
        <w:t xml:space="preserve">Effects of advertising-evoked vicarious nostalgia on brand heritage. </w:t>
      </w:r>
      <w:r w:rsidRPr="00320A36">
        <w:rPr>
          <w:rFonts w:ascii="Times New Roman" w:hAnsi="Times New Roman" w:cs="Times New Roman"/>
          <w:i/>
          <w:iCs/>
          <w:noProof/>
          <w:sz w:val="24"/>
          <w:szCs w:val="24"/>
          <w:lang w:val="en-GB"/>
        </w:rPr>
        <w:t>Journal of Business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66</w:t>
      </w:r>
      <w:r w:rsidRPr="00320A36">
        <w:rPr>
          <w:rFonts w:ascii="Times New Roman" w:hAnsi="Times New Roman" w:cs="Times New Roman"/>
          <w:noProof/>
          <w:sz w:val="24"/>
          <w:szCs w:val="24"/>
          <w:lang w:val="en-GB"/>
        </w:rPr>
        <w:t>(12), 2619–2625. https://doi.org/10.1016/j.jbusres.2012.05.021</w:t>
      </w:r>
    </w:p>
    <w:p w14:paraId="1BE6099E"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Merrilees, B. (2005). Radical brand evolution: A case-based framework. </w:t>
      </w:r>
      <w:r w:rsidRPr="00320A36">
        <w:rPr>
          <w:rFonts w:ascii="Times New Roman" w:hAnsi="Times New Roman" w:cs="Times New Roman"/>
          <w:i/>
          <w:iCs/>
          <w:noProof/>
          <w:sz w:val="24"/>
          <w:szCs w:val="24"/>
          <w:lang w:val="en-GB"/>
        </w:rPr>
        <w:t>Journal of Advertising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45</w:t>
      </w:r>
      <w:r w:rsidRPr="00320A36">
        <w:rPr>
          <w:rFonts w:ascii="Times New Roman" w:hAnsi="Times New Roman" w:cs="Times New Roman"/>
          <w:noProof/>
          <w:sz w:val="24"/>
          <w:szCs w:val="24"/>
          <w:lang w:val="en-GB"/>
        </w:rPr>
        <w:t>(2), 201–210. https://doi.org/10.1017/S0021849905050221</w:t>
      </w:r>
    </w:p>
    <w:p w14:paraId="630BB48F"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Morhart, F., Malär, L., Guèvremont, A., Girardin, F., &amp; Grohmann, B. (2015). Brand authenticity: An integrative framework and measurement scale. </w:t>
      </w:r>
      <w:r w:rsidRPr="00320A36">
        <w:rPr>
          <w:rFonts w:ascii="Times New Roman" w:hAnsi="Times New Roman" w:cs="Times New Roman"/>
          <w:i/>
          <w:iCs/>
          <w:noProof/>
          <w:sz w:val="24"/>
          <w:szCs w:val="24"/>
          <w:lang w:val="en-GB"/>
        </w:rPr>
        <w:t>Journal of Consumer Psychology</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25</w:t>
      </w:r>
      <w:r w:rsidRPr="00320A36">
        <w:rPr>
          <w:rFonts w:ascii="Times New Roman" w:hAnsi="Times New Roman" w:cs="Times New Roman"/>
          <w:noProof/>
          <w:sz w:val="24"/>
          <w:szCs w:val="24"/>
          <w:lang w:val="en-GB"/>
        </w:rPr>
        <w:t>(2), 200–218. https://doi.org/10.1016/j.jcps.2014.11.006</w:t>
      </w:r>
    </w:p>
    <w:p w14:paraId="531ABAB3"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Napoli, J., Dickinson-Delaporte, S., &amp; Beverland, M. B. (2016). The brand authenticity continuum: strategic approaches for building value. </w:t>
      </w:r>
      <w:r w:rsidRPr="00320A36">
        <w:rPr>
          <w:rFonts w:ascii="Times New Roman" w:hAnsi="Times New Roman" w:cs="Times New Roman"/>
          <w:i/>
          <w:iCs/>
          <w:noProof/>
          <w:sz w:val="24"/>
          <w:szCs w:val="24"/>
          <w:lang w:val="en-GB"/>
        </w:rPr>
        <w:t>Journal of Marketing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32</w:t>
      </w:r>
      <w:r w:rsidRPr="00320A36">
        <w:rPr>
          <w:rFonts w:ascii="Times New Roman" w:hAnsi="Times New Roman" w:cs="Times New Roman"/>
          <w:noProof/>
          <w:sz w:val="24"/>
          <w:szCs w:val="24"/>
          <w:lang w:val="en-GB"/>
        </w:rPr>
        <w:t>(13–14), 1201–1229. https://doi.org/10.1080/0267257X.2016.1145722</w:t>
      </w:r>
    </w:p>
    <w:p w14:paraId="43793C5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Napoli, J., Dickinson, S. J., Beverland, M. B., &amp; Farrelly, F. (2014). Measuring consumer-based brand authenticity. </w:t>
      </w:r>
      <w:r w:rsidRPr="00320A36">
        <w:rPr>
          <w:rFonts w:ascii="Times New Roman" w:hAnsi="Times New Roman" w:cs="Times New Roman"/>
          <w:i/>
          <w:iCs/>
          <w:noProof/>
          <w:sz w:val="24"/>
          <w:szCs w:val="24"/>
          <w:lang w:val="en-GB"/>
        </w:rPr>
        <w:t>Journal of Business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67</w:t>
      </w:r>
      <w:r w:rsidRPr="00320A36">
        <w:rPr>
          <w:rFonts w:ascii="Times New Roman" w:hAnsi="Times New Roman" w:cs="Times New Roman"/>
          <w:noProof/>
          <w:sz w:val="24"/>
          <w:szCs w:val="24"/>
          <w:lang w:val="en-GB"/>
        </w:rPr>
        <w:t xml:space="preserve">(6), 1090–1098. </w:t>
      </w:r>
      <w:r w:rsidRPr="00320A36">
        <w:rPr>
          <w:rFonts w:ascii="Times New Roman" w:hAnsi="Times New Roman" w:cs="Times New Roman"/>
          <w:noProof/>
          <w:sz w:val="24"/>
          <w:szCs w:val="24"/>
          <w:lang w:val="en-GB"/>
        </w:rPr>
        <w:lastRenderedPageBreak/>
        <w:t>https://doi.org/10.1016/j.jbusres.2013.06.001</w:t>
      </w:r>
    </w:p>
    <w:p w14:paraId="1D0BE0B8"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Pascal, V., Sprott, D., &amp; Muehling, D. (2002). The Influence of Evoked Nostalgia on Consumers ’ Responses to Advertising : An Exploratory Study to Advertising : An Explorato y Study. </w:t>
      </w:r>
      <w:r w:rsidRPr="00320A36">
        <w:rPr>
          <w:rFonts w:ascii="Times New Roman" w:hAnsi="Times New Roman" w:cs="Times New Roman"/>
          <w:i/>
          <w:iCs/>
          <w:noProof/>
          <w:sz w:val="24"/>
          <w:szCs w:val="24"/>
          <w:lang w:val="en-GB"/>
        </w:rPr>
        <w:t>Journal of Current Issues &amp; Research in Advertising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24</w:t>
      </w:r>
      <w:r w:rsidRPr="00320A36">
        <w:rPr>
          <w:rFonts w:ascii="Times New Roman" w:hAnsi="Times New Roman" w:cs="Times New Roman"/>
          <w:noProof/>
          <w:sz w:val="24"/>
          <w:szCs w:val="24"/>
          <w:lang w:val="en-GB"/>
        </w:rPr>
        <w:t>(1), 39–47.</w:t>
      </w:r>
    </w:p>
    <w:p w14:paraId="6BB8BEE5"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Pecot, F. (2016). </w:t>
      </w:r>
      <w:r w:rsidRPr="00320A36">
        <w:rPr>
          <w:rFonts w:ascii="Times New Roman" w:hAnsi="Times New Roman" w:cs="Times New Roman"/>
          <w:i/>
          <w:iCs/>
          <w:noProof/>
          <w:sz w:val="24"/>
          <w:szCs w:val="24"/>
          <w:lang w:val="en-GB"/>
        </w:rPr>
        <w:t>Consumers’ responses to brand heritage: cognitive and affective paths</w:t>
      </w:r>
      <w:r w:rsidRPr="00320A36">
        <w:rPr>
          <w:rFonts w:ascii="Times New Roman" w:hAnsi="Times New Roman" w:cs="Times New Roman"/>
          <w:noProof/>
          <w:sz w:val="24"/>
          <w:szCs w:val="24"/>
          <w:lang w:val="en-GB"/>
        </w:rPr>
        <w:t>. Aix-Marseille Université.</w:t>
      </w:r>
    </w:p>
    <w:p w14:paraId="29803F0B"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Pecot, F., &amp; de Barnier, V. (2018). Brands using historical references: a consumers’ perspective. </w:t>
      </w:r>
      <w:r w:rsidRPr="00320A36">
        <w:rPr>
          <w:rFonts w:ascii="Times New Roman" w:hAnsi="Times New Roman" w:cs="Times New Roman"/>
          <w:i/>
          <w:iCs/>
          <w:noProof/>
          <w:sz w:val="24"/>
          <w:szCs w:val="24"/>
          <w:lang w:val="en-GB"/>
        </w:rPr>
        <w:t>Journal of Brand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25</w:t>
      </w:r>
      <w:r w:rsidRPr="00320A36">
        <w:rPr>
          <w:rFonts w:ascii="Times New Roman" w:hAnsi="Times New Roman" w:cs="Times New Roman"/>
          <w:noProof/>
          <w:sz w:val="24"/>
          <w:szCs w:val="24"/>
          <w:lang w:val="en-GB"/>
        </w:rPr>
        <w:t>(1), 171–184. https://doi.org/10.1057/s41262-017-0076-y</w:t>
      </w:r>
    </w:p>
    <w:p w14:paraId="37FF598B" w14:textId="77777777" w:rsidR="00240CE4" w:rsidRPr="0040120E"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0120E">
        <w:rPr>
          <w:rFonts w:ascii="Times New Roman" w:hAnsi="Times New Roman" w:cs="Times New Roman"/>
          <w:noProof/>
          <w:sz w:val="24"/>
          <w:szCs w:val="24"/>
        </w:rPr>
        <w:t xml:space="preserve">Pecot, F., &amp; De Barnier, V. (2017). </w:t>
      </w:r>
      <w:r w:rsidRPr="00320A36">
        <w:rPr>
          <w:rFonts w:ascii="Times New Roman" w:hAnsi="Times New Roman" w:cs="Times New Roman"/>
          <w:noProof/>
          <w:sz w:val="24"/>
          <w:szCs w:val="24"/>
          <w:lang w:val="en-GB"/>
        </w:rPr>
        <w:t xml:space="preserve">Brand heritage: The past in the service of brand management. </w:t>
      </w:r>
      <w:r w:rsidRPr="0040120E">
        <w:rPr>
          <w:rFonts w:ascii="Times New Roman" w:hAnsi="Times New Roman" w:cs="Times New Roman"/>
          <w:i/>
          <w:iCs/>
          <w:noProof/>
          <w:sz w:val="24"/>
          <w:szCs w:val="24"/>
        </w:rPr>
        <w:t>Recherche et Applications En Marketing</w:t>
      </w:r>
      <w:r w:rsidRPr="0040120E">
        <w:rPr>
          <w:rFonts w:ascii="Times New Roman" w:hAnsi="Times New Roman" w:cs="Times New Roman"/>
          <w:noProof/>
          <w:sz w:val="24"/>
          <w:szCs w:val="24"/>
        </w:rPr>
        <w:t xml:space="preserve">, </w:t>
      </w:r>
      <w:r w:rsidRPr="0040120E">
        <w:rPr>
          <w:rFonts w:ascii="Times New Roman" w:hAnsi="Times New Roman" w:cs="Times New Roman"/>
          <w:i/>
          <w:iCs/>
          <w:noProof/>
          <w:sz w:val="24"/>
          <w:szCs w:val="24"/>
        </w:rPr>
        <w:t>32</w:t>
      </w:r>
      <w:r w:rsidRPr="0040120E">
        <w:rPr>
          <w:rFonts w:ascii="Times New Roman" w:hAnsi="Times New Roman" w:cs="Times New Roman"/>
          <w:noProof/>
          <w:sz w:val="24"/>
          <w:szCs w:val="24"/>
        </w:rPr>
        <w:t>(4), 72–90. https://doi.org/10.1177/2051570717699376</w:t>
      </w:r>
    </w:p>
    <w:p w14:paraId="5A1B0D73"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40120E">
        <w:rPr>
          <w:rFonts w:ascii="Times New Roman" w:hAnsi="Times New Roman" w:cs="Times New Roman"/>
          <w:noProof/>
          <w:sz w:val="24"/>
          <w:szCs w:val="24"/>
        </w:rPr>
        <w:t xml:space="preserve">Pecot, F., Merchant, A., Valette-Florence, P., &amp; De Barnier, V. (2018). </w:t>
      </w:r>
      <w:r w:rsidRPr="00320A36">
        <w:rPr>
          <w:rFonts w:ascii="Times New Roman" w:hAnsi="Times New Roman" w:cs="Times New Roman"/>
          <w:noProof/>
          <w:sz w:val="24"/>
          <w:szCs w:val="24"/>
          <w:lang w:val="en-GB"/>
        </w:rPr>
        <w:t xml:space="preserve">Cognitive outcomes of brand heritage: A signaling perspective. </w:t>
      </w:r>
      <w:r w:rsidRPr="00320A36">
        <w:rPr>
          <w:rFonts w:ascii="Times New Roman" w:hAnsi="Times New Roman" w:cs="Times New Roman"/>
          <w:i/>
          <w:iCs/>
          <w:noProof/>
          <w:sz w:val="24"/>
          <w:szCs w:val="24"/>
          <w:lang w:val="en-GB"/>
        </w:rPr>
        <w:t>Journal of Business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85</w:t>
      </w:r>
      <w:r w:rsidRPr="00320A36">
        <w:rPr>
          <w:rFonts w:ascii="Times New Roman" w:hAnsi="Times New Roman" w:cs="Times New Roman"/>
          <w:noProof/>
          <w:sz w:val="24"/>
          <w:szCs w:val="24"/>
          <w:lang w:val="en-GB"/>
        </w:rPr>
        <w:t>(March 2017), 304–316. https://doi.org/10.1016/j.jbusres.2018.01.016</w:t>
      </w:r>
    </w:p>
    <w:p w14:paraId="5ADFDA74"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s-ES"/>
        </w:rPr>
        <w:t xml:space="preserve">Rindell, A., Santos, F. P., &amp; De Lima, A. P. (2015). </w:t>
      </w:r>
      <w:r w:rsidRPr="00320A36">
        <w:rPr>
          <w:rFonts w:ascii="Times New Roman" w:hAnsi="Times New Roman" w:cs="Times New Roman"/>
          <w:noProof/>
          <w:sz w:val="24"/>
          <w:szCs w:val="24"/>
          <w:lang w:val="en-GB"/>
        </w:rPr>
        <w:t xml:space="preserve">Two sides of a coin: Connecting corporate brand heritage to consumers’ corporate image heritage. </w:t>
      </w:r>
      <w:r w:rsidRPr="00320A36">
        <w:rPr>
          <w:rFonts w:ascii="Times New Roman" w:hAnsi="Times New Roman" w:cs="Times New Roman"/>
          <w:i/>
          <w:iCs/>
          <w:noProof/>
          <w:sz w:val="24"/>
          <w:szCs w:val="24"/>
          <w:lang w:val="en-GB"/>
        </w:rPr>
        <w:t>Journal of Brand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22</w:t>
      </w:r>
      <w:r w:rsidRPr="00320A36">
        <w:rPr>
          <w:rFonts w:ascii="Times New Roman" w:hAnsi="Times New Roman" w:cs="Times New Roman"/>
          <w:noProof/>
          <w:sz w:val="24"/>
          <w:szCs w:val="24"/>
          <w:lang w:val="en-GB"/>
        </w:rPr>
        <w:t>(5), 467–484. https://doi.org/10.1057/bm.2015.20</w:t>
      </w:r>
    </w:p>
    <w:p w14:paraId="58CC80A3"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Rose, G. M., Merchant, A., Orth, U. R., &amp; Horstmann, F. (2016). Emphasizing brand heritage: Does it work? And how? </w:t>
      </w:r>
      <w:r w:rsidRPr="00320A36">
        <w:rPr>
          <w:rFonts w:ascii="Times New Roman" w:hAnsi="Times New Roman" w:cs="Times New Roman"/>
          <w:i/>
          <w:iCs/>
          <w:noProof/>
          <w:sz w:val="24"/>
          <w:szCs w:val="24"/>
          <w:lang w:val="en-GB"/>
        </w:rPr>
        <w:t>Journal of Business Research</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69</w:t>
      </w:r>
      <w:r w:rsidRPr="00320A36">
        <w:rPr>
          <w:rFonts w:ascii="Times New Roman" w:hAnsi="Times New Roman" w:cs="Times New Roman"/>
          <w:noProof/>
          <w:sz w:val="24"/>
          <w:szCs w:val="24"/>
          <w:lang w:val="en-GB"/>
        </w:rPr>
        <w:t>(2), 936–943. https://doi.org/10.1016/j.jbusres.2015.06.021</w:t>
      </w:r>
    </w:p>
    <w:p w14:paraId="386FC7A7"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s-ES"/>
        </w:rPr>
        <w:t xml:space="preserve">Santos, F. P., Burghausen, M., &amp; Balmer, J. M. T. (2016). </w:t>
      </w:r>
      <w:r w:rsidRPr="00320A36">
        <w:rPr>
          <w:rFonts w:ascii="Times New Roman" w:hAnsi="Times New Roman" w:cs="Times New Roman"/>
          <w:noProof/>
          <w:sz w:val="24"/>
          <w:szCs w:val="24"/>
          <w:lang w:val="en-GB"/>
        </w:rPr>
        <w:t xml:space="preserve">Heritage branding orientation: The case of Ach. Brito and the dynamics between corporate and product heritage brands. </w:t>
      </w:r>
      <w:r w:rsidRPr="00320A36">
        <w:rPr>
          <w:rFonts w:ascii="Times New Roman" w:hAnsi="Times New Roman" w:cs="Times New Roman"/>
          <w:i/>
          <w:iCs/>
          <w:noProof/>
          <w:sz w:val="24"/>
          <w:szCs w:val="24"/>
          <w:lang w:val="en-GB"/>
        </w:rPr>
        <w:t>Journal of Brand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23</w:t>
      </w:r>
      <w:r w:rsidRPr="00320A36">
        <w:rPr>
          <w:rFonts w:ascii="Times New Roman" w:hAnsi="Times New Roman" w:cs="Times New Roman"/>
          <w:noProof/>
          <w:sz w:val="24"/>
          <w:szCs w:val="24"/>
          <w:lang w:val="en-GB"/>
        </w:rPr>
        <w:t>(1), 67–88. https://doi.org/10.1057/bm.2015.48</w:t>
      </w:r>
    </w:p>
    <w:p w14:paraId="334B34B9"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Sarial-Abi, G., Vohs, K. D., Hamilton, R., &amp; Ulqinaku, A. (2017). Stitching time: Vintage </w:t>
      </w:r>
      <w:r w:rsidRPr="00320A36">
        <w:rPr>
          <w:rFonts w:ascii="Times New Roman" w:hAnsi="Times New Roman" w:cs="Times New Roman"/>
          <w:noProof/>
          <w:sz w:val="24"/>
          <w:szCs w:val="24"/>
          <w:lang w:val="en-GB"/>
        </w:rPr>
        <w:lastRenderedPageBreak/>
        <w:t xml:space="preserve">consumption connects the past, present, and future. </w:t>
      </w:r>
      <w:r w:rsidRPr="00320A36">
        <w:rPr>
          <w:rFonts w:ascii="Times New Roman" w:hAnsi="Times New Roman" w:cs="Times New Roman"/>
          <w:i/>
          <w:iCs/>
          <w:noProof/>
          <w:sz w:val="24"/>
          <w:szCs w:val="24"/>
          <w:lang w:val="en-GB"/>
        </w:rPr>
        <w:t>Journal of Consumer Psychology</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27</w:t>
      </w:r>
      <w:r w:rsidRPr="00320A36">
        <w:rPr>
          <w:rFonts w:ascii="Times New Roman" w:hAnsi="Times New Roman" w:cs="Times New Roman"/>
          <w:noProof/>
          <w:sz w:val="24"/>
          <w:szCs w:val="24"/>
          <w:lang w:val="en-GB"/>
        </w:rPr>
        <w:t>(2), 182–194. https://doi.org/10.1016/j.jcps.2016.06.004</w:t>
      </w:r>
    </w:p>
    <w:p w14:paraId="67327BFD"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Schindler, R. M., &amp; Holbrook, M. B. (2003). Nostalgia for Early Experience as a Determinant of Consumer Preferences. </w:t>
      </w:r>
      <w:r w:rsidRPr="00320A36">
        <w:rPr>
          <w:rFonts w:ascii="Times New Roman" w:hAnsi="Times New Roman" w:cs="Times New Roman"/>
          <w:i/>
          <w:iCs/>
          <w:noProof/>
          <w:sz w:val="24"/>
          <w:szCs w:val="24"/>
          <w:lang w:val="en-GB"/>
        </w:rPr>
        <w:t>Psychology &amp; Marketing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20</w:t>
      </w:r>
      <w:r w:rsidRPr="00320A36">
        <w:rPr>
          <w:rFonts w:ascii="Times New Roman" w:hAnsi="Times New Roman" w:cs="Times New Roman"/>
          <w:noProof/>
          <w:sz w:val="24"/>
          <w:szCs w:val="24"/>
          <w:lang w:val="en-GB"/>
        </w:rPr>
        <w:t>(4), 275–302. https://doi.org/10.1002/mar.10074</w:t>
      </w:r>
    </w:p>
    <w:p w14:paraId="16CB9080"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Schroeder, J., Borgerson, J., &amp; Wu, Z. (2015). A brand culture approach to Chinese cultural heritage brands. </w:t>
      </w:r>
      <w:r w:rsidRPr="00320A36">
        <w:rPr>
          <w:rFonts w:ascii="Times New Roman" w:hAnsi="Times New Roman" w:cs="Times New Roman"/>
          <w:i/>
          <w:iCs/>
          <w:noProof/>
          <w:sz w:val="24"/>
          <w:szCs w:val="24"/>
          <w:lang w:val="en-GB"/>
        </w:rPr>
        <w:t>Journal of Brand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22</w:t>
      </w:r>
      <w:r w:rsidRPr="00320A36">
        <w:rPr>
          <w:rFonts w:ascii="Times New Roman" w:hAnsi="Times New Roman" w:cs="Times New Roman"/>
          <w:noProof/>
          <w:sz w:val="24"/>
          <w:szCs w:val="24"/>
          <w:lang w:val="en-GB"/>
        </w:rPr>
        <w:t>(3), 261–279. https://doi.org/10.1057/bm.2015.12</w:t>
      </w:r>
    </w:p>
    <w:p w14:paraId="1A732E15"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Smith, A. (1991). </w:t>
      </w:r>
      <w:r w:rsidRPr="00320A36">
        <w:rPr>
          <w:rFonts w:ascii="Times New Roman" w:hAnsi="Times New Roman" w:cs="Times New Roman"/>
          <w:i/>
          <w:iCs/>
          <w:noProof/>
          <w:sz w:val="24"/>
          <w:szCs w:val="24"/>
          <w:lang w:val="en-GB"/>
        </w:rPr>
        <w:t>National Identity</w:t>
      </w:r>
      <w:r w:rsidRPr="00320A36">
        <w:rPr>
          <w:rFonts w:ascii="Times New Roman" w:hAnsi="Times New Roman" w:cs="Times New Roman"/>
          <w:noProof/>
          <w:sz w:val="24"/>
          <w:szCs w:val="24"/>
          <w:lang w:val="en-GB"/>
        </w:rPr>
        <w:t>. London: Penguin Books.</w:t>
      </w:r>
    </w:p>
    <w:p w14:paraId="4FBB9C37"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s-ES"/>
        </w:rPr>
        <w:t xml:space="preserve">Testa, P., Cova, B., &amp; Cantone, L. (2017). </w:t>
      </w:r>
      <w:r w:rsidRPr="00320A36">
        <w:rPr>
          <w:rFonts w:ascii="Times New Roman" w:hAnsi="Times New Roman" w:cs="Times New Roman"/>
          <w:noProof/>
          <w:sz w:val="24"/>
          <w:szCs w:val="24"/>
          <w:lang w:val="en-GB"/>
        </w:rPr>
        <w:t xml:space="preserve">The process of de-iconisation of an iconic brand: a genealogical approach. </w:t>
      </w:r>
      <w:r w:rsidRPr="00320A36">
        <w:rPr>
          <w:rFonts w:ascii="Times New Roman" w:hAnsi="Times New Roman" w:cs="Times New Roman"/>
          <w:i/>
          <w:iCs/>
          <w:noProof/>
          <w:sz w:val="24"/>
          <w:szCs w:val="24"/>
          <w:lang w:val="en-GB"/>
        </w:rPr>
        <w:t>Journal of Marketing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33</w:t>
      </w:r>
      <w:r w:rsidRPr="00320A36">
        <w:rPr>
          <w:rFonts w:ascii="Times New Roman" w:hAnsi="Times New Roman" w:cs="Times New Roman"/>
          <w:noProof/>
          <w:sz w:val="24"/>
          <w:szCs w:val="24"/>
          <w:lang w:val="en-GB"/>
        </w:rPr>
        <w:t>(17–18), 1490–1521. https://doi.org/10.1080/0267257X.2017.1409793</w:t>
      </w:r>
    </w:p>
    <w:p w14:paraId="6B64D9D9"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Thomson, B. (2004). </w:t>
      </w:r>
      <w:r w:rsidRPr="00320A36">
        <w:rPr>
          <w:rFonts w:ascii="Times New Roman" w:hAnsi="Times New Roman" w:cs="Times New Roman"/>
          <w:i/>
          <w:iCs/>
          <w:noProof/>
          <w:sz w:val="24"/>
          <w:szCs w:val="24"/>
          <w:lang w:val="en-GB"/>
        </w:rPr>
        <w:t>Exploratory and Confirmatory Factor Analysis: Understanding Concepts and Applications</w:t>
      </w:r>
      <w:r w:rsidRPr="00320A36">
        <w:rPr>
          <w:rFonts w:ascii="Times New Roman" w:hAnsi="Times New Roman" w:cs="Times New Roman"/>
          <w:noProof/>
          <w:sz w:val="24"/>
          <w:szCs w:val="24"/>
          <w:lang w:val="en-GB"/>
        </w:rPr>
        <w:t>. Washington, DC: American Psychological Association.</w:t>
      </w:r>
    </w:p>
    <w:p w14:paraId="17063AF1"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Urde, M., Greyser, S. A., &amp; Balmer, J. M. T. (2007). Corporate brands with a heritage. </w:t>
      </w:r>
      <w:r w:rsidRPr="00320A36">
        <w:rPr>
          <w:rFonts w:ascii="Times New Roman" w:hAnsi="Times New Roman" w:cs="Times New Roman"/>
          <w:i/>
          <w:iCs/>
          <w:noProof/>
          <w:sz w:val="24"/>
          <w:szCs w:val="24"/>
          <w:lang w:val="en-GB"/>
        </w:rPr>
        <w:t>Journal of Brand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15</w:t>
      </w:r>
      <w:r w:rsidRPr="00320A36">
        <w:rPr>
          <w:rFonts w:ascii="Times New Roman" w:hAnsi="Times New Roman" w:cs="Times New Roman"/>
          <w:noProof/>
          <w:sz w:val="24"/>
          <w:szCs w:val="24"/>
          <w:lang w:val="en-GB"/>
        </w:rPr>
        <w:t>(1), 4–19. https://doi.org/10.1057/palgrave.bm.2550106</w:t>
      </w:r>
    </w:p>
    <w:p w14:paraId="650FF29C"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Veg-Sala, N., &amp; Roux, E. (2014). A semiotic analysis of the extendibility of luxury brands. </w:t>
      </w:r>
      <w:r w:rsidRPr="00320A36">
        <w:rPr>
          <w:rFonts w:ascii="Times New Roman" w:hAnsi="Times New Roman" w:cs="Times New Roman"/>
          <w:i/>
          <w:iCs/>
          <w:noProof/>
          <w:sz w:val="24"/>
          <w:szCs w:val="24"/>
          <w:lang w:val="en-GB"/>
        </w:rPr>
        <w:t>Journal of Product &amp; Brand Management</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23</w:t>
      </w:r>
      <w:r w:rsidRPr="00320A36">
        <w:rPr>
          <w:rFonts w:ascii="Times New Roman" w:hAnsi="Times New Roman" w:cs="Times New Roman"/>
          <w:noProof/>
          <w:sz w:val="24"/>
          <w:szCs w:val="24"/>
          <w:lang w:val="en-GB"/>
        </w:rPr>
        <w:t>(2), 103–113. https://doi.org/10.1108/JPBM-02-2014-0499</w:t>
      </w:r>
    </w:p>
    <w:p w14:paraId="2FDB3A51"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Walsh, K. (2002). </w:t>
      </w:r>
      <w:r w:rsidRPr="00320A36">
        <w:rPr>
          <w:rFonts w:ascii="Times New Roman" w:hAnsi="Times New Roman" w:cs="Times New Roman"/>
          <w:i/>
          <w:iCs/>
          <w:noProof/>
          <w:sz w:val="24"/>
          <w:szCs w:val="24"/>
          <w:lang w:val="en-GB"/>
        </w:rPr>
        <w:t>The Representation of the Past: Museums and Heritage in the Post-Modern World</w:t>
      </w:r>
      <w:r w:rsidRPr="00320A36">
        <w:rPr>
          <w:rFonts w:ascii="Times New Roman" w:hAnsi="Times New Roman" w:cs="Times New Roman"/>
          <w:noProof/>
          <w:sz w:val="24"/>
          <w:szCs w:val="24"/>
          <w:lang w:val="en-GB"/>
        </w:rPr>
        <w:t>. London: Routledge.</w:t>
      </w:r>
    </w:p>
    <w:p w14:paraId="085901A2"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Wiedmann, K.-P., Hennigs, N., Schmidt, S., &amp; Wuestefeld, T. (2011). Drivers and Outcomes of Brand Heritage: Consumers’ Perception of Heritage Brands in the Automotive Industry. </w:t>
      </w:r>
      <w:r w:rsidRPr="00320A36">
        <w:rPr>
          <w:rFonts w:ascii="Times New Roman" w:hAnsi="Times New Roman" w:cs="Times New Roman"/>
          <w:i/>
          <w:iCs/>
          <w:noProof/>
          <w:sz w:val="24"/>
          <w:szCs w:val="24"/>
          <w:lang w:val="en-GB"/>
        </w:rPr>
        <w:t>The Journal of Marketing Theory and Practice</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19</w:t>
      </w:r>
      <w:r w:rsidRPr="00320A36">
        <w:rPr>
          <w:rFonts w:ascii="Times New Roman" w:hAnsi="Times New Roman" w:cs="Times New Roman"/>
          <w:noProof/>
          <w:sz w:val="24"/>
          <w:szCs w:val="24"/>
          <w:lang w:val="en-GB"/>
        </w:rPr>
        <w:t xml:space="preserve">(2), 205–220. </w:t>
      </w:r>
      <w:r w:rsidRPr="00320A36">
        <w:rPr>
          <w:rFonts w:ascii="Times New Roman" w:hAnsi="Times New Roman" w:cs="Times New Roman"/>
          <w:noProof/>
          <w:sz w:val="24"/>
          <w:szCs w:val="24"/>
          <w:lang w:val="en-GB"/>
        </w:rPr>
        <w:lastRenderedPageBreak/>
        <w:t>https://doi.org/10.2753/MTP1069-6679190206</w:t>
      </w:r>
    </w:p>
    <w:p w14:paraId="59A04CE9"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Wildschut, T., Sedikides, C., Arndt, J., &amp; Routledge, C. (2006). Nostalgia: Content, triggers, functions. </w:t>
      </w:r>
      <w:r w:rsidRPr="00320A36">
        <w:rPr>
          <w:rFonts w:ascii="Times New Roman" w:hAnsi="Times New Roman" w:cs="Times New Roman"/>
          <w:i/>
          <w:iCs/>
          <w:noProof/>
          <w:sz w:val="24"/>
          <w:szCs w:val="24"/>
          <w:lang w:val="en-GB"/>
        </w:rPr>
        <w:t>Journal of Personality and Social Psychology</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91</w:t>
      </w:r>
      <w:r w:rsidRPr="00320A36">
        <w:rPr>
          <w:rFonts w:ascii="Times New Roman" w:hAnsi="Times New Roman" w:cs="Times New Roman"/>
          <w:noProof/>
          <w:sz w:val="24"/>
          <w:szCs w:val="24"/>
          <w:lang w:val="en-GB"/>
        </w:rPr>
        <w:t>(5), 975–993. https://doi.org/10.1037/0022-3514.91.5.975</w:t>
      </w:r>
    </w:p>
    <w:p w14:paraId="75B37529" w14:textId="77777777" w:rsidR="00240CE4" w:rsidRPr="00320A36"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320A36">
        <w:rPr>
          <w:rFonts w:ascii="Times New Roman" w:hAnsi="Times New Roman" w:cs="Times New Roman"/>
          <w:noProof/>
          <w:sz w:val="24"/>
          <w:szCs w:val="24"/>
          <w:lang w:val="en-GB"/>
        </w:rPr>
        <w:t xml:space="preserve">Zhao, G., Muehling, D. D., &amp; Kareklas, I. (2014). Remembering the good old days: The Moderating Role of Consumer Affective State on the Effectiveness of Nostalgic Advertising. </w:t>
      </w:r>
      <w:r w:rsidRPr="00320A36">
        <w:rPr>
          <w:rFonts w:ascii="Times New Roman" w:hAnsi="Times New Roman" w:cs="Times New Roman"/>
          <w:i/>
          <w:iCs/>
          <w:noProof/>
          <w:sz w:val="24"/>
          <w:szCs w:val="24"/>
          <w:lang w:val="en-GB"/>
        </w:rPr>
        <w:t>Journal of Advertising</w:t>
      </w:r>
      <w:r w:rsidRPr="00320A36">
        <w:rPr>
          <w:rFonts w:ascii="Times New Roman" w:hAnsi="Times New Roman" w:cs="Times New Roman"/>
          <w:noProof/>
          <w:sz w:val="24"/>
          <w:szCs w:val="24"/>
          <w:lang w:val="en-GB"/>
        </w:rPr>
        <w:t xml:space="preserve">, </w:t>
      </w:r>
      <w:r w:rsidRPr="00320A36">
        <w:rPr>
          <w:rFonts w:ascii="Times New Roman" w:hAnsi="Times New Roman" w:cs="Times New Roman"/>
          <w:i/>
          <w:iCs/>
          <w:noProof/>
          <w:sz w:val="24"/>
          <w:szCs w:val="24"/>
          <w:lang w:val="en-GB"/>
        </w:rPr>
        <w:t>43</w:t>
      </w:r>
      <w:r w:rsidRPr="00320A36">
        <w:rPr>
          <w:rFonts w:ascii="Times New Roman" w:hAnsi="Times New Roman" w:cs="Times New Roman"/>
          <w:noProof/>
          <w:sz w:val="24"/>
          <w:szCs w:val="24"/>
          <w:lang w:val="en-GB"/>
        </w:rPr>
        <w:t>(3), 244–255. https://doi.org/10.1080/00913367.2013.853633</w:t>
      </w:r>
    </w:p>
    <w:p w14:paraId="00A2A307" w14:textId="77777777" w:rsidR="00240CE4" w:rsidRPr="0040120E" w:rsidRDefault="00240CE4" w:rsidP="00240CE4">
      <w:pPr>
        <w:widowControl w:val="0"/>
        <w:autoSpaceDE w:val="0"/>
        <w:autoSpaceDN w:val="0"/>
        <w:adjustRightInd w:val="0"/>
        <w:spacing w:after="0" w:line="480" w:lineRule="auto"/>
        <w:ind w:left="480" w:hanging="480"/>
        <w:rPr>
          <w:rFonts w:ascii="Times New Roman" w:hAnsi="Times New Roman" w:cs="Times New Roman"/>
          <w:noProof/>
          <w:sz w:val="24"/>
        </w:rPr>
      </w:pPr>
      <w:r w:rsidRPr="00320A36">
        <w:rPr>
          <w:rFonts w:ascii="Times New Roman" w:hAnsi="Times New Roman" w:cs="Times New Roman"/>
          <w:noProof/>
          <w:sz w:val="24"/>
          <w:szCs w:val="24"/>
          <w:lang w:val="en-GB"/>
        </w:rPr>
        <w:t xml:space="preserve">Zimbardo, P. G., &amp; Boyd, J. N. (1999). Putting time in perspective: A valid, reliable individual-differences metric. </w:t>
      </w:r>
      <w:r w:rsidRPr="0040120E">
        <w:rPr>
          <w:rFonts w:ascii="Times New Roman" w:hAnsi="Times New Roman" w:cs="Times New Roman"/>
          <w:i/>
          <w:iCs/>
          <w:noProof/>
          <w:sz w:val="24"/>
          <w:szCs w:val="24"/>
        </w:rPr>
        <w:t>Journal of Personality and Social Psychology</w:t>
      </w:r>
      <w:r w:rsidRPr="0040120E">
        <w:rPr>
          <w:rFonts w:ascii="Times New Roman" w:hAnsi="Times New Roman" w:cs="Times New Roman"/>
          <w:noProof/>
          <w:sz w:val="24"/>
          <w:szCs w:val="24"/>
        </w:rPr>
        <w:t xml:space="preserve">, </w:t>
      </w:r>
      <w:r w:rsidRPr="0040120E">
        <w:rPr>
          <w:rFonts w:ascii="Times New Roman" w:hAnsi="Times New Roman" w:cs="Times New Roman"/>
          <w:i/>
          <w:iCs/>
          <w:noProof/>
          <w:sz w:val="24"/>
          <w:szCs w:val="24"/>
        </w:rPr>
        <w:t>77</w:t>
      </w:r>
      <w:r w:rsidRPr="0040120E">
        <w:rPr>
          <w:rFonts w:ascii="Times New Roman" w:hAnsi="Times New Roman" w:cs="Times New Roman"/>
          <w:noProof/>
          <w:sz w:val="24"/>
          <w:szCs w:val="24"/>
        </w:rPr>
        <w:t>(6), 1271–1288.</w:t>
      </w:r>
    </w:p>
    <w:p w14:paraId="3E75FCF9" w14:textId="7B12A066" w:rsidR="00EB763C" w:rsidRPr="002D7072" w:rsidRDefault="00130258" w:rsidP="000E714C">
      <w:pPr>
        <w:widowControl w:val="0"/>
        <w:autoSpaceDE w:val="0"/>
        <w:autoSpaceDN w:val="0"/>
        <w:adjustRightInd w:val="0"/>
        <w:spacing w:after="0" w:line="480" w:lineRule="auto"/>
        <w:ind w:left="480" w:hanging="480"/>
        <w:rPr>
          <w:rFonts w:ascii="Times New Roman" w:hAnsi="Times New Roman" w:cs="Times New Roman"/>
          <w:sz w:val="24"/>
          <w:szCs w:val="24"/>
          <w:lang w:val="en-GB"/>
        </w:rPr>
      </w:pPr>
      <w:r w:rsidRPr="0040120E">
        <w:rPr>
          <w:rFonts w:ascii="Times New Roman" w:hAnsi="Times New Roman" w:cs="Times New Roman"/>
          <w:sz w:val="24"/>
          <w:szCs w:val="24"/>
          <w:lang w:val="en-GB"/>
        </w:rPr>
        <w:fldChar w:fldCharType="end"/>
      </w:r>
    </w:p>
    <w:p w14:paraId="68832909" w14:textId="4702BAE7" w:rsidR="003B6AA8" w:rsidRPr="002D7072" w:rsidRDefault="003B6AA8" w:rsidP="000E714C">
      <w:pPr>
        <w:widowControl w:val="0"/>
        <w:autoSpaceDE w:val="0"/>
        <w:autoSpaceDN w:val="0"/>
        <w:adjustRightInd w:val="0"/>
        <w:spacing w:after="0" w:line="480" w:lineRule="auto"/>
        <w:ind w:left="480" w:hanging="480"/>
        <w:rPr>
          <w:rFonts w:ascii="Times New Roman" w:hAnsi="Times New Roman" w:cs="Times New Roman"/>
          <w:sz w:val="24"/>
          <w:szCs w:val="24"/>
          <w:lang w:val="en-GB"/>
        </w:rPr>
      </w:pPr>
    </w:p>
    <w:p w14:paraId="4EC90B8E" w14:textId="1C44D3BD" w:rsidR="003B6AA8" w:rsidRPr="002D7072" w:rsidRDefault="003B6AA8" w:rsidP="003B6AA8">
      <w:pPr>
        <w:widowControl w:val="0"/>
        <w:autoSpaceDE w:val="0"/>
        <w:autoSpaceDN w:val="0"/>
        <w:adjustRightInd w:val="0"/>
        <w:spacing w:after="0" w:line="480" w:lineRule="auto"/>
        <w:rPr>
          <w:rFonts w:ascii="Times New Roman" w:hAnsi="Times New Roman" w:cs="Times New Roman"/>
          <w:sz w:val="24"/>
          <w:szCs w:val="24"/>
          <w:lang w:val="en-GB"/>
        </w:rPr>
      </w:pPr>
    </w:p>
    <w:sectPr w:rsidR="003B6AA8" w:rsidRPr="002D7072">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5C397" w16cid:durableId="20446B1C"/>
  <w16cid:commentId w16cid:paraId="177EC0C7" w16cid:durableId="20446BCF"/>
  <w16cid:commentId w16cid:paraId="0AC20265" w16cid:durableId="20447A74"/>
  <w16cid:commentId w16cid:paraId="2C20DBB6" w16cid:durableId="20447D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FA13B" w14:textId="77777777" w:rsidR="00A57436" w:rsidRDefault="00A57436" w:rsidP="00ED7F72">
      <w:pPr>
        <w:spacing w:after="0" w:line="240" w:lineRule="auto"/>
      </w:pPr>
      <w:r>
        <w:separator/>
      </w:r>
    </w:p>
  </w:endnote>
  <w:endnote w:type="continuationSeparator" w:id="0">
    <w:p w14:paraId="23D170EE" w14:textId="77777777" w:rsidR="00A57436" w:rsidRDefault="00A57436" w:rsidP="00ED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63735"/>
      <w:docPartObj>
        <w:docPartGallery w:val="Page Numbers (Bottom of Page)"/>
        <w:docPartUnique/>
      </w:docPartObj>
    </w:sdtPr>
    <w:sdtContent>
      <w:p w14:paraId="7D89058F" w14:textId="77D8E52F" w:rsidR="00671C69" w:rsidRDefault="00671C69">
        <w:pPr>
          <w:pStyle w:val="Footer"/>
          <w:jc w:val="right"/>
        </w:pPr>
        <w:r>
          <w:fldChar w:fldCharType="begin"/>
        </w:r>
        <w:r>
          <w:instrText>PAGE   \* MERGEFORMAT</w:instrText>
        </w:r>
        <w:r>
          <w:fldChar w:fldCharType="separate"/>
        </w:r>
        <w:r w:rsidR="003A04C4">
          <w:rPr>
            <w:noProof/>
          </w:rPr>
          <w:t>1</w:t>
        </w:r>
        <w:r>
          <w:fldChar w:fldCharType="end"/>
        </w:r>
      </w:p>
    </w:sdtContent>
  </w:sdt>
  <w:p w14:paraId="0CA73C88" w14:textId="77777777" w:rsidR="00671C69" w:rsidRDefault="00671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C899C" w14:textId="77777777" w:rsidR="00A57436" w:rsidRDefault="00A57436" w:rsidP="00ED7F72">
      <w:pPr>
        <w:spacing w:after="0" w:line="240" w:lineRule="auto"/>
      </w:pPr>
      <w:r>
        <w:separator/>
      </w:r>
    </w:p>
  </w:footnote>
  <w:footnote w:type="continuationSeparator" w:id="0">
    <w:p w14:paraId="4F8F5DA6" w14:textId="77777777" w:rsidR="00A57436" w:rsidRDefault="00A57436" w:rsidP="00ED7F72">
      <w:pPr>
        <w:spacing w:after="0" w:line="240" w:lineRule="auto"/>
      </w:pPr>
      <w:r>
        <w:continuationSeparator/>
      </w:r>
    </w:p>
  </w:footnote>
  <w:footnote w:id="1">
    <w:p w14:paraId="23FBA232" w14:textId="25264787" w:rsidR="00671C69" w:rsidRPr="0087638D" w:rsidRDefault="00671C69" w:rsidP="0087638D">
      <w:pPr>
        <w:spacing w:line="240" w:lineRule="auto"/>
        <w:jc w:val="both"/>
        <w:rPr>
          <w:rFonts w:ascii="Times New Roman" w:hAnsi="Times New Roman" w:cs="Times New Roman"/>
          <w:sz w:val="20"/>
          <w:szCs w:val="24"/>
          <w:lang w:val="en-GB"/>
        </w:rPr>
      </w:pPr>
      <w:r>
        <w:rPr>
          <w:rStyle w:val="FootnoteReference"/>
        </w:rPr>
        <w:footnoteRef/>
      </w:r>
      <w:r w:rsidRPr="0087638D">
        <w:rPr>
          <w:lang w:val="en-GB"/>
        </w:rPr>
        <w:t xml:space="preserve"> </w:t>
      </w:r>
      <w:r w:rsidRPr="0087638D">
        <w:rPr>
          <w:rFonts w:ascii="Times New Roman" w:hAnsi="Times New Roman" w:cs="Times New Roman"/>
          <w:sz w:val="20"/>
          <w:szCs w:val="24"/>
          <w:lang w:val="en-GB"/>
        </w:rPr>
        <w:t>Measure of Sample Adequacy (should be above 0.6)</w:t>
      </w:r>
    </w:p>
  </w:footnote>
  <w:footnote w:id="2">
    <w:p w14:paraId="1F053C2F" w14:textId="0FE9AB8E" w:rsidR="00671C69" w:rsidRPr="0087638D" w:rsidRDefault="00671C69" w:rsidP="0087638D">
      <w:pPr>
        <w:pStyle w:val="FootnoteText"/>
        <w:rPr>
          <w:lang w:val="en-GB"/>
        </w:rPr>
      </w:pPr>
      <w:r>
        <w:rPr>
          <w:rStyle w:val="FootnoteReference"/>
        </w:rPr>
        <w:footnoteRef/>
      </w:r>
      <w:r w:rsidRPr="0087638D">
        <w:rPr>
          <w:lang w:val="en-GB"/>
        </w:rPr>
        <w:t xml:space="preserve"> </w:t>
      </w:r>
      <w:r w:rsidRPr="0087638D">
        <w:rPr>
          <w:rFonts w:ascii="Times New Roman" w:hAnsi="Times New Roman" w:cs="Times New Roman"/>
          <w:lang w:val="en-GB"/>
        </w:rPr>
        <w:t>Average Extracted Variance (should be above 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00F"/>
    <w:multiLevelType w:val="hybridMultilevel"/>
    <w:tmpl w:val="C5280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01EEF"/>
    <w:multiLevelType w:val="multilevel"/>
    <w:tmpl w:val="26CE0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F91F3E"/>
    <w:multiLevelType w:val="hybridMultilevel"/>
    <w:tmpl w:val="7E586AF6"/>
    <w:lvl w:ilvl="0" w:tplc="895048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396F8C"/>
    <w:multiLevelType w:val="hybridMultilevel"/>
    <w:tmpl w:val="A30C77DC"/>
    <w:lvl w:ilvl="0" w:tplc="F3F6CF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C66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C95C30"/>
    <w:multiLevelType w:val="hybridMultilevel"/>
    <w:tmpl w:val="D3BEB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114E46"/>
    <w:multiLevelType w:val="hybridMultilevel"/>
    <w:tmpl w:val="10D056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79479F"/>
    <w:multiLevelType w:val="hybridMultilevel"/>
    <w:tmpl w:val="D53CF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B3E1B"/>
    <w:multiLevelType w:val="multilevel"/>
    <w:tmpl w:val="26CE0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AB1C80"/>
    <w:multiLevelType w:val="hybridMultilevel"/>
    <w:tmpl w:val="3732D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427F7C"/>
    <w:multiLevelType w:val="hybridMultilevel"/>
    <w:tmpl w:val="933CF86A"/>
    <w:lvl w:ilvl="0" w:tplc="895048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E40BFA"/>
    <w:multiLevelType w:val="hybridMultilevel"/>
    <w:tmpl w:val="6D941E9E"/>
    <w:lvl w:ilvl="0" w:tplc="895048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5852D5"/>
    <w:multiLevelType w:val="hybridMultilevel"/>
    <w:tmpl w:val="0A34ED76"/>
    <w:lvl w:ilvl="0" w:tplc="895048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06112"/>
    <w:multiLevelType w:val="hybridMultilevel"/>
    <w:tmpl w:val="8C6C8AF4"/>
    <w:lvl w:ilvl="0" w:tplc="895048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FD089E"/>
    <w:multiLevelType w:val="hybridMultilevel"/>
    <w:tmpl w:val="B0FC6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72490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D81023"/>
    <w:multiLevelType w:val="hybridMultilevel"/>
    <w:tmpl w:val="80A6C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61F67"/>
    <w:multiLevelType w:val="hybridMultilevel"/>
    <w:tmpl w:val="5A1C5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794E24"/>
    <w:multiLevelType w:val="hybridMultilevel"/>
    <w:tmpl w:val="26F28424"/>
    <w:lvl w:ilvl="0" w:tplc="895048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4D6027"/>
    <w:multiLevelType w:val="hybridMultilevel"/>
    <w:tmpl w:val="F142F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272220"/>
    <w:multiLevelType w:val="hybridMultilevel"/>
    <w:tmpl w:val="B7665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922E0A"/>
    <w:multiLevelType w:val="hybridMultilevel"/>
    <w:tmpl w:val="07525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17"/>
  </w:num>
  <w:num w:numId="5">
    <w:abstractNumId w:val="19"/>
  </w:num>
  <w:num w:numId="6">
    <w:abstractNumId w:val="18"/>
  </w:num>
  <w:num w:numId="7">
    <w:abstractNumId w:val="11"/>
  </w:num>
  <w:num w:numId="8">
    <w:abstractNumId w:val="2"/>
  </w:num>
  <w:num w:numId="9">
    <w:abstractNumId w:val="8"/>
  </w:num>
  <w:num w:numId="10">
    <w:abstractNumId w:val="1"/>
  </w:num>
  <w:num w:numId="11">
    <w:abstractNumId w:val="13"/>
  </w:num>
  <w:num w:numId="12">
    <w:abstractNumId w:val="20"/>
  </w:num>
  <w:num w:numId="13">
    <w:abstractNumId w:val="12"/>
  </w:num>
  <w:num w:numId="14">
    <w:abstractNumId w:val="7"/>
  </w:num>
  <w:num w:numId="15">
    <w:abstractNumId w:val="9"/>
  </w:num>
  <w:num w:numId="16">
    <w:abstractNumId w:val="4"/>
  </w:num>
  <w:num w:numId="17">
    <w:abstractNumId w:val="10"/>
  </w:num>
  <w:num w:numId="18">
    <w:abstractNumId w:val="15"/>
  </w:num>
  <w:num w:numId="19">
    <w:abstractNumId w:val="6"/>
  </w:num>
  <w:num w:numId="20">
    <w:abstractNumId w:val="3"/>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54"/>
    <w:rsid w:val="00001AEB"/>
    <w:rsid w:val="00001B2F"/>
    <w:rsid w:val="00001BDB"/>
    <w:rsid w:val="00002D30"/>
    <w:rsid w:val="00003C56"/>
    <w:rsid w:val="000053F9"/>
    <w:rsid w:val="00005E43"/>
    <w:rsid w:val="000078CC"/>
    <w:rsid w:val="00007C3A"/>
    <w:rsid w:val="0001051C"/>
    <w:rsid w:val="00012121"/>
    <w:rsid w:val="0001569D"/>
    <w:rsid w:val="00017A74"/>
    <w:rsid w:val="0002182D"/>
    <w:rsid w:val="00024169"/>
    <w:rsid w:val="0002695A"/>
    <w:rsid w:val="00027369"/>
    <w:rsid w:val="00032F75"/>
    <w:rsid w:val="00036423"/>
    <w:rsid w:val="0004483E"/>
    <w:rsid w:val="00045408"/>
    <w:rsid w:val="00046523"/>
    <w:rsid w:val="000471E9"/>
    <w:rsid w:val="00056FF4"/>
    <w:rsid w:val="00060E74"/>
    <w:rsid w:val="000615D3"/>
    <w:rsid w:val="000616F6"/>
    <w:rsid w:val="00065ADD"/>
    <w:rsid w:val="0006608F"/>
    <w:rsid w:val="00067DE0"/>
    <w:rsid w:val="00067ECD"/>
    <w:rsid w:val="00073615"/>
    <w:rsid w:val="000770DC"/>
    <w:rsid w:val="00080893"/>
    <w:rsid w:val="0008278D"/>
    <w:rsid w:val="000867A9"/>
    <w:rsid w:val="000878D9"/>
    <w:rsid w:val="00090F6C"/>
    <w:rsid w:val="00094851"/>
    <w:rsid w:val="00094908"/>
    <w:rsid w:val="00095A94"/>
    <w:rsid w:val="00097868"/>
    <w:rsid w:val="000A01F0"/>
    <w:rsid w:val="000A0304"/>
    <w:rsid w:val="000A1944"/>
    <w:rsid w:val="000A256C"/>
    <w:rsid w:val="000A3EC3"/>
    <w:rsid w:val="000B0238"/>
    <w:rsid w:val="000B0C8D"/>
    <w:rsid w:val="000B78BB"/>
    <w:rsid w:val="000B7BFA"/>
    <w:rsid w:val="000C0D40"/>
    <w:rsid w:val="000C14C7"/>
    <w:rsid w:val="000C159A"/>
    <w:rsid w:val="000C250C"/>
    <w:rsid w:val="000C433A"/>
    <w:rsid w:val="000C454C"/>
    <w:rsid w:val="000C634E"/>
    <w:rsid w:val="000C749D"/>
    <w:rsid w:val="000D1771"/>
    <w:rsid w:val="000D1BD9"/>
    <w:rsid w:val="000D501D"/>
    <w:rsid w:val="000D7A78"/>
    <w:rsid w:val="000E0808"/>
    <w:rsid w:val="000E54F7"/>
    <w:rsid w:val="000E7090"/>
    <w:rsid w:val="000E714C"/>
    <w:rsid w:val="000F1CCD"/>
    <w:rsid w:val="000F43B2"/>
    <w:rsid w:val="000F4736"/>
    <w:rsid w:val="00100ABF"/>
    <w:rsid w:val="0010323B"/>
    <w:rsid w:val="001055F6"/>
    <w:rsid w:val="00106D50"/>
    <w:rsid w:val="0011036E"/>
    <w:rsid w:val="00115065"/>
    <w:rsid w:val="00116C0B"/>
    <w:rsid w:val="00121E12"/>
    <w:rsid w:val="0012462D"/>
    <w:rsid w:val="001248A7"/>
    <w:rsid w:val="001253A3"/>
    <w:rsid w:val="00130052"/>
    <w:rsid w:val="00130258"/>
    <w:rsid w:val="00130E4F"/>
    <w:rsid w:val="00132876"/>
    <w:rsid w:val="001335F7"/>
    <w:rsid w:val="00133EF8"/>
    <w:rsid w:val="00134FF0"/>
    <w:rsid w:val="0014146D"/>
    <w:rsid w:val="0014362E"/>
    <w:rsid w:val="0014586C"/>
    <w:rsid w:val="00146C38"/>
    <w:rsid w:val="00151956"/>
    <w:rsid w:val="00151C99"/>
    <w:rsid w:val="00151E77"/>
    <w:rsid w:val="001545AB"/>
    <w:rsid w:val="001551BF"/>
    <w:rsid w:val="00155881"/>
    <w:rsid w:val="00156DAD"/>
    <w:rsid w:val="001578E6"/>
    <w:rsid w:val="00157AA4"/>
    <w:rsid w:val="001656A1"/>
    <w:rsid w:val="001705D6"/>
    <w:rsid w:val="00171337"/>
    <w:rsid w:val="00177742"/>
    <w:rsid w:val="0018341E"/>
    <w:rsid w:val="00186550"/>
    <w:rsid w:val="001906AB"/>
    <w:rsid w:val="00194CB2"/>
    <w:rsid w:val="001961AD"/>
    <w:rsid w:val="001A7175"/>
    <w:rsid w:val="001B2D49"/>
    <w:rsid w:val="001B36C9"/>
    <w:rsid w:val="001B37FE"/>
    <w:rsid w:val="001B3DFA"/>
    <w:rsid w:val="001C6727"/>
    <w:rsid w:val="001C711E"/>
    <w:rsid w:val="001D1E8B"/>
    <w:rsid w:val="001D288F"/>
    <w:rsid w:val="001D5F07"/>
    <w:rsid w:val="001E0094"/>
    <w:rsid w:val="001E0218"/>
    <w:rsid w:val="001E152C"/>
    <w:rsid w:val="001E1991"/>
    <w:rsid w:val="001E3F7E"/>
    <w:rsid w:val="001E4C4D"/>
    <w:rsid w:val="001E5E71"/>
    <w:rsid w:val="001E6672"/>
    <w:rsid w:val="001E67CD"/>
    <w:rsid w:val="001E7AE1"/>
    <w:rsid w:val="001F0404"/>
    <w:rsid w:val="001F5521"/>
    <w:rsid w:val="001F5711"/>
    <w:rsid w:val="00201009"/>
    <w:rsid w:val="00201441"/>
    <w:rsid w:val="00205759"/>
    <w:rsid w:val="00205D13"/>
    <w:rsid w:val="00205E39"/>
    <w:rsid w:val="00206053"/>
    <w:rsid w:val="00220D9C"/>
    <w:rsid w:val="00223BFF"/>
    <w:rsid w:val="00225164"/>
    <w:rsid w:val="00226CC5"/>
    <w:rsid w:val="002272D2"/>
    <w:rsid w:val="00227C72"/>
    <w:rsid w:val="00230F90"/>
    <w:rsid w:val="002327E9"/>
    <w:rsid w:val="002328F3"/>
    <w:rsid w:val="00235008"/>
    <w:rsid w:val="002354F4"/>
    <w:rsid w:val="002358D1"/>
    <w:rsid w:val="00240CE4"/>
    <w:rsid w:val="00240E32"/>
    <w:rsid w:val="002433ED"/>
    <w:rsid w:val="00243DBF"/>
    <w:rsid w:val="0025054D"/>
    <w:rsid w:val="00252F19"/>
    <w:rsid w:val="002533EE"/>
    <w:rsid w:val="00253AFE"/>
    <w:rsid w:val="002541EC"/>
    <w:rsid w:val="002577BE"/>
    <w:rsid w:val="00257F41"/>
    <w:rsid w:val="00260427"/>
    <w:rsid w:val="00261729"/>
    <w:rsid w:val="00262A2B"/>
    <w:rsid w:val="002652F9"/>
    <w:rsid w:val="00266FA7"/>
    <w:rsid w:val="002675D9"/>
    <w:rsid w:val="00270416"/>
    <w:rsid w:val="00270502"/>
    <w:rsid w:val="00271193"/>
    <w:rsid w:val="0027155C"/>
    <w:rsid w:val="0028012A"/>
    <w:rsid w:val="002806FC"/>
    <w:rsid w:val="00282A66"/>
    <w:rsid w:val="00283AC1"/>
    <w:rsid w:val="00285732"/>
    <w:rsid w:val="002862DE"/>
    <w:rsid w:val="00290B28"/>
    <w:rsid w:val="00291704"/>
    <w:rsid w:val="002928AD"/>
    <w:rsid w:val="002943AD"/>
    <w:rsid w:val="002971D5"/>
    <w:rsid w:val="00297320"/>
    <w:rsid w:val="00297D2B"/>
    <w:rsid w:val="002A1E0C"/>
    <w:rsid w:val="002A2BC5"/>
    <w:rsid w:val="002A2E62"/>
    <w:rsid w:val="002A35A3"/>
    <w:rsid w:val="002A4B1D"/>
    <w:rsid w:val="002A5FF4"/>
    <w:rsid w:val="002A6B41"/>
    <w:rsid w:val="002B1AE3"/>
    <w:rsid w:val="002B305E"/>
    <w:rsid w:val="002B6A58"/>
    <w:rsid w:val="002B6DA6"/>
    <w:rsid w:val="002C04F1"/>
    <w:rsid w:val="002C117D"/>
    <w:rsid w:val="002C2A3D"/>
    <w:rsid w:val="002D1AB3"/>
    <w:rsid w:val="002D2684"/>
    <w:rsid w:val="002D4CB2"/>
    <w:rsid w:val="002D521A"/>
    <w:rsid w:val="002D7072"/>
    <w:rsid w:val="002E1E58"/>
    <w:rsid w:val="002E2DC0"/>
    <w:rsid w:val="002E609C"/>
    <w:rsid w:val="002E6B39"/>
    <w:rsid w:val="002F1D09"/>
    <w:rsid w:val="002F31D1"/>
    <w:rsid w:val="002F4910"/>
    <w:rsid w:val="002F5276"/>
    <w:rsid w:val="002F5F6B"/>
    <w:rsid w:val="002F72A0"/>
    <w:rsid w:val="003007F4"/>
    <w:rsid w:val="003031BC"/>
    <w:rsid w:val="00307639"/>
    <w:rsid w:val="00312B31"/>
    <w:rsid w:val="00314FA0"/>
    <w:rsid w:val="00316161"/>
    <w:rsid w:val="00316E52"/>
    <w:rsid w:val="0031711A"/>
    <w:rsid w:val="00320705"/>
    <w:rsid w:val="00320A36"/>
    <w:rsid w:val="00320C51"/>
    <w:rsid w:val="00321EDD"/>
    <w:rsid w:val="00322E7C"/>
    <w:rsid w:val="0032332F"/>
    <w:rsid w:val="00323D3E"/>
    <w:rsid w:val="00326772"/>
    <w:rsid w:val="00327D51"/>
    <w:rsid w:val="00330783"/>
    <w:rsid w:val="0033283E"/>
    <w:rsid w:val="00335BA5"/>
    <w:rsid w:val="00336944"/>
    <w:rsid w:val="0034140D"/>
    <w:rsid w:val="00345FB3"/>
    <w:rsid w:val="003504D1"/>
    <w:rsid w:val="00350F20"/>
    <w:rsid w:val="00356775"/>
    <w:rsid w:val="00356E67"/>
    <w:rsid w:val="003609CC"/>
    <w:rsid w:val="00365684"/>
    <w:rsid w:val="00366703"/>
    <w:rsid w:val="00367011"/>
    <w:rsid w:val="003705A6"/>
    <w:rsid w:val="00371D64"/>
    <w:rsid w:val="003723D4"/>
    <w:rsid w:val="003758DD"/>
    <w:rsid w:val="003771CA"/>
    <w:rsid w:val="00383047"/>
    <w:rsid w:val="00384C23"/>
    <w:rsid w:val="0038659F"/>
    <w:rsid w:val="003870BB"/>
    <w:rsid w:val="00387561"/>
    <w:rsid w:val="003902D4"/>
    <w:rsid w:val="003937F6"/>
    <w:rsid w:val="00396288"/>
    <w:rsid w:val="003962F0"/>
    <w:rsid w:val="003A01EE"/>
    <w:rsid w:val="003A04C4"/>
    <w:rsid w:val="003A39B6"/>
    <w:rsid w:val="003A4486"/>
    <w:rsid w:val="003A7D9F"/>
    <w:rsid w:val="003B6176"/>
    <w:rsid w:val="003B6AA8"/>
    <w:rsid w:val="003B6D86"/>
    <w:rsid w:val="003B6F45"/>
    <w:rsid w:val="003C144A"/>
    <w:rsid w:val="003C15D3"/>
    <w:rsid w:val="003C2421"/>
    <w:rsid w:val="003C2AC6"/>
    <w:rsid w:val="003C3457"/>
    <w:rsid w:val="003C39CA"/>
    <w:rsid w:val="003C7109"/>
    <w:rsid w:val="003C7EB7"/>
    <w:rsid w:val="003D02B6"/>
    <w:rsid w:val="003D0909"/>
    <w:rsid w:val="003D198F"/>
    <w:rsid w:val="003D226C"/>
    <w:rsid w:val="003D2F45"/>
    <w:rsid w:val="003D3FBA"/>
    <w:rsid w:val="003D6838"/>
    <w:rsid w:val="003D78CA"/>
    <w:rsid w:val="003E06DD"/>
    <w:rsid w:val="003F1D8B"/>
    <w:rsid w:val="003F1DCC"/>
    <w:rsid w:val="003F650E"/>
    <w:rsid w:val="003F6C84"/>
    <w:rsid w:val="0040120E"/>
    <w:rsid w:val="00401360"/>
    <w:rsid w:val="00402382"/>
    <w:rsid w:val="0040780B"/>
    <w:rsid w:val="00410F65"/>
    <w:rsid w:val="004117AD"/>
    <w:rsid w:val="0041187B"/>
    <w:rsid w:val="00412B05"/>
    <w:rsid w:val="00413553"/>
    <w:rsid w:val="00417FC0"/>
    <w:rsid w:val="00420DD8"/>
    <w:rsid w:val="00427C8E"/>
    <w:rsid w:val="00440E56"/>
    <w:rsid w:val="0044405A"/>
    <w:rsid w:val="00447D75"/>
    <w:rsid w:val="0045084F"/>
    <w:rsid w:val="00450A33"/>
    <w:rsid w:val="00453ED7"/>
    <w:rsid w:val="00455D9C"/>
    <w:rsid w:val="0045624A"/>
    <w:rsid w:val="004564CA"/>
    <w:rsid w:val="00457021"/>
    <w:rsid w:val="00460439"/>
    <w:rsid w:val="00463A8A"/>
    <w:rsid w:val="004640F5"/>
    <w:rsid w:val="004651DC"/>
    <w:rsid w:val="004661BA"/>
    <w:rsid w:val="00466345"/>
    <w:rsid w:val="00472A99"/>
    <w:rsid w:val="00472B49"/>
    <w:rsid w:val="00473848"/>
    <w:rsid w:val="00476091"/>
    <w:rsid w:val="00477764"/>
    <w:rsid w:val="00480FF6"/>
    <w:rsid w:val="00481097"/>
    <w:rsid w:val="004819EE"/>
    <w:rsid w:val="0048459C"/>
    <w:rsid w:val="00485698"/>
    <w:rsid w:val="00487CB9"/>
    <w:rsid w:val="00490D15"/>
    <w:rsid w:val="0049167E"/>
    <w:rsid w:val="004926E3"/>
    <w:rsid w:val="00496B0C"/>
    <w:rsid w:val="004A09B5"/>
    <w:rsid w:val="004A143B"/>
    <w:rsid w:val="004B08FA"/>
    <w:rsid w:val="004B0B28"/>
    <w:rsid w:val="004B22CB"/>
    <w:rsid w:val="004B3A6C"/>
    <w:rsid w:val="004C3ACA"/>
    <w:rsid w:val="004C5D14"/>
    <w:rsid w:val="004D5B72"/>
    <w:rsid w:val="004E0479"/>
    <w:rsid w:val="004E119F"/>
    <w:rsid w:val="004F3036"/>
    <w:rsid w:val="004F3ADC"/>
    <w:rsid w:val="004F3F48"/>
    <w:rsid w:val="004F3FB1"/>
    <w:rsid w:val="004F4055"/>
    <w:rsid w:val="004F4163"/>
    <w:rsid w:val="004F5A37"/>
    <w:rsid w:val="004F6559"/>
    <w:rsid w:val="0050106F"/>
    <w:rsid w:val="005017B5"/>
    <w:rsid w:val="00503000"/>
    <w:rsid w:val="00505C29"/>
    <w:rsid w:val="0050637B"/>
    <w:rsid w:val="005066BF"/>
    <w:rsid w:val="00506DCD"/>
    <w:rsid w:val="00507D42"/>
    <w:rsid w:val="00510BF0"/>
    <w:rsid w:val="00512B3A"/>
    <w:rsid w:val="00516239"/>
    <w:rsid w:val="00524F27"/>
    <w:rsid w:val="005255F4"/>
    <w:rsid w:val="00532676"/>
    <w:rsid w:val="00532B6C"/>
    <w:rsid w:val="005368C7"/>
    <w:rsid w:val="00540634"/>
    <w:rsid w:val="005418C8"/>
    <w:rsid w:val="00541924"/>
    <w:rsid w:val="00545261"/>
    <w:rsid w:val="00545D2E"/>
    <w:rsid w:val="00547643"/>
    <w:rsid w:val="005506C6"/>
    <w:rsid w:val="00551525"/>
    <w:rsid w:val="005531EE"/>
    <w:rsid w:val="005554D4"/>
    <w:rsid w:val="00556279"/>
    <w:rsid w:val="00560CB2"/>
    <w:rsid w:val="005627E4"/>
    <w:rsid w:val="00564304"/>
    <w:rsid w:val="00565EF6"/>
    <w:rsid w:val="0056772C"/>
    <w:rsid w:val="005743E2"/>
    <w:rsid w:val="0057656F"/>
    <w:rsid w:val="00577F50"/>
    <w:rsid w:val="00580DE3"/>
    <w:rsid w:val="005830A9"/>
    <w:rsid w:val="00584A6D"/>
    <w:rsid w:val="00592010"/>
    <w:rsid w:val="005B1C58"/>
    <w:rsid w:val="005B213B"/>
    <w:rsid w:val="005B2703"/>
    <w:rsid w:val="005B50E4"/>
    <w:rsid w:val="005B7525"/>
    <w:rsid w:val="005C0C58"/>
    <w:rsid w:val="005C15B3"/>
    <w:rsid w:val="005C7973"/>
    <w:rsid w:val="005D0424"/>
    <w:rsid w:val="005D1DE7"/>
    <w:rsid w:val="005D3266"/>
    <w:rsid w:val="005E2263"/>
    <w:rsid w:val="005E2FA1"/>
    <w:rsid w:val="005E3B68"/>
    <w:rsid w:val="005E68B9"/>
    <w:rsid w:val="005E7744"/>
    <w:rsid w:val="005F59CF"/>
    <w:rsid w:val="00601BB6"/>
    <w:rsid w:val="00612B97"/>
    <w:rsid w:val="00614250"/>
    <w:rsid w:val="006142EE"/>
    <w:rsid w:val="00614CD3"/>
    <w:rsid w:val="00617240"/>
    <w:rsid w:val="0061781A"/>
    <w:rsid w:val="006206DE"/>
    <w:rsid w:val="00623376"/>
    <w:rsid w:val="00626202"/>
    <w:rsid w:val="00626B78"/>
    <w:rsid w:val="006302ED"/>
    <w:rsid w:val="00637CA7"/>
    <w:rsid w:val="0064580F"/>
    <w:rsid w:val="0065080A"/>
    <w:rsid w:val="00652B71"/>
    <w:rsid w:val="00652C89"/>
    <w:rsid w:val="00660998"/>
    <w:rsid w:val="00660CDF"/>
    <w:rsid w:val="00661F15"/>
    <w:rsid w:val="0066365D"/>
    <w:rsid w:val="00664056"/>
    <w:rsid w:val="0066440D"/>
    <w:rsid w:val="00664B61"/>
    <w:rsid w:val="0066708F"/>
    <w:rsid w:val="006675E5"/>
    <w:rsid w:val="00670BBD"/>
    <w:rsid w:val="006717E5"/>
    <w:rsid w:val="00671C69"/>
    <w:rsid w:val="006808E4"/>
    <w:rsid w:val="006825C2"/>
    <w:rsid w:val="00684338"/>
    <w:rsid w:val="00687850"/>
    <w:rsid w:val="0069276A"/>
    <w:rsid w:val="00693291"/>
    <w:rsid w:val="0069571E"/>
    <w:rsid w:val="00697431"/>
    <w:rsid w:val="006A11CC"/>
    <w:rsid w:val="006A1E5A"/>
    <w:rsid w:val="006A28B6"/>
    <w:rsid w:val="006A2F1C"/>
    <w:rsid w:val="006A3D33"/>
    <w:rsid w:val="006A43CB"/>
    <w:rsid w:val="006A62BA"/>
    <w:rsid w:val="006A6CF8"/>
    <w:rsid w:val="006A7973"/>
    <w:rsid w:val="006B1E82"/>
    <w:rsid w:val="006B3FEC"/>
    <w:rsid w:val="006B4DB8"/>
    <w:rsid w:val="006B76F7"/>
    <w:rsid w:val="006C170F"/>
    <w:rsid w:val="006C254A"/>
    <w:rsid w:val="006C2F37"/>
    <w:rsid w:val="006C390A"/>
    <w:rsid w:val="006C5994"/>
    <w:rsid w:val="006D0128"/>
    <w:rsid w:val="006D078E"/>
    <w:rsid w:val="006D3E9C"/>
    <w:rsid w:val="006E133D"/>
    <w:rsid w:val="006E1E8E"/>
    <w:rsid w:val="006E649D"/>
    <w:rsid w:val="006F31FA"/>
    <w:rsid w:val="006F59C5"/>
    <w:rsid w:val="006F5A08"/>
    <w:rsid w:val="007003DB"/>
    <w:rsid w:val="007024D1"/>
    <w:rsid w:val="007042B6"/>
    <w:rsid w:val="00714C6B"/>
    <w:rsid w:val="00715D77"/>
    <w:rsid w:val="00720888"/>
    <w:rsid w:val="00721502"/>
    <w:rsid w:val="007232D7"/>
    <w:rsid w:val="007232F5"/>
    <w:rsid w:val="00723C6A"/>
    <w:rsid w:val="00725606"/>
    <w:rsid w:val="00726029"/>
    <w:rsid w:val="00730AF2"/>
    <w:rsid w:val="00735259"/>
    <w:rsid w:val="0073719E"/>
    <w:rsid w:val="007376E9"/>
    <w:rsid w:val="00741BBF"/>
    <w:rsid w:val="00745E7B"/>
    <w:rsid w:val="00747724"/>
    <w:rsid w:val="0075051A"/>
    <w:rsid w:val="007510C8"/>
    <w:rsid w:val="00751649"/>
    <w:rsid w:val="0075264E"/>
    <w:rsid w:val="00752DBE"/>
    <w:rsid w:val="0075373E"/>
    <w:rsid w:val="00753C9F"/>
    <w:rsid w:val="00753F50"/>
    <w:rsid w:val="007610B2"/>
    <w:rsid w:val="00761159"/>
    <w:rsid w:val="00762FB1"/>
    <w:rsid w:val="00763A3D"/>
    <w:rsid w:val="00765536"/>
    <w:rsid w:val="00767B5C"/>
    <w:rsid w:val="0077021D"/>
    <w:rsid w:val="0077396A"/>
    <w:rsid w:val="00780801"/>
    <w:rsid w:val="00780E0C"/>
    <w:rsid w:val="0078104D"/>
    <w:rsid w:val="00781206"/>
    <w:rsid w:val="007835DB"/>
    <w:rsid w:val="00783C06"/>
    <w:rsid w:val="00783FA0"/>
    <w:rsid w:val="00785963"/>
    <w:rsid w:val="007904EF"/>
    <w:rsid w:val="00795B9C"/>
    <w:rsid w:val="00795C67"/>
    <w:rsid w:val="00795EA1"/>
    <w:rsid w:val="007A22B0"/>
    <w:rsid w:val="007A6D07"/>
    <w:rsid w:val="007B052D"/>
    <w:rsid w:val="007B726B"/>
    <w:rsid w:val="007C2417"/>
    <w:rsid w:val="007C2700"/>
    <w:rsid w:val="007D3235"/>
    <w:rsid w:val="007D44F3"/>
    <w:rsid w:val="007D6BB5"/>
    <w:rsid w:val="007E0C09"/>
    <w:rsid w:val="007E2FB4"/>
    <w:rsid w:val="007E343B"/>
    <w:rsid w:val="007E6252"/>
    <w:rsid w:val="007E64D9"/>
    <w:rsid w:val="007E6C1E"/>
    <w:rsid w:val="007E70E0"/>
    <w:rsid w:val="007F230B"/>
    <w:rsid w:val="007F24B7"/>
    <w:rsid w:val="007F281E"/>
    <w:rsid w:val="007F7F65"/>
    <w:rsid w:val="008024DE"/>
    <w:rsid w:val="0080255E"/>
    <w:rsid w:val="008135CA"/>
    <w:rsid w:val="00814FC7"/>
    <w:rsid w:val="00815FFF"/>
    <w:rsid w:val="00820052"/>
    <w:rsid w:val="008247B2"/>
    <w:rsid w:val="00830DE0"/>
    <w:rsid w:val="00833EC3"/>
    <w:rsid w:val="00837463"/>
    <w:rsid w:val="00840AEF"/>
    <w:rsid w:val="00840B92"/>
    <w:rsid w:val="00840F8E"/>
    <w:rsid w:val="00853007"/>
    <w:rsid w:val="00853AFE"/>
    <w:rsid w:val="00853F0E"/>
    <w:rsid w:val="00854B63"/>
    <w:rsid w:val="0085579D"/>
    <w:rsid w:val="00856455"/>
    <w:rsid w:val="0086066C"/>
    <w:rsid w:val="00862F6F"/>
    <w:rsid w:val="008631C7"/>
    <w:rsid w:val="00865316"/>
    <w:rsid w:val="00867FE7"/>
    <w:rsid w:val="00870413"/>
    <w:rsid w:val="00872E0A"/>
    <w:rsid w:val="0087638D"/>
    <w:rsid w:val="008773EA"/>
    <w:rsid w:val="008819BF"/>
    <w:rsid w:val="00882FE9"/>
    <w:rsid w:val="008855D2"/>
    <w:rsid w:val="0088596D"/>
    <w:rsid w:val="00886059"/>
    <w:rsid w:val="008926C1"/>
    <w:rsid w:val="00892AF2"/>
    <w:rsid w:val="00894382"/>
    <w:rsid w:val="008947EA"/>
    <w:rsid w:val="00895773"/>
    <w:rsid w:val="008A5688"/>
    <w:rsid w:val="008B343C"/>
    <w:rsid w:val="008B3A34"/>
    <w:rsid w:val="008B4210"/>
    <w:rsid w:val="008B4FAE"/>
    <w:rsid w:val="008B5DEA"/>
    <w:rsid w:val="008C036E"/>
    <w:rsid w:val="008C4451"/>
    <w:rsid w:val="008D132B"/>
    <w:rsid w:val="008D249D"/>
    <w:rsid w:val="008D70D4"/>
    <w:rsid w:val="008D77E0"/>
    <w:rsid w:val="008D78FB"/>
    <w:rsid w:val="008E1CC9"/>
    <w:rsid w:val="008E1FB1"/>
    <w:rsid w:val="008E2155"/>
    <w:rsid w:val="008E3959"/>
    <w:rsid w:val="008E44F9"/>
    <w:rsid w:val="008E4E5E"/>
    <w:rsid w:val="008E60EC"/>
    <w:rsid w:val="008F38DD"/>
    <w:rsid w:val="008F5AE7"/>
    <w:rsid w:val="008F5E5A"/>
    <w:rsid w:val="00903B86"/>
    <w:rsid w:val="00905FAB"/>
    <w:rsid w:val="009071EA"/>
    <w:rsid w:val="009074E5"/>
    <w:rsid w:val="00913092"/>
    <w:rsid w:val="0091471B"/>
    <w:rsid w:val="00915571"/>
    <w:rsid w:val="0091758D"/>
    <w:rsid w:val="00917778"/>
    <w:rsid w:val="00920089"/>
    <w:rsid w:val="009216B7"/>
    <w:rsid w:val="009232BC"/>
    <w:rsid w:val="00926536"/>
    <w:rsid w:val="00927968"/>
    <w:rsid w:val="00931081"/>
    <w:rsid w:val="00932B82"/>
    <w:rsid w:val="00932CF8"/>
    <w:rsid w:val="009350D0"/>
    <w:rsid w:val="009357CE"/>
    <w:rsid w:val="00943C6C"/>
    <w:rsid w:val="009479D8"/>
    <w:rsid w:val="00952585"/>
    <w:rsid w:val="009529FA"/>
    <w:rsid w:val="00954518"/>
    <w:rsid w:val="00960654"/>
    <w:rsid w:val="009636E1"/>
    <w:rsid w:val="00964F73"/>
    <w:rsid w:val="00970800"/>
    <w:rsid w:val="00971D09"/>
    <w:rsid w:val="00974E97"/>
    <w:rsid w:val="00980476"/>
    <w:rsid w:val="009804D4"/>
    <w:rsid w:val="00981D3E"/>
    <w:rsid w:val="00984697"/>
    <w:rsid w:val="009849E6"/>
    <w:rsid w:val="00986F59"/>
    <w:rsid w:val="009909D9"/>
    <w:rsid w:val="00995E6E"/>
    <w:rsid w:val="00997193"/>
    <w:rsid w:val="009A1C0D"/>
    <w:rsid w:val="009A229D"/>
    <w:rsid w:val="009A4BBD"/>
    <w:rsid w:val="009A4FEF"/>
    <w:rsid w:val="009A5E47"/>
    <w:rsid w:val="009B0950"/>
    <w:rsid w:val="009B0FB3"/>
    <w:rsid w:val="009B24D9"/>
    <w:rsid w:val="009B3D7D"/>
    <w:rsid w:val="009B4AFE"/>
    <w:rsid w:val="009C04EB"/>
    <w:rsid w:val="009C0560"/>
    <w:rsid w:val="009C0C10"/>
    <w:rsid w:val="009C1B5C"/>
    <w:rsid w:val="009C2A33"/>
    <w:rsid w:val="009C4356"/>
    <w:rsid w:val="009C59D3"/>
    <w:rsid w:val="009C70A6"/>
    <w:rsid w:val="009D1193"/>
    <w:rsid w:val="009D18E5"/>
    <w:rsid w:val="009D29F6"/>
    <w:rsid w:val="009D3565"/>
    <w:rsid w:val="009D42F5"/>
    <w:rsid w:val="009D727D"/>
    <w:rsid w:val="009E0699"/>
    <w:rsid w:val="009E0811"/>
    <w:rsid w:val="009E1827"/>
    <w:rsid w:val="009E5CA9"/>
    <w:rsid w:val="009E61E1"/>
    <w:rsid w:val="009F0702"/>
    <w:rsid w:val="009F0824"/>
    <w:rsid w:val="009F0F1F"/>
    <w:rsid w:val="009F4FEF"/>
    <w:rsid w:val="009F5685"/>
    <w:rsid w:val="009F62EE"/>
    <w:rsid w:val="009F7C11"/>
    <w:rsid w:val="009F7EDB"/>
    <w:rsid w:val="00A001A4"/>
    <w:rsid w:val="00A041CB"/>
    <w:rsid w:val="00A06C12"/>
    <w:rsid w:val="00A075C3"/>
    <w:rsid w:val="00A079FB"/>
    <w:rsid w:val="00A12573"/>
    <w:rsid w:val="00A16C27"/>
    <w:rsid w:val="00A21FA2"/>
    <w:rsid w:val="00A27BA9"/>
    <w:rsid w:val="00A34A11"/>
    <w:rsid w:val="00A367BE"/>
    <w:rsid w:val="00A3771E"/>
    <w:rsid w:val="00A42AE2"/>
    <w:rsid w:val="00A4563A"/>
    <w:rsid w:val="00A47391"/>
    <w:rsid w:val="00A47CD4"/>
    <w:rsid w:val="00A519D3"/>
    <w:rsid w:val="00A53A4F"/>
    <w:rsid w:val="00A5479D"/>
    <w:rsid w:val="00A54AB8"/>
    <w:rsid w:val="00A54FB8"/>
    <w:rsid w:val="00A553E1"/>
    <w:rsid w:val="00A57436"/>
    <w:rsid w:val="00A576F2"/>
    <w:rsid w:val="00A6142D"/>
    <w:rsid w:val="00A625EB"/>
    <w:rsid w:val="00A626AD"/>
    <w:rsid w:val="00A63E86"/>
    <w:rsid w:val="00A64023"/>
    <w:rsid w:val="00A65D7C"/>
    <w:rsid w:val="00A70E93"/>
    <w:rsid w:val="00A73439"/>
    <w:rsid w:val="00A742BA"/>
    <w:rsid w:val="00A75650"/>
    <w:rsid w:val="00A760CE"/>
    <w:rsid w:val="00A80FCE"/>
    <w:rsid w:val="00A80FFA"/>
    <w:rsid w:val="00A8214E"/>
    <w:rsid w:val="00A91E6F"/>
    <w:rsid w:val="00A94FA5"/>
    <w:rsid w:val="00A95EB6"/>
    <w:rsid w:val="00A9670C"/>
    <w:rsid w:val="00A96BED"/>
    <w:rsid w:val="00AA06FA"/>
    <w:rsid w:val="00AA1F34"/>
    <w:rsid w:val="00AA291B"/>
    <w:rsid w:val="00AA337F"/>
    <w:rsid w:val="00AA3BCA"/>
    <w:rsid w:val="00AA50D8"/>
    <w:rsid w:val="00AA5D01"/>
    <w:rsid w:val="00AA6BE4"/>
    <w:rsid w:val="00AA7247"/>
    <w:rsid w:val="00AA72AA"/>
    <w:rsid w:val="00AA7870"/>
    <w:rsid w:val="00AA7E64"/>
    <w:rsid w:val="00AB2683"/>
    <w:rsid w:val="00AB3221"/>
    <w:rsid w:val="00AB364A"/>
    <w:rsid w:val="00AB3986"/>
    <w:rsid w:val="00AB6118"/>
    <w:rsid w:val="00AB74AF"/>
    <w:rsid w:val="00AB751C"/>
    <w:rsid w:val="00AB7976"/>
    <w:rsid w:val="00AC0013"/>
    <w:rsid w:val="00AC03EE"/>
    <w:rsid w:val="00AC3E4F"/>
    <w:rsid w:val="00AD0C74"/>
    <w:rsid w:val="00AD31A6"/>
    <w:rsid w:val="00AE001E"/>
    <w:rsid w:val="00AE1BCC"/>
    <w:rsid w:val="00AE34AE"/>
    <w:rsid w:val="00AE3DCA"/>
    <w:rsid w:val="00AE6D34"/>
    <w:rsid w:val="00AE7E83"/>
    <w:rsid w:val="00AF0080"/>
    <w:rsid w:val="00AF47BD"/>
    <w:rsid w:val="00AF4DA0"/>
    <w:rsid w:val="00AF4F2A"/>
    <w:rsid w:val="00AF6880"/>
    <w:rsid w:val="00AF70FE"/>
    <w:rsid w:val="00AF7F2D"/>
    <w:rsid w:val="00B01E6E"/>
    <w:rsid w:val="00B032FF"/>
    <w:rsid w:val="00B04E90"/>
    <w:rsid w:val="00B06EBF"/>
    <w:rsid w:val="00B07B0F"/>
    <w:rsid w:val="00B14150"/>
    <w:rsid w:val="00B1455A"/>
    <w:rsid w:val="00B175D1"/>
    <w:rsid w:val="00B176F2"/>
    <w:rsid w:val="00B1789E"/>
    <w:rsid w:val="00B17ADA"/>
    <w:rsid w:val="00B21D48"/>
    <w:rsid w:val="00B23A9C"/>
    <w:rsid w:val="00B260CF"/>
    <w:rsid w:val="00B26992"/>
    <w:rsid w:val="00B2740D"/>
    <w:rsid w:val="00B279DF"/>
    <w:rsid w:val="00B301FA"/>
    <w:rsid w:val="00B3381F"/>
    <w:rsid w:val="00B33D28"/>
    <w:rsid w:val="00B34EF7"/>
    <w:rsid w:val="00B35564"/>
    <w:rsid w:val="00B40DCA"/>
    <w:rsid w:val="00B41A71"/>
    <w:rsid w:val="00B4202A"/>
    <w:rsid w:val="00B44171"/>
    <w:rsid w:val="00B445F5"/>
    <w:rsid w:val="00B44F75"/>
    <w:rsid w:val="00B46306"/>
    <w:rsid w:val="00B47BDB"/>
    <w:rsid w:val="00B47EE7"/>
    <w:rsid w:val="00B50C9A"/>
    <w:rsid w:val="00B5310A"/>
    <w:rsid w:val="00B57425"/>
    <w:rsid w:val="00B61952"/>
    <w:rsid w:val="00B62B7A"/>
    <w:rsid w:val="00B637D5"/>
    <w:rsid w:val="00B6733B"/>
    <w:rsid w:val="00B73C66"/>
    <w:rsid w:val="00B756F6"/>
    <w:rsid w:val="00B76A28"/>
    <w:rsid w:val="00B77210"/>
    <w:rsid w:val="00B80700"/>
    <w:rsid w:val="00B82D53"/>
    <w:rsid w:val="00B85E19"/>
    <w:rsid w:val="00B85E8D"/>
    <w:rsid w:val="00B87A27"/>
    <w:rsid w:val="00B90A26"/>
    <w:rsid w:val="00B91ED0"/>
    <w:rsid w:val="00B94313"/>
    <w:rsid w:val="00B94904"/>
    <w:rsid w:val="00B94CCA"/>
    <w:rsid w:val="00BA08C0"/>
    <w:rsid w:val="00BA1426"/>
    <w:rsid w:val="00BA4D1C"/>
    <w:rsid w:val="00BA6CCA"/>
    <w:rsid w:val="00BB21F0"/>
    <w:rsid w:val="00BB253D"/>
    <w:rsid w:val="00BB2BFC"/>
    <w:rsid w:val="00BB6427"/>
    <w:rsid w:val="00BB6EF8"/>
    <w:rsid w:val="00BC039E"/>
    <w:rsid w:val="00BC1062"/>
    <w:rsid w:val="00BC21A5"/>
    <w:rsid w:val="00BC2B34"/>
    <w:rsid w:val="00BC4D32"/>
    <w:rsid w:val="00BC6D3D"/>
    <w:rsid w:val="00BC7631"/>
    <w:rsid w:val="00BD310F"/>
    <w:rsid w:val="00BD36C0"/>
    <w:rsid w:val="00BD4498"/>
    <w:rsid w:val="00BD5F49"/>
    <w:rsid w:val="00BD6EC0"/>
    <w:rsid w:val="00BD7DDE"/>
    <w:rsid w:val="00BE068B"/>
    <w:rsid w:val="00BE1AF7"/>
    <w:rsid w:val="00BE4AF6"/>
    <w:rsid w:val="00BE656C"/>
    <w:rsid w:val="00BE70B8"/>
    <w:rsid w:val="00BE7551"/>
    <w:rsid w:val="00BF05C7"/>
    <w:rsid w:val="00BF385E"/>
    <w:rsid w:val="00BF4397"/>
    <w:rsid w:val="00BF5D9A"/>
    <w:rsid w:val="00BF6D0D"/>
    <w:rsid w:val="00C0418F"/>
    <w:rsid w:val="00C108F5"/>
    <w:rsid w:val="00C12099"/>
    <w:rsid w:val="00C14A9F"/>
    <w:rsid w:val="00C15A5B"/>
    <w:rsid w:val="00C15D2E"/>
    <w:rsid w:val="00C1769E"/>
    <w:rsid w:val="00C278CF"/>
    <w:rsid w:val="00C27DDA"/>
    <w:rsid w:val="00C335DA"/>
    <w:rsid w:val="00C336E5"/>
    <w:rsid w:val="00C411D1"/>
    <w:rsid w:val="00C43244"/>
    <w:rsid w:val="00C44861"/>
    <w:rsid w:val="00C46A09"/>
    <w:rsid w:val="00C53E8D"/>
    <w:rsid w:val="00C6099C"/>
    <w:rsid w:val="00C61908"/>
    <w:rsid w:val="00C6331E"/>
    <w:rsid w:val="00C708C4"/>
    <w:rsid w:val="00C74257"/>
    <w:rsid w:val="00C743AD"/>
    <w:rsid w:val="00C7463E"/>
    <w:rsid w:val="00C74780"/>
    <w:rsid w:val="00C76262"/>
    <w:rsid w:val="00C91970"/>
    <w:rsid w:val="00C95027"/>
    <w:rsid w:val="00C95F12"/>
    <w:rsid w:val="00C97425"/>
    <w:rsid w:val="00C97874"/>
    <w:rsid w:val="00CA0280"/>
    <w:rsid w:val="00CA4FE5"/>
    <w:rsid w:val="00CA75C9"/>
    <w:rsid w:val="00CB07AB"/>
    <w:rsid w:val="00CB7F7F"/>
    <w:rsid w:val="00CC154C"/>
    <w:rsid w:val="00CC35A7"/>
    <w:rsid w:val="00CC3D67"/>
    <w:rsid w:val="00CC4930"/>
    <w:rsid w:val="00CD0047"/>
    <w:rsid w:val="00CD0430"/>
    <w:rsid w:val="00CD26E8"/>
    <w:rsid w:val="00CD2C9D"/>
    <w:rsid w:val="00CD5DBD"/>
    <w:rsid w:val="00CD5E59"/>
    <w:rsid w:val="00CD79B6"/>
    <w:rsid w:val="00CE1B06"/>
    <w:rsid w:val="00CE271A"/>
    <w:rsid w:val="00CE297B"/>
    <w:rsid w:val="00CE2A1F"/>
    <w:rsid w:val="00CE2D0B"/>
    <w:rsid w:val="00CE58BF"/>
    <w:rsid w:val="00CE78B5"/>
    <w:rsid w:val="00CF3DFB"/>
    <w:rsid w:val="00CF4EC0"/>
    <w:rsid w:val="00CF5513"/>
    <w:rsid w:val="00CF5FC3"/>
    <w:rsid w:val="00CF7417"/>
    <w:rsid w:val="00D03C9E"/>
    <w:rsid w:val="00D03DB1"/>
    <w:rsid w:val="00D07F31"/>
    <w:rsid w:val="00D117F8"/>
    <w:rsid w:val="00D1316A"/>
    <w:rsid w:val="00D15C99"/>
    <w:rsid w:val="00D16FBF"/>
    <w:rsid w:val="00D1737F"/>
    <w:rsid w:val="00D2042A"/>
    <w:rsid w:val="00D20475"/>
    <w:rsid w:val="00D214E6"/>
    <w:rsid w:val="00D21618"/>
    <w:rsid w:val="00D248DA"/>
    <w:rsid w:val="00D261CB"/>
    <w:rsid w:val="00D27964"/>
    <w:rsid w:val="00D305BF"/>
    <w:rsid w:val="00D30661"/>
    <w:rsid w:val="00D3071E"/>
    <w:rsid w:val="00D36AB9"/>
    <w:rsid w:val="00D37483"/>
    <w:rsid w:val="00D40451"/>
    <w:rsid w:val="00D41D8F"/>
    <w:rsid w:val="00D474B1"/>
    <w:rsid w:val="00D51457"/>
    <w:rsid w:val="00D51EB4"/>
    <w:rsid w:val="00D5681E"/>
    <w:rsid w:val="00D61D5E"/>
    <w:rsid w:val="00D62E26"/>
    <w:rsid w:val="00D66AA9"/>
    <w:rsid w:val="00D66B0A"/>
    <w:rsid w:val="00D71AC0"/>
    <w:rsid w:val="00D72250"/>
    <w:rsid w:val="00D73A2C"/>
    <w:rsid w:val="00D74183"/>
    <w:rsid w:val="00D748F9"/>
    <w:rsid w:val="00D74C81"/>
    <w:rsid w:val="00D75819"/>
    <w:rsid w:val="00D76491"/>
    <w:rsid w:val="00D803BB"/>
    <w:rsid w:val="00D80859"/>
    <w:rsid w:val="00D82AFD"/>
    <w:rsid w:val="00D84C61"/>
    <w:rsid w:val="00D869AA"/>
    <w:rsid w:val="00D87C88"/>
    <w:rsid w:val="00D923A6"/>
    <w:rsid w:val="00D94835"/>
    <w:rsid w:val="00D95370"/>
    <w:rsid w:val="00D95B85"/>
    <w:rsid w:val="00D975CC"/>
    <w:rsid w:val="00DA08C2"/>
    <w:rsid w:val="00DA28ED"/>
    <w:rsid w:val="00DA3F3A"/>
    <w:rsid w:val="00DA715F"/>
    <w:rsid w:val="00DB2068"/>
    <w:rsid w:val="00DB3AE6"/>
    <w:rsid w:val="00DB6391"/>
    <w:rsid w:val="00DB6802"/>
    <w:rsid w:val="00DB6991"/>
    <w:rsid w:val="00DB79EE"/>
    <w:rsid w:val="00DC0570"/>
    <w:rsid w:val="00DC4751"/>
    <w:rsid w:val="00DC4B42"/>
    <w:rsid w:val="00DC4F17"/>
    <w:rsid w:val="00DC519D"/>
    <w:rsid w:val="00DC5F2F"/>
    <w:rsid w:val="00DC6A96"/>
    <w:rsid w:val="00DD2800"/>
    <w:rsid w:val="00DD3A5C"/>
    <w:rsid w:val="00DD3EA9"/>
    <w:rsid w:val="00DD6DC3"/>
    <w:rsid w:val="00DD7BA1"/>
    <w:rsid w:val="00DE3735"/>
    <w:rsid w:val="00DF015E"/>
    <w:rsid w:val="00DF0E8D"/>
    <w:rsid w:val="00DF2214"/>
    <w:rsid w:val="00DF2A07"/>
    <w:rsid w:val="00DF5D20"/>
    <w:rsid w:val="00DF7354"/>
    <w:rsid w:val="00E059D1"/>
    <w:rsid w:val="00E1342A"/>
    <w:rsid w:val="00E14797"/>
    <w:rsid w:val="00E15146"/>
    <w:rsid w:val="00E2048B"/>
    <w:rsid w:val="00E218F1"/>
    <w:rsid w:val="00E21E28"/>
    <w:rsid w:val="00E22B39"/>
    <w:rsid w:val="00E23412"/>
    <w:rsid w:val="00E23B9D"/>
    <w:rsid w:val="00E24365"/>
    <w:rsid w:val="00E2449C"/>
    <w:rsid w:val="00E2466C"/>
    <w:rsid w:val="00E249E6"/>
    <w:rsid w:val="00E308E0"/>
    <w:rsid w:val="00E3372A"/>
    <w:rsid w:val="00E40718"/>
    <w:rsid w:val="00E40A09"/>
    <w:rsid w:val="00E424F3"/>
    <w:rsid w:val="00E43C96"/>
    <w:rsid w:val="00E467D8"/>
    <w:rsid w:val="00E47DFD"/>
    <w:rsid w:val="00E51E6E"/>
    <w:rsid w:val="00E6142B"/>
    <w:rsid w:val="00E71731"/>
    <w:rsid w:val="00E72500"/>
    <w:rsid w:val="00E7343A"/>
    <w:rsid w:val="00E74441"/>
    <w:rsid w:val="00E754AE"/>
    <w:rsid w:val="00E77034"/>
    <w:rsid w:val="00E84558"/>
    <w:rsid w:val="00E91C3D"/>
    <w:rsid w:val="00E92D95"/>
    <w:rsid w:val="00E93EA5"/>
    <w:rsid w:val="00E97677"/>
    <w:rsid w:val="00EA2CA4"/>
    <w:rsid w:val="00EA31B9"/>
    <w:rsid w:val="00EA3A24"/>
    <w:rsid w:val="00EA568E"/>
    <w:rsid w:val="00EA612F"/>
    <w:rsid w:val="00EA72C2"/>
    <w:rsid w:val="00EA74A3"/>
    <w:rsid w:val="00EA7D07"/>
    <w:rsid w:val="00EB0AF0"/>
    <w:rsid w:val="00EB0E21"/>
    <w:rsid w:val="00EB5889"/>
    <w:rsid w:val="00EB763C"/>
    <w:rsid w:val="00EC0ADF"/>
    <w:rsid w:val="00EC306F"/>
    <w:rsid w:val="00EC4D40"/>
    <w:rsid w:val="00EC6734"/>
    <w:rsid w:val="00ED1215"/>
    <w:rsid w:val="00ED3E58"/>
    <w:rsid w:val="00ED3F9B"/>
    <w:rsid w:val="00ED43E9"/>
    <w:rsid w:val="00ED5116"/>
    <w:rsid w:val="00ED59CE"/>
    <w:rsid w:val="00ED60BC"/>
    <w:rsid w:val="00ED6CC1"/>
    <w:rsid w:val="00ED7F72"/>
    <w:rsid w:val="00EE3BC4"/>
    <w:rsid w:val="00EE527E"/>
    <w:rsid w:val="00EE54AB"/>
    <w:rsid w:val="00EE7DAB"/>
    <w:rsid w:val="00EF1DF7"/>
    <w:rsid w:val="00EF4B54"/>
    <w:rsid w:val="00EF5C8D"/>
    <w:rsid w:val="00F04845"/>
    <w:rsid w:val="00F05206"/>
    <w:rsid w:val="00F06C95"/>
    <w:rsid w:val="00F074CA"/>
    <w:rsid w:val="00F0750A"/>
    <w:rsid w:val="00F11645"/>
    <w:rsid w:val="00F14845"/>
    <w:rsid w:val="00F177BA"/>
    <w:rsid w:val="00F17D0B"/>
    <w:rsid w:val="00F20965"/>
    <w:rsid w:val="00F216F2"/>
    <w:rsid w:val="00F21827"/>
    <w:rsid w:val="00F21AE4"/>
    <w:rsid w:val="00F2305C"/>
    <w:rsid w:val="00F33402"/>
    <w:rsid w:val="00F346B4"/>
    <w:rsid w:val="00F35F51"/>
    <w:rsid w:val="00F36004"/>
    <w:rsid w:val="00F3706D"/>
    <w:rsid w:val="00F3792D"/>
    <w:rsid w:val="00F414EA"/>
    <w:rsid w:val="00F41AFC"/>
    <w:rsid w:val="00F43762"/>
    <w:rsid w:val="00F53BC7"/>
    <w:rsid w:val="00F57882"/>
    <w:rsid w:val="00F57F7C"/>
    <w:rsid w:val="00F62B5B"/>
    <w:rsid w:val="00F6410D"/>
    <w:rsid w:val="00F64E5C"/>
    <w:rsid w:val="00F66766"/>
    <w:rsid w:val="00F67045"/>
    <w:rsid w:val="00F6718C"/>
    <w:rsid w:val="00F721CA"/>
    <w:rsid w:val="00F7328F"/>
    <w:rsid w:val="00F73FD1"/>
    <w:rsid w:val="00F76E62"/>
    <w:rsid w:val="00F80BB1"/>
    <w:rsid w:val="00F83080"/>
    <w:rsid w:val="00F856B3"/>
    <w:rsid w:val="00F92D1E"/>
    <w:rsid w:val="00F93344"/>
    <w:rsid w:val="00F93BFF"/>
    <w:rsid w:val="00F945E7"/>
    <w:rsid w:val="00F9540E"/>
    <w:rsid w:val="00F95DFC"/>
    <w:rsid w:val="00FA0095"/>
    <w:rsid w:val="00FA0302"/>
    <w:rsid w:val="00FA0B80"/>
    <w:rsid w:val="00FA1D29"/>
    <w:rsid w:val="00FA3E77"/>
    <w:rsid w:val="00FA6F85"/>
    <w:rsid w:val="00FA78F6"/>
    <w:rsid w:val="00FB09F8"/>
    <w:rsid w:val="00FB2508"/>
    <w:rsid w:val="00FB40BF"/>
    <w:rsid w:val="00FB5516"/>
    <w:rsid w:val="00FC6BCD"/>
    <w:rsid w:val="00FC700B"/>
    <w:rsid w:val="00FC792D"/>
    <w:rsid w:val="00FD397E"/>
    <w:rsid w:val="00FD4427"/>
    <w:rsid w:val="00FD5ED6"/>
    <w:rsid w:val="00FD60E2"/>
    <w:rsid w:val="00FD77E5"/>
    <w:rsid w:val="00FD7B0A"/>
    <w:rsid w:val="00FE15C8"/>
    <w:rsid w:val="00FE1ED3"/>
    <w:rsid w:val="00FE44A0"/>
    <w:rsid w:val="00FE6FF4"/>
    <w:rsid w:val="00FE710D"/>
    <w:rsid w:val="00FF1B4C"/>
    <w:rsid w:val="00FF1E01"/>
    <w:rsid w:val="00FF1FE0"/>
    <w:rsid w:val="00FF626C"/>
    <w:rsid w:val="00FF6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A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048B"/>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7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F72"/>
    <w:rPr>
      <w:sz w:val="20"/>
      <w:szCs w:val="20"/>
    </w:rPr>
  </w:style>
  <w:style w:type="character" w:styleId="FootnoteReference">
    <w:name w:val="footnote reference"/>
    <w:basedOn w:val="DefaultParagraphFont"/>
    <w:uiPriority w:val="99"/>
    <w:semiHidden/>
    <w:unhideWhenUsed/>
    <w:rsid w:val="00ED7F72"/>
    <w:rPr>
      <w:vertAlign w:val="superscript"/>
    </w:rPr>
  </w:style>
  <w:style w:type="paragraph" w:styleId="ListParagraph">
    <w:name w:val="List Paragraph"/>
    <w:basedOn w:val="Normal"/>
    <w:uiPriority w:val="34"/>
    <w:qFormat/>
    <w:rsid w:val="00974E97"/>
    <w:pPr>
      <w:ind w:left="720"/>
      <w:contextualSpacing/>
    </w:pPr>
  </w:style>
  <w:style w:type="paragraph" w:styleId="NormalWeb">
    <w:name w:val="Normal (Web)"/>
    <w:basedOn w:val="Normal"/>
    <w:uiPriority w:val="99"/>
    <w:unhideWhenUsed/>
    <w:rsid w:val="0027155C"/>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BalloonText">
    <w:name w:val="Balloon Text"/>
    <w:basedOn w:val="Normal"/>
    <w:link w:val="BalloonTextChar"/>
    <w:uiPriority w:val="99"/>
    <w:semiHidden/>
    <w:unhideWhenUsed/>
    <w:rsid w:val="0083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EC3"/>
    <w:rPr>
      <w:rFonts w:ascii="Tahoma" w:hAnsi="Tahoma" w:cs="Tahoma"/>
      <w:sz w:val="16"/>
      <w:szCs w:val="16"/>
    </w:rPr>
  </w:style>
  <w:style w:type="character" w:styleId="Hyperlink">
    <w:name w:val="Hyperlink"/>
    <w:basedOn w:val="DefaultParagraphFont"/>
    <w:uiPriority w:val="99"/>
    <w:unhideWhenUsed/>
    <w:rsid w:val="001705D6"/>
    <w:rPr>
      <w:color w:val="0000FF" w:themeColor="hyperlink"/>
      <w:u w:val="single"/>
    </w:rPr>
  </w:style>
  <w:style w:type="table" w:styleId="TableGrid">
    <w:name w:val="Table Grid"/>
    <w:basedOn w:val="TableNormal"/>
    <w:uiPriority w:val="39"/>
    <w:rsid w:val="0031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47B2"/>
  </w:style>
  <w:style w:type="paragraph" w:styleId="Caption">
    <w:name w:val="caption"/>
    <w:basedOn w:val="Normal"/>
    <w:next w:val="Normal"/>
    <w:uiPriority w:val="35"/>
    <w:unhideWhenUsed/>
    <w:qFormat/>
    <w:rsid w:val="00115065"/>
    <w:pPr>
      <w:spacing w:line="240" w:lineRule="auto"/>
    </w:pPr>
    <w:rPr>
      <w:b/>
      <w:bCs/>
      <w:color w:val="4F81BD" w:themeColor="accent1"/>
      <w:sz w:val="18"/>
      <w:szCs w:val="18"/>
    </w:rPr>
  </w:style>
  <w:style w:type="paragraph" w:styleId="NoSpacing">
    <w:name w:val="No Spacing"/>
    <w:uiPriority w:val="1"/>
    <w:qFormat/>
    <w:rsid w:val="00115065"/>
    <w:pPr>
      <w:spacing w:after="0" w:line="240" w:lineRule="auto"/>
    </w:pPr>
  </w:style>
  <w:style w:type="paragraph" w:styleId="Header">
    <w:name w:val="header"/>
    <w:basedOn w:val="Normal"/>
    <w:link w:val="HeaderChar"/>
    <w:uiPriority w:val="99"/>
    <w:unhideWhenUsed/>
    <w:rsid w:val="00257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F41"/>
  </w:style>
  <w:style w:type="paragraph" w:styleId="Footer">
    <w:name w:val="footer"/>
    <w:basedOn w:val="Normal"/>
    <w:link w:val="FooterChar"/>
    <w:uiPriority w:val="99"/>
    <w:unhideWhenUsed/>
    <w:rsid w:val="00257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F41"/>
  </w:style>
  <w:style w:type="paragraph" w:customStyle="1" w:styleId="Default">
    <w:name w:val="Default"/>
    <w:rsid w:val="008200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D7DDE"/>
    <w:rPr>
      <w:sz w:val="16"/>
      <w:szCs w:val="16"/>
    </w:rPr>
  </w:style>
  <w:style w:type="paragraph" w:styleId="CommentText">
    <w:name w:val="annotation text"/>
    <w:basedOn w:val="Normal"/>
    <w:link w:val="CommentTextChar"/>
    <w:uiPriority w:val="99"/>
    <w:semiHidden/>
    <w:unhideWhenUsed/>
    <w:rsid w:val="00BD7DDE"/>
    <w:pPr>
      <w:spacing w:line="240" w:lineRule="auto"/>
    </w:pPr>
    <w:rPr>
      <w:sz w:val="20"/>
      <w:szCs w:val="20"/>
    </w:rPr>
  </w:style>
  <w:style w:type="character" w:customStyle="1" w:styleId="CommentTextChar">
    <w:name w:val="Comment Text Char"/>
    <w:basedOn w:val="DefaultParagraphFont"/>
    <w:link w:val="CommentText"/>
    <w:uiPriority w:val="99"/>
    <w:semiHidden/>
    <w:rsid w:val="00BD7DDE"/>
    <w:rPr>
      <w:sz w:val="20"/>
      <w:szCs w:val="20"/>
    </w:rPr>
  </w:style>
  <w:style w:type="paragraph" w:styleId="CommentSubject">
    <w:name w:val="annotation subject"/>
    <w:basedOn w:val="CommentText"/>
    <w:next w:val="CommentText"/>
    <w:link w:val="CommentSubjectChar"/>
    <w:uiPriority w:val="99"/>
    <w:semiHidden/>
    <w:unhideWhenUsed/>
    <w:rsid w:val="00BD7DDE"/>
    <w:rPr>
      <w:b/>
      <w:bCs/>
    </w:rPr>
  </w:style>
  <w:style w:type="character" w:customStyle="1" w:styleId="CommentSubjectChar">
    <w:name w:val="Comment Subject Char"/>
    <w:basedOn w:val="CommentTextChar"/>
    <w:link w:val="CommentSubject"/>
    <w:uiPriority w:val="99"/>
    <w:semiHidden/>
    <w:rsid w:val="00BD7DDE"/>
    <w:rPr>
      <w:b/>
      <w:bCs/>
      <w:sz w:val="20"/>
      <w:szCs w:val="20"/>
    </w:rPr>
  </w:style>
  <w:style w:type="paragraph" w:customStyle="1" w:styleId="Articletitle">
    <w:name w:val="Article title"/>
    <w:basedOn w:val="Normal"/>
    <w:next w:val="Normal"/>
    <w:qFormat/>
    <w:rsid w:val="00E23412"/>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E23412"/>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E23412"/>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E23412"/>
    <w:pPr>
      <w:spacing w:before="240" w:after="0" w:line="36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E2048B"/>
    <w:rPr>
      <w:rFonts w:ascii="Times New Roman" w:eastAsia="Times New Roman" w:hAnsi="Times New Roman" w:cs="Arial"/>
      <w:b/>
      <w:bCs/>
      <w:kern w:val="32"/>
      <w:sz w:val="24"/>
      <w:szCs w:val="32"/>
      <w:lang w:val="en-GB" w:eastAsia="en-GB"/>
    </w:rPr>
  </w:style>
  <w:style w:type="paragraph" w:customStyle="1" w:styleId="Abstract">
    <w:name w:val="Abstract"/>
    <w:basedOn w:val="Normal"/>
    <w:next w:val="Keywords"/>
    <w:qFormat/>
    <w:rsid w:val="00E2048B"/>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E2048B"/>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Subjectcodes">
    <w:name w:val="Subject codes"/>
    <w:basedOn w:val="Keywords"/>
    <w:next w:val="Normal"/>
    <w:qFormat/>
    <w:rsid w:val="00E2048B"/>
  </w:style>
  <w:style w:type="paragraph" w:styleId="Revision">
    <w:name w:val="Revision"/>
    <w:hidden/>
    <w:uiPriority w:val="99"/>
    <w:semiHidden/>
    <w:rsid w:val="00AB7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7332">
      <w:bodyDiv w:val="1"/>
      <w:marLeft w:val="0"/>
      <w:marRight w:val="0"/>
      <w:marTop w:val="0"/>
      <w:marBottom w:val="0"/>
      <w:divBdr>
        <w:top w:val="none" w:sz="0" w:space="0" w:color="auto"/>
        <w:left w:val="none" w:sz="0" w:space="0" w:color="auto"/>
        <w:bottom w:val="none" w:sz="0" w:space="0" w:color="auto"/>
        <w:right w:val="none" w:sz="0" w:space="0" w:color="auto"/>
      </w:divBdr>
      <w:divsChild>
        <w:div w:id="1783763805">
          <w:marLeft w:val="0"/>
          <w:marRight w:val="0"/>
          <w:marTop w:val="0"/>
          <w:marBottom w:val="0"/>
          <w:divBdr>
            <w:top w:val="none" w:sz="0" w:space="0" w:color="auto"/>
            <w:left w:val="none" w:sz="0" w:space="0" w:color="auto"/>
            <w:bottom w:val="none" w:sz="0" w:space="0" w:color="auto"/>
            <w:right w:val="none" w:sz="0" w:space="0" w:color="auto"/>
          </w:divBdr>
          <w:divsChild>
            <w:div w:id="332924467">
              <w:marLeft w:val="0"/>
              <w:marRight w:val="0"/>
              <w:marTop w:val="0"/>
              <w:marBottom w:val="0"/>
              <w:divBdr>
                <w:top w:val="none" w:sz="0" w:space="0" w:color="auto"/>
                <w:left w:val="none" w:sz="0" w:space="0" w:color="auto"/>
                <w:bottom w:val="none" w:sz="0" w:space="0" w:color="auto"/>
                <w:right w:val="none" w:sz="0" w:space="0" w:color="auto"/>
              </w:divBdr>
              <w:divsChild>
                <w:div w:id="570849481">
                  <w:marLeft w:val="0"/>
                  <w:marRight w:val="0"/>
                  <w:marTop w:val="0"/>
                  <w:marBottom w:val="0"/>
                  <w:divBdr>
                    <w:top w:val="none" w:sz="0" w:space="0" w:color="auto"/>
                    <w:left w:val="none" w:sz="0" w:space="0" w:color="auto"/>
                    <w:bottom w:val="none" w:sz="0" w:space="0" w:color="auto"/>
                    <w:right w:val="none" w:sz="0" w:space="0" w:color="auto"/>
                  </w:divBdr>
                  <w:divsChild>
                    <w:div w:id="279918889">
                      <w:marLeft w:val="0"/>
                      <w:marRight w:val="0"/>
                      <w:marTop w:val="0"/>
                      <w:marBottom w:val="0"/>
                      <w:divBdr>
                        <w:top w:val="none" w:sz="0" w:space="0" w:color="auto"/>
                        <w:left w:val="none" w:sz="0" w:space="0" w:color="auto"/>
                        <w:bottom w:val="none" w:sz="0" w:space="0" w:color="auto"/>
                        <w:right w:val="none" w:sz="0" w:space="0" w:color="auto"/>
                      </w:divBdr>
                    </w:div>
                    <w:div w:id="1030765565">
                      <w:marLeft w:val="0"/>
                      <w:marRight w:val="0"/>
                      <w:marTop w:val="0"/>
                      <w:marBottom w:val="0"/>
                      <w:divBdr>
                        <w:top w:val="none" w:sz="0" w:space="0" w:color="auto"/>
                        <w:left w:val="none" w:sz="0" w:space="0" w:color="auto"/>
                        <w:bottom w:val="none" w:sz="0" w:space="0" w:color="auto"/>
                        <w:right w:val="none" w:sz="0" w:space="0" w:color="auto"/>
                      </w:divBdr>
                      <w:divsChild>
                        <w:div w:id="408161451">
                          <w:marLeft w:val="0"/>
                          <w:marRight w:val="0"/>
                          <w:marTop w:val="0"/>
                          <w:marBottom w:val="0"/>
                          <w:divBdr>
                            <w:top w:val="none" w:sz="0" w:space="0" w:color="auto"/>
                            <w:left w:val="none" w:sz="0" w:space="0" w:color="auto"/>
                            <w:bottom w:val="none" w:sz="0" w:space="0" w:color="auto"/>
                            <w:right w:val="none" w:sz="0" w:space="0" w:color="auto"/>
                          </w:divBdr>
                          <w:divsChild>
                            <w:div w:id="1617567495">
                              <w:marLeft w:val="0"/>
                              <w:marRight w:val="0"/>
                              <w:marTop w:val="0"/>
                              <w:marBottom w:val="0"/>
                              <w:divBdr>
                                <w:top w:val="none" w:sz="0" w:space="0" w:color="auto"/>
                                <w:left w:val="none" w:sz="0" w:space="0" w:color="auto"/>
                                <w:bottom w:val="none" w:sz="0" w:space="0" w:color="auto"/>
                                <w:right w:val="none" w:sz="0" w:space="0" w:color="auto"/>
                              </w:divBdr>
                              <w:divsChild>
                                <w:div w:id="590889810">
                                  <w:marLeft w:val="0"/>
                                  <w:marRight w:val="0"/>
                                  <w:marTop w:val="0"/>
                                  <w:marBottom w:val="0"/>
                                  <w:divBdr>
                                    <w:top w:val="none" w:sz="0" w:space="0" w:color="auto"/>
                                    <w:left w:val="none" w:sz="0" w:space="0" w:color="auto"/>
                                    <w:bottom w:val="none" w:sz="0" w:space="0" w:color="auto"/>
                                    <w:right w:val="none" w:sz="0" w:space="0" w:color="auto"/>
                                  </w:divBdr>
                                  <w:divsChild>
                                    <w:div w:id="1469013869">
                                      <w:marLeft w:val="0"/>
                                      <w:marRight w:val="0"/>
                                      <w:marTop w:val="0"/>
                                      <w:marBottom w:val="0"/>
                                      <w:divBdr>
                                        <w:top w:val="none" w:sz="0" w:space="0" w:color="auto"/>
                                        <w:left w:val="none" w:sz="0" w:space="0" w:color="auto"/>
                                        <w:bottom w:val="none" w:sz="0" w:space="0" w:color="auto"/>
                                        <w:right w:val="none" w:sz="0" w:space="0" w:color="auto"/>
                                      </w:divBdr>
                                      <w:divsChild>
                                        <w:div w:id="300237991">
                                          <w:marLeft w:val="0"/>
                                          <w:marRight w:val="0"/>
                                          <w:marTop w:val="0"/>
                                          <w:marBottom w:val="0"/>
                                          <w:divBdr>
                                            <w:top w:val="none" w:sz="0" w:space="0" w:color="auto"/>
                                            <w:left w:val="none" w:sz="0" w:space="0" w:color="auto"/>
                                            <w:bottom w:val="none" w:sz="0" w:space="0" w:color="auto"/>
                                            <w:right w:val="none" w:sz="0" w:space="0" w:color="auto"/>
                                          </w:divBdr>
                                          <w:divsChild>
                                            <w:div w:id="896664335">
                                              <w:marLeft w:val="0"/>
                                              <w:marRight w:val="0"/>
                                              <w:marTop w:val="0"/>
                                              <w:marBottom w:val="0"/>
                                              <w:divBdr>
                                                <w:top w:val="none" w:sz="0" w:space="0" w:color="auto"/>
                                                <w:left w:val="none" w:sz="0" w:space="0" w:color="auto"/>
                                                <w:bottom w:val="none" w:sz="0" w:space="0" w:color="auto"/>
                                                <w:right w:val="none" w:sz="0" w:space="0" w:color="auto"/>
                                              </w:divBdr>
                                              <w:divsChild>
                                                <w:div w:id="756560439">
                                                  <w:marLeft w:val="0"/>
                                                  <w:marRight w:val="0"/>
                                                  <w:marTop w:val="0"/>
                                                  <w:marBottom w:val="0"/>
                                                  <w:divBdr>
                                                    <w:top w:val="none" w:sz="0" w:space="0" w:color="auto"/>
                                                    <w:left w:val="none" w:sz="0" w:space="0" w:color="auto"/>
                                                    <w:bottom w:val="none" w:sz="0" w:space="0" w:color="auto"/>
                                                    <w:right w:val="none" w:sz="0" w:space="0" w:color="auto"/>
                                                  </w:divBdr>
                                                  <w:divsChild>
                                                    <w:div w:id="1648821955">
                                                      <w:marLeft w:val="0"/>
                                                      <w:marRight w:val="0"/>
                                                      <w:marTop w:val="0"/>
                                                      <w:marBottom w:val="0"/>
                                                      <w:divBdr>
                                                        <w:top w:val="none" w:sz="0" w:space="0" w:color="auto"/>
                                                        <w:left w:val="none" w:sz="0" w:space="0" w:color="auto"/>
                                                        <w:bottom w:val="none" w:sz="0" w:space="0" w:color="auto"/>
                                                        <w:right w:val="none" w:sz="0" w:space="0" w:color="auto"/>
                                                      </w:divBdr>
                                                      <w:divsChild>
                                                        <w:div w:id="356780121">
                                                          <w:marLeft w:val="0"/>
                                                          <w:marRight w:val="0"/>
                                                          <w:marTop w:val="0"/>
                                                          <w:marBottom w:val="0"/>
                                                          <w:divBdr>
                                                            <w:top w:val="none" w:sz="0" w:space="0" w:color="auto"/>
                                                            <w:left w:val="none" w:sz="0" w:space="0" w:color="auto"/>
                                                            <w:bottom w:val="none" w:sz="0" w:space="0" w:color="auto"/>
                                                            <w:right w:val="none" w:sz="0" w:space="0" w:color="auto"/>
                                                          </w:divBdr>
                                                          <w:divsChild>
                                                            <w:div w:id="210659319">
                                                              <w:marLeft w:val="0"/>
                                                              <w:marRight w:val="0"/>
                                                              <w:marTop w:val="0"/>
                                                              <w:marBottom w:val="0"/>
                                                              <w:divBdr>
                                                                <w:top w:val="none" w:sz="0" w:space="0" w:color="auto"/>
                                                                <w:left w:val="none" w:sz="0" w:space="0" w:color="auto"/>
                                                                <w:bottom w:val="none" w:sz="0" w:space="0" w:color="auto"/>
                                                                <w:right w:val="none" w:sz="0" w:space="0" w:color="auto"/>
                                                              </w:divBdr>
                                                              <w:divsChild>
                                                                <w:div w:id="465901346">
                                                                  <w:marLeft w:val="0"/>
                                                                  <w:marRight w:val="0"/>
                                                                  <w:marTop w:val="0"/>
                                                                  <w:marBottom w:val="0"/>
                                                                  <w:divBdr>
                                                                    <w:top w:val="none" w:sz="0" w:space="0" w:color="auto"/>
                                                                    <w:left w:val="none" w:sz="0" w:space="0" w:color="auto"/>
                                                                    <w:bottom w:val="none" w:sz="0" w:space="0" w:color="auto"/>
                                                                    <w:right w:val="none" w:sz="0" w:space="0" w:color="auto"/>
                                                                  </w:divBdr>
                                                                  <w:divsChild>
                                                                    <w:div w:id="2032417033">
                                                                      <w:marLeft w:val="0"/>
                                                                      <w:marRight w:val="0"/>
                                                                      <w:marTop w:val="0"/>
                                                                      <w:marBottom w:val="0"/>
                                                                      <w:divBdr>
                                                                        <w:top w:val="none" w:sz="0" w:space="0" w:color="auto"/>
                                                                        <w:left w:val="none" w:sz="0" w:space="0" w:color="auto"/>
                                                                        <w:bottom w:val="none" w:sz="0" w:space="0" w:color="auto"/>
                                                                        <w:right w:val="none" w:sz="0" w:space="0" w:color="auto"/>
                                                                      </w:divBdr>
                                                                      <w:divsChild>
                                                                        <w:div w:id="1195122037">
                                                                          <w:marLeft w:val="0"/>
                                                                          <w:marRight w:val="0"/>
                                                                          <w:marTop w:val="0"/>
                                                                          <w:marBottom w:val="0"/>
                                                                          <w:divBdr>
                                                                            <w:top w:val="none" w:sz="0" w:space="0" w:color="auto"/>
                                                                            <w:left w:val="none" w:sz="0" w:space="0" w:color="auto"/>
                                                                            <w:bottom w:val="none" w:sz="0" w:space="0" w:color="auto"/>
                                                                            <w:right w:val="none" w:sz="0" w:space="0" w:color="auto"/>
                                                                          </w:divBdr>
                                                                          <w:divsChild>
                                                                            <w:div w:id="1862083806">
                                                                              <w:marLeft w:val="0"/>
                                                                              <w:marRight w:val="0"/>
                                                                              <w:marTop w:val="0"/>
                                                                              <w:marBottom w:val="0"/>
                                                                              <w:divBdr>
                                                                                <w:top w:val="none" w:sz="0" w:space="0" w:color="auto"/>
                                                                                <w:left w:val="none" w:sz="0" w:space="0" w:color="auto"/>
                                                                                <w:bottom w:val="none" w:sz="0" w:space="0" w:color="auto"/>
                                                                                <w:right w:val="none" w:sz="0" w:space="0" w:color="auto"/>
                                                                              </w:divBdr>
                                                                              <w:divsChild>
                                                                                <w:div w:id="868032249">
                                                                                  <w:marLeft w:val="0"/>
                                                                                  <w:marRight w:val="0"/>
                                                                                  <w:marTop w:val="0"/>
                                                                                  <w:marBottom w:val="0"/>
                                                                                  <w:divBdr>
                                                                                    <w:top w:val="none" w:sz="0" w:space="0" w:color="auto"/>
                                                                                    <w:left w:val="none" w:sz="0" w:space="0" w:color="auto"/>
                                                                                    <w:bottom w:val="none" w:sz="0" w:space="0" w:color="auto"/>
                                                                                    <w:right w:val="none" w:sz="0" w:space="0" w:color="auto"/>
                                                                                  </w:divBdr>
                                                                                  <w:divsChild>
                                                                                    <w:div w:id="375587369">
                                                                                      <w:marLeft w:val="0"/>
                                                                                      <w:marRight w:val="0"/>
                                                                                      <w:marTop w:val="0"/>
                                                                                      <w:marBottom w:val="0"/>
                                                                                      <w:divBdr>
                                                                                        <w:top w:val="none" w:sz="0" w:space="0" w:color="auto"/>
                                                                                        <w:left w:val="none" w:sz="0" w:space="0" w:color="auto"/>
                                                                                        <w:bottom w:val="none" w:sz="0" w:space="0" w:color="auto"/>
                                                                                        <w:right w:val="none" w:sz="0" w:space="0" w:color="auto"/>
                                                                                      </w:divBdr>
                                                                                      <w:divsChild>
                                                                                        <w:div w:id="242640199">
                                                                                          <w:marLeft w:val="0"/>
                                                                                          <w:marRight w:val="0"/>
                                                                                          <w:marTop w:val="0"/>
                                                                                          <w:marBottom w:val="0"/>
                                                                                          <w:divBdr>
                                                                                            <w:top w:val="none" w:sz="0" w:space="0" w:color="auto"/>
                                                                                            <w:left w:val="none" w:sz="0" w:space="0" w:color="auto"/>
                                                                                            <w:bottom w:val="none" w:sz="0" w:space="0" w:color="auto"/>
                                                                                            <w:right w:val="none" w:sz="0" w:space="0" w:color="auto"/>
                                                                                          </w:divBdr>
                                                                                          <w:divsChild>
                                                                                            <w:div w:id="252015317">
                                                                                              <w:marLeft w:val="0"/>
                                                                                              <w:marRight w:val="0"/>
                                                                                              <w:marTop w:val="0"/>
                                                                                              <w:marBottom w:val="0"/>
                                                                                              <w:divBdr>
                                                                                                <w:top w:val="none" w:sz="0" w:space="0" w:color="auto"/>
                                                                                                <w:left w:val="none" w:sz="0" w:space="0" w:color="auto"/>
                                                                                                <w:bottom w:val="none" w:sz="0" w:space="0" w:color="auto"/>
                                                                                                <w:right w:val="none" w:sz="0" w:space="0" w:color="auto"/>
                                                                                              </w:divBdr>
                                                                                              <w:divsChild>
                                                                                                <w:div w:id="1799911560">
                                                                                                  <w:marLeft w:val="0"/>
                                                                                                  <w:marRight w:val="0"/>
                                                                                                  <w:marTop w:val="0"/>
                                                                                                  <w:marBottom w:val="0"/>
                                                                                                  <w:divBdr>
                                                                                                    <w:top w:val="none" w:sz="0" w:space="0" w:color="auto"/>
                                                                                                    <w:left w:val="none" w:sz="0" w:space="0" w:color="auto"/>
                                                                                                    <w:bottom w:val="none" w:sz="0" w:space="0" w:color="auto"/>
                                                                                                    <w:right w:val="none" w:sz="0" w:space="0" w:color="auto"/>
                                                                                                  </w:divBdr>
                                                                                                  <w:divsChild>
                                                                                                    <w:div w:id="211699435">
                                                                                                      <w:marLeft w:val="0"/>
                                                                                                      <w:marRight w:val="0"/>
                                                                                                      <w:marTop w:val="0"/>
                                                                                                      <w:marBottom w:val="0"/>
                                                                                                      <w:divBdr>
                                                                                                        <w:top w:val="none" w:sz="0" w:space="0" w:color="auto"/>
                                                                                                        <w:left w:val="none" w:sz="0" w:space="0" w:color="auto"/>
                                                                                                        <w:bottom w:val="none" w:sz="0" w:space="0" w:color="auto"/>
                                                                                                        <w:right w:val="none" w:sz="0" w:space="0" w:color="auto"/>
                                                                                                      </w:divBdr>
                                                                                                      <w:divsChild>
                                                                                                        <w:div w:id="1840805327">
                                                                                                          <w:marLeft w:val="0"/>
                                                                                                          <w:marRight w:val="0"/>
                                                                                                          <w:marTop w:val="0"/>
                                                                                                          <w:marBottom w:val="0"/>
                                                                                                          <w:divBdr>
                                                                                                            <w:top w:val="none" w:sz="0" w:space="0" w:color="auto"/>
                                                                                                            <w:left w:val="none" w:sz="0" w:space="0" w:color="auto"/>
                                                                                                            <w:bottom w:val="none" w:sz="0" w:space="0" w:color="auto"/>
                                                                                                            <w:right w:val="none" w:sz="0" w:space="0" w:color="auto"/>
                                                                                                          </w:divBdr>
                                                                                                          <w:divsChild>
                                                                                                            <w:div w:id="935135225">
                                                                                                              <w:marLeft w:val="0"/>
                                                                                                              <w:marRight w:val="0"/>
                                                                                                              <w:marTop w:val="0"/>
                                                                                                              <w:marBottom w:val="0"/>
                                                                                                              <w:divBdr>
                                                                                                                <w:top w:val="none" w:sz="0" w:space="0" w:color="auto"/>
                                                                                                                <w:left w:val="none" w:sz="0" w:space="0" w:color="auto"/>
                                                                                                                <w:bottom w:val="none" w:sz="0" w:space="0" w:color="auto"/>
                                                                                                                <w:right w:val="none" w:sz="0" w:space="0" w:color="auto"/>
                                                                                                              </w:divBdr>
                                                                                                              <w:divsChild>
                                                                                                                <w:div w:id="1978342267">
                                                                                                                  <w:marLeft w:val="0"/>
                                                                                                                  <w:marRight w:val="0"/>
                                                                                                                  <w:marTop w:val="0"/>
                                                                                                                  <w:marBottom w:val="0"/>
                                                                                                                  <w:divBdr>
                                                                                                                    <w:top w:val="none" w:sz="0" w:space="0" w:color="auto"/>
                                                                                                                    <w:left w:val="none" w:sz="0" w:space="0" w:color="auto"/>
                                                                                                                    <w:bottom w:val="none" w:sz="0" w:space="0" w:color="auto"/>
                                                                                                                    <w:right w:val="none" w:sz="0" w:space="0" w:color="auto"/>
                                                                                                                  </w:divBdr>
                                                                                                                  <w:divsChild>
                                                                                                                    <w:div w:id="864252160">
                                                                                                                      <w:marLeft w:val="0"/>
                                                                                                                      <w:marRight w:val="0"/>
                                                                                                                      <w:marTop w:val="0"/>
                                                                                                                      <w:marBottom w:val="0"/>
                                                                                                                      <w:divBdr>
                                                                                                                        <w:top w:val="none" w:sz="0" w:space="0" w:color="auto"/>
                                                                                                                        <w:left w:val="none" w:sz="0" w:space="0" w:color="auto"/>
                                                                                                                        <w:bottom w:val="none" w:sz="0" w:space="0" w:color="auto"/>
                                                                                                                        <w:right w:val="none" w:sz="0" w:space="0" w:color="auto"/>
                                                                                                                      </w:divBdr>
                                                                                                                      <w:divsChild>
                                                                                                                        <w:div w:id="1018191076">
                                                                                                                          <w:marLeft w:val="0"/>
                                                                                                                          <w:marRight w:val="0"/>
                                                                                                                          <w:marTop w:val="0"/>
                                                                                                                          <w:marBottom w:val="0"/>
                                                                                                                          <w:divBdr>
                                                                                                                            <w:top w:val="none" w:sz="0" w:space="0" w:color="auto"/>
                                                                                                                            <w:left w:val="none" w:sz="0" w:space="0" w:color="auto"/>
                                                                                                                            <w:bottom w:val="none" w:sz="0" w:space="0" w:color="auto"/>
                                                                                                                            <w:right w:val="none" w:sz="0" w:space="0" w:color="auto"/>
                                                                                                                          </w:divBdr>
                                                                                                                          <w:divsChild>
                                                                                                                            <w:div w:id="459306670">
                                                                                                                              <w:marLeft w:val="0"/>
                                                                                                                              <w:marRight w:val="0"/>
                                                                                                                              <w:marTop w:val="0"/>
                                                                                                                              <w:marBottom w:val="0"/>
                                                                                                                              <w:divBdr>
                                                                                                                                <w:top w:val="none" w:sz="0" w:space="0" w:color="auto"/>
                                                                                                                                <w:left w:val="none" w:sz="0" w:space="0" w:color="auto"/>
                                                                                                                                <w:bottom w:val="none" w:sz="0" w:space="0" w:color="auto"/>
                                                                                                                                <w:right w:val="none" w:sz="0" w:space="0" w:color="auto"/>
                                                                                                                              </w:divBdr>
                                                                                                                              <w:divsChild>
                                                                                                                                <w:div w:id="70396875">
                                                                                                                                  <w:marLeft w:val="0"/>
                                                                                                                                  <w:marRight w:val="0"/>
                                                                                                                                  <w:marTop w:val="0"/>
                                                                                                                                  <w:marBottom w:val="0"/>
                                                                                                                                  <w:divBdr>
                                                                                                                                    <w:top w:val="none" w:sz="0" w:space="0" w:color="auto"/>
                                                                                                                                    <w:left w:val="none" w:sz="0" w:space="0" w:color="auto"/>
                                                                                                                                    <w:bottom w:val="none" w:sz="0" w:space="0" w:color="auto"/>
                                                                                                                                    <w:right w:val="none" w:sz="0" w:space="0" w:color="auto"/>
                                                                                                                                  </w:divBdr>
                                                                                                                                  <w:divsChild>
                                                                                                                                    <w:div w:id="518735609">
                                                                                                                                      <w:marLeft w:val="0"/>
                                                                                                                                      <w:marRight w:val="0"/>
                                                                                                                                      <w:marTop w:val="0"/>
                                                                                                                                      <w:marBottom w:val="0"/>
                                                                                                                                      <w:divBdr>
                                                                                                                                        <w:top w:val="none" w:sz="0" w:space="0" w:color="auto"/>
                                                                                                                                        <w:left w:val="none" w:sz="0" w:space="0" w:color="auto"/>
                                                                                                                                        <w:bottom w:val="none" w:sz="0" w:space="0" w:color="auto"/>
                                                                                                                                        <w:right w:val="none" w:sz="0" w:space="0" w:color="auto"/>
                                                                                                                                      </w:divBdr>
                                                                                                                                      <w:divsChild>
                                                                                                                                        <w:div w:id="681322640">
                                                                                                                                          <w:marLeft w:val="0"/>
                                                                                                                                          <w:marRight w:val="0"/>
                                                                                                                                          <w:marTop w:val="0"/>
                                                                                                                                          <w:marBottom w:val="0"/>
                                                                                                                                          <w:divBdr>
                                                                                                                                            <w:top w:val="none" w:sz="0" w:space="0" w:color="auto"/>
                                                                                                                                            <w:left w:val="none" w:sz="0" w:space="0" w:color="auto"/>
                                                                                                                                            <w:bottom w:val="none" w:sz="0" w:space="0" w:color="auto"/>
                                                                                                                                            <w:right w:val="none" w:sz="0" w:space="0" w:color="auto"/>
                                                                                                                                          </w:divBdr>
                                                                                                                                          <w:divsChild>
                                                                                                                                            <w:div w:id="926353897">
                                                                                                                                              <w:marLeft w:val="0"/>
                                                                                                                                              <w:marRight w:val="0"/>
                                                                                                                                              <w:marTop w:val="0"/>
                                                                                                                                              <w:marBottom w:val="0"/>
                                                                                                                                              <w:divBdr>
                                                                                                                                                <w:top w:val="none" w:sz="0" w:space="0" w:color="auto"/>
                                                                                                                                                <w:left w:val="none" w:sz="0" w:space="0" w:color="auto"/>
                                                                                                                                                <w:bottom w:val="none" w:sz="0" w:space="0" w:color="auto"/>
                                                                                                                                                <w:right w:val="none" w:sz="0" w:space="0" w:color="auto"/>
                                                                                                                                              </w:divBdr>
                                                                                                                                              <w:divsChild>
                                                                                                                                                <w:div w:id="223830487">
                                                                                                                                                  <w:marLeft w:val="0"/>
                                                                                                                                                  <w:marRight w:val="0"/>
                                                                                                                                                  <w:marTop w:val="0"/>
                                                                                                                                                  <w:marBottom w:val="0"/>
                                                                                                                                                  <w:divBdr>
                                                                                                                                                    <w:top w:val="none" w:sz="0" w:space="0" w:color="auto"/>
                                                                                                                                                    <w:left w:val="none" w:sz="0" w:space="0" w:color="auto"/>
                                                                                                                                                    <w:bottom w:val="none" w:sz="0" w:space="0" w:color="auto"/>
                                                                                                                                                    <w:right w:val="none" w:sz="0" w:space="0" w:color="auto"/>
                                                                                                                                                  </w:divBdr>
                                                                                                                                                  <w:divsChild>
                                                                                                                                                    <w:div w:id="1599366001">
                                                                                                                                                      <w:marLeft w:val="0"/>
                                                                                                                                                      <w:marRight w:val="0"/>
                                                                                                                                                      <w:marTop w:val="0"/>
                                                                                                                                                      <w:marBottom w:val="0"/>
                                                                                                                                                      <w:divBdr>
                                                                                                                                                        <w:top w:val="none" w:sz="0" w:space="0" w:color="auto"/>
                                                                                                                                                        <w:left w:val="none" w:sz="0" w:space="0" w:color="auto"/>
                                                                                                                                                        <w:bottom w:val="none" w:sz="0" w:space="0" w:color="auto"/>
                                                                                                                                                        <w:right w:val="none" w:sz="0" w:space="0" w:color="auto"/>
                                                                                                                                                      </w:divBdr>
                                                                                                                                                      <w:divsChild>
                                                                                                                                                        <w:div w:id="1974290852">
                                                                                                                                                          <w:marLeft w:val="0"/>
                                                                                                                                                          <w:marRight w:val="0"/>
                                                                                                                                                          <w:marTop w:val="0"/>
                                                                                                                                                          <w:marBottom w:val="0"/>
                                                                                                                                                          <w:divBdr>
                                                                                                                                                            <w:top w:val="none" w:sz="0" w:space="0" w:color="auto"/>
                                                                                                                                                            <w:left w:val="none" w:sz="0" w:space="0" w:color="auto"/>
                                                                                                                                                            <w:bottom w:val="none" w:sz="0" w:space="0" w:color="auto"/>
                                                                                                                                                            <w:right w:val="none" w:sz="0" w:space="0" w:color="auto"/>
                                                                                                                                                          </w:divBdr>
                                                                                                                                                          <w:divsChild>
                                                                                                                                                            <w:div w:id="196167036">
                                                                                                                                                              <w:marLeft w:val="0"/>
                                                                                                                                                              <w:marRight w:val="0"/>
                                                                                                                                                              <w:marTop w:val="0"/>
                                                                                                                                                              <w:marBottom w:val="0"/>
                                                                                                                                                              <w:divBdr>
                                                                                                                                                                <w:top w:val="none" w:sz="0" w:space="0" w:color="auto"/>
                                                                                                                                                                <w:left w:val="none" w:sz="0" w:space="0" w:color="auto"/>
                                                                                                                                                                <w:bottom w:val="none" w:sz="0" w:space="0" w:color="auto"/>
                                                                                                                                                                <w:right w:val="none" w:sz="0" w:space="0" w:color="auto"/>
                                                                                                                                                              </w:divBdr>
                                                                                                                                                              <w:divsChild>
                                                                                                                                                                <w:div w:id="6928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8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3951">
      <w:bodyDiv w:val="1"/>
      <w:marLeft w:val="0"/>
      <w:marRight w:val="0"/>
      <w:marTop w:val="0"/>
      <w:marBottom w:val="0"/>
      <w:divBdr>
        <w:top w:val="none" w:sz="0" w:space="0" w:color="auto"/>
        <w:left w:val="none" w:sz="0" w:space="0" w:color="auto"/>
        <w:bottom w:val="none" w:sz="0" w:space="0" w:color="auto"/>
        <w:right w:val="none" w:sz="0" w:space="0" w:color="auto"/>
      </w:divBdr>
      <w:divsChild>
        <w:div w:id="401947057">
          <w:marLeft w:val="0"/>
          <w:marRight w:val="0"/>
          <w:marTop w:val="0"/>
          <w:marBottom w:val="0"/>
          <w:divBdr>
            <w:top w:val="none" w:sz="0" w:space="0" w:color="auto"/>
            <w:left w:val="none" w:sz="0" w:space="0" w:color="auto"/>
            <w:bottom w:val="none" w:sz="0" w:space="0" w:color="auto"/>
            <w:right w:val="none" w:sz="0" w:space="0" w:color="auto"/>
          </w:divBdr>
        </w:div>
        <w:div w:id="1586843983">
          <w:marLeft w:val="0"/>
          <w:marRight w:val="0"/>
          <w:marTop w:val="0"/>
          <w:marBottom w:val="0"/>
          <w:divBdr>
            <w:top w:val="none" w:sz="0" w:space="0" w:color="auto"/>
            <w:left w:val="none" w:sz="0" w:space="0" w:color="auto"/>
            <w:bottom w:val="none" w:sz="0" w:space="0" w:color="auto"/>
            <w:right w:val="none" w:sz="0" w:space="0" w:color="auto"/>
          </w:divBdr>
        </w:div>
        <w:div w:id="1942299374">
          <w:marLeft w:val="0"/>
          <w:marRight w:val="0"/>
          <w:marTop w:val="0"/>
          <w:marBottom w:val="0"/>
          <w:divBdr>
            <w:top w:val="none" w:sz="0" w:space="0" w:color="auto"/>
            <w:left w:val="none" w:sz="0" w:space="0" w:color="auto"/>
            <w:bottom w:val="none" w:sz="0" w:space="0" w:color="auto"/>
            <w:right w:val="none" w:sz="0" w:space="0" w:color="auto"/>
          </w:divBdr>
        </w:div>
        <w:div w:id="279995292">
          <w:marLeft w:val="0"/>
          <w:marRight w:val="0"/>
          <w:marTop w:val="0"/>
          <w:marBottom w:val="0"/>
          <w:divBdr>
            <w:top w:val="none" w:sz="0" w:space="0" w:color="auto"/>
            <w:left w:val="none" w:sz="0" w:space="0" w:color="auto"/>
            <w:bottom w:val="none" w:sz="0" w:space="0" w:color="auto"/>
            <w:right w:val="none" w:sz="0" w:space="0" w:color="auto"/>
          </w:divBdr>
        </w:div>
      </w:divsChild>
    </w:div>
    <w:div w:id="354886109">
      <w:bodyDiv w:val="1"/>
      <w:marLeft w:val="0"/>
      <w:marRight w:val="0"/>
      <w:marTop w:val="0"/>
      <w:marBottom w:val="0"/>
      <w:divBdr>
        <w:top w:val="none" w:sz="0" w:space="0" w:color="auto"/>
        <w:left w:val="none" w:sz="0" w:space="0" w:color="auto"/>
        <w:bottom w:val="none" w:sz="0" w:space="0" w:color="auto"/>
        <w:right w:val="none" w:sz="0" w:space="0" w:color="auto"/>
      </w:divBdr>
    </w:div>
    <w:div w:id="453868475">
      <w:bodyDiv w:val="1"/>
      <w:marLeft w:val="0"/>
      <w:marRight w:val="0"/>
      <w:marTop w:val="0"/>
      <w:marBottom w:val="0"/>
      <w:divBdr>
        <w:top w:val="none" w:sz="0" w:space="0" w:color="auto"/>
        <w:left w:val="none" w:sz="0" w:space="0" w:color="auto"/>
        <w:bottom w:val="none" w:sz="0" w:space="0" w:color="auto"/>
        <w:right w:val="none" w:sz="0" w:space="0" w:color="auto"/>
      </w:divBdr>
    </w:div>
    <w:div w:id="453914458">
      <w:bodyDiv w:val="1"/>
      <w:marLeft w:val="0"/>
      <w:marRight w:val="0"/>
      <w:marTop w:val="0"/>
      <w:marBottom w:val="0"/>
      <w:divBdr>
        <w:top w:val="none" w:sz="0" w:space="0" w:color="auto"/>
        <w:left w:val="none" w:sz="0" w:space="0" w:color="auto"/>
        <w:bottom w:val="none" w:sz="0" w:space="0" w:color="auto"/>
        <w:right w:val="none" w:sz="0" w:space="0" w:color="auto"/>
      </w:divBdr>
    </w:div>
    <w:div w:id="569925464">
      <w:bodyDiv w:val="1"/>
      <w:marLeft w:val="0"/>
      <w:marRight w:val="0"/>
      <w:marTop w:val="0"/>
      <w:marBottom w:val="0"/>
      <w:divBdr>
        <w:top w:val="none" w:sz="0" w:space="0" w:color="auto"/>
        <w:left w:val="none" w:sz="0" w:space="0" w:color="auto"/>
        <w:bottom w:val="none" w:sz="0" w:space="0" w:color="auto"/>
        <w:right w:val="none" w:sz="0" w:space="0" w:color="auto"/>
      </w:divBdr>
    </w:div>
    <w:div w:id="910427334">
      <w:bodyDiv w:val="1"/>
      <w:marLeft w:val="0"/>
      <w:marRight w:val="0"/>
      <w:marTop w:val="0"/>
      <w:marBottom w:val="0"/>
      <w:divBdr>
        <w:top w:val="none" w:sz="0" w:space="0" w:color="auto"/>
        <w:left w:val="none" w:sz="0" w:space="0" w:color="auto"/>
        <w:bottom w:val="none" w:sz="0" w:space="0" w:color="auto"/>
        <w:right w:val="none" w:sz="0" w:space="0" w:color="auto"/>
      </w:divBdr>
    </w:div>
    <w:div w:id="959454634">
      <w:bodyDiv w:val="1"/>
      <w:marLeft w:val="0"/>
      <w:marRight w:val="0"/>
      <w:marTop w:val="0"/>
      <w:marBottom w:val="0"/>
      <w:divBdr>
        <w:top w:val="none" w:sz="0" w:space="0" w:color="auto"/>
        <w:left w:val="none" w:sz="0" w:space="0" w:color="auto"/>
        <w:bottom w:val="none" w:sz="0" w:space="0" w:color="auto"/>
        <w:right w:val="none" w:sz="0" w:space="0" w:color="auto"/>
      </w:divBdr>
    </w:div>
    <w:div w:id="1048409132">
      <w:bodyDiv w:val="1"/>
      <w:marLeft w:val="0"/>
      <w:marRight w:val="0"/>
      <w:marTop w:val="0"/>
      <w:marBottom w:val="0"/>
      <w:divBdr>
        <w:top w:val="none" w:sz="0" w:space="0" w:color="auto"/>
        <w:left w:val="none" w:sz="0" w:space="0" w:color="auto"/>
        <w:bottom w:val="none" w:sz="0" w:space="0" w:color="auto"/>
        <w:right w:val="none" w:sz="0" w:space="0" w:color="auto"/>
      </w:divBdr>
    </w:div>
    <w:div w:id="1544094137">
      <w:bodyDiv w:val="1"/>
      <w:marLeft w:val="0"/>
      <w:marRight w:val="0"/>
      <w:marTop w:val="0"/>
      <w:marBottom w:val="0"/>
      <w:divBdr>
        <w:top w:val="none" w:sz="0" w:space="0" w:color="auto"/>
        <w:left w:val="none" w:sz="0" w:space="0" w:color="auto"/>
        <w:bottom w:val="none" w:sz="0" w:space="0" w:color="auto"/>
        <w:right w:val="none" w:sz="0" w:space="0" w:color="auto"/>
      </w:divBdr>
      <w:divsChild>
        <w:div w:id="2119375803">
          <w:marLeft w:val="0"/>
          <w:marRight w:val="0"/>
          <w:marTop w:val="240"/>
          <w:marBottom w:val="0"/>
          <w:divBdr>
            <w:top w:val="none" w:sz="0" w:space="0" w:color="auto"/>
            <w:left w:val="none" w:sz="0" w:space="0" w:color="auto"/>
            <w:bottom w:val="none" w:sz="0" w:space="0" w:color="auto"/>
            <w:right w:val="none" w:sz="0" w:space="0" w:color="auto"/>
          </w:divBdr>
        </w:div>
      </w:divsChild>
    </w:div>
    <w:div w:id="1559635008">
      <w:bodyDiv w:val="1"/>
      <w:marLeft w:val="0"/>
      <w:marRight w:val="0"/>
      <w:marTop w:val="0"/>
      <w:marBottom w:val="0"/>
      <w:divBdr>
        <w:top w:val="none" w:sz="0" w:space="0" w:color="auto"/>
        <w:left w:val="none" w:sz="0" w:space="0" w:color="auto"/>
        <w:bottom w:val="none" w:sz="0" w:space="0" w:color="auto"/>
        <w:right w:val="none" w:sz="0" w:space="0" w:color="auto"/>
      </w:divBdr>
    </w:div>
    <w:div w:id="1690594572">
      <w:bodyDiv w:val="1"/>
      <w:marLeft w:val="0"/>
      <w:marRight w:val="0"/>
      <w:marTop w:val="0"/>
      <w:marBottom w:val="0"/>
      <w:divBdr>
        <w:top w:val="none" w:sz="0" w:space="0" w:color="auto"/>
        <w:left w:val="none" w:sz="0" w:space="0" w:color="auto"/>
        <w:bottom w:val="none" w:sz="0" w:space="0" w:color="auto"/>
        <w:right w:val="none" w:sz="0" w:space="0" w:color="auto"/>
      </w:divBdr>
    </w:div>
    <w:div w:id="18054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267257X.2019.16674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1ACF-63B9-4A65-8CC2-EE4E68CB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48612</Words>
  <Characters>277091</Characters>
  <Application>Microsoft Office Word</Application>
  <DocSecurity>0</DocSecurity>
  <Lines>2309</Lines>
  <Paragraphs>650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2019-08-02T15:42:00Z</dcterms:created>
  <dcterms:modified xsi:type="dcterms:W3CDTF">2019-09-24T20:22:00Z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http://www.zotero.org/styles/journal-of-business-research</vt:lpwstr>
  </property>
  <property fmtid="{D5CDD505-2E9C-101B-9397-08002B2CF9AE}" pid="15" name="Mendeley Recent Style Name 6_1">
    <vt:lpwstr>Journal of Business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1e9a09e5-a58f-3cc2-a0fb-750beed8f92f</vt:lpwstr>
  </property>
  <property fmtid="{D5CDD505-2E9C-101B-9397-08002B2CF9AE}" pid="24" name="Mendeley Citation Style_1">
    <vt:lpwstr>http://www.zotero.org/styles/apa</vt:lpwstr>
  </property>
</Properties>
</file>