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DF952D" w14:textId="773A6390" w:rsidR="009246AD" w:rsidRPr="005F0594" w:rsidRDefault="00AF54A6" w:rsidP="00AB34C5">
      <w:pPr>
        <w:pStyle w:val="BATitle"/>
        <w:jc w:val="left"/>
      </w:pPr>
      <w:bookmarkStart w:id="0" w:name="_GoBack"/>
      <w:bookmarkEnd w:id="0"/>
      <w:r w:rsidRPr="005F0594">
        <w:t>Solvent applications of short-chain oxymethylene dimethyl ether oligomers</w:t>
      </w:r>
    </w:p>
    <w:p w14:paraId="0E6AA09D" w14:textId="0138DC08" w:rsidR="006D3331" w:rsidRPr="005F0594" w:rsidRDefault="006D3331" w:rsidP="00AB34C5">
      <w:pPr>
        <w:pStyle w:val="BCAuthorAddress"/>
        <w:jc w:val="left"/>
        <w:rPr>
          <w:rFonts w:ascii="Times New Roman" w:hAnsi="Times New Roman"/>
          <w:i/>
          <w:vertAlign w:val="superscript"/>
        </w:rPr>
      </w:pPr>
      <w:r w:rsidRPr="005F0594">
        <w:rPr>
          <w:rFonts w:ascii="Times New Roman" w:hAnsi="Times New Roman"/>
          <w:i/>
        </w:rPr>
        <w:t>Anna Zhenova,</w:t>
      </w:r>
      <w:r w:rsidRPr="005F0594">
        <w:rPr>
          <w:rFonts w:ascii="Times New Roman" w:hAnsi="Times New Roman"/>
          <w:i/>
          <w:vertAlign w:val="superscript"/>
        </w:rPr>
        <w:t>†</w:t>
      </w:r>
      <w:r w:rsidRPr="005F0594">
        <w:rPr>
          <w:rFonts w:ascii="Times New Roman" w:hAnsi="Times New Roman"/>
          <w:i/>
        </w:rPr>
        <w:t xml:space="preserve"> Alessandro Pellis,</w:t>
      </w:r>
      <w:r w:rsidRPr="005F0594">
        <w:rPr>
          <w:rFonts w:ascii="Times New Roman" w:hAnsi="Times New Roman"/>
          <w:i/>
          <w:vertAlign w:val="superscript"/>
        </w:rPr>
        <w:t>†</w:t>
      </w:r>
      <w:r w:rsidRPr="005F0594">
        <w:rPr>
          <w:rFonts w:ascii="Times New Roman" w:hAnsi="Times New Roman"/>
          <w:i/>
        </w:rPr>
        <w:t xml:space="preserve"> Roxana</w:t>
      </w:r>
      <w:r w:rsidR="00927BE7">
        <w:rPr>
          <w:rFonts w:ascii="Times New Roman" w:hAnsi="Times New Roman"/>
          <w:i/>
        </w:rPr>
        <w:t xml:space="preserve"> A.</w:t>
      </w:r>
      <w:r w:rsidRPr="005F0594">
        <w:rPr>
          <w:rFonts w:ascii="Times New Roman" w:hAnsi="Times New Roman"/>
          <w:i/>
        </w:rPr>
        <w:t xml:space="preserve"> Milescu,</w:t>
      </w:r>
      <w:r w:rsidRPr="005F0594">
        <w:rPr>
          <w:rFonts w:ascii="Times New Roman" w:hAnsi="Times New Roman"/>
          <w:i/>
          <w:vertAlign w:val="superscript"/>
        </w:rPr>
        <w:t>†</w:t>
      </w:r>
      <w:r w:rsidRPr="005F0594">
        <w:rPr>
          <w:rFonts w:ascii="Times New Roman" w:hAnsi="Times New Roman"/>
          <w:i/>
        </w:rPr>
        <w:t xml:space="preserve"> C</w:t>
      </w:r>
      <w:r w:rsidR="00737F03">
        <w:rPr>
          <w:rFonts w:ascii="Times New Roman" w:hAnsi="Times New Roman"/>
          <w:i/>
        </w:rPr>
        <w:t>on</w:t>
      </w:r>
      <w:r w:rsidRPr="005F0594">
        <w:rPr>
          <w:rFonts w:ascii="Times New Roman" w:hAnsi="Times New Roman"/>
          <w:i/>
        </w:rPr>
        <w:t xml:space="preserve"> Rob</w:t>
      </w:r>
      <w:r w:rsidR="00737F03">
        <w:rPr>
          <w:rFonts w:ascii="Times New Roman" w:hAnsi="Times New Roman"/>
          <w:i/>
        </w:rPr>
        <w:t>ert</w:t>
      </w:r>
      <w:r w:rsidRPr="005F0594">
        <w:rPr>
          <w:rFonts w:ascii="Times New Roman" w:hAnsi="Times New Roman"/>
          <w:i/>
        </w:rPr>
        <w:t xml:space="preserve"> McElroy,</w:t>
      </w:r>
      <w:r w:rsidRPr="005F0594">
        <w:rPr>
          <w:rFonts w:ascii="Times New Roman" w:hAnsi="Times New Roman"/>
          <w:i/>
          <w:vertAlign w:val="superscript"/>
        </w:rPr>
        <w:t>†</w:t>
      </w:r>
      <w:r w:rsidRPr="005F0594">
        <w:rPr>
          <w:rFonts w:ascii="Times New Roman" w:hAnsi="Times New Roman"/>
          <w:i/>
        </w:rPr>
        <w:t xml:space="preserve"> Robin J. White</w:t>
      </w:r>
      <w:r w:rsidRPr="005F0594">
        <w:rPr>
          <w:rFonts w:ascii="Times New Roman" w:hAnsi="Times New Roman"/>
          <w:i/>
          <w:vertAlign w:val="superscript"/>
        </w:rPr>
        <w:t>*,‡</w:t>
      </w:r>
      <w:r w:rsidR="0050277E">
        <w:rPr>
          <w:rFonts w:ascii="Times New Roman" w:hAnsi="Times New Roman"/>
          <w:i/>
          <w:vertAlign w:val="superscript"/>
        </w:rPr>
        <w:t>,</w:t>
      </w:r>
      <w:r w:rsidR="0050277E" w:rsidRPr="00173BBF">
        <w:rPr>
          <w:i/>
          <w:iCs/>
          <w:vertAlign w:val="superscript"/>
          <w:lang w:val="en-GB"/>
        </w:rPr>
        <w:t>§</w:t>
      </w:r>
      <w:r w:rsidRPr="005F0594">
        <w:rPr>
          <w:rFonts w:ascii="Times New Roman" w:hAnsi="Times New Roman"/>
          <w:i/>
        </w:rPr>
        <w:t xml:space="preserve"> and James H. Clark</w:t>
      </w:r>
      <w:r w:rsidRPr="005F0594">
        <w:rPr>
          <w:rFonts w:ascii="Cambria Math" w:hAnsi="Cambria Math" w:cs="Cambria Math"/>
          <w:i/>
          <w:vertAlign w:val="superscript"/>
        </w:rPr>
        <w:t>∗</w:t>
      </w:r>
      <w:r w:rsidRPr="005F0594">
        <w:rPr>
          <w:rFonts w:ascii="Times New Roman" w:hAnsi="Times New Roman"/>
          <w:i/>
          <w:vertAlign w:val="superscript"/>
        </w:rPr>
        <w:t>,†</w:t>
      </w:r>
    </w:p>
    <w:p w14:paraId="2BA06288" w14:textId="50638FEC" w:rsidR="006D3331" w:rsidRPr="005F0594" w:rsidRDefault="006D3331" w:rsidP="005F0594">
      <w:pPr>
        <w:pStyle w:val="BCAuthorAddress"/>
        <w:jc w:val="left"/>
        <w:rPr>
          <w:rFonts w:ascii="Times New Roman" w:hAnsi="Times New Roman"/>
        </w:rPr>
      </w:pPr>
      <w:r w:rsidRPr="005F0594">
        <w:rPr>
          <w:rFonts w:ascii="Times New Roman" w:hAnsi="Times New Roman"/>
          <w:vertAlign w:val="superscript"/>
        </w:rPr>
        <w:t>†</w:t>
      </w:r>
      <w:r w:rsidR="00AC76A3">
        <w:rPr>
          <w:rFonts w:ascii="Times New Roman" w:hAnsi="Times New Roman"/>
          <w:vertAlign w:val="superscript"/>
        </w:rPr>
        <w:t xml:space="preserve"> </w:t>
      </w:r>
      <w:r w:rsidR="00AC76A3">
        <w:rPr>
          <w:rFonts w:ascii="Times New Roman" w:hAnsi="Times New Roman"/>
        </w:rPr>
        <w:t>Green Chemistry Centre of Excellence, D</w:t>
      </w:r>
      <w:r w:rsidRPr="005F0594">
        <w:rPr>
          <w:rFonts w:ascii="Times New Roman" w:hAnsi="Times New Roman"/>
        </w:rPr>
        <w:t xml:space="preserve">epartment of Chemistry, University of York, Heslington, York, YO10 5DD, UK; E-mail: </w:t>
      </w:r>
      <w:hyperlink r:id="rId8" w:history="1">
        <w:r w:rsidR="00656B86" w:rsidRPr="0075672F">
          <w:rPr>
            <w:rStyle w:val="Hyperlink"/>
            <w:rFonts w:ascii="Times New Roman" w:hAnsi="Times New Roman"/>
          </w:rPr>
          <w:t>james.clark@york.ac.uk</w:t>
        </w:r>
      </w:hyperlink>
      <w:r w:rsidR="00656B86">
        <w:rPr>
          <w:rFonts w:ascii="Times New Roman" w:hAnsi="Times New Roman"/>
        </w:rPr>
        <w:t>;</w:t>
      </w:r>
      <w:r w:rsidRPr="005F0594">
        <w:rPr>
          <w:rFonts w:ascii="Times New Roman" w:hAnsi="Times New Roman"/>
        </w:rPr>
        <w:t xml:space="preserve"> Phone: +44 (0)1904 322559</w:t>
      </w:r>
    </w:p>
    <w:p w14:paraId="42F0B76D" w14:textId="610C1F8C" w:rsidR="006D3331" w:rsidRDefault="005F0594" w:rsidP="006D3331">
      <w:pPr>
        <w:pStyle w:val="FACorrespondingAuthorFootnote"/>
        <w:spacing w:after="0"/>
        <w:jc w:val="left"/>
        <w:rPr>
          <w:rStyle w:val="Hyperlink"/>
          <w:rFonts w:ascii="Times New Roman" w:hAnsi="Times New Roman"/>
          <w:i/>
          <w:lang w:val="en-GB"/>
        </w:rPr>
      </w:pPr>
      <w:r w:rsidRPr="00B8644B">
        <w:rPr>
          <w:rFonts w:ascii="Times New Roman" w:hAnsi="Times New Roman"/>
          <w:vertAlign w:val="superscript"/>
          <w:lang w:val="de-DE"/>
        </w:rPr>
        <w:t>‡</w:t>
      </w:r>
      <w:r w:rsidR="0050277E">
        <w:rPr>
          <w:rFonts w:ascii="Times New Roman" w:hAnsi="Times New Roman"/>
          <w:vertAlign w:val="superscript"/>
          <w:lang w:val="de-DE"/>
        </w:rPr>
        <w:t xml:space="preserve"> </w:t>
      </w:r>
      <w:r w:rsidRPr="00B8644B">
        <w:rPr>
          <w:rFonts w:ascii="Times New Roman" w:hAnsi="Times New Roman"/>
          <w:lang w:val="de-DE"/>
        </w:rPr>
        <w:t>Fraunhofer Institute for Solar Energy Systems ISE, Heidenhofstr. 2, 79110 Freiburg, Germany</w:t>
      </w:r>
    </w:p>
    <w:p w14:paraId="6E9EC45F" w14:textId="7664CF7C" w:rsidR="0050277E" w:rsidRPr="00173BBF" w:rsidRDefault="0050277E" w:rsidP="00173BBF">
      <w:pPr>
        <w:pStyle w:val="TAMainText"/>
        <w:ind w:firstLine="0"/>
        <w:rPr>
          <w:lang w:val="en-GB"/>
        </w:rPr>
      </w:pPr>
      <w:r w:rsidRPr="00173BBF">
        <w:rPr>
          <w:vertAlign w:val="superscript"/>
          <w:lang w:val="en-GB"/>
        </w:rPr>
        <w:t>§</w:t>
      </w:r>
      <w:r>
        <w:rPr>
          <w:vertAlign w:val="superscript"/>
          <w:lang w:val="en-GB"/>
        </w:rPr>
        <w:t xml:space="preserve"> </w:t>
      </w:r>
      <w:r w:rsidRPr="00984D92">
        <w:rPr>
          <w:rFonts w:ascii="Times New Roman" w:hAnsi="Times New Roman"/>
          <w:i/>
          <w:lang w:val="en-GB"/>
        </w:rPr>
        <w:t>TNO (</w:t>
      </w:r>
      <w:r w:rsidRPr="00984D92">
        <w:rPr>
          <w:rFonts w:ascii="Times New Roman" w:hAnsi="Times New Roman"/>
          <w:i/>
          <w:lang w:val="en"/>
        </w:rPr>
        <w:t xml:space="preserve">Netherlands Organisation for Applied Scientific Research), </w:t>
      </w:r>
      <w:r w:rsidRPr="00984D92">
        <w:rPr>
          <w:rFonts w:ascii="Times New Roman" w:hAnsi="Times New Roman"/>
          <w:i/>
          <w:lang w:val="en-GB"/>
        </w:rPr>
        <w:t xml:space="preserve">Locatie Eindhoven, </w:t>
      </w:r>
      <w:r w:rsidRPr="00984D92">
        <w:rPr>
          <w:rFonts w:ascii="Times New Roman" w:hAnsi="Times New Roman"/>
          <w:i/>
        </w:rPr>
        <w:t xml:space="preserve">High Tech Campus 25, 5656 AE Eindhoven, Netherlands; </w:t>
      </w:r>
      <w:r w:rsidRPr="00984D92">
        <w:rPr>
          <w:rFonts w:ascii="Times New Roman" w:hAnsi="Times New Roman"/>
          <w:i/>
          <w:lang w:val="en-GB"/>
        </w:rPr>
        <w:t xml:space="preserve">E-mail: </w:t>
      </w:r>
      <w:hyperlink r:id="rId9" w:history="1">
        <w:r w:rsidRPr="00984D92">
          <w:rPr>
            <w:rStyle w:val="Hyperlink"/>
            <w:rFonts w:ascii="Times New Roman" w:hAnsi="Times New Roman"/>
            <w:i/>
            <w:lang w:val="en-GB"/>
          </w:rPr>
          <w:t>robin.white@tno.nl</w:t>
        </w:r>
      </w:hyperlink>
    </w:p>
    <w:p w14:paraId="27B99708" w14:textId="77777777" w:rsidR="005F0594" w:rsidRPr="005F0594" w:rsidRDefault="005F0594" w:rsidP="005F0594">
      <w:pPr>
        <w:pStyle w:val="TAMainText"/>
        <w:rPr>
          <w:rFonts w:ascii="Times New Roman" w:hAnsi="Times New Roman"/>
        </w:rPr>
      </w:pPr>
    </w:p>
    <w:p w14:paraId="15E3DDDC" w14:textId="77777777" w:rsidR="000C05CC" w:rsidRPr="005F0594" w:rsidRDefault="00AB34C5" w:rsidP="005F0594">
      <w:pPr>
        <w:pStyle w:val="FACorrespondingAuthorFootnote"/>
        <w:spacing w:after="0"/>
        <w:jc w:val="left"/>
        <w:rPr>
          <w:rFonts w:ascii="Times New Roman" w:hAnsi="Times New Roman"/>
        </w:rPr>
      </w:pPr>
      <w:r w:rsidRPr="0046364F">
        <w:rPr>
          <w:rFonts w:ascii="Times New Roman" w:hAnsi="Times New Roman"/>
          <w:b/>
        </w:rPr>
        <w:t>KEYWORDS</w:t>
      </w:r>
      <w:r w:rsidRPr="005F0594">
        <w:rPr>
          <w:rFonts w:ascii="Times New Roman" w:hAnsi="Times New Roman"/>
        </w:rPr>
        <w:t xml:space="preserve"> </w:t>
      </w:r>
      <w:r w:rsidR="005F0594" w:rsidRPr="005F0594">
        <w:rPr>
          <w:rFonts w:ascii="Times New Roman" w:hAnsi="Times New Roman"/>
        </w:rPr>
        <w:t>solvents, green solvents, polymer dissolution, peroxides, ethers</w:t>
      </w:r>
    </w:p>
    <w:p w14:paraId="241AE28E" w14:textId="77777777" w:rsidR="00DC4F40" w:rsidRDefault="00DC4F40" w:rsidP="00741D72">
      <w:pPr>
        <w:pStyle w:val="BDAbstract"/>
        <w:rPr>
          <w:rFonts w:ascii="Times New Roman" w:hAnsi="Times New Roman"/>
          <w:b/>
        </w:rPr>
      </w:pPr>
    </w:p>
    <w:p w14:paraId="44E50C67" w14:textId="77777777" w:rsidR="00DC4F40" w:rsidRDefault="00DC4F40" w:rsidP="00741D72">
      <w:pPr>
        <w:pStyle w:val="BDAbstract"/>
        <w:rPr>
          <w:rFonts w:ascii="Times New Roman" w:hAnsi="Times New Roman"/>
          <w:b/>
        </w:rPr>
      </w:pPr>
    </w:p>
    <w:p w14:paraId="0F40F7AD" w14:textId="11A1CDE9" w:rsidR="00DC4F40" w:rsidRDefault="00DC4F40" w:rsidP="00741D72">
      <w:pPr>
        <w:pStyle w:val="BDAbstract"/>
        <w:rPr>
          <w:rFonts w:ascii="Times New Roman" w:hAnsi="Times New Roman"/>
          <w:b/>
        </w:rPr>
      </w:pPr>
    </w:p>
    <w:p w14:paraId="0765200A" w14:textId="77777777" w:rsidR="00E85021" w:rsidRPr="00E85021" w:rsidRDefault="00E85021" w:rsidP="00E85021">
      <w:pPr>
        <w:pStyle w:val="TAMainText"/>
      </w:pPr>
    </w:p>
    <w:p w14:paraId="61C2ED21" w14:textId="57973F14" w:rsidR="00AB34C5" w:rsidRPr="00AC6160" w:rsidRDefault="00AB34C5" w:rsidP="00741D72">
      <w:pPr>
        <w:pStyle w:val="BDAbstract"/>
        <w:rPr>
          <w:rFonts w:ascii="Times New Roman" w:hAnsi="Times New Roman"/>
        </w:rPr>
      </w:pPr>
      <w:r w:rsidRPr="0046364F">
        <w:rPr>
          <w:rFonts w:ascii="Times New Roman" w:hAnsi="Times New Roman"/>
          <w:b/>
        </w:rPr>
        <w:lastRenderedPageBreak/>
        <w:t>ABSTRACT</w:t>
      </w:r>
      <w:r w:rsidRPr="005F0594">
        <w:rPr>
          <w:rFonts w:ascii="Times New Roman" w:hAnsi="Times New Roman"/>
        </w:rPr>
        <w:t xml:space="preserve"> </w:t>
      </w:r>
      <w:r w:rsidR="002567D0">
        <w:rPr>
          <w:rFonts w:ascii="Times New Roman" w:hAnsi="Times New Roman"/>
        </w:rPr>
        <w:t xml:space="preserve">Short-chain </w:t>
      </w:r>
      <w:r w:rsidR="005F0594" w:rsidRPr="005F0594">
        <w:rPr>
          <w:rFonts w:ascii="Times New Roman" w:hAnsi="Times New Roman"/>
        </w:rPr>
        <w:t>oxymethylene dimethyl ethers</w:t>
      </w:r>
      <w:r w:rsidR="002567D0">
        <w:rPr>
          <w:rFonts w:ascii="Times New Roman" w:hAnsi="Times New Roman"/>
        </w:rPr>
        <w:t>, or OMEs</w:t>
      </w:r>
      <w:r w:rsidR="005F0594" w:rsidRPr="005F0594">
        <w:rPr>
          <w:rFonts w:ascii="Times New Roman" w:hAnsi="Times New Roman"/>
        </w:rPr>
        <w:t xml:space="preserve"> (molecular formula: H</w:t>
      </w:r>
      <w:r w:rsidR="005F0594" w:rsidRPr="005F0594">
        <w:rPr>
          <w:rFonts w:ascii="Times New Roman" w:hAnsi="Times New Roman"/>
          <w:vertAlign w:val="subscript"/>
        </w:rPr>
        <w:t>3</w:t>
      </w:r>
      <w:r w:rsidR="005F0594" w:rsidRPr="005F0594">
        <w:rPr>
          <w:rFonts w:ascii="Times New Roman" w:hAnsi="Times New Roman"/>
        </w:rPr>
        <w:t>CO-(CH</w:t>
      </w:r>
      <w:r w:rsidR="005F0594" w:rsidRPr="005F0594">
        <w:rPr>
          <w:rFonts w:ascii="Times New Roman" w:hAnsi="Times New Roman"/>
          <w:vertAlign w:val="subscript"/>
        </w:rPr>
        <w:t>2</w:t>
      </w:r>
      <w:r w:rsidR="005F0594" w:rsidRPr="005F0594">
        <w:rPr>
          <w:rFonts w:ascii="Times New Roman" w:hAnsi="Times New Roman"/>
        </w:rPr>
        <w:t>O)</w:t>
      </w:r>
      <w:r w:rsidR="005F0594" w:rsidRPr="005F0594">
        <w:rPr>
          <w:rFonts w:ascii="Times New Roman" w:hAnsi="Times New Roman"/>
          <w:vertAlign w:val="subscript"/>
        </w:rPr>
        <w:t>n</w:t>
      </w:r>
      <w:r w:rsidR="005F0594" w:rsidRPr="005F0594">
        <w:rPr>
          <w:rFonts w:ascii="Times New Roman" w:hAnsi="Times New Roman"/>
        </w:rPr>
        <w:t>-CH</w:t>
      </w:r>
      <w:r w:rsidR="005F0594" w:rsidRPr="005F0594">
        <w:rPr>
          <w:rFonts w:ascii="Times New Roman" w:hAnsi="Times New Roman"/>
          <w:vertAlign w:val="subscript"/>
        </w:rPr>
        <w:t>3</w:t>
      </w:r>
      <w:r w:rsidR="002567D0" w:rsidRPr="002567D0">
        <w:rPr>
          <w:rFonts w:ascii="Times New Roman" w:hAnsi="Times New Roman"/>
        </w:rPr>
        <w:t xml:space="preserve">, </w:t>
      </w:r>
      <w:r w:rsidR="00DC4F40" w:rsidRPr="002567D0">
        <w:rPr>
          <w:rFonts w:ascii="Times New Roman" w:hAnsi="Times New Roman"/>
        </w:rPr>
        <w:t>w</w:t>
      </w:r>
      <w:r w:rsidR="00DC4F40">
        <w:rPr>
          <w:rFonts w:ascii="Times New Roman" w:hAnsi="Times New Roman"/>
        </w:rPr>
        <w:t>here</w:t>
      </w:r>
      <w:r w:rsidR="00DC4F40" w:rsidRPr="002567D0">
        <w:rPr>
          <w:rFonts w:ascii="Times New Roman" w:hAnsi="Times New Roman"/>
        </w:rPr>
        <w:t xml:space="preserve"> </w:t>
      </w:r>
      <w:r w:rsidR="002567D0" w:rsidRPr="002567D0">
        <w:rPr>
          <w:rFonts w:ascii="Times New Roman" w:hAnsi="Times New Roman"/>
        </w:rPr>
        <w:t>n</w:t>
      </w:r>
      <w:r w:rsidR="002567D0">
        <w:rPr>
          <w:rFonts w:ascii="Times New Roman" w:hAnsi="Times New Roman"/>
        </w:rPr>
        <w:t xml:space="preserve"> </w:t>
      </w:r>
      <w:r w:rsidR="002567D0" w:rsidRPr="002567D0">
        <w:rPr>
          <w:rFonts w:ascii="Times New Roman" w:hAnsi="Times New Roman"/>
        </w:rPr>
        <w:t>= 3-5</w:t>
      </w:r>
      <w:r w:rsidR="00741D72">
        <w:rPr>
          <w:rFonts w:ascii="Times New Roman" w:hAnsi="Times New Roman"/>
        </w:rPr>
        <w:t>)</w:t>
      </w:r>
      <w:r w:rsidR="002567D0">
        <w:rPr>
          <w:rFonts w:ascii="Times New Roman" w:hAnsi="Times New Roman"/>
        </w:rPr>
        <w:t>,</w:t>
      </w:r>
      <w:r w:rsidR="00741D72">
        <w:rPr>
          <w:rFonts w:ascii="Times New Roman" w:hAnsi="Times New Roman"/>
        </w:rPr>
        <w:t xml:space="preserve"> have previously been studied as diesel-like fuels and fuel additives. OMEs can be produced from s</w:t>
      </w:r>
      <w:r w:rsidR="00884E8F">
        <w:rPr>
          <w:rFonts w:ascii="Times New Roman" w:hAnsi="Times New Roman"/>
        </w:rPr>
        <w:t xml:space="preserve">ustainably-sourced methanol, and tests indicate that they are not genotoxic nor mutagenic. </w:t>
      </w:r>
      <w:r w:rsidR="00DC4F40">
        <w:rPr>
          <w:rFonts w:ascii="Times New Roman" w:hAnsi="Times New Roman"/>
        </w:rPr>
        <w:t>In this report, t</w:t>
      </w:r>
      <w:r w:rsidR="00741D72">
        <w:rPr>
          <w:rFonts w:ascii="Times New Roman" w:hAnsi="Times New Roman"/>
        </w:rPr>
        <w:t>heir</w:t>
      </w:r>
      <w:r w:rsidR="00DC4F40">
        <w:rPr>
          <w:rFonts w:ascii="Times New Roman" w:hAnsi="Times New Roman"/>
        </w:rPr>
        <w:t xml:space="preserve"> potential as </w:t>
      </w:r>
      <w:r w:rsidR="00741D72">
        <w:rPr>
          <w:rFonts w:ascii="Times New Roman" w:hAnsi="Times New Roman"/>
        </w:rPr>
        <w:t>solvent</w:t>
      </w:r>
      <w:r w:rsidR="00DC4F40">
        <w:rPr>
          <w:rFonts w:ascii="Times New Roman" w:hAnsi="Times New Roman"/>
        </w:rPr>
        <w:t>s</w:t>
      </w:r>
      <w:r w:rsidR="00741D72">
        <w:rPr>
          <w:rFonts w:ascii="Times New Roman" w:hAnsi="Times New Roman"/>
        </w:rPr>
        <w:t xml:space="preserve"> </w:t>
      </w:r>
      <w:r w:rsidR="0066525D">
        <w:rPr>
          <w:rFonts w:ascii="Times New Roman" w:hAnsi="Times New Roman"/>
        </w:rPr>
        <w:t>has</w:t>
      </w:r>
      <w:r w:rsidR="00741D72">
        <w:rPr>
          <w:rFonts w:ascii="Times New Roman" w:hAnsi="Times New Roman"/>
        </w:rPr>
        <w:t xml:space="preserve"> been investigated in order to expand the </w:t>
      </w:r>
      <w:r w:rsidR="00884E8F">
        <w:rPr>
          <w:rFonts w:ascii="Times New Roman" w:hAnsi="Times New Roman"/>
        </w:rPr>
        <w:t>bio-derived</w:t>
      </w:r>
      <w:r w:rsidR="00741D72">
        <w:rPr>
          <w:rFonts w:ascii="Times New Roman" w:hAnsi="Times New Roman"/>
        </w:rPr>
        <w:t xml:space="preserve"> solvent space. </w:t>
      </w:r>
      <w:r w:rsidR="00117843">
        <w:rPr>
          <w:rFonts w:ascii="Times New Roman" w:hAnsi="Times New Roman"/>
        </w:rPr>
        <w:t>According to t</w:t>
      </w:r>
      <w:r w:rsidR="00741D72">
        <w:rPr>
          <w:rFonts w:ascii="Times New Roman" w:hAnsi="Times New Roman"/>
        </w:rPr>
        <w:t xml:space="preserve">raditional </w:t>
      </w:r>
      <w:r w:rsidR="00A8384E">
        <w:rPr>
          <w:rFonts w:ascii="Times New Roman" w:hAnsi="Times New Roman"/>
        </w:rPr>
        <w:t>solvatochromic</w:t>
      </w:r>
      <w:r w:rsidR="00741D72">
        <w:rPr>
          <w:rFonts w:ascii="Times New Roman" w:hAnsi="Times New Roman"/>
        </w:rPr>
        <w:t xml:space="preserve"> parameters</w:t>
      </w:r>
      <w:r w:rsidR="00117843">
        <w:rPr>
          <w:rFonts w:ascii="Times New Roman" w:hAnsi="Times New Roman"/>
        </w:rPr>
        <w:t>,</w:t>
      </w:r>
      <w:r w:rsidR="00741D72">
        <w:rPr>
          <w:rFonts w:ascii="Times New Roman" w:hAnsi="Times New Roman"/>
        </w:rPr>
        <w:t xml:space="preserve"> a commercial mixture of OME</w:t>
      </w:r>
      <w:r w:rsidR="00741D72">
        <w:rPr>
          <w:rFonts w:ascii="Times New Roman" w:hAnsi="Times New Roman"/>
          <w:vertAlign w:val="subscript"/>
        </w:rPr>
        <w:t>3-5</w:t>
      </w:r>
      <w:r w:rsidR="00741D72">
        <w:rPr>
          <w:rFonts w:ascii="Times New Roman" w:hAnsi="Times New Roman"/>
        </w:rPr>
        <w:t xml:space="preserve"> and its individual components (OME</w:t>
      </w:r>
      <w:r w:rsidR="00741D72">
        <w:rPr>
          <w:rFonts w:ascii="Times New Roman" w:hAnsi="Times New Roman"/>
          <w:vertAlign w:val="subscript"/>
        </w:rPr>
        <w:t>3</w:t>
      </w:r>
      <w:r w:rsidR="00741D72">
        <w:rPr>
          <w:rFonts w:ascii="Times New Roman" w:hAnsi="Times New Roman"/>
        </w:rPr>
        <w:t>, OME</w:t>
      </w:r>
      <w:r w:rsidR="00741D72">
        <w:rPr>
          <w:rFonts w:ascii="Times New Roman" w:hAnsi="Times New Roman"/>
          <w:vertAlign w:val="subscript"/>
        </w:rPr>
        <w:t>4</w:t>
      </w:r>
      <w:r w:rsidR="00741D72">
        <w:rPr>
          <w:rFonts w:ascii="Times New Roman" w:hAnsi="Times New Roman"/>
        </w:rPr>
        <w:t>, and OME</w:t>
      </w:r>
      <w:r w:rsidR="00741D72">
        <w:rPr>
          <w:rFonts w:ascii="Times New Roman" w:hAnsi="Times New Roman"/>
          <w:vertAlign w:val="subscript"/>
        </w:rPr>
        <w:t>5</w:t>
      </w:r>
      <w:r w:rsidR="00741D72">
        <w:rPr>
          <w:rFonts w:ascii="Times New Roman" w:hAnsi="Times New Roman"/>
        </w:rPr>
        <w:t xml:space="preserve">) have solvation properties similar to problematic industrial ether solvents such as 1,4-dioxane. </w:t>
      </w:r>
      <w:r w:rsidR="00A8384E">
        <w:rPr>
          <w:rFonts w:ascii="Times New Roman" w:hAnsi="Times New Roman"/>
        </w:rPr>
        <w:t>Peroxide formation, one of the chief dangers of</w:t>
      </w:r>
      <w:r w:rsidR="00DC4F40">
        <w:rPr>
          <w:rFonts w:ascii="Times New Roman" w:hAnsi="Times New Roman"/>
        </w:rPr>
        <w:t xml:space="preserve"> classical</w:t>
      </w:r>
      <w:r w:rsidR="00A8384E">
        <w:rPr>
          <w:rFonts w:ascii="Times New Roman" w:hAnsi="Times New Roman"/>
        </w:rPr>
        <w:t xml:space="preserve"> ether solvents, was found to occur much more slowly in OMEs than in conventional solvents such as </w:t>
      </w:r>
      <w:r w:rsidR="00D0244F">
        <w:rPr>
          <w:rFonts w:ascii="Times New Roman" w:hAnsi="Times New Roman"/>
        </w:rPr>
        <w:t>tetrahydrofuran (</w:t>
      </w:r>
      <w:r w:rsidR="00A8384E">
        <w:rPr>
          <w:rFonts w:ascii="Times New Roman" w:hAnsi="Times New Roman"/>
        </w:rPr>
        <w:t>THF</w:t>
      </w:r>
      <w:r w:rsidR="00D0244F">
        <w:rPr>
          <w:rFonts w:ascii="Times New Roman" w:hAnsi="Times New Roman"/>
        </w:rPr>
        <w:t>)</w:t>
      </w:r>
      <w:r w:rsidR="002567D0">
        <w:rPr>
          <w:rFonts w:ascii="Times New Roman" w:hAnsi="Times New Roman"/>
        </w:rPr>
        <w:t xml:space="preserve">, </w:t>
      </w:r>
      <w:r w:rsidR="00DC4F40">
        <w:rPr>
          <w:rFonts w:ascii="Times New Roman" w:hAnsi="Times New Roman"/>
        </w:rPr>
        <w:t>demonstrating an improved</w:t>
      </w:r>
      <w:r w:rsidR="002567D0">
        <w:rPr>
          <w:rFonts w:ascii="Times New Roman" w:hAnsi="Times New Roman"/>
        </w:rPr>
        <w:t xml:space="preserve"> safety profile</w:t>
      </w:r>
      <w:r w:rsidR="00A8384E">
        <w:rPr>
          <w:rFonts w:ascii="Times New Roman" w:hAnsi="Times New Roman"/>
        </w:rPr>
        <w:t xml:space="preserve">. </w:t>
      </w:r>
      <w:r w:rsidR="00F667CB">
        <w:rPr>
          <w:rFonts w:ascii="Times New Roman" w:hAnsi="Times New Roman"/>
        </w:rPr>
        <w:t xml:space="preserve">The </w:t>
      </w:r>
      <w:r w:rsidR="00ED72E7">
        <w:rPr>
          <w:rFonts w:ascii="Times New Roman" w:hAnsi="Times New Roman"/>
        </w:rPr>
        <w:t>commercial</w:t>
      </w:r>
      <w:r w:rsidR="00F667CB">
        <w:rPr>
          <w:rFonts w:ascii="Times New Roman" w:hAnsi="Times New Roman"/>
        </w:rPr>
        <w:t xml:space="preserve"> </w:t>
      </w:r>
      <w:r w:rsidR="00A8384E">
        <w:rPr>
          <w:rFonts w:ascii="Times New Roman" w:hAnsi="Times New Roman"/>
        </w:rPr>
        <w:t>OME</w:t>
      </w:r>
      <w:r w:rsidR="00F667CB" w:rsidRPr="00F667CB">
        <w:rPr>
          <w:rFonts w:ascii="Times New Roman" w:hAnsi="Times New Roman"/>
          <w:vertAlign w:val="subscript"/>
        </w:rPr>
        <w:t>3-5</w:t>
      </w:r>
      <w:r w:rsidR="00F667CB" w:rsidRPr="00F667CB">
        <w:rPr>
          <w:rFonts w:ascii="Times New Roman" w:hAnsi="Times New Roman"/>
        </w:rPr>
        <w:t xml:space="preserve"> mixture</w:t>
      </w:r>
      <w:r w:rsidR="00A8384E">
        <w:rPr>
          <w:rFonts w:ascii="Times New Roman" w:hAnsi="Times New Roman"/>
        </w:rPr>
        <w:t xml:space="preserve"> </w:t>
      </w:r>
      <w:r w:rsidR="00F667CB">
        <w:rPr>
          <w:rFonts w:ascii="Times New Roman" w:hAnsi="Times New Roman"/>
        </w:rPr>
        <w:t xml:space="preserve">was </w:t>
      </w:r>
      <w:r w:rsidR="00A8384E">
        <w:rPr>
          <w:rFonts w:ascii="Times New Roman" w:hAnsi="Times New Roman"/>
        </w:rPr>
        <w:t xml:space="preserve">found to be broadly miscible with organic solvents, but immiscible with water, suggesting potential application in aqueous extractions. </w:t>
      </w:r>
      <w:r w:rsidR="00F667CB">
        <w:rPr>
          <w:rFonts w:ascii="Times New Roman" w:hAnsi="Times New Roman"/>
        </w:rPr>
        <w:t>It</w:t>
      </w:r>
      <w:r w:rsidR="002567D0">
        <w:rPr>
          <w:rFonts w:ascii="Times New Roman" w:hAnsi="Times New Roman"/>
        </w:rPr>
        <w:t xml:space="preserve"> perform</w:t>
      </w:r>
      <w:r w:rsidR="00DC4F40">
        <w:rPr>
          <w:rFonts w:ascii="Times New Roman" w:hAnsi="Times New Roman"/>
        </w:rPr>
        <w:t>ed</w:t>
      </w:r>
      <w:r w:rsidR="002567D0">
        <w:rPr>
          <w:rFonts w:ascii="Times New Roman" w:hAnsi="Times New Roman"/>
        </w:rPr>
        <w:t xml:space="preserve"> well in </w:t>
      </w:r>
      <w:r w:rsidR="00DC4F40">
        <w:rPr>
          <w:rFonts w:ascii="Times New Roman" w:hAnsi="Times New Roman"/>
        </w:rPr>
        <w:t xml:space="preserve">the </w:t>
      </w:r>
      <w:r w:rsidR="00AC6160">
        <w:rPr>
          <w:rFonts w:ascii="Times New Roman" w:hAnsi="Times New Roman"/>
        </w:rPr>
        <w:t xml:space="preserve">dissolution of polystyrene and </w:t>
      </w:r>
      <w:r w:rsidR="002567D0">
        <w:rPr>
          <w:rFonts w:ascii="Times New Roman" w:hAnsi="Times New Roman"/>
        </w:rPr>
        <w:t xml:space="preserve">removal of paints and coatings, indicating </w:t>
      </w:r>
      <w:r w:rsidR="00F667CB">
        <w:rPr>
          <w:rFonts w:ascii="Times New Roman" w:hAnsi="Times New Roman"/>
        </w:rPr>
        <w:t>OME</w:t>
      </w:r>
      <w:r w:rsidR="00F667CB" w:rsidRPr="00F667CB">
        <w:rPr>
          <w:rFonts w:ascii="Times New Roman" w:hAnsi="Times New Roman"/>
          <w:vertAlign w:val="subscript"/>
        </w:rPr>
        <w:t>3-5</w:t>
      </w:r>
      <w:r w:rsidR="00F667CB">
        <w:rPr>
          <w:rFonts w:ascii="Times New Roman" w:hAnsi="Times New Roman"/>
        </w:rPr>
        <w:t xml:space="preserve"> </w:t>
      </w:r>
      <w:r w:rsidR="002567D0">
        <w:rPr>
          <w:rFonts w:ascii="Times New Roman" w:hAnsi="Times New Roman"/>
        </w:rPr>
        <w:t xml:space="preserve">may </w:t>
      </w:r>
      <w:r w:rsidR="00AC6160">
        <w:rPr>
          <w:rFonts w:ascii="Times New Roman" w:hAnsi="Times New Roman"/>
        </w:rPr>
        <w:t>suitable</w:t>
      </w:r>
      <w:r w:rsidR="002567D0">
        <w:rPr>
          <w:rFonts w:ascii="Times New Roman" w:hAnsi="Times New Roman"/>
        </w:rPr>
        <w:t xml:space="preserve"> </w:t>
      </w:r>
      <w:r w:rsidR="00AC6160">
        <w:rPr>
          <w:rFonts w:ascii="Times New Roman" w:hAnsi="Times New Roman"/>
        </w:rPr>
        <w:t>to replace dichloromethane</w:t>
      </w:r>
      <w:r w:rsidR="00DC4F40">
        <w:rPr>
          <w:rFonts w:ascii="Times New Roman" w:hAnsi="Times New Roman"/>
        </w:rPr>
        <w:t xml:space="preserve"> (DCM)</w:t>
      </w:r>
      <w:r w:rsidR="00AC6160">
        <w:rPr>
          <w:rFonts w:ascii="Times New Roman" w:hAnsi="Times New Roman"/>
        </w:rPr>
        <w:t xml:space="preserve"> </w:t>
      </w:r>
      <w:r w:rsidR="002567D0">
        <w:rPr>
          <w:rFonts w:ascii="Times New Roman" w:hAnsi="Times New Roman"/>
        </w:rPr>
        <w:t xml:space="preserve">in </w:t>
      </w:r>
      <w:r w:rsidR="00AC6160">
        <w:rPr>
          <w:rFonts w:ascii="Times New Roman" w:hAnsi="Times New Roman"/>
        </w:rPr>
        <w:t xml:space="preserve">polymer recycling, polymer welding, and </w:t>
      </w:r>
      <w:r w:rsidR="002567D0">
        <w:rPr>
          <w:rFonts w:ascii="Times New Roman" w:hAnsi="Times New Roman"/>
        </w:rPr>
        <w:t xml:space="preserve">cleaning applications. To further demonstrate applicability as a solvent, this mixture was shown to facilitate a model Suzuki coupling reaction at rates similar to cyclopentyl methyl ether (CPME), which is </w:t>
      </w:r>
      <w:r w:rsidR="00F667CB">
        <w:rPr>
          <w:rFonts w:ascii="Times New Roman" w:hAnsi="Times New Roman"/>
        </w:rPr>
        <w:t xml:space="preserve">currently </w:t>
      </w:r>
      <w:r w:rsidR="002567D0">
        <w:rPr>
          <w:rFonts w:ascii="Times New Roman" w:hAnsi="Times New Roman"/>
        </w:rPr>
        <w:t xml:space="preserve">marketed as a green ether. </w:t>
      </w:r>
      <w:r w:rsidR="00AC6160">
        <w:rPr>
          <w:rFonts w:ascii="Times New Roman" w:hAnsi="Times New Roman"/>
        </w:rPr>
        <w:t>Finally, OME</w:t>
      </w:r>
      <w:r w:rsidR="00AC6160" w:rsidRPr="00AC6160">
        <w:rPr>
          <w:rFonts w:ascii="Times New Roman" w:hAnsi="Times New Roman"/>
          <w:vertAlign w:val="subscript"/>
        </w:rPr>
        <w:t>3-5</w:t>
      </w:r>
      <w:r w:rsidR="00AC6160">
        <w:rPr>
          <w:rFonts w:ascii="Times New Roman" w:hAnsi="Times New Roman"/>
        </w:rPr>
        <w:t xml:space="preserve"> proved a suitable solvent for enzymatic polymerization, giving high yields, moderately high degrees of polymerization, and remarkably narrow dispersity values.</w:t>
      </w:r>
    </w:p>
    <w:p w14:paraId="5990112F" w14:textId="77777777" w:rsidR="00576263" w:rsidRDefault="00576263" w:rsidP="00E917F7">
      <w:pPr>
        <w:pStyle w:val="TAMainText"/>
        <w:spacing w:after="240"/>
        <w:ind w:firstLine="0"/>
        <w:jc w:val="left"/>
        <w:rPr>
          <w:rFonts w:ascii="Times New Roman" w:hAnsi="Times New Roman"/>
          <w:b/>
        </w:rPr>
      </w:pPr>
    </w:p>
    <w:p w14:paraId="7433680D" w14:textId="77777777" w:rsidR="00576263" w:rsidRDefault="00576263" w:rsidP="00E917F7">
      <w:pPr>
        <w:pStyle w:val="TAMainText"/>
        <w:spacing w:after="240"/>
        <w:ind w:firstLine="0"/>
        <w:jc w:val="left"/>
        <w:rPr>
          <w:rFonts w:ascii="Times New Roman" w:hAnsi="Times New Roman"/>
          <w:b/>
        </w:rPr>
      </w:pPr>
    </w:p>
    <w:p w14:paraId="31163FA8" w14:textId="77777777" w:rsidR="00576263" w:rsidRDefault="00576263" w:rsidP="00E917F7">
      <w:pPr>
        <w:pStyle w:val="TAMainText"/>
        <w:spacing w:after="240"/>
        <w:ind w:firstLine="0"/>
        <w:jc w:val="left"/>
        <w:rPr>
          <w:rFonts w:ascii="Times New Roman" w:hAnsi="Times New Roman"/>
          <w:b/>
        </w:rPr>
      </w:pPr>
    </w:p>
    <w:p w14:paraId="2D452120" w14:textId="77777777" w:rsidR="00576263" w:rsidRDefault="00576263" w:rsidP="00E917F7">
      <w:pPr>
        <w:pStyle w:val="TAMainText"/>
        <w:spacing w:after="240"/>
        <w:ind w:firstLine="0"/>
        <w:jc w:val="left"/>
        <w:rPr>
          <w:rFonts w:ascii="Times New Roman" w:hAnsi="Times New Roman"/>
          <w:b/>
        </w:rPr>
      </w:pPr>
    </w:p>
    <w:p w14:paraId="365913BB" w14:textId="154C5AD4" w:rsidR="00BC5D4C" w:rsidRDefault="00BC5D4C" w:rsidP="00165945">
      <w:pPr>
        <w:pStyle w:val="TAMainText"/>
        <w:spacing w:after="240"/>
        <w:ind w:firstLine="0"/>
        <w:jc w:val="left"/>
        <w:outlineLvl w:val="0"/>
        <w:rPr>
          <w:rFonts w:ascii="Times New Roman" w:hAnsi="Times New Roman"/>
        </w:rPr>
      </w:pPr>
      <w:r>
        <w:rPr>
          <w:rFonts w:ascii="Times New Roman" w:hAnsi="Times New Roman"/>
          <w:b/>
        </w:rPr>
        <w:lastRenderedPageBreak/>
        <w:t>INTRODUCTION</w:t>
      </w:r>
      <w:r w:rsidR="00AB34C5" w:rsidRPr="005F0594">
        <w:rPr>
          <w:rFonts w:ascii="Times New Roman" w:hAnsi="Times New Roman"/>
        </w:rPr>
        <w:t xml:space="preserve"> </w:t>
      </w:r>
    </w:p>
    <w:p w14:paraId="7A13FB73" w14:textId="54DBFB05" w:rsidR="00E917F7" w:rsidRPr="00243467" w:rsidRDefault="002E4CEF" w:rsidP="00B8644B">
      <w:pPr>
        <w:pStyle w:val="TAMainText"/>
        <w:spacing w:after="240"/>
        <w:ind w:firstLine="0"/>
        <w:rPr>
          <w:rFonts w:ascii="Times New Roman" w:hAnsi="Times New Roman"/>
          <w:lang w:eastAsia="zh-CN"/>
        </w:rPr>
      </w:pPr>
      <w:r>
        <w:rPr>
          <w:rFonts w:ascii="Times New Roman" w:hAnsi="Times New Roman"/>
        </w:rPr>
        <w:t xml:space="preserve">Short-chain </w:t>
      </w:r>
      <w:r w:rsidR="00116920" w:rsidRPr="005F0594">
        <w:rPr>
          <w:rFonts w:ascii="Times New Roman" w:hAnsi="Times New Roman"/>
        </w:rPr>
        <w:t>oxymethylene dimethyl ethers</w:t>
      </w:r>
      <w:r w:rsidR="00116920">
        <w:rPr>
          <w:rFonts w:ascii="Times New Roman" w:hAnsi="Times New Roman"/>
        </w:rPr>
        <w:t xml:space="preserve"> </w:t>
      </w:r>
      <w:r w:rsidR="00116920" w:rsidRPr="005F0594">
        <w:rPr>
          <w:rFonts w:ascii="Times New Roman" w:hAnsi="Times New Roman"/>
        </w:rPr>
        <w:t>(</w:t>
      </w:r>
      <w:r>
        <w:rPr>
          <w:rFonts w:ascii="Times New Roman" w:hAnsi="Times New Roman"/>
        </w:rPr>
        <w:t xml:space="preserve">OMEs; </w:t>
      </w:r>
      <w:r w:rsidR="00116920" w:rsidRPr="005F0594">
        <w:rPr>
          <w:rFonts w:ascii="Times New Roman" w:hAnsi="Times New Roman"/>
        </w:rPr>
        <w:t>molecular formula: H</w:t>
      </w:r>
      <w:r w:rsidR="00116920" w:rsidRPr="005F0594">
        <w:rPr>
          <w:rFonts w:ascii="Times New Roman" w:hAnsi="Times New Roman"/>
          <w:vertAlign w:val="subscript"/>
        </w:rPr>
        <w:t>3</w:t>
      </w:r>
      <w:r w:rsidR="00116920" w:rsidRPr="005F0594">
        <w:rPr>
          <w:rFonts w:ascii="Times New Roman" w:hAnsi="Times New Roman"/>
        </w:rPr>
        <w:t>CO-(CH</w:t>
      </w:r>
      <w:r w:rsidR="00116920" w:rsidRPr="005F0594">
        <w:rPr>
          <w:rFonts w:ascii="Times New Roman" w:hAnsi="Times New Roman"/>
          <w:vertAlign w:val="subscript"/>
        </w:rPr>
        <w:t>2</w:t>
      </w:r>
      <w:r w:rsidR="00116920" w:rsidRPr="005F0594">
        <w:rPr>
          <w:rFonts w:ascii="Times New Roman" w:hAnsi="Times New Roman"/>
        </w:rPr>
        <w:t>O)</w:t>
      </w:r>
      <w:r w:rsidR="00116920" w:rsidRPr="005F0594">
        <w:rPr>
          <w:rFonts w:ascii="Times New Roman" w:hAnsi="Times New Roman"/>
          <w:vertAlign w:val="subscript"/>
        </w:rPr>
        <w:t>n</w:t>
      </w:r>
      <w:r w:rsidR="00116920" w:rsidRPr="005F0594">
        <w:rPr>
          <w:rFonts w:ascii="Times New Roman" w:hAnsi="Times New Roman"/>
        </w:rPr>
        <w:t>-CH</w:t>
      </w:r>
      <w:r w:rsidR="00116920" w:rsidRPr="005F0594">
        <w:rPr>
          <w:rFonts w:ascii="Times New Roman" w:hAnsi="Times New Roman"/>
          <w:vertAlign w:val="subscript"/>
        </w:rPr>
        <w:t>3</w:t>
      </w:r>
      <w:r w:rsidR="00556C7F" w:rsidRPr="00556C7F">
        <w:rPr>
          <w:rFonts w:ascii="Times New Roman" w:hAnsi="Times New Roman"/>
        </w:rPr>
        <w:t>,</w:t>
      </w:r>
      <w:r w:rsidR="00556C7F">
        <w:rPr>
          <w:rFonts w:ascii="Times New Roman" w:hAnsi="Times New Roman"/>
        </w:rPr>
        <w:t xml:space="preserve"> with n</w:t>
      </w:r>
      <w:r>
        <w:rPr>
          <w:rFonts w:ascii="Times New Roman" w:hAnsi="Times New Roman"/>
        </w:rPr>
        <w:t xml:space="preserve"> = 1-6</w:t>
      </w:r>
      <w:r w:rsidR="00116920" w:rsidRPr="00116920">
        <w:rPr>
          <w:rFonts w:ascii="Times New Roman" w:hAnsi="Times New Roman"/>
        </w:rPr>
        <w:t xml:space="preserve">) </w:t>
      </w:r>
      <w:r w:rsidR="00116920">
        <w:rPr>
          <w:rFonts w:ascii="Times New Roman" w:hAnsi="Times New Roman"/>
        </w:rPr>
        <w:t xml:space="preserve">are a class of synthetic linear oxygenates </w:t>
      </w:r>
      <w:r>
        <w:rPr>
          <w:rFonts w:ascii="Times New Roman" w:hAnsi="Times New Roman"/>
        </w:rPr>
        <w:t>currently</w:t>
      </w:r>
      <w:r w:rsidR="00116920">
        <w:rPr>
          <w:rFonts w:ascii="Times New Roman" w:hAnsi="Times New Roman"/>
        </w:rPr>
        <w:t xml:space="preserve"> </w:t>
      </w:r>
      <w:r>
        <w:rPr>
          <w:rFonts w:ascii="Times New Roman" w:hAnsi="Times New Roman"/>
        </w:rPr>
        <w:t>under consideration</w:t>
      </w:r>
      <w:r w:rsidR="00116920">
        <w:rPr>
          <w:rFonts w:ascii="Times New Roman" w:hAnsi="Times New Roman"/>
        </w:rPr>
        <w:t xml:space="preserve"> as sustainable oxygenated fuels, especially as diesel substitutes or additives. Their combustion leads to remarkably low soot and NO</w:t>
      </w:r>
      <w:r w:rsidR="00116920" w:rsidRPr="00116920">
        <w:rPr>
          <w:rFonts w:ascii="Times New Roman" w:hAnsi="Times New Roman"/>
          <w:vertAlign w:val="subscript"/>
        </w:rPr>
        <w:t>x</w:t>
      </w:r>
      <w:r w:rsidR="00116920">
        <w:rPr>
          <w:rFonts w:ascii="Times New Roman" w:hAnsi="Times New Roman"/>
        </w:rPr>
        <w:t xml:space="preserve"> emissions.</w:t>
      </w:r>
      <w:r w:rsidR="00116920">
        <w:rPr>
          <w:rFonts w:ascii="Times New Roman" w:hAnsi="Times New Roman"/>
        </w:rPr>
        <w:fldChar w:fldCharType="begin"/>
      </w:r>
      <w:r w:rsidR="00642648">
        <w:rPr>
          <w:rFonts w:ascii="Times New Roman" w:hAnsi="Times New Roman"/>
        </w:rPr>
        <w:instrText xml:space="preserve"> ADDIN ZOTERO_ITEM CSL_CITATION {"citationID":"cK9FCmIz","properties":{"formattedCitation":"\\super 1\\nosupersub{}","plainCitation":"1","noteIndex":0},"citationItems":[{"id":273,"uris":["http://zotero.org/users/4674022/items/92E6YLZJ"],"uri":["http://zotero.org/users/4674022/items/92E6YLZJ"],"itemData":{"id":273,"type":"article-journal","title":"Oxymethylene Ether as Potentially CO2-neutral Fuel for Clean Diesel Engines Part 1: Engine Testing","container-title":"MTZ Worldwide","page":"52-59","volume":"78","issue":"2","source":"link.springer.com","DOI":"10.1007/s38313-016-0163-6","ISSN":"2192-9114","title-short":"Oxymethylene Ether as Potentially CO&lt;Subscript&gt;2&lt;/Subscript&gt;-neutral Fuel for Clean Diesel Engines Part 1","language":"de","author":[{"family":"Härtl","given":"Martin"},{"family":"Gaukel","given":"Kai"},{"family":"Pélerin","given":"Dominik"},{"family":"Wachtmeister","given":"Georg"}],"issued":{"date-parts":[["2017",2,1]]}}}],"schema":"https://github.com/citation-style-language/schema/raw/master/csl-citation.json"} </w:instrText>
      </w:r>
      <w:r w:rsidR="00116920">
        <w:rPr>
          <w:rFonts w:ascii="Times New Roman" w:hAnsi="Times New Roman"/>
        </w:rPr>
        <w:fldChar w:fldCharType="separate"/>
      </w:r>
      <w:r w:rsidR="00116920" w:rsidRPr="00116920">
        <w:rPr>
          <w:rFonts w:ascii="Times New Roman" w:hAnsi="Times New Roman"/>
          <w:vertAlign w:val="superscript"/>
        </w:rPr>
        <w:t>1</w:t>
      </w:r>
      <w:r w:rsidR="00116920">
        <w:rPr>
          <w:rFonts w:ascii="Times New Roman" w:hAnsi="Times New Roman"/>
        </w:rPr>
        <w:fldChar w:fldCharType="end"/>
      </w:r>
      <w:r w:rsidR="005F4F6D">
        <w:rPr>
          <w:rFonts w:ascii="Times New Roman" w:hAnsi="Times New Roman"/>
        </w:rPr>
        <w:t xml:space="preserve"> OMEs can be synthesized from methanol, which in turn can be sourced from biomass-derived syngas or captured </w:t>
      </w:r>
      <w:r w:rsidR="008120E2">
        <w:rPr>
          <w:rFonts w:ascii="Times New Roman" w:hAnsi="Times New Roman"/>
        </w:rPr>
        <w:t>CO</w:t>
      </w:r>
      <w:r w:rsidR="008120E2" w:rsidRPr="008120E2">
        <w:rPr>
          <w:rFonts w:ascii="Times New Roman" w:hAnsi="Times New Roman"/>
          <w:vertAlign w:val="subscript"/>
        </w:rPr>
        <w:t>2</w:t>
      </w:r>
      <w:r w:rsidR="00E917F7">
        <w:rPr>
          <w:rFonts w:ascii="Times New Roman" w:hAnsi="Times New Roman"/>
        </w:rPr>
        <w:t xml:space="preserve"> and renewable </w:t>
      </w:r>
      <w:r w:rsidR="008120E2">
        <w:rPr>
          <w:rFonts w:ascii="Times New Roman" w:hAnsi="Times New Roman"/>
        </w:rPr>
        <w:t>H</w:t>
      </w:r>
      <w:r w:rsidR="008120E2" w:rsidRPr="008120E2">
        <w:rPr>
          <w:rFonts w:ascii="Times New Roman" w:hAnsi="Times New Roman"/>
          <w:vertAlign w:val="subscript"/>
        </w:rPr>
        <w:t>2</w:t>
      </w:r>
      <w:r w:rsidR="00E917F7">
        <w:rPr>
          <w:rFonts w:ascii="Times New Roman" w:hAnsi="Times New Roman"/>
        </w:rPr>
        <w:t xml:space="preserve">, opening pathways for sustainable synthesis of this fuel </w:t>
      </w:r>
      <w:r w:rsidR="00E917F7" w:rsidRPr="00662B5A">
        <w:rPr>
          <w:rFonts w:ascii="Times New Roman" w:hAnsi="Times New Roman"/>
          <w:szCs w:val="24"/>
        </w:rPr>
        <w:t>candidat</w:t>
      </w:r>
      <w:r w:rsidR="008120E2" w:rsidRPr="00662B5A">
        <w:rPr>
          <w:rFonts w:ascii="Times New Roman" w:hAnsi="Times New Roman"/>
          <w:szCs w:val="24"/>
        </w:rPr>
        <w:t>e</w:t>
      </w:r>
      <w:r w:rsidR="00901596" w:rsidRPr="00662B5A">
        <w:rPr>
          <w:rFonts w:ascii="Times New Roman" w:hAnsi="Times New Roman"/>
          <w:szCs w:val="24"/>
        </w:rPr>
        <w:t xml:space="preserve"> </w:t>
      </w:r>
      <w:r w:rsidR="00243467" w:rsidRPr="00662B5A">
        <w:rPr>
          <w:rFonts w:ascii="Times New Roman" w:hAnsi="Times New Roman"/>
          <w:szCs w:val="24"/>
        </w:rPr>
        <w:t>(</w:t>
      </w:r>
      <w:r w:rsidR="00243467" w:rsidRPr="00662B5A">
        <w:rPr>
          <w:rFonts w:ascii="Times New Roman" w:hAnsi="Times New Roman"/>
          <w:szCs w:val="24"/>
        </w:rPr>
        <w:fldChar w:fldCharType="begin"/>
      </w:r>
      <w:r w:rsidR="00243467" w:rsidRPr="00662B5A">
        <w:rPr>
          <w:rFonts w:ascii="Times New Roman" w:hAnsi="Times New Roman"/>
          <w:szCs w:val="24"/>
        </w:rPr>
        <w:instrText xml:space="preserve"> REF _Ref9369734 \h </w:instrText>
      </w:r>
      <w:r w:rsidR="00662B5A" w:rsidRPr="00662B5A">
        <w:rPr>
          <w:rFonts w:ascii="Times New Roman" w:hAnsi="Times New Roman"/>
          <w:szCs w:val="24"/>
        </w:rPr>
        <w:instrText xml:space="preserve"> \* MERGEFORMAT </w:instrText>
      </w:r>
      <w:r w:rsidR="00243467" w:rsidRPr="00662B5A">
        <w:rPr>
          <w:rFonts w:ascii="Times New Roman" w:hAnsi="Times New Roman"/>
          <w:szCs w:val="24"/>
        </w:rPr>
      </w:r>
      <w:r w:rsidR="00243467" w:rsidRPr="00662B5A">
        <w:rPr>
          <w:rFonts w:ascii="Times New Roman" w:hAnsi="Times New Roman"/>
          <w:szCs w:val="24"/>
        </w:rPr>
        <w:fldChar w:fldCharType="separate"/>
      </w:r>
      <w:r w:rsidR="003C715B" w:rsidRPr="003C715B">
        <w:rPr>
          <w:rFonts w:ascii="Times New Roman" w:hAnsi="Times New Roman"/>
          <w:szCs w:val="24"/>
        </w:rPr>
        <w:t xml:space="preserve">Scheme </w:t>
      </w:r>
      <w:r w:rsidR="003C715B" w:rsidRPr="003C715B">
        <w:rPr>
          <w:rFonts w:ascii="Times New Roman" w:hAnsi="Times New Roman"/>
          <w:noProof/>
          <w:szCs w:val="24"/>
        </w:rPr>
        <w:t>1</w:t>
      </w:r>
      <w:r w:rsidR="00243467" w:rsidRPr="00662B5A">
        <w:rPr>
          <w:rFonts w:ascii="Times New Roman" w:hAnsi="Times New Roman"/>
          <w:szCs w:val="24"/>
        </w:rPr>
        <w:fldChar w:fldCharType="end"/>
      </w:r>
      <w:r w:rsidRPr="00662B5A">
        <w:rPr>
          <w:rFonts w:ascii="Times New Roman" w:hAnsi="Times New Roman"/>
          <w:szCs w:val="24"/>
        </w:rPr>
        <w:t>).</w:t>
      </w:r>
      <w:r w:rsidR="003C05DA">
        <w:rPr>
          <w:rFonts w:ascii="Times New Roman" w:hAnsi="Times New Roman"/>
        </w:rPr>
        <w:fldChar w:fldCharType="begin"/>
      </w:r>
      <w:r w:rsidR="000A0BA0">
        <w:rPr>
          <w:rFonts w:ascii="Times New Roman" w:hAnsi="Times New Roman"/>
        </w:rPr>
        <w:instrText xml:space="preserve"> ADDIN ZOTERO_ITEM CSL_CITATION {"citationID":"5n8uRhrv","properties":{"formattedCitation":"\\super 1\\uc0\\u8211{}7\\nosupersub{}","plainCitation":"1–7","noteIndex":0},"citationItems":[{"id":273,"uris":["http://zotero.org/users/4674022/items/92E6YLZJ"],"uri":["http://zotero.org/users/4674022/items/92E6YLZJ"],"itemData":{"id":273,"type":"article-journal","title":"Oxymethylene Ether as Potentially CO2-neutral Fuel for Clean Diesel Engines Part 1: Engine Testing","container-title":"MTZ Worldwide","page":"52-59","volume":"78","issue":"2","source":"link.springer.com","DOI":"10.1007/s38313-016-0163-6","ISSN":"2192-9114","title-short":"Oxymethylene Ether as Potentially CO&lt;Subscript&gt;2&lt;/Subscript&gt;-neutral Fuel for Clean Diesel Engines Part 1","language":"de","author":[{"family":"Härtl","given":"Martin"},{"family":"Gaukel","given":"Kai"},{"family":"Pélerin","given":"Dominik"},{"family":"Wachtmeister","given":"Georg"}],"issued":{"date-parts":[["2017",2,1]]}},"label":"page"},{"id":826,"uris":["http://zotero.org/users/4674022/items/QMYB7TLB"],"uri":["http://zotero.org/users/4674022/items/QMYB7TLB"],"itemData":{"id":826,"type":"article-journal","title":"Alternative Liquid Fuels from Renewable Resources","container-title":"Chemie Ingenieur Technik","page":"99-112","volume":"90","issue":"1-2","source":"Wiley Online Library","abstract":"Recent progress regarding the production of alternative liquid fuels is described with a focus on catalyst development. Fuels for spark ignition engines as well as diesel fuels are considered and their potentials regarding the reduction of harmful emissions are addressed. Two main strategies are described. The first implies production of synthesis gas from renewables or CO2 and subsequent synthesis of methanol or dimethyl ether. Both can be further converted to a series of valuable fuels, e.g., high-quality gasoline or oxymethylene ethers. The second strategy comprises the production of ethanol and its conversion to gasoline.","DOI":"10.1002/cite.201700117","ISSN":"1522-2640","language":"en","author":[{"family":"Niethammer","given":"Benjamin"},{"family":"Wodarz","given":"Simon"},{"family":"Betz","given":"Matthias"},{"family":"Haltenort","given":"Philipp"},{"family":"Oestreich","given":"Dorian"},{"family":"Hackbarth","given":"Kathrin"},{"family":"Arnold","given":"Ulrich"},{"family":"Otto","given":"Thomas"},{"family":"Sauer","given":"Jörg"}],"issued":{"date-parts":[["2018"]]}},"label":"page"},{"id":453,"uris":["http://zotero.org/users/4674022/items/45MEQ5G7"],"uri":["http://zotero.org/users/4674022/items/45MEQ5G7"],"itemData":{"id":453,"type":"article-journal","title":"Poly(oxymethylene) dimethyl ether synthesis – a combined chemical equilibrium investigation towards an increasingly efficient and potentially sustainable synthetic route","container-title":"Reaction Chemistry &amp; Engineering","page":"50-59","volume":"2","issue":"1","source":"pubs.rsc.org","abstract":"Polyoxymethylene dimethyl ethers (denoted hereon as OME) are potential sustainable fuels (e.g. as a diesel substitute). In this paper, the fundamental analysis of a potentially, sustainable synthetic OME system is presented (i.e. based on CH3OH synthesised from H2 and recycled CO2). In this context, a multicomponent thermodynamic vapour–liquid equilibrium model, based on CH3OH as the educt and source of H2CO for OME synthesis, is described. A thermodynamic equilibrium mathematical model for this complex (i.e. a 29 reaction network) CH3OH–H2CO equilibrium system is presented, capable of solving the sequential chemical and phase equilibrium, importantly considering all components in the reaction system including poly(oxymethylene) hemiformals and poly(oxymethylene) glycols. A theoretical efficiency evaluation indicates that the proposed anhydrous route is potentially more attractive than the conventional synthesis (i.e. based on dimethoxymethane and trioxane). To substantiate these theoretical investigations, a complimentary experimental batch OME synthesis is also presented, providing validation for the presented thermodynamic model. An initial kinetic analysis of the OME synthesis over different commercial catalysts is also highlighted. Our presented findings reliably describe the synthesis equilibrium with respect to our experimentally obtained results. The presented work supports further an operating OME synthesis framework based on CH3OH and H2CO and highlights the requirement for innovative process design regarding feed preparation, reactor technology, and product separation/fractions recycling.","DOI":"10.1039/C6RE00145A","ISSN":"2058-9883","journalAbbreviation":"React. Chem. Eng.","language":"en","author":[{"family":"Ouda","given":"M."},{"family":"Yarce","given":"G."},{"family":"White","given":"R. J."},{"family":"Hadrich","given":"M."},{"family":"Himmel","given":"D."},{"family":"Schaadt","given":"A."},{"family":"Klein","given":"H."},{"family":"Jacob","given":"E."},{"family":"Krossing","given":"I."}],"issued":{"date-parts":[["2017",2,7]]}},"label":"page"},{"id":466,"uris":["http://zotero.org/users/4674022/items/9HIAE8D5"],"uri":["http://zotero.org/users/4674022/items/9HIAE8D5"],"itemData":{"id":466,"type":"article-journal","title":"Biomass-derived Oxymethylene Ethers as Diesel Additives: A Thermodynamic Analysis","container-title":"Energy Procedia","collection-title":"International Conference on Applied Energy, ICAE2014","page":"1921-1924","volume":"61","source":"ScienceDirect","abstract":"Conversion of biomass for production of liquid fuels can help in reducing the greenhouse gas (GHG) emissions which are predominantly generated by combustion of fossil fuels. Adding oxymethylene ethers (OMEs) in conventional diesel fuel has the potential to reduce soot formation during the combustion in a diesel engine. OMEs are downstream products of syngas, which can be generated by the gasification of biomass. In this research, a thermodynamic analysis has been conducted through development of data intensive process models of all the unit operations involved in production of OMEs from biomass. Based on the developed model, the key process parameters affecting the OMEs production including equivalence ratio, H2/CO ratio, and extra water flow rate were identified. This was followed by development of an optimal process design for high OMEs production. It was found that for a fluidized bed gasifier with heat capacity of 28 MW, the conditions for highest OMEs production are at an air amount of 317 tonne/day, at H2/CO ratio of 2.1, and without extra water injection. At this level, the total OMEs production is 55 tonne/day (13 tonne/day OME3 and 9 tonne/day OME4). This model would further be used in a techno-economic assessment study of the whole biomass conversion chain to determine the most attractive pathways.","DOI":"10.1016/j.egypro.2014.12.242","ISSN":"1876-6102","title-short":"Biomass-derived Oxymethylene Ethers as Diesel Additives","journalAbbreviation":"Energy Procedia","author":[{"family":"Zhang","given":"Xiaolei"},{"family":"Kumar","given":"Amit"},{"family":"Arnold","given":"Ulrich"},{"family":"Sauer","given":"Jörg"}],"issued":{"date-parts":[["2014",1,1]]}},"label":"page"},{"id":"3ztE3XCs/CcZ79fxH","uris":["http://zotero.org/users/4674022/items/LHXIIUSH"],"uri":["http://zotero.org/users/4674022/items/LHXIIUSH"],"itemData":{"id":937,"type":"article-journal","title":"On the energetic efficiency of producing polyoxymethylene dimethyl ethers from CO2 using electrical energy","container-title":"Energy &amp; Environmental Science","source":"pubs.rsc.org","abstract":"Polyoxymethylene dimethyl ethers (OME) are promising electricity-based fuels (e-fuels). They enable low emissions of particulate matter and nitrous oxides. In this work, the energetic efficiency of OME production from CO2 employing electrical energy is calculated. CO2 capture is included in the analysis by considering direct air capture and post-combustion capture technologies. CO2 is converted to methanol using hydrogen produced by electrolysis. Two routes for OME synthesis are studied: OME synthesis directly from methanol and formaldehyde and OME synthesis via the two intermediates methylal and trioxane. The energetic efficiency of OME production is evaluated for different levels of heat integration and for variable electrolysis efficiencies. For an electrolysis efficiency of 60%, it ranks between 24.3 and 36.7%. The production of 1 kg OME3–5 (LHV of 18.9 MJ per kg) has an energy demand of 51.6–78.0 MJ. A comparison of the energetic efficiencies of the production of different e-fuels and the evaluation of future potential sets OME in an overall context.","URL":"https://pubs.rsc.org/en/content/articlelanding/2019/ee/c8ee02849d","DOI":"10.1039/C8EE02849D","ISSN":"1754-5706","journalAbbreviation":"Energy Environ. Sci.","language":"en","author":[{"family":"Held","given":"Maximilian"},{"family":"Tönges","given":"Yannic"},{"family":"Pélerin","given":"Dominik"},{"family":"Härtl","given":"Martin"},{"family":"Wachtmeister","given":"Georg"},{"family":"Burger","given":"Jakob"}],"issued":{"date-parts":[["2019",1,10]]},"accessed":{"date-parts":[["2019",3,4]]}}},{"id":940,"uris":["http://zotero.org/users/4674022/items/TTCXC2LQ"],"uri":["http://zotero.org/users/4674022/items/TTCXC2LQ"],"itemData":{"id":940,"type":"article-journal","title":"Towards a Sustainable Synthesis of Oxymethylene Dimethyl Ether by Homogeneous Catalysis and Uptake of Molecular Formaldehyde","container-title":"Angewandte Chemie International Edition","page":"9461-9464","volume":"57","issue":"30","source":"Wiley Online Library","abstract":"Oxymethylene dimethyl ethers (OMEn; CH3(-OCH2-)nO-CH3, n=3–5) are a novel class of sustainable synthetic fuels, which are of increasing interest due to their soot-free combustion. Herein a novel anhydrous OMEn synthesis route is presented. Catalyzed by trimethyloxonium salts, dimethoxymethane takes up monomeric gaseous formaldehyde instantaneously and forms high purity OMEn at temperatures of 25–30 °C. This new anhydrous approach using molecular formaldehyde and catalytic amounts of highly active trimethyloxonium salts represents a promising new step towards a sustainable formation of OMEn emanating from CO2 and H2.","DOI":"10.1002/anie.201802247","ISSN":"1521-3773","language":"en","author":[{"family":"Peter","given":"Andreas"},{"family":"Fehr","given":"Samuel M."},{"family":"Dybbert","given":"Valentin"},{"family":"Himmel","given":"Daniel"},{"family":"Lindner","given":"Ines"},{"family":"Jacob","given":"Eberhard"},{"family":"Ouda","given":"Mohamed"},{"family":"Schaadt","given":"Achim"},{"family":"White","given":"Robin J."},{"family":"Scherer","given":"Harald"},{"family":"Krossing","given":"Ingo"}],"issued":{"date-parts":[["2018"]]}}},{"id":1454,"uris":["http://zotero.org/users/4674022/items/6F7QHK2N"],"uri":["http://zotero.org/users/4674022/items/6F7QHK2N"],"itemData":{"id":1454,"type":"article-journal","title":"Cleaner production of cleaner fuels: wind-to-wheel – environmental assessment of CO2-based oxymethylene ether as a drop-in fuel","container-title":"Energy &amp; Environmental Science","page":"331-343","volume":"11","issue":"2","source":"pubs.rsc.org","abstract":"The combustion of fossil fuels within the transportation sector is a key driver of global warming (GW) and leads to harmful emissions of nitrogen oxides (NOx) and particulates (soot). To reduce these negative impacts of the transportation sector, synthetic fuels are currently being developed, which are produced from renewable energy stored via catalytic conversion of hydrogen (H2) and carbon dioxide (CO2). A promising class of synthetic fuels are oxymethylene ethers (OMEs). This study conducts a prospective environmental assessment of an OME-based fuel using Life Cycle Assessment (LCA). We investigate an OME1-diesel-blend (OME1-blend), where OME1 replaces 24 mass% of diesel fuel. Such an OME1-blend could be a first step towards an OME transition. For the production of OME1 from CO2-based methanol, we consider both the established route via condensation with formaldehyde and a novel direct pathway based on catalytic combination with CO2 and hydrogen. To close the carbon loop, CO2 supply via biogas and direct air capture is considered. In a best-case scenario, hydrogen is produced by water electrolysis using electricity from wind power in the European Union as an input. The direct pathway reduces the required process steps from three to two and is shown to allow for an improved utilization of the energy provided by hydrogen: the exergy efficiency is increased from 74% to 86%. For combustion, we conducted experiments in a single cylinder engine to determine the full spectrum of engine-related emissions. The engine data provide the input for simulations of the cu</w:instrText>
      </w:r>
      <w:r w:rsidR="000A0BA0">
        <w:rPr>
          <w:rFonts w:ascii="Times New Roman" w:hAnsi="Times New Roman"/>
          <w:lang w:eastAsia="zh-CN"/>
        </w:rPr>
        <w:instrText xml:space="preserve">mulative raw emissions over the Worldwide Harmonized Light Vehicles Test Procedures (WLTP) cycle for a mid-size passenger vehicle. Our well-to-wheel LCA shows that OME1 has the potential to serve as an almost carbon-neutral blending component: replacing 24 mass% of diesel by OME1 could reduce the GW impact by 22% and the emissions of NOx and soot even by 43% and 75%, respectively. The key to achieving these benefits is the integration of renewable energy in hydrogen production. The cumulative energy demand (CED) over the life cycle is doubled compared to fossil diesel. With sufficient renewable electricity available, OME1-blends may serve as a promising first step towards a more sustainable transportation sector.","DOI":"10.1039/C7EE01657C","ISSN":"1754-5706","title-short":"Cleaner production of cleaner fuels","journalAbbreviation":"Energy Environ. Sci.","language":"en","author":[{"family":"Deutz","given":"Sarah"},{"family":"Bongartz","given":"Dominik"},{"family":"Heuser","given":"Benedikt"},{"family":"Kätelhön","given":"Arne"},{"family":"Langenhorst","given":"Luisa Schulze"},{"family":"Omari","given":"Ahmad"},{"family":"Walters","given":"Marius"},{"family":"Klankermayer","given":"Jürgen"},{"family":"Leitner","given":"Walter"},{"family":"Mitsos","given":"Alexander"},{"family":"Pischinger","given":"Stefan"},{"family":"Bardow","given":"André"}],"issued":{"date-parts":[["2018",2,14]]}}}],"schema":"https://github.com/citation-style-language/schema/raw/master/csl-citation.json"} </w:instrText>
      </w:r>
      <w:r w:rsidR="003C05DA">
        <w:rPr>
          <w:rFonts w:ascii="Times New Roman" w:hAnsi="Times New Roman"/>
        </w:rPr>
        <w:fldChar w:fldCharType="separate"/>
      </w:r>
      <w:r w:rsidR="000A0BA0" w:rsidRPr="000A0BA0">
        <w:rPr>
          <w:rFonts w:ascii="Times New Roman" w:hAnsi="Times New Roman"/>
          <w:vertAlign w:val="superscript"/>
          <w:lang w:eastAsia="zh-CN"/>
        </w:rPr>
        <w:t>1–7</w:t>
      </w:r>
      <w:r w:rsidR="003C05DA">
        <w:rPr>
          <w:rFonts w:ascii="Times New Roman" w:hAnsi="Times New Roman"/>
        </w:rPr>
        <w:fldChar w:fldCharType="end"/>
      </w:r>
    </w:p>
    <w:p w14:paraId="3C68E0B6" w14:textId="7529F676" w:rsidR="00A327DC" w:rsidRDefault="00A327DC" w:rsidP="00A327DC">
      <w:pPr>
        <w:pStyle w:val="TAMainText"/>
        <w:spacing w:after="360" w:line="360" w:lineRule="auto"/>
        <w:ind w:firstLine="0"/>
        <w:jc w:val="center"/>
        <w:rPr>
          <w:rFonts w:ascii="Times New Roman" w:hAnsi="Times New Roman"/>
          <w:sz w:val="22"/>
          <w:lang w:eastAsia="zh-CN"/>
        </w:rPr>
      </w:pPr>
      <w:bookmarkStart w:id="1" w:name="_Ref6845103"/>
      <w:r>
        <w:rPr>
          <w:rFonts w:ascii="Times New Roman" w:hAnsi="Times New Roman"/>
          <w:noProof/>
          <w:sz w:val="22"/>
          <w:lang w:val="en-GB" w:eastAsia="en-GB"/>
        </w:rPr>
        <w:drawing>
          <wp:inline distT="0" distB="0" distL="0" distR="0" wp14:anchorId="65E0F730" wp14:editId="4ED012C7">
            <wp:extent cx="3217181" cy="13411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ME Synthesis Updated.png"/>
                    <pic:cNvPicPr/>
                  </pic:nvPicPr>
                  <pic:blipFill>
                    <a:blip r:embed="rId10"/>
                    <a:stretch>
                      <a:fillRect/>
                    </a:stretch>
                  </pic:blipFill>
                  <pic:spPr>
                    <a:xfrm>
                      <a:off x="0" y="0"/>
                      <a:ext cx="3234266" cy="1348242"/>
                    </a:xfrm>
                    <a:prstGeom prst="rect">
                      <a:avLst/>
                    </a:prstGeom>
                  </pic:spPr>
                </pic:pic>
              </a:graphicData>
            </a:graphic>
          </wp:inline>
        </w:drawing>
      </w:r>
    </w:p>
    <w:p w14:paraId="4C31DF05" w14:textId="7C870E9C" w:rsidR="00136625" w:rsidRPr="009F11B6" w:rsidRDefault="00576263" w:rsidP="009F11B6">
      <w:pPr>
        <w:pStyle w:val="TAMainText"/>
        <w:spacing w:after="360" w:line="360" w:lineRule="auto"/>
        <w:ind w:firstLine="0"/>
        <w:rPr>
          <w:rFonts w:ascii="Times New Roman" w:hAnsi="Times New Roman"/>
          <w:lang w:eastAsia="zh-CN"/>
        </w:rPr>
      </w:pPr>
      <w:r w:rsidRPr="00B8644B">
        <w:rPr>
          <w:rFonts w:ascii="Times New Roman" w:hAnsi="Times New Roman"/>
          <w:sz w:val="22"/>
          <w:lang w:eastAsia="zh-CN"/>
        </w:rPr>
        <w:t xml:space="preserve"> </w:t>
      </w:r>
      <w:bookmarkStart w:id="2" w:name="_Ref9369734"/>
      <w:r w:rsidR="00136625" w:rsidRPr="009F11B6">
        <w:rPr>
          <w:rFonts w:ascii="Times New Roman" w:hAnsi="Times New Roman"/>
          <w:b/>
          <w:sz w:val="22"/>
          <w:lang w:eastAsia="zh-CN"/>
        </w:rPr>
        <w:t xml:space="preserve">Scheme </w:t>
      </w:r>
      <w:r w:rsidR="00136625" w:rsidRPr="009F11B6">
        <w:rPr>
          <w:rFonts w:ascii="Times New Roman" w:hAnsi="Times New Roman"/>
          <w:b/>
          <w:sz w:val="22"/>
        </w:rPr>
        <w:fldChar w:fldCharType="begin"/>
      </w:r>
      <w:r w:rsidR="00136625" w:rsidRPr="009F11B6">
        <w:rPr>
          <w:rFonts w:ascii="Times New Roman" w:hAnsi="Times New Roman"/>
          <w:b/>
          <w:sz w:val="22"/>
          <w:lang w:eastAsia="zh-CN"/>
        </w:rPr>
        <w:instrText xml:space="preserve"> SEQ Scheme \* ARABIC </w:instrText>
      </w:r>
      <w:r w:rsidR="00136625" w:rsidRPr="009F11B6">
        <w:rPr>
          <w:rFonts w:ascii="Times New Roman" w:hAnsi="Times New Roman"/>
          <w:b/>
          <w:sz w:val="22"/>
        </w:rPr>
        <w:fldChar w:fldCharType="separate"/>
      </w:r>
      <w:r w:rsidR="003C715B">
        <w:rPr>
          <w:rFonts w:ascii="Times New Roman" w:hAnsi="Times New Roman"/>
          <w:b/>
          <w:noProof/>
          <w:sz w:val="22"/>
          <w:lang w:eastAsia="zh-CN"/>
        </w:rPr>
        <w:t>1</w:t>
      </w:r>
      <w:r w:rsidR="00136625" w:rsidRPr="009F11B6">
        <w:rPr>
          <w:rFonts w:ascii="Times New Roman" w:hAnsi="Times New Roman"/>
          <w:b/>
          <w:sz w:val="22"/>
        </w:rPr>
        <w:fldChar w:fldCharType="end"/>
      </w:r>
      <w:bookmarkEnd w:id="1"/>
      <w:bookmarkEnd w:id="2"/>
      <w:r w:rsidR="00136625" w:rsidRPr="009F11B6">
        <w:rPr>
          <w:rFonts w:ascii="Times New Roman" w:hAnsi="Times New Roman"/>
          <w:b/>
          <w:sz w:val="22"/>
          <w:lang w:eastAsia="zh-CN"/>
        </w:rPr>
        <w:t>.</w:t>
      </w:r>
      <w:r w:rsidR="00136625" w:rsidRPr="009F11B6">
        <w:rPr>
          <w:rFonts w:ascii="Times New Roman" w:hAnsi="Times New Roman"/>
          <w:sz w:val="22"/>
          <w:lang w:eastAsia="zh-CN"/>
        </w:rPr>
        <w:t xml:space="preserve"> A generaliz</w:t>
      </w:r>
      <w:r w:rsidR="009F11B6" w:rsidRPr="009F11B6">
        <w:rPr>
          <w:rFonts w:ascii="Times New Roman" w:hAnsi="Times New Roman"/>
          <w:sz w:val="22"/>
          <w:lang w:eastAsia="zh-CN"/>
        </w:rPr>
        <w:t>ed synthesis of OMEs based on CO</w:t>
      </w:r>
      <w:r w:rsidR="009F11B6" w:rsidRPr="009F11B6">
        <w:rPr>
          <w:rFonts w:ascii="Times New Roman" w:hAnsi="Times New Roman"/>
          <w:sz w:val="22"/>
          <w:vertAlign w:val="subscript"/>
          <w:lang w:eastAsia="zh-CN"/>
        </w:rPr>
        <w:t>2</w:t>
      </w:r>
      <w:r w:rsidR="009F11B6" w:rsidRPr="009F11B6">
        <w:rPr>
          <w:rFonts w:ascii="Times New Roman" w:hAnsi="Times New Roman"/>
          <w:sz w:val="22"/>
          <w:lang w:eastAsia="zh-CN"/>
        </w:rPr>
        <w:t xml:space="preserve"> and H</w:t>
      </w:r>
      <w:r w:rsidR="009F11B6" w:rsidRPr="009F11B6">
        <w:rPr>
          <w:rFonts w:ascii="Times New Roman" w:hAnsi="Times New Roman"/>
          <w:sz w:val="22"/>
          <w:vertAlign w:val="subscript"/>
          <w:lang w:eastAsia="zh-CN"/>
        </w:rPr>
        <w:t>2</w:t>
      </w:r>
      <w:r w:rsidR="00E43316">
        <w:rPr>
          <w:rFonts w:ascii="Times New Roman" w:hAnsi="Times New Roman"/>
          <w:sz w:val="22"/>
          <w:lang w:eastAsia="zh-CN"/>
        </w:rPr>
        <w:t xml:space="preserve"> (1)</w:t>
      </w:r>
      <w:r w:rsidR="009F11B6" w:rsidRPr="009F11B6">
        <w:rPr>
          <w:rFonts w:ascii="Times New Roman" w:hAnsi="Times New Roman"/>
          <w:sz w:val="22"/>
          <w:vertAlign w:val="subscript"/>
          <w:lang w:eastAsia="zh-CN"/>
        </w:rPr>
        <w:t>.</w:t>
      </w:r>
      <w:r w:rsidR="009F11B6" w:rsidRPr="009F11B6">
        <w:rPr>
          <w:rFonts w:ascii="Times New Roman" w:hAnsi="Times New Roman"/>
          <w:sz w:val="22"/>
          <w:lang w:eastAsia="zh-CN"/>
        </w:rPr>
        <w:t xml:space="preserve"> Methanol is partially dehydrogenated </w:t>
      </w:r>
      <w:r w:rsidR="00E43316">
        <w:rPr>
          <w:rFonts w:ascii="Times New Roman" w:hAnsi="Times New Roman"/>
          <w:sz w:val="22"/>
          <w:lang w:eastAsia="zh-CN"/>
        </w:rPr>
        <w:t xml:space="preserve">(2) </w:t>
      </w:r>
      <w:r w:rsidR="009F11B6" w:rsidRPr="009F11B6">
        <w:rPr>
          <w:rFonts w:ascii="Times New Roman" w:hAnsi="Times New Roman"/>
          <w:sz w:val="22"/>
          <w:lang w:eastAsia="zh-CN"/>
        </w:rPr>
        <w:t>to provide a mixed methanol/formaldehyde feed, acting as the source for both end caps</w:t>
      </w:r>
      <w:r w:rsidR="00E43316">
        <w:rPr>
          <w:rFonts w:ascii="Times New Roman" w:hAnsi="Times New Roman"/>
          <w:sz w:val="22"/>
          <w:lang w:eastAsia="zh-CN"/>
        </w:rPr>
        <w:t xml:space="preserve"> (3)</w:t>
      </w:r>
      <w:r w:rsidR="009F11B6" w:rsidRPr="009F11B6">
        <w:rPr>
          <w:rFonts w:ascii="Times New Roman" w:hAnsi="Times New Roman"/>
          <w:sz w:val="22"/>
          <w:lang w:eastAsia="zh-CN"/>
        </w:rPr>
        <w:t>.</w:t>
      </w:r>
    </w:p>
    <w:p w14:paraId="485B82FF" w14:textId="4DF6BF81" w:rsidR="007535EF" w:rsidRPr="00BF7062" w:rsidRDefault="00E43316" w:rsidP="007966A0">
      <w:pPr>
        <w:pStyle w:val="TAMainText"/>
        <w:ind w:firstLine="204"/>
        <w:rPr>
          <w:rFonts w:ascii="Times New Roman" w:hAnsi="Times New Roman"/>
        </w:rPr>
      </w:pPr>
      <w:r>
        <w:rPr>
          <w:rFonts w:ascii="Times New Roman" w:hAnsi="Times New Roman"/>
          <w:lang w:eastAsia="zh-CN"/>
        </w:rPr>
        <w:t>In general,</w:t>
      </w:r>
      <w:r w:rsidR="00AC6160">
        <w:rPr>
          <w:rFonts w:ascii="Times New Roman" w:hAnsi="Times New Roman"/>
          <w:lang w:eastAsia="zh-CN"/>
        </w:rPr>
        <w:t xml:space="preserve"> </w:t>
      </w:r>
      <w:r w:rsidR="008120E2">
        <w:rPr>
          <w:rFonts w:ascii="Times New Roman" w:hAnsi="Times New Roman"/>
          <w:lang w:eastAsia="zh-CN"/>
        </w:rPr>
        <w:t xml:space="preserve">OME </w:t>
      </w:r>
      <w:r w:rsidR="00AC6160">
        <w:rPr>
          <w:rFonts w:ascii="Times New Roman" w:hAnsi="Times New Roman"/>
          <w:lang w:eastAsia="zh-CN"/>
        </w:rPr>
        <w:t xml:space="preserve">synthesis </w:t>
      </w:r>
      <w:r w:rsidR="008120E2" w:rsidRPr="00556C7F">
        <w:rPr>
          <w:rFonts w:ascii="Times New Roman" w:hAnsi="Times New Roman"/>
          <w:color w:val="000000" w:themeColor="text1"/>
          <w:szCs w:val="24"/>
          <w:lang w:eastAsia="zh-CN"/>
        </w:rPr>
        <w:t>produces</w:t>
      </w:r>
      <w:r w:rsidR="008120E2">
        <w:rPr>
          <w:rFonts w:ascii="Times New Roman" w:hAnsi="Times New Roman"/>
          <w:lang w:eastAsia="zh-CN"/>
        </w:rPr>
        <w:t xml:space="preserve"> </w:t>
      </w:r>
      <w:r w:rsidR="00AC6160">
        <w:rPr>
          <w:rFonts w:ascii="Times New Roman" w:hAnsi="Times New Roman"/>
          <w:lang w:eastAsia="zh-CN"/>
        </w:rPr>
        <w:t>a mixture of oligomers</w:t>
      </w:r>
      <w:r w:rsidR="00E65382">
        <w:rPr>
          <w:rFonts w:ascii="Times New Roman" w:hAnsi="Times New Roman"/>
          <w:lang w:eastAsia="zh-CN"/>
        </w:rPr>
        <w:t>,</w:t>
      </w:r>
      <w:r w:rsidR="00AC6160">
        <w:rPr>
          <w:rFonts w:ascii="Times New Roman" w:hAnsi="Times New Roman"/>
          <w:lang w:eastAsia="zh-CN"/>
        </w:rPr>
        <w:t xml:space="preserve"> with chain length</w:t>
      </w:r>
      <w:r w:rsidR="00E90082">
        <w:rPr>
          <w:rFonts w:ascii="Times New Roman" w:hAnsi="Times New Roman"/>
          <w:lang w:eastAsia="zh-CN"/>
        </w:rPr>
        <w:t xml:space="preserve"> and distribution </w:t>
      </w:r>
      <w:r w:rsidR="007535EF">
        <w:rPr>
          <w:rFonts w:ascii="Times New Roman" w:hAnsi="Times New Roman"/>
          <w:lang w:eastAsia="zh-CN"/>
        </w:rPr>
        <w:t xml:space="preserve">strongly </w:t>
      </w:r>
      <w:r w:rsidR="00E90082">
        <w:rPr>
          <w:rFonts w:ascii="Times New Roman" w:hAnsi="Times New Roman"/>
          <w:lang w:eastAsia="zh-CN"/>
        </w:rPr>
        <w:t>influenced by the choice of synthe</w:t>
      </w:r>
      <w:r w:rsidR="007C0930">
        <w:rPr>
          <w:rFonts w:ascii="Times New Roman" w:hAnsi="Times New Roman"/>
          <w:lang w:eastAsia="zh-CN"/>
        </w:rPr>
        <w:t>tic</w:t>
      </w:r>
      <w:r w:rsidR="008120E2">
        <w:rPr>
          <w:rFonts w:ascii="Times New Roman" w:hAnsi="Times New Roman"/>
          <w:lang w:eastAsia="zh-CN"/>
        </w:rPr>
        <w:t xml:space="preserve"> route.</w:t>
      </w:r>
      <w:r w:rsidR="00E90082">
        <w:rPr>
          <w:rFonts w:ascii="Times New Roman" w:hAnsi="Times New Roman"/>
          <w:lang w:eastAsia="zh-CN"/>
        </w:rPr>
        <w:t xml:space="preserve"> </w:t>
      </w:r>
      <w:r w:rsidR="008120E2">
        <w:rPr>
          <w:rFonts w:ascii="Times New Roman" w:hAnsi="Times New Roman"/>
          <w:lang w:eastAsia="zh-CN"/>
        </w:rPr>
        <w:t>The</w:t>
      </w:r>
      <w:r w:rsidR="007966A0">
        <w:rPr>
          <w:rFonts w:ascii="Times New Roman" w:hAnsi="Times New Roman"/>
          <w:lang w:eastAsia="zh-CN"/>
        </w:rPr>
        <w:t xml:space="preserve"> composition of</w:t>
      </w:r>
      <w:r w:rsidR="008120E2">
        <w:rPr>
          <w:rFonts w:ascii="Times New Roman" w:hAnsi="Times New Roman"/>
          <w:lang w:eastAsia="zh-CN"/>
        </w:rPr>
        <w:t xml:space="preserve"> </w:t>
      </w:r>
      <w:r w:rsidR="007966A0">
        <w:rPr>
          <w:rFonts w:ascii="Times New Roman" w:hAnsi="Times New Roman"/>
          <w:lang w:eastAsia="zh-CN"/>
        </w:rPr>
        <w:t xml:space="preserve">the OME mixture can therefore be tuned </w:t>
      </w:r>
      <w:r w:rsidR="00E90082">
        <w:rPr>
          <w:rFonts w:ascii="Times New Roman" w:hAnsi="Times New Roman"/>
          <w:lang w:eastAsia="zh-CN"/>
        </w:rPr>
        <w:t>for a specific application</w:t>
      </w:r>
      <w:r w:rsidR="007966A0">
        <w:rPr>
          <w:rFonts w:ascii="Times New Roman" w:hAnsi="Times New Roman"/>
          <w:lang w:eastAsia="zh-CN"/>
        </w:rPr>
        <w:t>, and the chain length distribution can then be narrowed via molecular size reforming.</w:t>
      </w:r>
      <w:r w:rsidR="006A7A7F">
        <w:rPr>
          <w:rFonts w:ascii="Times New Roman" w:hAnsi="Times New Roman"/>
        </w:rPr>
        <w:fldChar w:fldCharType="begin"/>
      </w:r>
      <w:r w:rsidR="000A0BA0">
        <w:rPr>
          <w:rFonts w:ascii="Times New Roman" w:hAnsi="Times New Roman"/>
          <w:lang w:eastAsia="zh-CN"/>
        </w:rPr>
        <w:instrText xml:space="preserve"> ADDIN ZOTERO_ITEM CSL_CITATION {"citationID":"nGXxIcqz","properties":{"formattedCitation":"\\super 3,5,6,8\\uc0\\u8211{}11\\nosupersub{}","plainCitation":"3,5,6,8–11","noteIndex":0},"citationItems":[{"id":453,"uris":["http://zotero.org/users/4674022/items/45MEQ5G7"],"uri":["http://zotero.org/users/4674022/items/45MEQ5G7"],"itemData":{"id":453,"type":"article-journal","title":"Poly(oxymethylene) dimethyl ether synthesis – a combined chemical equilibrium investigation towards an increasingly efficient and potentially sustainable synthetic route","container-title":"Reaction Chemistry &amp; Engineering","page":"50-59","volume":"2","issue":"1","source":"pubs.rsc.org","abstract":"Polyoxymethylene dimethyl ethers (denoted hereon as OME) are potential sustainable fuels (e.g. as a diesel substitute). In this paper, the fundamental analysis of a potentially, sustainable synthetic OME system is presented (i.e. based on CH3OH synthesised from H2 and recycled CO2). In this context, a multicomponent thermodynamic vapour–liquid equilibrium model, based on CH3OH as the educt and source of H2CO for OME synthesis, is described. A thermodynamic equilibrium mathematical model for this complex (i.e. a 29 reaction network) CH3OH–H2CO equilibrium system is presented, capable of solving the sequential chemical and phase equilibrium, importantly considering all components in the reaction system including poly(oxymethylene) hemiformals and poly(oxymethylene) glycols. A theoretical efficiency evaluation indicates that the proposed anhydrous route is potentially more attractive than the conventional synthesis (i.e. based on dimethoxymethane and trioxane). To substantiate these theoretical investigations, a complimentary experimental batch OME synthesis is also presented, providing validation for the presented thermodynamic model. An initial kinetic analysis of the OME synthesis over different commercial catalysts is also highlighted. Our presented findings reliably describe the synthesis equilibrium with respect to our experimentally obtained results. The presented work supports further an operating OME synthesis framework based on CH3OH and H2CO and highlights the requirement for innovative process design regarding feed preparation, reactor technology, and product separation/fractions recycling.","DOI":"10.1039/C6RE00145A","ISSN":"2058-9883","journalAbbreviation":"React. Chem. Eng.","language":"en","author":[{"family":"Ouda","given":"M."},{"family":"Yarce","given":"G."},{"family":"White","given":"R. J."},{"family":"Hadrich","given":"M."},{"family":"Himmel","given":"D."},{"family":"Schaadt","given":"A."},{"family":"Klein","given":"H."},{"family":"Jacob","given":"E."},{"family":"Krossing","given":"I."}],"issued":{"date-parts":[["2017",2,7]]}}},{"id":"3ztE3XCs/CcZ79fxH","uris":["http://zotero.org/users/4674022/items/LHXIIUSH"],"uri":["http://zotero.org/users/4674022/items/LHXIIUSH"],"itemData":{"id":937,"type":"article-journal","title":"On the energetic efficiency of producing polyoxymethylene dimethyl ethers from CO2 using electrical energy","container-title":"Energy &amp; Environmental Science","source":"pubs.rsc.org","abstract":"Polyoxymethylene dimethyl ethers (OME) are promising electricity-based fuels (e-fuels). They enable low emissions of particulate matter and nitrous oxides. In this work, the energetic efficiency of OME production from CO2 employing electrical energy is calculated. CO2 capture is included in the analysis by considering direct air capture and post-combustion capture technologies. CO2 is converted to methanol using hydrogen produced by electrolysis. Two routes for OME synthesis are studied: OME synthesis directly from methanol and formaldehyde and OME synthesis via the two intermediates methylal and trioxane. The energetic efficiency of OME production is evaluated for different levels of heat integration and for variable electrolysis efficiencies. For an electrolysis efficiency of 60%, it ranks between 24.3 and 36.7%. The production of 1 kg OME3–5 (LHV of 18.9 MJ per kg) has an energy demand of 51.6–78.0 MJ. A comparison of the energetic efficiencies of the production of different e-fuels and the evaluation of future potential sets OME in an overall context.","URL":"https://pubs.rsc.org/en/content/articlelanding/2019/ee/c8ee02849d","DOI":"10.1039/C8EE02849D","ISSN":"1754-5706","journalAbbreviation":"Energy Environ. Sci.","language":"en","author":[{"family":"Held","given":"Maximilian"},{"family":"Tönges","given":"Yannic"},{"family":"Pélerin","given":"Dominik"},{"family":"Härtl","given":"Martin"},{"family":"Wachtmeister","given":"Georg"},{"family":"Burger","given":"Jakob"}],"issued":{"date-parts":[["2019",1,10]]},"accessed":{"date-parts":[["2019",3,4]]}},"label":"page"},{"id":940,"uris":["http://zotero.org/users/4674022/items/TTCXC2LQ"],"uri":["http://zotero.org/users/4674022/items/TTCXC2LQ"],"itemData":{"id":940,"type":"article-journal","title":"Towards a Sustainable Synthesis of Oxymethylene Dimethyl Ether by Homogeneous Catalysis and Uptake of Molecular Formaldehyde","container-title":"Angewandte Chemie International Edition","page":"9461-9464","volume":"57","issue":"30","source":"Wiley Online Library","abstract":"Oxymethylene dimethyl ethers (OMEn; CH3(-OCH2-)nO-CH3, n=3–5) are a novel class of sustainable synthetic fuels, which are of increasing interest due to their soot-free combustion. Herein a novel anhydrous OMEn synthesis route is presented. Catalyzed by trimethyloxonium salts, dimethoxymethane takes up monomeric gaseous formaldehyde instantaneously and forms high purity OMEn at temperatures of 25–30 °C. This new anhydrous approach using molecular formaldehyde and catalytic amounts of highly active trimethyloxonium salts represents a promising new step towards a sustainable formation of OMEn emanating from CO2 and H2.","DOI":"10.1002/anie.201802247","ISSN":"1521-3773","language":"en","author":[{"family":"Peter","given":"Andreas"},{"family":"Fehr","given":"Samuel M."},{"family":"Dybbert","given":"Valentin"},{"family":"Himmel","given":"Daniel"},{"family":"Lindner","given":"Ines"},{"family":"Jacob","given":"Eberhard"},{"family":"Ouda","given":"Mohamed"},{"family":"Schaadt","given":"Achim"},{"family":"White","given":"Robin J."},{"family":"Scherer","given":"Harald"},{"family":"Krossing","given":"Ingo"}],"issued":{"date-parts":[["2018"]]}},"label":"page"},{"id":943,"uris":["http://zotero.org/users/4674022/items/PKPJW3WX"],"uri":["http://zotero.org/users/4674022/items/PKPJW3WX"],"itemData":{"id":943,"type":"article-journal","title":"Poly(oxymethylene) dimethyl ethers as components of tailored diesel fuel: Properties, synthesis and purification concepts","container-title":"Fuel","page":"3315-3319","volume":"89","issue":"11","source":"ScienceDirect","abstract":"Poly(oxymethylene) dimethyl ethers (POMDMEs) open a new route for tailoring diesel fuels. POMDMEs belong to the group of oxygenates which reduce soot formation in the combustion when added to diesel fuels. They can be produced on a large scale based on gas-to-liquid technology. The present work first gives an overview of oxygenates as components of diesel fuels and process technology for their production. Then properties and chemistry of POMDMEs are discussed in detail. A particularly favorable route for their large scale production in which they are formed from methylal and trioxane is proposed and a feasible concept for this process is presented together with data on the reaction equilibrium that was taken in a batch reactor.","DOI":"10.1016/j.fuel.2010.05.014","ISSN":"0016-2361","title-short":"Poly(oxymethylene) dimethyl ethers as components of tailored diesel fuel","journalAbbreviation":"Fuel","author":[{"family":"Burger","given":"Jakob"},{"family":"Siegert","given":"Markus"},{"family":"Ströfer","given":"Eckhard"},{"family":"Hasse","given":"Hans"}],"issued":{"date-parts":[["2010",11,1]]}}},{"id":946,"uris":["http://zotero.org/users/4674022/items/FDUS39FP"],"uri":["http://zotero.org/users/4674022/items/FDUS39FP"],"itemData":{"id":946,"type":"article-journal","title":"Chemical Equilibrium of the Synthesis of Poly(oxymethylene) Dimethyl Ethers from Formaldehyde and Methanol in Aqueous Solutions","container-title":"Industrial &amp; Engineering Chemistry Research","page":"6409-6417","volume":"54","issue":"25","source":"ACS Publications","abstract":"Poly(oxymethylene) dimethyl ethers (OME) reduce soot formation during the combustion process when added to diesel fuels. OME are a gas-to-liquid option as they can be produced via methanol from natural gas or renewable feedstocks. This work deals with the synthesis of OME from the educts formaldehyde and methanol in aqueous solutions. The studied mixtures are complex reacting systems in which, poly(oxymethylene) glycols and poly(oxymethylene) hemiformals), in addition to OME are present. The chemical equilibrium of OME formation is studied in a stirred batch reactor in which the educts’ overall ratio of formaldehyde to methanol, the amount of water, and the temperature (333.15 and 378.15 K) varies. A mole fraction-based and an activity-based model of the chemical equilibrium of the OME formation are developed, which explicitly account for the formation of poly(oxymethylene) glycols and poly(oxymethylene) hemiformals. Information on the latter reactions from the literature are confirmed by NMR experiments in the present work.","DOI":"10.1021/acs.iecr.5b01148","ISSN":"0888-5885","journalAbbreviation":"Ind. Eng. Chem. Res.","author":[{"family":"Schmitz","given":"Niklas"},{"family":"Homberg","given":"Fabian"},{"family":"Berje","given":"Jürgen"},{"family":"Burger","given":"Jakob"},{"family":"Hasse","given":"Hans"}],"issued":{"date-parts":[["2015",7,1]]}}},{"id":950,"uris":["http://zotero.org/users/4674022/items/94XKUQ4I"],"uri":["http://zotero.org/users/4674022/items/94XKUQ4I"],"itemData":{"id":950,"type":"article-journal","title":"Synthesis of Polyoxymethylene Dimethyl Ethers Catalyzed by Brønsted Acid Ionic Liquids with Alkanesulfonic Acid Groups","container-title":"Industrial &amp; Engineering Chemistry Research","page":"16254-16260","volume":"53","issue":"42","source":"ACS Publications","abstract":"Catalytic reaction of methylal (DMM) with trioxane (TOX) for preparation of polyoxymethylene dimethyl ethers (PODMEn, CH3O(CH2O)nCH3, where n &gt; 1) was investigated in a series of Brønsted acid ionic liquids with alkanesulfonic acid groups. The structures, acidities, and properties of ionic liquids were experimentally characterized and theoretically analyzed. The Brønsted acidity–activity correlation for the ionic liquids was studied. Among all these ionic liquids, 1-(4-sulfonic acid) butylpyridinium hydrogen sulfate ([PY-BS][HSO4–]) exhibited the best catalytic performance, which was ascribed to its strong Brønsted acidity. The influences of ionic liquid dosage, molar ratio of DMM to TOX, and reaction temperature on the catalytic reaction were explored using [PY-BS][HSO4–] as the catalyst. Under the optimal conditions of n(methylal):n(trioxane):n(ILs) = 180:60:1, 170 °C, and 10h, the conversion of trioxane and the selectivity of PODME3–8 were as high as 91.18% and 70.90%, respectively. The ionic liquid [PY-BS][HSO4–] could be reused.","DOI":"10.1021/ie502409t","ISSN":"0888-5885","journalAbbreviation":"Ind. Eng. Chem. Res.","author":[{"family":"Wu","given":"Qin"},{"family":"Wang","given":"Min"},{"family":"Hao","given":"Yu"},{"family":"Li","given":"Hansheng"},{"family":"Zhao","given":"Yun"},{"family":"Jiao","given":"Qingze"}],"issued":{"date-parts":[["2014",10,22]]}}},{"id":464,"uris":["http://zotero.org/users/4674022/items/RTNIAN6T"],"uri":["http://zotero.org/users/4674022/items/RTNIAN6T"],"itemData":{"id":464,"type":"article-journal","title":"Molecular size reforming of undersized and oversized polyoxymethylene dimethyl ethers","container-title":"RSC Advances","page":"77116-77125","volume":"6","issue":"81","source":"pubs.rsc.org","abstract":"Polyoxymethylene dimethyl ethers (CH3–O–(CH2O)n–CH3, PODEn) are potential environmentally benign coal-based diesel fuel blending compounds. They are synthesized from dimethoxymethane (DMM) and paraformaldehyde (PF). Among the PODEn homologues, PODE3–4 have a good match with diesel as a fuel, while the undersized PODE1–2 and oversized PODEn&gt;4 have unsuitable properties. This work studied the molecular size reforming of undersized PODE1–2 and oversized PODEn&gt;4 by two different methods, namely, self-reforming and reacting with DMM over an acidic ion exchange resin. The molecular size reforming of PODE1–2 and PODEn&gt;4 by self-reforming gave a high concentration of formaldehyde, which shifted the distribution to longer chain PODEn and formed solid PF. In contrast, PODE1–2 and PODEn&gt;4 were mainly converted to PODE3–4 by the reaction with DMM and the high concentration of formaldehyde was also diminished. The equilibrium reorganized molecular size distribution of PODE1–2 and PODEn&gt;4 followed the Schulz–Flory distribution. A proposed kinetic model described well the molecular size reforming pathways of PODE1–2 and PODEn&gt;4. A methanol-to-PODEn close-loop process was proposed to enhance atom-economy by recycling the PODE1–2 and PODEn&gt;4 streams.","DOI":"10.1039/C6RA08255F","ISSN":"2046-2069","journalAbbreviation":"RSC Adv.","language":"en","author":[{"family":"Zheng","given":"Yanyan"},{"family":"Liu","given":"Fang"},{"family":"Guo","given":"Liang"},{"family":"Wang","given":"Tiefeng"},{"family":"Wang","given":"Jinfu"}],"issued":{"date-parts":[["2016",8,15]]}}}],"schema":"https://github.com/citation-style-language/schema/raw/master/csl-citation.json"} </w:instrText>
      </w:r>
      <w:r w:rsidR="006A7A7F">
        <w:rPr>
          <w:rFonts w:ascii="Times New Roman" w:hAnsi="Times New Roman"/>
        </w:rPr>
        <w:fldChar w:fldCharType="separate"/>
      </w:r>
      <w:r w:rsidR="000A0BA0" w:rsidRPr="000A0BA0">
        <w:rPr>
          <w:rFonts w:ascii="Times New Roman" w:hAnsi="Times New Roman"/>
          <w:vertAlign w:val="superscript"/>
        </w:rPr>
        <w:t>3,5,6,8–11</w:t>
      </w:r>
      <w:r w:rsidR="006A7A7F">
        <w:rPr>
          <w:rFonts w:ascii="Times New Roman" w:hAnsi="Times New Roman"/>
        </w:rPr>
        <w:fldChar w:fldCharType="end"/>
      </w:r>
      <w:r w:rsidR="008726F3" w:rsidRPr="006A7A7F">
        <w:rPr>
          <w:rFonts w:ascii="Times New Roman" w:hAnsi="Times New Roman"/>
        </w:rPr>
        <w:t xml:space="preserve"> </w:t>
      </w:r>
      <w:r w:rsidR="00641708">
        <w:rPr>
          <w:rFonts w:ascii="Times New Roman" w:hAnsi="Times New Roman"/>
        </w:rPr>
        <w:t xml:space="preserve">This capacity to tune the composition, and therefore the properties, of an OME mixture is important for designer fuel production and </w:t>
      </w:r>
      <w:r w:rsidR="00AE0A62">
        <w:rPr>
          <w:rFonts w:ascii="Times New Roman" w:hAnsi="Times New Roman"/>
        </w:rPr>
        <w:t>other</w:t>
      </w:r>
      <w:r w:rsidR="00641708">
        <w:rPr>
          <w:rFonts w:ascii="Times New Roman" w:hAnsi="Times New Roman"/>
        </w:rPr>
        <w:t xml:space="preserve"> applications, such as OME solvents. </w:t>
      </w:r>
      <w:r w:rsidR="007966A0">
        <w:rPr>
          <w:rFonts w:ascii="Times New Roman" w:hAnsi="Times New Roman"/>
        </w:rPr>
        <w:t>Individual OMEs can be isolated</w:t>
      </w:r>
      <w:r w:rsidR="00641708">
        <w:rPr>
          <w:rFonts w:ascii="Times New Roman" w:hAnsi="Times New Roman"/>
        </w:rPr>
        <w:t>, typically</w:t>
      </w:r>
      <w:r w:rsidR="007966A0">
        <w:rPr>
          <w:rFonts w:ascii="Times New Roman" w:hAnsi="Times New Roman"/>
        </w:rPr>
        <w:t xml:space="preserve"> via distillation, but the process is energy-intensive and costly</w:t>
      </w:r>
      <w:r w:rsidR="00BF7062">
        <w:rPr>
          <w:rFonts w:ascii="Times New Roman" w:hAnsi="Times New Roman"/>
        </w:rPr>
        <w:t>, putting the</w:t>
      </w:r>
      <w:r w:rsidR="00AE0A62">
        <w:rPr>
          <w:rFonts w:ascii="Times New Roman" w:hAnsi="Times New Roman"/>
        </w:rPr>
        <w:t xml:space="preserve"> price of</w:t>
      </w:r>
      <w:r w:rsidR="00BF7062">
        <w:rPr>
          <w:rFonts w:ascii="Times New Roman" w:hAnsi="Times New Roman"/>
        </w:rPr>
        <w:t xml:space="preserve"> pure </w:t>
      </w:r>
      <w:r w:rsidR="00AE0A62">
        <w:rPr>
          <w:rFonts w:ascii="Times New Roman" w:hAnsi="Times New Roman"/>
        </w:rPr>
        <w:t>OMEs</w:t>
      </w:r>
      <w:r w:rsidR="00BF7062">
        <w:rPr>
          <w:rFonts w:ascii="Times New Roman" w:hAnsi="Times New Roman"/>
        </w:rPr>
        <w:t xml:space="preserve"> well above the solvent range</w:t>
      </w:r>
      <w:r w:rsidR="00AE0A62">
        <w:rPr>
          <w:rFonts w:ascii="Times New Roman" w:hAnsi="Times New Roman"/>
        </w:rPr>
        <w:t>.</w:t>
      </w:r>
      <w:r w:rsidR="00BF7062">
        <w:rPr>
          <w:rFonts w:ascii="Times New Roman" w:hAnsi="Times New Roman"/>
        </w:rPr>
        <w:t xml:space="preserve"> </w:t>
      </w:r>
      <w:r w:rsidR="00AE0A62">
        <w:rPr>
          <w:rFonts w:ascii="Times New Roman" w:hAnsi="Times New Roman"/>
        </w:rPr>
        <w:t xml:space="preserve">A tailored mixture, on the other hand, </w:t>
      </w:r>
      <w:r w:rsidR="00BF7062">
        <w:rPr>
          <w:rFonts w:ascii="Times New Roman" w:hAnsi="Times New Roman"/>
        </w:rPr>
        <w:t xml:space="preserve">could potentially </w:t>
      </w:r>
      <w:r w:rsidR="00AE0A62">
        <w:rPr>
          <w:rFonts w:ascii="Times New Roman" w:hAnsi="Times New Roman"/>
        </w:rPr>
        <w:t>be cost-competitive</w:t>
      </w:r>
      <w:r w:rsidR="00BF7062">
        <w:rPr>
          <w:rFonts w:ascii="Times New Roman" w:hAnsi="Times New Roman"/>
        </w:rPr>
        <w:t xml:space="preserve"> </w:t>
      </w:r>
      <w:r w:rsidR="00AE0A62">
        <w:rPr>
          <w:rFonts w:ascii="Times New Roman" w:hAnsi="Times New Roman"/>
        </w:rPr>
        <w:t>with traditional solvents</w:t>
      </w:r>
      <w:r w:rsidR="007966A0">
        <w:rPr>
          <w:rFonts w:ascii="Times New Roman" w:hAnsi="Times New Roman"/>
        </w:rPr>
        <w:t xml:space="preserve">. </w:t>
      </w:r>
      <w:r w:rsidR="00654453">
        <w:rPr>
          <w:rFonts w:ascii="Times New Roman" w:hAnsi="Times New Roman"/>
        </w:rPr>
        <w:lastRenderedPageBreak/>
        <w:t xml:space="preserve">For example, White </w:t>
      </w:r>
      <w:r w:rsidR="00654453" w:rsidRPr="00654453">
        <w:rPr>
          <w:rFonts w:ascii="Times New Roman" w:hAnsi="Times New Roman"/>
          <w:i/>
        </w:rPr>
        <w:t>et al.</w:t>
      </w:r>
      <w:r w:rsidR="00654453">
        <w:rPr>
          <w:rFonts w:ascii="Times New Roman" w:hAnsi="Times New Roman"/>
        </w:rPr>
        <w:t xml:space="preserve"> have recently reported the synthesis of OME</w:t>
      </w:r>
      <w:r w:rsidR="00654453" w:rsidRPr="00654453">
        <w:rPr>
          <w:rFonts w:ascii="Times New Roman" w:hAnsi="Times New Roman"/>
          <w:vertAlign w:val="subscript"/>
        </w:rPr>
        <w:t>3-5</w:t>
      </w:r>
      <w:r w:rsidR="00654453">
        <w:rPr>
          <w:rFonts w:ascii="Times New Roman" w:hAnsi="Times New Roman"/>
        </w:rPr>
        <w:t xml:space="preserve"> from a gaseous formaldehyde/methanol stream</w:t>
      </w:r>
      <w:r w:rsidR="008726F3">
        <w:rPr>
          <w:rFonts w:ascii="Times New Roman" w:hAnsi="Times New Roman"/>
        </w:rPr>
        <w:t>.</w:t>
      </w:r>
      <w:r w:rsidR="00654453">
        <w:rPr>
          <w:rFonts w:ascii="Times New Roman" w:hAnsi="Times New Roman"/>
        </w:rPr>
        <w:fldChar w:fldCharType="begin"/>
      </w:r>
      <w:r w:rsidR="000A0BA0">
        <w:rPr>
          <w:rFonts w:ascii="Times New Roman" w:hAnsi="Times New Roman"/>
        </w:rPr>
        <w:instrText xml:space="preserve"> ADDIN ZOTERO_ITEM CSL_CITATION {"citationID":"0dTS0zpT","properties":{"formattedCitation":"\\super 12\\nosupersub{}","plainCitation":"12","noteIndex":0},"citationItems":[{"id":824,"uris":["http://zotero.org/users/4674022/items/KYM5D4YV"],"uri":["http://zotero.org/users/4674022/items/KYM5D4YV"],"itemData":{"id":824,"type":"article-journal","title":"A hybrid description and evaluation of oxymethylene dimethyl ethers synthesis based on the endothermic dehydrogenation of methanol","container-title":"Reaction Chemistry &amp; Engineering","page":"676-695","volume":"3","issue":"5","source":"pubs.rsc.org","abstract":"Concerning oxymethylene dimethyl ethers (e.g. a class of potential oxygenated diesel substitutes; denoted as OME), this work utilises a hybrid process model based on methanol (MeOH) and its partially selective conversion to anhydrous formaldehyde (FA, target MeOH conversion ≥67% and target FA selectivity ≥93%), which in turn is used as the feed for OME synthesis. The model couples the merits of algorithms available in the commercial software CHEMCAD® together with self-developed reactor models as implemented through Matlab® and the coupling node implemented in Visual Basic for Applications (VBA) software. This is followed by process heat integration using PinCH 2.0 software. This modelling is complemented by experimental investigations and results concerning the synthesis of the anhydrous FA/MeOH feed through a designed and developed annular counter current reactor, with the use of Na2CO3 as an inexpensive and sustainable dehydrogenation catalyst. The process material and energy balance of the proposed process have also been used to evaluate the key performance indicators (KPIs). An overall process yield of 80.3% at 71.7% process energy efficiency and production cost of 951 US$ per ton of OME3–5 at small production capacity (35 kt per annum) demonstrates the technical and the economic potential of the described process.","DOI":"10.1039/C8RE00100F","ISSN":"2058-9883","journalAbbreviation":"React. Chem. Eng.","language":"en","author":[{"family":"Ouda","given":"Mohamed"},{"family":"Mantei","given":"Franz"},{"family":"Hesterwerth","given":"Kai"},{"family":"Bargiacchi","given":"Eleonora"},{"family":"Klein","given":"Harald"},{"family":"White","given":"Robin J."}],"issued":{"date-parts":[["2018",10,2]]}}}],"schema":"https://github.com/citation-style-language/schema/raw/master/csl-citation.json"} </w:instrText>
      </w:r>
      <w:r w:rsidR="00654453">
        <w:rPr>
          <w:rFonts w:ascii="Times New Roman" w:hAnsi="Times New Roman"/>
        </w:rPr>
        <w:fldChar w:fldCharType="separate"/>
      </w:r>
      <w:r w:rsidR="000A0BA0" w:rsidRPr="000A0BA0">
        <w:rPr>
          <w:rFonts w:ascii="Times New Roman" w:hAnsi="Times New Roman"/>
          <w:vertAlign w:val="superscript"/>
        </w:rPr>
        <w:t>12</w:t>
      </w:r>
      <w:r w:rsidR="00654453">
        <w:rPr>
          <w:rFonts w:ascii="Times New Roman" w:hAnsi="Times New Roman"/>
        </w:rPr>
        <w:fldChar w:fldCharType="end"/>
      </w:r>
      <w:r w:rsidR="00654453">
        <w:rPr>
          <w:rFonts w:ascii="Times New Roman" w:hAnsi="Times New Roman"/>
        </w:rPr>
        <w:t xml:space="preserve"> The overall production cost </w:t>
      </w:r>
      <w:r w:rsidR="00BF7062">
        <w:rPr>
          <w:rFonts w:ascii="Times New Roman" w:hAnsi="Times New Roman"/>
        </w:rPr>
        <w:t xml:space="preserve">for this process </w:t>
      </w:r>
      <w:r w:rsidR="00654453">
        <w:rPr>
          <w:rFonts w:ascii="Times New Roman" w:hAnsi="Times New Roman"/>
        </w:rPr>
        <w:t xml:space="preserve">was </w:t>
      </w:r>
      <w:r w:rsidR="00065825">
        <w:rPr>
          <w:rFonts w:ascii="Times New Roman" w:hAnsi="Times New Roman"/>
        </w:rPr>
        <w:t xml:space="preserve">modeled and estimated to be </w:t>
      </w:r>
      <w:r w:rsidR="00654453">
        <w:rPr>
          <w:rFonts w:ascii="Times New Roman" w:hAnsi="Times New Roman"/>
        </w:rPr>
        <w:t>951 USD per ton of OME</w:t>
      </w:r>
      <w:r w:rsidR="00654453" w:rsidRPr="00654453">
        <w:rPr>
          <w:rFonts w:ascii="Times New Roman" w:hAnsi="Times New Roman"/>
          <w:vertAlign w:val="subscript"/>
        </w:rPr>
        <w:t>3-5</w:t>
      </w:r>
      <w:r w:rsidR="00654453">
        <w:rPr>
          <w:rFonts w:ascii="Times New Roman" w:hAnsi="Times New Roman"/>
        </w:rPr>
        <w:t xml:space="preserve"> at a scale of 35 kt per annum</w:t>
      </w:r>
      <w:r w:rsidR="007966A0">
        <w:rPr>
          <w:rFonts w:ascii="Times New Roman" w:hAnsi="Times New Roman"/>
        </w:rPr>
        <w:t xml:space="preserve">, on par with the rough </w:t>
      </w:r>
      <w:r w:rsidR="00BF7062">
        <w:rPr>
          <w:rFonts w:ascii="Times New Roman" w:hAnsi="Times New Roman"/>
        </w:rPr>
        <w:t>price</w:t>
      </w:r>
      <w:r w:rsidR="007966A0">
        <w:rPr>
          <w:rFonts w:ascii="Times New Roman" w:hAnsi="Times New Roman"/>
        </w:rPr>
        <w:t xml:space="preserve"> of acetone (USD 900-1300/ton</w:t>
      </w:r>
      <w:r w:rsidR="00BF7062">
        <w:rPr>
          <w:rFonts w:ascii="Times New Roman" w:hAnsi="Times New Roman"/>
        </w:rPr>
        <w:t>).</w:t>
      </w:r>
      <w:r w:rsidR="00BF7062">
        <w:rPr>
          <w:rFonts w:ascii="Times New Roman" w:hAnsi="Times New Roman"/>
        </w:rPr>
        <w:fldChar w:fldCharType="begin"/>
      </w:r>
      <w:r w:rsidR="000A0BA0">
        <w:rPr>
          <w:rFonts w:ascii="Times New Roman" w:hAnsi="Times New Roman"/>
        </w:rPr>
        <w:instrText xml:space="preserve"> ADDIN ZOTERO_ITEM CSL_CITATION {"citationID":"0SBeOslG","properties":{"formattedCitation":"\\super 13\\nosupersub{}","plainCitation":"13","noteIndex":0},"citationItems":[{"id":1008,"uris":["http://zotero.org/users/4674022/items/HS8GINK7"],"uri":["http://zotero.org/users/4674022/items/HS8GINK7"],"itemData":{"id":1008,"type":"article-magazine","title":"Chemicals A-Z","container-title":"ICIS Chemical Market Reporter","abstract":"This broad list of chemical prices is taken from the 28 August 2006 issue of Chemical Market Reporter (now rebranded and incorporated into ICIS Chemical Business). The list consists of static price indications from that issue.","URL":"https://www.icis.com/explore/chemicals/channel-info-chemicals-a-z/","language":"en-US","author":[{"literal":"Independent Chemical Information Services"}],"issued":{"date-parts":[["2006",8,28]]},"accessed":{"date-parts":[["2019",4,19]]}}}],"schema":"https://github.com/citation-style-language/schema/raw/master/csl-citation.json"} </w:instrText>
      </w:r>
      <w:r w:rsidR="00BF7062">
        <w:rPr>
          <w:rFonts w:ascii="Times New Roman" w:hAnsi="Times New Roman"/>
        </w:rPr>
        <w:fldChar w:fldCharType="separate"/>
      </w:r>
      <w:r w:rsidR="000A0BA0" w:rsidRPr="000A0BA0">
        <w:rPr>
          <w:rFonts w:ascii="Times New Roman" w:hAnsi="Times New Roman"/>
          <w:vertAlign w:val="superscript"/>
        </w:rPr>
        <w:t>13</w:t>
      </w:r>
      <w:r w:rsidR="00BF7062">
        <w:rPr>
          <w:rFonts w:ascii="Times New Roman" w:hAnsi="Times New Roman"/>
        </w:rPr>
        <w:fldChar w:fldCharType="end"/>
      </w:r>
      <w:r w:rsidR="007966A0">
        <w:rPr>
          <w:rFonts w:ascii="Times New Roman" w:hAnsi="Times New Roman"/>
        </w:rPr>
        <w:t xml:space="preserve"> </w:t>
      </w:r>
    </w:p>
    <w:p w14:paraId="6EF8AF51" w14:textId="5F84CF7F" w:rsidR="007535EF" w:rsidRPr="00D5496F" w:rsidRDefault="00C01A7B" w:rsidP="00B8644B">
      <w:pPr>
        <w:pStyle w:val="TAMainText"/>
        <w:spacing w:after="360"/>
        <w:ind w:firstLine="204"/>
        <w:rPr>
          <w:rFonts w:ascii="Times New Roman" w:hAnsi="Times New Roman"/>
        </w:rPr>
      </w:pPr>
      <w:r w:rsidRPr="00D5496F">
        <w:rPr>
          <w:rFonts w:ascii="Times New Roman" w:hAnsi="Times New Roman"/>
        </w:rPr>
        <w:t xml:space="preserve">Applications of OMEs outside the fuel sector have not </w:t>
      </w:r>
      <w:r w:rsidR="00556C7F">
        <w:rPr>
          <w:rFonts w:ascii="Times New Roman" w:hAnsi="Times New Roman"/>
        </w:rPr>
        <w:t xml:space="preserve">previously </w:t>
      </w:r>
      <w:r w:rsidRPr="00D5496F">
        <w:rPr>
          <w:rFonts w:ascii="Times New Roman" w:hAnsi="Times New Roman"/>
        </w:rPr>
        <w:t>been explored in any depth</w:t>
      </w:r>
      <w:r w:rsidR="00556C7F">
        <w:rPr>
          <w:rFonts w:ascii="Times New Roman" w:hAnsi="Times New Roman"/>
        </w:rPr>
        <w:t>, with the exception of their use as physical sorbents for CO</w:t>
      </w:r>
      <w:r w:rsidR="00556C7F">
        <w:rPr>
          <w:rFonts w:ascii="Times New Roman" w:hAnsi="Times New Roman"/>
          <w:vertAlign w:val="subscript"/>
        </w:rPr>
        <w:t>2</w:t>
      </w:r>
      <w:r w:rsidRPr="00D5496F">
        <w:rPr>
          <w:rFonts w:ascii="Times New Roman" w:hAnsi="Times New Roman"/>
        </w:rPr>
        <w:t>.</w:t>
      </w:r>
      <w:r w:rsidR="00556C7F">
        <w:rPr>
          <w:rFonts w:ascii="Times New Roman" w:hAnsi="Times New Roman"/>
        </w:rPr>
        <w:fldChar w:fldCharType="begin"/>
      </w:r>
      <w:r w:rsidR="000A0BA0">
        <w:rPr>
          <w:rFonts w:ascii="Times New Roman" w:hAnsi="Times New Roman"/>
        </w:rPr>
        <w:instrText xml:space="preserve"> ADDIN ZOTERO_ITEM CSL_CITATION {"citationID":"hT8cNNbB","properties":{"formattedCitation":"\\super 2,14\\nosupersub{}","plainCitation":"2,14","noteIndex":0},"citationItems":[{"id":826,"uris":["http://zotero.org/users/4674022/items/QMYB7TLB"],"uri":["http://zotero.org/users/4674022/items/QMYB7TLB"],"itemData":{"id":826,"type":"article-journal","title":"Alternative Liquid Fuels from Renewable Resources","container-title":"Chemie Ingenieur Technik","page":"99-112","volume":"90","issue":"1-2","source":"Wiley Online Library","abstract":"Recent progress regarding the production of alternative liquid fuels is described with a focus on catalyst development. Fuels for spark ignition engines as well as diesel fuels are considered and their potentials regarding the reduction of harmful emissions are addressed. Two main strategies are described. The first implies production of synthesis gas from renewables or CO2 and subsequent synthesis of methanol or dimethyl ether. Both can be further converted to a series of valuable fuels, e.g., high-quality gasoline or oxymethylene ethers. The second strategy comprises the production of ethanol and its conversion to gasoline.","DOI":"10.1002/cite.201700117","ISSN":"1522-2640","language":"en","author":[{"family":"Niethammer","given":"Benjamin"},{"family":"Wodarz","given":"Simon"},{"family":"Betz","given":"Matthias"},{"family":"Haltenort","given":"Philipp"},{"family":"Oestreich","given":"Dorian"},{"family":"Hackbarth","given":"Kathrin"},{"family":"Arnold","given":"Ulrich"},{"family":"Otto","given":"Thomas"},{"family":"Sauer","given":"Jörg"}],"issued":{"date-parts":[["2018"]]}}},{"id":822,"uris":["http://zotero.org/users/4674022/items/SKSWHKC6"],"uri":["http://zotero.org/users/4674022/items/SKSWHKC6"],"itemData":{"id":822,"type":"article-journal","title":"Solubility of Carbon Dioxide in Poly(oxymethylene) Dimethyl Ethers","container-title":"Journal of Chemical &amp; Engineering Data","page":"4027-4031","volume":"62","issue":"11","source":"ACS Publications","abstract":"Experimental data on the solubility of carbon dioxide (CO2) in poly(oxymethylene) dimethyl ethers (CH3O(CH2O)nCH3, OMEn) are presented for OME2, OME3, and OME4. The total pressure was measured as a function of the liquid phase composition at 313.15 and 353.15 K for pressures up to 4.3 MPa in a high-pressure view-cell. Henry’s law constants of CO2 in OME2, OME3, and OME4 are determined. They are similar for all studied OME and depend strongly on the temperature. The experimental data are modeled by the original perturbed-chain statistical associating fluid theory equation of state. As a basis, pure component models for OME were developed based on literature data on the liquid density and vapor pressure. The solubility of CO2 in OME is successfully described using a group contribution scheme. The results show that OME are interesting candidates as physical absorbents for CO2.","DOI":"10.1021/acs.jced.7b00718","ISSN":"0021-9568","journalAbbreviation":"J. Chem. Eng. Data","author":[{"family":"Schappals","given":"Michael"},{"family":"Breug-Nissen","given":"Tanja"},{"family":"Langenbach","given":"Kai"},{"family":"Burger","given":"Jakob"},{"family":"Hasse","given":"Hans"}],"issued":{"date-parts":[["2017",11,9]]}}}],"schema":"https://github.com/citation-style-language/schema/raw/master/csl-citation.json"} </w:instrText>
      </w:r>
      <w:r w:rsidR="00556C7F">
        <w:rPr>
          <w:rFonts w:ascii="Times New Roman" w:hAnsi="Times New Roman"/>
        </w:rPr>
        <w:fldChar w:fldCharType="separate"/>
      </w:r>
      <w:r w:rsidR="000A0BA0" w:rsidRPr="000A0BA0">
        <w:rPr>
          <w:rFonts w:ascii="Times New Roman" w:hAnsi="Times New Roman"/>
          <w:vertAlign w:val="superscript"/>
        </w:rPr>
        <w:t>2,14</w:t>
      </w:r>
      <w:r w:rsidR="00556C7F">
        <w:rPr>
          <w:rFonts w:ascii="Times New Roman" w:hAnsi="Times New Roman"/>
        </w:rPr>
        <w:fldChar w:fldCharType="end"/>
      </w:r>
      <w:r w:rsidRPr="00D5496F">
        <w:rPr>
          <w:rFonts w:ascii="Times New Roman" w:hAnsi="Times New Roman"/>
        </w:rPr>
        <w:t xml:space="preserve"> </w:t>
      </w:r>
      <w:r w:rsidR="00605658">
        <w:rPr>
          <w:rFonts w:ascii="Times New Roman" w:hAnsi="Times New Roman"/>
        </w:rPr>
        <w:t>Their</w:t>
      </w:r>
      <w:r w:rsidRPr="00D5496F">
        <w:rPr>
          <w:rFonts w:ascii="Times New Roman" w:hAnsi="Times New Roman"/>
        </w:rPr>
        <w:t xml:space="preserve"> wide liquid range, low </w:t>
      </w:r>
      <w:r w:rsidRPr="00556C7F">
        <w:rPr>
          <w:rFonts w:ascii="Times New Roman" w:hAnsi="Times New Roman"/>
          <w:color w:val="000000" w:themeColor="text1"/>
          <w:szCs w:val="24"/>
        </w:rPr>
        <w:t>viscosity</w:t>
      </w:r>
      <w:r w:rsidR="00B46547" w:rsidRPr="00556C7F">
        <w:rPr>
          <w:rFonts w:ascii="Times New Roman" w:hAnsi="Times New Roman"/>
          <w:color w:val="000000" w:themeColor="text1"/>
          <w:szCs w:val="24"/>
        </w:rPr>
        <w:t xml:space="preserve"> (</w:t>
      </w:r>
      <w:r w:rsidR="009F11B6" w:rsidRPr="00556C7F">
        <w:rPr>
          <w:rFonts w:ascii="Times New Roman" w:hAnsi="Times New Roman"/>
          <w:color w:val="000000" w:themeColor="text1"/>
          <w:szCs w:val="24"/>
        </w:rPr>
        <w:fldChar w:fldCharType="begin"/>
      </w:r>
      <w:r w:rsidR="009F11B6" w:rsidRPr="00556C7F">
        <w:rPr>
          <w:rFonts w:ascii="Times New Roman" w:hAnsi="Times New Roman"/>
          <w:color w:val="000000" w:themeColor="text1"/>
          <w:szCs w:val="24"/>
        </w:rPr>
        <w:instrText xml:space="preserve"> REF _Ref6845266 \h  \* MERGEFORMAT </w:instrText>
      </w:r>
      <w:r w:rsidR="009F11B6" w:rsidRPr="00556C7F">
        <w:rPr>
          <w:rFonts w:ascii="Times New Roman" w:hAnsi="Times New Roman"/>
          <w:color w:val="000000" w:themeColor="text1"/>
          <w:szCs w:val="24"/>
        </w:rPr>
      </w:r>
      <w:r w:rsidR="009F11B6" w:rsidRPr="00556C7F">
        <w:rPr>
          <w:rFonts w:ascii="Times New Roman" w:hAnsi="Times New Roman"/>
          <w:color w:val="000000" w:themeColor="text1"/>
          <w:szCs w:val="24"/>
        </w:rPr>
        <w:fldChar w:fldCharType="separate"/>
      </w:r>
      <w:r w:rsidR="003C715B" w:rsidRPr="003C715B">
        <w:rPr>
          <w:rFonts w:ascii="Times New Roman" w:hAnsi="Times New Roman"/>
          <w:color w:val="000000" w:themeColor="text1"/>
          <w:szCs w:val="24"/>
        </w:rPr>
        <w:t>Table 1</w:t>
      </w:r>
      <w:r w:rsidR="009F11B6" w:rsidRPr="00556C7F">
        <w:rPr>
          <w:rFonts w:ascii="Times New Roman" w:hAnsi="Times New Roman"/>
          <w:color w:val="000000" w:themeColor="text1"/>
          <w:szCs w:val="24"/>
        </w:rPr>
        <w:fldChar w:fldCharType="end"/>
      </w:r>
      <w:r w:rsidR="00B46547" w:rsidRPr="00556C7F">
        <w:rPr>
          <w:rFonts w:ascii="Times New Roman" w:hAnsi="Times New Roman"/>
          <w:color w:val="000000" w:themeColor="text1"/>
          <w:szCs w:val="24"/>
        </w:rPr>
        <w:t>)</w:t>
      </w:r>
      <w:r w:rsidRPr="00556C7F">
        <w:rPr>
          <w:rFonts w:ascii="Times New Roman" w:hAnsi="Times New Roman"/>
          <w:color w:val="000000" w:themeColor="text1"/>
          <w:szCs w:val="24"/>
        </w:rPr>
        <w:t>,</w:t>
      </w:r>
      <w:r w:rsidRPr="00D5496F">
        <w:rPr>
          <w:rFonts w:ascii="Times New Roman" w:hAnsi="Times New Roman"/>
        </w:rPr>
        <w:t xml:space="preserve"> and the option to t</w:t>
      </w:r>
      <w:r w:rsidR="00556C7F">
        <w:rPr>
          <w:rFonts w:ascii="Times New Roman" w:hAnsi="Times New Roman"/>
        </w:rPr>
        <w:t xml:space="preserve">une the product mixture </w:t>
      </w:r>
      <w:r w:rsidR="00605658">
        <w:rPr>
          <w:rFonts w:ascii="Times New Roman" w:hAnsi="Times New Roman"/>
        </w:rPr>
        <w:t>makes OMEs potential solvents</w:t>
      </w:r>
      <w:r w:rsidR="00065825">
        <w:rPr>
          <w:rFonts w:ascii="Times New Roman" w:hAnsi="Times New Roman"/>
        </w:rPr>
        <w:t xml:space="preserve"> for a number of applications</w:t>
      </w:r>
      <w:r w:rsidR="00605658">
        <w:rPr>
          <w:rFonts w:ascii="Times New Roman" w:hAnsi="Times New Roman"/>
        </w:rPr>
        <w:t>.</w:t>
      </w:r>
      <w:r w:rsidRPr="00D5496F">
        <w:rPr>
          <w:rFonts w:ascii="Times New Roman" w:hAnsi="Times New Roman"/>
        </w:rPr>
        <w:t xml:space="preserve"> </w:t>
      </w:r>
      <w:r w:rsidR="00E75416">
        <w:rPr>
          <w:rFonts w:ascii="Times New Roman" w:hAnsi="Times New Roman"/>
        </w:rPr>
        <w:t xml:space="preserve">In addition, </w:t>
      </w:r>
      <w:r w:rsidR="00856E1F">
        <w:rPr>
          <w:rFonts w:ascii="Times New Roman" w:hAnsi="Times New Roman"/>
        </w:rPr>
        <w:t>the</w:t>
      </w:r>
      <w:r w:rsidR="00060D11">
        <w:rPr>
          <w:rFonts w:ascii="Times New Roman" w:hAnsi="Times New Roman"/>
        </w:rPr>
        <w:t xml:space="preserve"> closely</w:t>
      </w:r>
      <w:r w:rsidR="00856E1F">
        <w:rPr>
          <w:rFonts w:ascii="Times New Roman" w:hAnsi="Times New Roman"/>
        </w:rPr>
        <w:t xml:space="preserve"> related compound </w:t>
      </w:r>
      <w:r w:rsidR="00E75416">
        <w:rPr>
          <w:rFonts w:ascii="Times New Roman" w:hAnsi="Times New Roman"/>
        </w:rPr>
        <w:t>OME</w:t>
      </w:r>
      <w:r w:rsidR="00E75416">
        <w:rPr>
          <w:rFonts w:ascii="Times New Roman" w:hAnsi="Times New Roman"/>
          <w:vertAlign w:val="subscript"/>
        </w:rPr>
        <w:t>1</w:t>
      </w:r>
      <w:r w:rsidR="00E75416">
        <w:rPr>
          <w:rFonts w:ascii="Times New Roman" w:hAnsi="Times New Roman"/>
        </w:rPr>
        <w:t xml:space="preserve">, or methylal, is </w:t>
      </w:r>
      <w:r w:rsidR="00856E1F">
        <w:rPr>
          <w:rFonts w:ascii="Times New Roman" w:hAnsi="Times New Roman"/>
        </w:rPr>
        <w:t>a well-known, effective solvent used in applications such as aerosols, paints, extraction, synthesis, and many others.</w:t>
      </w:r>
      <w:r w:rsidR="00856E1F">
        <w:rPr>
          <w:rFonts w:ascii="Times New Roman" w:hAnsi="Times New Roman"/>
        </w:rPr>
        <w:fldChar w:fldCharType="begin"/>
      </w:r>
      <w:r w:rsidR="000A0BA0">
        <w:rPr>
          <w:rFonts w:ascii="Times New Roman" w:hAnsi="Times New Roman"/>
        </w:rPr>
        <w:instrText xml:space="preserve"> ADDIN ZOTERO_ITEM CSL_CITATION {"citationID":"zYmFdZ1h","properties":{"formattedCitation":"\\super 15\\nosupersub{}","plainCitation":"15","noteIndex":0},"citationItems":[{"id":1445,"uris":["http://zotero.org/users/4674022/items/9I64RUSK"],"uri":["http://zotero.org/users/4674022/items/9I64RUSK"],"itemData":{"id":1445,"type":"article-journal","title":"Purification and dehydration of methylal by pervaporation","container-title":"Journal of Membrane Science","page":"159-171","volume":"217","issue":"1","source":"ScienceDirect","abstract":"Pervaporation studied for the removal of the VOC traces from effluents is now used to dehydrate organic solutions and this paper is focused on an acetal called methylal. Different membranes and different operating conditions were investigated: pure quality or anhydrous qualities were obtained from technical or intermediate qualities. However, due to degradations and weak permeate flows, it is impossible to consider an industrial development using organic membranes. A ceramic membrane yields high permeate fluxes without degradation.","DOI":"10.1016/S0376-7388(03)00125-X","ISSN":"0376-7388","journalAbbreviation":"Journal of Membrane Science","author":[{"family":"Carretier","given":"E"},{"family":"Moulin","given":"Ph"},{"family":"Beaujean","given":"M"},{"family":"Charbit","given":"F"}],"issued":{"date-parts":[["2003",6,1]]}}}],"schema":"https://github.com/citation-style-language/schema/raw/master/csl-citation.json"} </w:instrText>
      </w:r>
      <w:r w:rsidR="00856E1F">
        <w:rPr>
          <w:rFonts w:ascii="Times New Roman" w:hAnsi="Times New Roman"/>
        </w:rPr>
        <w:fldChar w:fldCharType="separate"/>
      </w:r>
      <w:r w:rsidR="000A0BA0" w:rsidRPr="000A0BA0">
        <w:rPr>
          <w:rFonts w:ascii="Times New Roman" w:hAnsi="Times New Roman"/>
          <w:vertAlign w:val="superscript"/>
        </w:rPr>
        <w:t>15</w:t>
      </w:r>
      <w:r w:rsidR="00856E1F">
        <w:rPr>
          <w:rFonts w:ascii="Times New Roman" w:hAnsi="Times New Roman"/>
        </w:rPr>
        <w:fldChar w:fldCharType="end"/>
      </w:r>
      <w:r w:rsidR="00E75416">
        <w:rPr>
          <w:rFonts w:ascii="Times New Roman" w:hAnsi="Times New Roman"/>
        </w:rPr>
        <w:t xml:space="preserve"> </w:t>
      </w:r>
      <w:r w:rsidR="00C63EC1" w:rsidRPr="00D5496F">
        <w:rPr>
          <w:rFonts w:ascii="Times New Roman" w:hAnsi="Times New Roman"/>
        </w:rPr>
        <w:t>Given the potential cost parity of OME</w:t>
      </w:r>
      <w:r w:rsidR="00C63EC1" w:rsidRPr="00D5496F">
        <w:rPr>
          <w:rFonts w:ascii="Times New Roman" w:hAnsi="Times New Roman"/>
          <w:vertAlign w:val="subscript"/>
        </w:rPr>
        <w:t>3-5</w:t>
      </w:r>
      <w:r w:rsidR="00C63EC1" w:rsidRPr="00D5496F">
        <w:rPr>
          <w:rFonts w:ascii="Times New Roman" w:hAnsi="Times New Roman"/>
        </w:rPr>
        <w:t xml:space="preserve"> with traditional solvents, </w:t>
      </w:r>
      <w:r w:rsidR="00FE12ED">
        <w:rPr>
          <w:rFonts w:ascii="Times New Roman" w:hAnsi="Times New Roman"/>
        </w:rPr>
        <w:t>its</w:t>
      </w:r>
      <w:r w:rsidR="00C63EC1" w:rsidRPr="00D5496F">
        <w:rPr>
          <w:rFonts w:ascii="Times New Roman" w:hAnsi="Times New Roman"/>
        </w:rPr>
        <w:t xml:space="preserve"> promising </w:t>
      </w:r>
      <w:r w:rsidR="00FB3CDD">
        <w:rPr>
          <w:rFonts w:ascii="Times New Roman" w:hAnsi="Times New Roman"/>
        </w:rPr>
        <w:t>physical p</w:t>
      </w:r>
      <w:r w:rsidR="00C63EC1" w:rsidRPr="00D5496F">
        <w:rPr>
          <w:rFonts w:ascii="Times New Roman" w:hAnsi="Times New Roman"/>
        </w:rPr>
        <w:t>ropertie</w:t>
      </w:r>
      <w:r w:rsidR="00FB3CDD">
        <w:rPr>
          <w:rFonts w:ascii="Times New Roman" w:hAnsi="Times New Roman"/>
        </w:rPr>
        <w:t>s</w:t>
      </w:r>
      <w:r w:rsidR="00C63EC1" w:rsidRPr="00BF7062">
        <w:rPr>
          <w:rFonts w:ascii="Times New Roman" w:hAnsi="Times New Roman"/>
          <w:szCs w:val="24"/>
        </w:rPr>
        <w:t>,</w:t>
      </w:r>
      <w:r w:rsidR="00C63EC1" w:rsidRPr="00D5496F">
        <w:rPr>
          <w:rFonts w:ascii="Times New Roman" w:hAnsi="Times New Roman"/>
        </w:rPr>
        <w:t xml:space="preserve"> </w:t>
      </w:r>
      <w:r w:rsidR="00856E1F">
        <w:rPr>
          <w:rFonts w:ascii="Times New Roman" w:hAnsi="Times New Roman"/>
        </w:rPr>
        <w:t>and the efficacy of OME</w:t>
      </w:r>
      <w:r w:rsidR="00856E1F" w:rsidRPr="00856E1F">
        <w:rPr>
          <w:rFonts w:ascii="Times New Roman" w:hAnsi="Times New Roman"/>
          <w:vertAlign w:val="subscript"/>
        </w:rPr>
        <w:t>1</w:t>
      </w:r>
      <w:r w:rsidR="00856E1F">
        <w:rPr>
          <w:rFonts w:ascii="Times New Roman" w:hAnsi="Times New Roman"/>
        </w:rPr>
        <w:t xml:space="preserve"> as a solvent, </w:t>
      </w:r>
      <w:r w:rsidR="00C63EC1" w:rsidRPr="00D5496F">
        <w:rPr>
          <w:rFonts w:ascii="Times New Roman" w:hAnsi="Times New Roman"/>
        </w:rPr>
        <w:t xml:space="preserve">this study examines the application of </w:t>
      </w:r>
      <w:r w:rsidR="00FE12ED">
        <w:rPr>
          <w:rFonts w:ascii="Times New Roman" w:hAnsi="Times New Roman"/>
        </w:rPr>
        <w:t xml:space="preserve">this mixture </w:t>
      </w:r>
      <w:r w:rsidR="00C63EC1" w:rsidRPr="00D5496F">
        <w:rPr>
          <w:rFonts w:ascii="Times New Roman" w:hAnsi="Times New Roman"/>
        </w:rPr>
        <w:t xml:space="preserve">as </w:t>
      </w:r>
      <w:r w:rsidR="00FE12ED">
        <w:rPr>
          <w:rFonts w:ascii="Times New Roman" w:hAnsi="Times New Roman"/>
        </w:rPr>
        <w:t xml:space="preserve">an </w:t>
      </w:r>
      <w:r w:rsidR="00C63EC1" w:rsidRPr="00D5496F">
        <w:rPr>
          <w:rFonts w:ascii="Times New Roman" w:hAnsi="Times New Roman"/>
        </w:rPr>
        <w:t>alternative ether-like solvent.</w:t>
      </w:r>
    </w:p>
    <w:tbl>
      <w:tblPr>
        <w:tblStyle w:val="TableGrid"/>
        <w:tblpPr w:leftFromText="180" w:rightFromText="180" w:vertAnchor="text" w:horzAnchor="margin" w:tblpY="530"/>
        <w:tblW w:w="88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09"/>
        <w:gridCol w:w="1134"/>
        <w:gridCol w:w="709"/>
        <w:gridCol w:w="1559"/>
        <w:gridCol w:w="1417"/>
        <w:gridCol w:w="2069"/>
      </w:tblGrid>
      <w:tr w:rsidR="000A0BA0" w:rsidRPr="001D31B0" w14:paraId="34FEE66C" w14:textId="77777777" w:rsidTr="00FB3CDD">
        <w:tc>
          <w:tcPr>
            <w:tcW w:w="1276" w:type="dxa"/>
            <w:tcBorders>
              <w:top w:val="single" w:sz="4" w:space="0" w:color="auto"/>
              <w:bottom w:val="single" w:sz="4" w:space="0" w:color="auto"/>
            </w:tcBorders>
            <w:vAlign w:val="center"/>
          </w:tcPr>
          <w:p w14:paraId="233D8AA3" w14:textId="77777777" w:rsidR="00ED6568" w:rsidRPr="00B8644B" w:rsidRDefault="00ED6568" w:rsidP="00ED6568">
            <w:pPr>
              <w:pStyle w:val="TCTableBody"/>
              <w:rPr>
                <w:rFonts w:ascii="Times New Roman" w:hAnsi="Times New Roman"/>
                <w:b/>
                <w:sz w:val="22"/>
              </w:rPr>
            </w:pPr>
            <w:r w:rsidRPr="00B8644B">
              <w:rPr>
                <w:rFonts w:ascii="Times New Roman" w:hAnsi="Times New Roman"/>
                <w:b/>
                <w:sz w:val="22"/>
              </w:rPr>
              <w:t>Compound</w:t>
            </w:r>
          </w:p>
        </w:tc>
        <w:tc>
          <w:tcPr>
            <w:tcW w:w="709" w:type="dxa"/>
            <w:tcBorders>
              <w:top w:val="single" w:sz="4" w:space="0" w:color="auto"/>
              <w:bottom w:val="single" w:sz="4" w:space="0" w:color="auto"/>
            </w:tcBorders>
            <w:vAlign w:val="center"/>
          </w:tcPr>
          <w:p w14:paraId="0AFC567A" w14:textId="77777777" w:rsidR="00ED6568" w:rsidRPr="00B8644B" w:rsidRDefault="00ED6568" w:rsidP="00ED6568">
            <w:pPr>
              <w:pStyle w:val="TCTableBody"/>
              <w:rPr>
                <w:rFonts w:ascii="Times New Roman" w:hAnsi="Times New Roman"/>
                <w:b/>
                <w:sz w:val="22"/>
              </w:rPr>
            </w:pPr>
            <w:r w:rsidRPr="00B8644B">
              <w:rPr>
                <w:rFonts w:ascii="Times New Roman" w:hAnsi="Times New Roman"/>
                <w:b/>
                <w:sz w:val="22"/>
              </w:rPr>
              <w:t>MP</w:t>
            </w:r>
          </w:p>
          <w:p w14:paraId="0D8E2FD6" w14:textId="77777777" w:rsidR="00ED6568" w:rsidRPr="00B8644B" w:rsidRDefault="00ED6568" w:rsidP="00ED6568">
            <w:pPr>
              <w:pStyle w:val="TCTableBody"/>
              <w:rPr>
                <w:rFonts w:ascii="Times New Roman" w:hAnsi="Times New Roman"/>
                <w:b/>
                <w:sz w:val="22"/>
              </w:rPr>
            </w:pPr>
            <w:r w:rsidRPr="00B8644B">
              <w:rPr>
                <w:rFonts w:ascii="Times New Roman" w:hAnsi="Times New Roman"/>
                <w:b/>
                <w:sz w:val="22"/>
              </w:rPr>
              <w:t>(</w:t>
            </w:r>
            <w:r w:rsidRPr="00B8644B">
              <w:rPr>
                <w:rFonts w:ascii="Times New Roman" w:hAnsi="Times New Roman"/>
                <w:b/>
                <w:sz w:val="22"/>
              </w:rPr>
              <w:sym w:font="Symbol" w:char="F0B0"/>
            </w:r>
            <w:r w:rsidRPr="00B8644B">
              <w:rPr>
                <w:rFonts w:ascii="Times New Roman" w:hAnsi="Times New Roman"/>
                <w:b/>
                <w:sz w:val="22"/>
              </w:rPr>
              <w:t>C)</w:t>
            </w:r>
          </w:p>
        </w:tc>
        <w:tc>
          <w:tcPr>
            <w:tcW w:w="1134" w:type="dxa"/>
            <w:tcBorders>
              <w:top w:val="single" w:sz="4" w:space="0" w:color="auto"/>
              <w:bottom w:val="single" w:sz="4" w:space="0" w:color="auto"/>
            </w:tcBorders>
            <w:vAlign w:val="center"/>
          </w:tcPr>
          <w:p w14:paraId="22CDC9FC" w14:textId="77777777" w:rsidR="00ED6568" w:rsidRPr="00B8644B" w:rsidRDefault="00ED6568" w:rsidP="00ED6568">
            <w:pPr>
              <w:pStyle w:val="TCTableBody"/>
              <w:rPr>
                <w:rFonts w:ascii="Times New Roman" w:hAnsi="Times New Roman"/>
                <w:b/>
                <w:sz w:val="22"/>
              </w:rPr>
            </w:pPr>
            <w:r w:rsidRPr="00B8644B">
              <w:rPr>
                <w:rFonts w:ascii="Times New Roman" w:hAnsi="Times New Roman"/>
                <w:b/>
                <w:sz w:val="22"/>
              </w:rPr>
              <w:t>BP</w:t>
            </w:r>
          </w:p>
          <w:p w14:paraId="4BCA8696" w14:textId="77777777" w:rsidR="00ED6568" w:rsidRPr="00B8644B" w:rsidRDefault="00ED6568" w:rsidP="00ED6568">
            <w:pPr>
              <w:pStyle w:val="TCTableBody"/>
              <w:rPr>
                <w:rFonts w:ascii="Times New Roman" w:hAnsi="Times New Roman"/>
                <w:b/>
                <w:sz w:val="22"/>
              </w:rPr>
            </w:pPr>
            <w:r w:rsidRPr="00B8644B">
              <w:rPr>
                <w:rFonts w:ascii="Times New Roman" w:hAnsi="Times New Roman"/>
                <w:b/>
                <w:sz w:val="22"/>
              </w:rPr>
              <w:t>(</w:t>
            </w:r>
            <w:r w:rsidRPr="00B8644B">
              <w:rPr>
                <w:rFonts w:ascii="Times New Roman" w:hAnsi="Times New Roman"/>
                <w:b/>
                <w:sz w:val="22"/>
              </w:rPr>
              <w:sym w:font="Symbol" w:char="F0B0"/>
            </w:r>
            <w:r w:rsidRPr="00B8644B">
              <w:rPr>
                <w:rFonts w:ascii="Times New Roman" w:hAnsi="Times New Roman"/>
                <w:b/>
                <w:sz w:val="22"/>
              </w:rPr>
              <w:t>C)</w:t>
            </w:r>
          </w:p>
        </w:tc>
        <w:tc>
          <w:tcPr>
            <w:tcW w:w="709" w:type="dxa"/>
            <w:tcBorders>
              <w:top w:val="single" w:sz="4" w:space="0" w:color="auto"/>
              <w:bottom w:val="single" w:sz="4" w:space="0" w:color="auto"/>
            </w:tcBorders>
            <w:vAlign w:val="center"/>
          </w:tcPr>
          <w:p w14:paraId="339A119E" w14:textId="77777777" w:rsidR="00ED6568" w:rsidRPr="00B8644B" w:rsidRDefault="00ED6568" w:rsidP="00ED6568">
            <w:pPr>
              <w:pStyle w:val="TCTableBody"/>
              <w:rPr>
                <w:rFonts w:ascii="Times New Roman" w:hAnsi="Times New Roman"/>
                <w:b/>
                <w:sz w:val="22"/>
              </w:rPr>
            </w:pPr>
            <w:r w:rsidRPr="00B8644B">
              <w:rPr>
                <w:rFonts w:ascii="Times New Roman" w:hAnsi="Times New Roman"/>
                <w:b/>
                <w:sz w:val="22"/>
              </w:rPr>
              <w:t>FP</w:t>
            </w:r>
          </w:p>
          <w:p w14:paraId="38A2AE2B" w14:textId="77777777" w:rsidR="00ED6568" w:rsidRPr="00B8644B" w:rsidRDefault="00ED6568" w:rsidP="00ED6568">
            <w:pPr>
              <w:pStyle w:val="TCTableBody"/>
              <w:rPr>
                <w:rFonts w:ascii="Times New Roman" w:hAnsi="Times New Roman"/>
                <w:b/>
                <w:sz w:val="22"/>
              </w:rPr>
            </w:pPr>
            <w:r w:rsidRPr="00B8644B">
              <w:rPr>
                <w:rFonts w:ascii="Times New Roman" w:hAnsi="Times New Roman"/>
                <w:b/>
                <w:sz w:val="22"/>
              </w:rPr>
              <w:t>(</w:t>
            </w:r>
            <w:r w:rsidRPr="00B8644B">
              <w:rPr>
                <w:rFonts w:ascii="Times New Roman" w:hAnsi="Times New Roman"/>
                <w:b/>
                <w:sz w:val="22"/>
              </w:rPr>
              <w:sym w:font="Symbol" w:char="F0B0"/>
            </w:r>
            <w:r w:rsidRPr="00B8644B">
              <w:rPr>
                <w:rFonts w:ascii="Times New Roman" w:hAnsi="Times New Roman"/>
                <w:b/>
                <w:sz w:val="22"/>
              </w:rPr>
              <w:t>C)</w:t>
            </w:r>
          </w:p>
        </w:tc>
        <w:tc>
          <w:tcPr>
            <w:tcW w:w="1559" w:type="dxa"/>
            <w:tcBorders>
              <w:top w:val="single" w:sz="4" w:space="0" w:color="auto"/>
              <w:bottom w:val="single" w:sz="4" w:space="0" w:color="auto"/>
            </w:tcBorders>
            <w:vAlign w:val="center"/>
          </w:tcPr>
          <w:p w14:paraId="5400844E" w14:textId="6CA94AA9" w:rsidR="00ED6568" w:rsidRPr="00FB3CDD" w:rsidRDefault="00FB3CDD" w:rsidP="00ED6568">
            <w:pPr>
              <w:pStyle w:val="TCTableBody"/>
              <w:rPr>
                <w:rFonts w:ascii="Times New Roman" w:hAnsi="Times New Roman"/>
                <w:b/>
                <w:iCs/>
                <w:sz w:val="22"/>
              </w:rPr>
            </w:pPr>
            <w:r w:rsidRPr="00FB3CDD">
              <w:rPr>
                <w:rFonts w:ascii="Times New Roman" w:hAnsi="Times New Roman"/>
                <w:b/>
                <w:iCs/>
                <w:sz w:val="22"/>
              </w:rPr>
              <w:t>Density (</w:t>
            </w:r>
            <w:r w:rsidR="00ED6568" w:rsidRPr="00FB3CDD">
              <w:rPr>
                <w:rFonts w:ascii="Times New Roman" w:hAnsi="Times New Roman"/>
                <w:b/>
                <w:i/>
                <w:sz w:val="22"/>
              </w:rPr>
              <w:sym w:font="Symbol" w:char="F072"/>
            </w:r>
            <w:r w:rsidRPr="00FB3CDD">
              <w:rPr>
                <w:rFonts w:ascii="Times New Roman" w:hAnsi="Times New Roman"/>
                <w:b/>
                <w:iCs/>
                <w:sz w:val="22"/>
              </w:rPr>
              <w:t>)</w:t>
            </w:r>
          </w:p>
          <w:p w14:paraId="32E098A0" w14:textId="77777777" w:rsidR="00ED6568" w:rsidRPr="00B8644B" w:rsidRDefault="00ED6568" w:rsidP="00ED6568">
            <w:pPr>
              <w:pStyle w:val="TCTableBody"/>
              <w:rPr>
                <w:rFonts w:ascii="Times New Roman" w:hAnsi="Times New Roman"/>
                <w:b/>
                <w:sz w:val="22"/>
              </w:rPr>
            </w:pPr>
            <w:r w:rsidRPr="00B8644B">
              <w:rPr>
                <w:rFonts w:ascii="Times New Roman" w:hAnsi="Times New Roman"/>
                <w:b/>
                <w:sz w:val="22"/>
              </w:rPr>
              <w:t>(g/cm</w:t>
            </w:r>
            <w:r w:rsidRPr="00B8644B">
              <w:rPr>
                <w:rFonts w:ascii="Times New Roman" w:hAnsi="Times New Roman"/>
                <w:b/>
                <w:sz w:val="22"/>
                <w:vertAlign w:val="superscript"/>
              </w:rPr>
              <w:t>3</w:t>
            </w:r>
            <w:r w:rsidRPr="00B8644B">
              <w:rPr>
                <w:rFonts w:ascii="Times New Roman" w:hAnsi="Times New Roman"/>
                <w:b/>
                <w:sz w:val="22"/>
              </w:rPr>
              <w:t>, 15</w:t>
            </w:r>
            <w:r w:rsidRPr="00B8644B">
              <w:rPr>
                <w:rFonts w:ascii="Times New Roman" w:hAnsi="Times New Roman"/>
                <w:b/>
                <w:sz w:val="22"/>
              </w:rPr>
              <w:sym w:font="Symbol" w:char="F0B0"/>
            </w:r>
            <w:r w:rsidRPr="00B8644B">
              <w:rPr>
                <w:rFonts w:ascii="Times New Roman" w:hAnsi="Times New Roman"/>
                <w:b/>
                <w:sz w:val="22"/>
              </w:rPr>
              <w:t>C)</w:t>
            </w:r>
          </w:p>
        </w:tc>
        <w:tc>
          <w:tcPr>
            <w:tcW w:w="1417" w:type="dxa"/>
            <w:tcBorders>
              <w:top w:val="single" w:sz="4" w:space="0" w:color="auto"/>
              <w:bottom w:val="single" w:sz="4" w:space="0" w:color="auto"/>
            </w:tcBorders>
            <w:vAlign w:val="center"/>
          </w:tcPr>
          <w:p w14:paraId="6D4C085D" w14:textId="5FD5211F" w:rsidR="00ED6568" w:rsidRPr="00B8644B" w:rsidRDefault="00FB3CDD" w:rsidP="00ED6568">
            <w:pPr>
              <w:pStyle w:val="TCTableBody"/>
              <w:rPr>
                <w:rFonts w:ascii="Times New Roman" w:hAnsi="Times New Roman"/>
                <w:b/>
                <w:sz w:val="22"/>
              </w:rPr>
            </w:pPr>
            <w:r>
              <w:rPr>
                <w:rFonts w:ascii="Times New Roman" w:hAnsi="Times New Roman"/>
                <w:b/>
                <w:sz w:val="22"/>
              </w:rPr>
              <w:t>Viscosity (</w:t>
            </w:r>
            <w:r w:rsidR="00ED6568" w:rsidRPr="00B8644B">
              <w:rPr>
                <w:rFonts w:ascii="Times New Roman" w:hAnsi="Times New Roman"/>
                <w:b/>
                <w:sz w:val="22"/>
              </w:rPr>
              <w:sym w:font="Symbol" w:char="F06D"/>
            </w:r>
            <w:r>
              <w:rPr>
                <w:rFonts w:ascii="Times New Roman" w:hAnsi="Times New Roman"/>
                <w:b/>
                <w:sz w:val="22"/>
              </w:rPr>
              <w:t>)</w:t>
            </w:r>
          </w:p>
          <w:p w14:paraId="18E9DA9D" w14:textId="77777777" w:rsidR="00ED6568" w:rsidRPr="00B8644B" w:rsidRDefault="00ED6568" w:rsidP="00ED6568">
            <w:pPr>
              <w:pStyle w:val="TCTableBody"/>
              <w:rPr>
                <w:rFonts w:ascii="Times New Roman" w:hAnsi="Times New Roman"/>
                <w:b/>
                <w:sz w:val="22"/>
              </w:rPr>
            </w:pPr>
            <w:r w:rsidRPr="00B8644B">
              <w:rPr>
                <w:rFonts w:ascii="Times New Roman" w:hAnsi="Times New Roman"/>
                <w:b/>
                <w:sz w:val="22"/>
              </w:rPr>
              <w:t>(cP, 25</w:t>
            </w:r>
            <w:r w:rsidRPr="00B8644B">
              <w:rPr>
                <w:rFonts w:ascii="Times New Roman" w:hAnsi="Times New Roman"/>
                <w:b/>
                <w:sz w:val="22"/>
              </w:rPr>
              <w:sym w:font="Symbol" w:char="F0B0"/>
            </w:r>
            <w:r w:rsidRPr="00B8644B">
              <w:rPr>
                <w:rFonts w:ascii="Times New Roman" w:hAnsi="Times New Roman"/>
                <w:b/>
                <w:sz w:val="22"/>
              </w:rPr>
              <w:t>C)</w:t>
            </w:r>
          </w:p>
        </w:tc>
        <w:tc>
          <w:tcPr>
            <w:tcW w:w="2069" w:type="dxa"/>
            <w:tcBorders>
              <w:top w:val="single" w:sz="4" w:space="0" w:color="auto"/>
              <w:bottom w:val="single" w:sz="4" w:space="0" w:color="auto"/>
            </w:tcBorders>
            <w:vAlign w:val="center"/>
          </w:tcPr>
          <w:p w14:paraId="5E747234" w14:textId="0E97A2A3" w:rsidR="00ED6568" w:rsidRPr="00B8644B" w:rsidRDefault="00FB3CDD" w:rsidP="00ED6568">
            <w:pPr>
              <w:pStyle w:val="TCTableBody"/>
              <w:rPr>
                <w:rFonts w:ascii="Times New Roman" w:hAnsi="Times New Roman"/>
                <w:b/>
                <w:sz w:val="22"/>
              </w:rPr>
            </w:pPr>
            <w:r>
              <w:rPr>
                <w:rFonts w:ascii="Times New Roman" w:hAnsi="Times New Roman"/>
                <w:b/>
                <w:sz w:val="22"/>
              </w:rPr>
              <w:t>Surface Tension (</w:t>
            </w:r>
            <w:r w:rsidR="00ED6568" w:rsidRPr="00B8644B">
              <w:rPr>
                <w:rFonts w:ascii="Times New Roman" w:hAnsi="Times New Roman"/>
                <w:b/>
                <w:sz w:val="22"/>
              </w:rPr>
              <w:sym w:font="Symbol" w:char="F067"/>
            </w:r>
            <w:r>
              <w:rPr>
                <w:rFonts w:ascii="Times New Roman" w:hAnsi="Times New Roman"/>
                <w:b/>
                <w:sz w:val="22"/>
              </w:rPr>
              <w:t>)</w:t>
            </w:r>
          </w:p>
          <w:p w14:paraId="344E256F" w14:textId="77777777" w:rsidR="00ED6568" w:rsidRPr="00B8644B" w:rsidRDefault="00ED6568" w:rsidP="00ED6568">
            <w:pPr>
              <w:pStyle w:val="TCTableBody"/>
              <w:rPr>
                <w:rFonts w:ascii="Times New Roman" w:hAnsi="Times New Roman"/>
                <w:b/>
                <w:sz w:val="22"/>
              </w:rPr>
            </w:pPr>
            <w:r w:rsidRPr="00B8644B">
              <w:rPr>
                <w:rFonts w:ascii="Times New Roman" w:hAnsi="Times New Roman"/>
                <w:b/>
                <w:sz w:val="22"/>
              </w:rPr>
              <w:t>(mN/m, 20</w:t>
            </w:r>
            <w:r w:rsidRPr="00B8644B">
              <w:rPr>
                <w:rFonts w:ascii="Times New Roman" w:hAnsi="Times New Roman"/>
                <w:b/>
                <w:sz w:val="22"/>
              </w:rPr>
              <w:sym w:font="Symbol" w:char="F0B0"/>
            </w:r>
            <w:r w:rsidRPr="00B8644B">
              <w:rPr>
                <w:rFonts w:ascii="Times New Roman" w:hAnsi="Times New Roman"/>
                <w:b/>
                <w:sz w:val="22"/>
              </w:rPr>
              <w:t>C)</w:t>
            </w:r>
          </w:p>
        </w:tc>
      </w:tr>
      <w:tr w:rsidR="000A0BA0" w:rsidRPr="001D31B0" w14:paraId="536A9208" w14:textId="77777777" w:rsidTr="00FB3CDD">
        <w:tc>
          <w:tcPr>
            <w:tcW w:w="1276" w:type="dxa"/>
            <w:tcBorders>
              <w:top w:val="single" w:sz="4" w:space="0" w:color="auto"/>
            </w:tcBorders>
            <w:vAlign w:val="center"/>
          </w:tcPr>
          <w:p w14:paraId="31DA8192" w14:textId="77777777" w:rsidR="00ED6568" w:rsidRPr="00B8644B" w:rsidRDefault="00ED6568" w:rsidP="00ED6568">
            <w:pPr>
              <w:pStyle w:val="TCTableBody"/>
              <w:rPr>
                <w:rFonts w:ascii="Times New Roman" w:hAnsi="Times New Roman"/>
                <w:sz w:val="22"/>
              </w:rPr>
            </w:pPr>
            <w:r w:rsidRPr="00B8644B">
              <w:rPr>
                <w:rFonts w:ascii="Times New Roman" w:hAnsi="Times New Roman"/>
                <w:sz w:val="22"/>
              </w:rPr>
              <w:t>OME</w:t>
            </w:r>
            <w:r w:rsidRPr="00B8644B">
              <w:rPr>
                <w:rFonts w:ascii="Times New Roman" w:hAnsi="Times New Roman"/>
                <w:sz w:val="22"/>
                <w:vertAlign w:val="subscript"/>
              </w:rPr>
              <w:t>3</w:t>
            </w:r>
          </w:p>
        </w:tc>
        <w:tc>
          <w:tcPr>
            <w:tcW w:w="709" w:type="dxa"/>
            <w:tcBorders>
              <w:top w:val="single" w:sz="4" w:space="0" w:color="auto"/>
            </w:tcBorders>
            <w:vAlign w:val="center"/>
          </w:tcPr>
          <w:p w14:paraId="26A98AB1" w14:textId="38998387" w:rsidR="00ED6568" w:rsidRPr="00B8644B" w:rsidRDefault="00ED6568" w:rsidP="00ED6568">
            <w:pPr>
              <w:pStyle w:val="TCTableBody"/>
              <w:rPr>
                <w:rFonts w:ascii="Times New Roman" w:hAnsi="Times New Roman"/>
                <w:sz w:val="22"/>
              </w:rPr>
            </w:pPr>
            <w:r w:rsidRPr="00B8644B">
              <w:rPr>
                <w:rFonts w:ascii="Times New Roman" w:hAnsi="Times New Roman"/>
                <w:sz w:val="22"/>
              </w:rPr>
              <w:t>-43</w:t>
            </w:r>
            <w:r w:rsidRPr="00B8644B">
              <w:rPr>
                <w:rFonts w:ascii="Times New Roman" w:hAnsi="Times New Roman"/>
                <w:sz w:val="22"/>
              </w:rPr>
              <w:fldChar w:fldCharType="begin"/>
            </w:r>
            <w:r w:rsidR="000A0BA0">
              <w:rPr>
                <w:rFonts w:ascii="Times New Roman" w:hAnsi="Times New Roman"/>
                <w:sz w:val="22"/>
              </w:rPr>
              <w:instrText xml:space="preserve"> ADDIN ZOTERO_ITEM CSL_CITATION {"citationID":"nCUAT8z0","properties":{"formattedCitation":"\\super 16\\nosupersub{}","plainCitation":"16","noteIndex":0},"citationItems":[{"id":540,"uris":["http://zotero.org/users/4674022/items/IGNAB8Q8"],"uri":["http://zotero.org/users/4674022/items/IGNAB8Q8"],"itemData":{"id":540,"type":"article-journal","title":"High Purity Oligomeric Oxymethylene Ethers as Diesel Fuels","container-title":"Chemie Ingenieur Technik","page":"486-489","volume":"89","issue":"4","source":"Wiley Online Library","abstract":"Oligomeric oxymethylene dimethyl ethers (OMEn, CH3(OCH2)nOCH3, n = 1 – 5) are promising diesel fuels for the reduction of harmful emissions. If OMEs are produced from dimethoxymethane and trioxane, the resulting OME mixtures usually contain residual trioxane which appears, after rectification, in the OME2 fraction. To circumvent this obstacle, substoichiometric amounts of trioxane have been employed in OME synthesis. Thus, OME2 samples with high purity could be prepared. Physicochemical and fuel data of high purity OME2 and higher OMEs have been determined to supplement previously reported data.","DOI":"10.1002/cite.201600158","ISSN":"1522-2640","language":"en","author":[{"family":"Deutsch","given":"Diana"},{"family":"Oestreich","given":"Dorian"},{"family":"Lautenschütz","given":"Ludger"},{"family":"Haltenort","given":"Philipp"},{"family":"Arnold","given":"Ulrich"},{"family":"Sauer","given":"Jörg"}],"issued":{"date-parts":[["2017",4,1]]}}}],"schema":"https://github.com/citation-style-language/schema/raw/master/csl-citation.json"} </w:instrText>
            </w:r>
            <w:r w:rsidRPr="00B8644B">
              <w:rPr>
                <w:rFonts w:ascii="Times New Roman" w:hAnsi="Times New Roman"/>
                <w:sz w:val="22"/>
              </w:rPr>
              <w:fldChar w:fldCharType="separate"/>
            </w:r>
            <w:r w:rsidR="000A0BA0" w:rsidRPr="000A0BA0">
              <w:rPr>
                <w:rFonts w:ascii="Times New Roman" w:hAnsi="Times New Roman"/>
                <w:sz w:val="22"/>
                <w:vertAlign w:val="superscript"/>
              </w:rPr>
              <w:t>16</w:t>
            </w:r>
            <w:r w:rsidRPr="00B8644B">
              <w:rPr>
                <w:rFonts w:ascii="Times New Roman" w:hAnsi="Times New Roman"/>
                <w:sz w:val="22"/>
              </w:rPr>
              <w:fldChar w:fldCharType="end"/>
            </w:r>
          </w:p>
        </w:tc>
        <w:tc>
          <w:tcPr>
            <w:tcW w:w="1134" w:type="dxa"/>
            <w:tcBorders>
              <w:top w:val="single" w:sz="4" w:space="0" w:color="auto"/>
            </w:tcBorders>
            <w:vAlign w:val="center"/>
          </w:tcPr>
          <w:p w14:paraId="513A7B2C" w14:textId="74579EB1" w:rsidR="00ED6568" w:rsidRPr="00B8644B" w:rsidRDefault="00ED6568" w:rsidP="00ED6568">
            <w:pPr>
              <w:pStyle w:val="TCTableBody"/>
              <w:rPr>
                <w:rFonts w:ascii="Times New Roman" w:hAnsi="Times New Roman"/>
                <w:sz w:val="22"/>
              </w:rPr>
            </w:pPr>
            <w:r w:rsidRPr="00B8644B">
              <w:rPr>
                <w:rFonts w:ascii="Times New Roman" w:hAnsi="Times New Roman"/>
                <w:sz w:val="22"/>
              </w:rPr>
              <w:t>156</w:t>
            </w:r>
            <w:r w:rsidRPr="00B8644B">
              <w:rPr>
                <w:rFonts w:ascii="Times New Roman" w:hAnsi="Times New Roman"/>
                <w:sz w:val="22"/>
              </w:rPr>
              <w:fldChar w:fldCharType="begin"/>
            </w:r>
            <w:r w:rsidR="000A0BA0">
              <w:rPr>
                <w:rFonts w:ascii="Times New Roman" w:hAnsi="Times New Roman"/>
                <w:sz w:val="22"/>
              </w:rPr>
              <w:instrText xml:space="preserve"> ADDIN ZOTERO_ITEM CSL_CITATION {"citationID":"g1iQmjvL","properties":{"formattedCitation":"\\super 16\\nosupersub{}","plainCitation":"16","noteIndex":0},"citationItems":[{"id":540,"uris":["http://zotero.org/users/4674022/items/IGNAB8Q8"],"uri":["http://zotero.org/users/4674022/items/IGNAB8Q8"],"itemData":{"id":540,"type":"article-journal","title":"High Purity Oligomeric Oxymethylene Ethers as Diesel Fuels","container-title":"Chemie Ingenieur Technik","page":"486-489","volume":"89","issue":"4","source":"Wiley Online Library","abstract":"Oligomeric oxymethylene dimethyl ethers (OMEn, CH3(OCH2)nOCH3, n = 1 – 5) are promising diesel fuels for the reduction of harmful emissions. If OMEs are produced from dimethoxymethane and trioxane, the resulting OME mixtures usually contain residual trioxane which appears, after rectification, in the OME2 fraction. To circumvent this obstacle, substoichiometric amounts of trioxane have been employed in OME synthesis. Thus, OME2 samples with high purity could be prepared. Physicochemical and fuel data of high purity OME2 and higher OMEs have been determined to supplement previously reported data.","DOI":"10.1002/cite.201600158","ISSN":"1522-2640","language":"en","author":[{"family":"Deutsch","given":"Diana"},{"family":"Oestreich","given":"Dorian"},{"family":"Lautenschütz","given":"Ludger"},{"family":"Haltenort","given":"Philipp"},{"family":"Arnold","given":"Ulrich"},{"family":"Sauer","given":"Jörg"}],"issued":{"date-parts":[["2017",4,1]]}}}],"schema":"https://github.com/citation-style-language/schema/raw/master/csl-citation.json"} </w:instrText>
            </w:r>
            <w:r w:rsidRPr="00B8644B">
              <w:rPr>
                <w:rFonts w:ascii="Times New Roman" w:hAnsi="Times New Roman"/>
                <w:sz w:val="22"/>
              </w:rPr>
              <w:fldChar w:fldCharType="separate"/>
            </w:r>
            <w:r w:rsidR="000A0BA0" w:rsidRPr="000A0BA0">
              <w:rPr>
                <w:rFonts w:ascii="Times New Roman" w:hAnsi="Times New Roman"/>
                <w:sz w:val="22"/>
                <w:vertAlign w:val="superscript"/>
              </w:rPr>
              <w:t>16</w:t>
            </w:r>
            <w:r w:rsidRPr="00B8644B">
              <w:rPr>
                <w:rFonts w:ascii="Times New Roman" w:hAnsi="Times New Roman"/>
                <w:sz w:val="22"/>
              </w:rPr>
              <w:fldChar w:fldCharType="end"/>
            </w:r>
          </w:p>
        </w:tc>
        <w:tc>
          <w:tcPr>
            <w:tcW w:w="709" w:type="dxa"/>
            <w:tcBorders>
              <w:top w:val="single" w:sz="4" w:space="0" w:color="auto"/>
            </w:tcBorders>
            <w:vAlign w:val="center"/>
          </w:tcPr>
          <w:p w14:paraId="4B941CC7" w14:textId="606FE588" w:rsidR="00ED6568" w:rsidRPr="00B8644B" w:rsidRDefault="00ED6568" w:rsidP="00ED6568">
            <w:pPr>
              <w:pStyle w:val="TCTableBody"/>
              <w:rPr>
                <w:rFonts w:ascii="Times New Roman" w:hAnsi="Times New Roman"/>
                <w:sz w:val="22"/>
              </w:rPr>
            </w:pPr>
            <w:r w:rsidRPr="00B8644B">
              <w:rPr>
                <w:rFonts w:ascii="Times New Roman" w:hAnsi="Times New Roman"/>
                <w:sz w:val="22"/>
              </w:rPr>
              <w:t>20</w:t>
            </w:r>
            <w:r w:rsidRPr="00B8644B">
              <w:rPr>
                <w:rFonts w:ascii="Times New Roman" w:hAnsi="Times New Roman"/>
                <w:sz w:val="22"/>
              </w:rPr>
              <w:fldChar w:fldCharType="begin"/>
            </w:r>
            <w:r w:rsidR="000A0BA0">
              <w:rPr>
                <w:rFonts w:ascii="Times New Roman" w:hAnsi="Times New Roman"/>
                <w:sz w:val="22"/>
              </w:rPr>
              <w:instrText xml:space="preserve"> ADDIN ZOTERO_ITEM CSL_CITATION {"citationID":"2FNKdSmZ","properties":{"formattedCitation":"\\super 17\\nosupersub{}","plainCitation":"17","noteIndex":0},"citationItems":[{"id":538,"uris":["http://zotero.org/users/4674022/items/QTULHGXD"],"uri":["http://zotero.org/users/4674022/items/QTULHGXD"],"itemData":{"id":538,"type":"article-journal","title":"Synthesis and physicochemical characterization of polyoxymethylene dimethyl ethers","container-title":"Journal of Fuel Chemistry and Technology","page":"837-845","volume":"45","issue":"7","source":"ScienceDirect","abstract":"Polyoxymethylene dimethyl ethers (H3CO(CH2O)nCH3, PODEn or DMMn, n ≥ 2) with unique physical and chemical properties are a potential additive for diesel fuels, which can effectively enhance the combustion efficiency and reduce the emission of pollutants. In this work, a series of pure PODEn components (n = 2–5) were synthesized from methylal and trioxymethylene and obtained with high purity through collaborative separation; their structure and properties were characterized by NMR, FT-IR, Raman, DSC and DFT calculation and a detailed assignment of the expressions in the spectrogram to the various groups was performed. A detailed assignment of expressions in the spectrogram to the various groups was also performed. The density and viscosity of PODEn were measured at 298.15–323.15 K. The results indicate that the density and viscosity of PODEn decrease gradually with the increase of temperature. Meanwhile, with the increase in the number of –CH2O– units (n) from 2 to 5, the density, viscosity, flash point, pour point, and the heat of fusion and solidification of PODEn are all increased with the increase in the chain length. These results are valuable for the practical synthesis and application of PODEn.","DOI":"10.1016/S1872-5813(17)30040-3","ISSN":"1872-5813","journalAbbreviation":"Journal of Fuel Chemistry and Technology","author":[{"family":"Kang","given":"Mei-Rong"},{"family":"Song","given":"He-Yuan"},{"family":"Jin","given":"Fu-Xiang"},{"family":"Chen","given":"Jing"}],"issued":{"date-parts":[["2017",7,1]]}}}],"schema":"https://github.com/citation-style-language/schema/raw/master/csl-citation.json"} </w:instrText>
            </w:r>
            <w:r w:rsidRPr="00B8644B">
              <w:rPr>
                <w:rFonts w:ascii="Times New Roman" w:hAnsi="Times New Roman"/>
                <w:sz w:val="22"/>
              </w:rPr>
              <w:fldChar w:fldCharType="separate"/>
            </w:r>
            <w:r w:rsidR="000A0BA0" w:rsidRPr="000A0BA0">
              <w:rPr>
                <w:rFonts w:ascii="Times New Roman" w:hAnsi="Times New Roman"/>
                <w:sz w:val="22"/>
                <w:vertAlign w:val="superscript"/>
              </w:rPr>
              <w:t>17</w:t>
            </w:r>
            <w:r w:rsidRPr="00B8644B">
              <w:rPr>
                <w:rFonts w:ascii="Times New Roman" w:hAnsi="Times New Roman"/>
                <w:sz w:val="22"/>
              </w:rPr>
              <w:fldChar w:fldCharType="end"/>
            </w:r>
          </w:p>
        </w:tc>
        <w:tc>
          <w:tcPr>
            <w:tcW w:w="1559" w:type="dxa"/>
            <w:tcBorders>
              <w:top w:val="single" w:sz="4" w:space="0" w:color="auto"/>
            </w:tcBorders>
            <w:vAlign w:val="center"/>
          </w:tcPr>
          <w:p w14:paraId="0C20D750" w14:textId="3FC58EB6" w:rsidR="00ED6568" w:rsidRPr="00B8644B" w:rsidRDefault="00ED6568" w:rsidP="00ED6568">
            <w:pPr>
              <w:pStyle w:val="TCTableBody"/>
              <w:rPr>
                <w:rFonts w:ascii="Times New Roman" w:hAnsi="Times New Roman"/>
                <w:sz w:val="22"/>
              </w:rPr>
            </w:pPr>
            <w:r w:rsidRPr="00B8644B">
              <w:rPr>
                <w:rFonts w:ascii="Times New Roman" w:hAnsi="Times New Roman"/>
                <w:sz w:val="22"/>
              </w:rPr>
              <w:t>1.04</w:t>
            </w:r>
            <w:r w:rsidRPr="00B8644B">
              <w:rPr>
                <w:rFonts w:ascii="Times New Roman" w:hAnsi="Times New Roman"/>
                <w:sz w:val="22"/>
              </w:rPr>
              <w:fldChar w:fldCharType="begin"/>
            </w:r>
            <w:r w:rsidR="000A0BA0">
              <w:rPr>
                <w:rFonts w:ascii="Times New Roman" w:hAnsi="Times New Roman"/>
                <w:sz w:val="22"/>
              </w:rPr>
              <w:instrText xml:space="preserve"> ADDIN ZOTERO_ITEM CSL_CITATION {"citationID":"oZM7xWkP","properties":{"formattedCitation":"\\super 16\\nosupersub{}","plainCitation":"16","noteIndex":0},"citationItems":[{"id":540,"uris":["http://zotero.org/users/4674022/items/IGNAB8Q8"],"uri":["http://zotero.org/users/4674022/items/IGNAB8Q8"],"itemData":{"id":540,"type":"article-journal","title":"High Purity Oligomeric Oxymethylene Ethers as Diesel Fuels","container-title":"Chemie Ingenieur Technik","page":"486-489","volume":"89","issue":"4","source":"Wiley Online Library","abstract":"Oligomeric oxymethylene dimethyl ethers (OMEn, CH3(OCH2)nOCH3, n = 1 – 5) are promising diesel fuels for the reduction of harmful emissions. If OMEs are produced from dimethoxymethane and trioxane, the resulting OME mixtures usually contain residual trioxane which appears, after rectification, in the OME2 fraction. To circumvent this obstacle, substoichiometric amounts of trioxane have been employed in OME synthesis. Thus, OME2 samples with high purity could be prepared. Physicochemical and fuel data of high purity OME2 and higher OMEs have been determined to supplement previously reported data.","DOI":"10.1002/cite.201600158","ISSN":"1522-2640","language":"en","author":[{"family":"Deutsch","given":"Diana"},{"family":"Oestreich","given":"Dorian"},{"family":"Lautenschütz","given":"Ludger"},{"family":"Haltenort","given":"Philipp"},{"family":"Arnold","given":"Ulrich"},{"family":"Sauer","given":"Jörg"}],"issued":{"date-parts":[["2017",4,1]]}}}],"schema":"https://github.com/citation-style-language/schema/raw/master/csl-citation.json"} </w:instrText>
            </w:r>
            <w:r w:rsidRPr="00B8644B">
              <w:rPr>
                <w:rFonts w:ascii="Times New Roman" w:hAnsi="Times New Roman"/>
                <w:sz w:val="22"/>
              </w:rPr>
              <w:fldChar w:fldCharType="separate"/>
            </w:r>
            <w:r w:rsidR="000A0BA0" w:rsidRPr="000A0BA0">
              <w:rPr>
                <w:rFonts w:ascii="Times New Roman" w:hAnsi="Times New Roman"/>
                <w:sz w:val="22"/>
                <w:vertAlign w:val="superscript"/>
              </w:rPr>
              <w:t>16</w:t>
            </w:r>
            <w:r w:rsidRPr="00B8644B">
              <w:rPr>
                <w:rFonts w:ascii="Times New Roman" w:hAnsi="Times New Roman"/>
                <w:sz w:val="22"/>
              </w:rPr>
              <w:fldChar w:fldCharType="end"/>
            </w:r>
          </w:p>
        </w:tc>
        <w:tc>
          <w:tcPr>
            <w:tcW w:w="1417" w:type="dxa"/>
            <w:tcBorders>
              <w:top w:val="single" w:sz="4" w:space="0" w:color="auto"/>
            </w:tcBorders>
            <w:vAlign w:val="center"/>
          </w:tcPr>
          <w:p w14:paraId="62F0C372" w14:textId="1900C312" w:rsidR="00ED6568" w:rsidRPr="00B8644B" w:rsidRDefault="00ED6568" w:rsidP="00ED6568">
            <w:pPr>
              <w:pStyle w:val="TCTableBody"/>
              <w:rPr>
                <w:rFonts w:ascii="Times New Roman" w:hAnsi="Times New Roman"/>
                <w:sz w:val="22"/>
              </w:rPr>
            </w:pPr>
            <w:r w:rsidRPr="00B8644B">
              <w:rPr>
                <w:rFonts w:ascii="Times New Roman" w:hAnsi="Times New Roman"/>
                <w:sz w:val="22"/>
              </w:rPr>
              <w:t>1.13</w:t>
            </w:r>
            <w:r w:rsidRPr="00B8644B">
              <w:rPr>
                <w:rFonts w:ascii="Times New Roman" w:hAnsi="Times New Roman"/>
                <w:sz w:val="22"/>
              </w:rPr>
              <w:fldChar w:fldCharType="begin"/>
            </w:r>
            <w:r w:rsidR="000A0BA0">
              <w:rPr>
                <w:rFonts w:ascii="Times New Roman" w:hAnsi="Times New Roman"/>
                <w:sz w:val="22"/>
              </w:rPr>
              <w:instrText xml:space="preserve"> ADDIN ZOTERO_ITEM CSL_CITATION {"citationID":"pPm3lQFt","properties":{"formattedCitation":"\\super 17\\nosupersub{}","plainCitation":"17","noteIndex":0},"citationItems":[{"id":538,"uris":["http://zotero.org/users/4674022/items/QTULHGXD"],"uri":["http://zotero.org/users/4674022/items/QTULHGXD"],"itemData":{"id":538,"type":"article-journal","title":"Synthesis and physicochemical characterization of polyoxymethylene dimethyl ethers","container-title":"Journal of Fuel Chemistry and Technology","page":"837-845","volume":"45","issue":"7","source":"ScienceDirect","abstract":"Polyoxymethylene dimethyl ethers (H3CO(CH2O)nCH3, PODEn or DMMn, n ≥ 2) with unique physical and chemical properties are a potential additive for diesel fuels, which can effectively enhance the combustion efficiency and reduce the emission of pollutants. In this work, a series of pure PODEn components (n = 2–5) were synthesized from methylal and trioxymethylene and obtained with high purity through collaborative separation; their structure and properties were characterized by NMR, FT-IR, Raman, DSC and DFT calculation and a detailed assignment of the expressions in the spectrogram to the various groups was performed. A detailed assignment of expressions in the spectrogram to the various groups was also performed. The density and viscosity of PODEn were measured at 298.15–323.15 K. The results indicate that the density and viscosity of PODEn decrease gradually with the increase of temperature. Meanwhile, with the increase in the number of –CH2O– units (n) from 2 to 5, the density, viscosity, flash point, pour point, and the heat of fusion and solidification of PODEn are all increased with the increase in the chain length. These results are valuable for the practical synthesis and application of PODEn.","DOI":"10.1016/S1872-5813(17)30040-3","ISSN":"1872-5813","journalAbbreviation":"Journal of Fuel Chemistry and Technology","author":[{"family":"Kang","given":"Mei-Rong"},{"family":"Song","given":"He-Yuan"},{"family":"Jin","given":"Fu-Xiang"},{"family":"Chen","given":"Jing"}],"issued":{"date-parts":[["2017",7,1]]}}}],"schema":"https://github.com/citation-style-language/schema/raw/master/csl-citation.json"} </w:instrText>
            </w:r>
            <w:r w:rsidRPr="00B8644B">
              <w:rPr>
                <w:rFonts w:ascii="Times New Roman" w:hAnsi="Times New Roman"/>
                <w:sz w:val="22"/>
              </w:rPr>
              <w:fldChar w:fldCharType="separate"/>
            </w:r>
            <w:r w:rsidR="000A0BA0" w:rsidRPr="000A0BA0">
              <w:rPr>
                <w:rFonts w:ascii="Times New Roman" w:hAnsi="Times New Roman"/>
                <w:sz w:val="22"/>
                <w:vertAlign w:val="superscript"/>
              </w:rPr>
              <w:t>17</w:t>
            </w:r>
            <w:r w:rsidRPr="00B8644B">
              <w:rPr>
                <w:rFonts w:ascii="Times New Roman" w:hAnsi="Times New Roman"/>
                <w:sz w:val="22"/>
              </w:rPr>
              <w:fldChar w:fldCharType="end"/>
            </w:r>
          </w:p>
        </w:tc>
        <w:tc>
          <w:tcPr>
            <w:tcW w:w="2069" w:type="dxa"/>
            <w:tcBorders>
              <w:top w:val="single" w:sz="4" w:space="0" w:color="auto"/>
            </w:tcBorders>
            <w:vAlign w:val="center"/>
          </w:tcPr>
          <w:p w14:paraId="4986CCC6" w14:textId="4D48530B" w:rsidR="00ED6568" w:rsidRPr="00B8644B" w:rsidRDefault="00ED6568" w:rsidP="00ED6568">
            <w:pPr>
              <w:pStyle w:val="TCTableBody"/>
              <w:rPr>
                <w:rFonts w:ascii="Times New Roman" w:hAnsi="Times New Roman"/>
                <w:sz w:val="22"/>
              </w:rPr>
            </w:pPr>
            <w:r w:rsidRPr="00B8644B">
              <w:rPr>
                <w:rFonts w:ascii="Times New Roman" w:hAnsi="Times New Roman"/>
                <w:sz w:val="22"/>
              </w:rPr>
              <w:t>28.8</w:t>
            </w:r>
            <w:r w:rsidRPr="00B8644B">
              <w:rPr>
                <w:rFonts w:ascii="Times New Roman" w:hAnsi="Times New Roman"/>
                <w:sz w:val="22"/>
              </w:rPr>
              <w:fldChar w:fldCharType="begin"/>
            </w:r>
            <w:r w:rsidR="000A0BA0">
              <w:rPr>
                <w:rFonts w:ascii="Times New Roman" w:hAnsi="Times New Roman"/>
                <w:sz w:val="22"/>
              </w:rPr>
              <w:instrText xml:space="preserve"> ADDIN ZOTERO_ITEM CSL_CITATION {"citationID":"z1O7p5zP","properties":{"formattedCitation":"\\super 16\\nosupersub{}","plainCitation":"16","noteIndex":0},"citationItems":[{"id":540,"uris":["http://zotero.org/users/4674022/items/IGNAB8Q8"],"uri":["http://zotero.org/users/4674022/items/IGNAB8Q8"],"itemData":{"id":540,"type":"article-journal","title":"High Purity Oligomeric Oxymethylene Ethers as Diesel Fuels","container-title":"Chemie Ingenieur Technik","page":"486-489","volume":"89","issue":"4","source":"Wiley Online Library","abstract":"Oligomeric oxymethylene dimethyl ethers (OMEn, CH3(OCH2)nOCH3, n = 1 – 5) are promising diesel fuels for the reduction of harmful emissions. If OMEs are produced from dimethoxymethane and trioxane, the resulting OME mixtures usually contain residual trioxane which appears, after rectification, in the OME2 fraction. To circumvent this obstacle, substoichiometric amounts of trioxane have been employed in OME synthesis. Thus, OME2 samples with high purity could be prepared. Physicochemical and fuel data of high purity OME2 and higher OMEs have been determined to supplement previously reported data.","DOI":"10.1002/cite.201600158","ISSN":"1522-2640","language":"en","author":[{"family":"Deutsch","given":"Diana"},{"family":"Oestreich","given":"Dorian"},{"family":"Lautenschütz","given":"Ludger"},{"family":"Haltenort","given":"Philipp"},{"family":"Arnold","given":"Ulrich"},{"family":"Sauer","given":"Jörg"}],"issued":{"date-parts":[["2017",4,1]]}}}],"schema":"https://github.com/citation-style-language/schema/raw/master/csl-citation.json"} </w:instrText>
            </w:r>
            <w:r w:rsidRPr="00B8644B">
              <w:rPr>
                <w:rFonts w:ascii="Times New Roman" w:hAnsi="Times New Roman"/>
                <w:sz w:val="22"/>
              </w:rPr>
              <w:fldChar w:fldCharType="separate"/>
            </w:r>
            <w:r w:rsidR="000A0BA0" w:rsidRPr="000A0BA0">
              <w:rPr>
                <w:rFonts w:ascii="Times New Roman" w:hAnsi="Times New Roman"/>
                <w:sz w:val="22"/>
                <w:vertAlign w:val="superscript"/>
              </w:rPr>
              <w:t>16</w:t>
            </w:r>
            <w:r w:rsidRPr="00B8644B">
              <w:rPr>
                <w:rFonts w:ascii="Times New Roman" w:hAnsi="Times New Roman"/>
                <w:sz w:val="22"/>
              </w:rPr>
              <w:fldChar w:fldCharType="end"/>
            </w:r>
          </w:p>
        </w:tc>
      </w:tr>
      <w:tr w:rsidR="000A0BA0" w:rsidRPr="001D31B0" w14:paraId="78E417A4" w14:textId="77777777" w:rsidTr="00FB3CDD">
        <w:tc>
          <w:tcPr>
            <w:tcW w:w="1276" w:type="dxa"/>
            <w:vAlign w:val="center"/>
          </w:tcPr>
          <w:p w14:paraId="3A712F66" w14:textId="77777777" w:rsidR="00ED6568" w:rsidRPr="00B8644B" w:rsidRDefault="00ED6568" w:rsidP="00ED6568">
            <w:pPr>
              <w:pStyle w:val="TCTableBody"/>
              <w:rPr>
                <w:rFonts w:ascii="Times New Roman" w:hAnsi="Times New Roman"/>
                <w:sz w:val="22"/>
              </w:rPr>
            </w:pPr>
            <w:r w:rsidRPr="00B8644B">
              <w:rPr>
                <w:rFonts w:ascii="Times New Roman" w:hAnsi="Times New Roman"/>
                <w:sz w:val="22"/>
              </w:rPr>
              <w:t>OME</w:t>
            </w:r>
            <w:r w:rsidRPr="00B8644B">
              <w:rPr>
                <w:rFonts w:ascii="Times New Roman" w:hAnsi="Times New Roman"/>
                <w:sz w:val="22"/>
                <w:vertAlign w:val="subscript"/>
              </w:rPr>
              <w:t>4</w:t>
            </w:r>
          </w:p>
        </w:tc>
        <w:tc>
          <w:tcPr>
            <w:tcW w:w="709" w:type="dxa"/>
            <w:vAlign w:val="center"/>
          </w:tcPr>
          <w:p w14:paraId="23342483" w14:textId="6AA6AE1A" w:rsidR="00ED6568" w:rsidRPr="00B8644B" w:rsidRDefault="00ED6568" w:rsidP="00ED6568">
            <w:pPr>
              <w:pStyle w:val="TCTableBody"/>
              <w:rPr>
                <w:rFonts w:ascii="Times New Roman" w:hAnsi="Times New Roman"/>
                <w:sz w:val="22"/>
              </w:rPr>
            </w:pPr>
            <w:r w:rsidRPr="00B8644B">
              <w:rPr>
                <w:rFonts w:ascii="Times New Roman" w:hAnsi="Times New Roman"/>
                <w:sz w:val="22"/>
              </w:rPr>
              <w:t>-10</w:t>
            </w:r>
            <w:r w:rsidRPr="00B8644B">
              <w:rPr>
                <w:rFonts w:ascii="Times New Roman" w:hAnsi="Times New Roman"/>
                <w:sz w:val="22"/>
              </w:rPr>
              <w:fldChar w:fldCharType="begin"/>
            </w:r>
            <w:r w:rsidR="000A0BA0">
              <w:rPr>
                <w:rFonts w:ascii="Times New Roman" w:hAnsi="Times New Roman"/>
                <w:sz w:val="22"/>
              </w:rPr>
              <w:instrText xml:space="preserve"> ADDIN ZOTERO_ITEM CSL_CITATION {"citationID":"bpphkbna","properties":{"formattedCitation":"\\super 16\\nosupersub{}","plainCitation":"16","noteIndex":0},"citationItems":[{"id":540,"uris":["http://zotero.org/users/4674022/items/IGNAB8Q8"],"uri":["http://zotero.org/users/4674022/items/IGNAB8Q8"],"itemData":{"id":540,"type":"article-journal","title":"High Purity Oligomeric Oxymethylene Ethers as Diesel Fuels","container-title":"Chemie Ingenieur Technik","page":"486-489","volume":"89","issue":"4","source":"Wiley Online Library","abstract":"Oligomeric oxymethylene dimethyl ethers (OMEn, CH3(OCH2)nOCH3, n = 1 – 5) are promising diesel fuels for the reduction of harmful emissions. If OMEs are produced from dimethoxymethane and trioxane, the resulting OME mixtures usually contain residual trioxane which appears, after rectification, in the OME2 fraction. To circumvent this obstacle, substoichiometric amounts of trioxane have been employed in OME synthesis. Thus, OME2 samples with high purity could be prepared. Physicochemical and fuel data of high purity OME2 and higher OMEs have been determined to supplement previously reported data.","DOI":"10.1002/cite.201600158","ISSN":"1522-2640","language":"en","author":[{"family":"Deutsch","given":"Diana"},{"family":"Oestreich","given":"Dorian"},{"family":"Lautenschütz","given":"Ludger"},{"family":"Haltenort","given":"Philipp"},{"family":"Arnold","given":"Ulrich"},{"family":"Sauer","given":"Jörg"}],"issued":{"date-parts":[["2017",4,1]]}}}],"schema":"https://github.com/citation-style-language/schema/raw/master/csl-citation.json"} </w:instrText>
            </w:r>
            <w:r w:rsidRPr="00B8644B">
              <w:rPr>
                <w:rFonts w:ascii="Times New Roman" w:hAnsi="Times New Roman"/>
                <w:sz w:val="22"/>
              </w:rPr>
              <w:fldChar w:fldCharType="separate"/>
            </w:r>
            <w:r w:rsidR="000A0BA0" w:rsidRPr="00173BBF">
              <w:rPr>
                <w:rFonts w:ascii="Times New Roman" w:hAnsi="Times New Roman"/>
                <w:sz w:val="22"/>
                <w:vertAlign w:val="superscript"/>
              </w:rPr>
              <w:t>16</w:t>
            </w:r>
            <w:r w:rsidRPr="00B8644B">
              <w:rPr>
                <w:rFonts w:ascii="Times New Roman" w:hAnsi="Times New Roman"/>
                <w:sz w:val="22"/>
              </w:rPr>
              <w:fldChar w:fldCharType="end"/>
            </w:r>
          </w:p>
        </w:tc>
        <w:tc>
          <w:tcPr>
            <w:tcW w:w="1134" w:type="dxa"/>
            <w:vAlign w:val="center"/>
          </w:tcPr>
          <w:p w14:paraId="226981DE" w14:textId="177204DF" w:rsidR="00ED6568" w:rsidRPr="00B8644B" w:rsidRDefault="00ED6568" w:rsidP="00ED6568">
            <w:pPr>
              <w:pStyle w:val="TCTableBody"/>
              <w:rPr>
                <w:rFonts w:ascii="Times New Roman" w:hAnsi="Times New Roman"/>
                <w:sz w:val="22"/>
              </w:rPr>
            </w:pPr>
            <w:r w:rsidRPr="00B8644B">
              <w:rPr>
                <w:rFonts w:ascii="Times New Roman" w:hAnsi="Times New Roman"/>
                <w:sz w:val="22"/>
              </w:rPr>
              <w:t>202</w:t>
            </w:r>
            <w:r w:rsidRPr="00B8644B">
              <w:rPr>
                <w:rFonts w:ascii="Times New Roman" w:hAnsi="Times New Roman"/>
                <w:sz w:val="22"/>
              </w:rPr>
              <w:fldChar w:fldCharType="begin"/>
            </w:r>
            <w:r w:rsidR="000A0BA0">
              <w:rPr>
                <w:rFonts w:ascii="Times New Roman" w:hAnsi="Times New Roman"/>
                <w:sz w:val="22"/>
              </w:rPr>
              <w:instrText xml:space="preserve"> ADDIN ZOTERO_ITEM CSL_CITATION {"citationID":"JuFyadXD","properties":{"formattedCitation":"\\super 16\\nosupersub{}","plainCitation":"16","noteIndex":0},"citationItems":[{"id":540,"uris":["http://zotero.org/users/4674022/items/IGNAB8Q8"],"uri":["http://zotero.org/users/4674022/items/IGNAB8Q8"],"itemData":{"id":540,"type":"article-journal","title":"High Purity Oligomeric Oxymethylene Ethers as Diesel Fuels","container-title":"Chemie Ingenieur Technik","page":"486-489","volume":"89","issue":"4","source":"Wiley Online Library","abstract":"Oligomeric oxymethylene dimethyl ethers (OMEn, CH3(OCH2)nOCH3, n = 1 – 5) are promising diesel fuels for the reduction of harmful emissions. If OMEs are produced from dimethoxymethane and trioxane, the resulting OME mixtures usually contain residual trioxane which appears, after rectification, in the OME2 fraction. To circumvent this obstacle, substoichiometric amounts of trioxane have been employed in OME synthesis. Thus, OME2 samples with high purity could be prepared. Physicochemical and fuel data of high purity OME2 and higher OMEs have been determined to supplement previously reported data.","DOI":"10.1002/cite.201600158","ISSN":"1522-2640","language":"en","author":[{"family":"Deutsch","given":"Diana"},{"family":"Oestreich","given":"Dorian"},{"family":"Lautenschütz","given":"Ludger"},{"family":"Haltenort","given":"Philipp"},{"family":"Arnold","given":"Ulrich"},{"family":"Sauer","given":"Jörg"}],"issued":{"date-parts":[["2017",4,1]]}}}],"schema":"https://github.com/citation-style-language/schema/raw/master/csl-citation.json"} </w:instrText>
            </w:r>
            <w:r w:rsidRPr="00B8644B">
              <w:rPr>
                <w:rFonts w:ascii="Times New Roman" w:hAnsi="Times New Roman"/>
                <w:sz w:val="22"/>
              </w:rPr>
              <w:fldChar w:fldCharType="separate"/>
            </w:r>
            <w:r w:rsidR="000A0BA0" w:rsidRPr="000A0BA0">
              <w:rPr>
                <w:rFonts w:ascii="Times New Roman" w:hAnsi="Times New Roman"/>
                <w:sz w:val="22"/>
                <w:vertAlign w:val="superscript"/>
              </w:rPr>
              <w:t>16</w:t>
            </w:r>
            <w:r w:rsidRPr="00B8644B">
              <w:rPr>
                <w:rFonts w:ascii="Times New Roman" w:hAnsi="Times New Roman"/>
                <w:sz w:val="22"/>
              </w:rPr>
              <w:fldChar w:fldCharType="end"/>
            </w:r>
          </w:p>
        </w:tc>
        <w:tc>
          <w:tcPr>
            <w:tcW w:w="709" w:type="dxa"/>
            <w:vAlign w:val="center"/>
          </w:tcPr>
          <w:p w14:paraId="44A7F80A" w14:textId="0C31A84C" w:rsidR="00ED6568" w:rsidRPr="00B8644B" w:rsidRDefault="00ED6568" w:rsidP="00ED6568">
            <w:pPr>
              <w:pStyle w:val="TCTableBody"/>
              <w:rPr>
                <w:rFonts w:ascii="Times New Roman" w:hAnsi="Times New Roman"/>
                <w:sz w:val="22"/>
              </w:rPr>
            </w:pPr>
            <w:r w:rsidRPr="00B8644B">
              <w:rPr>
                <w:rFonts w:ascii="Times New Roman" w:hAnsi="Times New Roman"/>
                <w:sz w:val="22"/>
              </w:rPr>
              <w:t>77</w:t>
            </w:r>
            <w:r w:rsidRPr="00B8644B">
              <w:rPr>
                <w:rFonts w:ascii="Times New Roman" w:hAnsi="Times New Roman"/>
                <w:sz w:val="22"/>
              </w:rPr>
              <w:fldChar w:fldCharType="begin"/>
            </w:r>
            <w:r w:rsidR="000A0BA0">
              <w:rPr>
                <w:rFonts w:ascii="Times New Roman" w:hAnsi="Times New Roman"/>
                <w:sz w:val="22"/>
              </w:rPr>
              <w:instrText xml:space="preserve"> ADDIN ZOTERO_ITEM CSL_CITATION {"citationID":"5fnRJP8G","properties":{"formattedCitation":"\\super 17\\nosupersub{}","plainCitation":"17","noteIndex":0},"citationItems":[{"id":538,"uris":["http://zotero.org/users/4674022/items/QTULHGXD"],"uri":["http://zotero.org/users/4674022/items/QTULHGXD"],"itemData":{"id":538,"type":"article-journal","title":"Synthesis and physicochemical characterization of polyoxymethylene dimethyl ethers","container-title":"Journal of Fuel Chemistry and Technology","page":"837-845","volume":"45","issue":"7","source":"ScienceDirect","abstract":"Polyoxymethylene dimethyl ethers (H3CO(CH2O)nCH3, PODEn or DMMn, n ≥ 2) with unique physical and chemical properties are a potential additive for diesel fuels, which can effectively enhance the combustion efficiency and reduce the emission of pollutants. In this work, a series of pure PODEn components (n = 2–5) were synthesized from methylal and trioxymethylene and obtained with high purity through collaborative separation; their structure and properties were characterized by NMR, FT-IR, Raman, DSC and DFT calculation and a detailed assignment of the expressions in the spectrogram to the various groups was performed. A detailed assignment of expressions in the spectrogram to the various groups was also performed. The density and viscosity of PODEn were measured at 298.15–323.15 K. The results indicate that the density and viscosity of PODEn decrease gradually with the increase of temperature. Meanwhile, with the increase in the number of –CH2O– units (n) from 2 to 5, the density, viscosity, flash point, pour point, and the heat of fusion and solidification of PODEn are all increased with the increase in the chain length. These results are valuable for the practical synthesis and application of PODEn.","DOI":"10.1016/S1872-5813(17)30040-3","ISSN":"1872-5813","journalAbbreviation":"Journal of Fuel Chemistry and Technology","author":[{"family":"Kang","given":"Mei-Rong"},{"family":"Song","given":"He-Yuan"},{"family":"Jin","given":"Fu-Xiang"},{"family":"Chen","given":"Jing"}],"issued":{"date-parts":[["2017",7,1]]}}}],"schema":"https://github.com/citation-style-language/schema/raw/master/csl-citation.json"} </w:instrText>
            </w:r>
            <w:r w:rsidRPr="00B8644B">
              <w:rPr>
                <w:rFonts w:ascii="Times New Roman" w:hAnsi="Times New Roman"/>
                <w:sz w:val="22"/>
              </w:rPr>
              <w:fldChar w:fldCharType="separate"/>
            </w:r>
            <w:r w:rsidR="000A0BA0" w:rsidRPr="000A0BA0">
              <w:rPr>
                <w:rFonts w:ascii="Times New Roman" w:hAnsi="Times New Roman"/>
                <w:sz w:val="22"/>
                <w:vertAlign w:val="superscript"/>
              </w:rPr>
              <w:t>17</w:t>
            </w:r>
            <w:r w:rsidRPr="00B8644B">
              <w:rPr>
                <w:rFonts w:ascii="Times New Roman" w:hAnsi="Times New Roman"/>
                <w:sz w:val="22"/>
              </w:rPr>
              <w:fldChar w:fldCharType="end"/>
            </w:r>
          </w:p>
        </w:tc>
        <w:tc>
          <w:tcPr>
            <w:tcW w:w="1559" w:type="dxa"/>
            <w:vAlign w:val="center"/>
          </w:tcPr>
          <w:p w14:paraId="7AE38207" w14:textId="68121172" w:rsidR="00ED6568" w:rsidRPr="00B8644B" w:rsidRDefault="00ED6568" w:rsidP="00ED6568">
            <w:pPr>
              <w:pStyle w:val="TCTableBody"/>
              <w:rPr>
                <w:rFonts w:ascii="Times New Roman" w:hAnsi="Times New Roman"/>
                <w:sz w:val="22"/>
              </w:rPr>
            </w:pPr>
            <w:r w:rsidRPr="00B8644B">
              <w:rPr>
                <w:rFonts w:ascii="Times New Roman" w:hAnsi="Times New Roman"/>
                <w:sz w:val="22"/>
              </w:rPr>
              <w:t>1.08</w:t>
            </w:r>
            <w:r w:rsidRPr="00B8644B">
              <w:rPr>
                <w:rFonts w:ascii="Times New Roman" w:hAnsi="Times New Roman"/>
                <w:sz w:val="22"/>
              </w:rPr>
              <w:fldChar w:fldCharType="begin"/>
            </w:r>
            <w:r w:rsidR="000A0BA0">
              <w:rPr>
                <w:rFonts w:ascii="Times New Roman" w:hAnsi="Times New Roman"/>
                <w:sz w:val="22"/>
              </w:rPr>
              <w:instrText xml:space="preserve"> ADDIN ZOTERO_ITEM CSL_CITATION {"citationID":"AWZurEJL","properties":{"formattedCitation":"\\super 16\\nosupersub{}","plainCitation":"16","noteIndex":0},"citationItems":[{"id":540,"uris":["http://zotero.org/users/4674022/items/IGNAB8Q8"],"uri":["http://zotero.org/users/4674022/items/IGNAB8Q8"],"itemData":{"id":540,"type":"article-journal","title":"High Purity Oligomeric Oxymethylene Ethers as Diesel Fuels","container-title":"Chemie Ingenieur Technik","page":"486-489","volume":"89","issue":"4","source":"Wiley Online Library","abstract":"Oligomeric oxymethylene dimethyl ethers (OMEn, CH3(OCH2)nOCH3, n = 1 – 5) are promising diesel fuels for the reduction of harmful emissions. If OMEs are produced from dimethoxymethane and trioxane, the resulting OME mixtures usually contain residual trioxane which appears, after rectification, in the OME2 fraction. To circumvent this obstacle, substoichiometric amounts of trioxane have been employed in OME synthesis. Thus, OME2 samples with high purity could be prepared. Physicochemical and fuel data of high purity OME2 and higher OMEs have been determined to supplement previously reported data.","DOI":"10.1002/cite.201600158","ISSN":"1522-2640","language":"en","author":[{"family":"Deutsch","given":"Diana"},{"family":"Oestreich","given":"Dorian"},{"family":"Lautenschütz","given":"Ludger"},{"family":"Haltenort","given":"Philipp"},{"family":"Arnold","given":"Ulrich"},{"family":"Sauer","given":"Jörg"}],"issued":{"date-parts":[["2017",4,1]]}}}],"schema":"https://github.com/citation-style-language/schema/raw/master/csl-citation.json"} </w:instrText>
            </w:r>
            <w:r w:rsidRPr="00B8644B">
              <w:rPr>
                <w:rFonts w:ascii="Times New Roman" w:hAnsi="Times New Roman"/>
                <w:sz w:val="22"/>
              </w:rPr>
              <w:fldChar w:fldCharType="separate"/>
            </w:r>
            <w:r w:rsidR="000A0BA0" w:rsidRPr="000A0BA0">
              <w:rPr>
                <w:rFonts w:ascii="Times New Roman" w:hAnsi="Times New Roman"/>
                <w:sz w:val="22"/>
                <w:vertAlign w:val="superscript"/>
              </w:rPr>
              <w:t>16</w:t>
            </w:r>
            <w:r w:rsidRPr="00B8644B">
              <w:rPr>
                <w:rFonts w:ascii="Times New Roman" w:hAnsi="Times New Roman"/>
                <w:sz w:val="22"/>
              </w:rPr>
              <w:fldChar w:fldCharType="end"/>
            </w:r>
          </w:p>
        </w:tc>
        <w:tc>
          <w:tcPr>
            <w:tcW w:w="1417" w:type="dxa"/>
            <w:vAlign w:val="center"/>
          </w:tcPr>
          <w:p w14:paraId="0500440D" w14:textId="18343834" w:rsidR="00ED6568" w:rsidRPr="00B8644B" w:rsidRDefault="00ED6568" w:rsidP="00ED6568">
            <w:pPr>
              <w:pStyle w:val="TCTableBody"/>
              <w:rPr>
                <w:rFonts w:ascii="Times New Roman" w:hAnsi="Times New Roman"/>
                <w:sz w:val="22"/>
              </w:rPr>
            </w:pPr>
            <w:r w:rsidRPr="00B8644B">
              <w:rPr>
                <w:rFonts w:ascii="Times New Roman" w:hAnsi="Times New Roman"/>
                <w:sz w:val="22"/>
              </w:rPr>
              <w:t>1.88</w:t>
            </w:r>
            <w:r w:rsidRPr="00B8644B">
              <w:rPr>
                <w:rFonts w:ascii="Times New Roman" w:hAnsi="Times New Roman"/>
                <w:sz w:val="22"/>
              </w:rPr>
              <w:fldChar w:fldCharType="begin"/>
            </w:r>
            <w:r w:rsidR="000A0BA0">
              <w:rPr>
                <w:rFonts w:ascii="Times New Roman" w:hAnsi="Times New Roman"/>
                <w:sz w:val="22"/>
              </w:rPr>
              <w:instrText xml:space="preserve"> ADDIN ZOTERO_ITEM CSL_CITATION {"citationID":"tqzWzLwG","properties":{"formattedCitation":"\\super 17\\nosupersub{}","plainCitation":"17","noteIndex":0},"citationItems":[{"id":538,"uris":["http://zotero.org/users/4674022/items/QTULHGXD"],"uri":["http://zotero.org/users/4674022/items/QTULHGXD"],"itemData":{"id":538,"type":"article-journal","title":"Synthesis and physicochemical characterization of polyoxymethylene dimethyl ethers","container-title":"Journal of Fuel Chemistry and Technology","page":"837-845","volume":"45","issue":"7","source":"ScienceDirect","abstract":"Polyoxymethylene dimethyl ethers (H3CO(CH2O)nCH3, PODEn or DMMn, n ≥ 2) with unique physical and chemical properties are a potential additive for diesel fuels, which can effectively enhance the combustion efficiency and reduce the emission of pollutants. In this work, a series of pure PODEn components (n = 2–5) were synthesized from methylal and trioxymethylene and obtained with high purity through collaborative separation; their structure and properties were characterized by NMR, FT-IR, Raman, DSC and DFT calculation and a detailed assignment of the expressions in the spectrogram to the various groups was performed. A detailed assignment of expressions in the spectrogram to the various groups was also performed. The density and viscosity of PODEn were measured at 298.15–323.15 K. The results indicate that the density and viscosity of PODEn decrease gradually with the increase of temperature. Meanwhile, with the increase in the number of –CH2O– units (n) from 2 to 5, the density, viscosity, flash point, pour point, and the heat of fusion and solidification of PODEn are all increased with the increase in the chain length. These results are valuable for the practical synthesis and application of PODEn.","DOI":"10.1016/S1872-5813(17)30040-3","ISSN":"1872-5813","journalAbbreviation":"Journal of Fuel Chemistry and Technology","author":[{"family":"Kang","given":"Mei-Rong"},{"family":"Song","given":"He-Yuan"},{"family":"Jin","given":"Fu-Xiang"},{"family":"Chen","given":"Jing"}],"issued":{"date-parts":[["2017",7,1]]}}}],"schema":"https://github.com/citation-style-language/schema/raw/master/csl-citation.json"} </w:instrText>
            </w:r>
            <w:r w:rsidRPr="00B8644B">
              <w:rPr>
                <w:rFonts w:ascii="Times New Roman" w:hAnsi="Times New Roman"/>
                <w:sz w:val="22"/>
              </w:rPr>
              <w:fldChar w:fldCharType="separate"/>
            </w:r>
            <w:r w:rsidR="000A0BA0" w:rsidRPr="000A0BA0">
              <w:rPr>
                <w:rFonts w:ascii="Times New Roman" w:hAnsi="Times New Roman"/>
                <w:sz w:val="22"/>
                <w:vertAlign w:val="superscript"/>
              </w:rPr>
              <w:t>17</w:t>
            </w:r>
            <w:r w:rsidRPr="00B8644B">
              <w:rPr>
                <w:rFonts w:ascii="Times New Roman" w:hAnsi="Times New Roman"/>
                <w:sz w:val="22"/>
              </w:rPr>
              <w:fldChar w:fldCharType="end"/>
            </w:r>
          </w:p>
        </w:tc>
        <w:tc>
          <w:tcPr>
            <w:tcW w:w="2069" w:type="dxa"/>
            <w:vAlign w:val="center"/>
          </w:tcPr>
          <w:p w14:paraId="763F63C9" w14:textId="265CEB0C" w:rsidR="00ED6568" w:rsidRPr="00B8644B" w:rsidRDefault="00ED6568" w:rsidP="00ED6568">
            <w:pPr>
              <w:pStyle w:val="TCTableBody"/>
              <w:rPr>
                <w:rFonts w:ascii="Times New Roman" w:hAnsi="Times New Roman"/>
                <w:sz w:val="22"/>
              </w:rPr>
            </w:pPr>
            <w:r w:rsidRPr="00B8644B">
              <w:rPr>
                <w:rFonts w:ascii="Times New Roman" w:hAnsi="Times New Roman"/>
                <w:sz w:val="22"/>
              </w:rPr>
              <w:t>30.7</w:t>
            </w:r>
            <w:r w:rsidRPr="00B8644B">
              <w:rPr>
                <w:rFonts w:ascii="Times New Roman" w:hAnsi="Times New Roman"/>
                <w:sz w:val="22"/>
              </w:rPr>
              <w:fldChar w:fldCharType="begin"/>
            </w:r>
            <w:r w:rsidR="000A0BA0">
              <w:rPr>
                <w:rFonts w:ascii="Times New Roman" w:hAnsi="Times New Roman"/>
                <w:sz w:val="22"/>
              </w:rPr>
              <w:instrText xml:space="preserve"> ADDIN ZOTERO_ITEM CSL_CITATION {"citationID":"Qa4Vb98r","properties":{"formattedCitation":"\\super 16\\nosupersub{}","plainCitation":"16","noteIndex":0},"citationItems":[{"id":540,"uris":["http://zotero.org/users/4674022/items/IGNAB8Q8"],"uri":["http://zotero.org/users/4674022/items/IGNAB8Q8"],"itemData":{"id":540,"type":"article-journal","title":"High Purity Oligomeric Oxymethylene Ethers as Diesel Fuels","container-title":"Chemie Ingenieur Technik","page":"486-489","volume":"89","issue":"4","source":"Wiley Online Library","abstract":"Oligomeric oxymethylene dimethyl ethers (OMEn, CH3(OCH2)nOCH3, n = 1 – 5) are promising diesel fuels for the reduction of harmful emissions. If OMEs are produced from dimethoxymethane and trioxane, the resulting OME mixtures usually contain residual trioxane which appears, after rectification, in the OME2 fraction. To circumvent this obstacle, substoichiometric amounts of trioxane have been employed in OME synthesis. Thus, OME2 samples with high purity could be prepared. Physicochemical and fuel data of high purity OME2 and higher OMEs have been determined to supplement previously reported data.","DOI":"10.1002/cite.201600158","ISSN":"1522-2640","language":"en","author":[{"family":"Deutsch","given":"Diana"},{"family":"Oestreich","given":"Dorian"},{"family":"Lautenschütz","given":"Ludger"},{"family":"Haltenort","given":"Philipp"},{"family":"Arnold","given":"Ulrich"},{"family":"Sauer","given":"Jörg"}],"issued":{"date-parts":[["2017",4,1]]}}}],"schema":"https://github.com/citation-style-language/schema/raw/master/csl-citation.json"} </w:instrText>
            </w:r>
            <w:r w:rsidRPr="00B8644B">
              <w:rPr>
                <w:rFonts w:ascii="Times New Roman" w:hAnsi="Times New Roman"/>
                <w:sz w:val="22"/>
              </w:rPr>
              <w:fldChar w:fldCharType="separate"/>
            </w:r>
            <w:r w:rsidR="000A0BA0" w:rsidRPr="000A0BA0">
              <w:rPr>
                <w:rFonts w:ascii="Times New Roman" w:hAnsi="Times New Roman"/>
                <w:sz w:val="22"/>
                <w:vertAlign w:val="superscript"/>
              </w:rPr>
              <w:t>16</w:t>
            </w:r>
            <w:r w:rsidRPr="00B8644B">
              <w:rPr>
                <w:rFonts w:ascii="Times New Roman" w:hAnsi="Times New Roman"/>
                <w:sz w:val="22"/>
              </w:rPr>
              <w:fldChar w:fldCharType="end"/>
            </w:r>
          </w:p>
        </w:tc>
      </w:tr>
      <w:tr w:rsidR="000A0BA0" w:rsidRPr="001D31B0" w14:paraId="6C734EB5" w14:textId="77777777" w:rsidTr="00FB3CDD">
        <w:tc>
          <w:tcPr>
            <w:tcW w:w="1276" w:type="dxa"/>
            <w:vAlign w:val="center"/>
          </w:tcPr>
          <w:p w14:paraId="616BF812" w14:textId="77777777" w:rsidR="00ED6568" w:rsidRPr="00B8644B" w:rsidRDefault="00ED6568" w:rsidP="00ED6568">
            <w:pPr>
              <w:pStyle w:val="TCTableBody"/>
              <w:rPr>
                <w:rFonts w:ascii="Times New Roman" w:hAnsi="Times New Roman"/>
                <w:sz w:val="22"/>
              </w:rPr>
            </w:pPr>
            <w:r w:rsidRPr="00B8644B">
              <w:rPr>
                <w:rFonts w:ascii="Times New Roman" w:hAnsi="Times New Roman"/>
                <w:sz w:val="22"/>
              </w:rPr>
              <w:t>OME</w:t>
            </w:r>
            <w:r w:rsidRPr="00B8644B">
              <w:rPr>
                <w:rFonts w:ascii="Times New Roman" w:hAnsi="Times New Roman"/>
                <w:sz w:val="22"/>
                <w:vertAlign w:val="subscript"/>
              </w:rPr>
              <w:t>5</w:t>
            </w:r>
          </w:p>
        </w:tc>
        <w:tc>
          <w:tcPr>
            <w:tcW w:w="709" w:type="dxa"/>
            <w:vAlign w:val="center"/>
          </w:tcPr>
          <w:p w14:paraId="0618B05F" w14:textId="55B20220" w:rsidR="00ED6568" w:rsidRPr="00B8644B" w:rsidRDefault="00ED6568" w:rsidP="00ED6568">
            <w:pPr>
              <w:pStyle w:val="TCTableBody"/>
              <w:rPr>
                <w:rFonts w:ascii="Times New Roman" w:hAnsi="Times New Roman"/>
                <w:sz w:val="22"/>
              </w:rPr>
            </w:pPr>
            <w:r w:rsidRPr="00B8644B">
              <w:rPr>
                <w:rFonts w:ascii="Times New Roman" w:hAnsi="Times New Roman"/>
                <w:sz w:val="22"/>
              </w:rPr>
              <w:t>18</w:t>
            </w:r>
            <w:r w:rsidRPr="00B8644B">
              <w:rPr>
                <w:rFonts w:ascii="Times New Roman" w:hAnsi="Times New Roman"/>
                <w:sz w:val="22"/>
              </w:rPr>
              <w:fldChar w:fldCharType="begin"/>
            </w:r>
            <w:r w:rsidR="000A0BA0">
              <w:rPr>
                <w:rFonts w:ascii="Times New Roman" w:hAnsi="Times New Roman"/>
                <w:sz w:val="22"/>
              </w:rPr>
              <w:instrText xml:space="preserve"> ADDIN ZOTERO_ITEM CSL_CITATION {"citationID":"cgll4rbE","properties":{"formattedCitation":"\\super 16\\nosupersub{}","plainCitation":"16","noteIndex":0},"citationItems":[{"id":540,"uris":["http://zotero.org/users/4674022/items/IGNAB8Q8"],"uri":["http://zotero.org/users/4674022/items/IGNAB8Q8"],"itemData":{"id":540,"type":"article-journal","title":"High Purity Oligomeric Oxymethylene Ethers as Diesel Fuels","container-title":"Chemie Ingenieur Technik","page":"486-489","volume":"89","issue":"4","source":"Wiley Online Library","abstract":"Oligomeric oxymethylene dimethyl ethers (OMEn, CH3(OCH2)nOCH3, n = 1 – 5) are promising diesel fuels for the reduction of harmful emissions. If OMEs are produced from dimethoxymethane and trioxane, the resulting OME mixtures usually contain residual trioxane which appears, after rectification, in the OME2 fraction. To circumvent this obstacle, substoichiometric amounts of trioxane have been employed in OME synthesis. Thus, OME2 samples with high purity could be prepared. Physicochemical and fuel data of high purity OME2 and higher OMEs have been determined to supplement previously reported data.","DOI":"10.1002/cite.201600158","ISSN":"1522-2640","language":"en","author":[{"family":"Deutsch","given":"Diana"},{"family":"Oestreich","given":"Dorian"},{"family":"Lautenschütz","given":"Ludger"},{"family":"Haltenort","given":"Philipp"},{"family":"Arnold","given":"Ulrich"},{"family":"Sauer","given":"Jörg"}],"issued":{"date-parts":[["2017",4,1]]}}}],"schema":"https://github.com/citation-style-language/schema/raw/master/csl-citation.json"} </w:instrText>
            </w:r>
            <w:r w:rsidRPr="00B8644B">
              <w:rPr>
                <w:rFonts w:ascii="Times New Roman" w:hAnsi="Times New Roman"/>
                <w:sz w:val="22"/>
              </w:rPr>
              <w:fldChar w:fldCharType="separate"/>
            </w:r>
            <w:r w:rsidR="000A0BA0" w:rsidRPr="000A0BA0">
              <w:rPr>
                <w:rFonts w:ascii="Times New Roman" w:hAnsi="Times New Roman"/>
                <w:sz w:val="22"/>
                <w:vertAlign w:val="superscript"/>
              </w:rPr>
              <w:t>16</w:t>
            </w:r>
            <w:r w:rsidRPr="00B8644B">
              <w:rPr>
                <w:rFonts w:ascii="Times New Roman" w:hAnsi="Times New Roman"/>
                <w:sz w:val="22"/>
              </w:rPr>
              <w:fldChar w:fldCharType="end"/>
            </w:r>
          </w:p>
        </w:tc>
        <w:tc>
          <w:tcPr>
            <w:tcW w:w="1134" w:type="dxa"/>
            <w:vAlign w:val="center"/>
          </w:tcPr>
          <w:p w14:paraId="7C32DA37" w14:textId="29086C81" w:rsidR="00ED6568" w:rsidRPr="00B8644B" w:rsidRDefault="00ED6568" w:rsidP="00ED6568">
            <w:pPr>
              <w:pStyle w:val="TCTableBody"/>
              <w:rPr>
                <w:rFonts w:ascii="Times New Roman" w:hAnsi="Times New Roman"/>
                <w:sz w:val="22"/>
              </w:rPr>
            </w:pPr>
            <w:r w:rsidRPr="00B8644B">
              <w:rPr>
                <w:rFonts w:ascii="Times New Roman" w:hAnsi="Times New Roman"/>
                <w:sz w:val="22"/>
              </w:rPr>
              <w:t>242</w:t>
            </w:r>
            <w:r w:rsidRPr="00B8644B">
              <w:rPr>
                <w:rFonts w:ascii="Times New Roman" w:hAnsi="Times New Roman"/>
                <w:sz w:val="22"/>
              </w:rPr>
              <w:fldChar w:fldCharType="begin"/>
            </w:r>
            <w:r w:rsidR="000A0BA0">
              <w:rPr>
                <w:rFonts w:ascii="Times New Roman" w:hAnsi="Times New Roman"/>
                <w:sz w:val="22"/>
              </w:rPr>
              <w:instrText xml:space="preserve"> ADDIN ZOTERO_ITEM CSL_CITATION {"citationID":"ifQwG9Mk","properties":{"formattedCitation":"\\super 16\\nosupersub{}","plainCitation":"16","noteIndex":0},"citationItems":[{"id":540,"uris":["http://zotero.org/users/4674022/items/IGNAB8Q8"],"uri":["http://zotero.org/users/4674022/items/IGNAB8Q8"],"itemData":{"id":540,"type":"article-journal","title":"High Purity Oligomeric Oxymethylene Ethers as Diesel Fuels","container-title":"Chemie Ingenieur Technik","page":"486-489","volume":"89","issue":"4","source":"Wiley Online Library","abstract":"Oligomeric oxymethylene dimethyl ethers (OMEn, CH3(OCH2)nOCH3, n = 1 – 5) are promising diesel fuels for the reduction of harmful emissions. If OMEs are produced from dimethoxymethane and trioxane, the resulting OME mixtures usually contain residual trioxane which appears, after rectification, in the OME2 fraction. To circumvent this obstacle, substoichiometric amounts of trioxane have been employed in OME synthesis. Thus, OME2 samples with high purity could be prepared. Physicochemical and fuel data of high purity OME2 and higher OMEs have been determined to supplement previously reported data.","DOI":"10.1002/cite.201600158","ISSN":"1522-2640","language":"en","author":[{"family":"Deutsch","given":"Diana"},{"family":"Oestreich","given":"Dorian"},{"family":"Lautenschütz","given":"Ludger"},{"family":"Haltenort","given":"Philipp"},{"family":"Arnold","given":"Ulrich"},{"family":"Sauer","given":"Jörg"}],"issued":{"date-parts":[["2017",4,1]]}}}],"schema":"https://github.com/citation-style-language/schema/raw/master/csl-citation.json"} </w:instrText>
            </w:r>
            <w:r w:rsidRPr="00B8644B">
              <w:rPr>
                <w:rFonts w:ascii="Times New Roman" w:hAnsi="Times New Roman"/>
                <w:sz w:val="22"/>
              </w:rPr>
              <w:fldChar w:fldCharType="separate"/>
            </w:r>
            <w:r w:rsidR="000A0BA0" w:rsidRPr="000A0BA0">
              <w:rPr>
                <w:rFonts w:ascii="Times New Roman" w:hAnsi="Times New Roman"/>
                <w:sz w:val="22"/>
                <w:vertAlign w:val="superscript"/>
              </w:rPr>
              <w:t>16</w:t>
            </w:r>
            <w:r w:rsidRPr="00B8644B">
              <w:rPr>
                <w:rFonts w:ascii="Times New Roman" w:hAnsi="Times New Roman"/>
                <w:sz w:val="22"/>
              </w:rPr>
              <w:fldChar w:fldCharType="end"/>
            </w:r>
          </w:p>
        </w:tc>
        <w:tc>
          <w:tcPr>
            <w:tcW w:w="709" w:type="dxa"/>
            <w:vAlign w:val="center"/>
          </w:tcPr>
          <w:p w14:paraId="45EA688A" w14:textId="43375366" w:rsidR="00ED6568" w:rsidRPr="00B8644B" w:rsidRDefault="00ED6568" w:rsidP="00ED6568">
            <w:pPr>
              <w:pStyle w:val="TCTableBody"/>
              <w:rPr>
                <w:rFonts w:ascii="Times New Roman" w:hAnsi="Times New Roman"/>
                <w:sz w:val="22"/>
              </w:rPr>
            </w:pPr>
            <w:r w:rsidRPr="00B8644B">
              <w:rPr>
                <w:rFonts w:ascii="Times New Roman" w:hAnsi="Times New Roman"/>
                <w:sz w:val="22"/>
              </w:rPr>
              <w:t>103</w:t>
            </w:r>
            <w:r w:rsidRPr="00B8644B">
              <w:rPr>
                <w:rFonts w:ascii="Times New Roman" w:hAnsi="Times New Roman"/>
                <w:sz w:val="22"/>
              </w:rPr>
              <w:fldChar w:fldCharType="begin"/>
            </w:r>
            <w:r w:rsidR="000A0BA0">
              <w:rPr>
                <w:rFonts w:ascii="Times New Roman" w:hAnsi="Times New Roman"/>
                <w:sz w:val="22"/>
              </w:rPr>
              <w:instrText xml:space="preserve"> ADDIN ZOTERO_ITEM CSL_CITATION {"citationID":"Mej2Jz8i","properties":{"formattedCitation":"\\super 17\\nosupersub{}","plainCitation":"17","noteIndex":0},"citationItems":[{"id":538,"uris":["http://zotero.org/users/4674022/items/QTULHGXD"],"uri":["http://zotero.org/users/4674022/items/QTULHGXD"],"itemData":{"id":538,"type":"article-journal","title":"Synthesis and physicochemical characterization of polyoxymethylene dimethyl ethers","container-title":"Journal of Fuel Chemistry and Technology","page":"837-845","volume":"45","issue":"7","source":"ScienceDirect","abstract":"Polyoxymethylene dimethyl ethers (H3CO(CH2O)nCH3, PODEn or DMMn, n ≥ 2) with unique physical and chemical properties are a potential additive for diesel fuels, which can effectively enhance the combustion efficiency and reduce the emission of pollutants. In this work, a series of pure PODEn components (n = 2–5) were synthesized from methylal and trioxymethylene and obtained with high purity through collaborative separation; their structure and properties were characterized by NMR, FT-IR, Raman, DSC and DFT calculation and a detailed assignment of the expressions in the spectrogram to the various groups was performed. A detailed assignment of expressions in the spectrogram to the various groups was also performed. The density and viscosity of PODEn were measured at 298.15–323.15 K. The results indicate that the density and viscosity of PODEn decrease gradually with the increase of temperature. Meanwhile, with the increase in the number of –CH2O– units (n) from 2 to 5, the density, viscosity, flash point, pour point, and the heat of fusion and solidification of PODEn are all increased with the increase in the chain length. These results are valuable for the practical synthesis and application of PODEn.","DOI":"10.1016/S1872-5813(17)30040-3","ISSN":"1872-5813","journalAbbreviation":"Journal of Fuel Chemistry and Technology","author":[{"family":"Kang","given":"Mei-Rong"},{"family":"Song","given":"He-Yuan"},{"family":"Jin","given":"Fu-Xiang"},{"family":"Chen","given":"Jing"}],"issued":{"date-parts":[["2017",7,1]]}}}],"schema":"https://github.com/citation-style-language/schema/raw/master/csl-citation.json"} </w:instrText>
            </w:r>
            <w:r w:rsidRPr="00B8644B">
              <w:rPr>
                <w:rFonts w:ascii="Times New Roman" w:hAnsi="Times New Roman"/>
                <w:sz w:val="22"/>
              </w:rPr>
              <w:fldChar w:fldCharType="separate"/>
            </w:r>
            <w:r w:rsidR="000A0BA0" w:rsidRPr="000A0BA0">
              <w:rPr>
                <w:rFonts w:ascii="Times New Roman" w:hAnsi="Times New Roman"/>
                <w:sz w:val="22"/>
                <w:vertAlign w:val="superscript"/>
              </w:rPr>
              <w:t>17</w:t>
            </w:r>
            <w:r w:rsidRPr="00B8644B">
              <w:rPr>
                <w:rFonts w:ascii="Times New Roman" w:hAnsi="Times New Roman"/>
                <w:sz w:val="22"/>
              </w:rPr>
              <w:fldChar w:fldCharType="end"/>
            </w:r>
          </w:p>
        </w:tc>
        <w:tc>
          <w:tcPr>
            <w:tcW w:w="1559" w:type="dxa"/>
            <w:vAlign w:val="center"/>
          </w:tcPr>
          <w:p w14:paraId="4CB95A03" w14:textId="3C875549" w:rsidR="00ED6568" w:rsidRPr="00B8644B" w:rsidRDefault="00ED6568" w:rsidP="00ED6568">
            <w:pPr>
              <w:pStyle w:val="TCTableBody"/>
              <w:rPr>
                <w:rFonts w:ascii="Times New Roman" w:hAnsi="Times New Roman"/>
                <w:sz w:val="22"/>
              </w:rPr>
            </w:pPr>
            <w:r w:rsidRPr="00B8644B">
              <w:rPr>
                <w:rFonts w:ascii="Times New Roman" w:hAnsi="Times New Roman"/>
                <w:sz w:val="22"/>
              </w:rPr>
              <w:t>1.11</w:t>
            </w:r>
            <w:r w:rsidRPr="00B8644B">
              <w:rPr>
                <w:rFonts w:ascii="Times New Roman" w:hAnsi="Times New Roman"/>
                <w:sz w:val="22"/>
              </w:rPr>
              <w:fldChar w:fldCharType="begin"/>
            </w:r>
            <w:r w:rsidR="000A0BA0">
              <w:rPr>
                <w:rFonts w:ascii="Times New Roman" w:hAnsi="Times New Roman"/>
                <w:sz w:val="22"/>
              </w:rPr>
              <w:instrText xml:space="preserve"> ADDIN ZOTERO_ITEM CSL_CITATION {"citationID":"nK5fa18C","properties":{"formattedCitation":"\\super 16\\nosupersub{}","plainCitation":"16","noteIndex":0},"citationItems":[{"id":540,"uris":["http://zotero.org/users/4674022/items/IGNAB8Q8"],"uri":["http://zotero.org/users/4674022/items/IGNAB8Q8"],"itemData":{"id":540,"type":"article-journal","title":"High Purity Oligomeric Oxymethylene Ethers as Diesel Fuels","container-title":"Chemie Ingenieur Technik","page":"486-489","volume":"89","issue":"4","source":"Wiley Online Library","abstract":"Oligomeric oxymethylene dimethyl ethers (OMEn, CH3(OCH2)nOCH3, n = 1 – 5) are promising diesel fuels for the reduction of harmful emissions. If OMEs are produced from dimethoxymethane and trioxane, the resulting OME mixtures usually contain residual trioxane which appears, after rectification, in the OME2 fraction. To circumvent this obstacle, substoichiometric amounts of trioxane have been employed in OME synthesis. Thus, OME2 samples with high purity could be prepared. Physicochemical and fuel data of high purity OME2 and higher OMEs have been determined to supplement previously reported data.","DOI":"10.1002/cite.201600158","ISSN":"1522-2640","language":"en","author":[{"family":"Deutsch","given":"Diana"},{"family":"Oestreich","given":"Dorian"},{"family":"Lautenschütz","given":"Ludger"},{"family":"Haltenort","given":"Philipp"},{"family":"Arnold","given":"Ulrich"},{"family":"Sauer","given":"Jörg"}],"issued":{"date-parts":[["2017",4,1]]}}}],"schema":"https://github.com/citation-style-language/schema/raw/master/csl-citation.json"} </w:instrText>
            </w:r>
            <w:r w:rsidRPr="00B8644B">
              <w:rPr>
                <w:rFonts w:ascii="Times New Roman" w:hAnsi="Times New Roman"/>
                <w:sz w:val="22"/>
              </w:rPr>
              <w:fldChar w:fldCharType="separate"/>
            </w:r>
            <w:r w:rsidR="000A0BA0" w:rsidRPr="000A0BA0">
              <w:rPr>
                <w:rFonts w:ascii="Times New Roman" w:hAnsi="Times New Roman"/>
                <w:sz w:val="22"/>
                <w:vertAlign w:val="superscript"/>
              </w:rPr>
              <w:t>16</w:t>
            </w:r>
            <w:r w:rsidRPr="00B8644B">
              <w:rPr>
                <w:rFonts w:ascii="Times New Roman" w:hAnsi="Times New Roman"/>
                <w:sz w:val="22"/>
              </w:rPr>
              <w:fldChar w:fldCharType="end"/>
            </w:r>
          </w:p>
        </w:tc>
        <w:tc>
          <w:tcPr>
            <w:tcW w:w="1417" w:type="dxa"/>
            <w:vAlign w:val="center"/>
          </w:tcPr>
          <w:p w14:paraId="7DBF03CC" w14:textId="2EDF9435" w:rsidR="00ED6568" w:rsidRPr="00B8644B" w:rsidRDefault="00ED6568" w:rsidP="00ED6568">
            <w:pPr>
              <w:pStyle w:val="TCTableBody"/>
              <w:rPr>
                <w:rFonts w:ascii="Times New Roman" w:hAnsi="Times New Roman"/>
                <w:sz w:val="22"/>
              </w:rPr>
            </w:pPr>
            <w:r w:rsidRPr="00B8644B">
              <w:rPr>
                <w:rFonts w:ascii="Times New Roman" w:hAnsi="Times New Roman"/>
                <w:sz w:val="22"/>
              </w:rPr>
              <w:t>2.93</w:t>
            </w:r>
            <w:r w:rsidRPr="00B8644B">
              <w:rPr>
                <w:rFonts w:ascii="Times New Roman" w:hAnsi="Times New Roman"/>
                <w:sz w:val="22"/>
              </w:rPr>
              <w:fldChar w:fldCharType="begin"/>
            </w:r>
            <w:r w:rsidR="000A0BA0">
              <w:rPr>
                <w:rFonts w:ascii="Times New Roman" w:hAnsi="Times New Roman"/>
                <w:sz w:val="22"/>
              </w:rPr>
              <w:instrText xml:space="preserve"> ADDIN ZOTERO_ITEM CSL_CITATION {"citationID":"0UfkkHLL","properties":{"formattedCitation":"\\super 17\\nosupersub{}","plainCitation":"17","noteIndex":0},"citationItems":[{"id":538,"uris":["http://zotero.org/users/4674022/items/QTULHGXD"],"uri":["http://zotero.org/users/4674022/items/QTULHGXD"],"itemData":{"id":538,"type":"article-journal","title":"Synthesis and physicochemical characterization of polyoxymethylene dimethyl ethers","container-title":"Journal of Fuel Chemistry and Technology","page":"837-845","volume":"45","issue":"7","source":"ScienceDirect","abstract":"Polyoxymethylene dimethyl ethers (H3CO(CH2O)nCH3, PODEn or DMMn, n ≥ 2) with unique physical and chemical properties are a potential additive for diesel fuels, which can effectively enhance the combustion efficiency and reduce the emission of pollutants. In this work, a series of pure PODEn components (n = 2–5) were synthesized from methylal and trioxymethylene and obtained with high purity through collaborative separation; their structure and properties were characterized by NMR, FT-IR, Raman, DSC and DFT calculation and a detailed assignment of the expressions in the spectrogram to the various groups was performed. A detailed assignment of expressions in the spectrogram to the various groups was also performed. The density and viscosity of PODEn were measured at 298.15–323.15 K. The results indicate that the density and viscosity of PODEn decrease gradually with the increase of temperature. Meanwhile, with the increase in the number of –CH2O– units (n) from 2 to 5, the density, viscosity, flash point, pour point, and the heat of fusion and solidification of PODEn are all increased with the increase in the chain length. These results are valuable for the practical synthesis and application of PODEn.","DOI":"10.1016/S1872-5813(17)30040-3","ISSN":"1872-5813","journalAbbreviation":"Journal of Fuel Chemistry and Technology","author":[{"family":"Kang","given":"Mei-Rong"},{"family":"Song","given":"He-Yuan"},{"family":"Jin","given":"Fu-Xiang"},{"family":"Chen","given":"Jing"}],"issued":{"date-parts":[["2017",7,1]]}}}],"schema":"https://github.com/citation-style-language/schema/raw/master/csl-citation.json"} </w:instrText>
            </w:r>
            <w:r w:rsidRPr="00B8644B">
              <w:rPr>
                <w:rFonts w:ascii="Times New Roman" w:hAnsi="Times New Roman"/>
                <w:sz w:val="22"/>
              </w:rPr>
              <w:fldChar w:fldCharType="separate"/>
            </w:r>
            <w:r w:rsidR="000A0BA0" w:rsidRPr="000A0BA0">
              <w:rPr>
                <w:rFonts w:ascii="Times New Roman" w:hAnsi="Times New Roman"/>
                <w:sz w:val="22"/>
                <w:vertAlign w:val="superscript"/>
              </w:rPr>
              <w:t>17</w:t>
            </w:r>
            <w:r w:rsidRPr="00B8644B">
              <w:rPr>
                <w:rFonts w:ascii="Times New Roman" w:hAnsi="Times New Roman"/>
                <w:sz w:val="22"/>
              </w:rPr>
              <w:fldChar w:fldCharType="end"/>
            </w:r>
          </w:p>
        </w:tc>
        <w:tc>
          <w:tcPr>
            <w:tcW w:w="2069" w:type="dxa"/>
            <w:vAlign w:val="center"/>
          </w:tcPr>
          <w:p w14:paraId="240199BB" w14:textId="5245820E" w:rsidR="00ED6568" w:rsidRPr="00B8644B" w:rsidRDefault="00ED6568" w:rsidP="00ED6568">
            <w:pPr>
              <w:pStyle w:val="TCTableBody"/>
              <w:rPr>
                <w:rFonts w:ascii="Times New Roman" w:hAnsi="Times New Roman"/>
                <w:sz w:val="22"/>
              </w:rPr>
            </w:pPr>
            <w:r w:rsidRPr="00B8644B">
              <w:rPr>
                <w:rFonts w:ascii="Times New Roman" w:hAnsi="Times New Roman"/>
                <w:sz w:val="22"/>
              </w:rPr>
              <w:t>32.6</w:t>
            </w:r>
            <w:r w:rsidRPr="00B8644B">
              <w:rPr>
                <w:rFonts w:ascii="Times New Roman" w:hAnsi="Times New Roman"/>
                <w:sz w:val="22"/>
              </w:rPr>
              <w:fldChar w:fldCharType="begin"/>
            </w:r>
            <w:r w:rsidR="000A0BA0">
              <w:rPr>
                <w:rFonts w:ascii="Times New Roman" w:hAnsi="Times New Roman"/>
                <w:sz w:val="22"/>
              </w:rPr>
              <w:instrText xml:space="preserve"> ADDIN ZOTERO_ITEM CSL_CITATION {"citationID":"TYJZw3aV","properties":{"formattedCitation":"\\super 16\\nosupersub{}","plainCitation":"16","noteIndex":0},"citationItems":[{"id":540,"uris":["http://zotero.org/users/4674022/items/IGNAB8Q8"],"uri":["http://zotero.org/users/4674022/items/IGNAB8Q8"],"itemData":{"id":540,"type":"article-journal","title":"High Purity Oligomeric Oxymethylene Ethers as Diesel Fuels","container-title":"Chemie Ingenieur Technik","page":"486-489","volume":"89","issue":"4","source":"Wiley Online Library","abstract":"Oligomeric oxymethylene dimethyl ethers (OMEn, CH3(OCH2)nOCH3, n = 1 – 5) are promising diesel fuels for the reduction of harmful emissions. If OMEs are produced from dimethoxymethane and trioxane, the resulting OME mixtures usually contain residual trioxane which appears, after rectification, in the OME2 fraction. To circumvent this obstacle, substoichiometric amounts of trioxane have been employed in OME synthesis. Thus, OME2 samples with high purity could be prepared. Physicochemical and fuel data of high purity OME2 and higher OMEs have been determined to supplement previously reported data.","DOI":"10.1002/cite.201600158","ISSN":"1522-2640","language":"en","author":[{"family":"Deutsch","given":"Diana"},{"family":"Oestreich","given":"Dorian"},{"family":"Lautenschütz","given":"Ludger"},{"family":"Haltenort","given":"Philipp"},{"family":"Arnold","given":"Ulrich"},{"family":"Sauer","given":"Jörg"}],"issued":{"date-parts":[["2017",4,1]]}}}],"schema":"https://github.com/citation-style-language/schema/raw/master/csl-citation.json"} </w:instrText>
            </w:r>
            <w:r w:rsidRPr="00B8644B">
              <w:rPr>
                <w:rFonts w:ascii="Times New Roman" w:hAnsi="Times New Roman"/>
                <w:sz w:val="22"/>
              </w:rPr>
              <w:fldChar w:fldCharType="separate"/>
            </w:r>
            <w:r w:rsidR="000A0BA0" w:rsidRPr="000A0BA0">
              <w:rPr>
                <w:rFonts w:ascii="Times New Roman" w:hAnsi="Times New Roman"/>
                <w:sz w:val="22"/>
                <w:vertAlign w:val="superscript"/>
              </w:rPr>
              <w:t>16</w:t>
            </w:r>
            <w:r w:rsidRPr="00B8644B">
              <w:rPr>
                <w:rFonts w:ascii="Times New Roman" w:hAnsi="Times New Roman"/>
                <w:sz w:val="22"/>
              </w:rPr>
              <w:fldChar w:fldCharType="end"/>
            </w:r>
          </w:p>
        </w:tc>
      </w:tr>
      <w:tr w:rsidR="000A0BA0" w:rsidRPr="001D31B0" w14:paraId="3DD5C3F6" w14:textId="77777777" w:rsidTr="00FB3CDD">
        <w:tc>
          <w:tcPr>
            <w:tcW w:w="1276" w:type="dxa"/>
            <w:tcBorders>
              <w:bottom w:val="single" w:sz="4" w:space="0" w:color="auto"/>
            </w:tcBorders>
            <w:vAlign w:val="center"/>
          </w:tcPr>
          <w:p w14:paraId="1E9F634D" w14:textId="77777777" w:rsidR="00ED6568" w:rsidRPr="00B8644B" w:rsidRDefault="00ED6568" w:rsidP="00ED6568">
            <w:pPr>
              <w:pStyle w:val="TCTableBody"/>
              <w:rPr>
                <w:rFonts w:ascii="Times New Roman" w:hAnsi="Times New Roman"/>
                <w:sz w:val="22"/>
              </w:rPr>
            </w:pPr>
            <w:r w:rsidRPr="00B8644B">
              <w:rPr>
                <w:rFonts w:ascii="Times New Roman" w:hAnsi="Times New Roman"/>
                <w:sz w:val="22"/>
              </w:rPr>
              <w:t>OME</w:t>
            </w:r>
            <w:r w:rsidRPr="00B8644B">
              <w:rPr>
                <w:rFonts w:ascii="Times New Roman" w:hAnsi="Times New Roman"/>
                <w:sz w:val="22"/>
                <w:vertAlign w:val="subscript"/>
              </w:rPr>
              <w:t>3-5</w:t>
            </w:r>
          </w:p>
        </w:tc>
        <w:tc>
          <w:tcPr>
            <w:tcW w:w="709" w:type="dxa"/>
            <w:tcBorders>
              <w:bottom w:val="single" w:sz="4" w:space="0" w:color="auto"/>
            </w:tcBorders>
            <w:vAlign w:val="center"/>
          </w:tcPr>
          <w:p w14:paraId="63B14A07" w14:textId="4F9B33E5" w:rsidR="00ED6568" w:rsidRPr="00B8644B" w:rsidRDefault="00ED6568" w:rsidP="00ED6568">
            <w:pPr>
              <w:pStyle w:val="TCTableBody"/>
              <w:rPr>
                <w:rFonts w:ascii="Times New Roman" w:hAnsi="Times New Roman"/>
                <w:sz w:val="22"/>
              </w:rPr>
            </w:pPr>
            <w:r w:rsidRPr="00B8644B">
              <w:rPr>
                <w:rFonts w:ascii="Times New Roman" w:hAnsi="Times New Roman"/>
                <w:sz w:val="22"/>
              </w:rPr>
              <w:t>-19</w:t>
            </w:r>
            <w:r w:rsidRPr="00B8644B">
              <w:rPr>
                <w:rFonts w:ascii="Times New Roman" w:hAnsi="Times New Roman"/>
                <w:sz w:val="22"/>
              </w:rPr>
              <w:fldChar w:fldCharType="begin"/>
            </w:r>
            <w:r w:rsidR="000A0BA0">
              <w:rPr>
                <w:rFonts w:ascii="Times New Roman" w:hAnsi="Times New Roman"/>
                <w:sz w:val="22"/>
              </w:rPr>
              <w:instrText xml:space="preserve"> ADDIN ZOTERO_ITEM CSL_CITATION {"citationID":"ZDlgf0IT","properties":{"formattedCitation":"\\super 18\\nosupersub{}","plainCitation":"18","noteIndex":0},"citationItems":[{"id":823,"uris":["http://zotero.org/users/4674022/items/77EQA75S"],"uri":["http://zotero.org/users/4674022/items/77EQA75S"],"itemData":{"id":823,"type":"paper-conference","title":"OME1: A Potentially Sustainable Diesel Fuel","publisher-place":"Vienna","page":"325-347","volume":"35","event":"Wiener Motorensymposium","event-place":"Vienna","author":[{"family":"Jacob","given":"Eberhard"},{"family":"Maus","given":"Wolfgang"}],"issued":{"date-parts":[["2014"]]}}}],"schema":"https://github.com/citation-style-language/schema/raw/master/csl-citation.json"} </w:instrText>
            </w:r>
            <w:r w:rsidRPr="00B8644B">
              <w:rPr>
                <w:rFonts w:ascii="Times New Roman" w:hAnsi="Times New Roman"/>
                <w:sz w:val="22"/>
              </w:rPr>
              <w:fldChar w:fldCharType="separate"/>
            </w:r>
            <w:r w:rsidR="000A0BA0" w:rsidRPr="000A0BA0">
              <w:rPr>
                <w:rFonts w:ascii="Times New Roman" w:hAnsi="Times New Roman"/>
                <w:sz w:val="22"/>
                <w:vertAlign w:val="superscript"/>
              </w:rPr>
              <w:t>18</w:t>
            </w:r>
            <w:r w:rsidRPr="00B8644B">
              <w:rPr>
                <w:rFonts w:ascii="Times New Roman" w:hAnsi="Times New Roman"/>
                <w:sz w:val="22"/>
              </w:rPr>
              <w:fldChar w:fldCharType="end"/>
            </w:r>
          </w:p>
        </w:tc>
        <w:tc>
          <w:tcPr>
            <w:tcW w:w="1134" w:type="dxa"/>
            <w:tcBorders>
              <w:bottom w:val="single" w:sz="4" w:space="0" w:color="auto"/>
            </w:tcBorders>
            <w:vAlign w:val="center"/>
          </w:tcPr>
          <w:p w14:paraId="2371CC35" w14:textId="01A63C39" w:rsidR="00ED6568" w:rsidRPr="00B8644B" w:rsidRDefault="00ED6568" w:rsidP="00ED6568">
            <w:pPr>
              <w:pStyle w:val="TCTableBody"/>
              <w:rPr>
                <w:rFonts w:ascii="Times New Roman" w:hAnsi="Times New Roman"/>
                <w:sz w:val="22"/>
              </w:rPr>
            </w:pPr>
            <w:r w:rsidRPr="00B8644B">
              <w:rPr>
                <w:rFonts w:ascii="Times New Roman" w:hAnsi="Times New Roman"/>
                <w:sz w:val="22"/>
              </w:rPr>
              <w:t>157-259</w:t>
            </w:r>
            <w:r w:rsidRPr="00B8644B">
              <w:rPr>
                <w:rFonts w:ascii="Times New Roman" w:hAnsi="Times New Roman"/>
                <w:sz w:val="22"/>
              </w:rPr>
              <w:fldChar w:fldCharType="begin"/>
            </w:r>
            <w:r w:rsidR="00642648">
              <w:rPr>
                <w:rFonts w:ascii="Times New Roman" w:hAnsi="Times New Roman"/>
                <w:sz w:val="22"/>
              </w:rPr>
              <w:instrText xml:space="preserve"> ADDIN ZOTERO_ITEM CSL_CITATION {"citationID":"BbmRLude","properties":{"formattedCitation":"\\super 1\\nosupersub{}","plainCitation":"1","noteIndex":0},"citationItems":[{"id":273,"uris":["http://zotero.org/users/4674022/items/92E6YLZJ"],"uri":["http://zotero.org/users/4674022/items/92E6YLZJ"],"itemData":{"id":273,"type":"article-journal","title":"Oxymethylene Ether as Potentially CO2-neutral Fuel for Clean Diesel Engines Part 1: Engine Testing","container-title":"MTZ Worldwide","page":"52-59","volume":"78","issue":"2","source":"link.springer.com","DOI":"10.1007/s38313-016-0163-6","ISSN":"2192-9114","title-short":"Oxymethylene Ether as Potentially CO&lt;Subscript&gt;2&lt;/Subscript&gt;-neutral Fuel for Clean Diesel Engines Part 1","language":"de","author":[{"family":"Härtl","given":"Martin"},{"family":"Gaukel","given":"Kai"},{"family":"Pélerin","given":"Dominik"},{"family":"Wachtmeister","given":"Georg"}],"issued":{"date-parts":[["2017",2,1]]}}}],"schema":"https://github.com/citation-style-language/schema/raw/master/csl-citation.json"} </w:instrText>
            </w:r>
            <w:r w:rsidRPr="00B8644B">
              <w:rPr>
                <w:rFonts w:ascii="Times New Roman" w:hAnsi="Times New Roman"/>
                <w:sz w:val="22"/>
              </w:rPr>
              <w:fldChar w:fldCharType="separate"/>
            </w:r>
            <w:r w:rsidRPr="00B8644B">
              <w:rPr>
                <w:rFonts w:ascii="Times New Roman" w:hAnsi="Times New Roman"/>
                <w:sz w:val="22"/>
                <w:vertAlign w:val="superscript"/>
              </w:rPr>
              <w:t>1</w:t>
            </w:r>
            <w:r w:rsidRPr="00B8644B">
              <w:rPr>
                <w:rFonts w:ascii="Times New Roman" w:hAnsi="Times New Roman"/>
                <w:sz w:val="22"/>
              </w:rPr>
              <w:fldChar w:fldCharType="end"/>
            </w:r>
          </w:p>
        </w:tc>
        <w:tc>
          <w:tcPr>
            <w:tcW w:w="709" w:type="dxa"/>
            <w:tcBorders>
              <w:bottom w:val="single" w:sz="4" w:space="0" w:color="auto"/>
            </w:tcBorders>
            <w:vAlign w:val="center"/>
          </w:tcPr>
          <w:p w14:paraId="5FB3C2AD" w14:textId="1022A5BF" w:rsidR="00ED6568" w:rsidRPr="00B8644B" w:rsidRDefault="00ED6568" w:rsidP="00ED6568">
            <w:pPr>
              <w:pStyle w:val="TCTableBody"/>
              <w:rPr>
                <w:rFonts w:ascii="Times New Roman" w:hAnsi="Times New Roman"/>
                <w:sz w:val="22"/>
              </w:rPr>
            </w:pPr>
            <w:r w:rsidRPr="00B8644B">
              <w:rPr>
                <w:rFonts w:ascii="Times New Roman" w:hAnsi="Times New Roman"/>
                <w:sz w:val="22"/>
              </w:rPr>
              <w:t>70</w:t>
            </w:r>
            <w:r w:rsidRPr="00B8644B">
              <w:rPr>
                <w:rFonts w:ascii="Times New Roman" w:hAnsi="Times New Roman"/>
                <w:sz w:val="22"/>
              </w:rPr>
              <w:fldChar w:fldCharType="begin"/>
            </w:r>
            <w:r w:rsidR="000A0BA0">
              <w:rPr>
                <w:rFonts w:ascii="Times New Roman" w:hAnsi="Times New Roman"/>
                <w:sz w:val="22"/>
              </w:rPr>
              <w:instrText xml:space="preserve"> ADDIN ZOTERO_ITEM CSL_CITATION {"citationID":"imm72nUJ","properties":{"formattedCitation":"\\super 19\\nosupersub{}","plainCitation":"19","noteIndex":0},"citationItems":[{"id":539,"uris":["http://zotero.org/users/4674022/items/HJ3WC8PG"],"uri":["http://zotero.org/users/4674022/items/HJ3WC8PG"],"itemData":{"id":539,"type":"article-journal","title":"Physico-chemical properties and fuel characteristics of oxymethylene dialkyl ethers","container-title":"Fuel","page":"129-137","volume":"173","source":"ScienceDirect","abstract":"Oligomeric oxymethylene dimethyl ethers (OMDMEs, CH3O–(CH2O)n–CH3) are promising diesel fuel additives, which can reduce soot formation as well as NOx emissions. Due to the poor availability of high purity OMDMEs a comprehensive characterization of diesel standards was not feasible until now. Two types of oxymethylene dialkylethers (OMDMEs and oxymethylene diethyl ethers, OMDEEs) were synthesized, purified and characterized with respect to their physico-chemical and fuel properties. Density, melting point, flash point, auto ignition point as well as lubricity, kinematic viscosity and surface tension of OMDMEs and OMDEEs were measured and compared to the corresponding n-alkanes. Fuel requirements such as boiling points, flash points and surface tensions can be fulfilled by OMDMEs and OMDEEs. Furthermore, OMDMEs (n=3–5) and OMDEEs (n=2–4) are, due to their high cetane numbers of 124–180 and 64–103, particularly promising since cetane numbers in this range can lead to improved motor efficiency and smoother fuel combustion. Additionally, the heat of combustion as well as the standard enthalpy of formation and reaction were determined. Apart from somewhat lower heating values, OMDMEs exhibit fuel properties similar to conventional diesel complying the required fuel standards without the need of changing engines or fuel infrastructures.","DOI":"10.1016/j.fuel.2016.01.060","ISSN":"0016-2361","journalAbbreviation":"Fuel","author":[{"family":"Lautenschütz","given":"Ludger"},{"family":"Oestreich","given":"Dorian"},{"family":"Seidenspinner","given":"Philipp"},{"family":"Arnold","given":"Ulrich"},{"family":"Dinjus","given":"Eckhard"},{"family":"Sauer","given":"Jörg"}],"issued":{"date-parts":[["2016",6,1]]}}}],"schema":"https://github.com/citation-style-language/schema/raw/master/csl-citation.json"} </w:instrText>
            </w:r>
            <w:r w:rsidRPr="00B8644B">
              <w:rPr>
                <w:rFonts w:ascii="Times New Roman" w:hAnsi="Times New Roman"/>
                <w:sz w:val="22"/>
              </w:rPr>
              <w:fldChar w:fldCharType="separate"/>
            </w:r>
            <w:r w:rsidR="000A0BA0" w:rsidRPr="000A0BA0">
              <w:rPr>
                <w:rFonts w:ascii="Times New Roman" w:hAnsi="Times New Roman"/>
                <w:sz w:val="22"/>
                <w:vertAlign w:val="superscript"/>
              </w:rPr>
              <w:t>19</w:t>
            </w:r>
            <w:r w:rsidRPr="00B8644B">
              <w:rPr>
                <w:rFonts w:ascii="Times New Roman" w:hAnsi="Times New Roman"/>
                <w:sz w:val="22"/>
              </w:rPr>
              <w:fldChar w:fldCharType="end"/>
            </w:r>
          </w:p>
        </w:tc>
        <w:tc>
          <w:tcPr>
            <w:tcW w:w="1559" w:type="dxa"/>
            <w:tcBorders>
              <w:bottom w:val="single" w:sz="4" w:space="0" w:color="auto"/>
            </w:tcBorders>
            <w:vAlign w:val="center"/>
          </w:tcPr>
          <w:p w14:paraId="0E40543F" w14:textId="6D930E9F" w:rsidR="00ED6568" w:rsidRPr="00B8644B" w:rsidRDefault="00ED6568" w:rsidP="00ED6568">
            <w:pPr>
              <w:pStyle w:val="TCTableBody"/>
              <w:rPr>
                <w:rFonts w:ascii="Times New Roman" w:hAnsi="Times New Roman"/>
                <w:sz w:val="22"/>
              </w:rPr>
            </w:pPr>
            <w:r w:rsidRPr="00B8644B">
              <w:rPr>
                <w:rFonts w:ascii="Times New Roman" w:hAnsi="Times New Roman"/>
                <w:sz w:val="22"/>
              </w:rPr>
              <w:t>1.07</w:t>
            </w:r>
            <w:r w:rsidRPr="00B8644B">
              <w:rPr>
                <w:rFonts w:ascii="Times New Roman" w:hAnsi="Times New Roman"/>
                <w:sz w:val="22"/>
              </w:rPr>
              <w:fldChar w:fldCharType="begin"/>
            </w:r>
            <w:r w:rsidR="00642648">
              <w:rPr>
                <w:rFonts w:ascii="Times New Roman" w:hAnsi="Times New Roman"/>
                <w:sz w:val="22"/>
              </w:rPr>
              <w:instrText xml:space="preserve"> ADDIN ZOTERO_ITEM CSL_CITATION {"citationID":"QI3cic4f","properties":{"formattedCitation":"\\super 1\\nosupersub{}","plainCitation":"1","noteIndex":0},"citationItems":[{"id":273,"uris":["http://zotero.org/users/4674022/items/92E6YLZJ"],"uri":["http://zotero.org/users/4674022/items/92E6YLZJ"],"itemData":{"id":273,"type":"article-journal","title":"Oxymethylene Ether as Potentially CO2-neutral Fuel for Clean Diesel Engines Part 1: Engine Testing","container-title":"MTZ Worldwide","page":"52-59","volume":"78","issue":"2","source":"link.springer.com","DOI":"10.1007/s38313-016-0163-6","ISSN":"2192-9114","title-short":"Oxymethylene Ether as Potentially CO&lt;Subscript&gt;2&lt;/Subscript&gt;-neutral Fuel for Clean Diesel Engines Part 1","language":"de","author":[{"family":"Härtl","given":"Martin"},{"family":"Gaukel","given":"Kai"},{"family":"Pélerin","given":"Dominik"},{"family":"Wachtmeister","given":"Georg"}],"issued":{"date-parts":[["2017",2,1]]}}}],"schema":"https://github.com/citation-style-language/schema/raw/master/csl-citation.json"} </w:instrText>
            </w:r>
            <w:r w:rsidRPr="00B8644B">
              <w:rPr>
                <w:rFonts w:ascii="Times New Roman" w:hAnsi="Times New Roman"/>
                <w:sz w:val="22"/>
              </w:rPr>
              <w:fldChar w:fldCharType="separate"/>
            </w:r>
            <w:r w:rsidRPr="00B8644B">
              <w:rPr>
                <w:rFonts w:ascii="Times New Roman" w:hAnsi="Times New Roman"/>
                <w:sz w:val="22"/>
                <w:vertAlign w:val="superscript"/>
              </w:rPr>
              <w:t>1</w:t>
            </w:r>
            <w:r w:rsidRPr="00B8644B">
              <w:rPr>
                <w:rFonts w:ascii="Times New Roman" w:hAnsi="Times New Roman"/>
                <w:sz w:val="22"/>
              </w:rPr>
              <w:fldChar w:fldCharType="end"/>
            </w:r>
          </w:p>
        </w:tc>
        <w:tc>
          <w:tcPr>
            <w:tcW w:w="1417" w:type="dxa"/>
            <w:tcBorders>
              <w:bottom w:val="single" w:sz="4" w:space="0" w:color="auto"/>
            </w:tcBorders>
            <w:vAlign w:val="center"/>
          </w:tcPr>
          <w:p w14:paraId="54ECAFDB" w14:textId="77777777" w:rsidR="00ED6568" w:rsidRPr="00B8644B" w:rsidRDefault="00ED6568" w:rsidP="00ED6568">
            <w:pPr>
              <w:pStyle w:val="TCTableBody"/>
              <w:rPr>
                <w:rFonts w:ascii="Times New Roman" w:hAnsi="Times New Roman"/>
                <w:sz w:val="22"/>
              </w:rPr>
            </w:pPr>
            <w:r w:rsidRPr="00B8644B">
              <w:rPr>
                <w:rFonts w:ascii="Times New Roman" w:hAnsi="Times New Roman"/>
                <w:sz w:val="22"/>
              </w:rPr>
              <w:t>-</w:t>
            </w:r>
          </w:p>
        </w:tc>
        <w:tc>
          <w:tcPr>
            <w:tcW w:w="2069" w:type="dxa"/>
            <w:tcBorders>
              <w:bottom w:val="single" w:sz="4" w:space="0" w:color="auto"/>
            </w:tcBorders>
            <w:vAlign w:val="center"/>
          </w:tcPr>
          <w:p w14:paraId="17233C87" w14:textId="1C3D43CA" w:rsidR="00ED6568" w:rsidRPr="00B8644B" w:rsidRDefault="00ED6568" w:rsidP="00ED6568">
            <w:pPr>
              <w:pStyle w:val="TCTableBody"/>
              <w:rPr>
                <w:rFonts w:ascii="Times New Roman" w:hAnsi="Times New Roman"/>
                <w:sz w:val="22"/>
              </w:rPr>
            </w:pPr>
            <w:r w:rsidRPr="00B8644B">
              <w:rPr>
                <w:rFonts w:ascii="Times New Roman" w:hAnsi="Times New Roman"/>
                <w:sz w:val="22"/>
              </w:rPr>
              <w:t>30.7</w:t>
            </w:r>
            <w:r w:rsidRPr="00B8644B">
              <w:rPr>
                <w:rFonts w:ascii="Times New Roman" w:hAnsi="Times New Roman"/>
                <w:sz w:val="22"/>
              </w:rPr>
              <w:fldChar w:fldCharType="begin"/>
            </w:r>
            <w:r w:rsidR="000A0BA0">
              <w:rPr>
                <w:rFonts w:ascii="Times New Roman" w:hAnsi="Times New Roman"/>
                <w:sz w:val="22"/>
              </w:rPr>
              <w:instrText xml:space="preserve"> ADDIN ZOTERO_ITEM CSL_CITATION {"citationID":"9d1xQAMT","properties":{"formattedCitation":"\\super 19\\nosupersub{}","plainCitation":"19","noteIndex":0},"citationItems":[{"id":539,"uris":["http://zotero.org/users/4674022/items/HJ3WC8PG"],"uri":["http://zotero.org/users/4674022/items/HJ3WC8PG"],"itemData":{"id":539,"type":"article-journal","title":"Physico-chemical properties and fuel characteristics of oxymethylene dialkyl ethers","container-title":"Fuel","page":"129-137","volume":"173","source":"ScienceDirect","abstract":"Oligomeric oxymethylene dimethyl ethers (OMDMEs, CH3O–(CH2O)n–CH3) are promising diesel fuel additives, which can reduce soot formation as well as NOx emissions. Due to the poor availability of high purity OMDMEs a comprehensive characterization of diesel standards was not feasible until now. Two types of oxymethylene dialkylethers (OMDMEs and oxymethylene diethyl ethers, OMDEEs) were synthesized, purified and characterized with respect to their physico-chemical and fuel properties. Density, melting point, flash point, auto ignition point as well as lubricity, kinematic viscosity and surface tension of OMDMEs and OMDEEs were measured and compared to the corresponding n-alkanes. Fuel requirements such as boiling points, flash points and surface tensions can be fulfilled by OMDMEs and OMDEEs. Furthermore, OMDMEs (n=3–5) and OMDEEs (n=2–4) are, due to their high cetane numbers of 124–180 and 64–103, particularly promising since cetane numbers in this range can lead to improved motor efficiency and smoother fuel combustion. Additionally, the heat of combustion as well as the standard enthalpy of formation and reaction were determined. Apart from somewhat lower heating values, OMDMEs exhibit fuel properties similar to conventional diesel complying the required fuel standards without the need of changing engines or fuel infrastructures.","DOI":"10.1016/j.fuel.2016.01.060","ISSN":"0016-2361","journalAbbreviation":"Fuel","author":[{"family":"Lautenschütz","given":"Ludger"},{"family":"Oestreich","given":"Dorian"},{"family":"Seidenspinner","given":"Philipp"},{"family":"Arnold","given":"Ulrich"},{"family":"Dinjus","given":"Eckhard"},{"family":"Sauer","given":"Jörg"}],"issued":{"date-parts":[["2016",6,1]]}}}],"schema":"https://github.com/citation-style-language/schema/raw/master/csl-citation.json"} </w:instrText>
            </w:r>
            <w:r w:rsidRPr="00B8644B">
              <w:rPr>
                <w:rFonts w:ascii="Times New Roman" w:hAnsi="Times New Roman"/>
                <w:sz w:val="22"/>
              </w:rPr>
              <w:fldChar w:fldCharType="separate"/>
            </w:r>
            <w:r w:rsidR="000A0BA0" w:rsidRPr="000A0BA0">
              <w:rPr>
                <w:rFonts w:ascii="Times New Roman" w:hAnsi="Times New Roman"/>
                <w:sz w:val="22"/>
                <w:vertAlign w:val="superscript"/>
              </w:rPr>
              <w:t>19</w:t>
            </w:r>
            <w:r w:rsidRPr="00B8644B">
              <w:rPr>
                <w:rFonts w:ascii="Times New Roman" w:hAnsi="Times New Roman"/>
                <w:sz w:val="22"/>
              </w:rPr>
              <w:fldChar w:fldCharType="end"/>
            </w:r>
          </w:p>
        </w:tc>
      </w:tr>
    </w:tbl>
    <w:p w14:paraId="7442A726" w14:textId="6B639B91" w:rsidR="009F11B6" w:rsidRPr="009F11B6" w:rsidRDefault="009F11B6" w:rsidP="00241204">
      <w:pPr>
        <w:pStyle w:val="Caption"/>
        <w:rPr>
          <w:sz w:val="32"/>
        </w:rPr>
      </w:pPr>
      <w:bookmarkStart w:id="3" w:name="_Ref6845266"/>
      <w:r w:rsidRPr="00241204">
        <w:rPr>
          <w:b/>
        </w:rPr>
        <w:t xml:space="preserve">Table </w:t>
      </w:r>
      <w:r w:rsidRPr="00241204">
        <w:rPr>
          <w:b/>
        </w:rPr>
        <w:fldChar w:fldCharType="begin"/>
      </w:r>
      <w:r w:rsidRPr="00241204">
        <w:rPr>
          <w:b/>
        </w:rPr>
        <w:instrText xml:space="preserve"> SEQ Table \* ARABIC </w:instrText>
      </w:r>
      <w:r w:rsidRPr="00241204">
        <w:rPr>
          <w:b/>
        </w:rPr>
        <w:fldChar w:fldCharType="separate"/>
      </w:r>
      <w:r w:rsidR="003C715B">
        <w:rPr>
          <w:b/>
          <w:noProof/>
        </w:rPr>
        <w:t>1</w:t>
      </w:r>
      <w:r w:rsidRPr="00241204">
        <w:rPr>
          <w:b/>
        </w:rPr>
        <w:fldChar w:fldCharType="end"/>
      </w:r>
      <w:bookmarkEnd w:id="3"/>
      <w:r w:rsidRPr="00241204">
        <w:rPr>
          <w:b/>
        </w:rPr>
        <w:t>.</w:t>
      </w:r>
      <w:r w:rsidRPr="009F11B6">
        <w:t xml:space="preserve"> Physical properties of OMEs.</w:t>
      </w:r>
    </w:p>
    <w:p w14:paraId="4B1A38D0" w14:textId="7D731DA4" w:rsidR="00ED6568" w:rsidRDefault="000E43F5" w:rsidP="00B8644B">
      <w:r w:rsidRPr="00B8644B">
        <w:rPr>
          <w:rFonts w:ascii="Times New Roman" w:hAnsi="Times New Roman"/>
          <w:sz w:val="22"/>
        </w:rPr>
        <w:t>FP = flash point.</w:t>
      </w:r>
    </w:p>
    <w:p w14:paraId="51187391" w14:textId="77777777" w:rsidR="005E265D" w:rsidRPr="005E265D" w:rsidRDefault="005E265D" w:rsidP="005E265D">
      <w:pPr>
        <w:pStyle w:val="TAMainText"/>
        <w:ind w:firstLine="0"/>
        <w:jc w:val="left"/>
        <w:outlineLvl w:val="0"/>
        <w:rPr>
          <w:rFonts w:ascii="Times New Roman" w:hAnsi="Times New Roman"/>
          <w:bCs/>
        </w:rPr>
      </w:pPr>
    </w:p>
    <w:p w14:paraId="5B2F54C5" w14:textId="49415C24" w:rsidR="00C63EC1" w:rsidRPr="00B8644B" w:rsidRDefault="00D869F0" w:rsidP="00165945">
      <w:pPr>
        <w:pStyle w:val="TAMainText"/>
        <w:ind w:firstLine="0"/>
        <w:outlineLvl w:val="0"/>
        <w:rPr>
          <w:rFonts w:ascii="Times New Roman" w:hAnsi="Times New Roman"/>
          <w:b/>
        </w:rPr>
      </w:pPr>
      <w:r>
        <w:rPr>
          <w:rFonts w:ascii="Times New Roman" w:hAnsi="Times New Roman"/>
          <w:b/>
        </w:rPr>
        <w:t>PREDICTING SOLVENT BEHAVIOR</w:t>
      </w:r>
    </w:p>
    <w:p w14:paraId="7F3898AC" w14:textId="30B6506E" w:rsidR="00E970E8" w:rsidRDefault="00BC5D4C" w:rsidP="00856E1F">
      <w:pPr>
        <w:pStyle w:val="TAMainText"/>
        <w:rPr>
          <w:rFonts w:ascii="Times New Roman" w:hAnsi="Times New Roman"/>
        </w:rPr>
      </w:pPr>
      <w:r>
        <w:rPr>
          <w:rFonts w:ascii="Times New Roman" w:hAnsi="Times New Roman"/>
        </w:rPr>
        <w:t>A commercially available sample of OME</w:t>
      </w:r>
      <w:r w:rsidRPr="00BC5D4C">
        <w:rPr>
          <w:rFonts w:ascii="Times New Roman" w:hAnsi="Times New Roman"/>
          <w:vertAlign w:val="subscript"/>
        </w:rPr>
        <w:t>3-5</w:t>
      </w:r>
      <w:r>
        <w:rPr>
          <w:rFonts w:ascii="Times New Roman" w:hAnsi="Times New Roman"/>
        </w:rPr>
        <w:t xml:space="preserve"> was supplied by </w:t>
      </w:r>
      <w:r w:rsidR="00937256" w:rsidRPr="00937256">
        <w:rPr>
          <w:rFonts w:ascii="Times New Roman" w:hAnsi="Times New Roman"/>
        </w:rPr>
        <w:t>ChemCom Industries.</w:t>
      </w:r>
      <w:r>
        <w:rPr>
          <w:rFonts w:ascii="Times New Roman" w:hAnsi="Times New Roman"/>
        </w:rPr>
        <w:t xml:space="preserve"> </w:t>
      </w:r>
      <w:r w:rsidR="00FE12ED">
        <w:rPr>
          <w:rFonts w:ascii="Times New Roman" w:hAnsi="Times New Roman"/>
        </w:rPr>
        <w:t xml:space="preserve">GC-FID and </w:t>
      </w:r>
      <w:r>
        <w:rPr>
          <w:rFonts w:ascii="Times New Roman" w:hAnsi="Times New Roman"/>
        </w:rPr>
        <w:t>GC-MS analysis of this mixture in</w:t>
      </w:r>
      <w:r w:rsidR="001C5480">
        <w:rPr>
          <w:rFonts w:ascii="Times New Roman" w:hAnsi="Times New Roman"/>
        </w:rPr>
        <w:t>dicated the bulk was composed of OME</w:t>
      </w:r>
      <w:r w:rsidR="001C5480" w:rsidRPr="001C5480">
        <w:rPr>
          <w:rFonts w:ascii="Times New Roman" w:hAnsi="Times New Roman"/>
          <w:vertAlign w:val="subscript"/>
        </w:rPr>
        <w:t>3</w:t>
      </w:r>
      <w:r w:rsidR="001C5480">
        <w:rPr>
          <w:rFonts w:ascii="Times New Roman" w:hAnsi="Times New Roman"/>
        </w:rPr>
        <w:t xml:space="preserve"> (43%), OME</w:t>
      </w:r>
      <w:r w:rsidR="001C5480" w:rsidRPr="001C5480">
        <w:rPr>
          <w:rFonts w:ascii="Times New Roman" w:hAnsi="Times New Roman"/>
          <w:vertAlign w:val="subscript"/>
        </w:rPr>
        <w:t>4</w:t>
      </w:r>
      <w:r w:rsidR="001C5480">
        <w:rPr>
          <w:rFonts w:ascii="Times New Roman" w:hAnsi="Times New Roman"/>
        </w:rPr>
        <w:t xml:space="preserve"> </w:t>
      </w:r>
      <w:r w:rsidR="001C5480">
        <w:rPr>
          <w:rFonts w:ascii="Times New Roman" w:hAnsi="Times New Roman"/>
        </w:rPr>
        <w:lastRenderedPageBreak/>
        <w:t>(24%), OME</w:t>
      </w:r>
      <w:r w:rsidR="001C5480" w:rsidRPr="001C5480">
        <w:rPr>
          <w:rFonts w:ascii="Times New Roman" w:hAnsi="Times New Roman"/>
          <w:vertAlign w:val="subscript"/>
        </w:rPr>
        <w:t>5</w:t>
      </w:r>
      <w:r w:rsidR="001C5480">
        <w:rPr>
          <w:rFonts w:ascii="Times New Roman" w:hAnsi="Times New Roman"/>
        </w:rPr>
        <w:t xml:space="preserve"> (10%), and a</w:t>
      </w:r>
      <w:r w:rsidR="00E970E8">
        <w:rPr>
          <w:rFonts w:ascii="Times New Roman" w:hAnsi="Times New Roman"/>
        </w:rPr>
        <w:t xml:space="preserve"> branched</w:t>
      </w:r>
      <w:r w:rsidR="001C5480">
        <w:rPr>
          <w:rFonts w:ascii="Times New Roman" w:hAnsi="Times New Roman"/>
        </w:rPr>
        <w:t xml:space="preserve"> derivative of OME</w:t>
      </w:r>
      <w:r w:rsidR="001C5480">
        <w:rPr>
          <w:rFonts w:ascii="Times New Roman" w:hAnsi="Times New Roman"/>
          <w:vertAlign w:val="subscript"/>
        </w:rPr>
        <w:t>1</w:t>
      </w:r>
      <w:r w:rsidR="00E970E8">
        <w:rPr>
          <w:rFonts w:ascii="Times New Roman" w:hAnsi="Times New Roman"/>
        </w:rPr>
        <w:t xml:space="preserve"> (10%) (</w:t>
      </w:r>
      <w:r w:rsidR="009F11B6" w:rsidRPr="00556C7F">
        <w:rPr>
          <w:rFonts w:ascii="Times New Roman" w:hAnsi="Times New Roman"/>
          <w:color w:val="000000" w:themeColor="text1"/>
          <w:szCs w:val="24"/>
        </w:rPr>
        <w:fldChar w:fldCharType="begin"/>
      </w:r>
      <w:r w:rsidR="009F11B6" w:rsidRPr="00556C7F">
        <w:rPr>
          <w:rFonts w:ascii="Times New Roman" w:hAnsi="Times New Roman"/>
          <w:color w:val="000000" w:themeColor="text1"/>
          <w:szCs w:val="24"/>
        </w:rPr>
        <w:instrText xml:space="preserve"> REF _Ref6845465 \h  \* MERGEFORMAT </w:instrText>
      </w:r>
      <w:r w:rsidR="009F11B6" w:rsidRPr="00556C7F">
        <w:rPr>
          <w:rFonts w:ascii="Times New Roman" w:hAnsi="Times New Roman"/>
          <w:color w:val="000000" w:themeColor="text1"/>
          <w:szCs w:val="24"/>
        </w:rPr>
      </w:r>
      <w:r w:rsidR="009F11B6" w:rsidRPr="00556C7F">
        <w:rPr>
          <w:rFonts w:ascii="Times New Roman" w:hAnsi="Times New Roman"/>
          <w:color w:val="000000" w:themeColor="text1"/>
          <w:szCs w:val="24"/>
        </w:rPr>
        <w:fldChar w:fldCharType="separate"/>
      </w:r>
      <w:r w:rsidR="003C715B" w:rsidRPr="003C715B">
        <w:rPr>
          <w:rFonts w:ascii="Times New Roman" w:hAnsi="Times New Roman"/>
          <w:color w:val="000000" w:themeColor="text1"/>
          <w:szCs w:val="24"/>
        </w:rPr>
        <w:t>Figure 1</w:t>
      </w:r>
      <w:r w:rsidR="009F11B6" w:rsidRPr="00556C7F">
        <w:rPr>
          <w:rFonts w:ascii="Times New Roman" w:hAnsi="Times New Roman"/>
          <w:color w:val="000000" w:themeColor="text1"/>
          <w:szCs w:val="24"/>
        </w:rPr>
        <w:fldChar w:fldCharType="end"/>
      </w:r>
      <w:r w:rsidR="00E970E8" w:rsidRPr="00556C7F">
        <w:rPr>
          <w:rFonts w:ascii="Times New Roman" w:hAnsi="Times New Roman"/>
          <w:color w:val="000000" w:themeColor="text1"/>
          <w:szCs w:val="24"/>
        </w:rPr>
        <w:t>,</w:t>
      </w:r>
      <w:r w:rsidR="00E970E8">
        <w:rPr>
          <w:rFonts w:ascii="Times New Roman" w:hAnsi="Times New Roman"/>
        </w:rPr>
        <w:t xml:space="preserve"> </w:t>
      </w:r>
      <w:r w:rsidR="00243467">
        <w:rPr>
          <w:rFonts w:ascii="Times New Roman" w:hAnsi="Times New Roman"/>
        </w:rPr>
        <w:t>Table S1</w:t>
      </w:r>
      <w:r w:rsidR="00556C7F">
        <w:rPr>
          <w:rFonts w:ascii="Times New Roman" w:hAnsi="Times New Roman"/>
        </w:rPr>
        <w:t>).</w:t>
      </w:r>
      <w:r w:rsidR="004C6BC8">
        <w:rPr>
          <w:rFonts w:ascii="Times New Roman" w:hAnsi="Times New Roman"/>
        </w:rPr>
        <w:t xml:space="preserve"> </w:t>
      </w:r>
      <w:r w:rsidR="00E970E8">
        <w:rPr>
          <w:rFonts w:ascii="Times New Roman" w:hAnsi="Times New Roman"/>
        </w:rPr>
        <w:t>The rest of the mixture is made up of smaller fractions (&lt;5% each) of longer-chain OMEs and their derivatives</w:t>
      </w:r>
      <w:r w:rsidR="004C6BC8">
        <w:rPr>
          <w:rFonts w:ascii="Times New Roman" w:hAnsi="Times New Roman"/>
        </w:rPr>
        <w:t>, with fractions under 1% not being tabulated</w:t>
      </w:r>
      <w:r w:rsidR="00E970E8">
        <w:rPr>
          <w:rFonts w:ascii="Times New Roman" w:hAnsi="Times New Roman"/>
        </w:rPr>
        <w:t>. This composition suggests that the OME</w:t>
      </w:r>
      <w:r w:rsidR="00E970E8" w:rsidRPr="00E970E8">
        <w:rPr>
          <w:rFonts w:ascii="Times New Roman" w:hAnsi="Times New Roman"/>
          <w:vertAlign w:val="subscript"/>
        </w:rPr>
        <w:t>3-5</w:t>
      </w:r>
      <w:r w:rsidR="00E970E8">
        <w:rPr>
          <w:rFonts w:ascii="Times New Roman" w:hAnsi="Times New Roman"/>
        </w:rPr>
        <w:t xml:space="preserve"> mixture will </w:t>
      </w:r>
      <w:r w:rsidR="007B160F">
        <w:rPr>
          <w:rFonts w:ascii="Times New Roman" w:hAnsi="Times New Roman"/>
        </w:rPr>
        <w:t>resemble</w:t>
      </w:r>
      <w:r w:rsidR="00E970E8">
        <w:rPr>
          <w:rFonts w:ascii="Times New Roman" w:hAnsi="Times New Roman"/>
        </w:rPr>
        <w:t xml:space="preserve"> short-chain OMEs</w:t>
      </w:r>
      <w:r w:rsidR="00BB2444">
        <w:rPr>
          <w:rFonts w:ascii="Times New Roman" w:hAnsi="Times New Roman"/>
        </w:rPr>
        <w:t xml:space="preserve"> (n</w:t>
      </w:r>
      <w:r w:rsidR="00BB2444">
        <w:rPr>
          <w:rFonts w:ascii="Times New Roman" w:hAnsi="Times New Roman"/>
        </w:rPr>
        <w:sym w:font="Symbol" w:char="F0A3"/>
      </w:r>
      <w:r w:rsidR="00BB2444">
        <w:rPr>
          <w:rFonts w:ascii="Times New Roman" w:hAnsi="Times New Roman"/>
        </w:rPr>
        <w:t>5)</w:t>
      </w:r>
      <w:r w:rsidR="007B160F">
        <w:rPr>
          <w:rFonts w:ascii="Times New Roman" w:hAnsi="Times New Roman"/>
        </w:rPr>
        <w:t xml:space="preserve"> in physical properties and solvation abilities.</w:t>
      </w:r>
      <w:r w:rsidR="00BB2444">
        <w:rPr>
          <w:rFonts w:ascii="Times New Roman" w:hAnsi="Times New Roman"/>
        </w:rPr>
        <w:t xml:space="preserve"> </w:t>
      </w:r>
      <w:r w:rsidR="00B305F5">
        <w:rPr>
          <w:rFonts w:ascii="Times New Roman" w:hAnsi="Times New Roman"/>
        </w:rPr>
        <w:t>The water content of this batch was found to be 0.12% (±0.04) by Karl Fischer titration.</w:t>
      </w:r>
    </w:p>
    <w:p w14:paraId="12BF2B4B" w14:textId="366FB0D3" w:rsidR="009F11B6" w:rsidRPr="009F11B6" w:rsidRDefault="00E970E8" w:rsidP="009F11B6">
      <w:pPr>
        <w:pStyle w:val="TAMainText"/>
        <w:jc w:val="center"/>
        <w:rPr>
          <w:rFonts w:ascii="Times New Roman" w:hAnsi="Times New Roman"/>
        </w:rPr>
      </w:pPr>
      <w:r>
        <w:rPr>
          <w:rFonts w:ascii="Times New Roman" w:hAnsi="Times New Roman"/>
          <w:noProof/>
          <w:lang w:val="en-GB" w:eastAsia="en-GB"/>
        </w:rPr>
        <w:drawing>
          <wp:inline distT="0" distB="0" distL="0" distR="0" wp14:anchorId="5BC659BA" wp14:editId="6599D369">
            <wp:extent cx="3775141" cy="1066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ME Mixture.png"/>
                    <pic:cNvPicPr/>
                  </pic:nvPicPr>
                  <pic:blipFill>
                    <a:blip r:embed="rId11"/>
                    <a:stretch>
                      <a:fillRect/>
                    </a:stretch>
                  </pic:blipFill>
                  <pic:spPr>
                    <a:xfrm>
                      <a:off x="0" y="0"/>
                      <a:ext cx="3783019" cy="1069026"/>
                    </a:xfrm>
                    <a:prstGeom prst="rect">
                      <a:avLst/>
                    </a:prstGeom>
                  </pic:spPr>
                </pic:pic>
              </a:graphicData>
            </a:graphic>
          </wp:inline>
        </w:drawing>
      </w:r>
    </w:p>
    <w:p w14:paraId="3EDE796A" w14:textId="570992F4" w:rsidR="00BC5D4C" w:rsidRPr="009F11B6" w:rsidRDefault="009F11B6" w:rsidP="00241204">
      <w:pPr>
        <w:pStyle w:val="Caption"/>
        <w:rPr>
          <w:rFonts w:ascii="Times" w:hAnsi="Times"/>
        </w:rPr>
      </w:pPr>
      <w:bookmarkStart w:id="4" w:name="_Ref6845465"/>
      <w:r w:rsidRPr="009F11B6">
        <w:rPr>
          <w:b/>
        </w:rPr>
        <w:t xml:space="preserve">Figure </w:t>
      </w:r>
      <w:r w:rsidRPr="009F11B6">
        <w:rPr>
          <w:b/>
        </w:rPr>
        <w:fldChar w:fldCharType="begin"/>
      </w:r>
      <w:r w:rsidRPr="009F11B6">
        <w:rPr>
          <w:b/>
        </w:rPr>
        <w:instrText xml:space="preserve"> SEQ Figure \* ARABIC </w:instrText>
      </w:r>
      <w:r w:rsidRPr="009F11B6">
        <w:rPr>
          <w:b/>
        </w:rPr>
        <w:fldChar w:fldCharType="separate"/>
      </w:r>
      <w:r w:rsidR="003C715B">
        <w:rPr>
          <w:b/>
          <w:noProof/>
        </w:rPr>
        <w:t>1</w:t>
      </w:r>
      <w:r w:rsidRPr="009F11B6">
        <w:rPr>
          <w:b/>
        </w:rPr>
        <w:fldChar w:fldCharType="end"/>
      </w:r>
      <w:bookmarkEnd w:id="4"/>
      <w:r w:rsidRPr="009F11B6">
        <w:rPr>
          <w:b/>
        </w:rPr>
        <w:t>.</w:t>
      </w:r>
      <w:r w:rsidRPr="009F11B6">
        <w:t xml:space="preserve"> </w:t>
      </w:r>
      <w:r w:rsidR="00ED6568" w:rsidRPr="009F11B6">
        <w:t>The investigated</w:t>
      </w:r>
      <w:r w:rsidR="00E970E8" w:rsidRPr="009F11B6">
        <w:rPr>
          <w:vertAlign w:val="subscript"/>
        </w:rPr>
        <w:t xml:space="preserve"> </w:t>
      </w:r>
      <w:r w:rsidR="00E970E8" w:rsidRPr="009F11B6">
        <w:t xml:space="preserve">mixture is composed of </w:t>
      </w:r>
      <w:r w:rsidR="00ED6568" w:rsidRPr="009F11B6">
        <w:t>predominantly</w:t>
      </w:r>
      <w:r w:rsidR="00E970E8" w:rsidRPr="009F11B6">
        <w:t xml:space="preserve"> </w:t>
      </w:r>
      <w:r w:rsidR="00ED6568" w:rsidRPr="009F11B6">
        <w:t>OME</w:t>
      </w:r>
      <w:r w:rsidR="00ED6568" w:rsidRPr="009F11B6">
        <w:rPr>
          <w:vertAlign w:val="subscript"/>
        </w:rPr>
        <w:t>3-5</w:t>
      </w:r>
      <w:r w:rsidR="00ED6568" w:rsidRPr="009F11B6">
        <w:t xml:space="preserve"> (77%), longer chain OMEs (n &gt; 5) </w:t>
      </w:r>
      <w:r w:rsidR="00E970E8" w:rsidRPr="009F11B6">
        <w:t>(a)</w:t>
      </w:r>
      <w:r w:rsidR="00ED6568" w:rsidRPr="009F11B6">
        <w:t xml:space="preserve">; </w:t>
      </w:r>
      <w:r w:rsidR="00E970E8" w:rsidRPr="009F11B6">
        <w:t>and derivatives (b) of varying chain lengths</w:t>
      </w:r>
      <w:r w:rsidR="00E66EE6" w:rsidRPr="009F11B6">
        <w:t xml:space="preserve"> (10%)</w:t>
      </w:r>
      <w:r w:rsidR="00E970E8" w:rsidRPr="009F11B6">
        <w:t>.</w:t>
      </w:r>
    </w:p>
    <w:p w14:paraId="4FF2F19C" w14:textId="55CBF07B" w:rsidR="00C63EC1" w:rsidRDefault="00E970E8" w:rsidP="00B8644B">
      <w:pPr>
        <w:pStyle w:val="TAMainText"/>
        <w:spacing w:before="240"/>
        <w:ind w:firstLine="204"/>
        <w:rPr>
          <w:rFonts w:ascii="Times New Roman" w:hAnsi="Times New Roman"/>
        </w:rPr>
      </w:pPr>
      <w:r>
        <w:rPr>
          <w:rFonts w:ascii="Times New Roman" w:hAnsi="Times New Roman"/>
        </w:rPr>
        <w:t>Hansen Solubility Parameters (HSP) are useful predictors of a solvent’s behavior, quantifying three components of intermolecular interaction: dispersion forces (δ</w:t>
      </w:r>
      <w:r w:rsidRPr="00E970E8">
        <w:rPr>
          <w:rFonts w:ascii="Times New Roman" w:hAnsi="Times New Roman"/>
          <w:vertAlign w:val="subscript"/>
        </w:rPr>
        <w:t>D</w:t>
      </w:r>
      <w:r>
        <w:rPr>
          <w:rFonts w:ascii="Times New Roman" w:hAnsi="Times New Roman"/>
        </w:rPr>
        <w:t>), polarity (δ</w:t>
      </w:r>
      <w:r>
        <w:rPr>
          <w:rFonts w:ascii="Times New Roman" w:hAnsi="Times New Roman"/>
          <w:vertAlign w:val="subscript"/>
        </w:rPr>
        <w:t>P</w:t>
      </w:r>
      <w:r>
        <w:rPr>
          <w:rFonts w:ascii="Times New Roman" w:hAnsi="Times New Roman"/>
        </w:rPr>
        <w:t>), and hydrogen bonding ability (δ</w:t>
      </w:r>
      <w:r>
        <w:rPr>
          <w:rFonts w:ascii="Times New Roman" w:hAnsi="Times New Roman"/>
          <w:vertAlign w:val="subscript"/>
        </w:rPr>
        <w:t>H</w:t>
      </w:r>
      <w:r>
        <w:rPr>
          <w:rFonts w:ascii="Times New Roman" w:hAnsi="Times New Roman"/>
        </w:rPr>
        <w:t>). To identify potential applications of the OME</w:t>
      </w:r>
      <w:r w:rsidRPr="00E970E8">
        <w:rPr>
          <w:rFonts w:ascii="Times New Roman" w:hAnsi="Times New Roman"/>
          <w:vertAlign w:val="subscript"/>
        </w:rPr>
        <w:t>3-5</w:t>
      </w:r>
      <w:r>
        <w:rPr>
          <w:rFonts w:ascii="Times New Roman" w:hAnsi="Times New Roman"/>
        </w:rPr>
        <w:t xml:space="preserve"> mixture, its HSP were predicted using HSPiP software.</w:t>
      </w:r>
      <w:r>
        <w:rPr>
          <w:rFonts w:ascii="Times New Roman" w:hAnsi="Times New Roman"/>
        </w:rPr>
        <w:fldChar w:fldCharType="begin"/>
      </w:r>
      <w:r w:rsidR="000A0BA0">
        <w:rPr>
          <w:rFonts w:ascii="Times New Roman" w:hAnsi="Times New Roman"/>
        </w:rPr>
        <w:instrText xml:space="preserve"> ADDIN ZOTERO_ITEM CSL_CITATION {"citationID":"PRy49ybX","properties":{"formattedCitation":"\\super 20\\nosupersub{}","plainCitation":"20","noteIndex":0},"citationItems":[{"id":253,"uris":["http://zotero.org/users/4674022/items/R8ZF6AQ2"],"uri":["http://zotero.org/users/4674022/items/R8ZF6AQ2"],"itemData":{"id":253,"type":"book","title":"Hansen Solubility Parameters in Practice","version":"4.104","URL":"www.hansen-solubility.com","author":[{"family":"Abbott","given":"Steven"}],"issued":{"date-parts":[["2012"]]}}}],"schema":"https://github.com/citation-style-language/schema/raw/master/csl-citation.json"} </w:instrText>
      </w:r>
      <w:r>
        <w:rPr>
          <w:rFonts w:ascii="Times New Roman" w:hAnsi="Times New Roman"/>
        </w:rPr>
        <w:fldChar w:fldCharType="separate"/>
      </w:r>
      <w:r w:rsidR="000A0BA0" w:rsidRPr="000A0BA0">
        <w:rPr>
          <w:rFonts w:ascii="Times New Roman" w:hAnsi="Times New Roman"/>
          <w:vertAlign w:val="superscript"/>
        </w:rPr>
        <w:t>20</w:t>
      </w:r>
      <w:r>
        <w:rPr>
          <w:rFonts w:ascii="Times New Roman" w:hAnsi="Times New Roman"/>
        </w:rPr>
        <w:fldChar w:fldCharType="end"/>
      </w:r>
      <w:r>
        <w:rPr>
          <w:rFonts w:ascii="Times New Roman" w:hAnsi="Times New Roman"/>
        </w:rPr>
        <w:t xml:space="preserve"> The HSP of each component of the mixture were predicted</w:t>
      </w:r>
      <w:r w:rsidR="00BB2444">
        <w:rPr>
          <w:rFonts w:ascii="Times New Roman" w:hAnsi="Times New Roman"/>
        </w:rPr>
        <w:t xml:space="preserve"> individually</w:t>
      </w:r>
      <w:r>
        <w:rPr>
          <w:rFonts w:ascii="Times New Roman" w:hAnsi="Times New Roman"/>
        </w:rPr>
        <w:t>, then linearly combined using the proportions determined by GC.</w:t>
      </w:r>
      <w:r w:rsidR="008A7F17">
        <w:rPr>
          <w:rFonts w:ascii="Times New Roman" w:hAnsi="Times New Roman"/>
        </w:rPr>
        <w:t xml:space="preserve"> </w:t>
      </w:r>
      <w:r w:rsidR="0044146E">
        <w:rPr>
          <w:rFonts w:ascii="Times New Roman" w:hAnsi="Times New Roman"/>
        </w:rPr>
        <w:t>Comparing the resulting values with those of</w:t>
      </w:r>
      <w:r w:rsidR="008A7F17">
        <w:rPr>
          <w:rFonts w:ascii="Times New Roman" w:hAnsi="Times New Roman"/>
        </w:rPr>
        <w:t xml:space="preserve"> conventional solvents indicates which solvents OME</w:t>
      </w:r>
      <w:r w:rsidR="008A7F17" w:rsidRPr="008A7F17">
        <w:rPr>
          <w:rFonts w:ascii="Times New Roman" w:hAnsi="Times New Roman"/>
          <w:vertAlign w:val="subscript"/>
        </w:rPr>
        <w:t>3-5</w:t>
      </w:r>
      <w:r w:rsidR="008A7F17">
        <w:rPr>
          <w:rFonts w:ascii="Times New Roman" w:hAnsi="Times New Roman"/>
        </w:rPr>
        <w:t xml:space="preserve"> could potentially replace</w:t>
      </w:r>
      <w:r w:rsidR="0044146E">
        <w:rPr>
          <w:rFonts w:ascii="Times New Roman" w:hAnsi="Times New Roman"/>
        </w:rPr>
        <w:t xml:space="preserve"> (</w:t>
      </w:r>
      <w:r w:rsidR="00605658" w:rsidRPr="00605658">
        <w:rPr>
          <w:rFonts w:ascii="Times New Roman" w:hAnsi="Times New Roman"/>
        </w:rPr>
        <w:fldChar w:fldCharType="begin"/>
      </w:r>
      <w:r w:rsidR="00605658" w:rsidRPr="00605658">
        <w:rPr>
          <w:rFonts w:ascii="Times New Roman" w:hAnsi="Times New Roman"/>
        </w:rPr>
        <w:instrText xml:space="preserve"> REF _Ref6848354 \h  \* MERGEFORMAT </w:instrText>
      </w:r>
      <w:r w:rsidR="00605658" w:rsidRPr="00605658">
        <w:rPr>
          <w:rFonts w:ascii="Times New Roman" w:hAnsi="Times New Roman"/>
        </w:rPr>
      </w:r>
      <w:r w:rsidR="00605658" w:rsidRPr="00605658">
        <w:rPr>
          <w:rFonts w:ascii="Times New Roman" w:hAnsi="Times New Roman"/>
        </w:rPr>
        <w:fldChar w:fldCharType="separate"/>
      </w:r>
      <w:r w:rsidR="003C715B" w:rsidRPr="003C715B">
        <w:t xml:space="preserve">Table </w:t>
      </w:r>
      <w:r w:rsidR="003C715B" w:rsidRPr="003C715B">
        <w:rPr>
          <w:noProof/>
        </w:rPr>
        <w:t>2</w:t>
      </w:r>
      <w:r w:rsidR="00605658" w:rsidRPr="00605658">
        <w:rPr>
          <w:rFonts w:ascii="Times New Roman" w:hAnsi="Times New Roman"/>
        </w:rPr>
        <w:fldChar w:fldCharType="end"/>
      </w:r>
      <w:r w:rsidR="0044146E" w:rsidRPr="00605658">
        <w:rPr>
          <w:rFonts w:ascii="Times New Roman" w:hAnsi="Times New Roman"/>
        </w:rPr>
        <w:t>).</w:t>
      </w:r>
      <w:r w:rsidR="003910F3">
        <w:rPr>
          <w:rFonts w:ascii="Times New Roman" w:hAnsi="Times New Roman"/>
        </w:rPr>
        <w:t xml:space="preserve"> The D-OME value indicates how far each solvent is from OME</w:t>
      </w:r>
      <w:r w:rsidR="003910F3">
        <w:rPr>
          <w:rFonts w:ascii="Times New Roman" w:hAnsi="Times New Roman"/>
          <w:vertAlign w:val="subscript"/>
        </w:rPr>
        <w:t>3-5</w:t>
      </w:r>
      <w:r w:rsidR="003910F3">
        <w:rPr>
          <w:rFonts w:ascii="Times New Roman" w:hAnsi="Times New Roman"/>
        </w:rPr>
        <w:t xml:space="preserve"> in the three-dimensional Hansen space; lower values indicate </w:t>
      </w:r>
      <w:r w:rsidR="00767E66">
        <w:rPr>
          <w:rFonts w:ascii="Times New Roman" w:hAnsi="Times New Roman"/>
        </w:rPr>
        <w:t>that OME</w:t>
      </w:r>
      <w:r w:rsidR="00767E66" w:rsidRPr="00767E66">
        <w:rPr>
          <w:rFonts w:ascii="Times New Roman" w:hAnsi="Times New Roman"/>
          <w:vertAlign w:val="subscript"/>
        </w:rPr>
        <w:t>3-5</w:t>
      </w:r>
      <w:r w:rsidR="00767E66">
        <w:rPr>
          <w:rFonts w:ascii="Times New Roman" w:hAnsi="Times New Roman"/>
        </w:rPr>
        <w:t xml:space="preserve"> may behave like this solvent.</w:t>
      </w:r>
      <w:r w:rsidR="00B00411">
        <w:rPr>
          <w:rFonts w:ascii="Times New Roman" w:hAnsi="Times New Roman"/>
        </w:rPr>
        <w:t xml:space="preserve"> The high </w:t>
      </w:r>
      <w:r w:rsidR="00B00411" w:rsidRPr="00B00411">
        <w:rPr>
          <w:rFonts w:ascii="Times New Roman" w:hAnsi="Times New Roman"/>
        </w:rPr>
        <w:t>δ</w:t>
      </w:r>
      <w:r w:rsidR="00B00411" w:rsidRPr="00B00411">
        <w:rPr>
          <w:rFonts w:ascii="Times New Roman" w:hAnsi="Times New Roman"/>
          <w:vertAlign w:val="subscript"/>
        </w:rPr>
        <w:t>P</w:t>
      </w:r>
      <w:r w:rsidR="00B00411">
        <w:rPr>
          <w:rFonts w:ascii="Times New Roman" w:hAnsi="Times New Roman"/>
        </w:rPr>
        <w:t xml:space="preserve"> of OME</w:t>
      </w:r>
      <w:r w:rsidR="00B00411" w:rsidRPr="00B00411">
        <w:rPr>
          <w:rFonts w:ascii="Times New Roman" w:hAnsi="Times New Roman"/>
          <w:vertAlign w:val="subscript"/>
        </w:rPr>
        <w:t>3-5</w:t>
      </w:r>
      <w:r w:rsidR="00B00411">
        <w:rPr>
          <w:rFonts w:ascii="Times New Roman" w:hAnsi="Times New Roman"/>
        </w:rPr>
        <w:t xml:space="preserve"> suggests it could be considerably more polar than other ether-type solvents, but otherwise its HSP are similar to those of 1,4-dioxane and THF.</w:t>
      </w:r>
    </w:p>
    <w:p w14:paraId="6B1937BD" w14:textId="1B96AF26" w:rsidR="00E66EE6" w:rsidRPr="00B00411" w:rsidRDefault="0038107A" w:rsidP="00B8644B">
      <w:pPr>
        <w:pStyle w:val="TAMainText"/>
        <w:spacing w:after="240"/>
        <w:ind w:firstLine="204"/>
        <w:rPr>
          <w:rFonts w:ascii="Times New Roman" w:hAnsi="Times New Roman"/>
        </w:rPr>
      </w:pPr>
      <w:r>
        <w:rPr>
          <w:rFonts w:ascii="Times New Roman" w:hAnsi="Times New Roman"/>
        </w:rPr>
        <w:t xml:space="preserve">Solubility behavior can also be predicted with </w:t>
      </w:r>
      <w:r w:rsidR="00E66EE6">
        <w:rPr>
          <w:rFonts w:ascii="Times New Roman" w:hAnsi="Times New Roman"/>
        </w:rPr>
        <w:t xml:space="preserve">Kamlet-Abboud-Taft (KAT) parameters, which are measured by using three solvatochromic dyes that probe a solvent’s intermolecular interactions </w:t>
      </w:r>
      <w:r w:rsidR="00E66EE6" w:rsidRPr="00605658">
        <w:rPr>
          <w:rFonts w:ascii="Times New Roman" w:hAnsi="Times New Roman"/>
        </w:rPr>
        <w:t>(</w:t>
      </w:r>
      <w:r w:rsidR="00243467">
        <w:rPr>
          <w:rFonts w:ascii="Times New Roman" w:hAnsi="Times New Roman"/>
        </w:rPr>
        <w:t>Figure S1</w:t>
      </w:r>
      <w:r w:rsidR="00E66EE6">
        <w:rPr>
          <w:rFonts w:ascii="Times New Roman" w:hAnsi="Times New Roman"/>
        </w:rPr>
        <w:t>).</w:t>
      </w:r>
      <w:r w:rsidR="00E66EE6">
        <w:rPr>
          <w:rFonts w:ascii="Times New Roman" w:hAnsi="Times New Roman"/>
        </w:rPr>
        <w:fldChar w:fldCharType="begin"/>
      </w:r>
      <w:r w:rsidR="000A0BA0">
        <w:rPr>
          <w:rFonts w:ascii="Times New Roman" w:hAnsi="Times New Roman"/>
        </w:rPr>
        <w:instrText xml:space="preserve"> ADDIN ZOTERO_ITEM CSL_CITATION {"citationID":"ySaLiBuZ","properties":{"formattedCitation":"\\super 21\\nosupersub{}","plainCitation":"21","noteIndex":0},"citationItems":[{"id":28,"uris":["http://zotero.org/users/4674022/items/6UU3V7BN"],"uri":["http://zotero.org/users/4674022/items/6UU3V7BN"],"itemData":{"id":28,"type":"article-journal","title":"Linear solvation energy relationships. 23. A comprehensive collection of the solvatochromic parameters, .pi.*, .alpha., and .beta., and some methods for simplifying the generalized solvatochromic equation","container-title":"The Journal of Organic Chemistry","page":"2877-2887","volume":"48","issue":"17","source":"ACS Publications","DOI":"10.1021/jo00165a018","ISSN":"0022-3263","journalAbbreviation":"J. Org. Chem.","author":[{"family":"Kamlet","given":"Mortimer J."},{"family":"Abboud","given":"Jose Luis M."},{"family":"Abraham","given":"Michael H."},{"family":"Taft","given":"R. W."}],"issued":{"date-parts":[["1983",8,1]]}}}],"schema":"https://github.com/citation-style-language/schema/raw/master/csl-citation.json"} </w:instrText>
      </w:r>
      <w:r w:rsidR="00E66EE6">
        <w:rPr>
          <w:rFonts w:ascii="Times New Roman" w:hAnsi="Times New Roman"/>
        </w:rPr>
        <w:fldChar w:fldCharType="separate"/>
      </w:r>
      <w:r w:rsidR="000A0BA0" w:rsidRPr="000A0BA0">
        <w:rPr>
          <w:rFonts w:ascii="Times New Roman" w:hAnsi="Times New Roman"/>
          <w:vertAlign w:val="superscript"/>
        </w:rPr>
        <w:t>21</w:t>
      </w:r>
      <w:r w:rsidR="00E66EE6">
        <w:rPr>
          <w:rFonts w:ascii="Times New Roman" w:hAnsi="Times New Roman"/>
        </w:rPr>
        <w:fldChar w:fldCharType="end"/>
      </w:r>
      <w:r w:rsidR="00E66EE6" w:rsidRPr="007308C6">
        <w:t xml:space="preserve"> </w:t>
      </w:r>
      <w:r w:rsidR="00E66EE6">
        <w:rPr>
          <w:rFonts w:ascii="Times New Roman" w:hAnsi="Times New Roman"/>
        </w:rPr>
        <w:t>The wavelength</w:t>
      </w:r>
      <w:r w:rsidR="00E66EE6" w:rsidRPr="007308C6">
        <w:rPr>
          <w:rFonts w:ascii="Times New Roman" w:hAnsi="Times New Roman"/>
        </w:rPr>
        <w:t xml:space="preserve"> of maximum absorption </w:t>
      </w:r>
      <w:r w:rsidR="00E66EE6">
        <w:rPr>
          <w:rFonts w:ascii="Times New Roman" w:hAnsi="Times New Roman"/>
        </w:rPr>
        <w:t>for each dye is</w:t>
      </w:r>
      <w:r w:rsidR="00E66EE6" w:rsidRPr="007308C6">
        <w:rPr>
          <w:rFonts w:ascii="Times New Roman" w:hAnsi="Times New Roman"/>
        </w:rPr>
        <w:t xml:space="preserve"> measured using UV-Vis </w:t>
      </w:r>
      <w:r w:rsidR="00E66EE6" w:rsidRPr="007308C6">
        <w:rPr>
          <w:rFonts w:ascii="Times New Roman" w:hAnsi="Times New Roman"/>
        </w:rPr>
        <w:lastRenderedPageBreak/>
        <w:t>spectrometry</w:t>
      </w:r>
      <w:r w:rsidR="00E66EE6">
        <w:rPr>
          <w:rFonts w:ascii="Times New Roman" w:hAnsi="Times New Roman"/>
        </w:rPr>
        <w:t xml:space="preserve"> and used</w:t>
      </w:r>
      <w:r w:rsidR="00E66EE6" w:rsidRPr="007308C6">
        <w:rPr>
          <w:rFonts w:ascii="Times New Roman" w:hAnsi="Times New Roman"/>
        </w:rPr>
        <w:t xml:space="preserve"> to </w:t>
      </w:r>
      <w:r w:rsidR="00E66EE6">
        <w:rPr>
          <w:rFonts w:ascii="Times New Roman" w:hAnsi="Times New Roman"/>
        </w:rPr>
        <w:t>calculate</w:t>
      </w:r>
      <w:r w:rsidR="00E66EE6" w:rsidRPr="007308C6">
        <w:rPr>
          <w:rFonts w:ascii="Times New Roman" w:hAnsi="Times New Roman"/>
        </w:rPr>
        <w:t xml:space="preserve"> the hydrogen bond acidity (α), hydrogen bond basicity (β), and dipolarity/polarizability (π*). </w:t>
      </w:r>
      <w:r w:rsidR="00E66EE6">
        <w:rPr>
          <w:rFonts w:ascii="Times New Roman" w:hAnsi="Times New Roman"/>
        </w:rPr>
        <w:t>KAT parameters for the OME</w:t>
      </w:r>
      <w:r w:rsidR="00E66EE6" w:rsidRPr="00184C96">
        <w:rPr>
          <w:rFonts w:ascii="Times New Roman" w:hAnsi="Times New Roman"/>
          <w:vertAlign w:val="subscript"/>
        </w:rPr>
        <w:t>3-5</w:t>
      </w:r>
      <w:r w:rsidR="00E66EE6">
        <w:rPr>
          <w:rFonts w:ascii="Times New Roman" w:hAnsi="Times New Roman"/>
        </w:rPr>
        <w:t xml:space="preserve"> mixture were measured and compared with known values for conventional ether solvents (</w:t>
      </w:r>
      <w:r w:rsidR="00605658" w:rsidRPr="00605658">
        <w:rPr>
          <w:rFonts w:ascii="Times New Roman" w:hAnsi="Times New Roman"/>
        </w:rPr>
        <w:fldChar w:fldCharType="begin"/>
      </w:r>
      <w:r w:rsidR="00605658" w:rsidRPr="00605658">
        <w:rPr>
          <w:rFonts w:ascii="Times New Roman" w:hAnsi="Times New Roman"/>
        </w:rPr>
        <w:instrText xml:space="preserve"> REF _Ref6848354 \h  \* MERGEFORMAT </w:instrText>
      </w:r>
      <w:r w:rsidR="00605658" w:rsidRPr="00605658">
        <w:rPr>
          <w:rFonts w:ascii="Times New Roman" w:hAnsi="Times New Roman"/>
        </w:rPr>
      </w:r>
      <w:r w:rsidR="00605658" w:rsidRPr="00605658">
        <w:rPr>
          <w:rFonts w:ascii="Times New Roman" w:hAnsi="Times New Roman"/>
        </w:rPr>
        <w:fldChar w:fldCharType="separate"/>
      </w:r>
      <w:r w:rsidR="003C715B" w:rsidRPr="003C715B">
        <w:t xml:space="preserve">Table </w:t>
      </w:r>
      <w:r w:rsidR="003C715B" w:rsidRPr="003C715B">
        <w:rPr>
          <w:noProof/>
        </w:rPr>
        <w:t>2</w:t>
      </w:r>
      <w:r w:rsidR="00605658" w:rsidRPr="00605658">
        <w:rPr>
          <w:rFonts w:ascii="Times New Roman" w:hAnsi="Times New Roman"/>
        </w:rPr>
        <w:fldChar w:fldCharType="end"/>
      </w:r>
      <w:r w:rsidR="00E66EE6" w:rsidRPr="00605658">
        <w:rPr>
          <w:rFonts w:ascii="Times New Roman" w:hAnsi="Times New Roman"/>
        </w:rPr>
        <w:t>).</w:t>
      </w:r>
      <w:r w:rsidR="008C7FBE">
        <w:rPr>
          <w:rFonts w:ascii="Times New Roman" w:hAnsi="Times New Roman"/>
        </w:rPr>
        <w:fldChar w:fldCharType="begin"/>
      </w:r>
      <w:r w:rsidR="008C7FBE">
        <w:rPr>
          <w:rFonts w:ascii="Times New Roman" w:hAnsi="Times New Roman"/>
        </w:rPr>
        <w:instrText xml:space="preserve"> ADDIN ZOTERO_ITEM CSL_CITATION {"citationID":"3qQL9Bej","properties":{"formattedCitation":"\\super 22,23\\nosupersub{}","plainCitation":"22,23","noteIndex":0},"citationItems":[{"id":262,"uris":["http://zotero.org/users/4674022/items/B9YTS723"],"uri":["http://zotero.org/users/4674022/items/B9YTS723"],"itemData":{"id":262,"type":"article-journal","title":"2,2,5,5-Tetramethyltetrahydrofuran (TMTHF): a non-polar, non-peroxide forming ether replacement for hazardous hydrocarbon solvents","container-title":"Green Chemistry","page":"3671-3678","volume":"19","issue":"15","source":"pubs.rsc.org","abstract":"An inherently non-peroxide forming ether solvent, 2,2,5,5-tetramethyltetrahydrofuran (2,2,5,5-tetramethyloxolane), has been synthesized from readily available and potentially renewable feedstocks, and its solvation properties have been tested. Unlike traditional ethers, its absence of a proton at the alpha-position to the oxygen of the ether eliminates the potential to form hazardous peroxides. Additionally, this unusual structure leads to lower basicity compared with many traditional ethers, due to the concealment of the ethereal oxygen by four bulky methyl groups at the alpha-position. As such, this molecule exhibits similar solvent properties to common hydrocarbon solvents, particularly toluene. Its solvent properties have been proved by testing its performance in Fischer esterification, amidation and Grignard reactions. TMTHF's differences from traditional ethers is further demonstrated by its ability to produce high molecular weight radical-initiated polymers for use as pressure-sensitive adhesives.","DOI":"10.1039/C7GC01392B","ISSN":"1463-9270","title-short":"2,2,5,5-Tetramethyltetrahydrofuran (TMTHF)","journalAbbreviation":"Green Chem.","language":"en","author":[{"family":"Byrne","given":"Fergal"},{"family":"Forier","given":"Bart"},{"family":"Bossaert","given":"Greet"},{"family":"Hoebers","given":"Charly"},{"family":"Farmer","given":"Thomas J."},{"family":"Clark","given":"James H."},{"family":"Hunt","given":"Andrew J."}],"issued":{"date-parts":[["2017",7,31]]}}},{"id":50,"uris":["http://zotero.org/users/4674022/items/DM4GRKTM"],"uri":["http://zotero.org/users/4674022/items/DM4GRKTM"],"itemData":{"id":50,"type":"article-journal","title":"Dihydrolevoglucosenone (Cyrene) as a bio-based alternative for dipolar aprotic solvents","container-title":"Chemical Communications","page":"9650-9652","volume":"50","issue":"68","source":"pubs.rsc.org","abstract":"Dihydrolevoglucosenone (Cyrene) is a bio-based molecule, derived in two simple steps from cellulose, which demonstrates significant promise as a dipolar aprotic solvent. The dipolarity of dihydrolevoglucosenone is similar to NMP, DMF and sulpholane. Dihydrolevoglucosenone demonstrates similar performance to NMP in a fluorination reaction and the Menschutkin reaction.","DOI":"10.1039/C4CC04133J","ISSN":"1364-548X","journalAbbreviation":"Chem. Commun.","language":"en","author":[{"family":"Sherwood","given":"James"},{"family":"Bruyn","given":"Mario De"},{"family":"Constantinou","given":"Andri"},{"family":"Moity","given":"Laurianne"},{"family":"McElroy","given":"C. Rob"},{"family":"Farmer","given":"Thomas J."},{"family":"Duncan","given":"Tony"},{"family":"Raverty","given":"Warwick"},{"family":"Hunt","given":"Andrew J."},{"family":"Clark","given":"James H."}],"issued":{"date-parts":[["2014",7,29]]}}}],"schema":"https://github.com/citation-style-language/schema/raw/master/csl-citation.json"} </w:instrText>
      </w:r>
      <w:r w:rsidR="008C7FBE">
        <w:rPr>
          <w:rFonts w:ascii="Times New Roman" w:hAnsi="Times New Roman"/>
        </w:rPr>
        <w:fldChar w:fldCharType="separate"/>
      </w:r>
      <w:r w:rsidR="008C7FBE" w:rsidRPr="008C7FBE">
        <w:rPr>
          <w:rFonts w:ascii="Times New Roman" w:hAnsi="Times New Roman"/>
          <w:vertAlign w:val="superscript"/>
        </w:rPr>
        <w:t>22,23</w:t>
      </w:r>
      <w:r w:rsidR="008C7FBE">
        <w:rPr>
          <w:rFonts w:ascii="Times New Roman" w:hAnsi="Times New Roman"/>
        </w:rPr>
        <w:fldChar w:fldCharType="end"/>
      </w:r>
      <w:r w:rsidR="00E66EE6">
        <w:rPr>
          <w:rFonts w:ascii="Times New Roman" w:hAnsi="Times New Roman"/>
        </w:rPr>
        <w:t xml:space="preserve"> Values for </w:t>
      </w:r>
      <w:r w:rsidR="00E66EE6" w:rsidRPr="007308C6">
        <w:rPr>
          <w:rFonts w:ascii="Times New Roman" w:hAnsi="Times New Roman"/>
        </w:rPr>
        <w:t xml:space="preserve">∆-OME </w:t>
      </w:r>
      <w:r w:rsidR="00E66EE6">
        <w:rPr>
          <w:rFonts w:ascii="Times New Roman" w:hAnsi="Times New Roman"/>
        </w:rPr>
        <w:t>indicate how far each solvent is from OME</w:t>
      </w:r>
      <w:r w:rsidR="00E66EE6" w:rsidRPr="007308C6">
        <w:rPr>
          <w:rFonts w:ascii="Times New Roman" w:hAnsi="Times New Roman"/>
          <w:vertAlign w:val="subscript"/>
        </w:rPr>
        <w:t xml:space="preserve">3-5 </w:t>
      </w:r>
      <w:r w:rsidR="00E66EE6">
        <w:rPr>
          <w:rFonts w:ascii="Times New Roman" w:hAnsi="Times New Roman"/>
        </w:rPr>
        <w:t xml:space="preserve">in the three-dimensional KAT space, giving an experimental predictor of how similar the two solvents are. A lower </w:t>
      </w:r>
      <w:r w:rsidR="00E66EE6" w:rsidRPr="007308C6">
        <w:rPr>
          <w:rFonts w:ascii="Times New Roman" w:hAnsi="Times New Roman"/>
        </w:rPr>
        <w:t xml:space="preserve">∆-OME </w:t>
      </w:r>
      <w:r w:rsidR="00E66EE6">
        <w:rPr>
          <w:rFonts w:ascii="Times New Roman" w:hAnsi="Times New Roman"/>
        </w:rPr>
        <w:t>value suggests more similarity between OME</w:t>
      </w:r>
      <w:r w:rsidR="00E66EE6" w:rsidRPr="007308C6">
        <w:rPr>
          <w:rFonts w:ascii="Times New Roman" w:hAnsi="Times New Roman"/>
          <w:vertAlign w:val="subscript"/>
        </w:rPr>
        <w:t>3-5</w:t>
      </w:r>
      <w:r w:rsidR="00E66EE6">
        <w:rPr>
          <w:rFonts w:ascii="Times New Roman" w:hAnsi="Times New Roman"/>
        </w:rPr>
        <w:t xml:space="preserve"> and the conventional solvent. Notably, the KAT parameters of OME</w:t>
      </w:r>
      <w:r w:rsidR="00E66EE6" w:rsidRPr="00184C96">
        <w:rPr>
          <w:rFonts w:ascii="Times New Roman" w:hAnsi="Times New Roman"/>
          <w:vertAlign w:val="subscript"/>
        </w:rPr>
        <w:t>3-5</w:t>
      </w:r>
      <w:r w:rsidR="00E66EE6">
        <w:rPr>
          <w:rFonts w:ascii="Times New Roman" w:hAnsi="Times New Roman"/>
        </w:rPr>
        <w:t xml:space="preserve"> are nearly identical to those of 1,4-dioxane, suggesting that these two solvents will behave very similarly. In contrast to the computationally-predicted Hansen parameters, the empirical KAT π* value of OME</w:t>
      </w:r>
      <w:r w:rsidR="00E66EE6" w:rsidRPr="00B00411">
        <w:rPr>
          <w:rFonts w:ascii="Times New Roman" w:hAnsi="Times New Roman"/>
          <w:vertAlign w:val="subscript"/>
        </w:rPr>
        <w:t>3-5</w:t>
      </w:r>
      <w:r w:rsidR="00E66EE6">
        <w:rPr>
          <w:rFonts w:ascii="Times New Roman" w:hAnsi="Times New Roman"/>
        </w:rPr>
        <w:t xml:space="preserve"> is in line with those of the other ethers.</w:t>
      </w:r>
    </w:p>
    <w:p w14:paraId="66C60B23" w14:textId="6FA81428" w:rsidR="0044146E" w:rsidRPr="00B8644B" w:rsidRDefault="00241204" w:rsidP="00241204">
      <w:pPr>
        <w:pStyle w:val="Caption"/>
        <w:rPr>
          <w:i/>
          <w:vertAlign w:val="superscript"/>
        </w:rPr>
      </w:pPr>
      <w:bookmarkStart w:id="5" w:name="_Ref6848354"/>
      <w:bookmarkStart w:id="6" w:name="_Ref6848350"/>
      <w:r w:rsidRPr="00241204">
        <w:rPr>
          <w:b/>
        </w:rPr>
        <w:t xml:space="preserve">Table </w:t>
      </w:r>
      <w:r w:rsidRPr="00241204">
        <w:rPr>
          <w:b/>
        </w:rPr>
        <w:fldChar w:fldCharType="begin"/>
      </w:r>
      <w:r w:rsidRPr="00241204">
        <w:rPr>
          <w:b/>
        </w:rPr>
        <w:instrText xml:space="preserve"> SEQ Table \* ARABIC </w:instrText>
      </w:r>
      <w:r w:rsidRPr="00241204">
        <w:rPr>
          <w:b/>
        </w:rPr>
        <w:fldChar w:fldCharType="separate"/>
      </w:r>
      <w:r w:rsidR="003C715B">
        <w:rPr>
          <w:b/>
          <w:noProof/>
        </w:rPr>
        <w:t>2</w:t>
      </w:r>
      <w:r w:rsidRPr="00241204">
        <w:rPr>
          <w:b/>
        </w:rPr>
        <w:fldChar w:fldCharType="end"/>
      </w:r>
      <w:bookmarkEnd w:id="5"/>
      <w:r w:rsidRPr="00241204">
        <w:rPr>
          <w:b/>
        </w:rPr>
        <w:t>.</w:t>
      </w:r>
      <w:r>
        <w:t xml:space="preserve"> </w:t>
      </w:r>
      <w:r w:rsidR="0044146E" w:rsidRPr="00B8644B">
        <w:t>Hansen solubility parameters and Kamlet-Abboud-Taft solvatochromic parameters for OME</w:t>
      </w:r>
      <w:r w:rsidR="0044146E" w:rsidRPr="00B8644B">
        <w:rPr>
          <w:vertAlign w:val="subscript"/>
        </w:rPr>
        <w:t xml:space="preserve">3-5 </w:t>
      </w:r>
      <w:r w:rsidR="0044146E" w:rsidRPr="00B8644B">
        <w:t>mixture and common ethers.</w:t>
      </w:r>
      <w:bookmarkEnd w:id="6"/>
      <w:r w:rsidR="0044146E" w:rsidRPr="00B8644B">
        <w:t xml:space="preserve"> </w:t>
      </w:r>
    </w:p>
    <w:tbl>
      <w:tblPr>
        <w:tblStyle w:val="TableGrid"/>
        <w:tblpPr w:leftFromText="180" w:rightFromText="180" w:vertAnchor="text" w:horzAnchor="margin" w:tblpXSpec="center" w:tblpY="1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601"/>
        <w:gridCol w:w="491"/>
        <w:gridCol w:w="491"/>
        <w:gridCol w:w="974"/>
        <w:gridCol w:w="671"/>
        <w:gridCol w:w="671"/>
        <w:gridCol w:w="671"/>
        <w:gridCol w:w="950"/>
      </w:tblGrid>
      <w:tr w:rsidR="00E66EE6" w:rsidRPr="001D31B0" w14:paraId="26692D1B" w14:textId="77777777" w:rsidTr="00B8644B">
        <w:tc>
          <w:tcPr>
            <w:tcW w:w="0" w:type="auto"/>
            <w:tcBorders>
              <w:top w:val="single" w:sz="4" w:space="0" w:color="auto"/>
              <w:bottom w:val="single" w:sz="4" w:space="0" w:color="auto"/>
            </w:tcBorders>
          </w:tcPr>
          <w:p w14:paraId="3B8B190A" w14:textId="77777777" w:rsidR="00E66EE6" w:rsidRPr="00B8644B" w:rsidRDefault="00E66EE6" w:rsidP="00E66EE6">
            <w:pPr>
              <w:pStyle w:val="TCTableBody"/>
              <w:rPr>
                <w:rFonts w:ascii="Times New Roman" w:hAnsi="Times New Roman"/>
                <w:b/>
                <w:sz w:val="22"/>
                <w:szCs w:val="22"/>
              </w:rPr>
            </w:pPr>
          </w:p>
        </w:tc>
        <w:tc>
          <w:tcPr>
            <w:tcW w:w="0" w:type="auto"/>
            <w:tcBorders>
              <w:top w:val="single" w:sz="4" w:space="0" w:color="auto"/>
              <w:bottom w:val="single" w:sz="4" w:space="0" w:color="auto"/>
            </w:tcBorders>
          </w:tcPr>
          <w:p w14:paraId="624C6D1F" w14:textId="77777777" w:rsidR="00E66EE6" w:rsidRPr="00B8644B" w:rsidRDefault="00E66EE6" w:rsidP="00E66EE6">
            <w:pPr>
              <w:pStyle w:val="TCTableBody"/>
              <w:rPr>
                <w:rFonts w:ascii="Times New Roman" w:hAnsi="Times New Roman"/>
                <w:b/>
                <w:sz w:val="22"/>
                <w:szCs w:val="22"/>
              </w:rPr>
            </w:pPr>
            <w:r w:rsidRPr="00B8644B">
              <w:rPr>
                <w:rFonts w:ascii="Times New Roman" w:hAnsi="Times New Roman"/>
                <w:b/>
                <w:sz w:val="22"/>
                <w:szCs w:val="22"/>
              </w:rPr>
              <w:t>δ</w:t>
            </w:r>
            <w:r w:rsidRPr="00B8644B">
              <w:rPr>
                <w:rFonts w:ascii="Times New Roman" w:hAnsi="Times New Roman"/>
                <w:b/>
                <w:sz w:val="22"/>
                <w:szCs w:val="22"/>
                <w:vertAlign w:val="subscript"/>
              </w:rPr>
              <w:t>D</w:t>
            </w:r>
          </w:p>
        </w:tc>
        <w:tc>
          <w:tcPr>
            <w:tcW w:w="0" w:type="auto"/>
            <w:tcBorders>
              <w:top w:val="single" w:sz="4" w:space="0" w:color="auto"/>
              <w:bottom w:val="single" w:sz="4" w:space="0" w:color="auto"/>
            </w:tcBorders>
          </w:tcPr>
          <w:p w14:paraId="29032BF5" w14:textId="77777777" w:rsidR="00E66EE6" w:rsidRPr="00B8644B" w:rsidRDefault="00E66EE6" w:rsidP="00E66EE6">
            <w:pPr>
              <w:pStyle w:val="TCTableBody"/>
              <w:rPr>
                <w:rFonts w:ascii="Times New Roman" w:hAnsi="Times New Roman"/>
                <w:b/>
                <w:sz w:val="22"/>
                <w:szCs w:val="22"/>
              </w:rPr>
            </w:pPr>
            <w:r w:rsidRPr="00B8644B">
              <w:rPr>
                <w:rFonts w:ascii="Times New Roman" w:hAnsi="Times New Roman"/>
                <w:b/>
                <w:sz w:val="22"/>
                <w:szCs w:val="22"/>
              </w:rPr>
              <w:t>δ</w:t>
            </w:r>
            <w:r w:rsidRPr="00B8644B">
              <w:rPr>
                <w:rFonts w:ascii="Times New Roman" w:hAnsi="Times New Roman"/>
                <w:b/>
                <w:sz w:val="22"/>
                <w:szCs w:val="22"/>
                <w:vertAlign w:val="subscript"/>
              </w:rPr>
              <w:t>P</w:t>
            </w:r>
          </w:p>
        </w:tc>
        <w:tc>
          <w:tcPr>
            <w:tcW w:w="0" w:type="auto"/>
            <w:tcBorders>
              <w:top w:val="single" w:sz="4" w:space="0" w:color="auto"/>
              <w:bottom w:val="single" w:sz="4" w:space="0" w:color="auto"/>
            </w:tcBorders>
          </w:tcPr>
          <w:p w14:paraId="79BA2CD8" w14:textId="77777777" w:rsidR="00E66EE6" w:rsidRPr="00B8644B" w:rsidRDefault="00E66EE6" w:rsidP="00E66EE6">
            <w:pPr>
              <w:pStyle w:val="TCTableBody"/>
              <w:rPr>
                <w:rFonts w:ascii="Times New Roman" w:hAnsi="Times New Roman"/>
                <w:b/>
                <w:sz w:val="22"/>
                <w:szCs w:val="22"/>
              </w:rPr>
            </w:pPr>
            <w:r w:rsidRPr="00B8644B">
              <w:rPr>
                <w:rFonts w:ascii="Times New Roman" w:hAnsi="Times New Roman"/>
                <w:b/>
                <w:sz w:val="22"/>
                <w:szCs w:val="22"/>
              </w:rPr>
              <w:t>δ</w:t>
            </w:r>
            <w:r w:rsidRPr="00B8644B">
              <w:rPr>
                <w:rFonts w:ascii="Times New Roman" w:hAnsi="Times New Roman"/>
                <w:b/>
                <w:sz w:val="22"/>
                <w:szCs w:val="22"/>
                <w:vertAlign w:val="subscript"/>
              </w:rPr>
              <w:t>H</w:t>
            </w:r>
          </w:p>
        </w:tc>
        <w:tc>
          <w:tcPr>
            <w:tcW w:w="0" w:type="auto"/>
            <w:tcBorders>
              <w:top w:val="single" w:sz="4" w:space="0" w:color="auto"/>
              <w:bottom w:val="single" w:sz="4" w:space="0" w:color="auto"/>
            </w:tcBorders>
          </w:tcPr>
          <w:p w14:paraId="76574850" w14:textId="77777777" w:rsidR="00E66EE6" w:rsidRPr="00B8644B" w:rsidRDefault="00E66EE6" w:rsidP="00E66EE6">
            <w:pPr>
              <w:pStyle w:val="TCTableBody"/>
              <w:rPr>
                <w:rFonts w:ascii="Times New Roman" w:hAnsi="Times New Roman"/>
                <w:b/>
                <w:sz w:val="22"/>
                <w:szCs w:val="22"/>
              </w:rPr>
            </w:pPr>
            <w:r w:rsidRPr="00B8644B">
              <w:rPr>
                <w:rFonts w:ascii="Times New Roman" w:hAnsi="Times New Roman"/>
                <w:b/>
                <w:sz w:val="22"/>
                <w:szCs w:val="22"/>
              </w:rPr>
              <w:t>D-OME</w:t>
            </w:r>
          </w:p>
        </w:tc>
        <w:tc>
          <w:tcPr>
            <w:tcW w:w="0" w:type="auto"/>
            <w:tcBorders>
              <w:top w:val="single" w:sz="4" w:space="0" w:color="auto"/>
              <w:bottom w:val="single" w:sz="4" w:space="0" w:color="auto"/>
            </w:tcBorders>
          </w:tcPr>
          <w:p w14:paraId="0D7E09FF" w14:textId="77777777" w:rsidR="00E66EE6" w:rsidRPr="00B8644B" w:rsidRDefault="00E66EE6" w:rsidP="00E66EE6">
            <w:pPr>
              <w:pStyle w:val="TCTableBody"/>
              <w:rPr>
                <w:rFonts w:ascii="Times New Roman" w:hAnsi="Times New Roman"/>
                <w:b/>
                <w:sz w:val="22"/>
                <w:szCs w:val="22"/>
              </w:rPr>
            </w:pPr>
            <w:r w:rsidRPr="00B8644B">
              <w:rPr>
                <w:rFonts w:ascii="Times New Roman" w:hAnsi="Times New Roman"/>
                <w:b/>
                <w:sz w:val="22"/>
                <w:szCs w:val="22"/>
              </w:rPr>
              <w:sym w:font="Symbol" w:char="F061"/>
            </w:r>
          </w:p>
        </w:tc>
        <w:tc>
          <w:tcPr>
            <w:tcW w:w="0" w:type="auto"/>
            <w:tcBorders>
              <w:top w:val="single" w:sz="4" w:space="0" w:color="auto"/>
              <w:bottom w:val="single" w:sz="4" w:space="0" w:color="auto"/>
            </w:tcBorders>
          </w:tcPr>
          <w:p w14:paraId="37522286" w14:textId="77777777" w:rsidR="00E66EE6" w:rsidRPr="00B8644B" w:rsidRDefault="00E66EE6" w:rsidP="00E66EE6">
            <w:pPr>
              <w:pStyle w:val="TCTableBody"/>
              <w:rPr>
                <w:rFonts w:ascii="Times New Roman" w:hAnsi="Times New Roman"/>
                <w:b/>
                <w:sz w:val="22"/>
                <w:szCs w:val="22"/>
              </w:rPr>
            </w:pPr>
            <w:r w:rsidRPr="00B8644B">
              <w:rPr>
                <w:rFonts w:ascii="Times New Roman" w:hAnsi="Times New Roman"/>
                <w:b/>
                <w:sz w:val="22"/>
                <w:szCs w:val="22"/>
              </w:rPr>
              <w:sym w:font="Symbol" w:char="F062"/>
            </w:r>
          </w:p>
        </w:tc>
        <w:tc>
          <w:tcPr>
            <w:tcW w:w="0" w:type="auto"/>
            <w:tcBorders>
              <w:top w:val="single" w:sz="4" w:space="0" w:color="auto"/>
              <w:bottom w:val="single" w:sz="4" w:space="0" w:color="auto"/>
            </w:tcBorders>
          </w:tcPr>
          <w:p w14:paraId="650352EF" w14:textId="77777777" w:rsidR="00E66EE6" w:rsidRPr="00B8644B" w:rsidRDefault="00E66EE6" w:rsidP="00E66EE6">
            <w:pPr>
              <w:pStyle w:val="TCTableBody"/>
              <w:rPr>
                <w:rFonts w:ascii="Times New Roman" w:hAnsi="Times New Roman"/>
                <w:b/>
                <w:sz w:val="22"/>
                <w:szCs w:val="22"/>
              </w:rPr>
            </w:pPr>
            <w:r w:rsidRPr="00B8644B">
              <w:rPr>
                <w:rFonts w:ascii="Times New Roman" w:hAnsi="Times New Roman"/>
                <w:b/>
                <w:sz w:val="22"/>
                <w:szCs w:val="22"/>
              </w:rPr>
              <w:sym w:font="Symbol" w:char="F070"/>
            </w:r>
            <w:r w:rsidRPr="00B8644B">
              <w:rPr>
                <w:rFonts w:ascii="Times New Roman" w:hAnsi="Times New Roman"/>
                <w:b/>
                <w:sz w:val="22"/>
                <w:szCs w:val="22"/>
              </w:rPr>
              <w:t>*</w:t>
            </w:r>
          </w:p>
        </w:tc>
        <w:tc>
          <w:tcPr>
            <w:tcW w:w="0" w:type="auto"/>
            <w:tcBorders>
              <w:top w:val="single" w:sz="4" w:space="0" w:color="auto"/>
              <w:bottom w:val="single" w:sz="4" w:space="0" w:color="auto"/>
            </w:tcBorders>
          </w:tcPr>
          <w:p w14:paraId="4B917603" w14:textId="77777777" w:rsidR="00E66EE6" w:rsidRPr="00B8644B" w:rsidRDefault="00E66EE6" w:rsidP="00E66EE6">
            <w:pPr>
              <w:pStyle w:val="TCTableBody"/>
              <w:rPr>
                <w:rFonts w:ascii="Times New Roman" w:hAnsi="Times New Roman"/>
                <w:b/>
                <w:sz w:val="22"/>
                <w:szCs w:val="22"/>
              </w:rPr>
            </w:pPr>
            <w:r w:rsidRPr="00B8644B">
              <w:rPr>
                <w:rFonts w:ascii="Times New Roman" w:hAnsi="Times New Roman"/>
                <w:b/>
                <w:sz w:val="22"/>
                <w:szCs w:val="22"/>
              </w:rPr>
              <w:sym w:font="Symbol" w:char="F044"/>
            </w:r>
            <w:r w:rsidRPr="00B8644B">
              <w:rPr>
                <w:rFonts w:ascii="Times New Roman" w:hAnsi="Times New Roman"/>
                <w:b/>
                <w:sz w:val="22"/>
                <w:szCs w:val="22"/>
              </w:rPr>
              <w:t>-OME</w:t>
            </w:r>
          </w:p>
        </w:tc>
      </w:tr>
      <w:tr w:rsidR="00E66EE6" w:rsidRPr="001D31B0" w14:paraId="083F860B" w14:textId="77777777" w:rsidTr="00B8644B">
        <w:tc>
          <w:tcPr>
            <w:tcW w:w="0" w:type="auto"/>
            <w:tcBorders>
              <w:top w:val="single" w:sz="4" w:space="0" w:color="auto"/>
            </w:tcBorders>
          </w:tcPr>
          <w:p w14:paraId="2BF41A62" w14:textId="77777777"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OME</w:t>
            </w:r>
            <w:r w:rsidRPr="00B8644B">
              <w:rPr>
                <w:rFonts w:ascii="Times New Roman" w:hAnsi="Times New Roman"/>
                <w:sz w:val="22"/>
                <w:szCs w:val="22"/>
                <w:vertAlign w:val="subscript"/>
              </w:rPr>
              <w:t>3-5</w:t>
            </w:r>
          </w:p>
        </w:tc>
        <w:tc>
          <w:tcPr>
            <w:tcW w:w="0" w:type="auto"/>
            <w:tcBorders>
              <w:top w:val="single" w:sz="4" w:space="0" w:color="auto"/>
            </w:tcBorders>
          </w:tcPr>
          <w:p w14:paraId="4EA4F692" w14:textId="0A3B1FF2" w:rsidR="00E66EE6" w:rsidRPr="00B8644B" w:rsidRDefault="00E66EE6" w:rsidP="00E66EE6">
            <w:pPr>
              <w:pStyle w:val="TCTableBody"/>
              <w:rPr>
                <w:rFonts w:ascii="Times New Roman" w:hAnsi="Times New Roman"/>
                <w:sz w:val="22"/>
                <w:szCs w:val="22"/>
                <w:vertAlign w:val="superscript"/>
              </w:rPr>
            </w:pPr>
            <w:r w:rsidRPr="00B8644B">
              <w:rPr>
                <w:rFonts w:ascii="Times New Roman" w:hAnsi="Times New Roman"/>
                <w:sz w:val="22"/>
                <w:szCs w:val="22"/>
              </w:rPr>
              <w:t>15.6</w:t>
            </w:r>
          </w:p>
        </w:tc>
        <w:tc>
          <w:tcPr>
            <w:tcW w:w="0" w:type="auto"/>
            <w:tcBorders>
              <w:top w:val="single" w:sz="4" w:space="0" w:color="auto"/>
            </w:tcBorders>
          </w:tcPr>
          <w:p w14:paraId="29941821" w14:textId="37F48653" w:rsidR="00E66EE6" w:rsidRPr="00B8644B" w:rsidRDefault="00E66EE6" w:rsidP="00E66EE6">
            <w:pPr>
              <w:pStyle w:val="TCTableBody"/>
              <w:rPr>
                <w:rFonts w:ascii="Times New Roman" w:hAnsi="Times New Roman"/>
                <w:sz w:val="22"/>
                <w:szCs w:val="22"/>
                <w:vertAlign w:val="superscript"/>
              </w:rPr>
            </w:pPr>
            <w:r w:rsidRPr="00B8644B">
              <w:rPr>
                <w:rFonts w:ascii="Times New Roman" w:hAnsi="Times New Roman"/>
                <w:sz w:val="22"/>
                <w:szCs w:val="22"/>
              </w:rPr>
              <w:t>7.1</w:t>
            </w:r>
          </w:p>
        </w:tc>
        <w:tc>
          <w:tcPr>
            <w:tcW w:w="0" w:type="auto"/>
            <w:tcBorders>
              <w:top w:val="single" w:sz="4" w:space="0" w:color="auto"/>
            </w:tcBorders>
          </w:tcPr>
          <w:p w14:paraId="316E82B4" w14:textId="3A566E86" w:rsidR="00E66EE6" w:rsidRPr="00B8644B" w:rsidRDefault="00E66EE6" w:rsidP="00E66EE6">
            <w:pPr>
              <w:pStyle w:val="TCTableBody"/>
              <w:rPr>
                <w:rFonts w:ascii="Times New Roman" w:hAnsi="Times New Roman"/>
                <w:sz w:val="22"/>
                <w:szCs w:val="22"/>
                <w:vertAlign w:val="superscript"/>
              </w:rPr>
            </w:pPr>
            <w:r w:rsidRPr="00B8644B">
              <w:rPr>
                <w:rFonts w:ascii="Times New Roman" w:hAnsi="Times New Roman"/>
                <w:sz w:val="22"/>
                <w:szCs w:val="22"/>
              </w:rPr>
              <w:t>6.1</w:t>
            </w:r>
          </w:p>
        </w:tc>
        <w:tc>
          <w:tcPr>
            <w:tcW w:w="0" w:type="auto"/>
            <w:tcBorders>
              <w:top w:val="single" w:sz="4" w:space="0" w:color="auto"/>
            </w:tcBorders>
          </w:tcPr>
          <w:p w14:paraId="77990FA0" w14:textId="77777777"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0.0</w:t>
            </w:r>
          </w:p>
        </w:tc>
        <w:tc>
          <w:tcPr>
            <w:tcW w:w="0" w:type="auto"/>
            <w:tcBorders>
              <w:top w:val="single" w:sz="4" w:space="0" w:color="auto"/>
            </w:tcBorders>
          </w:tcPr>
          <w:p w14:paraId="45F95DF8" w14:textId="4E2DF1A7" w:rsidR="00E66EE6" w:rsidRPr="00B8644B" w:rsidRDefault="00E66EE6" w:rsidP="00E66EE6">
            <w:pPr>
              <w:pStyle w:val="TCTableBody"/>
              <w:rPr>
                <w:rFonts w:ascii="Times New Roman" w:hAnsi="Times New Roman"/>
                <w:sz w:val="22"/>
                <w:szCs w:val="22"/>
                <w:vertAlign w:val="superscript"/>
              </w:rPr>
            </w:pPr>
            <w:r w:rsidRPr="00B8644B">
              <w:rPr>
                <w:rFonts w:ascii="Times New Roman" w:hAnsi="Times New Roman"/>
                <w:sz w:val="22"/>
                <w:szCs w:val="22"/>
              </w:rPr>
              <w:t>0.00</w:t>
            </w:r>
            <w:r w:rsidR="008273B3">
              <w:rPr>
                <w:rFonts w:ascii="Times New Roman" w:hAnsi="Times New Roman"/>
                <w:i/>
                <w:sz w:val="22"/>
                <w:szCs w:val="22"/>
                <w:vertAlign w:val="superscript"/>
              </w:rPr>
              <w:t>a</w:t>
            </w:r>
          </w:p>
        </w:tc>
        <w:tc>
          <w:tcPr>
            <w:tcW w:w="0" w:type="auto"/>
            <w:tcBorders>
              <w:top w:val="single" w:sz="4" w:space="0" w:color="auto"/>
            </w:tcBorders>
          </w:tcPr>
          <w:p w14:paraId="0A96BBDA" w14:textId="4E464ED7" w:rsidR="00E66EE6" w:rsidRPr="00B8644B" w:rsidRDefault="00E66EE6" w:rsidP="00E66EE6">
            <w:pPr>
              <w:pStyle w:val="TCTableBody"/>
              <w:rPr>
                <w:rFonts w:ascii="Times New Roman" w:hAnsi="Times New Roman"/>
                <w:sz w:val="22"/>
                <w:szCs w:val="22"/>
                <w:vertAlign w:val="superscript"/>
              </w:rPr>
            </w:pPr>
            <w:r w:rsidRPr="00B8644B">
              <w:rPr>
                <w:rFonts w:ascii="Times New Roman" w:hAnsi="Times New Roman"/>
                <w:sz w:val="22"/>
                <w:szCs w:val="22"/>
              </w:rPr>
              <w:t>0.36</w:t>
            </w:r>
            <w:r w:rsidR="008273B3">
              <w:rPr>
                <w:rFonts w:ascii="Times New Roman" w:hAnsi="Times New Roman"/>
                <w:i/>
                <w:sz w:val="22"/>
                <w:szCs w:val="22"/>
                <w:vertAlign w:val="superscript"/>
              </w:rPr>
              <w:t>b</w:t>
            </w:r>
          </w:p>
        </w:tc>
        <w:tc>
          <w:tcPr>
            <w:tcW w:w="0" w:type="auto"/>
            <w:tcBorders>
              <w:top w:val="single" w:sz="4" w:space="0" w:color="auto"/>
            </w:tcBorders>
          </w:tcPr>
          <w:p w14:paraId="53B15BFB" w14:textId="6F458A93" w:rsidR="00E66EE6" w:rsidRPr="00B8644B" w:rsidRDefault="00E66EE6" w:rsidP="00E66EE6">
            <w:pPr>
              <w:pStyle w:val="TCTableBody"/>
              <w:rPr>
                <w:rFonts w:ascii="Times New Roman" w:hAnsi="Times New Roman"/>
                <w:sz w:val="22"/>
                <w:szCs w:val="22"/>
                <w:vertAlign w:val="superscript"/>
              </w:rPr>
            </w:pPr>
            <w:r w:rsidRPr="00B8644B">
              <w:rPr>
                <w:rFonts w:ascii="Times New Roman" w:hAnsi="Times New Roman"/>
                <w:sz w:val="22"/>
                <w:szCs w:val="22"/>
              </w:rPr>
              <w:t>0.55</w:t>
            </w:r>
            <w:r w:rsidR="008273B3">
              <w:rPr>
                <w:rFonts w:ascii="Times New Roman" w:hAnsi="Times New Roman"/>
                <w:i/>
                <w:sz w:val="22"/>
                <w:szCs w:val="22"/>
                <w:vertAlign w:val="superscript"/>
              </w:rPr>
              <w:t>b</w:t>
            </w:r>
          </w:p>
        </w:tc>
        <w:tc>
          <w:tcPr>
            <w:tcW w:w="0" w:type="auto"/>
            <w:tcBorders>
              <w:top w:val="single" w:sz="4" w:space="0" w:color="auto"/>
            </w:tcBorders>
          </w:tcPr>
          <w:p w14:paraId="56229874" w14:textId="77777777"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0.00</w:t>
            </w:r>
          </w:p>
        </w:tc>
      </w:tr>
      <w:tr w:rsidR="00E66EE6" w:rsidRPr="001D31B0" w14:paraId="2B1FE844" w14:textId="77777777" w:rsidTr="00B8644B">
        <w:tc>
          <w:tcPr>
            <w:tcW w:w="0" w:type="auto"/>
          </w:tcPr>
          <w:p w14:paraId="0805F6B1" w14:textId="77777777"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1,4-dioxane</w:t>
            </w:r>
          </w:p>
        </w:tc>
        <w:tc>
          <w:tcPr>
            <w:tcW w:w="0" w:type="auto"/>
          </w:tcPr>
          <w:p w14:paraId="67D59B99" w14:textId="591BD986"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17.5</w:t>
            </w:r>
          </w:p>
        </w:tc>
        <w:tc>
          <w:tcPr>
            <w:tcW w:w="0" w:type="auto"/>
          </w:tcPr>
          <w:p w14:paraId="08BF185F" w14:textId="02C12FCB"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1.8</w:t>
            </w:r>
          </w:p>
        </w:tc>
        <w:tc>
          <w:tcPr>
            <w:tcW w:w="0" w:type="auto"/>
          </w:tcPr>
          <w:p w14:paraId="2616BB8C" w14:textId="386D4C85"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9.0</w:t>
            </w:r>
          </w:p>
        </w:tc>
        <w:tc>
          <w:tcPr>
            <w:tcW w:w="0" w:type="auto"/>
          </w:tcPr>
          <w:p w14:paraId="5125A4D4" w14:textId="77777777"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7.1</w:t>
            </w:r>
          </w:p>
        </w:tc>
        <w:tc>
          <w:tcPr>
            <w:tcW w:w="0" w:type="auto"/>
          </w:tcPr>
          <w:p w14:paraId="2C3130FC" w14:textId="33BFFEC9"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0.00</w:t>
            </w:r>
            <w:r w:rsidR="008273B3">
              <w:rPr>
                <w:rFonts w:ascii="Times New Roman" w:hAnsi="Times New Roman"/>
                <w:i/>
                <w:sz w:val="22"/>
                <w:szCs w:val="22"/>
                <w:vertAlign w:val="superscript"/>
              </w:rPr>
              <w:t>a</w:t>
            </w:r>
          </w:p>
        </w:tc>
        <w:tc>
          <w:tcPr>
            <w:tcW w:w="0" w:type="auto"/>
          </w:tcPr>
          <w:p w14:paraId="7630F076" w14:textId="3387B3C1"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0.37</w:t>
            </w:r>
            <w:r w:rsidR="008273B3">
              <w:rPr>
                <w:rFonts w:ascii="Times New Roman" w:hAnsi="Times New Roman"/>
                <w:i/>
                <w:sz w:val="22"/>
                <w:szCs w:val="22"/>
                <w:vertAlign w:val="superscript"/>
              </w:rPr>
              <w:t>c</w:t>
            </w:r>
          </w:p>
        </w:tc>
        <w:tc>
          <w:tcPr>
            <w:tcW w:w="0" w:type="auto"/>
          </w:tcPr>
          <w:p w14:paraId="4E85D28E" w14:textId="3BEE3A65"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0.55</w:t>
            </w:r>
            <w:r w:rsidR="008273B3">
              <w:rPr>
                <w:rFonts w:ascii="Times New Roman" w:hAnsi="Times New Roman"/>
                <w:i/>
                <w:sz w:val="22"/>
                <w:szCs w:val="22"/>
                <w:vertAlign w:val="superscript"/>
              </w:rPr>
              <w:t>c</w:t>
            </w:r>
          </w:p>
        </w:tc>
        <w:tc>
          <w:tcPr>
            <w:tcW w:w="0" w:type="auto"/>
          </w:tcPr>
          <w:p w14:paraId="7EEB7CCE" w14:textId="77777777"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0.01</w:t>
            </w:r>
          </w:p>
        </w:tc>
      </w:tr>
      <w:tr w:rsidR="00E66EE6" w:rsidRPr="001D31B0" w14:paraId="43F63B07" w14:textId="77777777" w:rsidTr="00B8644B">
        <w:tc>
          <w:tcPr>
            <w:tcW w:w="0" w:type="auto"/>
          </w:tcPr>
          <w:p w14:paraId="021E553E" w14:textId="77777777"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THF</w:t>
            </w:r>
          </w:p>
        </w:tc>
        <w:tc>
          <w:tcPr>
            <w:tcW w:w="0" w:type="auto"/>
          </w:tcPr>
          <w:p w14:paraId="60B8EB83" w14:textId="461BDB63"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16.8</w:t>
            </w:r>
          </w:p>
        </w:tc>
        <w:tc>
          <w:tcPr>
            <w:tcW w:w="0" w:type="auto"/>
          </w:tcPr>
          <w:p w14:paraId="312FDF14" w14:textId="07971335"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5.7</w:t>
            </w:r>
          </w:p>
        </w:tc>
        <w:tc>
          <w:tcPr>
            <w:tcW w:w="0" w:type="auto"/>
          </w:tcPr>
          <w:p w14:paraId="148DCE9F" w14:textId="05DD4C9D"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8.0</w:t>
            </w:r>
          </w:p>
        </w:tc>
        <w:tc>
          <w:tcPr>
            <w:tcW w:w="0" w:type="auto"/>
          </w:tcPr>
          <w:p w14:paraId="1F3C60C3" w14:textId="77777777"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3.3</w:t>
            </w:r>
          </w:p>
        </w:tc>
        <w:tc>
          <w:tcPr>
            <w:tcW w:w="0" w:type="auto"/>
          </w:tcPr>
          <w:p w14:paraId="6A58D8C0" w14:textId="60E74920"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0.00</w:t>
            </w:r>
            <w:r w:rsidR="008273B3">
              <w:rPr>
                <w:rFonts w:ascii="Times New Roman" w:hAnsi="Times New Roman"/>
                <w:i/>
                <w:sz w:val="22"/>
                <w:szCs w:val="22"/>
                <w:vertAlign w:val="superscript"/>
              </w:rPr>
              <w:t>a</w:t>
            </w:r>
          </w:p>
        </w:tc>
        <w:tc>
          <w:tcPr>
            <w:tcW w:w="0" w:type="auto"/>
          </w:tcPr>
          <w:p w14:paraId="6D803BA1" w14:textId="3ACAFD6A"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0.58</w:t>
            </w:r>
            <w:r w:rsidR="008273B3">
              <w:rPr>
                <w:rFonts w:ascii="Times New Roman" w:hAnsi="Times New Roman"/>
                <w:i/>
                <w:sz w:val="22"/>
                <w:szCs w:val="22"/>
                <w:vertAlign w:val="superscript"/>
              </w:rPr>
              <w:t>d</w:t>
            </w:r>
          </w:p>
        </w:tc>
        <w:tc>
          <w:tcPr>
            <w:tcW w:w="0" w:type="auto"/>
          </w:tcPr>
          <w:p w14:paraId="6B7C6F52" w14:textId="0F609BB3"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0.59</w:t>
            </w:r>
            <w:r w:rsidR="008273B3">
              <w:rPr>
                <w:rFonts w:ascii="Times New Roman" w:hAnsi="Times New Roman"/>
                <w:i/>
                <w:sz w:val="22"/>
                <w:szCs w:val="22"/>
                <w:vertAlign w:val="superscript"/>
              </w:rPr>
              <w:t>d</w:t>
            </w:r>
          </w:p>
        </w:tc>
        <w:tc>
          <w:tcPr>
            <w:tcW w:w="0" w:type="auto"/>
          </w:tcPr>
          <w:p w14:paraId="1FC782EB" w14:textId="77777777"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0.22</w:t>
            </w:r>
          </w:p>
        </w:tc>
      </w:tr>
      <w:tr w:rsidR="00E66EE6" w:rsidRPr="001D31B0" w14:paraId="34C94CA9" w14:textId="77777777" w:rsidTr="00B8644B">
        <w:tc>
          <w:tcPr>
            <w:tcW w:w="0" w:type="auto"/>
          </w:tcPr>
          <w:p w14:paraId="58434439" w14:textId="77777777"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2-MeTHF</w:t>
            </w:r>
          </w:p>
        </w:tc>
        <w:tc>
          <w:tcPr>
            <w:tcW w:w="0" w:type="auto"/>
          </w:tcPr>
          <w:p w14:paraId="279D1FE4" w14:textId="0FB14E4F"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16.9</w:t>
            </w:r>
          </w:p>
        </w:tc>
        <w:tc>
          <w:tcPr>
            <w:tcW w:w="0" w:type="auto"/>
          </w:tcPr>
          <w:p w14:paraId="51DD37DB" w14:textId="2B58111E"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5.0</w:t>
            </w:r>
          </w:p>
        </w:tc>
        <w:tc>
          <w:tcPr>
            <w:tcW w:w="0" w:type="auto"/>
          </w:tcPr>
          <w:p w14:paraId="2EB4B815" w14:textId="714C8AAF"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4.3</w:t>
            </w:r>
          </w:p>
        </w:tc>
        <w:tc>
          <w:tcPr>
            <w:tcW w:w="0" w:type="auto"/>
          </w:tcPr>
          <w:p w14:paraId="6606CA34" w14:textId="77777777"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3.8</w:t>
            </w:r>
          </w:p>
        </w:tc>
        <w:tc>
          <w:tcPr>
            <w:tcW w:w="0" w:type="auto"/>
          </w:tcPr>
          <w:p w14:paraId="2D881F28" w14:textId="2EEE6DD8"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0.00</w:t>
            </w:r>
            <w:r w:rsidR="008273B3">
              <w:rPr>
                <w:rFonts w:ascii="Times New Roman" w:hAnsi="Times New Roman"/>
                <w:i/>
                <w:sz w:val="22"/>
                <w:szCs w:val="22"/>
                <w:vertAlign w:val="superscript"/>
              </w:rPr>
              <w:t>a</w:t>
            </w:r>
          </w:p>
        </w:tc>
        <w:tc>
          <w:tcPr>
            <w:tcW w:w="0" w:type="auto"/>
          </w:tcPr>
          <w:p w14:paraId="5A201B72" w14:textId="2EEAE1DC"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0.58</w:t>
            </w:r>
            <w:r w:rsidR="008273B3">
              <w:rPr>
                <w:rFonts w:ascii="Times New Roman" w:hAnsi="Times New Roman"/>
                <w:i/>
                <w:sz w:val="22"/>
                <w:szCs w:val="22"/>
                <w:vertAlign w:val="superscript"/>
              </w:rPr>
              <w:t>e</w:t>
            </w:r>
          </w:p>
        </w:tc>
        <w:tc>
          <w:tcPr>
            <w:tcW w:w="0" w:type="auto"/>
          </w:tcPr>
          <w:p w14:paraId="1CC9BD0F" w14:textId="7265BDFE"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0.53</w:t>
            </w:r>
            <w:r w:rsidR="008273B3">
              <w:rPr>
                <w:rFonts w:ascii="Times New Roman" w:hAnsi="Times New Roman"/>
                <w:i/>
                <w:sz w:val="22"/>
                <w:szCs w:val="22"/>
                <w:vertAlign w:val="superscript"/>
              </w:rPr>
              <w:t>e</w:t>
            </w:r>
          </w:p>
        </w:tc>
        <w:tc>
          <w:tcPr>
            <w:tcW w:w="0" w:type="auto"/>
          </w:tcPr>
          <w:p w14:paraId="0266975C" w14:textId="77777777"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0.22</w:t>
            </w:r>
          </w:p>
        </w:tc>
      </w:tr>
      <w:tr w:rsidR="00E66EE6" w:rsidRPr="001D31B0" w14:paraId="7B89172E" w14:textId="77777777" w:rsidTr="00B8644B">
        <w:tc>
          <w:tcPr>
            <w:tcW w:w="0" w:type="auto"/>
          </w:tcPr>
          <w:p w14:paraId="298EB7A1" w14:textId="77777777"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CPME</w:t>
            </w:r>
          </w:p>
        </w:tc>
        <w:tc>
          <w:tcPr>
            <w:tcW w:w="0" w:type="auto"/>
          </w:tcPr>
          <w:p w14:paraId="632769DD" w14:textId="00DBC052"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16.7</w:t>
            </w:r>
          </w:p>
        </w:tc>
        <w:tc>
          <w:tcPr>
            <w:tcW w:w="0" w:type="auto"/>
          </w:tcPr>
          <w:p w14:paraId="7A151CF9" w14:textId="3F46D4B0"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4.3</w:t>
            </w:r>
          </w:p>
        </w:tc>
        <w:tc>
          <w:tcPr>
            <w:tcW w:w="0" w:type="auto"/>
          </w:tcPr>
          <w:p w14:paraId="1705668F" w14:textId="30EE8C75"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4.3</w:t>
            </w:r>
          </w:p>
        </w:tc>
        <w:tc>
          <w:tcPr>
            <w:tcW w:w="0" w:type="auto"/>
          </w:tcPr>
          <w:p w14:paraId="453C3738" w14:textId="77777777"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4.0</w:t>
            </w:r>
          </w:p>
        </w:tc>
        <w:tc>
          <w:tcPr>
            <w:tcW w:w="0" w:type="auto"/>
          </w:tcPr>
          <w:p w14:paraId="321F2CD2" w14:textId="02F6BA80"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0.00</w:t>
            </w:r>
            <w:r w:rsidR="008273B3">
              <w:rPr>
                <w:rFonts w:ascii="Times New Roman" w:hAnsi="Times New Roman"/>
                <w:i/>
                <w:sz w:val="22"/>
                <w:szCs w:val="22"/>
                <w:vertAlign w:val="superscript"/>
              </w:rPr>
              <w:t>a</w:t>
            </w:r>
          </w:p>
        </w:tc>
        <w:tc>
          <w:tcPr>
            <w:tcW w:w="0" w:type="auto"/>
          </w:tcPr>
          <w:p w14:paraId="71074715" w14:textId="457151B5"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0.53</w:t>
            </w:r>
            <w:r w:rsidR="008273B3">
              <w:rPr>
                <w:rFonts w:ascii="Times New Roman" w:hAnsi="Times New Roman"/>
                <w:i/>
                <w:sz w:val="22"/>
                <w:szCs w:val="22"/>
                <w:vertAlign w:val="superscript"/>
              </w:rPr>
              <w:t>e</w:t>
            </w:r>
          </w:p>
        </w:tc>
        <w:tc>
          <w:tcPr>
            <w:tcW w:w="0" w:type="auto"/>
          </w:tcPr>
          <w:p w14:paraId="3F3EE5D1" w14:textId="4DFE56D9"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0.42</w:t>
            </w:r>
            <w:r w:rsidR="008273B3">
              <w:rPr>
                <w:rFonts w:ascii="Times New Roman" w:hAnsi="Times New Roman"/>
                <w:i/>
                <w:sz w:val="22"/>
                <w:szCs w:val="22"/>
                <w:vertAlign w:val="superscript"/>
              </w:rPr>
              <w:t>e</w:t>
            </w:r>
          </w:p>
        </w:tc>
        <w:tc>
          <w:tcPr>
            <w:tcW w:w="0" w:type="auto"/>
          </w:tcPr>
          <w:p w14:paraId="6B03600F" w14:textId="77777777"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0.21</w:t>
            </w:r>
          </w:p>
        </w:tc>
      </w:tr>
      <w:tr w:rsidR="00E66EE6" w:rsidRPr="001D31B0" w14:paraId="61149A5A" w14:textId="77777777" w:rsidTr="00B8644B">
        <w:tc>
          <w:tcPr>
            <w:tcW w:w="0" w:type="auto"/>
          </w:tcPr>
          <w:p w14:paraId="554B4A1A" w14:textId="77777777"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Diphenyl ether</w:t>
            </w:r>
          </w:p>
        </w:tc>
        <w:tc>
          <w:tcPr>
            <w:tcW w:w="0" w:type="auto"/>
          </w:tcPr>
          <w:p w14:paraId="4466B42B" w14:textId="4F454AEE"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19.4</w:t>
            </w:r>
          </w:p>
        </w:tc>
        <w:tc>
          <w:tcPr>
            <w:tcW w:w="0" w:type="auto"/>
          </w:tcPr>
          <w:p w14:paraId="331A9E9A" w14:textId="6CDBF12C"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3.4</w:t>
            </w:r>
          </w:p>
        </w:tc>
        <w:tc>
          <w:tcPr>
            <w:tcW w:w="0" w:type="auto"/>
          </w:tcPr>
          <w:p w14:paraId="1F4350A4" w14:textId="028A6B10"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4.0</w:t>
            </w:r>
          </w:p>
        </w:tc>
        <w:tc>
          <w:tcPr>
            <w:tcW w:w="0" w:type="auto"/>
          </w:tcPr>
          <w:p w14:paraId="74795D1F" w14:textId="77777777"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8.7</w:t>
            </w:r>
          </w:p>
        </w:tc>
        <w:tc>
          <w:tcPr>
            <w:tcW w:w="0" w:type="auto"/>
          </w:tcPr>
          <w:p w14:paraId="6EF65B48" w14:textId="108ADA29"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0.00</w:t>
            </w:r>
            <w:r w:rsidR="008273B3">
              <w:rPr>
                <w:rFonts w:ascii="Times New Roman" w:hAnsi="Times New Roman"/>
                <w:i/>
                <w:sz w:val="22"/>
                <w:szCs w:val="22"/>
                <w:vertAlign w:val="superscript"/>
              </w:rPr>
              <w:t>a</w:t>
            </w:r>
          </w:p>
        </w:tc>
        <w:tc>
          <w:tcPr>
            <w:tcW w:w="0" w:type="auto"/>
          </w:tcPr>
          <w:p w14:paraId="7C18BE15" w14:textId="011E65F0"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0.13</w:t>
            </w:r>
            <w:r w:rsidR="008273B3">
              <w:rPr>
                <w:rFonts w:ascii="Times New Roman" w:hAnsi="Times New Roman"/>
                <w:i/>
                <w:sz w:val="22"/>
                <w:szCs w:val="22"/>
                <w:vertAlign w:val="superscript"/>
              </w:rPr>
              <w:t>c</w:t>
            </w:r>
          </w:p>
        </w:tc>
        <w:tc>
          <w:tcPr>
            <w:tcW w:w="0" w:type="auto"/>
          </w:tcPr>
          <w:p w14:paraId="5C411F3E" w14:textId="15CBA0BF"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0.66</w:t>
            </w:r>
            <w:r w:rsidR="008273B3">
              <w:rPr>
                <w:rFonts w:ascii="Times New Roman" w:hAnsi="Times New Roman"/>
                <w:i/>
                <w:sz w:val="22"/>
                <w:szCs w:val="22"/>
                <w:vertAlign w:val="superscript"/>
              </w:rPr>
              <w:t>c</w:t>
            </w:r>
          </w:p>
        </w:tc>
        <w:tc>
          <w:tcPr>
            <w:tcW w:w="0" w:type="auto"/>
          </w:tcPr>
          <w:p w14:paraId="495871DA" w14:textId="77777777"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0.25</w:t>
            </w:r>
          </w:p>
        </w:tc>
      </w:tr>
      <w:tr w:rsidR="00E66EE6" w:rsidRPr="001D31B0" w14:paraId="584D5335" w14:textId="77777777" w:rsidTr="00B8644B">
        <w:tc>
          <w:tcPr>
            <w:tcW w:w="0" w:type="auto"/>
            <w:tcBorders>
              <w:bottom w:val="single" w:sz="4" w:space="0" w:color="auto"/>
            </w:tcBorders>
          </w:tcPr>
          <w:p w14:paraId="6E724695" w14:textId="77777777"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Diethyl ether</w:t>
            </w:r>
          </w:p>
        </w:tc>
        <w:tc>
          <w:tcPr>
            <w:tcW w:w="0" w:type="auto"/>
            <w:tcBorders>
              <w:bottom w:val="single" w:sz="4" w:space="0" w:color="auto"/>
            </w:tcBorders>
          </w:tcPr>
          <w:p w14:paraId="310AC4CE" w14:textId="4D37D8A4"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14.5</w:t>
            </w:r>
          </w:p>
        </w:tc>
        <w:tc>
          <w:tcPr>
            <w:tcW w:w="0" w:type="auto"/>
            <w:tcBorders>
              <w:bottom w:val="single" w:sz="4" w:space="0" w:color="auto"/>
            </w:tcBorders>
          </w:tcPr>
          <w:p w14:paraId="052CE449" w14:textId="0717A3DC"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2.9</w:t>
            </w:r>
          </w:p>
        </w:tc>
        <w:tc>
          <w:tcPr>
            <w:tcW w:w="0" w:type="auto"/>
            <w:tcBorders>
              <w:bottom w:val="single" w:sz="4" w:space="0" w:color="auto"/>
            </w:tcBorders>
          </w:tcPr>
          <w:p w14:paraId="263E8902" w14:textId="650F284F"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4.6</w:t>
            </w:r>
          </w:p>
        </w:tc>
        <w:tc>
          <w:tcPr>
            <w:tcW w:w="0" w:type="auto"/>
            <w:tcBorders>
              <w:bottom w:val="single" w:sz="4" w:space="0" w:color="auto"/>
            </w:tcBorders>
          </w:tcPr>
          <w:p w14:paraId="481AC5F4" w14:textId="77777777"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5.0</w:t>
            </w:r>
          </w:p>
        </w:tc>
        <w:tc>
          <w:tcPr>
            <w:tcW w:w="0" w:type="auto"/>
            <w:tcBorders>
              <w:bottom w:val="single" w:sz="4" w:space="0" w:color="auto"/>
            </w:tcBorders>
          </w:tcPr>
          <w:p w14:paraId="4628EC45" w14:textId="00C9EBAB"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0.00</w:t>
            </w:r>
            <w:r w:rsidR="008273B3">
              <w:rPr>
                <w:rFonts w:ascii="Times New Roman" w:hAnsi="Times New Roman"/>
                <w:i/>
                <w:sz w:val="22"/>
                <w:szCs w:val="22"/>
                <w:vertAlign w:val="superscript"/>
              </w:rPr>
              <w:t>a</w:t>
            </w:r>
          </w:p>
        </w:tc>
        <w:tc>
          <w:tcPr>
            <w:tcW w:w="0" w:type="auto"/>
            <w:tcBorders>
              <w:bottom w:val="single" w:sz="4" w:space="0" w:color="auto"/>
            </w:tcBorders>
          </w:tcPr>
          <w:p w14:paraId="2AFCE99C" w14:textId="35A67CBD"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0.47</w:t>
            </w:r>
            <w:r w:rsidR="008273B3">
              <w:rPr>
                <w:rFonts w:ascii="Times New Roman" w:hAnsi="Times New Roman"/>
                <w:i/>
                <w:sz w:val="22"/>
                <w:szCs w:val="22"/>
                <w:vertAlign w:val="superscript"/>
              </w:rPr>
              <w:t>c</w:t>
            </w:r>
          </w:p>
        </w:tc>
        <w:tc>
          <w:tcPr>
            <w:tcW w:w="0" w:type="auto"/>
            <w:tcBorders>
              <w:bottom w:val="single" w:sz="4" w:space="0" w:color="auto"/>
            </w:tcBorders>
          </w:tcPr>
          <w:p w14:paraId="439AD7A5" w14:textId="743C3F7E"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0.27</w:t>
            </w:r>
            <w:r w:rsidR="008273B3">
              <w:rPr>
                <w:rFonts w:ascii="Times New Roman" w:hAnsi="Times New Roman"/>
                <w:i/>
                <w:sz w:val="22"/>
                <w:szCs w:val="22"/>
                <w:vertAlign w:val="superscript"/>
              </w:rPr>
              <w:t>c</w:t>
            </w:r>
          </w:p>
        </w:tc>
        <w:tc>
          <w:tcPr>
            <w:tcW w:w="0" w:type="auto"/>
            <w:tcBorders>
              <w:bottom w:val="single" w:sz="4" w:space="0" w:color="auto"/>
            </w:tcBorders>
          </w:tcPr>
          <w:p w14:paraId="264FA3D8" w14:textId="77777777" w:rsidR="00E66EE6" w:rsidRPr="00B8644B" w:rsidRDefault="00E66EE6" w:rsidP="00E66EE6">
            <w:pPr>
              <w:pStyle w:val="TCTableBody"/>
              <w:rPr>
                <w:rFonts w:ascii="Times New Roman" w:hAnsi="Times New Roman"/>
                <w:sz w:val="22"/>
                <w:szCs w:val="22"/>
              </w:rPr>
            </w:pPr>
            <w:r w:rsidRPr="00B8644B">
              <w:rPr>
                <w:rFonts w:ascii="Times New Roman" w:hAnsi="Times New Roman"/>
                <w:sz w:val="22"/>
                <w:szCs w:val="22"/>
              </w:rPr>
              <w:t>0.44</w:t>
            </w:r>
          </w:p>
        </w:tc>
      </w:tr>
    </w:tbl>
    <w:p w14:paraId="05F85C9B" w14:textId="77777777" w:rsidR="00E66EE6" w:rsidRPr="00B8644B" w:rsidRDefault="00E66EE6" w:rsidP="00B8644B"/>
    <w:p w14:paraId="515A45AC" w14:textId="77777777" w:rsidR="00E66EE6" w:rsidRDefault="00E66EE6" w:rsidP="00654F76">
      <w:pPr>
        <w:pStyle w:val="TAMainText"/>
        <w:rPr>
          <w:rFonts w:ascii="Times New Roman" w:hAnsi="Times New Roman"/>
        </w:rPr>
      </w:pPr>
    </w:p>
    <w:p w14:paraId="1C642826" w14:textId="77777777" w:rsidR="00E66EE6" w:rsidRDefault="00E66EE6" w:rsidP="00654F76">
      <w:pPr>
        <w:pStyle w:val="TAMainText"/>
        <w:rPr>
          <w:rFonts w:ascii="Times New Roman" w:hAnsi="Times New Roman"/>
        </w:rPr>
      </w:pPr>
    </w:p>
    <w:p w14:paraId="3A18FB83" w14:textId="77777777" w:rsidR="00E66EE6" w:rsidRDefault="00E66EE6" w:rsidP="00654F76">
      <w:pPr>
        <w:pStyle w:val="TAMainText"/>
        <w:rPr>
          <w:rFonts w:ascii="Times New Roman" w:hAnsi="Times New Roman"/>
        </w:rPr>
      </w:pPr>
    </w:p>
    <w:p w14:paraId="2A9AFB80" w14:textId="77777777" w:rsidR="00E66EE6" w:rsidRDefault="00E66EE6" w:rsidP="00654F76">
      <w:pPr>
        <w:pStyle w:val="TAMainText"/>
        <w:rPr>
          <w:rFonts w:ascii="Times New Roman" w:hAnsi="Times New Roman"/>
        </w:rPr>
      </w:pPr>
    </w:p>
    <w:p w14:paraId="1AEC5AA2" w14:textId="77777777" w:rsidR="00E66EE6" w:rsidRDefault="00E66EE6" w:rsidP="00654F76">
      <w:pPr>
        <w:pStyle w:val="TAMainText"/>
        <w:rPr>
          <w:rFonts w:ascii="Times New Roman" w:hAnsi="Times New Roman"/>
        </w:rPr>
      </w:pPr>
    </w:p>
    <w:p w14:paraId="4117FC6A" w14:textId="45A8EA19" w:rsidR="00E66EE6" w:rsidRDefault="00E66EE6" w:rsidP="00B8644B">
      <w:pPr>
        <w:pStyle w:val="TAMainText"/>
        <w:ind w:firstLine="0"/>
        <w:rPr>
          <w:rFonts w:ascii="Times New Roman" w:hAnsi="Times New Roman"/>
        </w:rPr>
      </w:pPr>
    </w:p>
    <w:p w14:paraId="5E9757AB" w14:textId="4220B60C" w:rsidR="00D50AF8" w:rsidRPr="00ED72E7" w:rsidRDefault="00D50AF8" w:rsidP="00B8644B">
      <w:pPr>
        <w:pStyle w:val="TAMainText"/>
        <w:spacing w:before="360"/>
        <w:ind w:firstLine="204"/>
        <w:rPr>
          <w:rFonts w:ascii="Times New Roman" w:hAnsi="Times New Roman"/>
          <w:i/>
          <w:lang w:eastAsia="zh-CN"/>
        </w:rPr>
      </w:pPr>
      <w:r w:rsidRPr="00ED72E7">
        <w:rPr>
          <w:rFonts w:ascii="Times New Roman" w:hAnsi="Times New Roman"/>
          <w:i/>
          <w:sz w:val="22"/>
        </w:rPr>
        <w:t>D-OME = distance from OME</w:t>
      </w:r>
      <w:r w:rsidRPr="00ED72E7">
        <w:rPr>
          <w:rFonts w:ascii="Times New Roman" w:hAnsi="Times New Roman"/>
          <w:i/>
          <w:sz w:val="22"/>
          <w:vertAlign w:val="subscript"/>
        </w:rPr>
        <w:t>3-5</w:t>
      </w:r>
      <w:r w:rsidRPr="00ED72E7">
        <w:rPr>
          <w:rFonts w:ascii="Times New Roman" w:hAnsi="Times New Roman"/>
          <w:i/>
          <w:sz w:val="22"/>
        </w:rPr>
        <w:t xml:space="preserve"> in the Hansen space, </w:t>
      </w:r>
      <w:r w:rsidRPr="00ED72E7">
        <w:rPr>
          <w:rFonts w:ascii="Times New Roman" w:hAnsi="Times New Roman"/>
          <w:i/>
          <w:sz w:val="22"/>
        </w:rPr>
        <w:sym w:font="Symbol" w:char="F044"/>
      </w:r>
      <w:r w:rsidRPr="00ED72E7">
        <w:rPr>
          <w:rFonts w:ascii="Times New Roman" w:hAnsi="Times New Roman"/>
          <w:i/>
          <w:sz w:val="22"/>
        </w:rPr>
        <w:t>-OME = distance from OME</w:t>
      </w:r>
      <w:r w:rsidR="006309B6" w:rsidRPr="00ED72E7">
        <w:rPr>
          <w:rFonts w:ascii="Times New Roman" w:hAnsi="Times New Roman"/>
          <w:i/>
          <w:sz w:val="22"/>
          <w:vertAlign w:val="subscript"/>
        </w:rPr>
        <w:t>3-5</w:t>
      </w:r>
      <w:r w:rsidRPr="00ED72E7">
        <w:rPr>
          <w:rFonts w:ascii="Times New Roman" w:hAnsi="Times New Roman"/>
          <w:i/>
          <w:sz w:val="22"/>
        </w:rPr>
        <w:t xml:space="preserve"> in the KAT space. </w:t>
      </w:r>
      <w:r w:rsidR="00F06E3D" w:rsidRPr="00ED72E7">
        <w:rPr>
          <w:rFonts w:ascii="Times New Roman" w:hAnsi="Times New Roman"/>
          <w:i/>
          <w:sz w:val="22"/>
        </w:rPr>
        <w:t xml:space="preserve">HSP values were drawn from HSPiP database or predicted by HSPiP. </w:t>
      </w:r>
      <w:r w:rsidRPr="00ED72E7">
        <w:rPr>
          <w:rFonts w:ascii="Times New Roman" w:hAnsi="Times New Roman"/>
          <w:i/>
          <w:sz w:val="22"/>
          <w:vertAlign w:val="superscript"/>
        </w:rPr>
        <w:t>a</w:t>
      </w:r>
      <w:r w:rsidR="008273B3" w:rsidRPr="00ED72E7">
        <w:rPr>
          <w:rFonts w:ascii="Times New Roman" w:hAnsi="Times New Roman"/>
          <w:i/>
          <w:sz w:val="22"/>
        </w:rPr>
        <w:t>Assumed value</w:t>
      </w:r>
      <w:r w:rsidRPr="00ED72E7">
        <w:rPr>
          <w:rFonts w:ascii="Times New Roman" w:hAnsi="Times New Roman"/>
          <w:i/>
          <w:sz w:val="22"/>
        </w:rPr>
        <w:t xml:space="preserve">. </w:t>
      </w:r>
      <w:r w:rsidRPr="00ED72E7">
        <w:rPr>
          <w:rFonts w:ascii="Times New Roman" w:hAnsi="Times New Roman"/>
          <w:i/>
          <w:sz w:val="22"/>
          <w:vertAlign w:val="superscript"/>
        </w:rPr>
        <w:t xml:space="preserve">b </w:t>
      </w:r>
      <w:r w:rsidR="008273B3" w:rsidRPr="00ED72E7">
        <w:rPr>
          <w:rFonts w:ascii="Times New Roman" w:hAnsi="Times New Roman"/>
          <w:i/>
          <w:sz w:val="22"/>
        </w:rPr>
        <w:t>This work</w:t>
      </w:r>
      <w:r w:rsidRPr="00ED72E7">
        <w:rPr>
          <w:rFonts w:ascii="Times New Roman" w:hAnsi="Times New Roman"/>
          <w:i/>
          <w:sz w:val="22"/>
        </w:rPr>
        <w:t xml:space="preserve">. </w:t>
      </w:r>
      <w:r w:rsidRPr="00ED72E7">
        <w:rPr>
          <w:rFonts w:ascii="Times New Roman" w:hAnsi="Times New Roman"/>
          <w:i/>
          <w:sz w:val="22"/>
          <w:vertAlign w:val="superscript"/>
        </w:rPr>
        <w:t>c</w:t>
      </w:r>
      <w:r w:rsidR="008273B3" w:rsidRPr="00ED72E7">
        <w:rPr>
          <w:rFonts w:ascii="Times New Roman" w:hAnsi="Times New Roman"/>
          <w:i/>
          <w:sz w:val="22"/>
          <w:vertAlign w:val="superscript"/>
        </w:rPr>
        <w:t xml:space="preserve"> </w:t>
      </w:r>
      <w:r w:rsidRPr="00ED72E7">
        <w:rPr>
          <w:rFonts w:ascii="Times New Roman" w:hAnsi="Times New Roman"/>
          <w:i/>
          <w:sz w:val="22"/>
        </w:rPr>
        <w:t>Kamlet et al.</w:t>
      </w:r>
      <w:r w:rsidRPr="00ED72E7">
        <w:rPr>
          <w:rFonts w:ascii="Times New Roman" w:hAnsi="Times New Roman"/>
          <w:i/>
          <w:sz w:val="22"/>
        </w:rPr>
        <w:fldChar w:fldCharType="begin"/>
      </w:r>
      <w:r w:rsidR="000A0BA0">
        <w:rPr>
          <w:rFonts w:ascii="Times New Roman" w:hAnsi="Times New Roman"/>
          <w:i/>
          <w:sz w:val="22"/>
        </w:rPr>
        <w:instrText xml:space="preserve"> ADDIN ZOTERO_ITEM CSL_CITATION {"citationID":"zPkgF0Kk","properties":{"formattedCitation":"\\super 21\\nosupersub{}","plainCitation":"21","noteIndex":0},"citationItems":[{"id":28,"uris":["http://zotero.org/users/4674022/items/6UU3V7BN"],"uri":["http://zotero.org/users/4674022/items/6UU3V7BN"],"itemData":{"id":28,"type":"article-journal","title":"Linear solvation energy relationships. 23. A comprehensive collection of the solvatochromic parameters, .pi.*, .alpha., and .beta., and some methods for simplifying the generalized solvatochromic equation","container-title":"The Journal of Organic Chemistry","page":"2877-2887","volume":"48","issue":"17","source":"ACS Publications","DOI":"10.1021/jo00165a018","ISSN":"0022-3263","journalAbbreviation":"J. Org. Chem.","author":[{"family":"Kamlet","given":"Mortimer J."},{"family":"Abboud","given":"Jose Luis M."},{"family":"Abraham","given":"Michael H."},{"family":"Taft","given":"R. W."}],"issued":{"date-parts":[["1983",8,1]]}}}],"schema":"https://github.com/citation-style-language/schema/raw/master/csl-citation.json"} </w:instrText>
      </w:r>
      <w:r w:rsidRPr="00ED72E7">
        <w:rPr>
          <w:rFonts w:ascii="Times New Roman" w:hAnsi="Times New Roman"/>
          <w:i/>
          <w:sz w:val="22"/>
        </w:rPr>
        <w:fldChar w:fldCharType="separate"/>
      </w:r>
      <w:r w:rsidR="000A0BA0" w:rsidRPr="000A0BA0">
        <w:rPr>
          <w:rFonts w:ascii="Times New Roman" w:hAnsi="Times New Roman"/>
          <w:sz w:val="22"/>
          <w:vertAlign w:val="superscript"/>
        </w:rPr>
        <w:t>21</w:t>
      </w:r>
      <w:r w:rsidRPr="00ED72E7">
        <w:rPr>
          <w:rFonts w:ascii="Times New Roman" w:hAnsi="Times New Roman"/>
          <w:i/>
          <w:sz w:val="22"/>
        </w:rPr>
        <w:fldChar w:fldCharType="end"/>
      </w:r>
      <w:r w:rsidRPr="00ED72E7">
        <w:rPr>
          <w:rFonts w:ascii="Times New Roman" w:hAnsi="Times New Roman"/>
          <w:i/>
          <w:sz w:val="22"/>
        </w:rPr>
        <w:t xml:space="preserve"> </w:t>
      </w:r>
      <w:r w:rsidR="008273B3" w:rsidRPr="00ED72E7">
        <w:rPr>
          <w:rFonts w:ascii="Times New Roman" w:hAnsi="Times New Roman"/>
          <w:i/>
          <w:sz w:val="22"/>
          <w:vertAlign w:val="superscript"/>
        </w:rPr>
        <w:t>d</w:t>
      </w:r>
      <w:r w:rsidRPr="00ED72E7">
        <w:rPr>
          <w:rFonts w:ascii="Times New Roman" w:hAnsi="Times New Roman"/>
          <w:i/>
          <w:sz w:val="22"/>
          <w:vertAlign w:val="superscript"/>
        </w:rPr>
        <w:t xml:space="preserve"> </w:t>
      </w:r>
      <w:r w:rsidRPr="00ED72E7">
        <w:rPr>
          <w:rFonts w:ascii="Times New Roman" w:hAnsi="Times New Roman"/>
          <w:i/>
          <w:sz w:val="22"/>
        </w:rPr>
        <w:t>Byrne et al.</w:t>
      </w:r>
      <w:r w:rsidRPr="00ED72E7">
        <w:rPr>
          <w:rFonts w:ascii="Times New Roman" w:hAnsi="Times New Roman"/>
          <w:i/>
          <w:sz w:val="22"/>
        </w:rPr>
        <w:fldChar w:fldCharType="begin"/>
      </w:r>
      <w:r w:rsidR="000A0BA0">
        <w:rPr>
          <w:rFonts w:ascii="Times New Roman" w:hAnsi="Times New Roman"/>
          <w:i/>
          <w:sz w:val="22"/>
        </w:rPr>
        <w:instrText xml:space="preserve"> ADDIN ZOTERO_ITEM CSL_CITATION {"citationID":"Bm0tTQLL","properties":{"formattedCitation":"\\super 22\\nosupersub{}","plainCitation":"22","noteIndex":0},"citationItems":[{"id":262,"uris":["http://zotero.org/users/4674022/items/B9YTS723"],"uri":["http://zotero.org/users/4674022/items/B9YTS723"],"itemData":{"id":262,"type":"article-journal","title":"2,2,5,5-Tetramethyltetrahydrofuran (TMTHF): a non-polar, non-peroxide forming ether replacement for hazardous hydrocarbon solvents","container-title":"Green Chemistry","page":"3671-3678","volume":"19","issue":"15","source":"pubs.rsc.org","abstract":"An inherently non-peroxide forming ether solvent, 2,2,5,5-tetramethyltetrahydrofuran (2,2,5,5-tetramethyloxolane), has been synthesized from readily available and potentially renewable feedstocks, and its solvation properties have been tested. Unlike traditional ethers, its absence of a proton at the alpha-position to the oxygen of the ether eliminates the potential to form hazardous peroxides. Additionally, this unusual structure leads to lower basicity compared with many traditional ethers, due to the concealment of the ethereal oxygen by four bulky methyl groups at the alpha-position. As such, this molecule exhibits similar solvent properties to common hydrocarbon solvents, particularly toluene. Its solvent properties have been proved by testing its performance in Fischer esterification, amidation and Grignard reactions. TMTHF's differences from traditional ethers is further demonstrated by its ability to produce high molecular weight radical-initiated polymers for use as pressure-sensitive adhesives.","DOI":"10.1039/C7GC01392B","ISSN":"1463-9270","title-short":"2,2,5,5-Tetramethyltetrahydrofuran (TMTHF)","journalAbbreviation":"Green Chem.","language":"en","author":[{"family":"Byrne","given":"Fergal"},{"family":"Forier","given":"Bart"},{"family":"Bossaert","given":"Greet"},{"family":"Hoebers","given":"Charly"},{"family":"Farmer","given":"Thomas J."},{"family":"Clark","given":"James H."},{"family":"Hunt","given":"Andrew J."}],"issued":{"date-parts":[["2017",7,31]]}}}],"schema":"https://github.com/citation-style-language/schema/raw/master/csl-citation.json"} </w:instrText>
      </w:r>
      <w:r w:rsidRPr="00ED72E7">
        <w:rPr>
          <w:rFonts w:ascii="Times New Roman" w:hAnsi="Times New Roman"/>
          <w:i/>
          <w:sz w:val="22"/>
        </w:rPr>
        <w:fldChar w:fldCharType="separate"/>
      </w:r>
      <w:r w:rsidR="000A0BA0" w:rsidRPr="000A0BA0">
        <w:rPr>
          <w:rFonts w:ascii="Times New Roman" w:hAnsi="Times New Roman"/>
          <w:sz w:val="22"/>
          <w:vertAlign w:val="superscript"/>
        </w:rPr>
        <w:t>22</w:t>
      </w:r>
      <w:r w:rsidRPr="00ED72E7">
        <w:rPr>
          <w:rFonts w:ascii="Times New Roman" w:hAnsi="Times New Roman"/>
          <w:i/>
          <w:sz w:val="22"/>
        </w:rPr>
        <w:fldChar w:fldCharType="end"/>
      </w:r>
      <w:r w:rsidRPr="00ED72E7">
        <w:rPr>
          <w:rFonts w:ascii="Times New Roman" w:hAnsi="Times New Roman"/>
          <w:i/>
          <w:sz w:val="22"/>
        </w:rPr>
        <w:t xml:space="preserve"> </w:t>
      </w:r>
      <w:r w:rsidR="008273B3" w:rsidRPr="00ED72E7">
        <w:rPr>
          <w:rFonts w:ascii="Times New Roman" w:hAnsi="Times New Roman"/>
          <w:i/>
          <w:sz w:val="22"/>
          <w:vertAlign w:val="superscript"/>
        </w:rPr>
        <w:t>e</w:t>
      </w:r>
      <w:r w:rsidRPr="00ED72E7">
        <w:rPr>
          <w:rFonts w:ascii="Times New Roman" w:hAnsi="Times New Roman"/>
          <w:i/>
          <w:sz w:val="22"/>
          <w:vertAlign w:val="superscript"/>
        </w:rPr>
        <w:t xml:space="preserve"> </w:t>
      </w:r>
      <w:r w:rsidRPr="00ED72E7">
        <w:rPr>
          <w:rFonts w:ascii="Times New Roman" w:hAnsi="Times New Roman"/>
          <w:i/>
          <w:sz w:val="22"/>
        </w:rPr>
        <w:t>Jessop et al.</w:t>
      </w:r>
      <w:r w:rsidRPr="00ED72E7">
        <w:rPr>
          <w:rFonts w:ascii="Times New Roman" w:hAnsi="Times New Roman"/>
          <w:i/>
          <w:sz w:val="22"/>
          <w:vertAlign w:val="superscript"/>
        </w:rPr>
        <w:fldChar w:fldCharType="begin"/>
      </w:r>
      <w:r w:rsidR="008C7FBE">
        <w:rPr>
          <w:rFonts w:ascii="Times New Roman" w:hAnsi="Times New Roman"/>
          <w:i/>
          <w:sz w:val="22"/>
          <w:vertAlign w:val="superscript"/>
        </w:rPr>
        <w:instrText xml:space="preserve"> ADDIN ZOTERO_ITEM CSL_CITATION {"citationID":"3hfjSPyE","properties":{"formattedCitation":"\\super 24\\nosupersub{}","plainCitation":"24","noteIndex":0},"citationItems":[{"id":19,"uris":["http://zotero.org/users/4674022/items/8VFXX35A"],"uri":["http://zotero.org/users/4674022/items/8VFXX35A"],"itemData":{"id":19,"type":"article-journal","title":"Solvatochromic parameters for solvents of interest in green chemistry","container-title":"Green Chemistry","page":"1245-1259","volume":"14","issue":"5","source":"pubs.rsc.org","abstract":"Solvatochromic data have been collected from the literature or newly measured for 83 molecular solvents, 18 switchable solvents, and 187 ionic liquids that have been cited in the green chemistry literature. The data include the normalized Reichardt's parameter (ENT), the Nile red λmax, and the Kamlet–Taft parameters (α, β, and π*). Disagreements within the literature about the properties of glycerol and poly(ethylene glycol) have been resolved with new data. The switching of a switchable-polarity solvent (also known as a reversible ionic liquid) by CO2 causes a significant increase in polarity/polarizability (π*) but no change in the basicity (β). A switchable-hydrophilicity solvent undergoes an even greater change in polarity because it merges with an aqueous phase upon exposure to CO2. Trends observed from the data of ionic liquids are presented, along with concerns about the best method for determining the Kamlet–Taft parameters.","DOI":"10.1039/C2GC16670D","ISSN":"1463-9270","journalAbbreviation":"Green Chem.","language":"en","author":[{"family":"Jessop","given":"Philip G."},{"family":"Jessop","given":"David A."},{"family":"Fu","given":"Dongbao"},{"family":"Phan","given":"Lam"}],"issued":{"date-parts":[["2012",5,1]]}}}],"schema":"https://github.com/citation-style-language/schema/raw/master/csl-citation.json"} </w:instrText>
      </w:r>
      <w:r w:rsidRPr="00ED72E7">
        <w:rPr>
          <w:rFonts w:ascii="Times New Roman" w:hAnsi="Times New Roman"/>
          <w:i/>
          <w:sz w:val="22"/>
          <w:vertAlign w:val="superscript"/>
        </w:rPr>
        <w:fldChar w:fldCharType="separate"/>
      </w:r>
      <w:r w:rsidR="008C7FBE" w:rsidRPr="008C7FBE">
        <w:rPr>
          <w:rFonts w:ascii="Times New Roman" w:hAnsi="Times New Roman"/>
          <w:sz w:val="22"/>
          <w:vertAlign w:val="superscript"/>
          <w:lang w:eastAsia="zh-CN"/>
        </w:rPr>
        <w:t>24</w:t>
      </w:r>
      <w:r w:rsidRPr="00ED72E7">
        <w:rPr>
          <w:rFonts w:ascii="Times New Roman" w:hAnsi="Times New Roman"/>
          <w:i/>
          <w:sz w:val="22"/>
          <w:vertAlign w:val="superscript"/>
        </w:rPr>
        <w:fldChar w:fldCharType="end"/>
      </w:r>
    </w:p>
    <w:p w14:paraId="1D06EF07" w14:textId="77777777" w:rsidR="00D869F0" w:rsidRDefault="00D869F0" w:rsidP="00D869F0">
      <w:pPr>
        <w:pStyle w:val="TAMainText"/>
        <w:ind w:firstLine="0"/>
        <w:outlineLvl w:val="0"/>
        <w:rPr>
          <w:rFonts w:ascii="Times New Roman" w:hAnsi="Times New Roman"/>
          <w:b/>
          <w:lang w:eastAsia="zh-CN"/>
        </w:rPr>
      </w:pPr>
    </w:p>
    <w:p w14:paraId="48B49014" w14:textId="7DD333F2" w:rsidR="00D869F0" w:rsidRDefault="00D869F0" w:rsidP="00D869F0">
      <w:pPr>
        <w:pStyle w:val="TAMainText"/>
        <w:ind w:firstLine="0"/>
        <w:outlineLvl w:val="0"/>
        <w:rPr>
          <w:rFonts w:ascii="Times New Roman" w:hAnsi="Times New Roman"/>
          <w:b/>
          <w:lang w:eastAsia="zh-CN"/>
        </w:rPr>
      </w:pPr>
      <w:r w:rsidRPr="00D869F0">
        <w:rPr>
          <w:rFonts w:ascii="Times New Roman" w:hAnsi="Times New Roman"/>
          <w:b/>
          <w:lang w:eastAsia="zh-CN"/>
        </w:rPr>
        <w:t xml:space="preserve">SAFETY </w:t>
      </w:r>
      <w:r>
        <w:rPr>
          <w:rFonts w:ascii="Times New Roman" w:hAnsi="Times New Roman"/>
          <w:b/>
          <w:lang w:eastAsia="zh-CN"/>
        </w:rPr>
        <w:t>AND STABILITY</w:t>
      </w:r>
    </w:p>
    <w:p w14:paraId="289E1BE4" w14:textId="7BF4C23F" w:rsidR="002553B6" w:rsidRPr="00D869F0" w:rsidRDefault="002553B6" w:rsidP="00D869F0">
      <w:pPr>
        <w:pStyle w:val="TAMainText"/>
        <w:ind w:firstLine="0"/>
        <w:outlineLvl w:val="0"/>
        <w:rPr>
          <w:rFonts w:ascii="Times New Roman" w:hAnsi="Times New Roman"/>
          <w:b/>
        </w:rPr>
      </w:pPr>
      <w:r>
        <w:rPr>
          <w:rFonts w:ascii="Times New Roman" w:hAnsi="Times New Roman"/>
          <w:lang w:eastAsia="zh-CN"/>
        </w:rPr>
        <w:lastRenderedPageBreak/>
        <w:t xml:space="preserve">In developing new green solvents, safety testing is critical. In the case of OMEs, a number of tests have </w:t>
      </w:r>
      <w:r w:rsidR="001D31B0">
        <w:rPr>
          <w:rFonts w:ascii="Times New Roman" w:hAnsi="Times New Roman"/>
          <w:lang w:eastAsia="zh-CN"/>
        </w:rPr>
        <w:t xml:space="preserve">been performed previously for </w:t>
      </w:r>
      <w:r>
        <w:rPr>
          <w:rFonts w:ascii="Times New Roman" w:hAnsi="Times New Roman"/>
          <w:lang w:eastAsia="zh-CN"/>
        </w:rPr>
        <w:t>an OME</w:t>
      </w:r>
      <w:r w:rsidRPr="002553B6">
        <w:rPr>
          <w:rFonts w:ascii="Times New Roman" w:hAnsi="Times New Roman"/>
          <w:vertAlign w:val="subscript"/>
          <w:lang w:eastAsia="zh-CN"/>
        </w:rPr>
        <w:t xml:space="preserve">2-8 </w:t>
      </w:r>
      <w:r>
        <w:rPr>
          <w:rFonts w:ascii="Times New Roman" w:hAnsi="Times New Roman"/>
          <w:lang w:eastAsia="zh-CN"/>
        </w:rPr>
        <w:t>mixture</w:t>
      </w:r>
      <w:r w:rsidR="001D31B0">
        <w:rPr>
          <w:rFonts w:ascii="Times New Roman" w:hAnsi="Times New Roman"/>
          <w:lang w:eastAsia="zh-CN"/>
        </w:rPr>
        <w:t>, namely</w:t>
      </w:r>
      <w:r>
        <w:rPr>
          <w:rFonts w:ascii="Times New Roman" w:hAnsi="Times New Roman"/>
          <w:lang w:eastAsia="zh-CN"/>
        </w:rPr>
        <w:t xml:space="preserve"> OECD 471 (bacterial mutation), OECD 473 (mammalian mutation </w:t>
      </w:r>
      <w:r w:rsidRPr="00442F6F">
        <w:rPr>
          <w:rFonts w:ascii="Times New Roman" w:hAnsi="Times New Roman"/>
          <w:i/>
          <w:lang w:eastAsia="zh-CN"/>
        </w:rPr>
        <w:t>in vitro</w:t>
      </w:r>
      <w:r>
        <w:rPr>
          <w:rFonts w:ascii="Times New Roman" w:hAnsi="Times New Roman"/>
          <w:lang w:eastAsia="zh-CN"/>
        </w:rPr>
        <w:t xml:space="preserve">), and OECD 474 (mammalian mutation </w:t>
      </w:r>
      <w:r w:rsidRPr="00442F6F">
        <w:rPr>
          <w:rFonts w:ascii="Times New Roman" w:hAnsi="Times New Roman"/>
          <w:i/>
          <w:lang w:eastAsia="zh-CN"/>
        </w:rPr>
        <w:t>in vivo</w:t>
      </w:r>
      <w:r>
        <w:rPr>
          <w:rFonts w:ascii="Times New Roman" w:hAnsi="Times New Roman"/>
          <w:lang w:eastAsia="zh-CN"/>
        </w:rPr>
        <w:t>)</w:t>
      </w:r>
      <w:r w:rsidR="001D31B0">
        <w:rPr>
          <w:rFonts w:ascii="Times New Roman" w:hAnsi="Times New Roman"/>
          <w:lang w:eastAsia="zh-CN"/>
        </w:rPr>
        <w:t xml:space="preserve"> (</w:t>
      </w:r>
      <w:r w:rsidR="001D31B0" w:rsidRPr="00B8644B">
        <w:rPr>
          <w:rFonts w:ascii="Times New Roman" w:hAnsi="Times New Roman"/>
          <w:i/>
          <w:lang w:eastAsia="zh-CN"/>
        </w:rPr>
        <w:t>Data provided by industrial partner</w:t>
      </w:r>
      <w:r w:rsidR="001D31B0">
        <w:rPr>
          <w:rFonts w:ascii="Times New Roman" w:hAnsi="Times New Roman"/>
          <w:lang w:eastAsia="zh-CN"/>
        </w:rPr>
        <w:t>).</w:t>
      </w:r>
      <w:r w:rsidR="00521D26">
        <w:rPr>
          <w:rFonts w:ascii="Times New Roman" w:hAnsi="Times New Roman"/>
        </w:rPr>
        <w:fldChar w:fldCharType="begin"/>
      </w:r>
      <w:r w:rsidR="008C7FBE">
        <w:rPr>
          <w:rFonts w:ascii="Times New Roman" w:hAnsi="Times New Roman"/>
          <w:lang w:eastAsia="zh-CN"/>
        </w:rPr>
        <w:instrText xml:space="preserve"> ADDIN ZOTERO_ITEM CSL_CITATION {"citationID":"ZTlWgDyw","properties":{"formattedCitation":"\\super 25\\nosupersub{}","plainCitation":"25","noteIndex":0},"citationItems":[{"id":848,"uris":["http://zotero.org/users/4674022/items/A5R4TFZV"],"uri":["http://zotero.org/users/4674022/items/A5R4TFZV"],"itemData":{"id":848,"type":"personal_communication","title":"OME Safety Data","abstract":"Testing for OME2-8 mixture showed no mutagenicity or genotoxicity under the conditions of the test, which fits CLP criteria. Tests performed were OECD 471 , commission directive No 813/14, OECD 473 EC 92/69/EEC B10, EC 440/2008, and OECD 474.","note":"ChemCom Industries B.V., Netherlands","author":[{"family":"Bastiaensen","given":"Erik"}],"issued":{"date-parts":[["2019",2,26]]},"accessed":{"date-parts":[["2019",2,26]]}}}],"schema":"https://github.com/citation-style-language/schema/raw/master/csl-citation.json"} </w:instrText>
      </w:r>
      <w:r w:rsidR="00521D26">
        <w:rPr>
          <w:rFonts w:ascii="Times New Roman" w:hAnsi="Times New Roman"/>
        </w:rPr>
        <w:fldChar w:fldCharType="separate"/>
      </w:r>
      <w:r w:rsidR="008C7FBE" w:rsidRPr="008C7FBE">
        <w:rPr>
          <w:rFonts w:ascii="Times New Roman" w:hAnsi="Times New Roman"/>
          <w:vertAlign w:val="superscript"/>
        </w:rPr>
        <w:t>25</w:t>
      </w:r>
      <w:r w:rsidR="00521D26">
        <w:rPr>
          <w:rFonts w:ascii="Times New Roman" w:hAnsi="Times New Roman"/>
        </w:rPr>
        <w:fldChar w:fldCharType="end"/>
      </w:r>
      <w:r w:rsidR="00232383">
        <w:rPr>
          <w:rFonts w:ascii="Times New Roman" w:hAnsi="Times New Roman"/>
        </w:rPr>
        <w:t xml:space="preserve"> The results indicate that the OME</w:t>
      </w:r>
      <w:r w:rsidR="00232383" w:rsidRPr="00232383">
        <w:rPr>
          <w:rFonts w:ascii="Times New Roman" w:hAnsi="Times New Roman"/>
          <w:vertAlign w:val="subscript"/>
        </w:rPr>
        <w:t>2-8</w:t>
      </w:r>
      <w:r w:rsidR="00232383">
        <w:rPr>
          <w:rFonts w:ascii="Times New Roman" w:hAnsi="Times New Roman"/>
        </w:rPr>
        <w:t xml:space="preserve"> mixture is </w:t>
      </w:r>
      <w:r w:rsidR="001D31B0">
        <w:rPr>
          <w:rFonts w:ascii="Times New Roman" w:hAnsi="Times New Roman"/>
        </w:rPr>
        <w:t xml:space="preserve">neither </w:t>
      </w:r>
      <w:r w:rsidR="00232383">
        <w:rPr>
          <w:rFonts w:ascii="Times New Roman" w:hAnsi="Times New Roman"/>
        </w:rPr>
        <w:t>genotoxic nor mutagenic, implying that the OME</w:t>
      </w:r>
      <w:r w:rsidR="00232383" w:rsidRPr="00232383">
        <w:rPr>
          <w:rFonts w:ascii="Times New Roman" w:hAnsi="Times New Roman"/>
          <w:vertAlign w:val="subscript"/>
        </w:rPr>
        <w:t>3-5</w:t>
      </w:r>
      <w:r w:rsidR="00232383">
        <w:rPr>
          <w:rFonts w:ascii="Times New Roman" w:hAnsi="Times New Roman"/>
        </w:rPr>
        <w:t xml:space="preserve"> mixture</w:t>
      </w:r>
      <w:r w:rsidR="001D31B0">
        <w:rPr>
          <w:rFonts w:ascii="Times New Roman" w:hAnsi="Times New Roman"/>
        </w:rPr>
        <w:t xml:space="preserve"> (</w:t>
      </w:r>
      <w:r w:rsidR="00232383">
        <w:rPr>
          <w:rFonts w:ascii="Times New Roman" w:hAnsi="Times New Roman"/>
        </w:rPr>
        <w:t>a subset of OME</w:t>
      </w:r>
      <w:r w:rsidR="00232383" w:rsidRPr="00232383">
        <w:rPr>
          <w:rFonts w:ascii="Times New Roman" w:hAnsi="Times New Roman"/>
          <w:vertAlign w:val="subscript"/>
        </w:rPr>
        <w:t>2-8</w:t>
      </w:r>
      <w:r w:rsidR="001D31B0">
        <w:rPr>
          <w:rFonts w:ascii="Times New Roman" w:hAnsi="Times New Roman"/>
        </w:rPr>
        <w:t xml:space="preserve">) </w:t>
      </w:r>
      <w:r w:rsidR="00232383">
        <w:rPr>
          <w:rFonts w:ascii="Times New Roman" w:hAnsi="Times New Roman"/>
        </w:rPr>
        <w:t>is similarly safe</w:t>
      </w:r>
      <w:r w:rsidR="00884E8F">
        <w:rPr>
          <w:rFonts w:ascii="Times New Roman" w:hAnsi="Times New Roman"/>
        </w:rPr>
        <w:t xml:space="preserve"> on these endpoints</w:t>
      </w:r>
      <w:r w:rsidR="00232383">
        <w:rPr>
          <w:rFonts w:ascii="Times New Roman" w:hAnsi="Times New Roman"/>
        </w:rPr>
        <w:t xml:space="preserve"> according to CLP criteria.</w:t>
      </w:r>
      <w:r w:rsidR="00884E8F">
        <w:rPr>
          <w:rFonts w:ascii="Times New Roman" w:hAnsi="Times New Roman"/>
        </w:rPr>
        <w:t xml:space="preserve"> However, further testing </w:t>
      </w:r>
      <w:r w:rsidR="00521D26">
        <w:rPr>
          <w:rFonts w:ascii="Times New Roman" w:hAnsi="Times New Roman"/>
        </w:rPr>
        <w:t xml:space="preserve">will be required going forwarded to further establish the </w:t>
      </w:r>
      <w:r w:rsidR="00884E8F">
        <w:rPr>
          <w:rFonts w:ascii="Times New Roman" w:hAnsi="Times New Roman"/>
        </w:rPr>
        <w:t xml:space="preserve">safety of OME mixtures, </w:t>
      </w:r>
      <w:r w:rsidR="00071D76">
        <w:rPr>
          <w:rFonts w:ascii="Times New Roman" w:hAnsi="Times New Roman"/>
        </w:rPr>
        <w:t xml:space="preserve">particularly with respect to </w:t>
      </w:r>
      <w:r w:rsidR="00884E8F">
        <w:rPr>
          <w:rFonts w:ascii="Times New Roman" w:hAnsi="Times New Roman"/>
        </w:rPr>
        <w:t>toxicity and aquatic toxicity.</w:t>
      </w:r>
    </w:p>
    <w:p w14:paraId="642B9170" w14:textId="0BC27EC3" w:rsidR="00654F76" w:rsidRDefault="00ED72E7" w:rsidP="00654F76">
      <w:pPr>
        <w:pStyle w:val="TAMainText"/>
        <w:rPr>
          <w:rFonts w:ascii="Times New Roman" w:hAnsi="Times New Roman"/>
          <w:lang w:eastAsia="zh-CN"/>
        </w:rPr>
      </w:pPr>
      <w:r>
        <w:rPr>
          <w:rFonts w:ascii="Times New Roman" w:hAnsi="Times New Roman"/>
        </w:rPr>
        <w:t>Another</w:t>
      </w:r>
      <w:r w:rsidR="00521D26">
        <w:rPr>
          <w:rFonts w:ascii="Times New Roman" w:hAnsi="Times New Roman"/>
        </w:rPr>
        <w:t xml:space="preserve"> </w:t>
      </w:r>
      <w:r w:rsidR="00654F76">
        <w:rPr>
          <w:rFonts w:ascii="Times New Roman" w:hAnsi="Times New Roman"/>
        </w:rPr>
        <w:t>key safety issue</w:t>
      </w:r>
      <w:r w:rsidR="00521D26">
        <w:rPr>
          <w:rFonts w:ascii="Times New Roman" w:hAnsi="Times New Roman"/>
        </w:rPr>
        <w:t xml:space="preserve"> relating to the use of </w:t>
      </w:r>
      <w:r w:rsidR="00654F76">
        <w:rPr>
          <w:rFonts w:ascii="Times New Roman" w:hAnsi="Times New Roman"/>
        </w:rPr>
        <w:t>ether solvents</w:t>
      </w:r>
      <w:r w:rsidR="00521D26">
        <w:rPr>
          <w:rFonts w:ascii="Times New Roman" w:hAnsi="Times New Roman"/>
        </w:rPr>
        <w:t xml:space="preserve"> </w:t>
      </w:r>
      <w:r w:rsidR="00654F76">
        <w:rPr>
          <w:rFonts w:ascii="Times New Roman" w:hAnsi="Times New Roman"/>
        </w:rPr>
        <w:t>is their gradual autoxidation to unstable peroxides, creating an explosion hazard when the solvent evaporates or is otherwise concentrated.</w:t>
      </w:r>
      <w:r w:rsidR="00D0244F">
        <w:rPr>
          <w:rFonts w:ascii="Times New Roman" w:hAnsi="Times New Roman"/>
        </w:rPr>
        <w:fldChar w:fldCharType="begin"/>
      </w:r>
      <w:r w:rsidR="008C7FBE">
        <w:rPr>
          <w:rFonts w:ascii="Times New Roman" w:hAnsi="Times New Roman"/>
        </w:rPr>
        <w:instrText xml:space="preserve"> ADDIN ZOTERO_ITEM CSL_CITATION {"citationID":"ErRK5LqX","properties":{"formattedCitation":"\\super 26\\nosupersub{}","plainCitation":"26","noteIndex":0},"citationItems":[{"id":452,"uris":["http://zotero.org/users/4674022/items/7ED9RMWC"],"uri":["http://zotero.org/users/4674022/items/7ED9RMWC"],"itemData":{"id":452,"type":"article-journal","title":"Review of Safety Guidelines for Peroxidizable Organic Chemicals","container-title":"Chemical Health &amp; Safety","page":"28-36","author":[{"family":"Kelly","given":"Richard J."}],"issued":{"date-parts":[["1996",9]]}}}],"schema":"https://github.com/citation-style-language/schema/raw/master/csl-citation.json"} </w:instrText>
      </w:r>
      <w:r w:rsidR="00D0244F">
        <w:rPr>
          <w:rFonts w:ascii="Times New Roman" w:hAnsi="Times New Roman"/>
        </w:rPr>
        <w:fldChar w:fldCharType="separate"/>
      </w:r>
      <w:r w:rsidR="008C7FBE" w:rsidRPr="008C7FBE">
        <w:rPr>
          <w:rFonts w:ascii="Times New Roman" w:hAnsi="Times New Roman"/>
          <w:vertAlign w:val="superscript"/>
        </w:rPr>
        <w:t>26</w:t>
      </w:r>
      <w:r w:rsidR="00D0244F">
        <w:rPr>
          <w:rFonts w:ascii="Times New Roman" w:hAnsi="Times New Roman"/>
        </w:rPr>
        <w:fldChar w:fldCharType="end"/>
      </w:r>
      <w:r w:rsidR="00D0244F">
        <w:rPr>
          <w:rFonts w:ascii="Times New Roman" w:hAnsi="Times New Roman"/>
        </w:rPr>
        <w:t xml:space="preserve"> While the high boiling point of OME</w:t>
      </w:r>
      <w:r w:rsidR="00D0244F" w:rsidRPr="00D0244F">
        <w:rPr>
          <w:rFonts w:ascii="Times New Roman" w:hAnsi="Times New Roman"/>
          <w:vertAlign w:val="subscript"/>
        </w:rPr>
        <w:t>3-5</w:t>
      </w:r>
      <w:r w:rsidR="00D0244F">
        <w:rPr>
          <w:rFonts w:ascii="Times New Roman" w:hAnsi="Times New Roman"/>
        </w:rPr>
        <w:t xml:space="preserve"> slows evaporation, making peroxide concentration less likely, it is still important to know how quickly peroxides form in the solvent. To this end, the peroxide formation potentials of the individual OMEs</w:t>
      </w:r>
      <w:r w:rsidR="00161565">
        <w:rPr>
          <w:rFonts w:ascii="Times New Roman" w:hAnsi="Times New Roman"/>
        </w:rPr>
        <w:t xml:space="preserve"> (purchased at &gt;99% purity)</w:t>
      </w:r>
      <w:r w:rsidR="00D0244F">
        <w:rPr>
          <w:rFonts w:ascii="Times New Roman" w:hAnsi="Times New Roman"/>
        </w:rPr>
        <w:t xml:space="preserve"> and the OME</w:t>
      </w:r>
      <w:r w:rsidR="00D0244F">
        <w:rPr>
          <w:rFonts w:ascii="Times New Roman" w:hAnsi="Times New Roman"/>
          <w:vertAlign w:val="subscript"/>
        </w:rPr>
        <w:t>3-5</w:t>
      </w:r>
      <w:r w:rsidR="00D0244F">
        <w:rPr>
          <w:rFonts w:ascii="Times New Roman" w:hAnsi="Times New Roman"/>
        </w:rPr>
        <w:t xml:space="preserve"> mixture were assessed and compared with other ether solvents. Tetrahydrofuran (THF) was used as an example of a conventional ether, and </w:t>
      </w:r>
      <w:r w:rsidR="006521A6">
        <w:rPr>
          <w:rFonts w:ascii="Times New Roman" w:hAnsi="Times New Roman"/>
        </w:rPr>
        <w:t>cyclopentyl methyl ether (CPME)</w:t>
      </w:r>
      <w:r w:rsidR="00D0244F">
        <w:rPr>
          <w:rFonts w:ascii="Times New Roman" w:hAnsi="Times New Roman"/>
        </w:rPr>
        <w:t xml:space="preserve"> as a solvent </w:t>
      </w:r>
      <w:r w:rsidR="006521A6">
        <w:rPr>
          <w:rFonts w:ascii="Times New Roman" w:hAnsi="Times New Roman"/>
        </w:rPr>
        <w:t xml:space="preserve">which is marketed as a safer ether solvent </w:t>
      </w:r>
      <w:r w:rsidR="00071D76">
        <w:rPr>
          <w:rFonts w:ascii="Times New Roman" w:hAnsi="Times New Roman"/>
        </w:rPr>
        <w:t>and</w:t>
      </w:r>
      <w:r w:rsidR="006521A6">
        <w:rPr>
          <w:rFonts w:ascii="Times New Roman" w:hAnsi="Times New Roman"/>
        </w:rPr>
        <w:t xml:space="preserve"> ostensibly forms no peroxides</w:t>
      </w:r>
      <w:r w:rsidR="00D0244F">
        <w:rPr>
          <w:rFonts w:ascii="Times New Roman" w:hAnsi="Times New Roman"/>
        </w:rPr>
        <w:t>.</w:t>
      </w:r>
      <w:r w:rsidR="00D0244F">
        <w:rPr>
          <w:rFonts w:ascii="Times New Roman" w:hAnsi="Times New Roman"/>
        </w:rPr>
        <w:fldChar w:fldCharType="begin"/>
      </w:r>
      <w:r w:rsidR="008C7FBE">
        <w:rPr>
          <w:rFonts w:ascii="Times New Roman" w:hAnsi="Times New Roman"/>
        </w:rPr>
        <w:instrText xml:space="preserve"> ADDIN ZOTERO_ITEM CSL_CITATION {"citationID":"clwxynfR","properties":{"formattedCitation":"\\super 27\\nosupersub{}","plainCitation":"27","noteIndex":0},"citationItems":[{"id":451,"uris":["http://zotero.org/users/4674022/items/32ZI98C9"],"uri":["http://zotero.org/users/4674022/items/32ZI98C9"],"itemData":{"id":451,"type":"article-journal","title":"Cyclopentyl Methyl Ether as a New and Alternative Process Solvent","container-title":"Organic Process Research &amp; Development","page":"251-258","volume":"11","issue":"2","source":"ACS Publications","abstract":"Cyclopentyl methyl ether (CPME) has become available in commercial quantities since November 2005 from Zeon Corporation with approval by the Toxic Substances Control Act (TSCA) and the European List of Notified Chemical Substances (ELINCS). A high boiling point (106 °C) and preferable characteristics such as low formation of peroxides, relative stability under acidic and basic conditions, formation of azeotropes with water coupled with a narrow explosion range render CPME an alternative to other ethereal solvents such as tetrahydrofuran (THF), 2-methyl tetrahydrofuran (2-MeTHF), dioxane (carcinogenic), and 1,2-dimethoxyethane (DME). Conventional drying is unnecessary for general organometallic reactions including Grignard reactions, enolate formation, Claisen condensation, general reductions, and Pd-based transformations.","DOI":"10.1021/op0680136","ISSN":"1083-6160","journalAbbreviation":"Org. Process Res. Dev.","author":[{"family":"Watanabe","given":"Kiyoshi"},{"family":"Yamagiwa","given":"Noriyuki"},{"family":"Torisawa","given":"Yasuhiro"}],"issued":{"date-parts":[["2007",3,1]]}}}],"schema":"https://github.com/citation-style-language/schema/raw/master/csl-citation.json"} </w:instrText>
      </w:r>
      <w:r w:rsidR="00D0244F">
        <w:rPr>
          <w:rFonts w:ascii="Times New Roman" w:hAnsi="Times New Roman"/>
        </w:rPr>
        <w:fldChar w:fldCharType="separate"/>
      </w:r>
      <w:r w:rsidR="008C7FBE" w:rsidRPr="008C7FBE">
        <w:rPr>
          <w:rFonts w:ascii="Times New Roman" w:hAnsi="Times New Roman"/>
          <w:vertAlign w:val="superscript"/>
          <w:lang w:eastAsia="zh-CN"/>
        </w:rPr>
        <w:t>27</w:t>
      </w:r>
      <w:r w:rsidR="00D0244F">
        <w:rPr>
          <w:rFonts w:ascii="Times New Roman" w:hAnsi="Times New Roman"/>
        </w:rPr>
        <w:fldChar w:fldCharType="end"/>
      </w:r>
    </w:p>
    <w:p w14:paraId="6E107C0E" w14:textId="29C1A03B" w:rsidR="00D0244F" w:rsidRPr="00D94A93" w:rsidRDefault="00D0244F" w:rsidP="00D94A93">
      <w:pPr>
        <w:pStyle w:val="TAMainText"/>
        <w:rPr>
          <w:rFonts w:ascii="Times New Roman" w:hAnsi="Times New Roman"/>
          <w:szCs w:val="24"/>
          <w:lang w:eastAsia="zh-CN"/>
        </w:rPr>
      </w:pPr>
      <w:r>
        <w:rPr>
          <w:rFonts w:ascii="Times New Roman" w:hAnsi="Times New Roman"/>
          <w:lang w:eastAsia="zh-CN"/>
        </w:rPr>
        <w:t>In order to assess peroxide formation potential, solvents</w:t>
      </w:r>
      <w:r w:rsidR="00E3152B">
        <w:rPr>
          <w:rFonts w:ascii="Times New Roman" w:hAnsi="Times New Roman"/>
          <w:lang w:eastAsia="zh-CN"/>
        </w:rPr>
        <w:t xml:space="preserve"> without peroxide formation inhibitors </w:t>
      </w:r>
      <w:r>
        <w:rPr>
          <w:rFonts w:ascii="Times New Roman" w:hAnsi="Times New Roman"/>
          <w:lang w:eastAsia="zh-CN"/>
        </w:rPr>
        <w:t>were exposed to conditions that promote peroxide formation, comprising strong UV radiation and a bubbling stream of air.</w:t>
      </w:r>
      <w:r w:rsidR="009C72EF">
        <w:rPr>
          <w:rFonts w:ascii="Times New Roman" w:hAnsi="Times New Roman"/>
        </w:rPr>
        <w:fldChar w:fldCharType="begin"/>
      </w:r>
      <w:r w:rsidR="000A0BA0">
        <w:rPr>
          <w:rFonts w:ascii="Times New Roman" w:hAnsi="Times New Roman"/>
          <w:lang w:eastAsia="zh-CN"/>
        </w:rPr>
        <w:instrText xml:space="preserve"> ADDIN ZOTERO_ITEM CSL_CITATION {"citationID":"frGYlKu3","properties":{"formattedCitation":"\\super 22\\nosupersub{}","plainCitation":"22","noteIndex":0},"citationItems":[{"id":262,"uris":["http://zotero.org/users/4674022/items/B9YTS723"],"uri":["http://zotero.org/users/4674022/items/B9YTS723"],"itemData":{"id":262,"type":"article-journal","title":"2,2,5,5-Tetramethyltetrahydrofuran (TMTHF): a non-polar, non-peroxide forming ether replacement for hazardous hydrocarbon solvents","container-title":"Green Chemistry","page":"3671-3678","volume":"19","issue":"15","source":"pubs.rsc.org","abstract":"An inherently non-peroxide forming ether solvent, 2,2,5,5-tetramethyltetrahydrofuran (2,2,5,5-tetramethyloxolane), has been synthesized from readily available and potentially renewable feedstocks, and its solvation properties have been tested. Unlike traditional ethers, its absence of a proton at the alpha-position to the oxygen of the ether eliminates the potential to form hazardous peroxides. Additionally, this unusual structure leads to lower basicity compared with many traditional ethers, due to the concealment of the ethereal oxygen by four bulky methyl groups at the alpha-position. As such, this molecule exhibits</w:instrText>
      </w:r>
      <w:r w:rsidR="000A0BA0">
        <w:rPr>
          <w:rFonts w:ascii="Times New Roman" w:hAnsi="Times New Roman"/>
        </w:rPr>
        <w:instrText xml:space="preserve"> similar solvent properties to common hydrocarbon solvents, particularly toluene. Its solvent properties have been proved by testing its performance in Fischer esterification, amidation and Grignard reactions. TMTHF's differences from traditional ethers is further demonstrated by its ability to produce high molecular weight radical-initiated polymers for use as pressure-sensitive adhesives.","DOI":"10.1039/C7GC01392B","ISSN":"1463-9270","title-short":"2,2,5,5-Tetramethyltetrahydrofuran (TMTHF)","journalAbbreviation":"Green Chem.","language":"en","author":[{"family":"Byrne","given":"Fergal"},{"family":"Forier","given":"Bart"},{"family":"Bossaert","given":"Greet"},{"family":"Hoebers","given":"Charly"},{"family":"Farmer","given":"Thomas J."},{"family":"Clark","given":"James H."},{"family":"Hunt","given":"Andrew J."}],"issued":{"date-parts":[["2017",7,31]]}}}],"schema":"https://github.com/citation-style-language/schema/raw/master/csl-citation.json"} </w:instrText>
      </w:r>
      <w:r w:rsidR="009C72EF">
        <w:rPr>
          <w:rFonts w:ascii="Times New Roman" w:hAnsi="Times New Roman"/>
        </w:rPr>
        <w:fldChar w:fldCharType="separate"/>
      </w:r>
      <w:r w:rsidR="000A0BA0" w:rsidRPr="000A0BA0">
        <w:rPr>
          <w:rFonts w:ascii="Times New Roman" w:hAnsi="Times New Roman"/>
          <w:vertAlign w:val="superscript"/>
        </w:rPr>
        <w:t>22</w:t>
      </w:r>
      <w:r w:rsidR="009C72EF">
        <w:rPr>
          <w:rFonts w:ascii="Times New Roman" w:hAnsi="Times New Roman"/>
        </w:rPr>
        <w:fldChar w:fldCharType="end"/>
      </w:r>
      <w:r w:rsidR="009C72EF">
        <w:rPr>
          <w:rFonts w:ascii="Times New Roman" w:hAnsi="Times New Roman"/>
        </w:rPr>
        <w:t xml:space="preserve"> The peroxide concentration was measured at intervals and compared against control samples stored in the dark, and these measurements used to estimate rates of peroxide formation in each solvent (</w:t>
      </w:r>
      <w:r w:rsidR="00D94A93" w:rsidRPr="00D94A93">
        <w:rPr>
          <w:rFonts w:ascii="Times New Roman" w:hAnsi="Times New Roman"/>
        </w:rPr>
        <w:fldChar w:fldCharType="begin"/>
      </w:r>
      <w:r w:rsidR="00D94A93" w:rsidRPr="00D94A93">
        <w:rPr>
          <w:rFonts w:ascii="Times New Roman" w:hAnsi="Times New Roman"/>
        </w:rPr>
        <w:instrText xml:space="preserve"> REF _Ref6848508 \h  \* MERGEFORMAT </w:instrText>
      </w:r>
      <w:r w:rsidR="00D94A93" w:rsidRPr="00D94A93">
        <w:rPr>
          <w:rFonts w:ascii="Times New Roman" w:hAnsi="Times New Roman"/>
        </w:rPr>
      </w:r>
      <w:r w:rsidR="00D94A93" w:rsidRPr="00D94A93">
        <w:rPr>
          <w:rFonts w:ascii="Times New Roman" w:hAnsi="Times New Roman"/>
        </w:rPr>
        <w:fldChar w:fldCharType="separate"/>
      </w:r>
      <w:r w:rsidR="003C715B" w:rsidRPr="003C715B">
        <w:t xml:space="preserve">Table </w:t>
      </w:r>
      <w:r w:rsidR="003C715B" w:rsidRPr="003C715B">
        <w:rPr>
          <w:noProof/>
        </w:rPr>
        <w:t>3</w:t>
      </w:r>
      <w:r w:rsidR="00D94A93" w:rsidRPr="00D94A93">
        <w:rPr>
          <w:rFonts w:ascii="Times New Roman" w:hAnsi="Times New Roman"/>
        </w:rPr>
        <w:fldChar w:fldCharType="end"/>
      </w:r>
      <w:r w:rsidR="009C72EF" w:rsidRPr="00D94A93">
        <w:rPr>
          <w:rFonts w:ascii="Times New Roman" w:hAnsi="Times New Roman"/>
        </w:rPr>
        <w:t>).</w:t>
      </w:r>
      <w:r w:rsidR="009C72EF">
        <w:rPr>
          <w:rFonts w:ascii="Times New Roman" w:hAnsi="Times New Roman"/>
        </w:rPr>
        <w:t xml:space="preserve"> The volume of solvent lost to evaporation was </w:t>
      </w:r>
      <w:r w:rsidR="00067957">
        <w:rPr>
          <w:rFonts w:ascii="Times New Roman" w:hAnsi="Times New Roman"/>
        </w:rPr>
        <w:t>&lt;</w:t>
      </w:r>
      <w:r w:rsidR="009C72EF">
        <w:rPr>
          <w:rFonts w:ascii="Times New Roman" w:hAnsi="Times New Roman"/>
        </w:rPr>
        <w:t xml:space="preserve">10% </w:t>
      </w:r>
      <w:r w:rsidR="00521D26">
        <w:rPr>
          <w:rFonts w:ascii="Times New Roman" w:hAnsi="Times New Roman"/>
        </w:rPr>
        <w:t xml:space="preserve">for </w:t>
      </w:r>
      <w:r w:rsidR="009C72EF">
        <w:rPr>
          <w:rFonts w:ascii="Times New Roman" w:hAnsi="Times New Roman"/>
        </w:rPr>
        <w:t>each sample and did not significantly impact the results.</w:t>
      </w:r>
      <w:r w:rsidR="00521D26" w:rsidRPr="00521D26">
        <w:rPr>
          <w:rFonts w:ascii="Times New Roman" w:hAnsi="Times New Roman"/>
        </w:rPr>
        <w:t xml:space="preserve"> </w:t>
      </w:r>
      <w:r w:rsidR="00521D26">
        <w:rPr>
          <w:rFonts w:ascii="Times New Roman" w:hAnsi="Times New Roman"/>
        </w:rPr>
        <w:t>Based on these results, it is clear that the OME</w:t>
      </w:r>
      <w:r w:rsidR="00521D26" w:rsidRPr="001974A7">
        <w:rPr>
          <w:rFonts w:ascii="Times New Roman" w:hAnsi="Times New Roman"/>
          <w:vertAlign w:val="subscript"/>
        </w:rPr>
        <w:t>3-5</w:t>
      </w:r>
      <w:r w:rsidR="00521D26">
        <w:rPr>
          <w:rFonts w:ascii="Times New Roman" w:hAnsi="Times New Roman"/>
        </w:rPr>
        <w:t xml:space="preserve"> mixture forms peroxides </w:t>
      </w:r>
      <w:r w:rsidR="00071D76">
        <w:rPr>
          <w:rFonts w:ascii="Times New Roman" w:hAnsi="Times New Roman"/>
        </w:rPr>
        <w:t>far more slowly than THF</w:t>
      </w:r>
      <w:r w:rsidR="00435D87">
        <w:rPr>
          <w:rFonts w:ascii="Times New Roman" w:hAnsi="Times New Roman"/>
        </w:rPr>
        <w:t xml:space="preserve">; indeed, the rate of formation is </w:t>
      </w:r>
      <w:r w:rsidR="00435D87">
        <w:rPr>
          <w:rFonts w:ascii="Times New Roman" w:hAnsi="Times New Roman"/>
        </w:rPr>
        <w:lastRenderedPageBreak/>
        <w:t>similar to that of CPME</w:t>
      </w:r>
      <w:r w:rsidR="00521D26">
        <w:rPr>
          <w:rFonts w:ascii="Times New Roman" w:hAnsi="Times New Roman"/>
        </w:rPr>
        <w:t>. The bulk of peroxide formation in the OME mixture is likely due to the presence of short-chain OME</w:t>
      </w:r>
      <w:r w:rsidR="00521D26" w:rsidRPr="00984D92">
        <w:rPr>
          <w:rFonts w:ascii="Times New Roman" w:hAnsi="Times New Roman"/>
          <w:vertAlign w:val="subscript"/>
        </w:rPr>
        <w:t>n</w:t>
      </w:r>
      <w:r w:rsidR="00D94A93" w:rsidRPr="00D94A93">
        <w:rPr>
          <w:rFonts w:ascii="Arial" w:hAnsi="Arial" w:cs="Arial"/>
          <w:color w:val="222222"/>
          <w:sz w:val="21"/>
          <w:szCs w:val="21"/>
          <w:shd w:val="clear" w:color="auto" w:fill="FFFFFF"/>
          <w:vertAlign w:val="subscript"/>
          <w:lang w:eastAsia="zh-CN"/>
        </w:rPr>
        <w:t>≤</w:t>
      </w:r>
      <w:r w:rsidR="00521D26" w:rsidRPr="001974A7">
        <w:rPr>
          <w:rFonts w:ascii="Times New Roman" w:hAnsi="Times New Roman"/>
          <w:vertAlign w:val="subscript"/>
        </w:rPr>
        <w:t>3</w:t>
      </w:r>
      <w:r w:rsidR="00521D26">
        <w:rPr>
          <w:rFonts w:ascii="Times New Roman" w:hAnsi="Times New Roman"/>
        </w:rPr>
        <w:t>, as the longer-chain OMEs form peroxides even more slowly.</w:t>
      </w:r>
    </w:p>
    <w:p w14:paraId="52F71A3F" w14:textId="373FC724" w:rsidR="009C72EF" w:rsidRPr="00B8644B" w:rsidRDefault="00241204" w:rsidP="00241204">
      <w:pPr>
        <w:pStyle w:val="Caption"/>
      </w:pPr>
      <w:bookmarkStart w:id="7" w:name="_Ref6848508"/>
      <w:r w:rsidRPr="00241204">
        <w:rPr>
          <w:b/>
        </w:rPr>
        <w:t xml:space="preserve">Table </w:t>
      </w:r>
      <w:r w:rsidRPr="00241204">
        <w:rPr>
          <w:b/>
        </w:rPr>
        <w:fldChar w:fldCharType="begin"/>
      </w:r>
      <w:r w:rsidRPr="00241204">
        <w:rPr>
          <w:b/>
        </w:rPr>
        <w:instrText xml:space="preserve"> SEQ Table \* ARABIC </w:instrText>
      </w:r>
      <w:r w:rsidRPr="00241204">
        <w:rPr>
          <w:b/>
        </w:rPr>
        <w:fldChar w:fldCharType="separate"/>
      </w:r>
      <w:r w:rsidR="003C715B">
        <w:rPr>
          <w:b/>
          <w:noProof/>
        </w:rPr>
        <w:t>3</w:t>
      </w:r>
      <w:r w:rsidRPr="00241204">
        <w:rPr>
          <w:b/>
        </w:rPr>
        <w:fldChar w:fldCharType="end"/>
      </w:r>
      <w:bookmarkEnd w:id="7"/>
      <w:r w:rsidRPr="00241204">
        <w:rPr>
          <w:b/>
        </w:rPr>
        <w:t>.</w:t>
      </w:r>
      <w:r>
        <w:t xml:space="preserve"> </w:t>
      </w:r>
      <w:r w:rsidR="00572523" w:rsidRPr="00B8644B">
        <w:t>Peroxide formation test results</w:t>
      </w:r>
      <w:r w:rsidR="001974A7" w:rsidRPr="00B8644B">
        <w:t xml:space="preserve"> (mg peroxide/L solvent)</w:t>
      </w:r>
    </w:p>
    <w:tbl>
      <w:tblPr>
        <w:tblStyle w:val="TableGrid"/>
        <w:tblpPr w:leftFromText="180" w:rightFromText="180" w:vertAnchor="text" w:horzAnchor="page" w:tblpX="3441" w:tblpY="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
        <w:gridCol w:w="913"/>
        <w:gridCol w:w="510"/>
        <w:gridCol w:w="620"/>
        <w:gridCol w:w="840"/>
        <w:gridCol w:w="1542"/>
      </w:tblGrid>
      <w:tr w:rsidR="00521D26" w:rsidRPr="00380E87" w14:paraId="57B5028B" w14:textId="77777777" w:rsidTr="00521D26">
        <w:tc>
          <w:tcPr>
            <w:tcW w:w="0" w:type="auto"/>
            <w:tcBorders>
              <w:top w:val="single" w:sz="4" w:space="0" w:color="auto"/>
            </w:tcBorders>
            <w:vAlign w:val="center"/>
          </w:tcPr>
          <w:p w14:paraId="46DAD53C" w14:textId="77777777" w:rsidR="00521D26" w:rsidRPr="00380E87" w:rsidRDefault="00521D26" w:rsidP="00521D26">
            <w:pPr>
              <w:pStyle w:val="TCTableBody"/>
              <w:jc w:val="center"/>
              <w:rPr>
                <w:rFonts w:ascii="Times New Roman" w:hAnsi="Times New Roman"/>
                <w:b/>
                <w:sz w:val="22"/>
                <w:szCs w:val="22"/>
              </w:rPr>
            </w:pPr>
          </w:p>
        </w:tc>
        <w:tc>
          <w:tcPr>
            <w:tcW w:w="0" w:type="auto"/>
            <w:tcBorders>
              <w:top w:val="single" w:sz="4" w:space="0" w:color="auto"/>
            </w:tcBorders>
            <w:vAlign w:val="center"/>
          </w:tcPr>
          <w:p w14:paraId="54332AC6" w14:textId="77777777" w:rsidR="00521D26" w:rsidRPr="00380E87" w:rsidRDefault="00521D26" w:rsidP="00521D26">
            <w:pPr>
              <w:pStyle w:val="TCTableBody"/>
              <w:jc w:val="center"/>
              <w:rPr>
                <w:rFonts w:ascii="Times New Roman" w:hAnsi="Times New Roman"/>
                <w:b/>
                <w:sz w:val="22"/>
                <w:szCs w:val="22"/>
              </w:rPr>
            </w:pPr>
          </w:p>
        </w:tc>
        <w:tc>
          <w:tcPr>
            <w:tcW w:w="0" w:type="auto"/>
            <w:gridSpan w:val="3"/>
            <w:tcBorders>
              <w:top w:val="single" w:sz="4" w:space="0" w:color="auto"/>
            </w:tcBorders>
            <w:vAlign w:val="center"/>
          </w:tcPr>
          <w:p w14:paraId="49FCDA47" w14:textId="77777777" w:rsidR="00521D26" w:rsidRPr="00380E87" w:rsidRDefault="00521D26" w:rsidP="00521D26">
            <w:pPr>
              <w:pStyle w:val="TCTableBody"/>
              <w:jc w:val="center"/>
              <w:rPr>
                <w:rFonts w:ascii="Times New Roman" w:hAnsi="Times New Roman"/>
                <w:b/>
                <w:sz w:val="22"/>
                <w:szCs w:val="22"/>
              </w:rPr>
            </w:pPr>
            <w:r w:rsidRPr="00380E87">
              <w:rPr>
                <w:rFonts w:ascii="Times New Roman" w:hAnsi="Times New Roman"/>
                <w:b/>
                <w:sz w:val="22"/>
                <w:szCs w:val="22"/>
              </w:rPr>
              <w:t>Time (h)</w:t>
            </w:r>
          </w:p>
        </w:tc>
        <w:tc>
          <w:tcPr>
            <w:tcW w:w="0" w:type="auto"/>
            <w:tcBorders>
              <w:top w:val="single" w:sz="4" w:space="0" w:color="auto"/>
            </w:tcBorders>
            <w:vAlign w:val="center"/>
          </w:tcPr>
          <w:p w14:paraId="044EA24C" w14:textId="77777777" w:rsidR="00521D26" w:rsidRPr="00380E87" w:rsidRDefault="00521D26" w:rsidP="00521D26">
            <w:pPr>
              <w:pStyle w:val="TCTableBody"/>
              <w:jc w:val="center"/>
              <w:rPr>
                <w:rFonts w:ascii="Times New Roman" w:hAnsi="Times New Roman"/>
                <w:b/>
                <w:sz w:val="22"/>
                <w:szCs w:val="22"/>
              </w:rPr>
            </w:pPr>
          </w:p>
        </w:tc>
      </w:tr>
      <w:tr w:rsidR="00521D26" w:rsidRPr="00380E87" w14:paraId="47BE717F" w14:textId="77777777" w:rsidTr="00521D26">
        <w:tc>
          <w:tcPr>
            <w:tcW w:w="0" w:type="auto"/>
            <w:tcBorders>
              <w:bottom w:val="single" w:sz="4" w:space="0" w:color="auto"/>
            </w:tcBorders>
            <w:vAlign w:val="center"/>
          </w:tcPr>
          <w:p w14:paraId="562F6C88" w14:textId="77777777" w:rsidR="00521D26" w:rsidRPr="00380E87" w:rsidRDefault="00521D26" w:rsidP="00521D26">
            <w:pPr>
              <w:pStyle w:val="TCTableBody"/>
              <w:jc w:val="center"/>
              <w:rPr>
                <w:rFonts w:ascii="Times New Roman" w:hAnsi="Times New Roman"/>
                <w:b/>
                <w:sz w:val="22"/>
                <w:szCs w:val="22"/>
              </w:rPr>
            </w:pPr>
            <w:r w:rsidRPr="00380E87">
              <w:rPr>
                <w:rFonts w:ascii="Times New Roman" w:hAnsi="Times New Roman"/>
                <w:b/>
                <w:sz w:val="22"/>
                <w:szCs w:val="22"/>
              </w:rPr>
              <w:t>Solvent</w:t>
            </w:r>
          </w:p>
        </w:tc>
        <w:tc>
          <w:tcPr>
            <w:tcW w:w="0" w:type="auto"/>
            <w:tcBorders>
              <w:bottom w:val="single" w:sz="4" w:space="0" w:color="auto"/>
            </w:tcBorders>
            <w:vAlign w:val="center"/>
          </w:tcPr>
          <w:p w14:paraId="746375AB" w14:textId="77777777" w:rsidR="00521D26" w:rsidRPr="00380E87" w:rsidRDefault="00521D26" w:rsidP="00521D26">
            <w:pPr>
              <w:pStyle w:val="TCTableBody"/>
              <w:jc w:val="center"/>
              <w:rPr>
                <w:rFonts w:ascii="Times New Roman" w:hAnsi="Times New Roman"/>
                <w:b/>
                <w:sz w:val="22"/>
                <w:szCs w:val="22"/>
              </w:rPr>
            </w:pPr>
            <w:r w:rsidRPr="00380E87">
              <w:rPr>
                <w:rFonts w:ascii="Times New Roman" w:hAnsi="Times New Roman"/>
                <w:b/>
                <w:sz w:val="22"/>
                <w:szCs w:val="22"/>
              </w:rPr>
              <w:t>Sample</w:t>
            </w:r>
          </w:p>
        </w:tc>
        <w:tc>
          <w:tcPr>
            <w:tcW w:w="0" w:type="auto"/>
            <w:tcBorders>
              <w:bottom w:val="single" w:sz="4" w:space="0" w:color="auto"/>
            </w:tcBorders>
            <w:vAlign w:val="center"/>
          </w:tcPr>
          <w:p w14:paraId="26A62047" w14:textId="77777777" w:rsidR="00521D26" w:rsidRPr="00380E87" w:rsidRDefault="00521D26" w:rsidP="00521D26">
            <w:pPr>
              <w:pStyle w:val="TCTableBody"/>
              <w:jc w:val="center"/>
              <w:rPr>
                <w:rFonts w:ascii="Times New Roman" w:hAnsi="Times New Roman"/>
                <w:b/>
                <w:sz w:val="22"/>
                <w:szCs w:val="22"/>
              </w:rPr>
            </w:pPr>
            <w:r w:rsidRPr="00380E87">
              <w:rPr>
                <w:rFonts w:ascii="Times New Roman" w:hAnsi="Times New Roman"/>
                <w:b/>
                <w:sz w:val="22"/>
                <w:szCs w:val="22"/>
              </w:rPr>
              <w:t>0</w:t>
            </w:r>
          </w:p>
        </w:tc>
        <w:tc>
          <w:tcPr>
            <w:tcW w:w="0" w:type="auto"/>
            <w:tcBorders>
              <w:bottom w:val="single" w:sz="4" w:space="0" w:color="auto"/>
            </w:tcBorders>
            <w:vAlign w:val="center"/>
          </w:tcPr>
          <w:p w14:paraId="4E3100B6" w14:textId="77777777" w:rsidR="00521D26" w:rsidRPr="00380E87" w:rsidRDefault="00521D26" w:rsidP="00521D26">
            <w:pPr>
              <w:pStyle w:val="TCTableBody"/>
              <w:jc w:val="center"/>
              <w:rPr>
                <w:rFonts w:ascii="Times New Roman" w:hAnsi="Times New Roman"/>
                <w:b/>
                <w:sz w:val="22"/>
                <w:szCs w:val="22"/>
              </w:rPr>
            </w:pPr>
            <w:r w:rsidRPr="00380E87">
              <w:rPr>
                <w:rFonts w:ascii="Times New Roman" w:hAnsi="Times New Roman"/>
                <w:b/>
                <w:sz w:val="22"/>
                <w:szCs w:val="22"/>
              </w:rPr>
              <w:t>2</w:t>
            </w:r>
          </w:p>
        </w:tc>
        <w:tc>
          <w:tcPr>
            <w:tcW w:w="0" w:type="auto"/>
            <w:tcBorders>
              <w:bottom w:val="single" w:sz="4" w:space="0" w:color="auto"/>
            </w:tcBorders>
            <w:vAlign w:val="center"/>
          </w:tcPr>
          <w:p w14:paraId="48F51371" w14:textId="77777777" w:rsidR="00521D26" w:rsidRPr="00380E87" w:rsidRDefault="00521D26" w:rsidP="00521D26">
            <w:pPr>
              <w:pStyle w:val="TCTableBody"/>
              <w:jc w:val="center"/>
              <w:rPr>
                <w:rFonts w:ascii="Times New Roman" w:hAnsi="Times New Roman"/>
                <w:b/>
                <w:sz w:val="22"/>
                <w:szCs w:val="22"/>
              </w:rPr>
            </w:pPr>
            <w:r w:rsidRPr="00380E87">
              <w:rPr>
                <w:rFonts w:ascii="Times New Roman" w:hAnsi="Times New Roman"/>
                <w:b/>
                <w:sz w:val="22"/>
                <w:szCs w:val="22"/>
              </w:rPr>
              <w:t>4</w:t>
            </w:r>
          </w:p>
        </w:tc>
        <w:tc>
          <w:tcPr>
            <w:tcW w:w="0" w:type="auto"/>
            <w:tcBorders>
              <w:bottom w:val="single" w:sz="4" w:space="0" w:color="auto"/>
            </w:tcBorders>
            <w:vAlign w:val="center"/>
          </w:tcPr>
          <w:p w14:paraId="7CF7C145" w14:textId="77777777" w:rsidR="00521D26" w:rsidRPr="00380E87" w:rsidRDefault="00521D26" w:rsidP="00521D26">
            <w:pPr>
              <w:pStyle w:val="TCTableBody"/>
              <w:jc w:val="center"/>
              <w:rPr>
                <w:rFonts w:ascii="Times New Roman" w:hAnsi="Times New Roman"/>
                <w:b/>
                <w:sz w:val="22"/>
                <w:szCs w:val="22"/>
              </w:rPr>
            </w:pPr>
            <w:r w:rsidRPr="00380E87">
              <w:rPr>
                <w:rFonts w:ascii="Times New Roman" w:hAnsi="Times New Roman"/>
                <w:b/>
                <w:sz w:val="22"/>
                <w:szCs w:val="22"/>
              </w:rPr>
              <w:t>Rate (mg/L/h)</w:t>
            </w:r>
          </w:p>
        </w:tc>
      </w:tr>
      <w:tr w:rsidR="00521D26" w:rsidRPr="00380E87" w14:paraId="4DAAED0D" w14:textId="77777777" w:rsidTr="00521D26">
        <w:tc>
          <w:tcPr>
            <w:tcW w:w="0" w:type="auto"/>
            <w:vMerge w:val="restart"/>
            <w:tcBorders>
              <w:top w:val="single" w:sz="4" w:space="0" w:color="auto"/>
            </w:tcBorders>
            <w:vAlign w:val="center"/>
          </w:tcPr>
          <w:p w14:paraId="7014F1AC"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THF</w:t>
            </w:r>
          </w:p>
        </w:tc>
        <w:tc>
          <w:tcPr>
            <w:tcW w:w="0" w:type="auto"/>
            <w:tcBorders>
              <w:top w:val="single" w:sz="4" w:space="0" w:color="auto"/>
            </w:tcBorders>
            <w:vAlign w:val="center"/>
          </w:tcPr>
          <w:p w14:paraId="6E8839D5"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Control</w:t>
            </w:r>
          </w:p>
        </w:tc>
        <w:tc>
          <w:tcPr>
            <w:tcW w:w="0" w:type="auto"/>
            <w:tcBorders>
              <w:top w:val="single" w:sz="4" w:space="0" w:color="auto"/>
            </w:tcBorders>
            <w:vAlign w:val="center"/>
          </w:tcPr>
          <w:p w14:paraId="7B1FA560"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10</w:t>
            </w:r>
          </w:p>
        </w:tc>
        <w:tc>
          <w:tcPr>
            <w:tcW w:w="0" w:type="auto"/>
            <w:tcBorders>
              <w:top w:val="single" w:sz="4" w:space="0" w:color="auto"/>
            </w:tcBorders>
            <w:vAlign w:val="center"/>
          </w:tcPr>
          <w:p w14:paraId="08183D9A"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10</w:t>
            </w:r>
          </w:p>
        </w:tc>
        <w:tc>
          <w:tcPr>
            <w:tcW w:w="0" w:type="auto"/>
            <w:tcBorders>
              <w:top w:val="single" w:sz="4" w:space="0" w:color="auto"/>
            </w:tcBorders>
            <w:vAlign w:val="center"/>
          </w:tcPr>
          <w:p w14:paraId="24FFFBD0"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10</w:t>
            </w:r>
          </w:p>
        </w:tc>
        <w:tc>
          <w:tcPr>
            <w:tcW w:w="0" w:type="auto"/>
            <w:tcBorders>
              <w:top w:val="single" w:sz="4" w:space="0" w:color="auto"/>
            </w:tcBorders>
            <w:vAlign w:val="center"/>
          </w:tcPr>
          <w:p w14:paraId="0B6C1D41"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0</w:t>
            </w:r>
          </w:p>
        </w:tc>
      </w:tr>
      <w:tr w:rsidR="00521D26" w:rsidRPr="00380E87" w14:paraId="31FC41C0" w14:textId="77777777" w:rsidTr="00521D26">
        <w:tc>
          <w:tcPr>
            <w:tcW w:w="0" w:type="auto"/>
            <w:vMerge/>
            <w:tcBorders>
              <w:bottom w:val="single" w:sz="4" w:space="0" w:color="auto"/>
            </w:tcBorders>
            <w:vAlign w:val="center"/>
          </w:tcPr>
          <w:p w14:paraId="3154EC88" w14:textId="77777777" w:rsidR="00521D26" w:rsidRPr="00380E87" w:rsidRDefault="00521D26" w:rsidP="00521D26">
            <w:pPr>
              <w:pStyle w:val="TCTableBody"/>
              <w:jc w:val="center"/>
              <w:rPr>
                <w:rFonts w:ascii="Times New Roman" w:hAnsi="Times New Roman"/>
                <w:sz w:val="22"/>
                <w:szCs w:val="22"/>
              </w:rPr>
            </w:pPr>
          </w:p>
        </w:tc>
        <w:tc>
          <w:tcPr>
            <w:tcW w:w="0" w:type="auto"/>
            <w:tcBorders>
              <w:bottom w:val="single" w:sz="4" w:space="0" w:color="auto"/>
            </w:tcBorders>
            <w:vAlign w:val="center"/>
          </w:tcPr>
          <w:p w14:paraId="2202EAF6"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Test</w:t>
            </w:r>
          </w:p>
        </w:tc>
        <w:tc>
          <w:tcPr>
            <w:tcW w:w="0" w:type="auto"/>
            <w:tcBorders>
              <w:bottom w:val="single" w:sz="4" w:space="0" w:color="auto"/>
            </w:tcBorders>
            <w:vAlign w:val="center"/>
          </w:tcPr>
          <w:p w14:paraId="64FC92C4"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10</w:t>
            </w:r>
          </w:p>
        </w:tc>
        <w:tc>
          <w:tcPr>
            <w:tcW w:w="0" w:type="auto"/>
            <w:tcBorders>
              <w:bottom w:val="single" w:sz="4" w:space="0" w:color="auto"/>
            </w:tcBorders>
            <w:vAlign w:val="center"/>
          </w:tcPr>
          <w:p w14:paraId="48975A45"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30</w:t>
            </w:r>
          </w:p>
        </w:tc>
        <w:tc>
          <w:tcPr>
            <w:tcW w:w="0" w:type="auto"/>
            <w:tcBorders>
              <w:bottom w:val="single" w:sz="4" w:space="0" w:color="auto"/>
            </w:tcBorders>
            <w:vAlign w:val="center"/>
          </w:tcPr>
          <w:p w14:paraId="716EE693"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30-100</w:t>
            </w:r>
          </w:p>
        </w:tc>
        <w:tc>
          <w:tcPr>
            <w:tcW w:w="0" w:type="auto"/>
            <w:tcBorders>
              <w:bottom w:val="single" w:sz="4" w:space="0" w:color="auto"/>
            </w:tcBorders>
            <w:vAlign w:val="center"/>
          </w:tcPr>
          <w:p w14:paraId="4690899E"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14</w:t>
            </w:r>
          </w:p>
        </w:tc>
      </w:tr>
      <w:tr w:rsidR="00521D26" w:rsidRPr="00380E87" w14:paraId="2616B02D" w14:textId="77777777" w:rsidTr="00521D26">
        <w:tc>
          <w:tcPr>
            <w:tcW w:w="0" w:type="auto"/>
            <w:vMerge w:val="restart"/>
            <w:tcBorders>
              <w:top w:val="single" w:sz="4" w:space="0" w:color="auto"/>
            </w:tcBorders>
            <w:vAlign w:val="center"/>
          </w:tcPr>
          <w:p w14:paraId="357323F0"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CPME</w:t>
            </w:r>
          </w:p>
        </w:tc>
        <w:tc>
          <w:tcPr>
            <w:tcW w:w="0" w:type="auto"/>
            <w:tcBorders>
              <w:top w:val="single" w:sz="4" w:space="0" w:color="auto"/>
            </w:tcBorders>
            <w:vAlign w:val="center"/>
          </w:tcPr>
          <w:p w14:paraId="1D368914"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Control</w:t>
            </w:r>
          </w:p>
        </w:tc>
        <w:tc>
          <w:tcPr>
            <w:tcW w:w="0" w:type="auto"/>
            <w:tcBorders>
              <w:top w:val="single" w:sz="4" w:space="0" w:color="auto"/>
            </w:tcBorders>
            <w:vAlign w:val="center"/>
          </w:tcPr>
          <w:p w14:paraId="50358467"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3</w:t>
            </w:r>
          </w:p>
        </w:tc>
        <w:tc>
          <w:tcPr>
            <w:tcW w:w="0" w:type="auto"/>
            <w:tcBorders>
              <w:top w:val="single" w:sz="4" w:space="0" w:color="auto"/>
            </w:tcBorders>
            <w:vAlign w:val="center"/>
          </w:tcPr>
          <w:p w14:paraId="30254FD7"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3</w:t>
            </w:r>
          </w:p>
        </w:tc>
        <w:tc>
          <w:tcPr>
            <w:tcW w:w="0" w:type="auto"/>
            <w:tcBorders>
              <w:top w:val="single" w:sz="4" w:space="0" w:color="auto"/>
            </w:tcBorders>
            <w:vAlign w:val="center"/>
          </w:tcPr>
          <w:p w14:paraId="2274BE94"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3</w:t>
            </w:r>
          </w:p>
        </w:tc>
        <w:tc>
          <w:tcPr>
            <w:tcW w:w="0" w:type="auto"/>
            <w:tcBorders>
              <w:top w:val="single" w:sz="4" w:space="0" w:color="auto"/>
            </w:tcBorders>
            <w:vAlign w:val="center"/>
          </w:tcPr>
          <w:p w14:paraId="73BFF493"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0</w:t>
            </w:r>
          </w:p>
        </w:tc>
      </w:tr>
      <w:tr w:rsidR="00521D26" w:rsidRPr="00380E87" w14:paraId="7BFD4A6D" w14:textId="77777777" w:rsidTr="00521D26">
        <w:tc>
          <w:tcPr>
            <w:tcW w:w="0" w:type="auto"/>
            <w:vMerge/>
            <w:tcBorders>
              <w:bottom w:val="single" w:sz="4" w:space="0" w:color="auto"/>
            </w:tcBorders>
            <w:vAlign w:val="center"/>
          </w:tcPr>
          <w:p w14:paraId="4F718317" w14:textId="77777777" w:rsidR="00521D26" w:rsidRPr="00380E87" w:rsidRDefault="00521D26" w:rsidP="00521D26">
            <w:pPr>
              <w:pStyle w:val="TCTableBody"/>
              <w:jc w:val="center"/>
              <w:rPr>
                <w:rFonts w:ascii="Times New Roman" w:hAnsi="Times New Roman"/>
                <w:sz w:val="22"/>
                <w:szCs w:val="22"/>
              </w:rPr>
            </w:pPr>
          </w:p>
        </w:tc>
        <w:tc>
          <w:tcPr>
            <w:tcW w:w="0" w:type="auto"/>
            <w:tcBorders>
              <w:bottom w:val="single" w:sz="4" w:space="0" w:color="auto"/>
            </w:tcBorders>
            <w:vAlign w:val="center"/>
          </w:tcPr>
          <w:p w14:paraId="50BEF3E7"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Test</w:t>
            </w:r>
          </w:p>
        </w:tc>
        <w:tc>
          <w:tcPr>
            <w:tcW w:w="0" w:type="auto"/>
            <w:tcBorders>
              <w:bottom w:val="single" w:sz="4" w:space="0" w:color="auto"/>
            </w:tcBorders>
            <w:vAlign w:val="center"/>
          </w:tcPr>
          <w:p w14:paraId="489FC9FF"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3</w:t>
            </w:r>
          </w:p>
        </w:tc>
        <w:tc>
          <w:tcPr>
            <w:tcW w:w="0" w:type="auto"/>
            <w:tcBorders>
              <w:bottom w:val="single" w:sz="4" w:space="0" w:color="auto"/>
            </w:tcBorders>
            <w:vAlign w:val="center"/>
          </w:tcPr>
          <w:p w14:paraId="351516C0"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10</w:t>
            </w:r>
          </w:p>
        </w:tc>
        <w:tc>
          <w:tcPr>
            <w:tcW w:w="0" w:type="auto"/>
            <w:tcBorders>
              <w:bottom w:val="single" w:sz="4" w:space="0" w:color="auto"/>
            </w:tcBorders>
            <w:vAlign w:val="center"/>
          </w:tcPr>
          <w:p w14:paraId="051698CC"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10</w:t>
            </w:r>
          </w:p>
        </w:tc>
        <w:tc>
          <w:tcPr>
            <w:tcW w:w="0" w:type="auto"/>
            <w:tcBorders>
              <w:bottom w:val="single" w:sz="4" w:space="0" w:color="auto"/>
            </w:tcBorders>
            <w:vAlign w:val="center"/>
          </w:tcPr>
          <w:p w14:paraId="4EF083CE"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2</w:t>
            </w:r>
          </w:p>
        </w:tc>
      </w:tr>
      <w:tr w:rsidR="00521D26" w:rsidRPr="00380E87" w14:paraId="3684D10E" w14:textId="77777777" w:rsidTr="00521D26">
        <w:tc>
          <w:tcPr>
            <w:tcW w:w="0" w:type="auto"/>
            <w:vMerge w:val="restart"/>
            <w:tcBorders>
              <w:top w:val="single" w:sz="4" w:space="0" w:color="auto"/>
            </w:tcBorders>
            <w:vAlign w:val="center"/>
          </w:tcPr>
          <w:p w14:paraId="3F1D3A93"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OME</w:t>
            </w:r>
            <w:r w:rsidRPr="00380E87">
              <w:rPr>
                <w:rFonts w:ascii="Times New Roman" w:hAnsi="Times New Roman"/>
                <w:sz w:val="22"/>
                <w:szCs w:val="22"/>
                <w:vertAlign w:val="subscript"/>
              </w:rPr>
              <w:t>3-5</w:t>
            </w:r>
          </w:p>
        </w:tc>
        <w:tc>
          <w:tcPr>
            <w:tcW w:w="0" w:type="auto"/>
            <w:tcBorders>
              <w:top w:val="single" w:sz="4" w:space="0" w:color="auto"/>
            </w:tcBorders>
            <w:vAlign w:val="center"/>
          </w:tcPr>
          <w:p w14:paraId="5F5CE05C"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Control</w:t>
            </w:r>
          </w:p>
        </w:tc>
        <w:tc>
          <w:tcPr>
            <w:tcW w:w="0" w:type="auto"/>
            <w:tcBorders>
              <w:top w:val="single" w:sz="4" w:space="0" w:color="auto"/>
            </w:tcBorders>
            <w:vAlign w:val="center"/>
          </w:tcPr>
          <w:p w14:paraId="091803CA"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10</w:t>
            </w:r>
          </w:p>
        </w:tc>
        <w:tc>
          <w:tcPr>
            <w:tcW w:w="0" w:type="auto"/>
            <w:tcBorders>
              <w:top w:val="single" w:sz="4" w:space="0" w:color="auto"/>
            </w:tcBorders>
            <w:vAlign w:val="center"/>
          </w:tcPr>
          <w:p w14:paraId="7956121A"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10</w:t>
            </w:r>
          </w:p>
        </w:tc>
        <w:tc>
          <w:tcPr>
            <w:tcW w:w="0" w:type="auto"/>
            <w:tcBorders>
              <w:top w:val="single" w:sz="4" w:space="0" w:color="auto"/>
            </w:tcBorders>
            <w:vAlign w:val="center"/>
          </w:tcPr>
          <w:p w14:paraId="760178B6"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10</w:t>
            </w:r>
          </w:p>
        </w:tc>
        <w:tc>
          <w:tcPr>
            <w:tcW w:w="0" w:type="auto"/>
            <w:tcBorders>
              <w:top w:val="single" w:sz="4" w:space="0" w:color="auto"/>
            </w:tcBorders>
            <w:vAlign w:val="center"/>
          </w:tcPr>
          <w:p w14:paraId="3180D554"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0</w:t>
            </w:r>
          </w:p>
        </w:tc>
      </w:tr>
      <w:tr w:rsidR="00521D26" w:rsidRPr="00380E87" w14:paraId="51F82511" w14:textId="77777777" w:rsidTr="00521D26">
        <w:tc>
          <w:tcPr>
            <w:tcW w:w="0" w:type="auto"/>
            <w:vMerge/>
            <w:tcBorders>
              <w:bottom w:val="single" w:sz="4" w:space="0" w:color="auto"/>
            </w:tcBorders>
            <w:vAlign w:val="center"/>
          </w:tcPr>
          <w:p w14:paraId="2054E240" w14:textId="77777777" w:rsidR="00521D26" w:rsidRPr="00380E87" w:rsidRDefault="00521D26" w:rsidP="00521D26">
            <w:pPr>
              <w:pStyle w:val="TCTableBody"/>
              <w:jc w:val="center"/>
              <w:rPr>
                <w:rFonts w:ascii="Times New Roman" w:hAnsi="Times New Roman"/>
                <w:sz w:val="22"/>
                <w:szCs w:val="22"/>
              </w:rPr>
            </w:pPr>
          </w:p>
        </w:tc>
        <w:tc>
          <w:tcPr>
            <w:tcW w:w="0" w:type="auto"/>
            <w:tcBorders>
              <w:bottom w:val="single" w:sz="4" w:space="0" w:color="auto"/>
            </w:tcBorders>
            <w:vAlign w:val="center"/>
          </w:tcPr>
          <w:p w14:paraId="737874C2"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Test</w:t>
            </w:r>
          </w:p>
        </w:tc>
        <w:tc>
          <w:tcPr>
            <w:tcW w:w="0" w:type="auto"/>
            <w:tcBorders>
              <w:bottom w:val="single" w:sz="4" w:space="0" w:color="auto"/>
            </w:tcBorders>
            <w:vAlign w:val="center"/>
          </w:tcPr>
          <w:p w14:paraId="6F242990"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10</w:t>
            </w:r>
          </w:p>
        </w:tc>
        <w:tc>
          <w:tcPr>
            <w:tcW w:w="0" w:type="auto"/>
            <w:tcBorders>
              <w:bottom w:val="single" w:sz="4" w:space="0" w:color="auto"/>
            </w:tcBorders>
            <w:vAlign w:val="center"/>
          </w:tcPr>
          <w:p w14:paraId="595B7983"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10</w:t>
            </w:r>
          </w:p>
        </w:tc>
        <w:tc>
          <w:tcPr>
            <w:tcW w:w="0" w:type="auto"/>
            <w:tcBorders>
              <w:bottom w:val="single" w:sz="4" w:space="0" w:color="auto"/>
            </w:tcBorders>
            <w:vAlign w:val="center"/>
          </w:tcPr>
          <w:p w14:paraId="25518EB4"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10-30</w:t>
            </w:r>
          </w:p>
        </w:tc>
        <w:tc>
          <w:tcPr>
            <w:tcW w:w="0" w:type="auto"/>
            <w:tcBorders>
              <w:bottom w:val="single" w:sz="4" w:space="0" w:color="auto"/>
            </w:tcBorders>
            <w:vAlign w:val="center"/>
          </w:tcPr>
          <w:p w14:paraId="44DC4963"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3</w:t>
            </w:r>
          </w:p>
        </w:tc>
      </w:tr>
      <w:tr w:rsidR="00521D26" w:rsidRPr="00380E87" w14:paraId="7DBC3A73" w14:textId="77777777" w:rsidTr="00521D26">
        <w:tc>
          <w:tcPr>
            <w:tcW w:w="0" w:type="auto"/>
            <w:vMerge w:val="restart"/>
            <w:tcBorders>
              <w:top w:val="single" w:sz="4" w:space="0" w:color="auto"/>
            </w:tcBorders>
            <w:vAlign w:val="center"/>
          </w:tcPr>
          <w:p w14:paraId="37B2EFAB"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OME</w:t>
            </w:r>
            <w:r w:rsidRPr="00380E87">
              <w:rPr>
                <w:rFonts w:ascii="Times New Roman" w:hAnsi="Times New Roman"/>
                <w:sz w:val="22"/>
                <w:szCs w:val="22"/>
                <w:vertAlign w:val="subscript"/>
              </w:rPr>
              <w:t>3</w:t>
            </w:r>
          </w:p>
        </w:tc>
        <w:tc>
          <w:tcPr>
            <w:tcW w:w="0" w:type="auto"/>
            <w:tcBorders>
              <w:top w:val="single" w:sz="4" w:space="0" w:color="auto"/>
            </w:tcBorders>
            <w:vAlign w:val="center"/>
          </w:tcPr>
          <w:p w14:paraId="66A13B93"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Control</w:t>
            </w:r>
          </w:p>
        </w:tc>
        <w:tc>
          <w:tcPr>
            <w:tcW w:w="0" w:type="auto"/>
            <w:tcBorders>
              <w:top w:val="single" w:sz="4" w:space="0" w:color="auto"/>
            </w:tcBorders>
            <w:vAlign w:val="center"/>
          </w:tcPr>
          <w:p w14:paraId="5277690B"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3</w:t>
            </w:r>
          </w:p>
        </w:tc>
        <w:tc>
          <w:tcPr>
            <w:tcW w:w="0" w:type="auto"/>
            <w:tcBorders>
              <w:top w:val="single" w:sz="4" w:space="0" w:color="auto"/>
            </w:tcBorders>
            <w:vAlign w:val="center"/>
          </w:tcPr>
          <w:p w14:paraId="4A05A163"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3</w:t>
            </w:r>
          </w:p>
        </w:tc>
        <w:tc>
          <w:tcPr>
            <w:tcW w:w="0" w:type="auto"/>
            <w:tcBorders>
              <w:top w:val="single" w:sz="4" w:space="0" w:color="auto"/>
            </w:tcBorders>
            <w:vAlign w:val="center"/>
          </w:tcPr>
          <w:p w14:paraId="550D3D5D"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3</w:t>
            </w:r>
          </w:p>
        </w:tc>
        <w:tc>
          <w:tcPr>
            <w:tcW w:w="0" w:type="auto"/>
            <w:tcBorders>
              <w:top w:val="single" w:sz="4" w:space="0" w:color="auto"/>
            </w:tcBorders>
            <w:vAlign w:val="center"/>
          </w:tcPr>
          <w:p w14:paraId="77F7EFEC"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0</w:t>
            </w:r>
          </w:p>
        </w:tc>
      </w:tr>
      <w:tr w:rsidR="00521D26" w:rsidRPr="00380E87" w14:paraId="20D0CD8C" w14:textId="77777777" w:rsidTr="00521D26">
        <w:tc>
          <w:tcPr>
            <w:tcW w:w="0" w:type="auto"/>
            <w:vMerge/>
            <w:tcBorders>
              <w:bottom w:val="single" w:sz="4" w:space="0" w:color="auto"/>
            </w:tcBorders>
            <w:vAlign w:val="center"/>
          </w:tcPr>
          <w:p w14:paraId="391B4896" w14:textId="77777777" w:rsidR="00521D26" w:rsidRPr="00380E87" w:rsidRDefault="00521D26" w:rsidP="00521D26">
            <w:pPr>
              <w:pStyle w:val="TCTableBody"/>
              <w:jc w:val="center"/>
              <w:rPr>
                <w:rFonts w:ascii="Times New Roman" w:hAnsi="Times New Roman"/>
                <w:sz w:val="22"/>
                <w:szCs w:val="22"/>
              </w:rPr>
            </w:pPr>
          </w:p>
        </w:tc>
        <w:tc>
          <w:tcPr>
            <w:tcW w:w="0" w:type="auto"/>
            <w:tcBorders>
              <w:bottom w:val="single" w:sz="4" w:space="0" w:color="auto"/>
            </w:tcBorders>
            <w:vAlign w:val="center"/>
          </w:tcPr>
          <w:p w14:paraId="66BC713D"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Test</w:t>
            </w:r>
          </w:p>
        </w:tc>
        <w:tc>
          <w:tcPr>
            <w:tcW w:w="0" w:type="auto"/>
            <w:tcBorders>
              <w:bottom w:val="single" w:sz="4" w:space="0" w:color="auto"/>
            </w:tcBorders>
            <w:vAlign w:val="center"/>
          </w:tcPr>
          <w:p w14:paraId="66512DB0"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3</w:t>
            </w:r>
          </w:p>
        </w:tc>
        <w:tc>
          <w:tcPr>
            <w:tcW w:w="0" w:type="auto"/>
            <w:tcBorders>
              <w:bottom w:val="single" w:sz="4" w:space="0" w:color="auto"/>
            </w:tcBorders>
            <w:vAlign w:val="center"/>
          </w:tcPr>
          <w:p w14:paraId="5352B4CB"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3-10</w:t>
            </w:r>
          </w:p>
        </w:tc>
        <w:tc>
          <w:tcPr>
            <w:tcW w:w="0" w:type="auto"/>
            <w:tcBorders>
              <w:bottom w:val="single" w:sz="4" w:space="0" w:color="auto"/>
            </w:tcBorders>
            <w:vAlign w:val="center"/>
          </w:tcPr>
          <w:p w14:paraId="26EEB341"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10</w:t>
            </w:r>
          </w:p>
        </w:tc>
        <w:tc>
          <w:tcPr>
            <w:tcW w:w="0" w:type="auto"/>
            <w:tcBorders>
              <w:bottom w:val="single" w:sz="4" w:space="0" w:color="auto"/>
            </w:tcBorders>
            <w:vAlign w:val="center"/>
          </w:tcPr>
          <w:p w14:paraId="2E5F807B"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2</w:t>
            </w:r>
          </w:p>
        </w:tc>
      </w:tr>
      <w:tr w:rsidR="00521D26" w:rsidRPr="00380E87" w14:paraId="5A7E5888" w14:textId="77777777" w:rsidTr="00521D26">
        <w:tc>
          <w:tcPr>
            <w:tcW w:w="0" w:type="auto"/>
            <w:vMerge w:val="restart"/>
            <w:tcBorders>
              <w:top w:val="single" w:sz="4" w:space="0" w:color="auto"/>
            </w:tcBorders>
            <w:vAlign w:val="center"/>
          </w:tcPr>
          <w:p w14:paraId="056A25B1"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OME</w:t>
            </w:r>
            <w:r w:rsidRPr="00380E87">
              <w:rPr>
                <w:rFonts w:ascii="Times New Roman" w:hAnsi="Times New Roman"/>
                <w:sz w:val="22"/>
                <w:szCs w:val="22"/>
                <w:vertAlign w:val="subscript"/>
              </w:rPr>
              <w:t>4</w:t>
            </w:r>
          </w:p>
        </w:tc>
        <w:tc>
          <w:tcPr>
            <w:tcW w:w="0" w:type="auto"/>
            <w:tcBorders>
              <w:top w:val="single" w:sz="4" w:space="0" w:color="auto"/>
            </w:tcBorders>
            <w:vAlign w:val="center"/>
          </w:tcPr>
          <w:p w14:paraId="5434A2C2"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Control</w:t>
            </w:r>
          </w:p>
        </w:tc>
        <w:tc>
          <w:tcPr>
            <w:tcW w:w="0" w:type="auto"/>
            <w:tcBorders>
              <w:top w:val="single" w:sz="4" w:space="0" w:color="auto"/>
            </w:tcBorders>
            <w:vAlign w:val="center"/>
          </w:tcPr>
          <w:p w14:paraId="0254D3CF"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1-3</w:t>
            </w:r>
          </w:p>
        </w:tc>
        <w:tc>
          <w:tcPr>
            <w:tcW w:w="0" w:type="auto"/>
            <w:tcBorders>
              <w:top w:val="single" w:sz="4" w:space="0" w:color="auto"/>
            </w:tcBorders>
            <w:vAlign w:val="center"/>
          </w:tcPr>
          <w:p w14:paraId="0B4E4BD3"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1-3</w:t>
            </w:r>
          </w:p>
        </w:tc>
        <w:tc>
          <w:tcPr>
            <w:tcW w:w="0" w:type="auto"/>
            <w:tcBorders>
              <w:top w:val="single" w:sz="4" w:space="0" w:color="auto"/>
            </w:tcBorders>
            <w:vAlign w:val="center"/>
          </w:tcPr>
          <w:p w14:paraId="55BF83CB"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1-3</w:t>
            </w:r>
          </w:p>
        </w:tc>
        <w:tc>
          <w:tcPr>
            <w:tcW w:w="0" w:type="auto"/>
            <w:tcBorders>
              <w:top w:val="single" w:sz="4" w:space="0" w:color="auto"/>
            </w:tcBorders>
            <w:vAlign w:val="center"/>
          </w:tcPr>
          <w:p w14:paraId="2F2FDEAD"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0</w:t>
            </w:r>
          </w:p>
        </w:tc>
      </w:tr>
      <w:tr w:rsidR="00521D26" w:rsidRPr="00380E87" w14:paraId="7260B387" w14:textId="77777777" w:rsidTr="00521D26">
        <w:tc>
          <w:tcPr>
            <w:tcW w:w="0" w:type="auto"/>
            <w:vMerge/>
            <w:tcBorders>
              <w:bottom w:val="single" w:sz="4" w:space="0" w:color="auto"/>
            </w:tcBorders>
            <w:vAlign w:val="center"/>
          </w:tcPr>
          <w:p w14:paraId="3C173066" w14:textId="77777777" w:rsidR="00521D26" w:rsidRPr="00380E87" w:rsidRDefault="00521D26" w:rsidP="00521D26">
            <w:pPr>
              <w:pStyle w:val="TCTableBody"/>
              <w:jc w:val="center"/>
              <w:rPr>
                <w:rFonts w:ascii="Times New Roman" w:hAnsi="Times New Roman"/>
                <w:sz w:val="22"/>
                <w:szCs w:val="22"/>
              </w:rPr>
            </w:pPr>
          </w:p>
        </w:tc>
        <w:tc>
          <w:tcPr>
            <w:tcW w:w="0" w:type="auto"/>
            <w:tcBorders>
              <w:bottom w:val="single" w:sz="4" w:space="0" w:color="auto"/>
            </w:tcBorders>
            <w:vAlign w:val="center"/>
          </w:tcPr>
          <w:p w14:paraId="60A88E79"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Test</w:t>
            </w:r>
          </w:p>
        </w:tc>
        <w:tc>
          <w:tcPr>
            <w:tcW w:w="0" w:type="auto"/>
            <w:tcBorders>
              <w:bottom w:val="single" w:sz="4" w:space="0" w:color="auto"/>
            </w:tcBorders>
            <w:vAlign w:val="center"/>
          </w:tcPr>
          <w:p w14:paraId="3D6E947E"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1-3</w:t>
            </w:r>
          </w:p>
        </w:tc>
        <w:tc>
          <w:tcPr>
            <w:tcW w:w="0" w:type="auto"/>
            <w:tcBorders>
              <w:bottom w:val="single" w:sz="4" w:space="0" w:color="auto"/>
            </w:tcBorders>
            <w:vAlign w:val="center"/>
          </w:tcPr>
          <w:p w14:paraId="56438C20"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3</w:t>
            </w:r>
          </w:p>
        </w:tc>
        <w:tc>
          <w:tcPr>
            <w:tcW w:w="0" w:type="auto"/>
            <w:tcBorders>
              <w:bottom w:val="single" w:sz="4" w:space="0" w:color="auto"/>
            </w:tcBorders>
            <w:vAlign w:val="center"/>
          </w:tcPr>
          <w:p w14:paraId="7863861B"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3-10</w:t>
            </w:r>
          </w:p>
        </w:tc>
        <w:tc>
          <w:tcPr>
            <w:tcW w:w="0" w:type="auto"/>
            <w:tcBorders>
              <w:bottom w:val="single" w:sz="4" w:space="0" w:color="auto"/>
            </w:tcBorders>
            <w:vAlign w:val="center"/>
          </w:tcPr>
          <w:p w14:paraId="1D1CBBE3"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1</w:t>
            </w:r>
          </w:p>
        </w:tc>
      </w:tr>
      <w:tr w:rsidR="00521D26" w:rsidRPr="00380E87" w14:paraId="687C6D77" w14:textId="77777777" w:rsidTr="00521D26">
        <w:tc>
          <w:tcPr>
            <w:tcW w:w="0" w:type="auto"/>
            <w:vMerge w:val="restart"/>
            <w:tcBorders>
              <w:top w:val="single" w:sz="4" w:space="0" w:color="auto"/>
            </w:tcBorders>
            <w:vAlign w:val="center"/>
          </w:tcPr>
          <w:p w14:paraId="02D42780"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OME</w:t>
            </w:r>
            <w:r w:rsidRPr="00380E87">
              <w:rPr>
                <w:rFonts w:ascii="Times New Roman" w:hAnsi="Times New Roman"/>
                <w:sz w:val="22"/>
                <w:szCs w:val="22"/>
                <w:vertAlign w:val="subscript"/>
              </w:rPr>
              <w:t>5</w:t>
            </w:r>
          </w:p>
        </w:tc>
        <w:tc>
          <w:tcPr>
            <w:tcW w:w="0" w:type="auto"/>
            <w:tcBorders>
              <w:top w:val="single" w:sz="4" w:space="0" w:color="auto"/>
            </w:tcBorders>
            <w:vAlign w:val="center"/>
          </w:tcPr>
          <w:p w14:paraId="1FFC0AE1"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Control</w:t>
            </w:r>
          </w:p>
        </w:tc>
        <w:tc>
          <w:tcPr>
            <w:tcW w:w="0" w:type="auto"/>
            <w:tcBorders>
              <w:top w:val="single" w:sz="4" w:space="0" w:color="auto"/>
            </w:tcBorders>
            <w:vAlign w:val="center"/>
          </w:tcPr>
          <w:p w14:paraId="233A281E"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&lt;1</w:t>
            </w:r>
          </w:p>
        </w:tc>
        <w:tc>
          <w:tcPr>
            <w:tcW w:w="0" w:type="auto"/>
            <w:tcBorders>
              <w:top w:val="single" w:sz="4" w:space="0" w:color="auto"/>
            </w:tcBorders>
            <w:vAlign w:val="center"/>
          </w:tcPr>
          <w:p w14:paraId="0921D13B"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&lt;1</w:t>
            </w:r>
          </w:p>
        </w:tc>
        <w:tc>
          <w:tcPr>
            <w:tcW w:w="0" w:type="auto"/>
            <w:tcBorders>
              <w:top w:val="single" w:sz="4" w:space="0" w:color="auto"/>
            </w:tcBorders>
            <w:vAlign w:val="center"/>
          </w:tcPr>
          <w:p w14:paraId="71647F1A"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&lt;1</w:t>
            </w:r>
          </w:p>
        </w:tc>
        <w:tc>
          <w:tcPr>
            <w:tcW w:w="0" w:type="auto"/>
            <w:tcBorders>
              <w:top w:val="single" w:sz="4" w:space="0" w:color="auto"/>
            </w:tcBorders>
            <w:vAlign w:val="center"/>
          </w:tcPr>
          <w:p w14:paraId="376CEAE7"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0</w:t>
            </w:r>
          </w:p>
        </w:tc>
      </w:tr>
      <w:tr w:rsidR="00521D26" w:rsidRPr="00380E87" w14:paraId="20F4AAD3" w14:textId="77777777" w:rsidTr="00521D26">
        <w:tc>
          <w:tcPr>
            <w:tcW w:w="0" w:type="auto"/>
            <w:vMerge/>
            <w:tcBorders>
              <w:bottom w:val="single" w:sz="4" w:space="0" w:color="auto"/>
            </w:tcBorders>
            <w:vAlign w:val="center"/>
          </w:tcPr>
          <w:p w14:paraId="08806E5D" w14:textId="77777777" w:rsidR="00521D26" w:rsidRPr="00380E87" w:rsidRDefault="00521D26" w:rsidP="00521D26">
            <w:pPr>
              <w:pStyle w:val="TCTableBody"/>
              <w:jc w:val="center"/>
              <w:rPr>
                <w:rFonts w:ascii="Times New Roman" w:hAnsi="Times New Roman"/>
                <w:sz w:val="22"/>
                <w:szCs w:val="22"/>
              </w:rPr>
            </w:pPr>
          </w:p>
        </w:tc>
        <w:tc>
          <w:tcPr>
            <w:tcW w:w="0" w:type="auto"/>
            <w:tcBorders>
              <w:bottom w:val="single" w:sz="4" w:space="0" w:color="auto"/>
            </w:tcBorders>
            <w:vAlign w:val="center"/>
          </w:tcPr>
          <w:p w14:paraId="42168A20"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Test</w:t>
            </w:r>
          </w:p>
        </w:tc>
        <w:tc>
          <w:tcPr>
            <w:tcW w:w="0" w:type="auto"/>
            <w:tcBorders>
              <w:bottom w:val="single" w:sz="4" w:space="0" w:color="auto"/>
            </w:tcBorders>
            <w:vAlign w:val="center"/>
          </w:tcPr>
          <w:p w14:paraId="75BDCB22"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&lt;1</w:t>
            </w:r>
          </w:p>
        </w:tc>
        <w:tc>
          <w:tcPr>
            <w:tcW w:w="0" w:type="auto"/>
            <w:tcBorders>
              <w:bottom w:val="single" w:sz="4" w:space="0" w:color="auto"/>
            </w:tcBorders>
            <w:vAlign w:val="center"/>
          </w:tcPr>
          <w:p w14:paraId="0D26CB92"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1-3</w:t>
            </w:r>
          </w:p>
        </w:tc>
        <w:tc>
          <w:tcPr>
            <w:tcW w:w="0" w:type="auto"/>
            <w:tcBorders>
              <w:bottom w:val="single" w:sz="4" w:space="0" w:color="auto"/>
            </w:tcBorders>
            <w:vAlign w:val="center"/>
          </w:tcPr>
          <w:p w14:paraId="245C4907"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3</w:t>
            </w:r>
          </w:p>
        </w:tc>
        <w:tc>
          <w:tcPr>
            <w:tcW w:w="0" w:type="auto"/>
            <w:tcBorders>
              <w:bottom w:val="single" w:sz="4" w:space="0" w:color="auto"/>
            </w:tcBorders>
            <w:vAlign w:val="center"/>
          </w:tcPr>
          <w:p w14:paraId="036A52BC" w14:textId="77777777" w:rsidR="00521D26" w:rsidRPr="00380E87" w:rsidRDefault="00521D26" w:rsidP="00521D26">
            <w:pPr>
              <w:pStyle w:val="TCTableBody"/>
              <w:jc w:val="center"/>
              <w:rPr>
                <w:rFonts w:ascii="Times New Roman" w:hAnsi="Times New Roman"/>
                <w:sz w:val="22"/>
                <w:szCs w:val="22"/>
              </w:rPr>
            </w:pPr>
            <w:r w:rsidRPr="00380E87">
              <w:rPr>
                <w:rFonts w:ascii="Times New Roman" w:hAnsi="Times New Roman"/>
                <w:sz w:val="22"/>
                <w:szCs w:val="22"/>
              </w:rPr>
              <w:t>1</w:t>
            </w:r>
          </w:p>
        </w:tc>
      </w:tr>
    </w:tbl>
    <w:p w14:paraId="1A0F8EDB" w14:textId="680C2070" w:rsidR="00521D26" w:rsidRDefault="00521D26" w:rsidP="00B8644B"/>
    <w:p w14:paraId="34456A51" w14:textId="77777777" w:rsidR="00521D26" w:rsidRPr="00B8644B" w:rsidRDefault="00521D26" w:rsidP="00B8644B"/>
    <w:p w14:paraId="06D75BCE" w14:textId="77777777" w:rsidR="00521D26" w:rsidRDefault="00521D26" w:rsidP="00654F76">
      <w:pPr>
        <w:pStyle w:val="TAMainText"/>
        <w:rPr>
          <w:rFonts w:ascii="Times New Roman" w:hAnsi="Times New Roman"/>
        </w:rPr>
      </w:pPr>
    </w:p>
    <w:p w14:paraId="471DB81D" w14:textId="77777777" w:rsidR="00521D26" w:rsidRDefault="00521D26" w:rsidP="00654F76">
      <w:pPr>
        <w:pStyle w:val="TAMainText"/>
        <w:rPr>
          <w:rFonts w:ascii="Times New Roman" w:hAnsi="Times New Roman"/>
        </w:rPr>
      </w:pPr>
    </w:p>
    <w:p w14:paraId="3A4D851C" w14:textId="77777777" w:rsidR="00521D26" w:rsidRDefault="00521D26" w:rsidP="00654F76">
      <w:pPr>
        <w:pStyle w:val="TAMainText"/>
        <w:rPr>
          <w:rFonts w:ascii="Times New Roman" w:hAnsi="Times New Roman"/>
        </w:rPr>
      </w:pPr>
    </w:p>
    <w:p w14:paraId="2EF454F0" w14:textId="77777777" w:rsidR="00521D26" w:rsidRDefault="00521D26" w:rsidP="00654F76">
      <w:pPr>
        <w:pStyle w:val="TAMainText"/>
        <w:rPr>
          <w:rFonts w:ascii="Times New Roman" w:hAnsi="Times New Roman"/>
        </w:rPr>
      </w:pPr>
    </w:p>
    <w:p w14:paraId="0C5D4D48" w14:textId="77777777" w:rsidR="00521D26" w:rsidRDefault="00521D26" w:rsidP="00654F76">
      <w:pPr>
        <w:pStyle w:val="TAMainText"/>
        <w:rPr>
          <w:rFonts w:ascii="Times New Roman" w:hAnsi="Times New Roman"/>
        </w:rPr>
      </w:pPr>
    </w:p>
    <w:p w14:paraId="3F1ECA4E" w14:textId="77777777" w:rsidR="00521D26" w:rsidRDefault="00521D26" w:rsidP="00654F76">
      <w:pPr>
        <w:pStyle w:val="TAMainText"/>
        <w:rPr>
          <w:rFonts w:ascii="Times New Roman" w:hAnsi="Times New Roman"/>
        </w:rPr>
      </w:pPr>
    </w:p>
    <w:p w14:paraId="29F16FC5" w14:textId="77777777" w:rsidR="00521D26" w:rsidRDefault="00521D26" w:rsidP="00071D76">
      <w:pPr>
        <w:pStyle w:val="TAMainText"/>
        <w:ind w:firstLine="0"/>
        <w:rPr>
          <w:rFonts w:ascii="Times New Roman" w:hAnsi="Times New Roman"/>
        </w:rPr>
      </w:pPr>
    </w:p>
    <w:p w14:paraId="2DD72FAB" w14:textId="77777777" w:rsidR="00FA6153" w:rsidRDefault="00FA6153" w:rsidP="00654F76">
      <w:pPr>
        <w:pStyle w:val="TAMainText"/>
        <w:rPr>
          <w:rFonts w:ascii="Times New Roman" w:hAnsi="Times New Roman"/>
        </w:rPr>
      </w:pPr>
    </w:p>
    <w:p w14:paraId="178E0C16" w14:textId="77777777" w:rsidR="00F40F25" w:rsidRDefault="00F40F25" w:rsidP="00654F76">
      <w:pPr>
        <w:pStyle w:val="TAMainText"/>
        <w:rPr>
          <w:rFonts w:ascii="Times New Roman" w:hAnsi="Times New Roman"/>
        </w:rPr>
      </w:pPr>
    </w:p>
    <w:p w14:paraId="241CFA62" w14:textId="77777777" w:rsidR="00F40F25" w:rsidRDefault="00F40F25" w:rsidP="00654F76">
      <w:pPr>
        <w:pStyle w:val="TAMainText"/>
        <w:rPr>
          <w:rFonts w:ascii="Times New Roman" w:hAnsi="Times New Roman"/>
        </w:rPr>
      </w:pPr>
    </w:p>
    <w:p w14:paraId="2FFC3C42" w14:textId="416335C8" w:rsidR="00D92D4F" w:rsidRDefault="001974A7" w:rsidP="00654F76">
      <w:pPr>
        <w:pStyle w:val="TAMainText"/>
        <w:rPr>
          <w:rFonts w:ascii="Times New Roman" w:hAnsi="Times New Roman"/>
          <w:noProof/>
        </w:rPr>
      </w:pPr>
      <w:r w:rsidRPr="001974A7">
        <w:rPr>
          <w:rFonts w:ascii="Times New Roman" w:hAnsi="Times New Roman"/>
        </w:rPr>
        <w:t>Wang and Shen reported the decomposition of OME</w:t>
      </w:r>
      <w:r w:rsidRPr="001974A7">
        <w:rPr>
          <w:rFonts w:ascii="Times New Roman" w:hAnsi="Times New Roman"/>
          <w:vertAlign w:val="subscript"/>
        </w:rPr>
        <w:t>5</w:t>
      </w:r>
      <w:r>
        <w:rPr>
          <w:rFonts w:ascii="Times New Roman" w:hAnsi="Times New Roman"/>
        </w:rPr>
        <w:t xml:space="preserve"> at 65</w:t>
      </w:r>
      <w:r>
        <w:rPr>
          <w:rFonts w:ascii="Times New Roman" w:hAnsi="Times New Roman"/>
        </w:rPr>
        <w:sym w:font="Symbol" w:char="F0B0"/>
      </w:r>
      <w:r w:rsidRPr="001974A7">
        <w:rPr>
          <w:rFonts w:ascii="Times New Roman" w:hAnsi="Times New Roman"/>
        </w:rPr>
        <w:t>C in the presence of hydrochloric or phosphoric acid, suggesting that th</w:t>
      </w:r>
      <w:r w:rsidR="00435D87">
        <w:rPr>
          <w:rFonts w:ascii="Times New Roman" w:hAnsi="Times New Roman"/>
        </w:rPr>
        <w:t>e</w:t>
      </w:r>
      <w:r w:rsidRPr="001974A7">
        <w:rPr>
          <w:rFonts w:ascii="Times New Roman" w:hAnsi="Times New Roman"/>
        </w:rPr>
        <w:t xml:space="preserve"> OME</w:t>
      </w:r>
      <w:r w:rsidRPr="001974A7">
        <w:rPr>
          <w:rFonts w:ascii="Times New Roman" w:hAnsi="Times New Roman"/>
          <w:vertAlign w:val="subscript"/>
        </w:rPr>
        <w:t>3-5</w:t>
      </w:r>
      <w:r w:rsidRPr="001974A7">
        <w:rPr>
          <w:rFonts w:ascii="Times New Roman" w:hAnsi="Times New Roman"/>
        </w:rPr>
        <w:t xml:space="preserve"> mixture may not be a suitable solvent for acid-catalyzed reactions.</w:t>
      </w:r>
      <w:r>
        <w:rPr>
          <w:rFonts w:ascii="Times New Roman" w:hAnsi="Times New Roman"/>
        </w:rPr>
        <w:fldChar w:fldCharType="begin"/>
      </w:r>
      <w:r w:rsidR="008C7FBE">
        <w:rPr>
          <w:rFonts w:ascii="Times New Roman" w:hAnsi="Times New Roman"/>
        </w:rPr>
        <w:instrText xml:space="preserve"> ADDIN ZOTERO_ITEM CSL_CITATION {"citationID":"PfBpl2Bh","properties":{"formattedCitation":"\\super 28\\nosupersub{}","plainCitation":"28","noteIndex":0},"citationItems":[{"id":314,"uris":["http://zotero.org/users/4674022/items/EB85WELS"],"uri":["http://zotero.org/users/4674022/items/EB85WELS"],"itemData":{"id":314,"type":"article-journal","title":"Decomposition of polyoxymethylene dimethyl ethers and synthesis of bisphenol F","container-title":"Catalysis Today","collection-title":"Catalytic Science and Technology in Sustainable Energy II (EECAT 2016)","page":"263-268","volume":"298","source":"ScienceDirect","abstract":"The decomposition of polyoxymethylene dimethyl ethers (PODEn) with and without the presence of water was investigated. Without water, the products from the decomposition of PODEn (n=2–5) contained smaller (PODEn-i) and larger (PODEn+i) homologues that followed the Schulz-Flory rule. However, the products from the decomposition of PODEn (n=1–5) in water contained only formaldehyde (FA), methanol and dimethoxymethane without any other PODEn±i. The reaction kinetics showed that the decomposition of PODEn in water was pseudo-zeroth order with respect to PODEn. The rate constants with pre-exponential factors and apparent activation energies were obtained for the decomposition reactions in water. Based on the above results, PODEn (n=1–5) were used as reactants to react with phenol for the synthesis of bisphenol F (BPF) catalyzed by phosphoric acid. PODE2 was found to be better than FA for the synthesis of BPF with the improved yield and selectivity.","DOI":"10.1016/j.cattod.2017.01.041","ISSN":"0920-5861","journalAbbreviation":"Catalysis Today","author":[{"family":"Wang","given":"Hui"},{"family":"Shen","given":"Jianyi"}],"issued":{"date-parts":[["2017",12,1]]}}}],"schema":"https://github.com/citation-style-language/schema/raw/master/csl-citation.json"} </w:instrText>
      </w:r>
      <w:r>
        <w:rPr>
          <w:rFonts w:ascii="Times New Roman" w:hAnsi="Times New Roman"/>
        </w:rPr>
        <w:fldChar w:fldCharType="separate"/>
      </w:r>
      <w:r w:rsidR="008C7FBE" w:rsidRPr="008C7FBE">
        <w:rPr>
          <w:rFonts w:ascii="Times New Roman" w:hAnsi="Times New Roman"/>
          <w:vertAlign w:val="superscript"/>
        </w:rPr>
        <w:t>28</w:t>
      </w:r>
      <w:r>
        <w:rPr>
          <w:rFonts w:ascii="Times New Roman" w:hAnsi="Times New Roman"/>
        </w:rPr>
        <w:fldChar w:fldCharType="end"/>
      </w:r>
      <w:r w:rsidRPr="001974A7">
        <w:rPr>
          <w:rFonts w:ascii="Times New Roman" w:hAnsi="Times New Roman"/>
        </w:rPr>
        <w:t xml:space="preserve"> To confirm this, the OME mixture was exposed to a selection of Brønsted and Lewis acids in low concentrations of 1.0 mol.% and stirred at 50</w:t>
      </w:r>
      <w:r>
        <w:rPr>
          <w:rFonts w:ascii="Times New Roman" w:hAnsi="Times New Roman"/>
        </w:rPr>
        <w:sym w:font="Symbol" w:char="F0B0"/>
      </w:r>
      <w:r w:rsidRPr="001974A7">
        <w:rPr>
          <w:rFonts w:ascii="Times New Roman" w:hAnsi="Times New Roman"/>
        </w:rPr>
        <w:t>C (</w:t>
      </w:r>
      <w:r w:rsidR="00D94A93" w:rsidRPr="00D94A93">
        <w:rPr>
          <w:rFonts w:ascii="Times New Roman" w:hAnsi="Times New Roman"/>
        </w:rPr>
        <w:fldChar w:fldCharType="begin"/>
      </w:r>
      <w:r w:rsidR="00D94A93" w:rsidRPr="00D94A93">
        <w:rPr>
          <w:rFonts w:ascii="Times New Roman" w:hAnsi="Times New Roman"/>
        </w:rPr>
        <w:instrText xml:space="preserve"> REF _Ref6848677 \h  \* MERGEFORMAT </w:instrText>
      </w:r>
      <w:r w:rsidR="00D94A93" w:rsidRPr="00D94A93">
        <w:rPr>
          <w:rFonts w:ascii="Times New Roman" w:hAnsi="Times New Roman"/>
        </w:rPr>
      </w:r>
      <w:r w:rsidR="00D94A93" w:rsidRPr="00D94A93">
        <w:rPr>
          <w:rFonts w:ascii="Times New Roman" w:hAnsi="Times New Roman"/>
        </w:rPr>
        <w:fldChar w:fldCharType="separate"/>
      </w:r>
      <w:r w:rsidR="003C715B" w:rsidRPr="003C715B">
        <w:t xml:space="preserve">Figure </w:t>
      </w:r>
      <w:r w:rsidR="003C715B" w:rsidRPr="003C715B">
        <w:rPr>
          <w:noProof/>
        </w:rPr>
        <w:t>2</w:t>
      </w:r>
      <w:r w:rsidR="00D94A93" w:rsidRPr="00D94A93">
        <w:rPr>
          <w:rFonts w:ascii="Times New Roman" w:hAnsi="Times New Roman"/>
        </w:rPr>
        <w:fldChar w:fldCharType="end"/>
      </w:r>
      <w:r w:rsidRPr="00D94A93">
        <w:rPr>
          <w:rFonts w:ascii="Times New Roman" w:hAnsi="Times New Roman"/>
        </w:rPr>
        <w:t>).</w:t>
      </w:r>
      <w:r w:rsidRPr="001974A7">
        <w:rPr>
          <w:rFonts w:ascii="Times New Roman" w:hAnsi="Times New Roman"/>
        </w:rPr>
        <w:t xml:space="preserve"> In most cases, the mixture formed a solid mass either immediately or over the course of 72</w:t>
      </w:r>
      <w:r>
        <w:rPr>
          <w:rFonts w:ascii="Times New Roman" w:hAnsi="Times New Roman"/>
        </w:rPr>
        <w:t xml:space="preserve"> </w:t>
      </w:r>
      <w:r w:rsidRPr="001974A7">
        <w:rPr>
          <w:rFonts w:ascii="Times New Roman" w:hAnsi="Times New Roman"/>
        </w:rPr>
        <w:t xml:space="preserve">h stirring. </w:t>
      </w:r>
      <w:r w:rsidR="00AC76A3">
        <w:rPr>
          <w:rFonts w:ascii="Times New Roman" w:hAnsi="Times New Roman"/>
        </w:rPr>
        <w:t>A</w:t>
      </w:r>
      <w:r w:rsidRPr="001974A7">
        <w:rPr>
          <w:rFonts w:ascii="Times New Roman" w:hAnsi="Times New Roman"/>
        </w:rPr>
        <w:t>luminum chloride</w:t>
      </w:r>
      <w:r w:rsidR="00AC76A3">
        <w:rPr>
          <w:rFonts w:ascii="Times New Roman" w:hAnsi="Times New Roman"/>
        </w:rPr>
        <w:t xml:space="preserve"> </w:t>
      </w:r>
      <w:r w:rsidRPr="001974A7">
        <w:rPr>
          <w:rFonts w:ascii="Times New Roman" w:hAnsi="Times New Roman"/>
        </w:rPr>
        <w:t>gradually formed a cloudy white mixture. Hydrochloric acid showed no obvious reaction at 1.0 mol.%, but at a higher concentration of 20.0 mol.%, it also caused solidification. These results suggest that t</w:t>
      </w:r>
      <w:r w:rsidR="00FB1193">
        <w:rPr>
          <w:rFonts w:ascii="Times New Roman" w:hAnsi="Times New Roman"/>
        </w:rPr>
        <w:t>he various OMEs are acid-labile</w:t>
      </w:r>
      <w:r w:rsidRPr="001974A7">
        <w:rPr>
          <w:rFonts w:ascii="Times New Roman" w:hAnsi="Times New Roman"/>
        </w:rPr>
        <w:t xml:space="preserve"> and are likely not suitable for acid-catalyzed reactions.</w:t>
      </w:r>
      <w:r w:rsidR="00D92D4F" w:rsidRPr="00D92D4F">
        <w:rPr>
          <w:rFonts w:ascii="Times New Roman" w:hAnsi="Times New Roman"/>
          <w:noProof/>
        </w:rPr>
        <w:t xml:space="preserve"> </w:t>
      </w:r>
    </w:p>
    <w:p w14:paraId="71AA57E2" w14:textId="45934945" w:rsidR="001974A7" w:rsidRDefault="00D92D4F" w:rsidP="00D92D4F">
      <w:pPr>
        <w:pStyle w:val="TAMainText"/>
        <w:jc w:val="center"/>
        <w:rPr>
          <w:rFonts w:ascii="Times New Roman" w:hAnsi="Times New Roman"/>
        </w:rPr>
      </w:pPr>
      <w:r>
        <w:rPr>
          <w:rFonts w:ascii="Times New Roman" w:hAnsi="Times New Roman"/>
          <w:noProof/>
          <w:lang w:val="en-GB" w:eastAsia="en-GB"/>
        </w:rPr>
        <w:lastRenderedPageBreak/>
        <w:drawing>
          <wp:inline distT="0" distB="0" distL="0" distR="0" wp14:anchorId="16259244" wp14:editId="0C7EEB39">
            <wp:extent cx="5312980" cy="2674654"/>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id Tests 1 mol percent small.jpg"/>
                    <pic:cNvPicPr/>
                  </pic:nvPicPr>
                  <pic:blipFill>
                    <a:blip r:embed="rId12"/>
                    <a:stretch>
                      <a:fillRect/>
                    </a:stretch>
                  </pic:blipFill>
                  <pic:spPr>
                    <a:xfrm>
                      <a:off x="0" y="0"/>
                      <a:ext cx="5329386" cy="2682913"/>
                    </a:xfrm>
                    <a:prstGeom prst="rect">
                      <a:avLst/>
                    </a:prstGeom>
                  </pic:spPr>
                </pic:pic>
              </a:graphicData>
            </a:graphic>
          </wp:inline>
        </w:drawing>
      </w:r>
    </w:p>
    <w:p w14:paraId="3E6EAC9D" w14:textId="204E00CE" w:rsidR="00D92D4F" w:rsidRPr="00B8644B" w:rsidRDefault="00241204" w:rsidP="00241204">
      <w:pPr>
        <w:pStyle w:val="Caption"/>
      </w:pPr>
      <w:bookmarkStart w:id="8" w:name="_Ref6848677"/>
      <w:bookmarkStart w:id="9" w:name="_Ref6848674"/>
      <w:r w:rsidRPr="00241204">
        <w:rPr>
          <w:b/>
        </w:rPr>
        <w:t xml:space="preserve">Figure </w:t>
      </w:r>
      <w:r w:rsidRPr="00241204">
        <w:rPr>
          <w:b/>
        </w:rPr>
        <w:fldChar w:fldCharType="begin"/>
      </w:r>
      <w:r w:rsidRPr="00241204">
        <w:rPr>
          <w:b/>
        </w:rPr>
        <w:instrText xml:space="preserve"> SEQ Figure \* ARABIC </w:instrText>
      </w:r>
      <w:r w:rsidRPr="00241204">
        <w:rPr>
          <w:b/>
        </w:rPr>
        <w:fldChar w:fldCharType="separate"/>
      </w:r>
      <w:r w:rsidR="003C715B">
        <w:rPr>
          <w:b/>
          <w:noProof/>
        </w:rPr>
        <w:t>2</w:t>
      </w:r>
      <w:r w:rsidRPr="00241204">
        <w:rPr>
          <w:b/>
        </w:rPr>
        <w:fldChar w:fldCharType="end"/>
      </w:r>
      <w:bookmarkEnd w:id="8"/>
      <w:r w:rsidRPr="00241204">
        <w:rPr>
          <w:b/>
        </w:rPr>
        <w:t>.</w:t>
      </w:r>
      <w:r>
        <w:t xml:space="preserve"> </w:t>
      </w:r>
      <w:r w:rsidR="00D92D4F" w:rsidRPr="00B8644B">
        <w:t>Samples of OME</w:t>
      </w:r>
      <w:r w:rsidR="00D92D4F" w:rsidRPr="00B8644B">
        <w:rPr>
          <w:vertAlign w:val="subscript"/>
        </w:rPr>
        <w:t>3-5</w:t>
      </w:r>
      <w:r w:rsidR="00D92D4F" w:rsidRPr="00B8644B">
        <w:t xml:space="preserve"> mixture treated </w:t>
      </w:r>
      <w:r w:rsidR="00D92D4F" w:rsidRPr="00241204">
        <w:t>with 1.0</w:t>
      </w:r>
      <w:r w:rsidR="00D92D4F" w:rsidRPr="00B8644B">
        <w:t xml:space="preserve"> mol% of various acids.</w:t>
      </w:r>
      <w:bookmarkEnd w:id="9"/>
      <w:r w:rsidR="00161565">
        <w:t xml:space="preserve"> Stirrer bars have been left in all vials for consistency, as removal from solidified samples proved impractical.</w:t>
      </w:r>
    </w:p>
    <w:p w14:paraId="48AD4707" w14:textId="7BDB502E" w:rsidR="007B160F" w:rsidRDefault="0026075C" w:rsidP="00D869F0">
      <w:pPr>
        <w:pStyle w:val="TAMainText"/>
        <w:ind w:firstLine="0"/>
        <w:rPr>
          <w:rFonts w:ascii="Times New Roman" w:hAnsi="Times New Roman"/>
        </w:rPr>
      </w:pPr>
      <w:r>
        <w:rPr>
          <w:rFonts w:ascii="Times New Roman" w:hAnsi="Times New Roman"/>
        </w:rPr>
        <w:t>No data is currently available on base stability, but it is expected that OME</w:t>
      </w:r>
      <w:r w:rsidRPr="00CC6E9D">
        <w:rPr>
          <w:rFonts w:ascii="Times New Roman" w:hAnsi="Times New Roman"/>
          <w:vertAlign w:val="subscript"/>
        </w:rPr>
        <w:t>3-5</w:t>
      </w:r>
      <w:r>
        <w:rPr>
          <w:rFonts w:ascii="Times New Roman" w:hAnsi="Times New Roman"/>
        </w:rPr>
        <w:t>, like other ethers, could be cleaved by strong bases.</w:t>
      </w:r>
      <w:r w:rsidR="00CC6E9D">
        <w:rPr>
          <w:rFonts w:ascii="Times New Roman" w:hAnsi="Times New Roman"/>
        </w:rPr>
        <w:fldChar w:fldCharType="begin"/>
      </w:r>
      <w:r w:rsidR="008C7FBE">
        <w:rPr>
          <w:rFonts w:ascii="Times New Roman" w:hAnsi="Times New Roman"/>
        </w:rPr>
        <w:instrText xml:space="preserve"> ADDIN ZOTERO_ITEM CSL_CITATION {"citationID":"VV8LxvPk","properties":{"formattedCitation":"\\super 29\\nosupersub{}","plainCitation":"29","noteIndex":0},"citationItems":[{"id":1452,"uris":["http://zotero.org/users/4674022/items/6GCJFZQ9"],"uri":["http://zotero.org/users/4674022/items/6GCJFZQ9"],"itemData":{"id":1452,"type":"book","title":"Organometallics","publisher":"John Wiley &amp; Sons","number-of-pages":"1184","edition":"5","source":"Google Books","abstract":"THE textbook on organometallic chemistry. Comprehensive and up-to-date, the German original is already a classic, making this third completely revised and updated English edition a must for graduate students and lecturers in chemistry, inorganic chemists, chemists working with/on organometallics, bioinorganic chemists, complex chemists, and libraries. Over one third of the chapters have been expanded to incorporate developments since the previous editions, while the chapter on organometallic catalysis in synthesis and production appears for the first time in this form.  From the reviews of the first English editions:  'The selection of material and the order of its presentation is first class ... Students and their instructors will find this book extraordinarily easy to use and extraordinarily useful.' -Chemistry in Britain  'Elschenbroich and Salzer have written the textbook of choice for graduate or senior-level courses that place an equal emphasis on main group element and transition metal organometallic chemistry. ... this book can be unequivocally recommended to any teacher or student of organometallic chemistry.' - Angewandte Chemie International Edition  'The breadth and depth of coverage are outstanding, and the excitement of synthetic organometallic chemistry comes across very strongly.' - Journal of the American Chemical Society","ISBN":"978-3-527-80516-7","language":"en","author":[{"family":"Elschenbroich","given":"Christoph"}],"issued":{"date-parts":[["2016",2,10]]}}}],"schema":"https://github.com/citation-style-language/schema/raw/master/csl-citation.json"} </w:instrText>
      </w:r>
      <w:r w:rsidR="00CC6E9D">
        <w:rPr>
          <w:rFonts w:ascii="Times New Roman" w:hAnsi="Times New Roman"/>
        </w:rPr>
        <w:fldChar w:fldCharType="separate"/>
      </w:r>
      <w:r w:rsidR="008C7FBE" w:rsidRPr="008C7FBE">
        <w:rPr>
          <w:rFonts w:ascii="Times New Roman" w:hAnsi="Times New Roman"/>
          <w:vertAlign w:val="superscript"/>
        </w:rPr>
        <w:t>29</w:t>
      </w:r>
      <w:r w:rsidR="00CC6E9D">
        <w:rPr>
          <w:rFonts w:ascii="Times New Roman" w:hAnsi="Times New Roman"/>
        </w:rPr>
        <w:fldChar w:fldCharType="end"/>
      </w:r>
      <w:r w:rsidR="00065825">
        <w:rPr>
          <w:rFonts w:ascii="Times New Roman" w:hAnsi="Times New Roman"/>
        </w:rPr>
        <w:t xml:space="preserve"> </w:t>
      </w:r>
      <w:r w:rsidR="00BB6451">
        <w:rPr>
          <w:rFonts w:ascii="Times New Roman" w:hAnsi="Times New Roman"/>
        </w:rPr>
        <w:t>This could be a concern for reactions involving organolithium reagents.</w:t>
      </w:r>
    </w:p>
    <w:p w14:paraId="7F7860A2" w14:textId="6986119D" w:rsidR="00D869F0" w:rsidRPr="00065825" w:rsidRDefault="00065825" w:rsidP="00D869F0">
      <w:pPr>
        <w:pStyle w:val="TAMainText"/>
        <w:ind w:firstLine="0"/>
        <w:rPr>
          <w:rFonts w:ascii="Times New Roman" w:hAnsi="Times New Roman"/>
        </w:rPr>
      </w:pPr>
      <w:r>
        <w:rPr>
          <w:rFonts w:ascii="Times New Roman" w:hAnsi="Times New Roman"/>
        </w:rPr>
        <w:t>Due to the novelty of using OME</w:t>
      </w:r>
      <w:r w:rsidRPr="000A0BA0">
        <w:rPr>
          <w:rFonts w:ascii="Times New Roman" w:hAnsi="Times New Roman"/>
          <w:vertAlign w:val="subscript"/>
        </w:rPr>
        <w:t>3-5</w:t>
      </w:r>
      <w:r>
        <w:rPr>
          <w:rFonts w:ascii="Times New Roman" w:hAnsi="Times New Roman"/>
        </w:rPr>
        <w:t xml:space="preserve"> as a solvent, </w:t>
      </w:r>
      <w:r w:rsidR="00A24D61">
        <w:rPr>
          <w:rFonts w:ascii="Times New Roman" w:hAnsi="Times New Roman"/>
        </w:rPr>
        <w:t>its long-term stability and recyclability are not yet known.</w:t>
      </w:r>
      <w:r w:rsidR="007B160F">
        <w:rPr>
          <w:rFonts w:ascii="Times New Roman" w:hAnsi="Times New Roman"/>
        </w:rPr>
        <w:t xml:space="preserve"> </w:t>
      </w:r>
      <w:r w:rsidR="0033004A">
        <w:rPr>
          <w:rFonts w:ascii="Times New Roman" w:hAnsi="Times New Roman"/>
        </w:rPr>
        <w:t xml:space="preserve">However, OMEs can be purified via distillation, suggesting that they could also be recycled in this way. </w:t>
      </w:r>
      <w:r w:rsidR="007B160F">
        <w:rPr>
          <w:rFonts w:ascii="Times New Roman" w:hAnsi="Times New Roman"/>
        </w:rPr>
        <w:t>For industrial use, it would be valuable to assess thermal stability and recyclability.</w:t>
      </w:r>
    </w:p>
    <w:p w14:paraId="514F5172" w14:textId="6A7D69A5" w:rsidR="00D869F0" w:rsidRPr="00D869F0" w:rsidRDefault="00D869F0" w:rsidP="00D869F0">
      <w:pPr>
        <w:pStyle w:val="TAMainText"/>
        <w:ind w:firstLine="0"/>
        <w:outlineLvl w:val="0"/>
        <w:rPr>
          <w:rFonts w:ascii="Times New Roman" w:hAnsi="Times New Roman"/>
          <w:b/>
        </w:rPr>
      </w:pPr>
      <w:r w:rsidRPr="00D869F0">
        <w:rPr>
          <w:rFonts w:ascii="Times New Roman" w:hAnsi="Times New Roman"/>
          <w:b/>
        </w:rPr>
        <w:t>ORGANIC REACTION</w:t>
      </w:r>
      <w:r w:rsidR="00F40F25">
        <w:rPr>
          <w:rFonts w:ascii="Times New Roman" w:hAnsi="Times New Roman"/>
          <w:b/>
        </w:rPr>
        <w:t xml:space="preserve"> MEDIUM</w:t>
      </w:r>
    </w:p>
    <w:p w14:paraId="712FC6E9" w14:textId="4098AA8B" w:rsidR="00D5496F" w:rsidRPr="00903F2E" w:rsidRDefault="00D5496F" w:rsidP="00654F76">
      <w:pPr>
        <w:pStyle w:val="TAMainText"/>
        <w:rPr>
          <w:rFonts w:ascii="Times New Roman" w:hAnsi="Times New Roman"/>
        </w:rPr>
      </w:pPr>
      <w:r>
        <w:rPr>
          <w:rFonts w:ascii="Times New Roman" w:hAnsi="Times New Roman"/>
        </w:rPr>
        <w:t>The miscibility of OME</w:t>
      </w:r>
      <w:r w:rsidRPr="00D5496F">
        <w:rPr>
          <w:rFonts w:ascii="Times New Roman" w:hAnsi="Times New Roman"/>
          <w:vertAlign w:val="subscript"/>
        </w:rPr>
        <w:t>3-5</w:t>
      </w:r>
      <w:r>
        <w:rPr>
          <w:rFonts w:ascii="Times New Roman" w:hAnsi="Times New Roman"/>
        </w:rPr>
        <w:t xml:space="preserve"> with a broad range </w:t>
      </w:r>
      <w:r w:rsidR="00FB1193">
        <w:rPr>
          <w:rFonts w:ascii="Times New Roman" w:hAnsi="Times New Roman"/>
        </w:rPr>
        <w:t>of organic solvents was tested</w:t>
      </w:r>
      <w:r>
        <w:rPr>
          <w:rFonts w:ascii="Times New Roman" w:hAnsi="Times New Roman"/>
        </w:rPr>
        <w:t xml:space="preserve"> to assess the mixture’s suitability for use </w:t>
      </w:r>
      <w:r w:rsidR="00903F2E">
        <w:rPr>
          <w:rFonts w:ascii="Times New Roman" w:hAnsi="Times New Roman"/>
        </w:rPr>
        <w:t>in extractions and separations (</w:t>
      </w:r>
      <w:r w:rsidR="00E01A37">
        <w:rPr>
          <w:rFonts w:ascii="Times New Roman" w:hAnsi="Times New Roman"/>
        </w:rPr>
        <w:t>Table S2</w:t>
      </w:r>
      <w:r w:rsidR="00903F2E">
        <w:rPr>
          <w:rFonts w:ascii="Times New Roman" w:hAnsi="Times New Roman"/>
        </w:rPr>
        <w:t>). The solvents were considered miscible if they could be mixed in equal proportions</w:t>
      </w:r>
      <w:r w:rsidR="00157DB9">
        <w:rPr>
          <w:rFonts w:ascii="Times New Roman" w:hAnsi="Times New Roman"/>
        </w:rPr>
        <w:t xml:space="preserve"> at room temperature</w:t>
      </w:r>
      <w:r w:rsidR="00903F2E">
        <w:rPr>
          <w:rFonts w:ascii="Times New Roman" w:hAnsi="Times New Roman"/>
        </w:rPr>
        <w:t xml:space="preserve"> withou</w:t>
      </w:r>
      <w:r w:rsidR="00157DB9">
        <w:rPr>
          <w:rFonts w:ascii="Times New Roman" w:hAnsi="Times New Roman"/>
        </w:rPr>
        <w:t>t turbidity or layer separation</w:t>
      </w:r>
      <w:r w:rsidR="00903F2E">
        <w:rPr>
          <w:rFonts w:ascii="Times New Roman" w:hAnsi="Times New Roman"/>
        </w:rPr>
        <w:t xml:space="preserve">. Surprisingly, </w:t>
      </w:r>
      <w:r w:rsidR="00DF0D09">
        <w:rPr>
          <w:rFonts w:ascii="Times New Roman" w:hAnsi="Times New Roman"/>
        </w:rPr>
        <w:t xml:space="preserve">this sample of </w:t>
      </w:r>
      <w:r w:rsidR="00903F2E">
        <w:rPr>
          <w:rFonts w:ascii="Times New Roman" w:hAnsi="Times New Roman"/>
        </w:rPr>
        <w:t>OME</w:t>
      </w:r>
      <w:r w:rsidR="00903F2E" w:rsidRPr="00903F2E">
        <w:rPr>
          <w:rFonts w:ascii="Times New Roman" w:hAnsi="Times New Roman"/>
          <w:vertAlign w:val="subscript"/>
        </w:rPr>
        <w:t>3-5</w:t>
      </w:r>
      <w:r w:rsidR="00903F2E">
        <w:rPr>
          <w:rFonts w:ascii="Times New Roman" w:hAnsi="Times New Roman"/>
        </w:rPr>
        <w:t xml:space="preserve"> </w:t>
      </w:r>
      <w:r w:rsidR="00DF0D09">
        <w:rPr>
          <w:rFonts w:ascii="Times New Roman" w:hAnsi="Times New Roman"/>
        </w:rPr>
        <w:t>was found to be</w:t>
      </w:r>
      <w:r w:rsidR="00903F2E">
        <w:rPr>
          <w:rFonts w:ascii="Times New Roman" w:hAnsi="Times New Roman"/>
        </w:rPr>
        <w:t xml:space="preserve"> miscible with most organic solvents, the only exceptions being ethanolamine and ethylene glycol. It is, however, </w:t>
      </w:r>
      <w:r w:rsidR="00903F2E">
        <w:rPr>
          <w:rFonts w:ascii="Times New Roman" w:hAnsi="Times New Roman"/>
        </w:rPr>
        <w:lastRenderedPageBreak/>
        <w:t xml:space="preserve">immiscible with water, </w:t>
      </w:r>
      <w:r w:rsidR="009D0832">
        <w:rPr>
          <w:rFonts w:ascii="Times New Roman" w:hAnsi="Times New Roman"/>
        </w:rPr>
        <w:t xml:space="preserve">opening potential application </w:t>
      </w:r>
      <w:r w:rsidR="00903F2E">
        <w:rPr>
          <w:rFonts w:ascii="Times New Roman" w:hAnsi="Times New Roman"/>
        </w:rPr>
        <w:t>possibilities in aqueous extractions and separations.</w:t>
      </w:r>
    </w:p>
    <w:p w14:paraId="0012DA17" w14:textId="6A76AF30" w:rsidR="0015473D" w:rsidRDefault="00903F2E" w:rsidP="00136625">
      <w:pPr>
        <w:pStyle w:val="TAMainText"/>
        <w:rPr>
          <w:rFonts w:ascii="Times New Roman" w:hAnsi="Times New Roman"/>
        </w:rPr>
      </w:pPr>
      <w:r>
        <w:rPr>
          <w:rFonts w:ascii="Times New Roman" w:hAnsi="Times New Roman"/>
        </w:rPr>
        <w:t>To demonstrate the applicability of OME</w:t>
      </w:r>
      <w:r w:rsidRPr="00903F2E">
        <w:rPr>
          <w:rFonts w:ascii="Times New Roman" w:hAnsi="Times New Roman"/>
          <w:vertAlign w:val="subscript"/>
        </w:rPr>
        <w:t>3-5</w:t>
      </w:r>
      <w:r>
        <w:rPr>
          <w:rFonts w:ascii="Times New Roman" w:hAnsi="Times New Roman"/>
        </w:rPr>
        <w:t xml:space="preserve"> </w:t>
      </w:r>
      <w:r w:rsidR="009D0832">
        <w:rPr>
          <w:rFonts w:ascii="Times New Roman" w:hAnsi="Times New Roman"/>
        </w:rPr>
        <w:t xml:space="preserve">as a solvent for </w:t>
      </w:r>
      <w:r>
        <w:rPr>
          <w:rFonts w:ascii="Times New Roman" w:hAnsi="Times New Roman"/>
        </w:rPr>
        <w:t xml:space="preserve">pharmaceutical and fine chemical synthesis, </w:t>
      </w:r>
      <w:r w:rsidR="00F807B3">
        <w:rPr>
          <w:rFonts w:ascii="Times New Roman" w:hAnsi="Times New Roman"/>
        </w:rPr>
        <w:t xml:space="preserve">representative </w:t>
      </w:r>
      <w:r>
        <w:rPr>
          <w:rFonts w:ascii="Times New Roman" w:hAnsi="Times New Roman"/>
        </w:rPr>
        <w:t>Suzuki-Miyaura reaction</w:t>
      </w:r>
      <w:r w:rsidR="00B16FFA">
        <w:rPr>
          <w:rFonts w:ascii="Times New Roman" w:hAnsi="Times New Roman"/>
        </w:rPr>
        <w:t>s</w:t>
      </w:r>
      <w:r>
        <w:rPr>
          <w:rFonts w:ascii="Times New Roman" w:hAnsi="Times New Roman"/>
        </w:rPr>
        <w:t xml:space="preserve"> </w:t>
      </w:r>
      <w:r w:rsidR="00B16FFA">
        <w:rPr>
          <w:rFonts w:ascii="Times New Roman" w:hAnsi="Times New Roman"/>
        </w:rPr>
        <w:t xml:space="preserve">were </w:t>
      </w:r>
      <w:r w:rsidR="00F807B3">
        <w:rPr>
          <w:rFonts w:ascii="Times New Roman" w:hAnsi="Times New Roman"/>
        </w:rPr>
        <w:t>performed</w:t>
      </w:r>
      <w:r w:rsidR="0050784E">
        <w:rPr>
          <w:rFonts w:ascii="Times New Roman" w:hAnsi="Times New Roman"/>
        </w:rPr>
        <w:t>, monitoring yield directly from the reaction mixture via GC-FID</w:t>
      </w:r>
      <w:r>
        <w:rPr>
          <w:rFonts w:ascii="Times New Roman" w:hAnsi="Times New Roman"/>
        </w:rPr>
        <w:t xml:space="preserve">. </w:t>
      </w:r>
      <w:r w:rsidR="009D0832">
        <w:rPr>
          <w:rFonts w:ascii="Times New Roman" w:hAnsi="Times New Roman"/>
        </w:rPr>
        <w:t xml:space="preserve">The </w:t>
      </w:r>
      <w:r w:rsidR="005D32E4">
        <w:rPr>
          <w:rFonts w:ascii="Times New Roman" w:hAnsi="Times New Roman"/>
        </w:rPr>
        <w:t>palladium-catalyzed coupling of an or</w:t>
      </w:r>
      <w:r>
        <w:rPr>
          <w:rFonts w:ascii="Times New Roman" w:hAnsi="Times New Roman"/>
        </w:rPr>
        <w:t xml:space="preserve">ganohalide with a boronic acid </w:t>
      </w:r>
      <w:r w:rsidR="005D32E4">
        <w:rPr>
          <w:rFonts w:ascii="Times New Roman" w:hAnsi="Times New Roman"/>
        </w:rPr>
        <w:t xml:space="preserve">is a cost-effective choice for </w:t>
      </w:r>
      <w:r>
        <w:rPr>
          <w:rFonts w:ascii="Times New Roman" w:hAnsi="Times New Roman"/>
        </w:rPr>
        <w:t>many laboratories and industries</w:t>
      </w:r>
      <w:r w:rsidR="009D0832">
        <w:rPr>
          <w:rFonts w:ascii="Times New Roman" w:hAnsi="Times New Roman"/>
        </w:rPr>
        <w:t xml:space="preserve"> to form C-C bonds</w:t>
      </w:r>
      <w:r>
        <w:rPr>
          <w:rFonts w:ascii="Times New Roman" w:hAnsi="Times New Roman"/>
        </w:rPr>
        <w:t xml:space="preserve"> </w:t>
      </w:r>
      <w:r w:rsidR="005D32E4">
        <w:rPr>
          <w:rFonts w:ascii="Times New Roman" w:hAnsi="Times New Roman"/>
        </w:rPr>
        <w:t>(</w:t>
      </w:r>
      <w:r w:rsidR="00D94A93" w:rsidRPr="00D94A93">
        <w:rPr>
          <w:rFonts w:ascii="Times New Roman" w:hAnsi="Times New Roman"/>
        </w:rPr>
        <w:fldChar w:fldCharType="begin"/>
      </w:r>
      <w:r w:rsidR="00D94A93" w:rsidRPr="00D94A93">
        <w:rPr>
          <w:rFonts w:ascii="Times New Roman" w:hAnsi="Times New Roman"/>
        </w:rPr>
        <w:instrText xml:space="preserve"> REF _Ref6848755 \h  \* MERGEFORMAT </w:instrText>
      </w:r>
      <w:r w:rsidR="00D94A93" w:rsidRPr="00D94A93">
        <w:rPr>
          <w:rFonts w:ascii="Times New Roman" w:hAnsi="Times New Roman"/>
        </w:rPr>
      </w:r>
      <w:r w:rsidR="00D94A93" w:rsidRPr="00D94A93">
        <w:rPr>
          <w:rFonts w:ascii="Times New Roman" w:hAnsi="Times New Roman"/>
        </w:rPr>
        <w:fldChar w:fldCharType="separate"/>
      </w:r>
      <w:r w:rsidR="003C715B" w:rsidRPr="003C715B">
        <w:t xml:space="preserve">Figure </w:t>
      </w:r>
      <w:r w:rsidR="003C715B" w:rsidRPr="003C715B">
        <w:rPr>
          <w:noProof/>
        </w:rPr>
        <w:t>3</w:t>
      </w:r>
      <w:r w:rsidR="00D94A93" w:rsidRPr="00D94A93">
        <w:rPr>
          <w:rFonts w:ascii="Times New Roman" w:hAnsi="Times New Roman"/>
        </w:rPr>
        <w:fldChar w:fldCharType="end"/>
      </w:r>
      <w:r w:rsidR="005D32E4">
        <w:rPr>
          <w:rFonts w:ascii="Times New Roman" w:hAnsi="Times New Roman"/>
        </w:rPr>
        <w:t>).</w:t>
      </w:r>
      <w:r w:rsidR="00D94A93">
        <w:rPr>
          <w:rFonts w:ascii="Times New Roman" w:hAnsi="Times New Roman"/>
        </w:rPr>
        <w:fldChar w:fldCharType="begin"/>
      </w:r>
      <w:r w:rsidR="008C7FBE">
        <w:rPr>
          <w:rFonts w:ascii="Times New Roman" w:hAnsi="Times New Roman"/>
        </w:rPr>
        <w:instrText xml:space="preserve"> ADDIN ZOTERO_ITEM CSL_CITATION {"citationID":"7do3KNpu","properties":{"formattedCitation":"\\super 30\\nosupersub{}","plainCitation":"30","noteIndex":0},"citationItems":[{"id":583,"uris":["http://zotero.org/users/4674022/items/HVIGDTBN"],"uri":["http://zotero.org/users/4674022/items/HVIGDTBN"],"itemData":{"id":583,"type":"article-journal","title":"Cyrene as a Bio-Based Solvent for the Suzuki–Miyaura Cross-Coupling","container-title":"Synlett","page":"650-654","volume":"14","issue":"5","source":"www.thieme-connect.com","abstract":"The Suzuki–Miyaura (SM) cross-coupling is the most broadly utilized Pd-catalyzed C–C bond-forming reaction in the chemical industry. A large proportion of SM couplings employ dipolar aprotic solvents; however, current sustainability initiatives and increasingly stringent regulations advocate the use of alternatives that exhibit more desirable properties. Here we describe the scope and utility of the bio-derived solvent Cyrene™ in SM cross-couplings and evaluate its suitability as a reaction medium for this benchmark transformation from discovery to gram scale.","DOI":"10.1055/s-0036-1589143","ISSN":"0936-5214, 1437-2096","journalAbbreviation":"Synlett","language":"en","author":[{"family":"Wilson","given":"Kirsty L."},{"family":"Murray","given":"Jane"},{"family":"Jamieson","given":"Craig"},{"family":"Watson","given":"Allan J. B."}],"issued":{"date-parts":[["2018",5]]}}}],"schema":"https://github.com/citation-style-language/schema/raw/master/csl-citation.json"} </w:instrText>
      </w:r>
      <w:r w:rsidR="00D94A93">
        <w:rPr>
          <w:rFonts w:ascii="Times New Roman" w:hAnsi="Times New Roman"/>
        </w:rPr>
        <w:fldChar w:fldCharType="separate"/>
      </w:r>
      <w:r w:rsidR="008C7FBE" w:rsidRPr="008C7FBE">
        <w:rPr>
          <w:rFonts w:ascii="Times New Roman" w:hAnsi="Times New Roman"/>
          <w:vertAlign w:val="superscript"/>
        </w:rPr>
        <w:t>30</w:t>
      </w:r>
      <w:r w:rsidR="00D94A93">
        <w:rPr>
          <w:rFonts w:ascii="Times New Roman" w:hAnsi="Times New Roman"/>
        </w:rPr>
        <w:fldChar w:fldCharType="end"/>
      </w:r>
      <w:r w:rsidR="005D32E4">
        <w:rPr>
          <w:rFonts w:ascii="Times New Roman" w:hAnsi="Times New Roman"/>
        </w:rPr>
        <w:t xml:space="preserve"> It is traditionally performed in solvents </w:t>
      </w:r>
      <w:r w:rsidR="00F807B3">
        <w:rPr>
          <w:rFonts w:ascii="Times New Roman" w:hAnsi="Times New Roman"/>
        </w:rPr>
        <w:t>such as</w:t>
      </w:r>
      <w:r w:rsidR="005D32E4">
        <w:rPr>
          <w:rFonts w:ascii="Times New Roman" w:hAnsi="Times New Roman"/>
        </w:rPr>
        <w:t xml:space="preserve"> 1,4-dioxane and THF, </w:t>
      </w:r>
      <w:r w:rsidR="00D94A93">
        <w:rPr>
          <w:rFonts w:ascii="Times New Roman" w:hAnsi="Times New Roman"/>
        </w:rPr>
        <w:t>making it a good match for the solubility parameters of OME</w:t>
      </w:r>
      <w:r w:rsidR="00D94A93" w:rsidRPr="00D94A93">
        <w:rPr>
          <w:rFonts w:ascii="Times New Roman" w:hAnsi="Times New Roman"/>
          <w:vertAlign w:val="subscript"/>
        </w:rPr>
        <w:t>3-5</w:t>
      </w:r>
      <w:r w:rsidR="00B00411">
        <w:rPr>
          <w:rFonts w:ascii="Times New Roman" w:hAnsi="Times New Roman"/>
        </w:rPr>
        <w:t xml:space="preserve">. </w:t>
      </w:r>
      <w:r w:rsidR="005D32E4">
        <w:rPr>
          <w:rFonts w:ascii="Times New Roman" w:hAnsi="Times New Roman"/>
        </w:rPr>
        <w:t>To test whether OME</w:t>
      </w:r>
      <w:r w:rsidR="005D32E4" w:rsidRPr="005D32E4">
        <w:rPr>
          <w:rFonts w:ascii="Times New Roman" w:hAnsi="Times New Roman"/>
          <w:vertAlign w:val="subscript"/>
        </w:rPr>
        <w:t>3-5</w:t>
      </w:r>
      <w:r w:rsidR="00F807B3">
        <w:rPr>
          <w:rFonts w:ascii="Times New Roman" w:hAnsi="Times New Roman"/>
        </w:rPr>
        <w:t xml:space="preserve"> is</w:t>
      </w:r>
      <w:r w:rsidR="005D32E4">
        <w:rPr>
          <w:rFonts w:ascii="Times New Roman" w:hAnsi="Times New Roman"/>
        </w:rPr>
        <w:t xml:space="preserve"> suitable </w:t>
      </w:r>
      <w:r w:rsidR="00B16FFA">
        <w:rPr>
          <w:rFonts w:ascii="Times New Roman" w:hAnsi="Times New Roman"/>
        </w:rPr>
        <w:t>for such</w:t>
      </w:r>
      <w:r w:rsidR="005D32E4">
        <w:rPr>
          <w:rFonts w:ascii="Times New Roman" w:hAnsi="Times New Roman"/>
        </w:rPr>
        <w:t xml:space="preserve"> reaction</w:t>
      </w:r>
      <w:r w:rsidR="00B16FFA">
        <w:rPr>
          <w:rFonts w:ascii="Times New Roman" w:hAnsi="Times New Roman"/>
        </w:rPr>
        <w:t>s</w:t>
      </w:r>
      <w:r w:rsidR="005D32E4">
        <w:rPr>
          <w:rFonts w:ascii="Times New Roman" w:hAnsi="Times New Roman"/>
        </w:rPr>
        <w:t xml:space="preserve">, two model coupling reactions were </w:t>
      </w:r>
      <w:r w:rsidR="00F807B3">
        <w:rPr>
          <w:rFonts w:ascii="Times New Roman" w:hAnsi="Times New Roman"/>
        </w:rPr>
        <w:t>carried out</w:t>
      </w:r>
      <w:r w:rsidR="005D32E4">
        <w:rPr>
          <w:rFonts w:ascii="Times New Roman" w:hAnsi="Times New Roman"/>
        </w:rPr>
        <w:t xml:space="preserve"> </w:t>
      </w:r>
      <w:r w:rsidR="006521A6">
        <w:rPr>
          <w:rFonts w:ascii="Times New Roman" w:hAnsi="Times New Roman"/>
        </w:rPr>
        <w:t>(</w:t>
      </w:r>
      <w:r w:rsidR="00D94A93" w:rsidRPr="00D94A93">
        <w:rPr>
          <w:rFonts w:ascii="Times New Roman" w:hAnsi="Times New Roman"/>
        </w:rPr>
        <w:fldChar w:fldCharType="begin"/>
      </w:r>
      <w:r w:rsidR="00D94A93" w:rsidRPr="00D94A93">
        <w:rPr>
          <w:rFonts w:ascii="Times New Roman" w:hAnsi="Times New Roman"/>
        </w:rPr>
        <w:instrText xml:space="preserve"> REF _Ref6848755 \h  \* MERGEFORMAT </w:instrText>
      </w:r>
      <w:r w:rsidR="00D94A93" w:rsidRPr="00D94A93">
        <w:rPr>
          <w:rFonts w:ascii="Times New Roman" w:hAnsi="Times New Roman"/>
        </w:rPr>
      </w:r>
      <w:r w:rsidR="00D94A93" w:rsidRPr="00D94A93">
        <w:rPr>
          <w:rFonts w:ascii="Times New Roman" w:hAnsi="Times New Roman"/>
        </w:rPr>
        <w:fldChar w:fldCharType="separate"/>
      </w:r>
      <w:r w:rsidR="003C715B" w:rsidRPr="003C715B">
        <w:t xml:space="preserve">Figure </w:t>
      </w:r>
      <w:r w:rsidR="003C715B" w:rsidRPr="003C715B">
        <w:rPr>
          <w:noProof/>
        </w:rPr>
        <w:t>3</w:t>
      </w:r>
      <w:r w:rsidR="00D94A93" w:rsidRPr="00D94A93">
        <w:rPr>
          <w:rFonts w:ascii="Times New Roman" w:hAnsi="Times New Roman"/>
        </w:rPr>
        <w:fldChar w:fldCharType="end"/>
      </w:r>
      <w:r w:rsidR="006521A6">
        <w:rPr>
          <w:rFonts w:ascii="Times New Roman" w:hAnsi="Times New Roman"/>
        </w:rPr>
        <w:t>)</w:t>
      </w:r>
      <w:r>
        <w:rPr>
          <w:rFonts w:ascii="Times New Roman" w:hAnsi="Times New Roman"/>
        </w:rPr>
        <w:t>.</w:t>
      </w:r>
      <w:r w:rsidR="005D32E4">
        <w:rPr>
          <w:rFonts w:ascii="Times New Roman" w:hAnsi="Times New Roman"/>
        </w:rPr>
        <w:t xml:space="preserve"> </w:t>
      </w:r>
      <w:r w:rsidR="00AC442F">
        <w:rPr>
          <w:rFonts w:ascii="Times New Roman" w:hAnsi="Times New Roman"/>
        </w:rPr>
        <w:t xml:space="preserve">The first reaction </w:t>
      </w:r>
      <w:r w:rsidR="00AC442F" w:rsidRPr="00662B5A">
        <w:rPr>
          <w:rFonts w:ascii="Times New Roman" w:hAnsi="Times New Roman"/>
        </w:rPr>
        <w:t>(</w:t>
      </w:r>
      <w:r w:rsidR="00AC442F" w:rsidRPr="00662B5A">
        <w:rPr>
          <w:rFonts w:ascii="Times New Roman" w:hAnsi="Times New Roman"/>
        </w:rPr>
        <w:fldChar w:fldCharType="begin"/>
      </w:r>
      <w:r w:rsidR="00AC442F" w:rsidRPr="00662B5A">
        <w:rPr>
          <w:rFonts w:ascii="Times New Roman" w:hAnsi="Times New Roman"/>
        </w:rPr>
        <w:instrText xml:space="preserve"> REF _Ref6848755 \h </w:instrText>
      </w:r>
      <w:r w:rsidR="00662B5A" w:rsidRPr="00662B5A">
        <w:rPr>
          <w:rFonts w:ascii="Times New Roman" w:hAnsi="Times New Roman"/>
        </w:rPr>
        <w:instrText xml:space="preserve"> \* MERGEFORMAT </w:instrText>
      </w:r>
      <w:r w:rsidR="00AC442F" w:rsidRPr="00662B5A">
        <w:rPr>
          <w:rFonts w:ascii="Times New Roman" w:hAnsi="Times New Roman"/>
        </w:rPr>
      </w:r>
      <w:r w:rsidR="00AC442F" w:rsidRPr="00662B5A">
        <w:rPr>
          <w:rFonts w:ascii="Times New Roman" w:hAnsi="Times New Roman"/>
        </w:rPr>
        <w:fldChar w:fldCharType="separate"/>
      </w:r>
      <w:r w:rsidR="003C715B" w:rsidRPr="003C715B">
        <w:t xml:space="preserve">Figure </w:t>
      </w:r>
      <w:r w:rsidR="003C715B" w:rsidRPr="003C715B">
        <w:rPr>
          <w:noProof/>
        </w:rPr>
        <w:t>3</w:t>
      </w:r>
      <w:r w:rsidR="00AC442F" w:rsidRPr="00662B5A">
        <w:rPr>
          <w:rFonts w:ascii="Times New Roman" w:hAnsi="Times New Roman"/>
        </w:rPr>
        <w:fldChar w:fldCharType="end"/>
      </w:r>
      <w:r w:rsidR="00AC442F" w:rsidRPr="00662B5A">
        <w:rPr>
          <w:rFonts w:ascii="Times New Roman" w:hAnsi="Times New Roman"/>
        </w:rPr>
        <w:t xml:space="preserve">a), </w:t>
      </w:r>
      <w:r w:rsidR="0015473D" w:rsidRPr="00662B5A">
        <w:rPr>
          <w:rFonts w:ascii="Times New Roman" w:hAnsi="Times New Roman"/>
        </w:rPr>
        <w:t>w</w:t>
      </w:r>
      <w:r w:rsidR="0015473D">
        <w:rPr>
          <w:rFonts w:ascii="Times New Roman" w:hAnsi="Times New Roman"/>
        </w:rPr>
        <w:t>hich produces biphenyl, is a simple model in that the homocoupling product is identical to the cross-coupling product.</w:t>
      </w:r>
      <w:r w:rsidR="00AC442F">
        <w:rPr>
          <w:rFonts w:ascii="Times New Roman" w:hAnsi="Times New Roman"/>
        </w:rPr>
        <w:t xml:space="preserve"> The second </w:t>
      </w:r>
      <w:r w:rsidR="00AC442F" w:rsidRPr="00662B5A">
        <w:rPr>
          <w:rFonts w:ascii="Times New Roman" w:hAnsi="Times New Roman"/>
        </w:rPr>
        <w:t>reaction (</w:t>
      </w:r>
      <w:r w:rsidR="00AC442F" w:rsidRPr="00662B5A">
        <w:rPr>
          <w:rFonts w:ascii="Times New Roman" w:hAnsi="Times New Roman"/>
        </w:rPr>
        <w:fldChar w:fldCharType="begin"/>
      </w:r>
      <w:r w:rsidR="00AC442F" w:rsidRPr="00662B5A">
        <w:rPr>
          <w:rFonts w:ascii="Times New Roman" w:hAnsi="Times New Roman"/>
        </w:rPr>
        <w:instrText xml:space="preserve"> REF _Ref6848755 \h </w:instrText>
      </w:r>
      <w:r w:rsidR="00662B5A" w:rsidRPr="00662B5A">
        <w:rPr>
          <w:rFonts w:ascii="Times New Roman" w:hAnsi="Times New Roman"/>
        </w:rPr>
        <w:instrText xml:space="preserve"> \* MERGEFORMAT </w:instrText>
      </w:r>
      <w:r w:rsidR="00AC442F" w:rsidRPr="00662B5A">
        <w:rPr>
          <w:rFonts w:ascii="Times New Roman" w:hAnsi="Times New Roman"/>
        </w:rPr>
      </w:r>
      <w:r w:rsidR="00AC442F" w:rsidRPr="00662B5A">
        <w:rPr>
          <w:rFonts w:ascii="Times New Roman" w:hAnsi="Times New Roman"/>
        </w:rPr>
        <w:fldChar w:fldCharType="separate"/>
      </w:r>
      <w:r w:rsidR="003C715B" w:rsidRPr="003C715B">
        <w:t xml:space="preserve">Figure </w:t>
      </w:r>
      <w:r w:rsidR="003C715B" w:rsidRPr="003C715B">
        <w:rPr>
          <w:noProof/>
        </w:rPr>
        <w:t>3</w:t>
      </w:r>
      <w:r w:rsidR="00AC442F" w:rsidRPr="00662B5A">
        <w:rPr>
          <w:rFonts w:ascii="Times New Roman" w:hAnsi="Times New Roman"/>
        </w:rPr>
        <w:fldChar w:fldCharType="end"/>
      </w:r>
      <w:r w:rsidR="00AC442F" w:rsidRPr="00662B5A">
        <w:rPr>
          <w:rFonts w:ascii="Times New Roman" w:hAnsi="Times New Roman"/>
        </w:rPr>
        <w:t>b</w:t>
      </w:r>
      <w:r w:rsidR="0015473D" w:rsidRPr="00662B5A">
        <w:rPr>
          <w:rFonts w:ascii="Times New Roman" w:hAnsi="Times New Roman"/>
        </w:rPr>
        <w:t>)</w:t>
      </w:r>
      <w:r w:rsidR="00AC442F" w:rsidRPr="00662B5A">
        <w:rPr>
          <w:rFonts w:ascii="Times New Roman" w:hAnsi="Times New Roman"/>
        </w:rPr>
        <w:t xml:space="preserve"> </w:t>
      </w:r>
      <w:r w:rsidR="00AC442F">
        <w:rPr>
          <w:rFonts w:ascii="Times New Roman" w:hAnsi="Times New Roman"/>
        </w:rPr>
        <w:t>produces</w:t>
      </w:r>
      <w:r w:rsidR="0015473D">
        <w:rPr>
          <w:rFonts w:ascii="Times New Roman" w:hAnsi="Times New Roman"/>
        </w:rPr>
        <w:t xml:space="preserve"> diphenylmethane</w:t>
      </w:r>
      <w:r w:rsidR="00AC442F">
        <w:rPr>
          <w:rFonts w:ascii="Times New Roman" w:hAnsi="Times New Roman"/>
        </w:rPr>
        <w:t xml:space="preserve"> and</w:t>
      </w:r>
      <w:r w:rsidR="0015473D">
        <w:rPr>
          <w:rFonts w:ascii="Times New Roman" w:hAnsi="Times New Roman"/>
        </w:rPr>
        <w:t xml:space="preserve"> has two competing homocoupling side reactions which produce biphenyl and dibenzyl. </w:t>
      </w:r>
      <w:r w:rsidR="00FB6A0F">
        <w:rPr>
          <w:rFonts w:ascii="Times New Roman" w:hAnsi="Times New Roman"/>
        </w:rPr>
        <w:t>These competing reactions can reduce product yield, and the role of the ether solvent becomes both more complex and more important. For example, CPME is known to outperform traditional ether solvents in this coupling, giving the fastest reaction with the least homocoupling.</w:t>
      </w:r>
      <w:r w:rsidR="00FB6A0F">
        <w:rPr>
          <w:rFonts w:ascii="Times New Roman" w:hAnsi="Times New Roman"/>
        </w:rPr>
        <w:fldChar w:fldCharType="begin"/>
      </w:r>
      <w:r w:rsidR="008C7FBE">
        <w:rPr>
          <w:rFonts w:ascii="Times New Roman" w:hAnsi="Times New Roman"/>
        </w:rPr>
        <w:instrText xml:space="preserve"> ADDIN ZOTERO_ITEM CSL_CITATION {"citationID":"73mPoQvK","properties":{"formattedCitation":"\\super 31\\nosupersub{}","plainCitation":"31","noteIndex":0},"citationItems":[{"id":307,"uris":["http://zotero.org/users/4674022/items/8LGL92P5"],"uri":["http://zotero.org/users/4674022/items/8LGL92P5"],"itemData":{"id":307,"type":"article-journal","title":"Suzuki-Miyaura Cross-Coupling Reactions of Benzyl Halides with Potassium Aryltrifluoroborates","container-title":"The Journal of Organic Chemistry","page":"9198-9202","volume":"71","issue":"24","source":"PubMed Central","abstract":"The palladium–catalyzed cross–coupling of potassium aryltrifluoroborates with benzylic halides occurs in good yield with high functional group tolerance. The increased stability of potassium aryltrifluoroborates compared to other boron coupling partners makes this an effective route to functionalized methylene–linked biaryl systems.","DOI":"10.1021/jo061699f","ISSN":"0022-3263","note":"PMID: 17109547\nPMCID: PMC2515367","journalAbbreviation":"J Org Chem","author":[{"family":"Molander","given":"Gary A."},{"family":"Elia","given":"Maxwell D."}],"issued":{"date-parts":[["2006",11,24]]}}}],"schema":"https://github.com/citation-style-language/schema/raw/master/csl-citation.json"} </w:instrText>
      </w:r>
      <w:r w:rsidR="00FB6A0F">
        <w:rPr>
          <w:rFonts w:ascii="Times New Roman" w:hAnsi="Times New Roman"/>
        </w:rPr>
        <w:fldChar w:fldCharType="separate"/>
      </w:r>
      <w:r w:rsidR="008C7FBE" w:rsidRPr="008C7FBE">
        <w:rPr>
          <w:rFonts w:ascii="Times New Roman" w:hAnsi="Times New Roman"/>
          <w:vertAlign w:val="superscript"/>
        </w:rPr>
        <w:t>31</w:t>
      </w:r>
      <w:r w:rsidR="00FB6A0F">
        <w:rPr>
          <w:rFonts w:ascii="Times New Roman" w:hAnsi="Times New Roman"/>
        </w:rPr>
        <w:fldChar w:fldCharType="end"/>
      </w:r>
    </w:p>
    <w:p w14:paraId="300AD783" w14:textId="7329EB02" w:rsidR="005D32E4" w:rsidRPr="006B5C1F" w:rsidRDefault="006521A6" w:rsidP="00136625">
      <w:pPr>
        <w:pStyle w:val="TAMainText"/>
        <w:rPr>
          <w:rFonts w:ascii="Times New Roman" w:hAnsi="Times New Roman"/>
        </w:rPr>
      </w:pPr>
      <w:r>
        <w:rPr>
          <w:rFonts w:ascii="Times New Roman" w:hAnsi="Times New Roman"/>
        </w:rPr>
        <w:t xml:space="preserve">The results </w:t>
      </w:r>
      <w:r w:rsidR="000E43F5">
        <w:rPr>
          <w:rFonts w:ascii="Times New Roman" w:hAnsi="Times New Roman"/>
        </w:rPr>
        <w:t>in OME</w:t>
      </w:r>
      <w:r w:rsidR="000E43F5" w:rsidRPr="000E43F5">
        <w:rPr>
          <w:rFonts w:ascii="Times New Roman" w:hAnsi="Times New Roman"/>
          <w:vertAlign w:val="subscript"/>
        </w:rPr>
        <w:t>3-5</w:t>
      </w:r>
      <w:r w:rsidR="000E43F5">
        <w:rPr>
          <w:rFonts w:ascii="Times New Roman" w:hAnsi="Times New Roman"/>
        </w:rPr>
        <w:t xml:space="preserve"> </w:t>
      </w:r>
      <w:r>
        <w:rPr>
          <w:rFonts w:ascii="Times New Roman" w:hAnsi="Times New Roman"/>
        </w:rPr>
        <w:t xml:space="preserve">were </w:t>
      </w:r>
      <w:r w:rsidR="005D32E4">
        <w:rPr>
          <w:rFonts w:ascii="Times New Roman" w:hAnsi="Times New Roman"/>
        </w:rPr>
        <w:t>compared against 1,4-dioxane</w:t>
      </w:r>
      <w:r w:rsidR="00B00411">
        <w:rPr>
          <w:rFonts w:ascii="Times New Roman" w:hAnsi="Times New Roman"/>
        </w:rPr>
        <w:t>, which is closest to OME</w:t>
      </w:r>
      <w:r w:rsidR="00B00411" w:rsidRPr="00B00411">
        <w:rPr>
          <w:rFonts w:ascii="Times New Roman" w:hAnsi="Times New Roman"/>
          <w:vertAlign w:val="subscript"/>
        </w:rPr>
        <w:t>3-5</w:t>
      </w:r>
      <w:r w:rsidR="00B00411">
        <w:rPr>
          <w:rFonts w:ascii="Times New Roman" w:hAnsi="Times New Roman"/>
        </w:rPr>
        <w:t xml:space="preserve"> in the KAT space,</w:t>
      </w:r>
      <w:r w:rsidR="005D32E4">
        <w:rPr>
          <w:rFonts w:ascii="Times New Roman" w:hAnsi="Times New Roman"/>
        </w:rPr>
        <w:t xml:space="preserve"> and CPME</w:t>
      </w:r>
      <w:r w:rsidR="00B00411">
        <w:rPr>
          <w:rFonts w:ascii="Times New Roman" w:hAnsi="Times New Roman"/>
        </w:rPr>
        <w:t xml:space="preserve">, which is </w:t>
      </w:r>
      <w:r>
        <w:rPr>
          <w:rFonts w:ascii="Times New Roman" w:hAnsi="Times New Roman"/>
        </w:rPr>
        <w:t>considered</w:t>
      </w:r>
      <w:r w:rsidR="00B00411">
        <w:rPr>
          <w:rFonts w:ascii="Times New Roman" w:hAnsi="Times New Roman"/>
        </w:rPr>
        <w:t xml:space="preserve"> a safer, more environmentally friendly</w:t>
      </w:r>
      <w:r w:rsidR="00FB6A0F">
        <w:rPr>
          <w:rFonts w:ascii="Times New Roman" w:hAnsi="Times New Roman"/>
        </w:rPr>
        <w:t>, and sometimes more effective</w:t>
      </w:r>
      <w:r w:rsidR="00B00411">
        <w:rPr>
          <w:rFonts w:ascii="Times New Roman" w:hAnsi="Times New Roman"/>
        </w:rPr>
        <w:t xml:space="preserve"> ether solvent</w:t>
      </w:r>
      <w:r w:rsidR="00D57047">
        <w:rPr>
          <w:rFonts w:ascii="Times New Roman" w:hAnsi="Times New Roman"/>
        </w:rPr>
        <w:fldChar w:fldCharType="begin"/>
      </w:r>
      <w:r w:rsidR="008C7FBE">
        <w:rPr>
          <w:rFonts w:ascii="Times New Roman" w:hAnsi="Times New Roman"/>
        </w:rPr>
        <w:instrText xml:space="preserve"> ADDIN ZOTERO_ITEM CSL_CITATION {"citationID":"sjUMgBra","properties":{"formattedCitation":"\\super 27,32\\nosupersub{}","plainCitation":"27,32","noteIndex":0},"citationItems":[{"id":451,"uris":["http://zotero.org/users/4674022/items/32ZI98C9"],"uri":["http://zotero.org/users/4674022/items/32ZI98C9"],"itemData":{"id":451,"type":"article-journal","title":"Cyclopentyl Methyl Ether as a New and Alternative Process Solvent","container-title":"Organic Process Research &amp; Development","page":"251-258","volume":"11","issue":"2","source":"ACS Publications","abstract":"Cyclopentyl methyl ether (CPME) has become available in commercial quantities since November 2005 from Zeon Corporation with approval by the Toxic Substances Control Act (TSCA) and the European List of Notified Chemical Substances (ELINCS). A high boiling point (106 °C) and preferable characteristics such as low formation of peroxides, relative stability under acidic and basic conditions, formation of azeotropes with water coupled with a narrow explosion range render CPME an alternative to other ethereal solvents such as tetrahydrofuran (THF), 2-methyl tetrahydrofuran (2-MeTHF), dioxane (carcinogenic), and 1,2-dimethoxyethane (DME). Conventional drying is unnecessary for general organometallic reactions including Grignard reactions, enolate formation, Claisen condensation, general reductions, and Pd-based transformations.","DOI":"10.1021/op0680136","ISSN":"1083-6160","journalAbbreviation":"Org. Process Res. Dev.","author":[{"family":"Watanabe","given":"Kiyoshi"},{"family":"Yamagiwa","given":"Noriyuki"},{"family":"Torisawa","given":"Yasuhiro"}],"issued":{"date-parts":[["2007",3,1]]}}},{"id":266,"uris":["http://zotero.org/users/4674022/items/5J5UY694"],"uri":["http://zotero.org/users/4674022/items/5J5UY694"],"itemData":{"id":266,"type":"article-journal","title":"CHEM21 selection guide of classical- and less classical-solvents","container-title":"Green Chemistry","page":"288-296","volume":"18","issue":"1","source":"pubs.rsc.org","abstract":"A selection guide of common solvents has been elaborated, based on a survey of publically available solvent selection guides. In order to rank less classical solvents, a set of Safety, Health and Environment criteria is proposed, aligned with the Global Harmonized System (GHS) and European regulations. A methodology based on a simple combination of these criteria gives an overall preliminary ranking of any solvent. This enables in particular a simplified greenness evaluation of bio-derived solvents.","DOI":"10.1039/C5GC01008J","ISSN":"1463-9270","journalAbbreviation":"Green Chem.","language":"en","author":[{"family":"Prat","given":"Denis"},{"family":"Wells","given":"Andy"},{"family":"Hayler","given":"John"},{"family":"Sneddon","given":"Helen"},{"family":"McElroy","given":"C. Robert"},{"family":"Abou-Shehada","given":"Sarah"},{"family":"Dunn","given":"Peter J."}],"issued":{"date-parts":[["2016"]]}}}],"schema":"https://github.com/citation-style-language/schema/raw/master/csl-citation.json"} </w:instrText>
      </w:r>
      <w:r w:rsidR="00D57047">
        <w:rPr>
          <w:rFonts w:ascii="Times New Roman" w:hAnsi="Times New Roman"/>
        </w:rPr>
        <w:fldChar w:fldCharType="separate"/>
      </w:r>
      <w:r w:rsidR="008C7FBE" w:rsidRPr="008C7FBE">
        <w:rPr>
          <w:rFonts w:ascii="Times New Roman" w:hAnsi="Times New Roman"/>
          <w:vertAlign w:val="superscript"/>
        </w:rPr>
        <w:t>27,32</w:t>
      </w:r>
      <w:r w:rsidR="00D57047">
        <w:rPr>
          <w:rFonts w:ascii="Times New Roman" w:hAnsi="Times New Roman"/>
        </w:rPr>
        <w:fldChar w:fldCharType="end"/>
      </w:r>
      <w:r>
        <w:rPr>
          <w:rFonts w:ascii="Times New Roman" w:hAnsi="Times New Roman"/>
        </w:rPr>
        <w:t xml:space="preserve">. </w:t>
      </w:r>
      <w:r w:rsidR="00B00411">
        <w:rPr>
          <w:rFonts w:ascii="Times New Roman" w:hAnsi="Times New Roman"/>
        </w:rPr>
        <w:t>In reaction 3a), formation of the biphenyl product was promoted equally by all three solvents. Reaction 3b) showed that when homocoupling byproducts compete with the primary cross-coupling product, OME</w:t>
      </w:r>
      <w:r w:rsidR="00B00411" w:rsidRPr="00B00411">
        <w:rPr>
          <w:rFonts w:ascii="Times New Roman" w:hAnsi="Times New Roman"/>
          <w:vertAlign w:val="subscript"/>
        </w:rPr>
        <w:t>3-5</w:t>
      </w:r>
      <w:r w:rsidR="00B00411">
        <w:rPr>
          <w:rFonts w:ascii="Times New Roman" w:hAnsi="Times New Roman"/>
        </w:rPr>
        <w:t xml:space="preserve"> can promote the reaction more quickly than dioxane, though not as </w:t>
      </w:r>
      <w:r w:rsidR="000E43F5">
        <w:rPr>
          <w:rFonts w:ascii="Times New Roman" w:hAnsi="Times New Roman"/>
        </w:rPr>
        <w:t>well</w:t>
      </w:r>
      <w:r w:rsidR="00B00411">
        <w:rPr>
          <w:rFonts w:ascii="Times New Roman" w:hAnsi="Times New Roman"/>
        </w:rPr>
        <w:t xml:space="preserve"> as CPME. After 24</w:t>
      </w:r>
      <w:r w:rsidR="00B16FFA">
        <w:rPr>
          <w:rFonts w:ascii="Times New Roman" w:hAnsi="Times New Roman"/>
        </w:rPr>
        <w:t xml:space="preserve"> </w:t>
      </w:r>
      <w:r w:rsidR="00B00411">
        <w:rPr>
          <w:rFonts w:ascii="Times New Roman" w:hAnsi="Times New Roman"/>
        </w:rPr>
        <w:t>h</w:t>
      </w:r>
      <w:r w:rsidR="00136625">
        <w:rPr>
          <w:rFonts w:ascii="Times New Roman" w:hAnsi="Times New Roman"/>
        </w:rPr>
        <w:t>ours</w:t>
      </w:r>
      <w:r w:rsidR="00B00411">
        <w:rPr>
          <w:rFonts w:ascii="Times New Roman" w:hAnsi="Times New Roman"/>
        </w:rPr>
        <w:t xml:space="preserve">, the product yield was similar in all three solvents, </w:t>
      </w:r>
      <w:r w:rsidR="00C95237">
        <w:rPr>
          <w:rFonts w:ascii="Times New Roman" w:hAnsi="Times New Roman"/>
        </w:rPr>
        <w:t>with slight differences in formation of the homocoupling products (</w:t>
      </w:r>
      <w:r w:rsidR="00E01A37">
        <w:rPr>
          <w:rFonts w:ascii="Times New Roman" w:hAnsi="Times New Roman"/>
        </w:rPr>
        <w:t>Figure S2</w:t>
      </w:r>
      <w:r w:rsidR="00C95237">
        <w:rPr>
          <w:rFonts w:ascii="Times New Roman" w:hAnsi="Times New Roman"/>
        </w:rPr>
        <w:t xml:space="preserve">). Both </w:t>
      </w:r>
      <w:r w:rsidR="00C95237">
        <w:rPr>
          <w:rFonts w:ascii="Times New Roman" w:hAnsi="Times New Roman"/>
        </w:rPr>
        <w:lastRenderedPageBreak/>
        <w:t>OME</w:t>
      </w:r>
      <w:r w:rsidR="00C95237" w:rsidRPr="00C95237">
        <w:rPr>
          <w:rFonts w:ascii="Times New Roman" w:hAnsi="Times New Roman"/>
          <w:vertAlign w:val="subscript"/>
        </w:rPr>
        <w:t>3-5</w:t>
      </w:r>
      <w:r w:rsidR="00C95237">
        <w:rPr>
          <w:rFonts w:ascii="Times New Roman" w:hAnsi="Times New Roman"/>
          <w:vertAlign w:val="subscript"/>
        </w:rPr>
        <w:t xml:space="preserve"> </w:t>
      </w:r>
      <w:r w:rsidR="00C95237">
        <w:rPr>
          <w:rFonts w:ascii="Times New Roman" w:hAnsi="Times New Roman"/>
        </w:rPr>
        <w:t xml:space="preserve">and CPME formed less biphenyl side product than dioxane, </w:t>
      </w:r>
      <w:r w:rsidR="006B5C1F">
        <w:rPr>
          <w:rFonts w:ascii="Times New Roman" w:hAnsi="Times New Roman"/>
        </w:rPr>
        <w:t>with the preference for dibenzyl being particularly pronounced in OME</w:t>
      </w:r>
      <w:r w:rsidR="006B5C1F" w:rsidRPr="00C95237">
        <w:rPr>
          <w:rFonts w:ascii="Times New Roman" w:hAnsi="Times New Roman"/>
          <w:vertAlign w:val="subscript"/>
        </w:rPr>
        <w:t>3-5</w:t>
      </w:r>
      <w:r w:rsidR="006B5C1F">
        <w:rPr>
          <w:rFonts w:ascii="Times New Roman" w:hAnsi="Times New Roman"/>
        </w:rPr>
        <w:t>.</w:t>
      </w:r>
    </w:p>
    <w:p w14:paraId="0E53D461" w14:textId="52E9E9E5" w:rsidR="005D32E4" w:rsidRDefault="00136625" w:rsidP="00372289">
      <w:pPr>
        <w:pStyle w:val="TAMainText"/>
        <w:jc w:val="center"/>
        <w:rPr>
          <w:rFonts w:ascii="Times New Roman" w:hAnsi="Times New Roman"/>
        </w:rPr>
      </w:pPr>
      <w:r>
        <w:rPr>
          <w:noProof/>
          <w:lang w:val="en-GB" w:eastAsia="en-GB"/>
        </w:rPr>
        <w:drawing>
          <wp:inline distT="0" distB="0" distL="0" distR="0" wp14:anchorId="7DBB7C3B" wp14:editId="7D7DAFB2">
            <wp:extent cx="5943600" cy="35629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ME Suzuki Reactions.png"/>
                    <pic:cNvPicPr/>
                  </pic:nvPicPr>
                  <pic:blipFill>
                    <a:blip r:embed="rId13"/>
                    <a:stretch>
                      <a:fillRect/>
                    </a:stretch>
                  </pic:blipFill>
                  <pic:spPr>
                    <a:xfrm>
                      <a:off x="0" y="0"/>
                      <a:ext cx="5943600" cy="3562985"/>
                    </a:xfrm>
                    <a:prstGeom prst="rect">
                      <a:avLst/>
                    </a:prstGeom>
                  </pic:spPr>
                </pic:pic>
              </a:graphicData>
            </a:graphic>
          </wp:inline>
        </w:drawing>
      </w:r>
    </w:p>
    <w:p w14:paraId="6D2F146B" w14:textId="04E4BE22" w:rsidR="007F5302" w:rsidRPr="00B8644B" w:rsidRDefault="00241204" w:rsidP="00241204">
      <w:pPr>
        <w:pStyle w:val="Caption"/>
      </w:pPr>
      <w:bookmarkStart w:id="10" w:name="_Ref6848755"/>
      <w:r w:rsidRPr="00241204">
        <w:rPr>
          <w:b/>
        </w:rPr>
        <w:t xml:space="preserve">Figure </w:t>
      </w:r>
      <w:r w:rsidRPr="00241204">
        <w:rPr>
          <w:b/>
        </w:rPr>
        <w:fldChar w:fldCharType="begin"/>
      </w:r>
      <w:r w:rsidRPr="00241204">
        <w:rPr>
          <w:b/>
        </w:rPr>
        <w:instrText xml:space="preserve"> SEQ Figure \* ARABIC </w:instrText>
      </w:r>
      <w:r w:rsidRPr="00241204">
        <w:rPr>
          <w:b/>
        </w:rPr>
        <w:fldChar w:fldCharType="separate"/>
      </w:r>
      <w:r w:rsidR="003C715B">
        <w:rPr>
          <w:b/>
          <w:noProof/>
        </w:rPr>
        <w:t>3</w:t>
      </w:r>
      <w:r w:rsidRPr="00241204">
        <w:rPr>
          <w:b/>
        </w:rPr>
        <w:fldChar w:fldCharType="end"/>
      </w:r>
      <w:bookmarkEnd w:id="10"/>
      <w:r w:rsidRPr="00241204">
        <w:rPr>
          <w:b/>
        </w:rPr>
        <w:t>.</w:t>
      </w:r>
      <w:r>
        <w:t xml:space="preserve"> </w:t>
      </w:r>
      <w:r w:rsidR="00372289" w:rsidRPr="00B8644B">
        <w:t xml:space="preserve">Reaction yields of </w:t>
      </w:r>
      <w:r w:rsidR="004F7B14" w:rsidRPr="00B8644B">
        <w:t xml:space="preserve">Suzuki-Miyaura coupling reactions to produce a) </w:t>
      </w:r>
      <w:r w:rsidR="00372289" w:rsidRPr="00B8644B">
        <w:t>biphenyl and b) diphenylmethane in 1,4-dioxane, CPME, and OME</w:t>
      </w:r>
      <w:r w:rsidR="00B16FFA" w:rsidRPr="00B8644B">
        <w:rPr>
          <w:vertAlign w:val="subscript"/>
        </w:rPr>
        <w:t>3-5</w:t>
      </w:r>
      <w:r w:rsidR="00372289" w:rsidRPr="00B8644B">
        <w:rPr>
          <w:vertAlign w:val="subscript"/>
        </w:rPr>
        <w:t xml:space="preserve"> </w:t>
      </w:r>
      <w:r w:rsidR="00372289" w:rsidRPr="00B8644B">
        <w:t>solvents. Y</w:t>
      </w:r>
      <w:r w:rsidR="005B3188" w:rsidRPr="00B8644B">
        <w:t>ields were calculated</w:t>
      </w:r>
      <w:r w:rsidR="0050784E">
        <w:t xml:space="preserve"> via analysis of reaction mixture </w:t>
      </w:r>
      <w:r w:rsidR="005B3188" w:rsidRPr="00B8644B">
        <w:t xml:space="preserve">by GC-FID, and </w:t>
      </w:r>
      <w:r w:rsidR="00B16FFA">
        <w:t xml:space="preserve">the </w:t>
      </w:r>
      <w:r w:rsidR="005B3188" w:rsidRPr="00B8644B">
        <w:t>standard error is given based on three repetitions.</w:t>
      </w:r>
    </w:p>
    <w:p w14:paraId="38886546" w14:textId="368BF879" w:rsidR="000D145A" w:rsidRDefault="005F1321" w:rsidP="000D145A">
      <w:pPr>
        <w:pStyle w:val="TAMainText"/>
        <w:rPr>
          <w:rFonts w:ascii="Times New Roman" w:hAnsi="Times New Roman"/>
        </w:rPr>
      </w:pPr>
      <w:r>
        <w:rPr>
          <w:rFonts w:ascii="Times New Roman" w:hAnsi="Times New Roman"/>
        </w:rPr>
        <w:t xml:space="preserve">Greener solvents are also in demand for </w:t>
      </w:r>
      <w:r w:rsidR="00CB425E">
        <w:rPr>
          <w:rFonts w:ascii="Times New Roman" w:hAnsi="Times New Roman"/>
        </w:rPr>
        <w:t>biocatalytic</w:t>
      </w:r>
      <w:r>
        <w:rPr>
          <w:rFonts w:ascii="Times New Roman" w:hAnsi="Times New Roman"/>
        </w:rPr>
        <w:t xml:space="preserve"> reactions</w:t>
      </w:r>
      <w:r w:rsidR="00CB425E">
        <w:rPr>
          <w:rFonts w:ascii="Times New Roman" w:hAnsi="Times New Roman"/>
        </w:rPr>
        <w:t>, which are growing in popularity for industrial processes</w:t>
      </w:r>
      <w:r>
        <w:rPr>
          <w:rFonts w:ascii="Times New Roman" w:hAnsi="Times New Roman"/>
        </w:rPr>
        <w:t>. Recently, studies have compared the performance of solvents such as tetramethyloxolane (TMO) and 2-methyl THF against more traditional choices such as toluene and THF in simple esterification reactions between 1-hexanol and dodecanoic acid</w:t>
      </w:r>
      <w:r w:rsidR="005230AA">
        <w:rPr>
          <w:rFonts w:ascii="Times New Roman" w:hAnsi="Times New Roman"/>
        </w:rPr>
        <w:fldChar w:fldCharType="begin"/>
      </w:r>
      <w:r w:rsidR="008C7FBE">
        <w:rPr>
          <w:rFonts w:ascii="Times New Roman" w:hAnsi="Times New Roman"/>
        </w:rPr>
        <w:instrText xml:space="preserve"> ADDIN ZOTERO_ITEM CSL_CITATION {"citationID":"lKj37EzN","properties":{"formattedCitation":"\\super 33\\nosupersub{}","plainCitation":"33","noteIndex":0},"citationItems":[{"id":447,"uris":["http://zotero.org/users/4674022/items/BB5VK2EE"],"uri":["http://zotero.org/users/4674022/items/BB5VK2EE"],"itemData":{"id":447,"type":"article-journal","title":"Biocatalysis in bio-derived solvents: an improved approach for medium optimisation","container-title":"Green Chemistry","page":"2107-2110","volume":"16","issue":"4","source":"pubs.rsc.org","abstract":"An improved multi-parameter approach to the correlation of enzymatic activity and solvent properties is proposed. The development of the correlation facilitated the introduction of renewable solvents in a CALB catalysed synthesis of fatty esters.","DOI":"10.1039/C3GC42526F","ISSN":"1463-9270","title-short":"Biocatalysis in bio-derived solvents","journalAbbreviation":"Green Chem.","language":"en","author":[{"family":"Paggiola","given":"Giulia"},{"family":"Hunt","given":"Andrew J."},{"family":"McElroy","given":"Con R."},{"family":"Sherwood","given":"James"},{"family":"Clark","given":"James H."}],"issued":{"date-parts":[["2014",3,24]]}}}],"schema":"https://github.com/citation-style-language/schema/raw/master/csl-citation.json"} </w:instrText>
      </w:r>
      <w:r w:rsidR="005230AA">
        <w:rPr>
          <w:rFonts w:ascii="Times New Roman" w:hAnsi="Times New Roman"/>
        </w:rPr>
        <w:fldChar w:fldCharType="separate"/>
      </w:r>
      <w:r w:rsidR="008C7FBE" w:rsidRPr="008C7FBE">
        <w:rPr>
          <w:rFonts w:ascii="Times New Roman" w:hAnsi="Times New Roman"/>
          <w:vertAlign w:val="superscript"/>
        </w:rPr>
        <w:t>33</w:t>
      </w:r>
      <w:r w:rsidR="005230AA">
        <w:rPr>
          <w:rFonts w:ascii="Times New Roman" w:hAnsi="Times New Roman"/>
        </w:rPr>
        <w:fldChar w:fldCharType="end"/>
      </w:r>
      <w:r>
        <w:rPr>
          <w:rFonts w:ascii="Times New Roman" w:hAnsi="Times New Roman"/>
        </w:rPr>
        <w:t>, as well as between the bulkier 2-phenyl</w:t>
      </w:r>
      <w:r w:rsidR="00F35A20">
        <w:rPr>
          <w:rFonts w:ascii="Times New Roman" w:hAnsi="Times New Roman"/>
        </w:rPr>
        <w:t>p</w:t>
      </w:r>
      <w:r>
        <w:rPr>
          <w:rFonts w:ascii="Times New Roman" w:hAnsi="Times New Roman"/>
        </w:rPr>
        <w:t>ropionic acid and ethanol</w:t>
      </w:r>
      <w:r w:rsidR="005230AA">
        <w:rPr>
          <w:rFonts w:ascii="Times New Roman" w:hAnsi="Times New Roman"/>
        </w:rPr>
        <w:fldChar w:fldCharType="begin"/>
      </w:r>
      <w:r w:rsidR="008C7FBE">
        <w:rPr>
          <w:rFonts w:ascii="Times New Roman" w:hAnsi="Times New Roman"/>
        </w:rPr>
        <w:instrText xml:space="preserve"> ADDIN ZOTERO_ITEM CSL_CITATION {"citationID":"K3H61pgO","properties":{"formattedCitation":"\\super 34\\nosupersub{}","plainCitation":"34","noteIndex":0},"citationItems":[{"id":858,"uris":["http://zotero.org/users/4674022/items/8C9GQZQR"],"uri":["http://zotero.org/users/4674022/items/8C9GQZQR"],"itemData":{"id":858,"type":"article-journal","title":"Towards sustainable kinetic resolution, a combination of bio-catalysis, flow chemistry and bio-based solvents","container-title":"Green Chemistry","page":"136-140","volume":"20","issue":"1","source":"pubs.rsc.org","abstract":"The esterification of 2-phenylpropionic acid was investigated as a model system for enzyme catalysed (CALB, Novozyme 435) reactions in bio-based solvents. A multi-parameter correlation taking into account solvent parameters was developed to explain experimental observations. A continuous flow process using p-cymene as the solvent was operated over several weeks, thus combining a sustainable solvent and flow chemistry for kinetic resolution.","DOI":"10.1039/C7GC03177G","ISSN":"1463-9270","journalAbbreviation":"Green Chem.","language":"en","author":[{"family":"Iemhoff","given":"Andree"},{"family":"Sherwood","given":"James"},{"family":"McElroy","given":"Con R."},{"family":"Hunt","given":"Andrew J."}],"issued":{"date-parts":[["2018",1,2]]}}}],"schema":"https://github.com/citation-style-language/schema/raw/master/csl-citation.json"} </w:instrText>
      </w:r>
      <w:r w:rsidR="005230AA">
        <w:rPr>
          <w:rFonts w:ascii="Times New Roman" w:hAnsi="Times New Roman"/>
        </w:rPr>
        <w:fldChar w:fldCharType="separate"/>
      </w:r>
      <w:r w:rsidR="008C7FBE" w:rsidRPr="008C7FBE">
        <w:rPr>
          <w:rFonts w:ascii="Times New Roman" w:hAnsi="Times New Roman"/>
          <w:vertAlign w:val="superscript"/>
        </w:rPr>
        <w:t>34</w:t>
      </w:r>
      <w:r w:rsidR="005230AA">
        <w:rPr>
          <w:rFonts w:ascii="Times New Roman" w:hAnsi="Times New Roman"/>
        </w:rPr>
        <w:fldChar w:fldCharType="end"/>
      </w:r>
      <w:r w:rsidR="00427DBB">
        <w:rPr>
          <w:rFonts w:ascii="Times New Roman" w:hAnsi="Times New Roman"/>
        </w:rPr>
        <w:t xml:space="preserve"> and for the polycondensation of aliphatic and furan-derived bio-based monomers</w:t>
      </w:r>
      <w:r>
        <w:rPr>
          <w:rFonts w:ascii="Times New Roman" w:hAnsi="Times New Roman"/>
        </w:rPr>
        <w:t>.</w:t>
      </w:r>
      <w:r w:rsidR="00642648">
        <w:rPr>
          <w:rFonts w:ascii="Times New Roman" w:hAnsi="Times New Roman"/>
        </w:rPr>
        <w:fldChar w:fldCharType="begin"/>
      </w:r>
      <w:r w:rsidR="008C7FBE">
        <w:rPr>
          <w:rFonts w:ascii="Times New Roman" w:hAnsi="Times New Roman"/>
        </w:rPr>
        <w:instrText xml:space="preserve"> ADDIN ZOTERO_ITEM CSL_CITATION {"citationID":"Aa7Nogn2","properties":{"formattedCitation":"\\super 35\\nosupersub{}","plainCitation":"35","noteIndex":0},"citationItems":[{"id":1058,"uris":["http://zotero.org/users/4674022/items/DSW7N4WB"],"uri":["http://zotero.org/users/4674022/items/DSW7N4WB"],"itemData":{"id":1058,"type":"article-journal","title":"Safer bio-based solvents to replace toluene and tetrahydrofuran for the biocatalyzed synthesis of polyesters","container-title":"Green Chemistry","page":"1686-1694","volume":"21","issue":"7","source":"pubs.rsc.org","DOI":"10.1039/C8GC03567A","language":"en","author":[{"family":"Pellis","given":"Alessandro"},{"family":"P. Byrne","given":"Fergal"},{"family":"Sherwood","given":"James"},{"family":"Vastano","given":"Marco"},{"family":"W. Comerford","given":"James"},{"family":"J. Farmer","given":"Thomas"}],"issued":{"date-parts":[["2019"]]}}}],"schema":"https://github.com/citation-style-language/schema/raw/master/csl-citation.json"} </w:instrText>
      </w:r>
      <w:r w:rsidR="00642648">
        <w:rPr>
          <w:rFonts w:ascii="Times New Roman" w:hAnsi="Times New Roman"/>
        </w:rPr>
        <w:fldChar w:fldCharType="separate"/>
      </w:r>
      <w:r w:rsidR="008C7FBE" w:rsidRPr="008C7FBE">
        <w:rPr>
          <w:rFonts w:ascii="Times New Roman" w:hAnsi="Times New Roman"/>
          <w:vertAlign w:val="superscript"/>
        </w:rPr>
        <w:t>35</w:t>
      </w:r>
      <w:r w:rsidR="00642648">
        <w:rPr>
          <w:rFonts w:ascii="Times New Roman" w:hAnsi="Times New Roman"/>
        </w:rPr>
        <w:fldChar w:fldCharType="end"/>
      </w:r>
      <w:r>
        <w:rPr>
          <w:rFonts w:ascii="Times New Roman" w:hAnsi="Times New Roman"/>
        </w:rPr>
        <w:t xml:space="preserve"> </w:t>
      </w:r>
      <w:r w:rsidR="00986F13">
        <w:rPr>
          <w:rFonts w:ascii="Times New Roman" w:hAnsi="Times New Roman"/>
        </w:rPr>
        <w:t>For enzymatic polymerizations, however, the</w:t>
      </w:r>
      <w:r w:rsidR="005B3188">
        <w:rPr>
          <w:rFonts w:ascii="Times New Roman" w:hAnsi="Times New Roman"/>
        </w:rPr>
        <w:t xml:space="preserve"> traditional</w:t>
      </w:r>
      <w:r w:rsidR="00986F13">
        <w:rPr>
          <w:rFonts w:ascii="Times New Roman" w:hAnsi="Times New Roman"/>
        </w:rPr>
        <w:t xml:space="preserve"> solvent of choice is diphenyl ether (DPE), due to its low volatility at the enzyme’s operational temperature of </w:t>
      </w:r>
      <w:r w:rsidR="00A83800">
        <w:rPr>
          <w:rFonts w:ascii="Times New Roman" w:hAnsi="Times New Roman"/>
        </w:rPr>
        <w:t>85</w:t>
      </w:r>
      <w:r w:rsidR="00986F13">
        <w:rPr>
          <w:rFonts w:ascii="Times New Roman" w:hAnsi="Times New Roman"/>
        </w:rPr>
        <w:sym w:font="Symbol" w:char="F0B0"/>
      </w:r>
      <w:r w:rsidR="00986F13">
        <w:rPr>
          <w:rFonts w:ascii="Times New Roman" w:hAnsi="Times New Roman"/>
        </w:rPr>
        <w:t>C and its ability to dissolve a variety of substrates.</w:t>
      </w:r>
      <w:r w:rsidR="00986F13">
        <w:rPr>
          <w:rFonts w:ascii="Times New Roman" w:hAnsi="Times New Roman"/>
        </w:rPr>
        <w:fldChar w:fldCharType="begin"/>
      </w:r>
      <w:r w:rsidR="008C7FBE">
        <w:rPr>
          <w:rFonts w:ascii="Times New Roman" w:hAnsi="Times New Roman"/>
        </w:rPr>
        <w:instrText xml:space="preserve"> ADDIN ZOTERO_ITEM CSL_CITATION {"citationID":"L5LjVuYN","properties":{"formattedCitation":"\\super 36,37\\nosupersub{}","plainCitation":"36,37","noteIndex":0},"citationItems":[{"id":"3ztE3XCs/8wRaWR3l","uris":["http://zotero.org/users/4674022/items/WFR8MHC7"],"uri":["http://zotero.org/users/4674022/items/WFR8MHC7"],"itemData":{"id":594,"type":"article-journal","title":"A biocatalytic approach towards sustainable furanic–aliphatic polyesters","container-title":"Polymer Chemistry","page":"5198-5211","volume":"6","issue":"29","source":"pubs.rsc.org","DOI":"10.1039/C5PY00629E","language":"en","author":[{"family":"Jiang","given":"Yi"},{"family":"J. Woortman","given":"Albert J."},{"family":"Ekenstein","given":"Gert O. R. Alberda","dropping-particle":"van"},{"family":"Loos","given":"Katja"}],"issued":{"date-parts":[["2015"]]}}},{"id":1051,"uris":["http://zotero.org/users/4674022/items/7G6GN87G"],"uri":["http://zotero.org/users/4674022/items/7G6GN87G"],"itemData":{"id":1051,"type":"article-journal","title":"Enzymatic synthesis of lignin derivable pyridine based polyesters for the substitution of petroleum derived plastics","container-title":"Nature Communications","page":"1762","volume":"10","issue":"1","source":"www.nature.com","abstract":"The increasing concern of global plastic pollution has led to an increase in the production and characterization of bio-based and biodegradable alternatives. Here the authors show the synthesis of a series of fully bio-based alternatives based on 2,4-, 2,5-, and 2,6- pyridinedicarboxylic acids, via enzymatic catalysis.","DOI":"10.1038/s41467-019-09817-3","ISSN":"2041-1723","language":"En","author":[{"family":"Pellis","given":"Alessandro"},{"family":"Comerford","given":"James W."},{"family":"Weinberger","given":"Simone"},{"family":"Guebitz","given":"Georg M."},{"family":"Clark","given":"James H."},{"family":"Farmer","given":"Thomas J."}],"issued":{"date-parts":[["2019",4,16]]}}}],"schema":"https://github.com/citation-style-language/schema/raw/master/csl-citation.json"} </w:instrText>
      </w:r>
      <w:r w:rsidR="00986F13">
        <w:rPr>
          <w:rFonts w:ascii="Times New Roman" w:hAnsi="Times New Roman"/>
        </w:rPr>
        <w:fldChar w:fldCharType="separate"/>
      </w:r>
      <w:r w:rsidR="008C7FBE" w:rsidRPr="008C7FBE">
        <w:rPr>
          <w:rFonts w:ascii="Times New Roman" w:hAnsi="Times New Roman"/>
          <w:vertAlign w:val="superscript"/>
        </w:rPr>
        <w:t>36,37</w:t>
      </w:r>
      <w:r w:rsidR="00986F13">
        <w:rPr>
          <w:rFonts w:ascii="Times New Roman" w:hAnsi="Times New Roman"/>
        </w:rPr>
        <w:fldChar w:fldCharType="end"/>
      </w:r>
      <w:r w:rsidR="00986F13">
        <w:rPr>
          <w:rFonts w:ascii="Times New Roman" w:hAnsi="Times New Roman"/>
        </w:rPr>
        <w:t xml:space="preserve"> </w:t>
      </w:r>
      <w:r w:rsidR="000E43F5">
        <w:rPr>
          <w:rFonts w:ascii="Times New Roman" w:hAnsi="Times New Roman"/>
        </w:rPr>
        <w:t xml:space="preserve">Due to the similar KAT </w:t>
      </w:r>
      <w:r w:rsidR="000E43F5">
        <w:rPr>
          <w:rFonts w:ascii="Times New Roman" w:hAnsi="Times New Roman"/>
        </w:rPr>
        <w:lastRenderedPageBreak/>
        <w:t>parameters of</w:t>
      </w:r>
      <w:r w:rsidR="00CA292C">
        <w:rPr>
          <w:rFonts w:ascii="Times New Roman" w:hAnsi="Times New Roman"/>
        </w:rPr>
        <w:t xml:space="preserve"> OME</w:t>
      </w:r>
      <w:r w:rsidR="00CA292C" w:rsidRPr="00CA292C">
        <w:rPr>
          <w:rFonts w:ascii="Times New Roman" w:hAnsi="Times New Roman"/>
          <w:vertAlign w:val="subscript"/>
        </w:rPr>
        <w:t>3-5</w:t>
      </w:r>
      <w:r w:rsidR="00CA292C">
        <w:rPr>
          <w:rFonts w:ascii="Times New Roman" w:hAnsi="Times New Roman"/>
        </w:rPr>
        <w:t xml:space="preserve"> </w:t>
      </w:r>
      <w:r w:rsidR="00314D09">
        <w:rPr>
          <w:rFonts w:ascii="Times New Roman" w:hAnsi="Times New Roman"/>
        </w:rPr>
        <w:t>and DPE, as well as t</w:t>
      </w:r>
      <w:r w:rsidR="00A83800">
        <w:rPr>
          <w:rFonts w:ascii="Times New Roman" w:hAnsi="Times New Roman"/>
        </w:rPr>
        <w:t>he high boiling points of OMEs,</w:t>
      </w:r>
      <w:r w:rsidR="00314D09">
        <w:rPr>
          <w:rFonts w:ascii="Times New Roman" w:hAnsi="Times New Roman"/>
        </w:rPr>
        <w:t xml:space="preserve"> the OME</w:t>
      </w:r>
      <w:r w:rsidR="00314D09">
        <w:rPr>
          <w:rFonts w:ascii="Times New Roman" w:hAnsi="Times New Roman"/>
          <w:vertAlign w:val="subscript"/>
        </w:rPr>
        <w:t>3-5</w:t>
      </w:r>
      <w:r w:rsidR="00314D09">
        <w:rPr>
          <w:rFonts w:ascii="Times New Roman" w:hAnsi="Times New Roman"/>
        </w:rPr>
        <w:t xml:space="preserve"> mixture was tested as a </w:t>
      </w:r>
      <w:r w:rsidR="00140433">
        <w:rPr>
          <w:rFonts w:ascii="Times New Roman" w:hAnsi="Times New Roman"/>
        </w:rPr>
        <w:t>renewably-sourced</w:t>
      </w:r>
      <w:r w:rsidR="00314D09">
        <w:rPr>
          <w:rFonts w:ascii="Times New Roman" w:hAnsi="Times New Roman"/>
        </w:rPr>
        <w:t xml:space="preserve"> solvent for enzymatic polymerization reactions.</w:t>
      </w:r>
    </w:p>
    <w:p w14:paraId="0F2897B4" w14:textId="3826791F" w:rsidR="00314D09" w:rsidRDefault="00314D09" w:rsidP="000D145A">
      <w:pPr>
        <w:pStyle w:val="TAMainText"/>
        <w:rPr>
          <w:rFonts w:ascii="Times New Roman" w:hAnsi="Times New Roman"/>
          <w:lang w:eastAsia="zh-CN"/>
        </w:rPr>
      </w:pPr>
      <w:r>
        <w:rPr>
          <w:rFonts w:ascii="Times New Roman" w:hAnsi="Times New Roman"/>
        </w:rPr>
        <w:t>A polycondensation (transesterification) reaction was performed with a bio-based diester (dimethyl adipate) and three diols with carbon chain lengths of 4</w:t>
      </w:r>
      <w:r w:rsidR="00F23F5F">
        <w:rPr>
          <w:rFonts w:ascii="Times New Roman" w:hAnsi="Times New Roman"/>
        </w:rPr>
        <w:t xml:space="preserve"> (1,4-butanediol)</w:t>
      </w:r>
      <w:r>
        <w:rPr>
          <w:rFonts w:ascii="Times New Roman" w:hAnsi="Times New Roman"/>
        </w:rPr>
        <w:t>, 6</w:t>
      </w:r>
      <w:r w:rsidR="00F23F5F">
        <w:rPr>
          <w:rFonts w:ascii="Times New Roman" w:hAnsi="Times New Roman"/>
        </w:rPr>
        <w:t xml:space="preserve"> (1,6-hexanediol)</w:t>
      </w:r>
      <w:r>
        <w:rPr>
          <w:rFonts w:ascii="Times New Roman" w:hAnsi="Times New Roman"/>
        </w:rPr>
        <w:t>, and 8</w:t>
      </w:r>
      <w:r w:rsidR="00F23F5F">
        <w:rPr>
          <w:rFonts w:ascii="Times New Roman" w:hAnsi="Times New Roman"/>
        </w:rPr>
        <w:t xml:space="preserve"> (1,8-octanediol)</w:t>
      </w:r>
      <w:r>
        <w:rPr>
          <w:rFonts w:ascii="Times New Roman" w:hAnsi="Times New Roman"/>
        </w:rPr>
        <w:t xml:space="preserve"> atoms respectively, </w:t>
      </w:r>
      <w:r w:rsidR="00B44CCA">
        <w:rPr>
          <w:rFonts w:ascii="Times New Roman" w:hAnsi="Times New Roman"/>
        </w:rPr>
        <w:t>in order to study</w:t>
      </w:r>
      <w:r>
        <w:rPr>
          <w:rFonts w:ascii="Times New Roman" w:hAnsi="Times New Roman"/>
        </w:rPr>
        <w:t xml:space="preserve"> the impact of diol chain length </w:t>
      </w:r>
      <w:r w:rsidR="00B44CCA">
        <w:rPr>
          <w:rFonts w:ascii="Times New Roman" w:hAnsi="Times New Roman"/>
        </w:rPr>
        <w:t xml:space="preserve">on reaction progress. From the </w:t>
      </w:r>
      <w:r w:rsidR="00B44CCA" w:rsidRPr="00B44CCA">
        <w:rPr>
          <w:rFonts w:ascii="Times New Roman" w:hAnsi="Times New Roman"/>
          <w:vertAlign w:val="superscript"/>
        </w:rPr>
        <w:t>1</w:t>
      </w:r>
      <w:r w:rsidR="00B44CCA">
        <w:rPr>
          <w:rFonts w:ascii="Times New Roman" w:hAnsi="Times New Roman"/>
        </w:rPr>
        <w:t>H-NMR of the purified products</w:t>
      </w:r>
      <w:r w:rsidR="00B44CCA" w:rsidRPr="00A83800">
        <w:rPr>
          <w:rFonts w:ascii="Times New Roman" w:hAnsi="Times New Roman"/>
        </w:rPr>
        <w:t xml:space="preserve"> (</w:t>
      </w:r>
      <w:r w:rsidR="00E01A37">
        <w:rPr>
          <w:rFonts w:ascii="Times New Roman" w:hAnsi="Times New Roman"/>
        </w:rPr>
        <w:t>Figure S3</w:t>
      </w:r>
      <w:r w:rsidR="00B44CCA">
        <w:rPr>
          <w:rFonts w:ascii="Times New Roman" w:hAnsi="Times New Roman"/>
        </w:rPr>
        <w:t>), no major differences were observed between solvents</w:t>
      </w:r>
      <w:r w:rsidR="00443D95">
        <w:rPr>
          <w:rFonts w:ascii="Times New Roman" w:hAnsi="Times New Roman"/>
        </w:rPr>
        <w:t>, with all</w:t>
      </w:r>
      <w:r w:rsidR="00B44CCA">
        <w:rPr>
          <w:rFonts w:ascii="Times New Roman" w:hAnsi="Times New Roman"/>
        </w:rPr>
        <w:t xml:space="preserve"> monomer conversions </w:t>
      </w:r>
      <w:r w:rsidR="00443D95">
        <w:rPr>
          <w:rFonts w:ascii="Times New Roman" w:hAnsi="Times New Roman"/>
        </w:rPr>
        <w:t xml:space="preserve">reaching </w:t>
      </w:r>
      <w:r w:rsidR="00067957">
        <w:rPr>
          <w:rFonts w:ascii="Times New Roman" w:hAnsi="Times New Roman"/>
        </w:rPr>
        <w:t>&gt;</w:t>
      </w:r>
      <w:r w:rsidR="00374F24">
        <w:rPr>
          <w:rFonts w:ascii="Times New Roman" w:hAnsi="Times New Roman"/>
        </w:rPr>
        <w:t>95% (</w:t>
      </w:r>
      <w:r w:rsidR="00374F24" w:rsidRPr="00374F24">
        <w:rPr>
          <w:rFonts w:ascii="Times New Roman" w:hAnsi="Times New Roman"/>
        </w:rPr>
        <w:fldChar w:fldCharType="begin"/>
      </w:r>
      <w:r w:rsidR="00374F24" w:rsidRPr="00374F24">
        <w:rPr>
          <w:rFonts w:ascii="Times New Roman" w:hAnsi="Times New Roman"/>
        </w:rPr>
        <w:instrText xml:space="preserve"> REF _Ref6910746 \h  \* MERGEFORMAT </w:instrText>
      </w:r>
      <w:r w:rsidR="00374F24" w:rsidRPr="00374F24">
        <w:rPr>
          <w:rFonts w:ascii="Times New Roman" w:hAnsi="Times New Roman"/>
        </w:rPr>
      </w:r>
      <w:r w:rsidR="00374F24" w:rsidRPr="00374F24">
        <w:rPr>
          <w:rFonts w:ascii="Times New Roman" w:hAnsi="Times New Roman"/>
        </w:rPr>
        <w:fldChar w:fldCharType="separate"/>
      </w:r>
      <w:r w:rsidR="003C715B" w:rsidRPr="003C715B">
        <w:t xml:space="preserve">Figure </w:t>
      </w:r>
      <w:r w:rsidR="003C715B" w:rsidRPr="003C715B">
        <w:rPr>
          <w:noProof/>
        </w:rPr>
        <w:t>4</w:t>
      </w:r>
      <w:r w:rsidR="00374F24" w:rsidRPr="00374F24">
        <w:rPr>
          <w:rFonts w:ascii="Times New Roman" w:hAnsi="Times New Roman"/>
        </w:rPr>
        <w:fldChar w:fldCharType="end"/>
      </w:r>
      <w:r w:rsidR="00374F24" w:rsidRPr="00374F24">
        <w:rPr>
          <w:rFonts w:ascii="Times New Roman" w:hAnsi="Times New Roman"/>
        </w:rPr>
        <w:t>a</w:t>
      </w:r>
      <w:r w:rsidR="00B44CCA">
        <w:rPr>
          <w:rFonts w:ascii="Times New Roman" w:hAnsi="Times New Roman"/>
        </w:rPr>
        <w:t>).</w:t>
      </w:r>
      <w:r w:rsidR="00092E9C">
        <w:rPr>
          <w:rFonts w:ascii="Times New Roman" w:hAnsi="Times New Roman"/>
        </w:rPr>
        <w:t xml:space="preserve"> These data are in accordance with previous results from reactions carried out without solvent</w:t>
      </w:r>
      <w:r w:rsidR="00374F24">
        <w:rPr>
          <w:rFonts w:ascii="Times New Roman" w:hAnsi="Times New Roman"/>
        </w:rPr>
        <w:t>, which show similarly high conversions</w:t>
      </w:r>
      <w:r w:rsidR="00F40F25">
        <w:rPr>
          <w:rFonts w:ascii="Times New Roman" w:hAnsi="Times New Roman"/>
        </w:rPr>
        <w:t>.</w:t>
      </w:r>
      <w:r w:rsidR="00F40F25">
        <w:rPr>
          <w:rFonts w:ascii="Times New Roman" w:hAnsi="Times New Roman"/>
        </w:rPr>
        <w:fldChar w:fldCharType="begin"/>
      </w:r>
      <w:r w:rsidR="008C7FBE">
        <w:rPr>
          <w:rFonts w:ascii="Times New Roman" w:hAnsi="Times New Roman"/>
        </w:rPr>
        <w:instrText xml:space="preserve"> ADDIN ZOTERO_ITEM CSL_CITATION {"citationID":"YkiRHlF0","properties":{"formattedCitation":"\\super 38\\nosupersub{}","plainCitation":"38","noteIndex":0},"citationItems":[{"id":866,"uris":["http://zotero.org/users/4674022/items/MM3F6V4K"],"uri":["http://zotero.org/users/4674022/items/MM3F6V4K"],"itemData":{"id":866,"type":"article-journal","title":"Elucidating enzymatic polymerisations: Chain-length selectivity of Candida antarctica lipase B towards various aliphatic diols and dicarboxylic acid diesters","container-title":"European Polymer Journal","page":"79-84","volume":"106","source":"ScienceDirect","abstract":"The sustainable synthesis of polymers is a field with growing interest due to the need of modern society to preserve the environment whilst making used products and food sustainable for the future generations. In this work we investigate the possibility of synthesizing aliphatic polyesters derived from various dicarboxylic acid diesters and diols in a solvent-free reaction system. Candida antarctica lipase B was selected as biocatalyst and its selectivity towards the carbon and ester chain length were elucidated. The selected enzyme was able to synthesize various polyesters combining C4-C10 diesters and C4-C8 diols. All combinations led to monomer conversions above 90% in 24 h with the best number average molecular weights (Mn) being obtained through the combination of dimethyl adipate and 1,8-octanediol leading to a Mn of 7141 Da. Differential scanning calorimetry analysis shows a clear trend with an increase in melting temperature of the polymers that correlates with both the increase of the Mn or of the polymer’s constitutional repeat unit carbon chain length. Thermogravimetric analysis and rheology measurements performed on selected samples also confirm the trend showing a variation of the polymer’s degradation temperatures and viscosity profiles.","DOI":"10.1016/j.eurpolymj.2018.07.009","ISSN":"0014-3057","title-short":"Elucidating enzymatic polymerisations","journalAbbreviation":"European Polymer Journal","author":[{"family":"Pellis","given":"Alessandro"},{"family":"Comerford","given":"James W."},{"family":"Maneffa","given":"Andrew J."},{"family":"Sipponen","given":"Mika H."},{"family":"Clark","given":"James H."},{"family":"Farmer","given":"Thomas J."}],"issued":{"date-parts":[["2018",9,1]]}}}],"schema":"https://github.com/citation-style-language/schema/raw/master/csl-citation.json"} </w:instrText>
      </w:r>
      <w:r w:rsidR="00F40F25">
        <w:rPr>
          <w:rFonts w:ascii="Times New Roman" w:hAnsi="Times New Roman"/>
        </w:rPr>
        <w:fldChar w:fldCharType="separate"/>
      </w:r>
      <w:r w:rsidR="008C7FBE" w:rsidRPr="008C7FBE">
        <w:rPr>
          <w:rFonts w:ascii="Times New Roman" w:hAnsi="Times New Roman"/>
          <w:vertAlign w:val="superscript"/>
        </w:rPr>
        <w:t>38</w:t>
      </w:r>
      <w:r w:rsidR="00F40F25">
        <w:rPr>
          <w:rFonts w:ascii="Times New Roman" w:hAnsi="Times New Roman"/>
        </w:rPr>
        <w:fldChar w:fldCharType="end"/>
      </w:r>
    </w:p>
    <w:p w14:paraId="6B1D402F" w14:textId="4D208301" w:rsidR="00F35395" w:rsidRDefault="005B3188" w:rsidP="000D145A">
      <w:pPr>
        <w:pStyle w:val="TAMainText"/>
        <w:rPr>
          <w:rFonts w:ascii="Times New Roman" w:hAnsi="Times New Roman"/>
        </w:rPr>
      </w:pPr>
      <w:r>
        <w:rPr>
          <w:rFonts w:ascii="Times New Roman" w:hAnsi="Times New Roman"/>
          <w:lang w:eastAsia="zh-CN"/>
        </w:rPr>
        <w:t>Significant differences between solvent systems begin to appear when examining the isolated yield of each reaction</w:t>
      </w:r>
      <w:r w:rsidR="00D31A66">
        <w:rPr>
          <w:rFonts w:ascii="Times New Roman" w:hAnsi="Times New Roman"/>
          <w:lang w:eastAsia="zh-CN"/>
        </w:rPr>
        <w:t xml:space="preserve">. </w:t>
      </w:r>
      <w:r w:rsidR="00F35395" w:rsidRPr="00A07FEA">
        <w:rPr>
          <w:rFonts w:ascii="Times New Roman" w:hAnsi="Times New Roman"/>
        </w:rPr>
        <w:fldChar w:fldCharType="begin"/>
      </w:r>
      <w:r w:rsidR="00F35395" w:rsidRPr="00A07FEA">
        <w:rPr>
          <w:rFonts w:ascii="Times New Roman" w:hAnsi="Times New Roman"/>
          <w:lang w:eastAsia="zh-CN"/>
        </w:rPr>
        <w:instrText xml:space="preserve"> REF _Ref6910746 \h  \* MERGEFORMAT </w:instrText>
      </w:r>
      <w:r w:rsidR="00F35395" w:rsidRPr="00A07FEA">
        <w:rPr>
          <w:rFonts w:ascii="Times New Roman" w:hAnsi="Times New Roman"/>
        </w:rPr>
      </w:r>
      <w:r w:rsidR="00F35395" w:rsidRPr="00A07FEA">
        <w:rPr>
          <w:rFonts w:ascii="Times New Roman" w:hAnsi="Times New Roman"/>
        </w:rPr>
        <w:fldChar w:fldCharType="separate"/>
      </w:r>
      <w:r w:rsidR="003C715B" w:rsidRPr="003C715B">
        <w:rPr>
          <w:lang w:eastAsia="zh-CN"/>
        </w:rPr>
        <w:t xml:space="preserve">Figure </w:t>
      </w:r>
      <w:r w:rsidR="003C715B" w:rsidRPr="003C715B">
        <w:rPr>
          <w:noProof/>
          <w:lang w:eastAsia="zh-CN"/>
        </w:rPr>
        <w:t>4</w:t>
      </w:r>
      <w:r w:rsidR="00F35395" w:rsidRPr="00A07FEA">
        <w:rPr>
          <w:rFonts w:ascii="Times New Roman" w:hAnsi="Times New Roman"/>
        </w:rPr>
        <w:fldChar w:fldCharType="end"/>
      </w:r>
      <w:r w:rsidR="00F35395" w:rsidRPr="00A07FEA">
        <w:rPr>
          <w:rFonts w:ascii="Times New Roman" w:hAnsi="Times New Roman"/>
          <w:lang w:eastAsia="zh-CN"/>
        </w:rPr>
        <w:t>b</w:t>
      </w:r>
      <w:r w:rsidR="00F35395">
        <w:rPr>
          <w:rFonts w:ascii="Times New Roman" w:hAnsi="Times New Roman"/>
          <w:lang w:eastAsia="zh-CN"/>
        </w:rPr>
        <w:t xml:space="preserve"> compares isolated yields for reactions with diols of various chain lengths in traditional solvent DPE as well as new solvent OME</w:t>
      </w:r>
      <w:r w:rsidR="00F35395" w:rsidRPr="009C19ED">
        <w:rPr>
          <w:rFonts w:ascii="Times New Roman" w:hAnsi="Times New Roman"/>
          <w:vertAlign w:val="subscript"/>
          <w:lang w:eastAsia="zh-CN"/>
        </w:rPr>
        <w:t>3-5</w:t>
      </w:r>
      <w:r w:rsidR="00F35395">
        <w:rPr>
          <w:rFonts w:ascii="Times New Roman" w:hAnsi="Times New Roman"/>
          <w:lang w:eastAsia="zh-CN"/>
        </w:rPr>
        <w:t>. In all cases, the isolated yields from reactions performed in OME</w:t>
      </w:r>
      <w:r w:rsidR="00F35395" w:rsidRPr="009C19ED">
        <w:rPr>
          <w:rFonts w:ascii="Times New Roman" w:hAnsi="Times New Roman"/>
          <w:vertAlign w:val="subscript"/>
          <w:lang w:eastAsia="zh-CN"/>
        </w:rPr>
        <w:t>3-5</w:t>
      </w:r>
      <w:r w:rsidR="00F35395">
        <w:rPr>
          <w:rFonts w:ascii="Times New Roman" w:hAnsi="Times New Roman"/>
          <w:lang w:eastAsia="zh-CN"/>
        </w:rPr>
        <w:t xml:space="preserve"> were significantly higher than those performed in DPE. </w:t>
      </w:r>
      <w:r w:rsidR="00FA4B3E">
        <w:rPr>
          <w:rFonts w:ascii="Times New Roman" w:hAnsi="Times New Roman"/>
          <w:lang w:eastAsia="zh-CN"/>
        </w:rPr>
        <w:t xml:space="preserve">The </w:t>
      </w:r>
      <w:r w:rsidR="00FA4B3E">
        <w:rPr>
          <w:rFonts w:ascii="Times New Roman" w:hAnsi="Times New Roman"/>
        </w:rPr>
        <w:t xml:space="preserve">yields cannot be compared to solventless reactions, as </w:t>
      </w:r>
      <w:r w:rsidR="00F35395">
        <w:rPr>
          <w:rFonts w:ascii="Times New Roman" w:hAnsi="Times New Roman"/>
        </w:rPr>
        <w:t xml:space="preserve">in </w:t>
      </w:r>
      <w:r>
        <w:rPr>
          <w:rFonts w:ascii="Times New Roman" w:hAnsi="Times New Roman"/>
        </w:rPr>
        <w:t>a solventless reaction, an easy, one-step work-up with THF is used to recover the polymers</w:t>
      </w:r>
      <w:r w:rsidR="00C16E99">
        <w:rPr>
          <w:rFonts w:ascii="Times New Roman" w:hAnsi="Times New Roman"/>
        </w:rPr>
        <w:t>.</w:t>
      </w:r>
      <w:r w:rsidR="009C19ED">
        <w:rPr>
          <w:rFonts w:ascii="Times New Roman" w:hAnsi="Times New Roman"/>
        </w:rPr>
        <w:fldChar w:fldCharType="begin"/>
      </w:r>
      <w:r w:rsidR="008C7FBE">
        <w:rPr>
          <w:rFonts w:ascii="Times New Roman" w:hAnsi="Times New Roman"/>
        </w:rPr>
        <w:instrText xml:space="preserve"> ADDIN ZOTERO_ITEM CSL_CITATION {"citationID":"0bYtzv8g","properties":{"formattedCitation":"\\super 39,40\\nosupersub{}","plainCitation":"39,40","noteIndex":0},"citationItems":[{"id":868,"uris":["http://zotero.org/users/4674022/items/WLN93BQL"],"uri":["http://zotero.org/users/4674022/items/WLN93BQL"],"itemData":{"id":868,"type":"article-journal","title":"Fully renewable polyesters via polycondensation catalyzed by Thermobifida cellulosilytica cutinase 1: an integrated approach","container-title":"Green Chemistry","page":"490-502","volume":"19","issue":"2","source":"pubs.rsc.org","abstract":"The present study addresses comprehensively the problem of producing polyesters through sustainable processes while using fully renewable raw materials and biocatalysts. Polycondensation of bio-based dimethyl adipate with different diols was catalyzed by cutinase 1 from Thermobifida cellulosilytica (Thc_cut1) under solvent free and thin-film conditions. The biocatalyst was immobilized efficiently on a fully renewable cheap carrier based on milled rice husk. A multivariate factorial design demonstrated that Thc_cut1 is less sensitive to the presence of water in the system and it works efficiently under milder conditions (50 °C; 535 mbar) when compared to lipase B from Candida antarctica (CaLB), thus enabling energy savings. Experimental and computational investigations of cutinase 1 from Thermobifida cellulosilytica (Thc_cut1) disclosed structural and functional features that make this serine-hydrolase efficient in polycondensation reactions. Bioinformatic analysis performed with the BioGPS tool pointed out functional similarities with CaLB and provided guidelines for future engineering studies aiming, for instance, at introducing different promiscuous activities in the Thc_cut1 scaffold. The results set robust premises for a full exploitation of enzymes in environmentally and economically sustainable enzymatic polycondensation reactions.","DOI":"10.1039/C6GC02142E","ISSN":"1463-9270","title-short":"Fully renewable polyesters via polycondensation catalyzed by Thermobifida cellulosilytica cutinase 1","journalAbbreviation":"Green Chem.","language":"en","author":[{"family":"Pellis","given":"Alessandro"},{"family":"Ferrario","given":"Valerio"},{"family":"Cespugli","given":"Marco"},{"family":"Corici","given":"Livia"},{"family":"Guarneri","given":"Alice"},{"family":"Zartl","given":"Barbara"},{"family":"Acero","given":"Enrique Herrero"},{"family":"Ebert","given":"Cynthia"},{"family":"Guebitz","given":"Georg M."},{"family":"Gardossi","given":"Lucia"}],"issued":{"date-parts":[["2017",1,23]]}},"label":"page"},{"id":867,"uris":["http://zotero.org/users/4674022/items/XPHQMLCB"],"uri":["http://zotero.org/users/4674022/items/XPHQMLCB"],"itemData":{"id":867,"type":"article-journal","title":"His-Tag Immobilization of Cutinase 1 From Thermobifida cellulosilytica for Solvent-Free Synthesis of Polyesters","container-title":"Biotechnology Journal","page":"1700322","volume":"12","issue":"10","source":"Wiley Online Library","abstract":"For many years, lipase B from Candida antarctica (CaLB) was the primary biocatalyst used for enzymatic esterification and polycondensation reactions. More recently, the need for novel biocatalysts with different selectivity has arisen in the biotechnology and biocatalysis fields. The present work describes how the catalytic potential of Thermobifida cellulosilytica cutinase 1 (Thc_Cut1) was exploited for polyester synthesis. In a first step, Thc_Cut1 was immobilized on three different carriers, namely Opal, Coral, and Amber, using a novel non-toxic His-tag method based on chelated Fe(III) ions (&gt;99% protein bounded). In a second step, the biocatalyzed synthesis of an array of aliphatic polyesters was conducted. A selectivity chain study in a solvent-free reaction environment showed how, in contrast to CaLB, Thc_Cut1 presents a certain preference for C6–C4 ester-diol combinations reaching monomer conversions up to 78% and Mw of 878 g mol−1 when the Amber immobilized Thc_Cut1 was used. The synthetic potential of this cutinase was also tested in organic solvents, showing a marked activity decrease in polar media like that observed for CaLB. Finally, recyclability studies were performed, which showed an excellent stability of the immobilized Thc_Cut1 (retained activity &gt;94%) over 24 h reaction cycles when a solvent-free workup was used. Concerning a practical application of the biocatalyst's preparation, the production of oligomers with Mn values below 10 kDa is usually desired for the production of nanoparticles and for the synthesis of functional pre-polymers for coating applications that can be crosslinked in a second reaction step.","DOI":"10.1002/biot.201700322","ISSN":"1860-7314","language":"en","author":[{"family":"Pellis","given":"Alessandro"},{"family":"Vastano","given":"Marco"},{"family":"Quartinello","given":"Felice"},{"family":"Acero","given":"Enrique Herrero"},{"family":"Guebitz","given":"Georg M."}],"issued":{"date-parts":[["2017"]]}},"label":"page"}],"schema":"https://github.com/citation-style-language/schema/raw/master/csl-citation.json"} </w:instrText>
      </w:r>
      <w:r w:rsidR="009C19ED">
        <w:rPr>
          <w:rFonts w:ascii="Times New Roman" w:hAnsi="Times New Roman"/>
        </w:rPr>
        <w:fldChar w:fldCharType="separate"/>
      </w:r>
      <w:r w:rsidR="008C7FBE" w:rsidRPr="008C7FBE">
        <w:rPr>
          <w:rFonts w:ascii="Times New Roman" w:hAnsi="Times New Roman"/>
          <w:vertAlign w:val="superscript"/>
        </w:rPr>
        <w:t>39,40</w:t>
      </w:r>
      <w:r w:rsidR="009C19ED">
        <w:rPr>
          <w:rFonts w:ascii="Times New Roman" w:hAnsi="Times New Roman"/>
        </w:rPr>
        <w:fldChar w:fldCharType="end"/>
      </w:r>
      <w:r w:rsidR="009C19ED">
        <w:rPr>
          <w:rFonts w:ascii="Times New Roman" w:hAnsi="Times New Roman"/>
        </w:rPr>
        <w:t xml:space="preserve"> </w:t>
      </w:r>
      <w:r w:rsidR="00C16E99">
        <w:rPr>
          <w:rFonts w:ascii="Times New Roman" w:hAnsi="Times New Roman"/>
        </w:rPr>
        <w:t>When</w:t>
      </w:r>
      <w:r w:rsidR="00F35395">
        <w:rPr>
          <w:rFonts w:ascii="Times New Roman" w:hAnsi="Times New Roman"/>
        </w:rPr>
        <w:t xml:space="preserve"> using </w:t>
      </w:r>
      <w:r w:rsidR="00282D31">
        <w:rPr>
          <w:rFonts w:ascii="Times New Roman" w:hAnsi="Times New Roman"/>
        </w:rPr>
        <w:t>high</w:t>
      </w:r>
      <w:r w:rsidR="005E1E5F">
        <w:rPr>
          <w:rFonts w:ascii="Times New Roman" w:hAnsi="Times New Roman"/>
        </w:rPr>
        <w:t>-</w:t>
      </w:r>
      <w:r w:rsidR="00282D31">
        <w:rPr>
          <w:rFonts w:ascii="Times New Roman" w:hAnsi="Times New Roman"/>
        </w:rPr>
        <w:t xml:space="preserve">boiling </w:t>
      </w:r>
      <w:r w:rsidR="00F35395">
        <w:rPr>
          <w:rFonts w:ascii="Times New Roman" w:hAnsi="Times New Roman"/>
        </w:rPr>
        <w:t>solvents</w:t>
      </w:r>
      <w:r w:rsidR="009C19ED">
        <w:rPr>
          <w:rFonts w:ascii="Times New Roman" w:hAnsi="Times New Roman"/>
        </w:rPr>
        <w:t>, a multi-step recovery procedure is necessary</w:t>
      </w:r>
      <w:r w:rsidR="00FA50E2">
        <w:rPr>
          <w:rFonts w:ascii="Times New Roman" w:hAnsi="Times New Roman"/>
        </w:rPr>
        <w:t xml:space="preserve">. This </w:t>
      </w:r>
      <w:r w:rsidR="00C16E99">
        <w:rPr>
          <w:rFonts w:ascii="Times New Roman" w:hAnsi="Times New Roman"/>
        </w:rPr>
        <w:t>removes the unreacted monomer and some of the shorter-chain polymers, reducing the apparent yield.</w:t>
      </w:r>
    </w:p>
    <w:p w14:paraId="6455A234" w14:textId="3A585E0F" w:rsidR="005B3188" w:rsidRPr="009C19ED" w:rsidRDefault="00374F24" w:rsidP="000D145A">
      <w:pPr>
        <w:pStyle w:val="TAMainText"/>
        <w:rPr>
          <w:rFonts w:ascii="Times New Roman" w:hAnsi="Times New Roman"/>
        </w:rPr>
      </w:pPr>
      <w:r>
        <w:rPr>
          <w:rFonts w:ascii="Times New Roman" w:hAnsi="Times New Roman"/>
        </w:rPr>
        <w:t xml:space="preserve">The shortest chain length, </w:t>
      </w:r>
      <w:r w:rsidR="009C19ED">
        <w:rPr>
          <w:rFonts w:ascii="Times New Roman" w:hAnsi="Times New Roman"/>
        </w:rPr>
        <w:t>C</w:t>
      </w:r>
      <w:r w:rsidR="009C19ED" w:rsidRPr="00374F24">
        <w:rPr>
          <w:rFonts w:ascii="Times New Roman" w:hAnsi="Times New Roman"/>
          <w:vertAlign w:val="subscript"/>
        </w:rPr>
        <w:t>4</w:t>
      </w:r>
      <w:r>
        <w:rPr>
          <w:rFonts w:ascii="Times New Roman" w:hAnsi="Times New Roman"/>
        </w:rPr>
        <w:t>,</w:t>
      </w:r>
      <w:r w:rsidR="009C19ED">
        <w:rPr>
          <w:rFonts w:ascii="Times New Roman" w:hAnsi="Times New Roman"/>
        </w:rPr>
        <w:t xml:space="preserve"> gave the </w:t>
      </w:r>
      <w:r w:rsidR="00443D95">
        <w:rPr>
          <w:rFonts w:ascii="Times New Roman" w:hAnsi="Times New Roman"/>
        </w:rPr>
        <w:t xml:space="preserve">lowest </w:t>
      </w:r>
      <w:r w:rsidR="009C19ED">
        <w:rPr>
          <w:rFonts w:ascii="Times New Roman" w:hAnsi="Times New Roman"/>
        </w:rPr>
        <w:t>yield</w:t>
      </w:r>
      <w:r w:rsidR="00D31A66">
        <w:rPr>
          <w:rFonts w:ascii="Times New Roman" w:hAnsi="Times New Roman"/>
        </w:rPr>
        <w:t xml:space="preserve"> by a large margin, with C</w:t>
      </w:r>
      <w:r w:rsidR="00D31A66" w:rsidRPr="00D31A66">
        <w:rPr>
          <w:rFonts w:ascii="Times New Roman" w:hAnsi="Times New Roman"/>
          <w:vertAlign w:val="subscript"/>
        </w:rPr>
        <w:t>6</w:t>
      </w:r>
      <w:r w:rsidR="00D31A66">
        <w:rPr>
          <w:rFonts w:ascii="Times New Roman" w:hAnsi="Times New Roman"/>
        </w:rPr>
        <w:t xml:space="preserve"> and C</w:t>
      </w:r>
      <w:r w:rsidR="00D31A66" w:rsidRPr="00D31A66">
        <w:rPr>
          <w:rFonts w:ascii="Times New Roman" w:hAnsi="Times New Roman"/>
          <w:vertAlign w:val="subscript"/>
        </w:rPr>
        <w:t>8</w:t>
      </w:r>
      <w:r w:rsidR="00D31A66">
        <w:rPr>
          <w:rFonts w:ascii="Times New Roman" w:hAnsi="Times New Roman"/>
        </w:rPr>
        <w:t xml:space="preserve"> diols giving more than double the isolated yield of C</w:t>
      </w:r>
      <w:r w:rsidR="00D31A66" w:rsidRPr="00D31A66">
        <w:rPr>
          <w:rFonts w:ascii="Times New Roman" w:hAnsi="Times New Roman"/>
          <w:vertAlign w:val="subscript"/>
        </w:rPr>
        <w:t>4</w:t>
      </w:r>
      <w:r w:rsidR="009C19ED">
        <w:rPr>
          <w:rFonts w:ascii="Times New Roman" w:hAnsi="Times New Roman"/>
        </w:rPr>
        <w:t xml:space="preserve">. This may be due to the formation of shorter-chain polymer products in this reaction, some of which are partially soluble in the </w:t>
      </w:r>
      <w:r w:rsidR="00A07FEA">
        <w:rPr>
          <w:rFonts w:ascii="Times New Roman" w:hAnsi="Times New Roman"/>
        </w:rPr>
        <w:t>methanol used for washing, or it could be due to the biocatalyst interacting more readily with the more hydrophobic C</w:t>
      </w:r>
      <w:r w:rsidR="00A07FEA" w:rsidRPr="00A07FEA">
        <w:rPr>
          <w:rFonts w:ascii="Times New Roman" w:hAnsi="Times New Roman"/>
          <w:vertAlign w:val="subscript"/>
        </w:rPr>
        <w:t>6</w:t>
      </w:r>
      <w:r w:rsidR="00A07FEA">
        <w:rPr>
          <w:rFonts w:ascii="Times New Roman" w:hAnsi="Times New Roman"/>
        </w:rPr>
        <w:t xml:space="preserve"> and C</w:t>
      </w:r>
      <w:r w:rsidR="00A07FEA" w:rsidRPr="00A07FEA">
        <w:rPr>
          <w:rFonts w:ascii="Times New Roman" w:hAnsi="Times New Roman"/>
          <w:vertAlign w:val="subscript"/>
        </w:rPr>
        <w:t>8</w:t>
      </w:r>
      <w:r w:rsidR="00A07FEA">
        <w:rPr>
          <w:rFonts w:ascii="Times New Roman" w:hAnsi="Times New Roman"/>
        </w:rPr>
        <w:t xml:space="preserve"> diols.</w:t>
      </w:r>
    </w:p>
    <w:p w14:paraId="2D8A81F9" w14:textId="7D9173BE" w:rsidR="005B3188" w:rsidRDefault="005B3188" w:rsidP="001922CB">
      <w:pPr>
        <w:spacing w:after="0"/>
        <w:jc w:val="center"/>
        <w:rPr>
          <w:rFonts w:ascii="Arial" w:hAnsi="Arial" w:cs="Arial"/>
          <w:sz w:val="20"/>
        </w:rPr>
      </w:pPr>
    </w:p>
    <w:p w14:paraId="50124924" w14:textId="05933FF0" w:rsidR="00673620" w:rsidRDefault="00D660F0" w:rsidP="001922CB">
      <w:pPr>
        <w:spacing w:after="0"/>
        <w:jc w:val="center"/>
        <w:rPr>
          <w:rFonts w:ascii="Arial" w:hAnsi="Arial" w:cs="Arial"/>
          <w:sz w:val="20"/>
        </w:rPr>
      </w:pPr>
      <w:r>
        <w:rPr>
          <w:noProof/>
        </w:rPr>
        <w:lastRenderedPageBreak/>
        <w:pict w14:anchorId="53C851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ME Polymerization Graphs Left Labels" style="width:467.25pt;height:395.25pt;mso-width-percent:0;mso-height-percent:0;mso-width-percent:0;mso-height-percent:0">
            <v:imagedata r:id="rId14" o:title="OME Polymerization Graphs Left Labels"/>
          </v:shape>
        </w:pict>
      </w:r>
    </w:p>
    <w:p w14:paraId="77693D26" w14:textId="0F02F7CC" w:rsidR="005B3188" w:rsidRPr="00B8644B" w:rsidRDefault="00241204" w:rsidP="00241204">
      <w:pPr>
        <w:pStyle w:val="Caption"/>
      </w:pPr>
      <w:bookmarkStart w:id="11" w:name="_Ref6910746"/>
      <w:r w:rsidRPr="00241204">
        <w:rPr>
          <w:b/>
        </w:rPr>
        <w:t xml:space="preserve">Figure </w:t>
      </w:r>
      <w:r w:rsidRPr="00241204">
        <w:rPr>
          <w:b/>
        </w:rPr>
        <w:fldChar w:fldCharType="begin"/>
      </w:r>
      <w:r w:rsidRPr="00241204">
        <w:rPr>
          <w:b/>
        </w:rPr>
        <w:instrText xml:space="preserve"> SEQ Figure \* ARABIC </w:instrText>
      </w:r>
      <w:r w:rsidRPr="00241204">
        <w:rPr>
          <w:b/>
        </w:rPr>
        <w:fldChar w:fldCharType="separate"/>
      </w:r>
      <w:r w:rsidR="003C715B">
        <w:rPr>
          <w:b/>
          <w:noProof/>
        </w:rPr>
        <w:t>4</w:t>
      </w:r>
      <w:r w:rsidRPr="00241204">
        <w:rPr>
          <w:b/>
        </w:rPr>
        <w:fldChar w:fldCharType="end"/>
      </w:r>
      <w:bookmarkEnd w:id="11"/>
      <w:r w:rsidRPr="00241204">
        <w:rPr>
          <w:b/>
        </w:rPr>
        <w:t>.</w:t>
      </w:r>
      <w:r>
        <w:t xml:space="preserve"> </w:t>
      </w:r>
      <w:r w:rsidR="00673620">
        <w:t>Results of</w:t>
      </w:r>
      <w:r w:rsidR="00673620" w:rsidRPr="00B8644B">
        <w:t xml:space="preserve"> reactions between dimethyl adipate and diols of various chain lengths catalyzed by </w:t>
      </w:r>
      <w:r w:rsidR="00673620" w:rsidRPr="00365E48">
        <w:rPr>
          <w:i/>
        </w:rPr>
        <w:t xml:space="preserve">Candida </w:t>
      </w:r>
      <w:r w:rsidR="00CC6E9D">
        <w:rPr>
          <w:i/>
        </w:rPr>
        <w:t>a</w:t>
      </w:r>
      <w:r w:rsidR="00161565">
        <w:rPr>
          <w:i/>
        </w:rPr>
        <w:t>ntarctica</w:t>
      </w:r>
      <w:r w:rsidR="00673620" w:rsidRPr="00365E48">
        <w:rPr>
          <w:i/>
        </w:rPr>
        <w:t xml:space="preserve"> </w:t>
      </w:r>
      <w:r w:rsidR="00673620" w:rsidRPr="00B8644B">
        <w:t xml:space="preserve">lipase B in DPE </w:t>
      </w:r>
      <w:r w:rsidR="00673620">
        <w:t xml:space="preserve">and OME solvents, showing (a) monomer conversion, (b) isolated yield, (c) number-averaged molecular weight, and (d) polymer dispersity. </w:t>
      </w:r>
      <w:r w:rsidR="00673620" w:rsidRPr="00B8644B">
        <w:t>C</w:t>
      </w:r>
      <w:r w:rsidR="00673620" w:rsidRPr="00B8644B">
        <w:rPr>
          <w:vertAlign w:val="subscript"/>
        </w:rPr>
        <w:t>4</w:t>
      </w:r>
      <w:r w:rsidR="00673620" w:rsidRPr="00365E48">
        <w:t xml:space="preserve"> </w:t>
      </w:r>
      <w:r w:rsidR="00673620" w:rsidRPr="00B8644B">
        <w:t>= 1,4-butanediol, C</w:t>
      </w:r>
      <w:r w:rsidR="00673620" w:rsidRPr="00B8644B">
        <w:rPr>
          <w:vertAlign w:val="subscript"/>
        </w:rPr>
        <w:t>6</w:t>
      </w:r>
      <w:r w:rsidR="00673620" w:rsidRPr="00365E48">
        <w:t xml:space="preserve"> </w:t>
      </w:r>
      <w:r w:rsidR="00673620" w:rsidRPr="00B8644B">
        <w:t>= 1,6-hexanediol and C</w:t>
      </w:r>
      <w:r w:rsidR="00673620" w:rsidRPr="00B8644B">
        <w:rPr>
          <w:vertAlign w:val="subscript"/>
        </w:rPr>
        <w:t>8</w:t>
      </w:r>
      <w:r w:rsidR="00673620" w:rsidRPr="00365E48">
        <w:t xml:space="preserve"> </w:t>
      </w:r>
      <w:r w:rsidR="00673620">
        <w:t>= 1,8-octanediol</w:t>
      </w:r>
      <w:r w:rsidR="00673620" w:rsidRPr="00B8644B">
        <w:t>. Results are presented as average of two independent</w:t>
      </w:r>
      <w:r w:rsidR="00673620">
        <w:t xml:space="preserve"> experiments </w:t>
      </w:r>
      <w:r w:rsidR="00673620">
        <w:rPr>
          <w:rFonts w:cs="Times"/>
        </w:rPr>
        <w:t>±</w:t>
      </w:r>
      <w:r w:rsidR="00673620">
        <w:t xml:space="preserve"> standard deviation.</w:t>
      </w:r>
    </w:p>
    <w:p w14:paraId="0A443203" w14:textId="2772D56F" w:rsidR="00A97EB2" w:rsidRPr="00D57F13" w:rsidRDefault="00D57F13" w:rsidP="00B8644B">
      <w:pPr>
        <w:pStyle w:val="TAMainText"/>
        <w:spacing w:before="240" w:after="240"/>
        <w:ind w:firstLine="204"/>
        <w:rPr>
          <w:rFonts w:ascii="Times New Roman" w:hAnsi="Times New Roman"/>
        </w:rPr>
      </w:pPr>
      <w:r>
        <w:rPr>
          <w:rFonts w:ascii="Times New Roman" w:hAnsi="Times New Roman"/>
        </w:rPr>
        <w:t xml:space="preserve">In solventless reactions, the </w:t>
      </w:r>
      <w:r w:rsidR="00B34C60">
        <w:rPr>
          <w:rFonts w:ascii="Times New Roman" w:hAnsi="Times New Roman"/>
        </w:rPr>
        <w:t>number-</w:t>
      </w:r>
      <w:r>
        <w:rPr>
          <w:rFonts w:ascii="Times New Roman" w:hAnsi="Times New Roman"/>
        </w:rPr>
        <w:t>average molecular weights (M</w:t>
      </w:r>
      <w:r w:rsidRPr="00D57F13">
        <w:rPr>
          <w:rFonts w:ascii="Times New Roman" w:hAnsi="Times New Roman"/>
          <w:vertAlign w:val="subscript"/>
        </w:rPr>
        <w:t>n</w:t>
      </w:r>
      <w:r>
        <w:rPr>
          <w:rFonts w:ascii="Times New Roman" w:hAnsi="Times New Roman"/>
        </w:rPr>
        <w:t xml:space="preserve">) of the </w:t>
      </w:r>
      <w:r w:rsidR="00F23F5F">
        <w:rPr>
          <w:rFonts w:ascii="Times New Roman" w:hAnsi="Times New Roman"/>
        </w:rPr>
        <w:t>polymers produced</w:t>
      </w:r>
      <w:r>
        <w:rPr>
          <w:rFonts w:ascii="Times New Roman" w:hAnsi="Times New Roman"/>
        </w:rPr>
        <w:t xml:space="preserve"> have been reported to be in the range of 6500-7500 g·mol</w:t>
      </w:r>
      <w:r w:rsidRPr="00D57F13">
        <w:rPr>
          <w:rFonts w:ascii="Times New Roman" w:hAnsi="Times New Roman"/>
          <w:vertAlign w:val="superscript"/>
        </w:rPr>
        <w:t>-1</w:t>
      </w:r>
      <w:r>
        <w:rPr>
          <w:rFonts w:ascii="Times New Roman" w:hAnsi="Times New Roman"/>
        </w:rPr>
        <w:t>, depending on the diol used.</w:t>
      </w:r>
      <w:r w:rsidR="0011053B">
        <w:rPr>
          <w:rFonts w:ascii="Times New Roman" w:hAnsi="Times New Roman"/>
        </w:rPr>
        <w:fldChar w:fldCharType="begin"/>
      </w:r>
      <w:r w:rsidR="008C7FBE">
        <w:rPr>
          <w:rFonts w:ascii="Times New Roman" w:hAnsi="Times New Roman"/>
        </w:rPr>
        <w:instrText xml:space="preserve"> ADDIN ZOTERO_ITEM CSL_CITATION {"citationID":"rQuueSdB","properties":{"formattedCitation":"\\super 38\\nosupersub{}","plainCitation":"38","noteIndex":0},"citationItems":[{"id":866,"uris":["http://zotero.org/users/4674022/items/MM3F6V4K"],"uri":["http://zotero.org/users/4674022/items/MM3F6V4K"],"itemData":{"id":866,"type":"article-journal","title":"Elucidating enzymatic polymerisations: Chain-length selectivity of Candida antarctica lipase B towards various aliphatic diols and dicarboxylic acid diesters","container-title":"European Polymer Journal","page":"79-84","volume":"106","source":"ScienceDirect","abstract":"The sustainable synthesis of polymers is a field with growing interest due to the need of modern society to preserve the environment whilst making used products and food sustainable for the future generations. In this work we investigate the possibility of synthesizing aliphatic polyesters derived from various dicarboxylic acid diesters and diols in a solvent-free reaction system. Candida antarctica lipase B was selected as biocatalyst and its selectivity towards the carbon and ester chain length were elucidated. The selected enzyme was able to synthesize various polyesters combining C4-C10 diesters and C4-C8 diols. All combinations led to monomer conversions above 90% in 24 h with the best number average molecular weights (Mn) being obtained through the combination of dimethyl adipate and 1,8-octanediol leading to a Mn of 7141 Da. Differential scanning calorimetry analysis shows a clear trend with an increase in melting temperature of the polymers that correlates with both the increase of the Mn or of the polymer’s constitutional repeat unit carbon chain length. Thermogravimetric analysis and rheology measurements performed on selected samples also confirm the trend showing a variation of the polymer’s degradation temperatures and viscosity profiles.","DOI":"10.1016/j.eurpolymj.2018.07.009","ISSN":"0014-3057","title-short":"Elucidating enzymatic polymerisations","journalAbbreviation":"European Polymer Journal","author":[{"family":"Pellis","given":"Alessandro"},{"family":"Comerford","given":"James W."},{"family":"Maneffa","given":"Andrew J."},{"family":"Sipponen","given":"Mika H."},{"family":"Clark","given":"James H."},{"family":"Farmer","given":"Thomas J."}],"issued":{"date-parts":[["2018",9,1]]}}}],"schema":"https://github.com/citation-style-language/schema/raw/master/csl-citation.json"} </w:instrText>
      </w:r>
      <w:r w:rsidR="0011053B">
        <w:rPr>
          <w:rFonts w:ascii="Times New Roman" w:hAnsi="Times New Roman"/>
        </w:rPr>
        <w:fldChar w:fldCharType="separate"/>
      </w:r>
      <w:r w:rsidR="008C7FBE" w:rsidRPr="008C7FBE">
        <w:rPr>
          <w:rFonts w:ascii="Times New Roman" w:hAnsi="Times New Roman"/>
          <w:vertAlign w:val="superscript"/>
        </w:rPr>
        <w:t>38</w:t>
      </w:r>
      <w:r w:rsidR="0011053B">
        <w:rPr>
          <w:rFonts w:ascii="Times New Roman" w:hAnsi="Times New Roman"/>
        </w:rPr>
        <w:fldChar w:fldCharType="end"/>
      </w:r>
      <w:r>
        <w:rPr>
          <w:rFonts w:ascii="Times New Roman" w:hAnsi="Times New Roman"/>
        </w:rPr>
        <w:t xml:space="preserve"> While the OME</w:t>
      </w:r>
      <w:r w:rsidRPr="00D57F13">
        <w:rPr>
          <w:rFonts w:ascii="Times New Roman" w:hAnsi="Times New Roman"/>
          <w:vertAlign w:val="subscript"/>
        </w:rPr>
        <w:t xml:space="preserve">3-5 </w:t>
      </w:r>
      <w:r>
        <w:rPr>
          <w:rFonts w:ascii="Times New Roman" w:hAnsi="Times New Roman"/>
        </w:rPr>
        <w:t xml:space="preserve">reactions in the current study yielded comparable </w:t>
      </w:r>
      <w:r w:rsidR="00B34C60">
        <w:rPr>
          <w:rFonts w:ascii="Times New Roman" w:hAnsi="Times New Roman"/>
        </w:rPr>
        <w:t>M</w:t>
      </w:r>
      <w:r w:rsidR="00B34C60" w:rsidRPr="00D57F13">
        <w:rPr>
          <w:rFonts w:ascii="Times New Roman" w:hAnsi="Times New Roman"/>
          <w:vertAlign w:val="subscript"/>
        </w:rPr>
        <w:t>n</w:t>
      </w:r>
      <w:r>
        <w:rPr>
          <w:rFonts w:ascii="Times New Roman" w:hAnsi="Times New Roman"/>
        </w:rPr>
        <w:t>, reactions performed in DPE resulted in significantly higher M</w:t>
      </w:r>
      <w:r w:rsidRPr="00D57F13">
        <w:rPr>
          <w:rFonts w:ascii="Times New Roman" w:hAnsi="Times New Roman"/>
          <w:vertAlign w:val="subscript"/>
        </w:rPr>
        <w:t>n</w:t>
      </w:r>
      <w:r>
        <w:rPr>
          <w:rFonts w:ascii="Times New Roman" w:hAnsi="Times New Roman"/>
        </w:rPr>
        <w:t xml:space="preserve"> for the C</w:t>
      </w:r>
      <w:r w:rsidRPr="00D57F13">
        <w:rPr>
          <w:rFonts w:ascii="Times New Roman" w:hAnsi="Times New Roman"/>
          <w:vertAlign w:val="subscript"/>
        </w:rPr>
        <w:t>6</w:t>
      </w:r>
      <w:r>
        <w:rPr>
          <w:rFonts w:ascii="Times New Roman" w:hAnsi="Times New Roman"/>
        </w:rPr>
        <w:t xml:space="preserve"> and C</w:t>
      </w:r>
      <w:r w:rsidRPr="00D57F13">
        <w:rPr>
          <w:rFonts w:ascii="Times New Roman" w:hAnsi="Times New Roman"/>
          <w:vertAlign w:val="subscript"/>
        </w:rPr>
        <w:t>8</w:t>
      </w:r>
      <w:r>
        <w:rPr>
          <w:rFonts w:ascii="Times New Roman" w:hAnsi="Times New Roman"/>
        </w:rPr>
        <w:t xml:space="preserve"> chain length</w:t>
      </w:r>
      <w:r w:rsidR="0011053B">
        <w:rPr>
          <w:rFonts w:ascii="Times New Roman" w:hAnsi="Times New Roman"/>
        </w:rPr>
        <w:t>s (</w:t>
      </w:r>
      <w:r w:rsidR="00F23F5F" w:rsidRPr="00F23F5F">
        <w:rPr>
          <w:rFonts w:ascii="Times New Roman" w:hAnsi="Times New Roman"/>
        </w:rPr>
        <w:fldChar w:fldCharType="begin"/>
      </w:r>
      <w:r w:rsidR="00F23F5F" w:rsidRPr="00F23F5F">
        <w:rPr>
          <w:rFonts w:ascii="Times New Roman" w:hAnsi="Times New Roman"/>
        </w:rPr>
        <w:instrText xml:space="preserve"> REF _Ref6911857 \h  \* MERGEFORMAT </w:instrText>
      </w:r>
      <w:r w:rsidR="00F23F5F" w:rsidRPr="00F23F5F">
        <w:rPr>
          <w:rFonts w:ascii="Times New Roman" w:hAnsi="Times New Roman"/>
        </w:rPr>
      </w:r>
      <w:r w:rsidR="00F23F5F" w:rsidRPr="00F23F5F">
        <w:rPr>
          <w:rFonts w:ascii="Times New Roman" w:hAnsi="Times New Roman"/>
        </w:rPr>
        <w:fldChar w:fldCharType="separate"/>
      </w:r>
      <w:r w:rsidR="003C715B" w:rsidRPr="003C715B">
        <w:t xml:space="preserve">Table </w:t>
      </w:r>
      <w:r w:rsidR="003C715B" w:rsidRPr="003C715B">
        <w:rPr>
          <w:noProof/>
        </w:rPr>
        <w:t>4</w:t>
      </w:r>
      <w:r w:rsidR="00F23F5F" w:rsidRPr="00F23F5F">
        <w:rPr>
          <w:rFonts w:ascii="Times New Roman" w:hAnsi="Times New Roman"/>
        </w:rPr>
        <w:fldChar w:fldCharType="end"/>
      </w:r>
      <w:r w:rsidR="0011053B" w:rsidRPr="00F23F5F">
        <w:rPr>
          <w:rFonts w:ascii="Times New Roman" w:hAnsi="Times New Roman"/>
        </w:rPr>
        <w:t>,</w:t>
      </w:r>
      <w:r w:rsidR="00F23F5F">
        <w:rPr>
          <w:rFonts w:ascii="Times New Roman" w:hAnsi="Times New Roman"/>
        </w:rPr>
        <w:t xml:space="preserve"> </w:t>
      </w:r>
      <w:r w:rsidR="00F23F5F" w:rsidRPr="00F23F5F">
        <w:rPr>
          <w:rFonts w:ascii="Times New Roman" w:hAnsi="Times New Roman"/>
        </w:rPr>
        <w:fldChar w:fldCharType="begin"/>
      </w:r>
      <w:r w:rsidR="00F23F5F" w:rsidRPr="00F23F5F">
        <w:rPr>
          <w:rFonts w:ascii="Times New Roman" w:hAnsi="Times New Roman"/>
        </w:rPr>
        <w:instrText xml:space="preserve"> REF _Ref6910746 \h  \* MERGEFORMAT </w:instrText>
      </w:r>
      <w:r w:rsidR="00F23F5F" w:rsidRPr="00F23F5F">
        <w:rPr>
          <w:rFonts w:ascii="Times New Roman" w:hAnsi="Times New Roman"/>
        </w:rPr>
      </w:r>
      <w:r w:rsidR="00F23F5F" w:rsidRPr="00F23F5F">
        <w:rPr>
          <w:rFonts w:ascii="Times New Roman" w:hAnsi="Times New Roman"/>
        </w:rPr>
        <w:fldChar w:fldCharType="separate"/>
      </w:r>
      <w:r w:rsidR="003C715B" w:rsidRPr="003C715B">
        <w:t xml:space="preserve">Figure </w:t>
      </w:r>
      <w:r w:rsidR="003C715B" w:rsidRPr="003C715B">
        <w:rPr>
          <w:noProof/>
        </w:rPr>
        <w:t>4</w:t>
      </w:r>
      <w:r w:rsidR="00F23F5F" w:rsidRPr="00F23F5F">
        <w:rPr>
          <w:rFonts w:ascii="Times New Roman" w:hAnsi="Times New Roman"/>
        </w:rPr>
        <w:fldChar w:fldCharType="end"/>
      </w:r>
      <w:r w:rsidR="00F23F5F" w:rsidRPr="00F23F5F">
        <w:rPr>
          <w:rFonts w:ascii="Times New Roman" w:hAnsi="Times New Roman"/>
        </w:rPr>
        <w:t>c</w:t>
      </w:r>
      <w:r w:rsidR="0011053B">
        <w:rPr>
          <w:rFonts w:ascii="Times New Roman" w:hAnsi="Times New Roman"/>
        </w:rPr>
        <w:t xml:space="preserve">). This indicates that DPE is </w:t>
      </w:r>
      <w:r w:rsidR="00E23506">
        <w:rPr>
          <w:rFonts w:ascii="Times New Roman" w:hAnsi="Times New Roman"/>
        </w:rPr>
        <w:t>promoting</w:t>
      </w:r>
      <w:r w:rsidR="0011053B">
        <w:rPr>
          <w:rFonts w:ascii="Times New Roman" w:hAnsi="Times New Roman"/>
        </w:rPr>
        <w:t xml:space="preserve"> higher degrees of polymerization, particularly for C</w:t>
      </w:r>
      <w:r w:rsidR="0011053B" w:rsidRPr="0011053B">
        <w:rPr>
          <w:rFonts w:ascii="Times New Roman" w:hAnsi="Times New Roman"/>
          <w:vertAlign w:val="subscript"/>
        </w:rPr>
        <w:t>6</w:t>
      </w:r>
      <w:r w:rsidR="0011053B">
        <w:rPr>
          <w:rFonts w:ascii="Times New Roman" w:hAnsi="Times New Roman"/>
        </w:rPr>
        <w:t xml:space="preserve"> diols, where </w:t>
      </w:r>
      <w:r w:rsidR="0011053B">
        <w:rPr>
          <w:rFonts w:ascii="Times New Roman" w:hAnsi="Times New Roman"/>
        </w:rPr>
        <w:lastRenderedPageBreak/>
        <w:t>the DPE M</w:t>
      </w:r>
      <w:r w:rsidR="0011053B" w:rsidRPr="0011053B">
        <w:rPr>
          <w:rFonts w:ascii="Times New Roman" w:hAnsi="Times New Roman"/>
          <w:vertAlign w:val="subscript"/>
        </w:rPr>
        <w:t>n</w:t>
      </w:r>
      <w:r w:rsidR="0011053B">
        <w:rPr>
          <w:rFonts w:ascii="Times New Roman" w:hAnsi="Times New Roman"/>
        </w:rPr>
        <w:t xml:space="preserve"> is double that of solventless or OME</w:t>
      </w:r>
      <w:r w:rsidR="0011053B" w:rsidRPr="0011053B">
        <w:rPr>
          <w:rFonts w:ascii="Times New Roman" w:hAnsi="Times New Roman"/>
          <w:vertAlign w:val="subscript"/>
        </w:rPr>
        <w:t>3-5</w:t>
      </w:r>
      <w:r w:rsidR="0011053B" w:rsidRPr="0011053B">
        <w:rPr>
          <w:rFonts w:ascii="Times New Roman" w:hAnsi="Times New Roman"/>
        </w:rPr>
        <w:t xml:space="preserve"> </w:t>
      </w:r>
      <w:r w:rsidR="0011053B">
        <w:rPr>
          <w:rFonts w:ascii="Times New Roman" w:hAnsi="Times New Roman"/>
        </w:rPr>
        <w:t>polymerization.</w:t>
      </w:r>
      <w:r w:rsidR="00E23506">
        <w:rPr>
          <w:rFonts w:ascii="Times New Roman" w:hAnsi="Times New Roman"/>
        </w:rPr>
        <w:t xml:space="preserve"> However, in most cases, the dispersity (</w:t>
      </w:r>
      <w:r w:rsidR="00E23506" w:rsidRPr="00E23506">
        <w:rPr>
          <w:rFonts w:ascii="Times New Roman" w:hAnsi="Times New Roman"/>
          <w:szCs w:val="24"/>
        </w:rPr>
        <w:t>Đ)</w:t>
      </w:r>
      <w:r w:rsidR="00E23506">
        <w:rPr>
          <w:rFonts w:ascii="Times New Roman" w:hAnsi="Times New Roman"/>
          <w:szCs w:val="24"/>
        </w:rPr>
        <w:t xml:space="preserve"> of polymers obtained in OME</w:t>
      </w:r>
      <w:r w:rsidR="00E23506" w:rsidRPr="00E23506">
        <w:rPr>
          <w:rFonts w:ascii="Times New Roman" w:hAnsi="Times New Roman"/>
          <w:szCs w:val="24"/>
          <w:vertAlign w:val="subscript"/>
        </w:rPr>
        <w:t>3-5</w:t>
      </w:r>
      <w:r w:rsidR="00E23506">
        <w:rPr>
          <w:rFonts w:ascii="Times New Roman" w:hAnsi="Times New Roman"/>
          <w:szCs w:val="24"/>
        </w:rPr>
        <w:t xml:space="preserve"> is significantly narrower than either t</w:t>
      </w:r>
      <w:r w:rsidR="00B34C60">
        <w:rPr>
          <w:rFonts w:ascii="Times New Roman" w:hAnsi="Times New Roman"/>
          <w:szCs w:val="24"/>
        </w:rPr>
        <w:t>he solventless or DPE reactions</w:t>
      </w:r>
      <w:r w:rsidR="00F23F5F">
        <w:rPr>
          <w:rFonts w:ascii="Times New Roman" w:hAnsi="Times New Roman"/>
          <w:szCs w:val="24"/>
        </w:rPr>
        <w:t xml:space="preserve"> (</w:t>
      </w:r>
      <w:r w:rsidR="00F23F5F" w:rsidRPr="00F23F5F">
        <w:rPr>
          <w:rFonts w:ascii="Times New Roman" w:hAnsi="Times New Roman"/>
          <w:szCs w:val="24"/>
        </w:rPr>
        <w:fldChar w:fldCharType="begin"/>
      </w:r>
      <w:r w:rsidR="00F23F5F" w:rsidRPr="00F23F5F">
        <w:rPr>
          <w:rFonts w:ascii="Times New Roman" w:hAnsi="Times New Roman"/>
          <w:szCs w:val="24"/>
        </w:rPr>
        <w:instrText xml:space="preserve"> REF _Ref6910746 \h  \* MERGEFORMAT </w:instrText>
      </w:r>
      <w:r w:rsidR="00F23F5F" w:rsidRPr="00F23F5F">
        <w:rPr>
          <w:rFonts w:ascii="Times New Roman" w:hAnsi="Times New Roman"/>
          <w:szCs w:val="24"/>
        </w:rPr>
      </w:r>
      <w:r w:rsidR="00F23F5F" w:rsidRPr="00F23F5F">
        <w:rPr>
          <w:rFonts w:ascii="Times New Roman" w:hAnsi="Times New Roman"/>
          <w:szCs w:val="24"/>
        </w:rPr>
        <w:fldChar w:fldCharType="separate"/>
      </w:r>
      <w:r w:rsidR="003C715B" w:rsidRPr="003C715B">
        <w:t xml:space="preserve">Figure </w:t>
      </w:r>
      <w:r w:rsidR="003C715B" w:rsidRPr="003C715B">
        <w:rPr>
          <w:noProof/>
        </w:rPr>
        <w:t>4</w:t>
      </w:r>
      <w:r w:rsidR="00F23F5F" w:rsidRPr="00F23F5F">
        <w:rPr>
          <w:rFonts w:ascii="Times New Roman" w:hAnsi="Times New Roman"/>
          <w:szCs w:val="24"/>
        </w:rPr>
        <w:fldChar w:fldCharType="end"/>
      </w:r>
      <w:r w:rsidR="00F23F5F" w:rsidRPr="00F23F5F">
        <w:rPr>
          <w:rFonts w:ascii="Times New Roman" w:hAnsi="Times New Roman"/>
          <w:szCs w:val="24"/>
        </w:rPr>
        <w:t>d</w:t>
      </w:r>
      <w:r w:rsidR="00F23F5F">
        <w:rPr>
          <w:rFonts w:ascii="Times New Roman" w:hAnsi="Times New Roman"/>
          <w:szCs w:val="24"/>
        </w:rPr>
        <w:t>)</w:t>
      </w:r>
      <w:r w:rsidR="00B34C60">
        <w:rPr>
          <w:rFonts w:ascii="Times New Roman" w:hAnsi="Times New Roman"/>
          <w:szCs w:val="24"/>
        </w:rPr>
        <w:t>, meaning there is less variation in polymer chain length.</w:t>
      </w:r>
    </w:p>
    <w:p w14:paraId="43D82A6E" w14:textId="2DB5AB50" w:rsidR="00A97EB2" w:rsidRPr="00B8644B" w:rsidRDefault="00241204" w:rsidP="00241204">
      <w:pPr>
        <w:pStyle w:val="Caption"/>
      </w:pPr>
      <w:bookmarkStart w:id="12" w:name="_Ref6911857"/>
      <w:r w:rsidRPr="00241204">
        <w:rPr>
          <w:b/>
        </w:rPr>
        <w:t xml:space="preserve">Table </w:t>
      </w:r>
      <w:r w:rsidRPr="00241204">
        <w:rPr>
          <w:b/>
        </w:rPr>
        <w:fldChar w:fldCharType="begin"/>
      </w:r>
      <w:r w:rsidRPr="00241204">
        <w:rPr>
          <w:b/>
        </w:rPr>
        <w:instrText xml:space="preserve"> SEQ Table \* ARABIC </w:instrText>
      </w:r>
      <w:r w:rsidRPr="00241204">
        <w:rPr>
          <w:b/>
        </w:rPr>
        <w:fldChar w:fldCharType="separate"/>
      </w:r>
      <w:r w:rsidR="003C715B">
        <w:rPr>
          <w:b/>
          <w:noProof/>
        </w:rPr>
        <w:t>4</w:t>
      </w:r>
      <w:r w:rsidRPr="00241204">
        <w:rPr>
          <w:b/>
        </w:rPr>
        <w:fldChar w:fldCharType="end"/>
      </w:r>
      <w:bookmarkEnd w:id="12"/>
      <w:r w:rsidRPr="00241204">
        <w:rPr>
          <w:b/>
        </w:rPr>
        <w:t>.</w:t>
      </w:r>
      <w:r>
        <w:t xml:space="preserve"> </w:t>
      </w:r>
      <w:r w:rsidR="00A97EB2" w:rsidRPr="00B8644B">
        <w:t>Comparison between d</w:t>
      </w:r>
      <w:r w:rsidR="00A97EB2" w:rsidRPr="00241204">
        <w:t xml:space="preserve">imethyl </w:t>
      </w:r>
      <w:r w:rsidR="00A97EB2" w:rsidRPr="00B8644B">
        <w:t>adipate reactions carried out in solventless conditions, DPE, or OME</w:t>
      </w:r>
      <w:r w:rsidR="00A97EB2" w:rsidRPr="00B8644B">
        <w:rPr>
          <w:vertAlign w:val="subscript"/>
        </w:rPr>
        <w:t>3-5</w:t>
      </w:r>
      <w:r w:rsidR="00A97EB2" w:rsidRPr="00B8644B">
        <w:t xml:space="preserve">. </w:t>
      </w:r>
    </w:p>
    <w:tbl>
      <w:tblPr>
        <w:tblStyle w:val="TableGrid"/>
        <w:tblpPr w:leftFromText="180" w:rightFromText="180" w:vertAnchor="text" w:horzAnchor="page" w:tblpX="2481" w:tblpY="1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
        <w:gridCol w:w="1543"/>
        <w:gridCol w:w="1624"/>
        <w:gridCol w:w="1415"/>
        <w:gridCol w:w="25"/>
        <w:gridCol w:w="859"/>
        <w:gridCol w:w="25"/>
        <w:gridCol w:w="1123"/>
      </w:tblGrid>
      <w:tr w:rsidR="00443D95" w:rsidRPr="00F35395" w14:paraId="76165CB2" w14:textId="77777777" w:rsidTr="00443D95">
        <w:tc>
          <w:tcPr>
            <w:tcW w:w="883" w:type="dxa"/>
            <w:tcBorders>
              <w:top w:val="single" w:sz="4" w:space="0" w:color="auto"/>
              <w:bottom w:val="single" w:sz="4" w:space="0" w:color="auto"/>
            </w:tcBorders>
            <w:vAlign w:val="center"/>
          </w:tcPr>
          <w:p w14:paraId="779CFDB8" w14:textId="77777777" w:rsidR="00443D95" w:rsidRPr="00F35395" w:rsidRDefault="00443D95" w:rsidP="00443D95">
            <w:pPr>
              <w:jc w:val="center"/>
              <w:rPr>
                <w:rFonts w:ascii="Times New Roman" w:hAnsi="Times New Roman"/>
                <w:b/>
                <w:szCs w:val="22"/>
              </w:rPr>
            </w:pPr>
            <w:r w:rsidRPr="00F35395">
              <w:rPr>
                <w:rFonts w:ascii="Times New Roman" w:hAnsi="Times New Roman"/>
                <w:b/>
                <w:szCs w:val="22"/>
              </w:rPr>
              <w:t>Diol</w:t>
            </w:r>
          </w:p>
        </w:tc>
        <w:tc>
          <w:tcPr>
            <w:tcW w:w="1543" w:type="dxa"/>
            <w:tcBorders>
              <w:top w:val="single" w:sz="4" w:space="0" w:color="auto"/>
              <w:bottom w:val="single" w:sz="4" w:space="0" w:color="auto"/>
              <w:right w:val="single" w:sz="4" w:space="0" w:color="auto"/>
            </w:tcBorders>
            <w:vAlign w:val="center"/>
          </w:tcPr>
          <w:p w14:paraId="5CBE6E42" w14:textId="77777777" w:rsidR="00443D95" w:rsidRPr="00F35395" w:rsidRDefault="00443D95" w:rsidP="00443D95">
            <w:pPr>
              <w:jc w:val="center"/>
              <w:rPr>
                <w:rFonts w:ascii="Times New Roman" w:hAnsi="Times New Roman"/>
                <w:b/>
                <w:szCs w:val="22"/>
              </w:rPr>
            </w:pPr>
            <w:r w:rsidRPr="00F35395">
              <w:rPr>
                <w:rFonts w:ascii="Times New Roman" w:hAnsi="Times New Roman"/>
                <w:b/>
                <w:szCs w:val="22"/>
              </w:rPr>
              <w:t>M</w:t>
            </w:r>
            <w:r w:rsidRPr="00F35395">
              <w:rPr>
                <w:rFonts w:ascii="Times New Roman" w:hAnsi="Times New Roman"/>
                <w:b/>
                <w:szCs w:val="22"/>
                <w:vertAlign w:val="subscript"/>
              </w:rPr>
              <w:t xml:space="preserve">0 </w:t>
            </w:r>
            <w:r w:rsidRPr="00F35395">
              <w:rPr>
                <w:rFonts w:ascii="Times New Roman" w:hAnsi="Times New Roman"/>
                <w:b/>
                <w:szCs w:val="22"/>
              </w:rPr>
              <w:t>(g mol</w:t>
            </w:r>
            <w:r w:rsidRPr="00F35395">
              <w:rPr>
                <w:rFonts w:ascii="Times New Roman" w:hAnsi="Times New Roman"/>
                <w:b/>
                <w:szCs w:val="22"/>
                <w:vertAlign w:val="superscript"/>
              </w:rPr>
              <w:t>-1</w:t>
            </w:r>
            <w:r w:rsidRPr="00F35395">
              <w:rPr>
                <w:rFonts w:ascii="Times New Roman" w:hAnsi="Times New Roman"/>
                <w:b/>
                <w:szCs w:val="22"/>
              </w:rPr>
              <w:t>)</w:t>
            </w:r>
          </w:p>
        </w:tc>
        <w:tc>
          <w:tcPr>
            <w:tcW w:w="1624" w:type="dxa"/>
            <w:tcBorders>
              <w:top w:val="single" w:sz="4" w:space="0" w:color="auto"/>
              <w:left w:val="single" w:sz="4" w:space="0" w:color="auto"/>
              <w:bottom w:val="single" w:sz="4" w:space="0" w:color="auto"/>
            </w:tcBorders>
            <w:vAlign w:val="center"/>
          </w:tcPr>
          <w:p w14:paraId="1098C1E8" w14:textId="77777777" w:rsidR="00443D95" w:rsidRPr="00F35395" w:rsidRDefault="00443D95" w:rsidP="00443D95">
            <w:pPr>
              <w:jc w:val="center"/>
              <w:rPr>
                <w:rFonts w:ascii="Times New Roman" w:hAnsi="Times New Roman"/>
                <w:b/>
                <w:szCs w:val="22"/>
              </w:rPr>
            </w:pPr>
          </w:p>
        </w:tc>
        <w:tc>
          <w:tcPr>
            <w:tcW w:w="1440" w:type="dxa"/>
            <w:gridSpan w:val="2"/>
            <w:tcBorders>
              <w:top w:val="single" w:sz="4" w:space="0" w:color="auto"/>
              <w:bottom w:val="single" w:sz="4" w:space="0" w:color="auto"/>
            </w:tcBorders>
            <w:vAlign w:val="center"/>
          </w:tcPr>
          <w:p w14:paraId="4F539249" w14:textId="77777777" w:rsidR="00443D95" w:rsidRPr="00F35395" w:rsidRDefault="00443D95" w:rsidP="00443D95">
            <w:pPr>
              <w:jc w:val="center"/>
              <w:rPr>
                <w:rFonts w:ascii="Times New Roman" w:hAnsi="Times New Roman"/>
                <w:b/>
                <w:szCs w:val="22"/>
              </w:rPr>
            </w:pPr>
            <w:r w:rsidRPr="00F35395">
              <w:rPr>
                <w:rFonts w:ascii="Times New Roman" w:hAnsi="Times New Roman"/>
                <w:b/>
                <w:szCs w:val="22"/>
              </w:rPr>
              <w:t>Solventless</w:t>
            </w:r>
            <w:r w:rsidRPr="00F35395">
              <w:rPr>
                <w:rFonts w:ascii="Times New Roman" w:hAnsi="Times New Roman"/>
                <w:i/>
                <w:szCs w:val="22"/>
                <w:vertAlign w:val="superscript"/>
              </w:rPr>
              <w:t>a</w:t>
            </w:r>
          </w:p>
        </w:tc>
        <w:tc>
          <w:tcPr>
            <w:tcW w:w="884" w:type="dxa"/>
            <w:gridSpan w:val="2"/>
            <w:tcBorders>
              <w:top w:val="single" w:sz="4" w:space="0" w:color="auto"/>
              <w:bottom w:val="single" w:sz="4" w:space="0" w:color="auto"/>
            </w:tcBorders>
            <w:vAlign w:val="center"/>
          </w:tcPr>
          <w:p w14:paraId="541FCC6A" w14:textId="77777777" w:rsidR="00443D95" w:rsidRPr="00F35395" w:rsidRDefault="00443D95" w:rsidP="00443D95">
            <w:pPr>
              <w:jc w:val="center"/>
              <w:rPr>
                <w:rFonts w:ascii="Times New Roman" w:hAnsi="Times New Roman"/>
                <w:b/>
                <w:szCs w:val="22"/>
              </w:rPr>
            </w:pPr>
            <w:r w:rsidRPr="00F35395">
              <w:rPr>
                <w:rFonts w:ascii="Times New Roman" w:hAnsi="Times New Roman"/>
                <w:b/>
                <w:szCs w:val="22"/>
              </w:rPr>
              <w:t>DPE</w:t>
            </w:r>
          </w:p>
        </w:tc>
        <w:tc>
          <w:tcPr>
            <w:tcW w:w="1123" w:type="dxa"/>
            <w:tcBorders>
              <w:top w:val="single" w:sz="4" w:space="0" w:color="auto"/>
              <w:bottom w:val="single" w:sz="4" w:space="0" w:color="auto"/>
            </w:tcBorders>
            <w:vAlign w:val="center"/>
          </w:tcPr>
          <w:p w14:paraId="62F1ECCD" w14:textId="77777777" w:rsidR="00443D95" w:rsidRPr="00F35395" w:rsidRDefault="00443D95" w:rsidP="00443D95">
            <w:pPr>
              <w:jc w:val="center"/>
              <w:rPr>
                <w:rFonts w:ascii="Times New Roman" w:hAnsi="Times New Roman"/>
                <w:b/>
                <w:szCs w:val="22"/>
              </w:rPr>
            </w:pPr>
            <w:r w:rsidRPr="00F35395">
              <w:rPr>
                <w:rFonts w:ascii="Times New Roman" w:hAnsi="Times New Roman"/>
                <w:b/>
                <w:szCs w:val="22"/>
              </w:rPr>
              <w:t>OME</w:t>
            </w:r>
            <w:r w:rsidRPr="00F35395">
              <w:rPr>
                <w:rFonts w:ascii="Times New Roman" w:hAnsi="Times New Roman"/>
                <w:b/>
                <w:szCs w:val="22"/>
                <w:vertAlign w:val="subscript"/>
              </w:rPr>
              <w:t>3-5</w:t>
            </w:r>
          </w:p>
        </w:tc>
      </w:tr>
      <w:tr w:rsidR="00443D95" w:rsidRPr="00F35395" w14:paraId="407D8118" w14:textId="77777777" w:rsidTr="00443D95">
        <w:tc>
          <w:tcPr>
            <w:tcW w:w="883" w:type="dxa"/>
            <w:vMerge w:val="restart"/>
            <w:tcBorders>
              <w:top w:val="single" w:sz="4" w:space="0" w:color="auto"/>
            </w:tcBorders>
            <w:vAlign w:val="center"/>
          </w:tcPr>
          <w:p w14:paraId="52EF0BE7" w14:textId="3F30B0E3" w:rsidR="00443D95" w:rsidRPr="00F35395" w:rsidRDefault="00F35395" w:rsidP="00443D95">
            <w:pPr>
              <w:jc w:val="center"/>
              <w:rPr>
                <w:rFonts w:ascii="Times New Roman" w:hAnsi="Times New Roman"/>
                <w:b/>
                <w:szCs w:val="22"/>
              </w:rPr>
            </w:pPr>
            <w:r w:rsidRPr="00F35395">
              <w:rPr>
                <w:rFonts w:ascii="Times New Roman" w:hAnsi="Times New Roman"/>
                <w:b/>
                <w:szCs w:val="22"/>
              </w:rPr>
              <w:t>C</w:t>
            </w:r>
            <w:r w:rsidRPr="00F35395">
              <w:rPr>
                <w:rFonts w:ascii="Times New Roman" w:hAnsi="Times New Roman"/>
                <w:b/>
                <w:szCs w:val="22"/>
                <w:vertAlign w:val="subscript"/>
              </w:rPr>
              <w:t>4</w:t>
            </w:r>
          </w:p>
        </w:tc>
        <w:tc>
          <w:tcPr>
            <w:tcW w:w="1543" w:type="dxa"/>
            <w:vMerge w:val="restart"/>
            <w:tcBorders>
              <w:top w:val="single" w:sz="4" w:space="0" w:color="auto"/>
              <w:right w:val="single" w:sz="4" w:space="0" w:color="auto"/>
            </w:tcBorders>
            <w:vAlign w:val="center"/>
          </w:tcPr>
          <w:p w14:paraId="37A884D8" w14:textId="77777777" w:rsidR="00443D95" w:rsidRPr="00F35395" w:rsidRDefault="00443D95" w:rsidP="00443D95">
            <w:pPr>
              <w:jc w:val="center"/>
              <w:rPr>
                <w:rFonts w:ascii="Times New Roman" w:hAnsi="Times New Roman"/>
                <w:szCs w:val="22"/>
              </w:rPr>
            </w:pPr>
            <w:r w:rsidRPr="00F35395">
              <w:rPr>
                <w:rFonts w:ascii="Times New Roman" w:hAnsi="Times New Roman"/>
                <w:szCs w:val="22"/>
              </w:rPr>
              <w:t>200.13</w:t>
            </w:r>
          </w:p>
        </w:tc>
        <w:tc>
          <w:tcPr>
            <w:tcW w:w="1624" w:type="dxa"/>
            <w:tcBorders>
              <w:top w:val="single" w:sz="4" w:space="0" w:color="auto"/>
              <w:left w:val="single" w:sz="4" w:space="0" w:color="auto"/>
            </w:tcBorders>
            <w:vAlign w:val="center"/>
          </w:tcPr>
          <w:p w14:paraId="56FD29D6" w14:textId="77777777" w:rsidR="00443D95" w:rsidRPr="00F35395" w:rsidRDefault="00443D95" w:rsidP="00443D95">
            <w:pPr>
              <w:tabs>
                <w:tab w:val="left" w:pos="1283"/>
              </w:tabs>
              <w:jc w:val="center"/>
              <w:rPr>
                <w:rFonts w:ascii="Times New Roman" w:hAnsi="Times New Roman"/>
                <w:szCs w:val="22"/>
              </w:rPr>
            </w:pPr>
            <w:r w:rsidRPr="00F35395">
              <w:rPr>
                <w:rFonts w:ascii="Times New Roman" w:hAnsi="Times New Roman"/>
                <w:b/>
                <w:szCs w:val="22"/>
              </w:rPr>
              <w:t>M</w:t>
            </w:r>
            <w:r w:rsidRPr="00F35395">
              <w:rPr>
                <w:rFonts w:ascii="Times New Roman" w:hAnsi="Times New Roman"/>
                <w:b/>
                <w:szCs w:val="22"/>
                <w:vertAlign w:val="subscript"/>
              </w:rPr>
              <w:t>n</w:t>
            </w:r>
            <w:r w:rsidRPr="00F35395">
              <w:rPr>
                <w:rFonts w:ascii="Times New Roman" w:hAnsi="Times New Roman"/>
                <w:b/>
                <w:szCs w:val="22"/>
              </w:rPr>
              <w:t xml:space="preserve"> (g mol</w:t>
            </w:r>
            <w:r w:rsidRPr="00F35395">
              <w:rPr>
                <w:rFonts w:ascii="Times New Roman" w:hAnsi="Times New Roman"/>
                <w:b/>
                <w:szCs w:val="22"/>
                <w:vertAlign w:val="superscript"/>
              </w:rPr>
              <w:t>-1</w:t>
            </w:r>
            <w:r w:rsidRPr="00F35395">
              <w:rPr>
                <w:rFonts w:ascii="Times New Roman" w:hAnsi="Times New Roman"/>
                <w:b/>
                <w:szCs w:val="22"/>
              </w:rPr>
              <w:t>)</w:t>
            </w:r>
            <w:r w:rsidRPr="00F35395">
              <w:rPr>
                <w:rFonts w:ascii="Times New Roman" w:hAnsi="Times New Roman"/>
                <w:i/>
                <w:szCs w:val="22"/>
                <w:vertAlign w:val="superscript"/>
              </w:rPr>
              <w:t>b</w:t>
            </w:r>
          </w:p>
        </w:tc>
        <w:tc>
          <w:tcPr>
            <w:tcW w:w="1415" w:type="dxa"/>
            <w:tcBorders>
              <w:top w:val="single" w:sz="4" w:space="0" w:color="auto"/>
            </w:tcBorders>
            <w:vAlign w:val="center"/>
          </w:tcPr>
          <w:p w14:paraId="493AC8A3" w14:textId="030C7049" w:rsidR="00443D95" w:rsidRPr="00F35395" w:rsidRDefault="00443D95" w:rsidP="00443D95">
            <w:pPr>
              <w:jc w:val="center"/>
              <w:rPr>
                <w:rFonts w:ascii="Times New Roman" w:hAnsi="Times New Roman"/>
                <w:szCs w:val="22"/>
              </w:rPr>
            </w:pPr>
            <w:r w:rsidRPr="00F35395">
              <w:rPr>
                <w:rFonts w:ascii="Times New Roman" w:hAnsi="Times New Roman"/>
                <w:szCs w:val="22"/>
              </w:rPr>
              <w:t>66</w:t>
            </w:r>
            <w:r w:rsidR="00673620" w:rsidRPr="00F35395">
              <w:rPr>
                <w:rFonts w:ascii="Times New Roman" w:hAnsi="Times New Roman"/>
                <w:szCs w:val="22"/>
              </w:rPr>
              <w:t>30</w:t>
            </w:r>
          </w:p>
        </w:tc>
        <w:tc>
          <w:tcPr>
            <w:tcW w:w="884" w:type="dxa"/>
            <w:gridSpan w:val="2"/>
            <w:tcBorders>
              <w:top w:val="single" w:sz="4" w:space="0" w:color="auto"/>
            </w:tcBorders>
            <w:vAlign w:val="center"/>
          </w:tcPr>
          <w:p w14:paraId="6F300382" w14:textId="0F3C62C2" w:rsidR="00443D95" w:rsidRPr="00F35395" w:rsidRDefault="00443D95" w:rsidP="00443D95">
            <w:pPr>
              <w:jc w:val="center"/>
              <w:rPr>
                <w:rFonts w:ascii="Times New Roman" w:hAnsi="Times New Roman"/>
                <w:szCs w:val="22"/>
              </w:rPr>
            </w:pPr>
            <w:r w:rsidRPr="00F35395">
              <w:rPr>
                <w:rFonts w:ascii="Times New Roman" w:hAnsi="Times New Roman"/>
                <w:szCs w:val="22"/>
              </w:rPr>
              <w:t>65</w:t>
            </w:r>
            <w:r w:rsidR="00673620" w:rsidRPr="00F35395">
              <w:rPr>
                <w:rFonts w:ascii="Times New Roman" w:hAnsi="Times New Roman"/>
                <w:szCs w:val="22"/>
              </w:rPr>
              <w:t>60</w:t>
            </w:r>
          </w:p>
        </w:tc>
        <w:tc>
          <w:tcPr>
            <w:tcW w:w="1148" w:type="dxa"/>
            <w:gridSpan w:val="2"/>
            <w:tcBorders>
              <w:top w:val="single" w:sz="4" w:space="0" w:color="auto"/>
            </w:tcBorders>
            <w:vAlign w:val="center"/>
          </w:tcPr>
          <w:p w14:paraId="20037A74" w14:textId="1AA575D6" w:rsidR="00443D95" w:rsidRPr="00F35395" w:rsidRDefault="00443D95" w:rsidP="00443D95">
            <w:pPr>
              <w:jc w:val="center"/>
              <w:rPr>
                <w:rFonts w:ascii="Times New Roman" w:hAnsi="Times New Roman"/>
                <w:szCs w:val="22"/>
              </w:rPr>
            </w:pPr>
            <w:r w:rsidRPr="00F35395">
              <w:rPr>
                <w:rFonts w:ascii="Times New Roman" w:hAnsi="Times New Roman"/>
                <w:szCs w:val="22"/>
              </w:rPr>
              <w:t>6070</w:t>
            </w:r>
          </w:p>
        </w:tc>
      </w:tr>
      <w:tr w:rsidR="00443D95" w:rsidRPr="00F35395" w14:paraId="25051939" w14:textId="77777777" w:rsidTr="00443D95">
        <w:tc>
          <w:tcPr>
            <w:tcW w:w="883" w:type="dxa"/>
            <w:vMerge/>
            <w:vAlign w:val="center"/>
          </w:tcPr>
          <w:p w14:paraId="29CE3E1A" w14:textId="77777777" w:rsidR="00443D95" w:rsidRPr="00F35395" w:rsidRDefault="00443D95" w:rsidP="00443D95">
            <w:pPr>
              <w:jc w:val="center"/>
              <w:rPr>
                <w:rFonts w:ascii="Times New Roman" w:hAnsi="Times New Roman"/>
                <w:b/>
                <w:szCs w:val="22"/>
              </w:rPr>
            </w:pPr>
          </w:p>
        </w:tc>
        <w:tc>
          <w:tcPr>
            <w:tcW w:w="1543" w:type="dxa"/>
            <w:vMerge/>
            <w:tcBorders>
              <w:right w:val="single" w:sz="4" w:space="0" w:color="auto"/>
            </w:tcBorders>
            <w:vAlign w:val="center"/>
          </w:tcPr>
          <w:p w14:paraId="683130C0" w14:textId="77777777" w:rsidR="00443D95" w:rsidRPr="00F35395" w:rsidRDefault="00443D95" w:rsidP="00443D95">
            <w:pPr>
              <w:jc w:val="center"/>
              <w:rPr>
                <w:rFonts w:ascii="Times New Roman" w:hAnsi="Times New Roman"/>
                <w:szCs w:val="22"/>
              </w:rPr>
            </w:pPr>
          </w:p>
        </w:tc>
        <w:tc>
          <w:tcPr>
            <w:tcW w:w="1624" w:type="dxa"/>
            <w:tcBorders>
              <w:left w:val="single" w:sz="4" w:space="0" w:color="auto"/>
            </w:tcBorders>
            <w:vAlign w:val="center"/>
          </w:tcPr>
          <w:p w14:paraId="422836A0" w14:textId="77777777" w:rsidR="00443D95" w:rsidRPr="00F35395" w:rsidRDefault="00443D95" w:rsidP="00443D95">
            <w:pPr>
              <w:jc w:val="center"/>
              <w:rPr>
                <w:rFonts w:ascii="Times New Roman" w:hAnsi="Times New Roman"/>
                <w:szCs w:val="22"/>
              </w:rPr>
            </w:pPr>
            <w:r w:rsidRPr="00F35395">
              <w:rPr>
                <w:rFonts w:ascii="Times New Roman" w:hAnsi="Times New Roman"/>
                <w:b/>
                <w:szCs w:val="22"/>
              </w:rPr>
              <w:t>Đ</w:t>
            </w:r>
            <w:r w:rsidRPr="00F35395">
              <w:rPr>
                <w:rFonts w:ascii="Times New Roman" w:hAnsi="Times New Roman"/>
                <w:i/>
                <w:szCs w:val="22"/>
                <w:vertAlign w:val="superscript"/>
              </w:rPr>
              <w:t>b</w:t>
            </w:r>
          </w:p>
        </w:tc>
        <w:tc>
          <w:tcPr>
            <w:tcW w:w="1415" w:type="dxa"/>
            <w:vAlign w:val="center"/>
          </w:tcPr>
          <w:p w14:paraId="1BC48227" w14:textId="23952294" w:rsidR="00443D95" w:rsidRPr="00F35395" w:rsidRDefault="00443D95" w:rsidP="00443D95">
            <w:pPr>
              <w:jc w:val="center"/>
              <w:rPr>
                <w:rFonts w:ascii="Times New Roman" w:hAnsi="Times New Roman"/>
                <w:szCs w:val="22"/>
              </w:rPr>
            </w:pPr>
            <w:r w:rsidRPr="00F35395">
              <w:rPr>
                <w:rFonts w:ascii="Times New Roman" w:hAnsi="Times New Roman"/>
                <w:szCs w:val="22"/>
              </w:rPr>
              <w:t>1.</w:t>
            </w:r>
            <w:r w:rsidR="0035424F" w:rsidRPr="00F35395">
              <w:rPr>
                <w:rFonts w:ascii="Times New Roman" w:hAnsi="Times New Roman"/>
                <w:szCs w:val="22"/>
              </w:rPr>
              <w:t>7</w:t>
            </w:r>
            <w:r w:rsidR="0035424F">
              <w:rPr>
                <w:rFonts w:ascii="Times New Roman" w:hAnsi="Times New Roman"/>
                <w:szCs w:val="22"/>
              </w:rPr>
              <w:t>1</w:t>
            </w:r>
          </w:p>
        </w:tc>
        <w:tc>
          <w:tcPr>
            <w:tcW w:w="884" w:type="dxa"/>
            <w:gridSpan w:val="2"/>
            <w:vAlign w:val="center"/>
          </w:tcPr>
          <w:p w14:paraId="5CC1C677" w14:textId="2B5C3DF1" w:rsidR="00443D95" w:rsidRPr="00F35395" w:rsidRDefault="00443D95" w:rsidP="00443D95">
            <w:pPr>
              <w:jc w:val="center"/>
              <w:rPr>
                <w:rFonts w:ascii="Times New Roman" w:hAnsi="Times New Roman"/>
                <w:szCs w:val="22"/>
              </w:rPr>
            </w:pPr>
            <w:r w:rsidRPr="00F35395">
              <w:rPr>
                <w:rFonts w:ascii="Times New Roman" w:hAnsi="Times New Roman"/>
                <w:szCs w:val="22"/>
              </w:rPr>
              <w:t>1.14</w:t>
            </w:r>
          </w:p>
        </w:tc>
        <w:tc>
          <w:tcPr>
            <w:tcW w:w="1148" w:type="dxa"/>
            <w:gridSpan w:val="2"/>
            <w:vAlign w:val="center"/>
          </w:tcPr>
          <w:p w14:paraId="10E7BB32" w14:textId="0CC1068B" w:rsidR="00443D95" w:rsidRPr="00F35395" w:rsidRDefault="00443D95" w:rsidP="00443D95">
            <w:pPr>
              <w:jc w:val="center"/>
              <w:rPr>
                <w:rFonts w:ascii="Times New Roman" w:hAnsi="Times New Roman"/>
                <w:szCs w:val="22"/>
              </w:rPr>
            </w:pPr>
            <w:r w:rsidRPr="00F35395">
              <w:rPr>
                <w:rFonts w:ascii="Times New Roman" w:hAnsi="Times New Roman"/>
                <w:szCs w:val="22"/>
              </w:rPr>
              <w:t>1.14</w:t>
            </w:r>
          </w:p>
        </w:tc>
      </w:tr>
      <w:tr w:rsidR="00443D95" w:rsidRPr="00F35395" w14:paraId="075E977A" w14:textId="77777777" w:rsidTr="00443D95">
        <w:tc>
          <w:tcPr>
            <w:tcW w:w="883" w:type="dxa"/>
            <w:vMerge/>
            <w:tcBorders>
              <w:bottom w:val="single" w:sz="4" w:space="0" w:color="auto"/>
            </w:tcBorders>
            <w:vAlign w:val="center"/>
          </w:tcPr>
          <w:p w14:paraId="4FA5720D" w14:textId="77777777" w:rsidR="00443D95" w:rsidRPr="00F35395" w:rsidRDefault="00443D95" w:rsidP="00443D95">
            <w:pPr>
              <w:jc w:val="center"/>
              <w:rPr>
                <w:rFonts w:ascii="Times New Roman" w:hAnsi="Times New Roman"/>
                <w:b/>
                <w:szCs w:val="22"/>
              </w:rPr>
            </w:pPr>
          </w:p>
        </w:tc>
        <w:tc>
          <w:tcPr>
            <w:tcW w:w="1543" w:type="dxa"/>
            <w:vMerge/>
            <w:tcBorders>
              <w:bottom w:val="single" w:sz="4" w:space="0" w:color="auto"/>
              <w:right w:val="single" w:sz="4" w:space="0" w:color="auto"/>
            </w:tcBorders>
            <w:vAlign w:val="center"/>
          </w:tcPr>
          <w:p w14:paraId="19154E77" w14:textId="77777777" w:rsidR="00443D95" w:rsidRPr="00F35395" w:rsidRDefault="00443D95" w:rsidP="00443D95">
            <w:pPr>
              <w:jc w:val="center"/>
              <w:rPr>
                <w:rFonts w:ascii="Times New Roman" w:hAnsi="Times New Roman"/>
                <w:szCs w:val="22"/>
              </w:rPr>
            </w:pPr>
          </w:p>
        </w:tc>
        <w:tc>
          <w:tcPr>
            <w:tcW w:w="1624" w:type="dxa"/>
            <w:tcBorders>
              <w:left w:val="single" w:sz="4" w:space="0" w:color="auto"/>
              <w:bottom w:val="single" w:sz="4" w:space="0" w:color="auto"/>
            </w:tcBorders>
            <w:vAlign w:val="center"/>
          </w:tcPr>
          <w:p w14:paraId="616FFABA" w14:textId="77777777" w:rsidR="00443D95" w:rsidRPr="00F35395" w:rsidRDefault="00443D95" w:rsidP="00443D95">
            <w:pPr>
              <w:jc w:val="center"/>
              <w:rPr>
                <w:rFonts w:ascii="Times New Roman" w:hAnsi="Times New Roman"/>
                <w:szCs w:val="22"/>
              </w:rPr>
            </w:pPr>
            <w:r w:rsidRPr="00F35395">
              <w:rPr>
                <w:rFonts w:ascii="Times New Roman" w:hAnsi="Times New Roman"/>
                <w:b/>
                <w:szCs w:val="22"/>
              </w:rPr>
              <w:t>DP</w:t>
            </w:r>
            <w:r w:rsidRPr="00F35395">
              <w:rPr>
                <w:rFonts w:ascii="Times New Roman" w:hAnsi="Times New Roman"/>
                <w:i/>
                <w:szCs w:val="22"/>
                <w:vertAlign w:val="superscript"/>
              </w:rPr>
              <w:t>c</w:t>
            </w:r>
          </w:p>
        </w:tc>
        <w:tc>
          <w:tcPr>
            <w:tcW w:w="1415" w:type="dxa"/>
            <w:tcBorders>
              <w:bottom w:val="single" w:sz="4" w:space="0" w:color="auto"/>
            </w:tcBorders>
            <w:vAlign w:val="center"/>
          </w:tcPr>
          <w:p w14:paraId="1FF2A70F" w14:textId="77777777" w:rsidR="00443D95" w:rsidRPr="00F35395" w:rsidRDefault="00443D95" w:rsidP="00443D95">
            <w:pPr>
              <w:jc w:val="center"/>
              <w:rPr>
                <w:rFonts w:ascii="Times New Roman" w:hAnsi="Times New Roman"/>
                <w:szCs w:val="22"/>
              </w:rPr>
            </w:pPr>
            <w:r w:rsidRPr="00F35395">
              <w:rPr>
                <w:rFonts w:ascii="Times New Roman" w:hAnsi="Times New Roman"/>
                <w:szCs w:val="22"/>
              </w:rPr>
              <w:t>33</w:t>
            </w:r>
          </w:p>
        </w:tc>
        <w:tc>
          <w:tcPr>
            <w:tcW w:w="884" w:type="dxa"/>
            <w:gridSpan w:val="2"/>
            <w:tcBorders>
              <w:bottom w:val="single" w:sz="4" w:space="0" w:color="auto"/>
            </w:tcBorders>
            <w:vAlign w:val="center"/>
          </w:tcPr>
          <w:p w14:paraId="3AFFBD19" w14:textId="77777777" w:rsidR="00443D95" w:rsidRPr="00F35395" w:rsidRDefault="00443D95" w:rsidP="00443D95">
            <w:pPr>
              <w:jc w:val="center"/>
              <w:rPr>
                <w:rFonts w:ascii="Times New Roman" w:hAnsi="Times New Roman"/>
                <w:szCs w:val="22"/>
              </w:rPr>
            </w:pPr>
            <w:r w:rsidRPr="00F35395">
              <w:rPr>
                <w:rFonts w:ascii="Times New Roman" w:hAnsi="Times New Roman"/>
                <w:szCs w:val="22"/>
              </w:rPr>
              <w:t>30</w:t>
            </w:r>
          </w:p>
        </w:tc>
        <w:tc>
          <w:tcPr>
            <w:tcW w:w="1148" w:type="dxa"/>
            <w:gridSpan w:val="2"/>
            <w:tcBorders>
              <w:bottom w:val="single" w:sz="4" w:space="0" w:color="auto"/>
            </w:tcBorders>
            <w:vAlign w:val="center"/>
          </w:tcPr>
          <w:p w14:paraId="000628F9" w14:textId="77777777" w:rsidR="00443D95" w:rsidRPr="00F35395" w:rsidRDefault="00443D95" w:rsidP="00443D95">
            <w:pPr>
              <w:jc w:val="center"/>
              <w:rPr>
                <w:rFonts w:ascii="Times New Roman" w:hAnsi="Times New Roman"/>
                <w:szCs w:val="22"/>
              </w:rPr>
            </w:pPr>
            <w:r w:rsidRPr="00F35395">
              <w:rPr>
                <w:rFonts w:ascii="Times New Roman" w:hAnsi="Times New Roman"/>
                <w:szCs w:val="22"/>
              </w:rPr>
              <w:t>30</w:t>
            </w:r>
          </w:p>
        </w:tc>
      </w:tr>
      <w:tr w:rsidR="00443D95" w:rsidRPr="00F35395" w14:paraId="10F35B07" w14:textId="77777777" w:rsidTr="00443D95">
        <w:tc>
          <w:tcPr>
            <w:tcW w:w="883" w:type="dxa"/>
            <w:vMerge w:val="restart"/>
            <w:tcBorders>
              <w:top w:val="single" w:sz="4" w:space="0" w:color="auto"/>
            </w:tcBorders>
            <w:vAlign w:val="center"/>
          </w:tcPr>
          <w:p w14:paraId="52E5CD95" w14:textId="0422D955" w:rsidR="00443D95" w:rsidRPr="00F35395" w:rsidRDefault="00F35395" w:rsidP="00443D95">
            <w:pPr>
              <w:jc w:val="center"/>
              <w:rPr>
                <w:rFonts w:ascii="Times New Roman" w:hAnsi="Times New Roman"/>
                <w:b/>
                <w:szCs w:val="22"/>
              </w:rPr>
            </w:pPr>
            <w:r w:rsidRPr="00F35395">
              <w:rPr>
                <w:rFonts w:ascii="Times New Roman" w:hAnsi="Times New Roman"/>
                <w:b/>
                <w:szCs w:val="22"/>
              </w:rPr>
              <w:t>C</w:t>
            </w:r>
            <w:r w:rsidRPr="00F35395">
              <w:rPr>
                <w:rFonts w:ascii="Times New Roman" w:hAnsi="Times New Roman"/>
                <w:b/>
                <w:szCs w:val="22"/>
                <w:vertAlign w:val="subscript"/>
              </w:rPr>
              <w:t>6</w:t>
            </w:r>
          </w:p>
        </w:tc>
        <w:tc>
          <w:tcPr>
            <w:tcW w:w="1543" w:type="dxa"/>
            <w:vMerge w:val="restart"/>
            <w:tcBorders>
              <w:top w:val="single" w:sz="4" w:space="0" w:color="auto"/>
              <w:right w:val="single" w:sz="4" w:space="0" w:color="auto"/>
            </w:tcBorders>
            <w:vAlign w:val="center"/>
          </w:tcPr>
          <w:p w14:paraId="550C9F58" w14:textId="77777777" w:rsidR="00443D95" w:rsidRPr="00F35395" w:rsidRDefault="00443D95" w:rsidP="00443D95">
            <w:pPr>
              <w:jc w:val="center"/>
              <w:rPr>
                <w:rFonts w:ascii="Times New Roman" w:hAnsi="Times New Roman"/>
                <w:szCs w:val="22"/>
              </w:rPr>
            </w:pPr>
            <w:r w:rsidRPr="00F35395">
              <w:rPr>
                <w:rFonts w:ascii="Times New Roman" w:hAnsi="Times New Roman"/>
                <w:szCs w:val="22"/>
              </w:rPr>
              <w:t>228.18</w:t>
            </w:r>
          </w:p>
        </w:tc>
        <w:tc>
          <w:tcPr>
            <w:tcW w:w="1624" w:type="dxa"/>
            <w:tcBorders>
              <w:top w:val="single" w:sz="4" w:space="0" w:color="auto"/>
              <w:left w:val="single" w:sz="4" w:space="0" w:color="auto"/>
            </w:tcBorders>
            <w:vAlign w:val="center"/>
          </w:tcPr>
          <w:p w14:paraId="6049CEE7" w14:textId="77777777" w:rsidR="00443D95" w:rsidRPr="00F35395" w:rsidRDefault="00443D95" w:rsidP="00443D95">
            <w:pPr>
              <w:jc w:val="center"/>
              <w:rPr>
                <w:rFonts w:ascii="Times New Roman" w:hAnsi="Times New Roman"/>
                <w:szCs w:val="22"/>
              </w:rPr>
            </w:pPr>
            <w:r w:rsidRPr="00F35395">
              <w:rPr>
                <w:rFonts w:ascii="Times New Roman" w:hAnsi="Times New Roman"/>
                <w:b/>
                <w:szCs w:val="22"/>
              </w:rPr>
              <w:t>M</w:t>
            </w:r>
            <w:r w:rsidRPr="00F35395">
              <w:rPr>
                <w:rFonts w:ascii="Times New Roman" w:hAnsi="Times New Roman"/>
                <w:b/>
                <w:szCs w:val="22"/>
                <w:vertAlign w:val="subscript"/>
              </w:rPr>
              <w:t>n</w:t>
            </w:r>
            <w:r w:rsidRPr="00F35395">
              <w:rPr>
                <w:rFonts w:ascii="Times New Roman" w:hAnsi="Times New Roman"/>
                <w:b/>
                <w:szCs w:val="22"/>
              </w:rPr>
              <w:t xml:space="preserve"> (g mol</w:t>
            </w:r>
            <w:r w:rsidRPr="00F35395">
              <w:rPr>
                <w:rFonts w:ascii="Times New Roman" w:hAnsi="Times New Roman"/>
                <w:b/>
                <w:szCs w:val="22"/>
                <w:vertAlign w:val="superscript"/>
              </w:rPr>
              <w:t>-1</w:t>
            </w:r>
            <w:r w:rsidRPr="00F35395">
              <w:rPr>
                <w:rFonts w:ascii="Times New Roman" w:hAnsi="Times New Roman"/>
                <w:b/>
                <w:szCs w:val="22"/>
              </w:rPr>
              <w:t>)</w:t>
            </w:r>
            <w:r w:rsidRPr="00F35395">
              <w:rPr>
                <w:rFonts w:ascii="Times New Roman" w:hAnsi="Times New Roman"/>
                <w:i/>
                <w:szCs w:val="22"/>
                <w:vertAlign w:val="superscript"/>
              </w:rPr>
              <w:t>b</w:t>
            </w:r>
          </w:p>
        </w:tc>
        <w:tc>
          <w:tcPr>
            <w:tcW w:w="1415" w:type="dxa"/>
            <w:tcBorders>
              <w:top w:val="single" w:sz="4" w:space="0" w:color="auto"/>
            </w:tcBorders>
            <w:vAlign w:val="center"/>
          </w:tcPr>
          <w:p w14:paraId="0A936F41" w14:textId="58A6568D" w:rsidR="00443D95" w:rsidRPr="00F35395" w:rsidRDefault="00443D95" w:rsidP="00443D95">
            <w:pPr>
              <w:jc w:val="center"/>
              <w:rPr>
                <w:rFonts w:ascii="Times New Roman" w:hAnsi="Times New Roman"/>
                <w:szCs w:val="22"/>
              </w:rPr>
            </w:pPr>
            <w:r w:rsidRPr="00F35395">
              <w:rPr>
                <w:rFonts w:ascii="Times New Roman" w:hAnsi="Times New Roman"/>
                <w:szCs w:val="22"/>
              </w:rPr>
              <w:t>6710</w:t>
            </w:r>
          </w:p>
        </w:tc>
        <w:tc>
          <w:tcPr>
            <w:tcW w:w="884" w:type="dxa"/>
            <w:gridSpan w:val="2"/>
            <w:tcBorders>
              <w:top w:val="single" w:sz="4" w:space="0" w:color="auto"/>
            </w:tcBorders>
            <w:vAlign w:val="center"/>
          </w:tcPr>
          <w:p w14:paraId="551FC357" w14:textId="0580D1A2" w:rsidR="00443D95" w:rsidRPr="00F35395" w:rsidRDefault="00443D95" w:rsidP="00443D95">
            <w:pPr>
              <w:jc w:val="center"/>
              <w:rPr>
                <w:rFonts w:ascii="Times New Roman" w:hAnsi="Times New Roman"/>
                <w:szCs w:val="22"/>
              </w:rPr>
            </w:pPr>
            <w:r w:rsidRPr="00F35395">
              <w:rPr>
                <w:rFonts w:ascii="Times New Roman" w:hAnsi="Times New Roman"/>
                <w:szCs w:val="22"/>
              </w:rPr>
              <w:t>135</w:t>
            </w:r>
            <w:r w:rsidR="00673620" w:rsidRPr="00F35395">
              <w:rPr>
                <w:rFonts w:ascii="Times New Roman" w:hAnsi="Times New Roman"/>
                <w:szCs w:val="22"/>
              </w:rPr>
              <w:t>00</w:t>
            </w:r>
          </w:p>
        </w:tc>
        <w:tc>
          <w:tcPr>
            <w:tcW w:w="1148" w:type="dxa"/>
            <w:gridSpan w:val="2"/>
            <w:tcBorders>
              <w:top w:val="single" w:sz="4" w:space="0" w:color="auto"/>
            </w:tcBorders>
            <w:vAlign w:val="center"/>
          </w:tcPr>
          <w:p w14:paraId="3E95B952" w14:textId="005347D4" w:rsidR="00443D95" w:rsidRPr="00F35395" w:rsidRDefault="00443D95" w:rsidP="00443D95">
            <w:pPr>
              <w:jc w:val="center"/>
              <w:rPr>
                <w:rFonts w:ascii="Times New Roman" w:hAnsi="Times New Roman"/>
                <w:szCs w:val="22"/>
              </w:rPr>
            </w:pPr>
            <w:r w:rsidRPr="00F35395">
              <w:rPr>
                <w:rFonts w:ascii="Times New Roman" w:hAnsi="Times New Roman"/>
                <w:szCs w:val="22"/>
              </w:rPr>
              <w:t>673</w:t>
            </w:r>
            <w:r w:rsidR="00673620" w:rsidRPr="00F35395">
              <w:rPr>
                <w:rFonts w:ascii="Times New Roman" w:hAnsi="Times New Roman"/>
                <w:szCs w:val="22"/>
              </w:rPr>
              <w:t>0</w:t>
            </w:r>
          </w:p>
        </w:tc>
      </w:tr>
      <w:tr w:rsidR="00443D95" w:rsidRPr="00F35395" w14:paraId="51B5BF3A" w14:textId="77777777" w:rsidTr="00443D95">
        <w:tc>
          <w:tcPr>
            <w:tcW w:w="883" w:type="dxa"/>
            <w:vMerge/>
            <w:vAlign w:val="center"/>
          </w:tcPr>
          <w:p w14:paraId="62F7E605" w14:textId="77777777" w:rsidR="00443D95" w:rsidRPr="00F35395" w:rsidRDefault="00443D95" w:rsidP="00443D95">
            <w:pPr>
              <w:jc w:val="center"/>
              <w:rPr>
                <w:rFonts w:ascii="Times New Roman" w:hAnsi="Times New Roman"/>
                <w:b/>
                <w:szCs w:val="22"/>
              </w:rPr>
            </w:pPr>
          </w:p>
        </w:tc>
        <w:tc>
          <w:tcPr>
            <w:tcW w:w="1543" w:type="dxa"/>
            <w:vMerge/>
            <w:tcBorders>
              <w:right w:val="single" w:sz="4" w:space="0" w:color="auto"/>
            </w:tcBorders>
            <w:vAlign w:val="center"/>
          </w:tcPr>
          <w:p w14:paraId="5B403CC9" w14:textId="77777777" w:rsidR="00443D95" w:rsidRPr="00F35395" w:rsidRDefault="00443D95" w:rsidP="00443D95">
            <w:pPr>
              <w:jc w:val="center"/>
              <w:rPr>
                <w:rFonts w:ascii="Times New Roman" w:hAnsi="Times New Roman"/>
                <w:szCs w:val="22"/>
              </w:rPr>
            </w:pPr>
          </w:p>
        </w:tc>
        <w:tc>
          <w:tcPr>
            <w:tcW w:w="1624" w:type="dxa"/>
            <w:tcBorders>
              <w:left w:val="single" w:sz="4" w:space="0" w:color="auto"/>
            </w:tcBorders>
            <w:vAlign w:val="center"/>
          </w:tcPr>
          <w:p w14:paraId="4A68C53C" w14:textId="77777777" w:rsidR="00443D95" w:rsidRPr="00F35395" w:rsidRDefault="00443D95" w:rsidP="00443D95">
            <w:pPr>
              <w:jc w:val="center"/>
              <w:rPr>
                <w:rFonts w:ascii="Times New Roman" w:hAnsi="Times New Roman"/>
                <w:szCs w:val="22"/>
              </w:rPr>
            </w:pPr>
            <w:r w:rsidRPr="00F35395">
              <w:rPr>
                <w:rFonts w:ascii="Times New Roman" w:hAnsi="Times New Roman"/>
                <w:b/>
                <w:szCs w:val="22"/>
              </w:rPr>
              <w:t>Đ</w:t>
            </w:r>
            <w:r w:rsidRPr="00F35395">
              <w:rPr>
                <w:rFonts w:ascii="Times New Roman" w:hAnsi="Times New Roman"/>
                <w:i/>
                <w:szCs w:val="22"/>
                <w:vertAlign w:val="superscript"/>
              </w:rPr>
              <w:t>b</w:t>
            </w:r>
          </w:p>
        </w:tc>
        <w:tc>
          <w:tcPr>
            <w:tcW w:w="1415" w:type="dxa"/>
            <w:vAlign w:val="center"/>
          </w:tcPr>
          <w:p w14:paraId="30635CF3" w14:textId="6424BA9E" w:rsidR="00443D95" w:rsidRPr="00F35395" w:rsidRDefault="00443D95" w:rsidP="00443D95">
            <w:pPr>
              <w:jc w:val="center"/>
              <w:rPr>
                <w:rFonts w:ascii="Times New Roman" w:hAnsi="Times New Roman"/>
                <w:szCs w:val="22"/>
              </w:rPr>
            </w:pPr>
            <w:r w:rsidRPr="00F35395">
              <w:rPr>
                <w:rFonts w:ascii="Times New Roman" w:hAnsi="Times New Roman"/>
                <w:szCs w:val="22"/>
              </w:rPr>
              <w:t>2.0</w:t>
            </w:r>
            <w:r w:rsidR="0035424F">
              <w:rPr>
                <w:rFonts w:ascii="Times New Roman" w:hAnsi="Times New Roman"/>
                <w:szCs w:val="22"/>
              </w:rPr>
              <w:t>5</w:t>
            </w:r>
          </w:p>
        </w:tc>
        <w:tc>
          <w:tcPr>
            <w:tcW w:w="884" w:type="dxa"/>
            <w:gridSpan w:val="2"/>
            <w:vAlign w:val="center"/>
          </w:tcPr>
          <w:p w14:paraId="6EF19B0F" w14:textId="70181B1C" w:rsidR="00443D95" w:rsidRPr="00F35395" w:rsidRDefault="00443D95" w:rsidP="00443D95">
            <w:pPr>
              <w:jc w:val="center"/>
              <w:rPr>
                <w:rFonts w:ascii="Times New Roman" w:hAnsi="Times New Roman"/>
                <w:szCs w:val="22"/>
              </w:rPr>
            </w:pPr>
            <w:r w:rsidRPr="00F35395">
              <w:rPr>
                <w:rFonts w:ascii="Times New Roman" w:hAnsi="Times New Roman"/>
                <w:szCs w:val="22"/>
              </w:rPr>
              <w:t>2.22</w:t>
            </w:r>
          </w:p>
        </w:tc>
        <w:tc>
          <w:tcPr>
            <w:tcW w:w="1148" w:type="dxa"/>
            <w:gridSpan w:val="2"/>
            <w:vAlign w:val="center"/>
          </w:tcPr>
          <w:p w14:paraId="45D684E9" w14:textId="67D4E799" w:rsidR="00443D95" w:rsidRPr="00F35395" w:rsidRDefault="00443D95" w:rsidP="00443D95">
            <w:pPr>
              <w:jc w:val="center"/>
              <w:rPr>
                <w:rFonts w:ascii="Times New Roman" w:hAnsi="Times New Roman"/>
                <w:szCs w:val="22"/>
              </w:rPr>
            </w:pPr>
            <w:r w:rsidRPr="00F35395">
              <w:rPr>
                <w:rFonts w:ascii="Times New Roman" w:hAnsi="Times New Roman"/>
                <w:szCs w:val="22"/>
              </w:rPr>
              <w:t>1.</w:t>
            </w:r>
            <w:r w:rsidR="0035424F">
              <w:rPr>
                <w:rFonts w:ascii="Times New Roman" w:hAnsi="Times New Roman"/>
                <w:szCs w:val="22"/>
              </w:rPr>
              <w:t>30</w:t>
            </w:r>
          </w:p>
        </w:tc>
      </w:tr>
      <w:tr w:rsidR="00443D95" w:rsidRPr="00F35395" w14:paraId="142868F5" w14:textId="77777777" w:rsidTr="00443D95">
        <w:tc>
          <w:tcPr>
            <w:tcW w:w="883" w:type="dxa"/>
            <w:vMerge/>
            <w:tcBorders>
              <w:bottom w:val="single" w:sz="4" w:space="0" w:color="auto"/>
            </w:tcBorders>
            <w:vAlign w:val="center"/>
          </w:tcPr>
          <w:p w14:paraId="4475F314" w14:textId="77777777" w:rsidR="00443D95" w:rsidRPr="00F35395" w:rsidRDefault="00443D95" w:rsidP="00443D95">
            <w:pPr>
              <w:jc w:val="center"/>
              <w:rPr>
                <w:rFonts w:ascii="Times New Roman" w:hAnsi="Times New Roman"/>
                <w:b/>
                <w:szCs w:val="22"/>
              </w:rPr>
            </w:pPr>
          </w:p>
        </w:tc>
        <w:tc>
          <w:tcPr>
            <w:tcW w:w="1543" w:type="dxa"/>
            <w:vMerge/>
            <w:tcBorders>
              <w:bottom w:val="single" w:sz="4" w:space="0" w:color="auto"/>
              <w:right w:val="single" w:sz="4" w:space="0" w:color="auto"/>
            </w:tcBorders>
            <w:vAlign w:val="center"/>
          </w:tcPr>
          <w:p w14:paraId="7BFB2C64" w14:textId="77777777" w:rsidR="00443D95" w:rsidRPr="00F35395" w:rsidRDefault="00443D95" w:rsidP="00443D95">
            <w:pPr>
              <w:jc w:val="center"/>
              <w:rPr>
                <w:rFonts w:ascii="Times New Roman" w:hAnsi="Times New Roman"/>
                <w:szCs w:val="22"/>
              </w:rPr>
            </w:pPr>
          </w:p>
        </w:tc>
        <w:tc>
          <w:tcPr>
            <w:tcW w:w="1624" w:type="dxa"/>
            <w:tcBorders>
              <w:left w:val="single" w:sz="4" w:space="0" w:color="auto"/>
              <w:bottom w:val="single" w:sz="4" w:space="0" w:color="auto"/>
            </w:tcBorders>
            <w:vAlign w:val="center"/>
          </w:tcPr>
          <w:p w14:paraId="6DE2E845" w14:textId="77777777" w:rsidR="00443D95" w:rsidRPr="00F35395" w:rsidRDefault="00443D95" w:rsidP="00443D95">
            <w:pPr>
              <w:jc w:val="center"/>
              <w:rPr>
                <w:rFonts w:ascii="Times New Roman" w:hAnsi="Times New Roman"/>
                <w:szCs w:val="22"/>
              </w:rPr>
            </w:pPr>
            <w:r w:rsidRPr="00F35395">
              <w:rPr>
                <w:rFonts w:ascii="Times New Roman" w:hAnsi="Times New Roman"/>
                <w:b/>
                <w:szCs w:val="22"/>
              </w:rPr>
              <w:t>DP</w:t>
            </w:r>
            <w:r w:rsidRPr="00F35395">
              <w:rPr>
                <w:rFonts w:ascii="Times New Roman" w:hAnsi="Times New Roman"/>
                <w:i/>
                <w:szCs w:val="22"/>
                <w:vertAlign w:val="superscript"/>
              </w:rPr>
              <w:t>c</w:t>
            </w:r>
          </w:p>
        </w:tc>
        <w:tc>
          <w:tcPr>
            <w:tcW w:w="1415" w:type="dxa"/>
            <w:tcBorders>
              <w:bottom w:val="single" w:sz="4" w:space="0" w:color="auto"/>
            </w:tcBorders>
            <w:vAlign w:val="center"/>
          </w:tcPr>
          <w:p w14:paraId="34F5874B" w14:textId="77777777" w:rsidR="00443D95" w:rsidRPr="00F35395" w:rsidRDefault="00443D95" w:rsidP="00443D95">
            <w:pPr>
              <w:jc w:val="center"/>
              <w:rPr>
                <w:rFonts w:ascii="Times New Roman" w:hAnsi="Times New Roman"/>
                <w:szCs w:val="22"/>
              </w:rPr>
            </w:pPr>
            <w:r w:rsidRPr="00F35395">
              <w:rPr>
                <w:rFonts w:ascii="Times New Roman" w:hAnsi="Times New Roman"/>
                <w:szCs w:val="22"/>
              </w:rPr>
              <w:t>29</w:t>
            </w:r>
          </w:p>
        </w:tc>
        <w:tc>
          <w:tcPr>
            <w:tcW w:w="884" w:type="dxa"/>
            <w:gridSpan w:val="2"/>
            <w:tcBorders>
              <w:bottom w:val="single" w:sz="4" w:space="0" w:color="auto"/>
            </w:tcBorders>
            <w:vAlign w:val="center"/>
          </w:tcPr>
          <w:p w14:paraId="4A541532" w14:textId="77777777" w:rsidR="00443D95" w:rsidRPr="00F35395" w:rsidRDefault="00443D95" w:rsidP="00443D95">
            <w:pPr>
              <w:jc w:val="center"/>
              <w:rPr>
                <w:rFonts w:ascii="Times New Roman" w:hAnsi="Times New Roman"/>
                <w:szCs w:val="22"/>
              </w:rPr>
            </w:pPr>
            <w:r w:rsidRPr="00F35395">
              <w:rPr>
                <w:rFonts w:ascii="Times New Roman" w:hAnsi="Times New Roman"/>
                <w:szCs w:val="22"/>
              </w:rPr>
              <w:t>59</w:t>
            </w:r>
          </w:p>
        </w:tc>
        <w:tc>
          <w:tcPr>
            <w:tcW w:w="1148" w:type="dxa"/>
            <w:gridSpan w:val="2"/>
            <w:tcBorders>
              <w:bottom w:val="single" w:sz="4" w:space="0" w:color="auto"/>
            </w:tcBorders>
            <w:vAlign w:val="center"/>
          </w:tcPr>
          <w:p w14:paraId="16BE0DE9" w14:textId="77777777" w:rsidR="00443D95" w:rsidRPr="00F35395" w:rsidRDefault="00443D95" w:rsidP="00443D95">
            <w:pPr>
              <w:jc w:val="center"/>
              <w:rPr>
                <w:rFonts w:ascii="Times New Roman" w:hAnsi="Times New Roman"/>
                <w:szCs w:val="22"/>
              </w:rPr>
            </w:pPr>
            <w:r w:rsidRPr="00F35395">
              <w:rPr>
                <w:rFonts w:ascii="Times New Roman" w:hAnsi="Times New Roman"/>
                <w:szCs w:val="22"/>
              </w:rPr>
              <w:t>29</w:t>
            </w:r>
          </w:p>
        </w:tc>
      </w:tr>
      <w:tr w:rsidR="00443D95" w:rsidRPr="00F35395" w14:paraId="49D57F04" w14:textId="77777777" w:rsidTr="00443D95">
        <w:tc>
          <w:tcPr>
            <w:tcW w:w="883" w:type="dxa"/>
            <w:vMerge w:val="restart"/>
            <w:tcBorders>
              <w:top w:val="single" w:sz="4" w:space="0" w:color="auto"/>
            </w:tcBorders>
            <w:vAlign w:val="center"/>
          </w:tcPr>
          <w:p w14:paraId="6D4F3327" w14:textId="0AFE9331" w:rsidR="00443D95" w:rsidRPr="00F35395" w:rsidRDefault="00F35395" w:rsidP="00443D95">
            <w:pPr>
              <w:jc w:val="center"/>
              <w:rPr>
                <w:rFonts w:ascii="Times New Roman" w:hAnsi="Times New Roman"/>
                <w:b/>
                <w:szCs w:val="22"/>
              </w:rPr>
            </w:pPr>
            <w:r w:rsidRPr="00F35395">
              <w:rPr>
                <w:rFonts w:ascii="Times New Roman" w:hAnsi="Times New Roman"/>
                <w:b/>
                <w:szCs w:val="22"/>
              </w:rPr>
              <w:t>C</w:t>
            </w:r>
            <w:r w:rsidRPr="00F35395">
              <w:rPr>
                <w:rFonts w:ascii="Times New Roman" w:hAnsi="Times New Roman"/>
                <w:b/>
                <w:szCs w:val="22"/>
                <w:vertAlign w:val="subscript"/>
              </w:rPr>
              <w:t>8</w:t>
            </w:r>
          </w:p>
        </w:tc>
        <w:tc>
          <w:tcPr>
            <w:tcW w:w="1543" w:type="dxa"/>
            <w:vMerge w:val="restart"/>
            <w:tcBorders>
              <w:top w:val="single" w:sz="4" w:space="0" w:color="auto"/>
              <w:right w:val="single" w:sz="4" w:space="0" w:color="auto"/>
            </w:tcBorders>
            <w:vAlign w:val="center"/>
          </w:tcPr>
          <w:p w14:paraId="126A4932" w14:textId="77777777" w:rsidR="00443D95" w:rsidRPr="00F35395" w:rsidRDefault="00443D95" w:rsidP="00443D95">
            <w:pPr>
              <w:jc w:val="center"/>
              <w:rPr>
                <w:rFonts w:ascii="Times New Roman" w:hAnsi="Times New Roman"/>
                <w:szCs w:val="22"/>
              </w:rPr>
            </w:pPr>
            <w:r w:rsidRPr="00F35395">
              <w:rPr>
                <w:rFonts w:ascii="Times New Roman" w:hAnsi="Times New Roman"/>
                <w:szCs w:val="22"/>
              </w:rPr>
              <w:t>256.23</w:t>
            </w:r>
          </w:p>
        </w:tc>
        <w:tc>
          <w:tcPr>
            <w:tcW w:w="1624" w:type="dxa"/>
            <w:tcBorders>
              <w:top w:val="single" w:sz="4" w:space="0" w:color="auto"/>
              <w:left w:val="single" w:sz="4" w:space="0" w:color="auto"/>
            </w:tcBorders>
            <w:vAlign w:val="center"/>
          </w:tcPr>
          <w:p w14:paraId="1286B78B" w14:textId="77777777" w:rsidR="00443D95" w:rsidRPr="00F35395" w:rsidRDefault="00443D95" w:rsidP="00443D95">
            <w:pPr>
              <w:jc w:val="center"/>
              <w:rPr>
                <w:rFonts w:ascii="Times New Roman" w:hAnsi="Times New Roman"/>
                <w:szCs w:val="22"/>
              </w:rPr>
            </w:pPr>
            <w:r w:rsidRPr="00F35395">
              <w:rPr>
                <w:rFonts w:ascii="Times New Roman" w:hAnsi="Times New Roman"/>
                <w:b/>
                <w:szCs w:val="22"/>
              </w:rPr>
              <w:t>M</w:t>
            </w:r>
            <w:r w:rsidRPr="00F35395">
              <w:rPr>
                <w:rFonts w:ascii="Times New Roman" w:hAnsi="Times New Roman"/>
                <w:b/>
                <w:szCs w:val="22"/>
                <w:vertAlign w:val="subscript"/>
              </w:rPr>
              <w:t xml:space="preserve">n </w:t>
            </w:r>
            <w:r w:rsidRPr="00F35395">
              <w:rPr>
                <w:rFonts w:ascii="Times New Roman" w:hAnsi="Times New Roman"/>
                <w:b/>
                <w:szCs w:val="22"/>
              </w:rPr>
              <w:t>(g mol</w:t>
            </w:r>
            <w:r w:rsidRPr="00F35395">
              <w:rPr>
                <w:rFonts w:ascii="Times New Roman" w:hAnsi="Times New Roman"/>
                <w:b/>
                <w:szCs w:val="22"/>
                <w:vertAlign w:val="superscript"/>
              </w:rPr>
              <w:t>-1</w:t>
            </w:r>
            <w:r w:rsidRPr="00F35395">
              <w:rPr>
                <w:rFonts w:ascii="Times New Roman" w:hAnsi="Times New Roman"/>
                <w:b/>
                <w:szCs w:val="22"/>
              </w:rPr>
              <w:t>)</w:t>
            </w:r>
            <w:r w:rsidRPr="00F35395">
              <w:rPr>
                <w:rFonts w:ascii="Times New Roman" w:hAnsi="Times New Roman"/>
                <w:i/>
                <w:szCs w:val="22"/>
                <w:vertAlign w:val="superscript"/>
              </w:rPr>
              <w:t>b</w:t>
            </w:r>
          </w:p>
        </w:tc>
        <w:tc>
          <w:tcPr>
            <w:tcW w:w="1415" w:type="dxa"/>
            <w:tcBorders>
              <w:top w:val="single" w:sz="4" w:space="0" w:color="auto"/>
            </w:tcBorders>
            <w:vAlign w:val="center"/>
          </w:tcPr>
          <w:p w14:paraId="553C01B2" w14:textId="15F73303" w:rsidR="00443D95" w:rsidRPr="00F35395" w:rsidRDefault="00443D95" w:rsidP="00443D95">
            <w:pPr>
              <w:jc w:val="center"/>
              <w:rPr>
                <w:rFonts w:ascii="Times New Roman" w:hAnsi="Times New Roman"/>
                <w:szCs w:val="22"/>
              </w:rPr>
            </w:pPr>
            <w:r w:rsidRPr="00F35395">
              <w:rPr>
                <w:rFonts w:ascii="Times New Roman" w:hAnsi="Times New Roman"/>
                <w:szCs w:val="22"/>
              </w:rPr>
              <w:t>714</w:t>
            </w:r>
            <w:r w:rsidR="00673620" w:rsidRPr="00F35395">
              <w:rPr>
                <w:rFonts w:ascii="Times New Roman" w:hAnsi="Times New Roman"/>
                <w:szCs w:val="22"/>
              </w:rPr>
              <w:t>0</w:t>
            </w:r>
          </w:p>
        </w:tc>
        <w:tc>
          <w:tcPr>
            <w:tcW w:w="884" w:type="dxa"/>
            <w:gridSpan w:val="2"/>
            <w:tcBorders>
              <w:top w:val="single" w:sz="4" w:space="0" w:color="auto"/>
            </w:tcBorders>
            <w:vAlign w:val="center"/>
          </w:tcPr>
          <w:p w14:paraId="7A19FE53" w14:textId="7DA4EE27" w:rsidR="00443D95" w:rsidRPr="00F35395" w:rsidRDefault="00443D95" w:rsidP="00443D95">
            <w:pPr>
              <w:jc w:val="center"/>
              <w:rPr>
                <w:rFonts w:ascii="Times New Roman" w:hAnsi="Times New Roman"/>
                <w:szCs w:val="22"/>
              </w:rPr>
            </w:pPr>
            <w:r w:rsidRPr="00F35395">
              <w:rPr>
                <w:rFonts w:ascii="Times New Roman" w:hAnsi="Times New Roman"/>
                <w:szCs w:val="22"/>
              </w:rPr>
              <w:t>1</w:t>
            </w:r>
            <w:r w:rsidR="00673620" w:rsidRPr="00F35395">
              <w:rPr>
                <w:rFonts w:ascii="Times New Roman" w:hAnsi="Times New Roman"/>
                <w:szCs w:val="22"/>
              </w:rPr>
              <w:t>0400</w:t>
            </w:r>
          </w:p>
        </w:tc>
        <w:tc>
          <w:tcPr>
            <w:tcW w:w="1148" w:type="dxa"/>
            <w:gridSpan w:val="2"/>
            <w:tcBorders>
              <w:top w:val="single" w:sz="4" w:space="0" w:color="auto"/>
            </w:tcBorders>
            <w:vAlign w:val="center"/>
          </w:tcPr>
          <w:p w14:paraId="523EAF3C" w14:textId="476CA6E6" w:rsidR="00443D95" w:rsidRPr="00F35395" w:rsidRDefault="00443D95" w:rsidP="00443D95">
            <w:pPr>
              <w:jc w:val="center"/>
              <w:rPr>
                <w:rFonts w:ascii="Times New Roman" w:hAnsi="Times New Roman"/>
                <w:szCs w:val="22"/>
              </w:rPr>
            </w:pPr>
            <w:r w:rsidRPr="00F35395">
              <w:rPr>
                <w:rFonts w:ascii="Times New Roman" w:hAnsi="Times New Roman"/>
                <w:szCs w:val="22"/>
              </w:rPr>
              <w:t>74</w:t>
            </w:r>
            <w:r w:rsidR="00673620" w:rsidRPr="00F35395">
              <w:rPr>
                <w:rFonts w:ascii="Times New Roman" w:hAnsi="Times New Roman"/>
                <w:szCs w:val="22"/>
              </w:rPr>
              <w:t>30</w:t>
            </w:r>
          </w:p>
        </w:tc>
      </w:tr>
      <w:tr w:rsidR="00443D95" w:rsidRPr="00F35395" w14:paraId="7181F4DC" w14:textId="77777777" w:rsidTr="00443D95">
        <w:tc>
          <w:tcPr>
            <w:tcW w:w="883" w:type="dxa"/>
            <w:vMerge/>
            <w:vAlign w:val="center"/>
          </w:tcPr>
          <w:p w14:paraId="1E769DB6" w14:textId="77777777" w:rsidR="00443D95" w:rsidRPr="00F35395" w:rsidRDefault="00443D95" w:rsidP="00443D95">
            <w:pPr>
              <w:jc w:val="center"/>
              <w:rPr>
                <w:rFonts w:ascii="Times New Roman" w:hAnsi="Times New Roman"/>
                <w:szCs w:val="22"/>
              </w:rPr>
            </w:pPr>
          </w:p>
        </w:tc>
        <w:tc>
          <w:tcPr>
            <w:tcW w:w="1543" w:type="dxa"/>
            <w:vMerge/>
            <w:tcBorders>
              <w:right w:val="single" w:sz="4" w:space="0" w:color="auto"/>
            </w:tcBorders>
            <w:vAlign w:val="center"/>
          </w:tcPr>
          <w:p w14:paraId="478D201D" w14:textId="77777777" w:rsidR="00443D95" w:rsidRPr="00F35395" w:rsidRDefault="00443D95" w:rsidP="00443D95">
            <w:pPr>
              <w:jc w:val="center"/>
              <w:rPr>
                <w:rFonts w:ascii="Times New Roman" w:hAnsi="Times New Roman"/>
                <w:szCs w:val="22"/>
              </w:rPr>
            </w:pPr>
          </w:p>
        </w:tc>
        <w:tc>
          <w:tcPr>
            <w:tcW w:w="1624" w:type="dxa"/>
            <w:tcBorders>
              <w:left w:val="single" w:sz="4" w:space="0" w:color="auto"/>
            </w:tcBorders>
            <w:vAlign w:val="center"/>
          </w:tcPr>
          <w:p w14:paraId="0C15DFF1" w14:textId="77777777" w:rsidR="00443D95" w:rsidRPr="00F35395" w:rsidRDefault="00443D95" w:rsidP="00443D95">
            <w:pPr>
              <w:jc w:val="center"/>
              <w:rPr>
                <w:rFonts w:ascii="Times New Roman" w:hAnsi="Times New Roman"/>
                <w:szCs w:val="22"/>
              </w:rPr>
            </w:pPr>
            <w:r w:rsidRPr="00F35395">
              <w:rPr>
                <w:rFonts w:ascii="Times New Roman" w:hAnsi="Times New Roman"/>
                <w:b/>
                <w:szCs w:val="22"/>
              </w:rPr>
              <w:t>Đ</w:t>
            </w:r>
            <w:r w:rsidRPr="00F35395">
              <w:rPr>
                <w:rFonts w:ascii="Times New Roman" w:hAnsi="Times New Roman"/>
                <w:i/>
                <w:szCs w:val="22"/>
                <w:vertAlign w:val="superscript"/>
              </w:rPr>
              <w:t>b</w:t>
            </w:r>
          </w:p>
        </w:tc>
        <w:tc>
          <w:tcPr>
            <w:tcW w:w="1415" w:type="dxa"/>
            <w:vAlign w:val="center"/>
          </w:tcPr>
          <w:p w14:paraId="3E3CC724" w14:textId="6DC5BE1B" w:rsidR="00443D95" w:rsidRPr="00F35395" w:rsidRDefault="00443D95" w:rsidP="00443D95">
            <w:pPr>
              <w:jc w:val="center"/>
              <w:rPr>
                <w:rFonts w:ascii="Times New Roman" w:hAnsi="Times New Roman"/>
                <w:szCs w:val="22"/>
              </w:rPr>
            </w:pPr>
            <w:r w:rsidRPr="00F35395">
              <w:rPr>
                <w:rFonts w:ascii="Times New Roman" w:hAnsi="Times New Roman"/>
                <w:szCs w:val="22"/>
              </w:rPr>
              <w:t>1.76</w:t>
            </w:r>
          </w:p>
        </w:tc>
        <w:tc>
          <w:tcPr>
            <w:tcW w:w="884" w:type="dxa"/>
            <w:gridSpan w:val="2"/>
            <w:vAlign w:val="center"/>
          </w:tcPr>
          <w:p w14:paraId="3CB07876" w14:textId="561B16BB" w:rsidR="00443D95" w:rsidRPr="00F35395" w:rsidRDefault="00443D95" w:rsidP="00443D95">
            <w:pPr>
              <w:jc w:val="center"/>
              <w:rPr>
                <w:rFonts w:ascii="Times New Roman" w:hAnsi="Times New Roman"/>
                <w:szCs w:val="22"/>
              </w:rPr>
            </w:pPr>
            <w:r w:rsidRPr="00F35395">
              <w:rPr>
                <w:rFonts w:ascii="Times New Roman" w:hAnsi="Times New Roman"/>
                <w:szCs w:val="22"/>
              </w:rPr>
              <w:t>1.36</w:t>
            </w:r>
          </w:p>
        </w:tc>
        <w:tc>
          <w:tcPr>
            <w:tcW w:w="1148" w:type="dxa"/>
            <w:gridSpan w:val="2"/>
            <w:vAlign w:val="center"/>
          </w:tcPr>
          <w:p w14:paraId="590A0C2D" w14:textId="6843E6C3" w:rsidR="00443D95" w:rsidRPr="00F35395" w:rsidRDefault="00443D95" w:rsidP="00443D95">
            <w:pPr>
              <w:jc w:val="center"/>
              <w:rPr>
                <w:rFonts w:ascii="Times New Roman" w:hAnsi="Times New Roman"/>
                <w:szCs w:val="22"/>
              </w:rPr>
            </w:pPr>
            <w:r w:rsidRPr="00F35395">
              <w:rPr>
                <w:rFonts w:ascii="Times New Roman" w:hAnsi="Times New Roman"/>
                <w:szCs w:val="22"/>
              </w:rPr>
              <w:t>1.30</w:t>
            </w:r>
          </w:p>
        </w:tc>
      </w:tr>
      <w:tr w:rsidR="00443D95" w:rsidRPr="00F35395" w14:paraId="77E75C8E" w14:textId="77777777" w:rsidTr="00443D95">
        <w:tc>
          <w:tcPr>
            <w:tcW w:w="883" w:type="dxa"/>
            <w:vMerge/>
            <w:tcBorders>
              <w:bottom w:val="single" w:sz="4" w:space="0" w:color="auto"/>
            </w:tcBorders>
            <w:vAlign w:val="center"/>
          </w:tcPr>
          <w:p w14:paraId="219B85F3" w14:textId="77777777" w:rsidR="00443D95" w:rsidRPr="00F35395" w:rsidRDefault="00443D95" w:rsidP="00443D95">
            <w:pPr>
              <w:jc w:val="center"/>
              <w:rPr>
                <w:rFonts w:ascii="Times New Roman" w:hAnsi="Times New Roman"/>
                <w:szCs w:val="22"/>
              </w:rPr>
            </w:pPr>
          </w:p>
        </w:tc>
        <w:tc>
          <w:tcPr>
            <w:tcW w:w="1543" w:type="dxa"/>
            <w:vMerge/>
            <w:tcBorders>
              <w:bottom w:val="single" w:sz="4" w:space="0" w:color="auto"/>
              <w:right w:val="single" w:sz="4" w:space="0" w:color="auto"/>
            </w:tcBorders>
            <w:vAlign w:val="center"/>
          </w:tcPr>
          <w:p w14:paraId="666E6FA6" w14:textId="77777777" w:rsidR="00443D95" w:rsidRPr="00F35395" w:rsidRDefault="00443D95" w:rsidP="00443D95">
            <w:pPr>
              <w:jc w:val="center"/>
              <w:rPr>
                <w:rFonts w:ascii="Times New Roman" w:hAnsi="Times New Roman"/>
                <w:szCs w:val="22"/>
              </w:rPr>
            </w:pPr>
          </w:p>
        </w:tc>
        <w:tc>
          <w:tcPr>
            <w:tcW w:w="1624" w:type="dxa"/>
            <w:tcBorders>
              <w:left w:val="single" w:sz="4" w:space="0" w:color="auto"/>
              <w:bottom w:val="single" w:sz="4" w:space="0" w:color="auto"/>
            </w:tcBorders>
            <w:vAlign w:val="center"/>
          </w:tcPr>
          <w:p w14:paraId="35BE323C" w14:textId="77777777" w:rsidR="00443D95" w:rsidRPr="00F35395" w:rsidRDefault="00443D95" w:rsidP="00443D95">
            <w:pPr>
              <w:jc w:val="center"/>
              <w:rPr>
                <w:rFonts w:ascii="Times New Roman" w:hAnsi="Times New Roman"/>
                <w:szCs w:val="22"/>
              </w:rPr>
            </w:pPr>
            <w:r w:rsidRPr="00F35395">
              <w:rPr>
                <w:rFonts w:ascii="Times New Roman" w:hAnsi="Times New Roman"/>
                <w:b/>
                <w:szCs w:val="22"/>
              </w:rPr>
              <w:t>DP</w:t>
            </w:r>
            <w:r w:rsidRPr="00F35395">
              <w:rPr>
                <w:rFonts w:ascii="Times New Roman" w:hAnsi="Times New Roman"/>
                <w:i/>
                <w:szCs w:val="22"/>
                <w:vertAlign w:val="superscript"/>
              </w:rPr>
              <w:t>c</w:t>
            </w:r>
          </w:p>
        </w:tc>
        <w:tc>
          <w:tcPr>
            <w:tcW w:w="1415" w:type="dxa"/>
            <w:tcBorders>
              <w:bottom w:val="single" w:sz="4" w:space="0" w:color="auto"/>
            </w:tcBorders>
            <w:vAlign w:val="center"/>
          </w:tcPr>
          <w:p w14:paraId="5C99F618" w14:textId="77777777" w:rsidR="00443D95" w:rsidRPr="00F35395" w:rsidRDefault="00443D95" w:rsidP="00443D95">
            <w:pPr>
              <w:jc w:val="center"/>
              <w:rPr>
                <w:rFonts w:ascii="Times New Roman" w:hAnsi="Times New Roman"/>
                <w:szCs w:val="22"/>
              </w:rPr>
            </w:pPr>
            <w:r w:rsidRPr="00F35395">
              <w:rPr>
                <w:rFonts w:ascii="Times New Roman" w:hAnsi="Times New Roman"/>
                <w:szCs w:val="22"/>
              </w:rPr>
              <w:t>28</w:t>
            </w:r>
          </w:p>
        </w:tc>
        <w:tc>
          <w:tcPr>
            <w:tcW w:w="884" w:type="dxa"/>
            <w:gridSpan w:val="2"/>
            <w:tcBorders>
              <w:bottom w:val="single" w:sz="4" w:space="0" w:color="auto"/>
            </w:tcBorders>
            <w:vAlign w:val="center"/>
          </w:tcPr>
          <w:p w14:paraId="1982EFCE" w14:textId="77777777" w:rsidR="00443D95" w:rsidRPr="00F35395" w:rsidRDefault="00443D95" w:rsidP="00443D95">
            <w:pPr>
              <w:jc w:val="center"/>
              <w:rPr>
                <w:rFonts w:ascii="Times New Roman" w:hAnsi="Times New Roman"/>
                <w:szCs w:val="22"/>
              </w:rPr>
            </w:pPr>
            <w:r w:rsidRPr="00F35395">
              <w:rPr>
                <w:rFonts w:ascii="Times New Roman" w:hAnsi="Times New Roman"/>
                <w:szCs w:val="22"/>
              </w:rPr>
              <w:t>41</w:t>
            </w:r>
          </w:p>
        </w:tc>
        <w:tc>
          <w:tcPr>
            <w:tcW w:w="1148" w:type="dxa"/>
            <w:gridSpan w:val="2"/>
            <w:tcBorders>
              <w:bottom w:val="single" w:sz="4" w:space="0" w:color="auto"/>
            </w:tcBorders>
            <w:vAlign w:val="center"/>
          </w:tcPr>
          <w:p w14:paraId="4F3679B1" w14:textId="77777777" w:rsidR="00443D95" w:rsidRPr="00F35395" w:rsidRDefault="00443D95" w:rsidP="00443D95">
            <w:pPr>
              <w:jc w:val="center"/>
              <w:rPr>
                <w:rFonts w:ascii="Times New Roman" w:hAnsi="Times New Roman"/>
                <w:szCs w:val="22"/>
              </w:rPr>
            </w:pPr>
            <w:r w:rsidRPr="00F35395">
              <w:rPr>
                <w:rFonts w:ascii="Times New Roman" w:hAnsi="Times New Roman"/>
                <w:szCs w:val="22"/>
              </w:rPr>
              <w:t>29</w:t>
            </w:r>
          </w:p>
        </w:tc>
      </w:tr>
    </w:tbl>
    <w:p w14:paraId="26A9DC34" w14:textId="35AC0385" w:rsidR="00443D95" w:rsidRPr="00F35395" w:rsidRDefault="00443D95" w:rsidP="00B8644B">
      <w:pPr>
        <w:rPr>
          <w:sz w:val="28"/>
        </w:rPr>
      </w:pPr>
    </w:p>
    <w:p w14:paraId="230FD20C" w14:textId="77777777" w:rsidR="00443D95" w:rsidRPr="00F35395" w:rsidRDefault="00443D95" w:rsidP="00B8644B">
      <w:pPr>
        <w:rPr>
          <w:sz w:val="28"/>
        </w:rPr>
      </w:pPr>
    </w:p>
    <w:p w14:paraId="16073166" w14:textId="4BE30C32" w:rsidR="00443D95" w:rsidRPr="00F35395" w:rsidRDefault="00443D95" w:rsidP="00B8644B">
      <w:pPr>
        <w:jc w:val="center"/>
        <w:rPr>
          <w:sz w:val="28"/>
        </w:rPr>
      </w:pPr>
    </w:p>
    <w:p w14:paraId="22C0E3CF" w14:textId="77777777" w:rsidR="00443D95" w:rsidRPr="00F35395" w:rsidRDefault="00443D95" w:rsidP="00B8644B">
      <w:pPr>
        <w:pStyle w:val="TAMainText"/>
        <w:spacing w:after="240" w:line="276" w:lineRule="auto"/>
        <w:ind w:firstLine="0"/>
        <w:rPr>
          <w:rFonts w:ascii="Times New Roman" w:hAnsi="Times New Roman"/>
          <w:b/>
        </w:rPr>
      </w:pPr>
    </w:p>
    <w:p w14:paraId="42846507" w14:textId="77777777" w:rsidR="006015BD" w:rsidRPr="00F35395" w:rsidRDefault="006015BD" w:rsidP="00B8644B">
      <w:pPr>
        <w:pStyle w:val="TAMainText"/>
        <w:spacing w:before="480" w:line="276" w:lineRule="auto"/>
        <w:ind w:firstLine="0"/>
        <w:jc w:val="center"/>
        <w:rPr>
          <w:rFonts w:ascii="Times New Roman" w:hAnsi="Times New Roman"/>
          <w:b/>
        </w:rPr>
      </w:pPr>
    </w:p>
    <w:p w14:paraId="379F1BD9" w14:textId="77777777" w:rsidR="006015BD" w:rsidRPr="00F35395" w:rsidRDefault="006015BD" w:rsidP="00B8644B">
      <w:pPr>
        <w:pStyle w:val="TAMainText"/>
        <w:spacing w:before="480" w:line="276" w:lineRule="auto"/>
        <w:ind w:firstLine="0"/>
        <w:jc w:val="center"/>
        <w:rPr>
          <w:rFonts w:ascii="Times New Roman" w:hAnsi="Times New Roman"/>
          <w:b/>
        </w:rPr>
      </w:pPr>
    </w:p>
    <w:p w14:paraId="13A89604" w14:textId="77777777" w:rsidR="006015BD" w:rsidRPr="00F35395" w:rsidRDefault="006015BD" w:rsidP="00B8644B">
      <w:pPr>
        <w:pStyle w:val="TAMainText"/>
        <w:spacing w:before="480" w:line="276" w:lineRule="auto"/>
        <w:ind w:firstLine="0"/>
        <w:jc w:val="center"/>
        <w:rPr>
          <w:rFonts w:ascii="Times New Roman" w:hAnsi="Times New Roman"/>
          <w:b/>
        </w:rPr>
      </w:pPr>
    </w:p>
    <w:p w14:paraId="340DE7A6" w14:textId="77777777" w:rsidR="006015BD" w:rsidRDefault="006015BD" w:rsidP="006015BD">
      <w:pPr>
        <w:pStyle w:val="TAMainText"/>
        <w:spacing w:before="480" w:line="276" w:lineRule="auto"/>
        <w:ind w:firstLine="0"/>
        <w:jc w:val="left"/>
        <w:rPr>
          <w:rFonts w:ascii="Times New Roman" w:hAnsi="Times New Roman"/>
          <w:i/>
          <w:sz w:val="22"/>
          <w:vertAlign w:val="superscript"/>
        </w:rPr>
      </w:pPr>
    </w:p>
    <w:p w14:paraId="0DF948B1" w14:textId="0FF8B716" w:rsidR="006015BD" w:rsidRDefault="006015BD" w:rsidP="00F23F5F">
      <w:pPr>
        <w:pStyle w:val="TAMainText"/>
        <w:spacing w:before="480" w:line="276" w:lineRule="auto"/>
        <w:ind w:firstLine="0"/>
        <w:jc w:val="left"/>
        <w:rPr>
          <w:rFonts w:ascii="Times New Roman" w:hAnsi="Times New Roman"/>
          <w:b/>
          <w:sz w:val="22"/>
        </w:rPr>
      </w:pPr>
      <w:r w:rsidRPr="00B8644B">
        <w:rPr>
          <w:rFonts w:ascii="Times New Roman" w:hAnsi="Times New Roman"/>
          <w:i/>
          <w:sz w:val="22"/>
          <w:vertAlign w:val="superscript"/>
        </w:rPr>
        <w:t xml:space="preserve">a </w:t>
      </w:r>
      <w:r w:rsidRPr="00B8644B">
        <w:rPr>
          <w:rFonts w:ascii="Times New Roman" w:hAnsi="Times New Roman"/>
          <w:sz w:val="22"/>
        </w:rPr>
        <w:t xml:space="preserve">Pellis </w:t>
      </w:r>
      <w:r w:rsidRPr="00B8644B">
        <w:rPr>
          <w:rFonts w:ascii="Times New Roman" w:hAnsi="Times New Roman"/>
          <w:i/>
          <w:sz w:val="22"/>
        </w:rPr>
        <w:t>et al.</w:t>
      </w:r>
      <w:r w:rsidRPr="00B8644B">
        <w:rPr>
          <w:rFonts w:ascii="Times New Roman" w:hAnsi="Times New Roman"/>
          <w:i/>
          <w:sz w:val="22"/>
        </w:rPr>
        <w:fldChar w:fldCharType="begin"/>
      </w:r>
      <w:r w:rsidR="008C7FBE">
        <w:rPr>
          <w:rFonts w:ascii="Times New Roman" w:hAnsi="Times New Roman"/>
          <w:i/>
          <w:sz w:val="22"/>
        </w:rPr>
        <w:instrText xml:space="preserve"> ADDIN ZOTERO_ITEM CSL_CITATION {"citationID":"GNhhfeZ8","properties":{"formattedCitation":"\\super 38\\nosupersub{}","plainCitation":"38","noteIndex":0},"citationItems":[{"id":866,"uris":["http://zotero.org/users/4674022/items/MM3F6V4K"],"uri":["http://zotero.org/users/4674022/items/MM3F6V4K"],"itemData":{"id":866,"type":"article-journal","title":"Elucidating enzymatic polymerisations: Chain-length selectivity of Candida antarctica lipase B towards various aliphatic diols and dicarboxylic acid diesters","container-title":"European Polymer Journal","page":"79-84","volume":"106","source":"ScienceDirect","abstract":"The sustainable synthesis of polymers is a field with growing interest due to the need of modern society to preserve the environment whilst making used products and food sustainable for the future generations. In this work we investigate the possibility of synthesizing aliphatic polyesters derived from various dicarboxylic acid diesters and diols in a solvent-free reaction system. Candida antarctica lipase B was selected as biocatalyst and its selectivity towards the carbon and ester chain length were elucidated. The selected enzyme was able to synthesize various polyesters combining C4-C10 diesters and C4-C8 diols. All combinations led to monomer conversions above 90% in 24 h with the best number average molecular weights (Mn) being obtained through the combination of dimethyl adipate and 1,8-octanediol leading to a Mn of 7141 Da. Differential scanning calorimetry analysis shows a clear trend with an increase in melting temperature of the polymers that correlates with both the increase of the Mn or of the polymer’s constitutional repeat unit carbon chain length. Thermogravimetric analysis and rheology measurements performed on selected samples also confirm the trend showing a variation of the polymer’s degradation temperatures and viscosity profiles.","DOI":"10.1016/j.eurpolymj.2018.07.009","ISSN":"0014-3057","title-short":"Elucidating enzymatic polymerisations","journalAbbreviation":"European Polymer Journal","author":[{"family":"Pellis","given":"Alessandro"},{"family":"Comerford","given":"James W."},{"family":"Maneffa","given":"Andrew J."},{"family":"Sipponen","given":"Mika H."},{"family":"Clark","given":"James H."},{"family":"Farmer","given":"Thomas J."}],"issued":{"date-parts":[["2018",9,1]]}}}],"schema":"https://github.com/citation-style-language/schema/raw/master/csl-citation.json"} </w:instrText>
      </w:r>
      <w:r w:rsidRPr="00B8644B">
        <w:rPr>
          <w:rFonts w:ascii="Times New Roman" w:hAnsi="Times New Roman"/>
          <w:i/>
          <w:sz w:val="22"/>
        </w:rPr>
        <w:fldChar w:fldCharType="separate"/>
      </w:r>
      <w:r w:rsidR="008C7FBE" w:rsidRPr="00173BBF">
        <w:rPr>
          <w:rFonts w:ascii="Times New Roman" w:hAnsi="Times New Roman"/>
          <w:sz w:val="22"/>
          <w:vertAlign w:val="superscript"/>
        </w:rPr>
        <w:t>38</w:t>
      </w:r>
      <w:r w:rsidRPr="00B8644B">
        <w:rPr>
          <w:rFonts w:ascii="Times New Roman" w:hAnsi="Times New Roman"/>
          <w:i/>
          <w:sz w:val="22"/>
        </w:rPr>
        <w:fldChar w:fldCharType="end"/>
      </w:r>
      <w:r w:rsidRPr="00B8644B">
        <w:rPr>
          <w:rFonts w:ascii="Times New Roman" w:hAnsi="Times New Roman"/>
          <w:i/>
          <w:sz w:val="22"/>
        </w:rPr>
        <w:t xml:space="preserve"> </w:t>
      </w:r>
      <w:r w:rsidRPr="00B8644B">
        <w:rPr>
          <w:rFonts w:ascii="Times New Roman" w:hAnsi="Times New Roman"/>
          <w:i/>
          <w:sz w:val="22"/>
          <w:vertAlign w:val="superscript"/>
        </w:rPr>
        <w:t xml:space="preserve">b </w:t>
      </w:r>
      <w:r w:rsidRPr="00B8644B">
        <w:rPr>
          <w:rFonts w:ascii="Times New Roman" w:hAnsi="Times New Roman"/>
          <w:sz w:val="22"/>
        </w:rPr>
        <w:t xml:space="preserve">Calculated via GPC, calibrating with polystyrene standard and using toluene as a reference </w:t>
      </w:r>
      <w:r w:rsidRPr="00B8644B">
        <w:rPr>
          <w:rFonts w:ascii="Times New Roman" w:hAnsi="Times New Roman"/>
          <w:i/>
          <w:sz w:val="22"/>
          <w:vertAlign w:val="superscript"/>
        </w:rPr>
        <w:t xml:space="preserve">c </w:t>
      </w:r>
      <w:r w:rsidRPr="00B8644B">
        <w:rPr>
          <w:rFonts w:ascii="Times New Roman" w:hAnsi="Times New Roman"/>
          <w:sz w:val="22"/>
        </w:rPr>
        <w:t>Calculated by dividing M</w:t>
      </w:r>
      <w:r w:rsidRPr="00B8644B">
        <w:rPr>
          <w:rFonts w:ascii="Times New Roman" w:hAnsi="Times New Roman"/>
          <w:sz w:val="22"/>
          <w:vertAlign w:val="subscript"/>
        </w:rPr>
        <w:t>n</w:t>
      </w:r>
      <w:r w:rsidRPr="00B8644B">
        <w:rPr>
          <w:rFonts w:ascii="Times New Roman" w:hAnsi="Times New Roman"/>
          <w:sz w:val="22"/>
        </w:rPr>
        <w:t xml:space="preserve"> by M</w:t>
      </w:r>
      <w:r w:rsidRPr="00B8644B">
        <w:rPr>
          <w:rFonts w:ascii="Times New Roman" w:hAnsi="Times New Roman"/>
          <w:sz w:val="22"/>
          <w:vertAlign w:val="subscript"/>
        </w:rPr>
        <w:t>0</w:t>
      </w:r>
      <w:r w:rsidRPr="00B8644B">
        <w:rPr>
          <w:rFonts w:ascii="Times New Roman" w:hAnsi="Times New Roman"/>
          <w:sz w:val="22"/>
        </w:rPr>
        <w:t>.</w:t>
      </w:r>
    </w:p>
    <w:p w14:paraId="52C8F07D" w14:textId="77777777" w:rsidR="00F23F5F" w:rsidRDefault="00F23F5F" w:rsidP="00F23F5F">
      <w:pPr>
        <w:pStyle w:val="TAMainText"/>
        <w:spacing w:before="480" w:line="276" w:lineRule="auto"/>
        <w:ind w:firstLine="0"/>
        <w:jc w:val="left"/>
        <w:rPr>
          <w:rFonts w:ascii="Times New Roman" w:hAnsi="Times New Roman"/>
          <w:b/>
          <w:sz w:val="22"/>
        </w:rPr>
      </w:pPr>
    </w:p>
    <w:p w14:paraId="1428DA41" w14:textId="0E5A4D9A" w:rsidR="00441E82" w:rsidRDefault="00441E82" w:rsidP="00441E82">
      <w:pPr>
        <w:pStyle w:val="TAMainText"/>
        <w:rPr>
          <w:rFonts w:ascii="Times New Roman" w:hAnsi="Times New Roman"/>
        </w:rPr>
      </w:pPr>
      <w:r>
        <w:rPr>
          <w:rFonts w:ascii="Times New Roman" w:hAnsi="Times New Roman"/>
        </w:rPr>
        <w:t>It is also worth noting that with the OME</w:t>
      </w:r>
      <w:r w:rsidRPr="00E23506">
        <w:rPr>
          <w:rFonts w:ascii="Times New Roman" w:hAnsi="Times New Roman"/>
          <w:vertAlign w:val="subscript"/>
        </w:rPr>
        <w:t>3-5</w:t>
      </w:r>
      <w:r>
        <w:rPr>
          <w:rFonts w:ascii="Times New Roman" w:hAnsi="Times New Roman"/>
        </w:rPr>
        <w:t xml:space="preserve"> mixture, </w:t>
      </w:r>
      <w:r w:rsidR="00BE1E27">
        <w:rPr>
          <w:rFonts w:ascii="Times New Roman" w:hAnsi="Times New Roman"/>
        </w:rPr>
        <w:t xml:space="preserve">a </w:t>
      </w:r>
      <w:r>
        <w:rPr>
          <w:rFonts w:ascii="Times New Roman" w:hAnsi="Times New Roman"/>
        </w:rPr>
        <w:t>5-10% w/w reduction in solvent was observed over the course of the reaction, while in DPE, &lt;5% w/w loss was detected. This difference can be explained by removal of some of the more volatile OMEs when vacuum is applied to remove the methanol byproduct.</w:t>
      </w:r>
    </w:p>
    <w:p w14:paraId="0FDC7AF5" w14:textId="53947E37" w:rsidR="0011053B" w:rsidRDefault="00441E82" w:rsidP="0011053B">
      <w:pPr>
        <w:pStyle w:val="TAMainText"/>
        <w:rPr>
          <w:rFonts w:ascii="Times New Roman" w:hAnsi="Times New Roman"/>
        </w:rPr>
      </w:pPr>
      <w:r>
        <w:rPr>
          <w:rFonts w:ascii="Times New Roman" w:hAnsi="Times New Roman"/>
        </w:rPr>
        <w:t xml:space="preserve">The marked </w:t>
      </w:r>
      <w:r w:rsidR="0011053B">
        <w:rPr>
          <w:rFonts w:ascii="Times New Roman" w:hAnsi="Times New Roman"/>
        </w:rPr>
        <w:t>difference</w:t>
      </w:r>
      <w:r>
        <w:rPr>
          <w:rFonts w:ascii="Times New Roman" w:hAnsi="Times New Roman"/>
        </w:rPr>
        <w:t>s</w:t>
      </w:r>
      <w:r w:rsidR="0011053B">
        <w:rPr>
          <w:rFonts w:ascii="Times New Roman" w:hAnsi="Times New Roman"/>
        </w:rPr>
        <w:t xml:space="preserve"> between reactions performed in DPE and OME</w:t>
      </w:r>
      <w:r w:rsidR="0011053B" w:rsidRPr="0011053B">
        <w:rPr>
          <w:rFonts w:ascii="Times New Roman" w:hAnsi="Times New Roman"/>
          <w:vertAlign w:val="subscript"/>
        </w:rPr>
        <w:t xml:space="preserve">3-5 </w:t>
      </w:r>
      <w:r>
        <w:rPr>
          <w:rFonts w:ascii="Times New Roman" w:hAnsi="Times New Roman"/>
        </w:rPr>
        <w:t>are</w:t>
      </w:r>
      <w:r w:rsidR="0011053B">
        <w:rPr>
          <w:rFonts w:ascii="Times New Roman" w:hAnsi="Times New Roman"/>
        </w:rPr>
        <w:t xml:space="preserve"> </w:t>
      </w:r>
      <w:r w:rsidR="00F23F5F">
        <w:rPr>
          <w:rFonts w:ascii="Times New Roman" w:hAnsi="Times New Roman"/>
        </w:rPr>
        <w:t xml:space="preserve">likely due to </w:t>
      </w:r>
      <w:r w:rsidR="009A1F75">
        <w:rPr>
          <w:rFonts w:ascii="Times New Roman" w:hAnsi="Times New Roman"/>
        </w:rPr>
        <w:t xml:space="preserve">a combination of factors, including enzyme selectivity, solvent and monomer hydrophobicity, </w:t>
      </w:r>
      <w:r w:rsidR="009A1F75">
        <w:rPr>
          <w:rFonts w:ascii="Times New Roman" w:hAnsi="Times New Roman"/>
        </w:rPr>
        <w:lastRenderedPageBreak/>
        <w:t>solvent geometry, and other solvent properties.</w:t>
      </w:r>
      <w:r w:rsidR="009A1F75">
        <w:rPr>
          <w:rFonts w:ascii="Times New Roman" w:hAnsi="Times New Roman"/>
        </w:rPr>
        <w:fldChar w:fldCharType="begin"/>
      </w:r>
      <w:r w:rsidR="008C7FBE">
        <w:rPr>
          <w:rFonts w:ascii="Times New Roman" w:hAnsi="Times New Roman"/>
        </w:rPr>
        <w:instrText xml:space="preserve"> ADDIN ZOTERO_ITEM CSL_CITATION {"citationID":"4qUreHyM","properties":{"formattedCitation":"\\super 41\\nosupersub{}","plainCitation":"41","noteIndex":0},"citationItems":[{"id":1045,"uris":["http://zotero.org/users/4674022/items/5QK5F34H"],"uri":["http://zotero.org/users/4674022/items/5QK5F34H"],"itemData":{"id":1045,"type":"article-journal","title":"A review on enzymatic polymerization to produce polycondensation polymers: The case of aliphatic polyesters, polyamides and polyesteramides","container-title":"Progress in Polymer Science","page":"1-25","volume":"79","source":"ScienceDirect","abstract":"Enzymatic polymerization represents today an effective and preferable alternative to conventional chemically-catalyzed processes. It offers significant advantages, summarized in the applied mild reaction conditions mainly in terms of temperature and toxicity, and high selectivity of enzymes, avoiding protection-deprotection strategies and resulting in improved quality/performance of end products. Especially for polycondensation polymers, biocatalyzed synthetic routes have been under research for the last thirty years, including homo- and copolymerization of a significant number of monomers. Aliphatic polyesters, polyamides and at a much lower extent polyesteramides, represent the core of the pertinent studies, and are systematically discussed in the current review. Emphasis is given on polycondensates with biodegradability properties, derived from bio-based monomers such as succinic acid, 1,3- propanediol and lactide/lactic acid. Free or immobilized lipases and cutinases are the predominant biocatalysts in the relevant polymer families, being used in polycondensation as well as in ring-opening reaction schemes. The efficiency of the different biocatalytic processes is herein correlated to important process parameters, such as the enzyme and monomer type, the reaction temperature and time, the polymerization technique (solution or solvent-free), as well as the by-product removal method, e.g., application of vacuum, water absorption by molecular sieves, azeotropic distillation.","DOI":"10.1016/j.progpolymsci.2017.10.001","ISSN":"0079-6700","title-short":"A review on enzymatic polymerization to produce polycondensation polymers","journalAbbreviation":"Progress in Polymer Science","author":[{"family":"Douka","given":"Aliki"},{"family":"Vouyiouka","given":"Stamatina"},{"family":"Papaspyridi","given":"Lefki-Maria"},{"family":"Papaspyrides","given":"Constantine D."}],"issued":{"date-parts":[["2018",4,1]]}}}],"schema":"https://github.com/citation-style-language/schema/raw/master/csl-citation.json"} </w:instrText>
      </w:r>
      <w:r w:rsidR="009A1F75">
        <w:rPr>
          <w:rFonts w:ascii="Times New Roman" w:hAnsi="Times New Roman"/>
        </w:rPr>
        <w:fldChar w:fldCharType="separate"/>
      </w:r>
      <w:r w:rsidR="008C7FBE" w:rsidRPr="008C7FBE">
        <w:rPr>
          <w:rFonts w:ascii="Times New Roman" w:hAnsi="Times New Roman"/>
          <w:vertAlign w:val="superscript"/>
        </w:rPr>
        <w:t>41</w:t>
      </w:r>
      <w:r w:rsidR="009A1F75">
        <w:rPr>
          <w:rFonts w:ascii="Times New Roman" w:hAnsi="Times New Roman"/>
        </w:rPr>
        <w:fldChar w:fldCharType="end"/>
      </w:r>
      <w:r w:rsidR="009A1F75">
        <w:rPr>
          <w:rFonts w:ascii="Times New Roman" w:hAnsi="Times New Roman"/>
        </w:rPr>
        <w:t xml:space="preserve"> The complexity</w:t>
      </w:r>
      <w:r>
        <w:rPr>
          <w:rFonts w:ascii="Times New Roman" w:hAnsi="Times New Roman"/>
        </w:rPr>
        <w:t xml:space="preserve"> and dynamic nature</w:t>
      </w:r>
      <w:r w:rsidR="009A1F75">
        <w:rPr>
          <w:rFonts w:ascii="Times New Roman" w:hAnsi="Times New Roman"/>
        </w:rPr>
        <w:t xml:space="preserve"> of the biocatalytic system </w:t>
      </w:r>
      <w:r>
        <w:rPr>
          <w:rFonts w:ascii="Times New Roman" w:hAnsi="Times New Roman"/>
        </w:rPr>
        <w:t>necessitates</w:t>
      </w:r>
      <w:r w:rsidR="0011053B">
        <w:rPr>
          <w:rFonts w:ascii="Times New Roman" w:hAnsi="Times New Roman"/>
        </w:rPr>
        <w:t xml:space="preserve"> detailed molecular modelling studies</w:t>
      </w:r>
      <w:r>
        <w:rPr>
          <w:rFonts w:ascii="Times New Roman" w:hAnsi="Times New Roman"/>
        </w:rPr>
        <w:t xml:space="preserve"> to elucidate the individual effects of these factors</w:t>
      </w:r>
      <w:r w:rsidR="0011053B">
        <w:rPr>
          <w:rFonts w:ascii="Times New Roman" w:hAnsi="Times New Roman"/>
        </w:rPr>
        <w:t xml:space="preserve">. </w:t>
      </w:r>
    </w:p>
    <w:p w14:paraId="4EF897D0" w14:textId="551BFBA0" w:rsidR="00811CC7" w:rsidRDefault="00E23506" w:rsidP="0011053B">
      <w:pPr>
        <w:pStyle w:val="TAMainText"/>
        <w:rPr>
          <w:rFonts w:ascii="Times New Roman" w:hAnsi="Times New Roman"/>
        </w:rPr>
      </w:pPr>
      <w:r>
        <w:rPr>
          <w:rFonts w:ascii="Times New Roman" w:hAnsi="Times New Roman"/>
        </w:rPr>
        <w:t>In short, enzymatic polymerizations in OME</w:t>
      </w:r>
      <w:r>
        <w:rPr>
          <w:rFonts w:ascii="Times New Roman" w:hAnsi="Times New Roman"/>
          <w:vertAlign w:val="subscript"/>
        </w:rPr>
        <w:t>3-5</w:t>
      </w:r>
      <w:r>
        <w:rPr>
          <w:rFonts w:ascii="Times New Roman" w:hAnsi="Times New Roman"/>
        </w:rPr>
        <w:t xml:space="preserve"> are possible, and while average molecular weights </w:t>
      </w:r>
      <w:r w:rsidR="002511FB">
        <w:rPr>
          <w:rFonts w:ascii="Times New Roman" w:hAnsi="Times New Roman"/>
        </w:rPr>
        <w:t>of the polymers produced in this way are lower</w:t>
      </w:r>
      <w:r>
        <w:rPr>
          <w:rFonts w:ascii="Times New Roman" w:hAnsi="Times New Roman"/>
        </w:rPr>
        <w:t xml:space="preserve">, the yields are </w:t>
      </w:r>
      <w:r w:rsidR="00572A0F">
        <w:rPr>
          <w:rFonts w:ascii="Times New Roman" w:hAnsi="Times New Roman"/>
        </w:rPr>
        <w:t xml:space="preserve">significantly </w:t>
      </w:r>
      <w:r>
        <w:rPr>
          <w:rFonts w:ascii="Times New Roman" w:hAnsi="Times New Roman"/>
        </w:rPr>
        <w:t>higher</w:t>
      </w:r>
      <w:r w:rsidR="004526A5">
        <w:rPr>
          <w:rFonts w:ascii="Times New Roman" w:hAnsi="Times New Roman"/>
        </w:rPr>
        <w:t xml:space="preserve"> than </w:t>
      </w:r>
      <w:r w:rsidR="002511FB">
        <w:rPr>
          <w:rFonts w:ascii="Times New Roman" w:hAnsi="Times New Roman"/>
        </w:rPr>
        <w:t>reactions in DPE</w:t>
      </w:r>
      <w:r>
        <w:rPr>
          <w:rFonts w:ascii="Times New Roman" w:hAnsi="Times New Roman"/>
        </w:rPr>
        <w:t>.</w:t>
      </w:r>
      <w:r w:rsidR="002511FB">
        <w:rPr>
          <w:rFonts w:ascii="Times New Roman" w:hAnsi="Times New Roman"/>
        </w:rPr>
        <w:t xml:space="preserve"> Compared to solventless reactions </w:t>
      </w:r>
      <w:r w:rsidR="00F04455">
        <w:rPr>
          <w:rFonts w:ascii="Times New Roman" w:hAnsi="Times New Roman"/>
        </w:rPr>
        <w:t>with</w:t>
      </w:r>
      <w:r w:rsidR="00572A0F">
        <w:rPr>
          <w:rFonts w:ascii="Times New Roman" w:hAnsi="Times New Roman"/>
        </w:rPr>
        <w:t xml:space="preserve"> adipic acid esters </w:t>
      </w:r>
      <w:r w:rsidR="002511FB">
        <w:rPr>
          <w:rFonts w:ascii="Times New Roman" w:hAnsi="Times New Roman"/>
        </w:rPr>
        <w:t>in previous studies,</w:t>
      </w:r>
      <w:r w:rsidR="002511FB">
        <w:rPr>
          <w:rFonts w:ascii="Times New Roman" w:hAnsi="Times New Roman"/>
        </w:rPr>
        <w:fldChar w:fldCharType="begin"/>
      </w:r>
      <w:r w:rsidR="008C7FBE">
        <w:rPr>
          <w:rFonts w:ascii="Times New Roman" w:hAnsi="Times New Roman"/>
        </w:rPr>
        <w:instrText xml:space="preserve"> ADDIN ZOTERO_ITEM CSL_CITATION {"citationID":"327ISFZs","properties":{"formattedCitation":"\\super 38\\nosupersub{}","plainCitation":"38","noteIndex":0},"citationItems":[{"id":866,"uris":["http://zotero.org/users/4674022/items/MM3F6V4K"],"uri":["http://zotero.org/users/4674022/items/MM3F6V4K"],"itemData":{"id":866,"type":"article-journal","title":"Elucidating enzymatic polymerisations: Chain-length selectivity of Candida antarctica lipase B towards various aliphatic diols and dicarboxylic acid diesters","container-title":"European Polymer Journal","page":"79-84","volume":"106","source":"ScienceDirect","abstract":"The sustainable synthesis of polymers is a field with growing interest due to the need of modern society to preserve the environment whilst making used products and food sustainable for the future generations. In this work we investigate the possibility of synthesizing aliphatic polyesters derived from various dicarboxylic acid diesters and diols in a solvent-free reaction system. Candida antarctica lipase B was selected as biocatalyst and its selectivity towards the carbon and ester chain length were elucidated. The selected enzyme was able to synthesize various polyesters combining C4-C10 diesters and C4-C8 diols. All combinations led to monomer conversions above 90% in 24 h with the best number average molecular weights (Mn) being obtained through the combination of dimethyl adipate and 1,8-octanediol leading to a Mn of 7141 Da. Differential scanning calorimetry analysis shows a clear trend with an increase in melting temperature of the polymers that correlates with both the increase of the Mn or of the polymer’s constitutional repeat unit carbon chain length. Thermogravimetric analysis and rheology measurements performed on selected samples also confirm the trend showing a variation of the polymer’s degradation temperatures and viscosity profiles.","DOI":"10.1016/j.eurpolymj.2018.07.009","ISSN":"0014-3057","title-short":"Elucidating enzymatic polymerisations","journalAbbreviation":"European Polymer Journal","author":[{"family":"Pellis","given":"Alessandro"},{"family":"Comerford","given":"James W."},{"family":"Maneffa","given":"Andrew J."},{"family":"Sipponen","given":"Mika H."},{"family":"Clark","given":"James H."},{"family":"Farmer","given":"Thomas J."}],"issued":{"date-parts":[["2018",9,1]]}}}],"schema":"https://github.com/citation-style-language/schema/raw/master/csl-citation.json"} </w:instrText>
      </w:r>
      <w:r w:rsidR="002511FB">
        <w:rPr>
          <w:rFonts w:ascii="Times New Roman" w:hAnsi="Times New Roman"/>
        </w:rPr>
        <w:fldChar w:fldCharType="separate"/>
      </w:r>
      <w:r w:rsidR="008C7FBE" w:rsidRPr="008C7FBE">
        <w:rPr>
          <w:rFonts w:ascii="Times New Roman" w:hAnsi="Times New Roman"/>
          <w:vertAlign w:val="superscript"/>
        </w:rPr>
        <w:t>38</w:t>
      </w:r>
      <w:r w:rsidR="002511FB">
        <w:rPr>
          <w:rFonts w:ascii="Times New Roman" w:hAnsi="Times New Roman"/>
        </w:rPr>
        <w:fldChar w:fldCharType="end"/>
      </w:r>
      <w:r w:rsidR="002511FB">
        <w:rPr>
          <w:rFonts w:ascii="Times New Roman" w:hAnsi="Times New Roman"/>
        </w:rPr>
        <w:t xml:space="preserve"> OME</w:t>
      </w:r>
      <w:r w:rsidR="002511FB">
        <w:rPr>
          <w:rFonts w:ascii="Times New Roman" w:hAnsi="Times New Roman"/>
          <w:vertAlign w:val="subscript"/>
        </w:rPr>
        <w:t>3-5</w:t>
      </w:r>
      <w:r w:rsidR="002511FB">
        <w:rPr>
          <w:rFonts w:ascii="Times New Roman" w:hAnsi="Times New Roman"/>
        </w:rPr>
        <w:t xml:space="preserve"> gives similar molecular weight and degree of polymerization, but also </w:t>
      </w:r>
      <w:r w:rsidR="00F04455">
        <w:rPr>
          <w:rFonts w:ascii="Times New Roman" w:hAnsi="Times New Roman"/>
        </w:rPr>
        <w:t xml:space="preserve">facilitates </w:t>
      </w:r>
      <w:r w:rsidR="002511FB">
        <w:rPr>
          <w:rFonts w:ascii="Times New Roman" w:hAnsi="Times New Roman"/>
        </w:rPr>
        <w:t xml:space="preserve">a significant reduction in dispersity, producing much more consistent </w:t>
      </w:r>
      <w:r w:rsidR="00F04455">
        <w:rPr>
          <w:rFonts w:ascii="Times New Roman" w:hAnsi="Times New Roman"/>
        </w:rPr>
        <w:t>chain lengths</w:t>
      </w:r>
      <w:r w:rsidR="002511FB">
        <w:rPr>
          <w:rFonts w:ascii="Times New Roman" w:hAnsi="Times New Roman"/>
        </w:rPr>
        <w:t>.</w:t>
      </w:r>
      <w:r>
        <w:rPr>
          <w:rFonts w:ascii="Times New Roman" w:hAnsi="Times New Roman"/>
        </w:rPr>
        <w:t xml:space="preserve"> The molecular weight trends with respect to diol chain length in the OME</w:t>
      </w:r>
      <w:r w:rsidRPr="00E23506">
        <w:rPr>
          <w:rFonts w:ascii="Times New Roman" w:hAnsi="Times New Roman"/>
          <w:vertAlign w:val="subscript"/>
        </w:rPr>
        <w:t xml:space="preserve">3-5 </w:t>
      </w:r>
      <w:r>
        <w:rPr>
          <w:rFonts w:ascii="Times New Roman" w:hAnsi="Times New Roman"/>
        </w:rPr>
        <w:t>reactions mirror those found in solventless reactions.</w:t>
      </w:r>
      <w:r>
        <w:rPr>
          <w:rFonts w:ascii="Times New Roman" w:hAnsi="Times New Roman"/>
        </w:rPr>
        <w:fldChar w:fldCharType="begin"/>
      </w:r>
      <w:r w:rsidR="008C7FBE">
        <w:rPr>
          <w:rFonts w:ascii="Times New Roman" w:hAnsi="Times New Roman"/>
        </w:rPr>
        <w:instrText xml:space="preserve"> ADDIN ZOTERO_ITEM CSL_CITATION {"citationID":"HVw41jr2","properties":{"formattedCitation":"\\super 38\\nosupersub{}","plainCitation":"38","noteIndex":0},"citationItems":[{"id":866,"uris":["http://zotero.org/users/4674022/items/MM3F6V4K"],"uri":["http://zotero.org/users/4674022/items/MM3F6V4K"],"itemData":{"id":866,"type":"article-journal","title":"Elucidating enzymatic polymerisations: Chain-length selectivity of Candida antarctica lipase B towards various aliphatic diols and dicarboxylic acid diesters","container-title":"European Polymer Journal","page":"79-84","volume":"106","source":"ScienceDirect","abstract":"The sustainable synthesis of polymers is a field with growing interest due to the need of modern society to preserve the environment whilst making used products and food sustainable for the future generations. In this work we investigate the possibility of synthesizing aliphatic polyesters derived from various dicarboxylic acid diesters and diols in a solvent-free reaction system. Candida antarctica lipase B was selected as biocatalyst and its selectivity towards the carbon and ester chain length were elucidated. The selected enzyme was able to synthesize various polyesters combining C4-C10 diesters and C4-C8 diols. All combinations led to monomer conversions above 90% in 24 h with the best number average molecular weights (Mn) being obtained through the combination of dimethyl adipate and 1,8-octanediol leading to a Mn of 7141 Da. Differential scanning calorimetry analysis shows a clear trend with an increase in melting temperature of the polymers that correlates with both the increase of the Mn or of the polymer’s constitutional repeat unit carbon chain length. Thermogravimetric analysis and rheology measurements performed on selected samples also confirm the trend showing a variation of the polymer’s degradation temperatures and viscosity profiles.","DOI":"10.1016/j.eurpolymj.2018.07.009","ISSN":"0014-3057","title-short":"Elucidating enzymatic polymerisations","journalAbbreviation":"European Polymer Journal","author":[{"family":"Pellis","given":"Alessandro"},{"family":"Comerford","given":"James W."},{"family":"Maneffa","given":"Andrew J."},{"family":"Sipponen","given":"Mika H."},{"family":"Clark","given":"James H."},{"family":"Farmer","given":"Thomas J."}],"issued":{"date-parts":[["2018",9,1]]}}}],"schema":"https://github.com/citation-style-language/schema/raw/master/csl-citation.json"} </w:instrText>
      </w:r>
      <w:r>
        <w:rPr>
          <w:rFonts w:ascii="Times New Roman" w:hAnsi="Times New Roman"/>
        </w:rPr>
        <w:fldChar w:fldCharType="separate"/>
      </w:r>
      <w:r w:rsidR="008C7FBE" w:rsidRPr="008C7FBE">
        <w:rPr>
          <w:rFonts w:ascii="Times New Roman" w:hAnsi="Times New Roman"/>
          <w:vertAlign w:val="superscript"/>
        </w:rPr>
        <w:t>38</w:t>
      </w:r>
      <w:r>
        <w:rPr>
          <w:rFonts w:ascii="Times New Roman" w:hAnsi="Times New Roman"/>
        </w:rPr>
        <w:fldChar w:fldCharType="end"/>
      </w:r>
      <w:r>
        <w:rPr>
          <w:rFonts w:ascii="Times New Roman" w:hAnsi="Times New Roman"/>
        </w:rPr>
        <w:t xml:space="preserve"> </w:t>
      </w:r>
      <w:r w:rsidR="00B34C60">
        <w:rPr>
          <w:rFonts w:ascii="Times New Roman" w:hAnsi="Times New Roman"/>
        </w:rPr>
        <w:t>Polymerizations performed in OME</w:t>
      </w:r>
      <w:r w:rsidR="00B34C60" w:rsidRPr="00B34C60">
        <w:rPr>
          <w:rFonts w:ascii="Times New Roman" w:hAnsi="Times New Roman"/>
          <w:vertAlign w:val="subscript"/>
        </w:rPr>
        <w:t>3-5</w:t>
      </w:r>
      <w:r w:rsidR="00B34C60">
        <w:rPr>
          <w:rFonts w:ascii="Times New Roman" w:hAnsi="Times New Roman"/>
        </w:rPr>
        <w:t xml:space="preserve"> could be very useful when polyesters with moderately high molecular weights and narrow dispersity are desired.</w:t>
      </w:r>
      <w:r w:rsidR="00157DB9">
        <w:rPr>
          <w:rFonts w:ascii="Times New Roman" w:hAnsi="Times New Roman"/>
        </w:rPr>
        <w:t xml:space="preserve"> </w:t>
      </w:r>
    </w:p>
    <w:p w14:paraId="26D66EF8" w14:textId="77777777" w:rsidR="00F04455" w:rsidRDefault="00F04455" w:rsidP="0011053B">
      <w:pPr>
        <w:pStyle w:val="TAMainText"/>
        <w:rPr>
          <w:rFonts w:ascii="Times New Roman" w:hAnsi="Times New Roman"/>
        </w:rPr>
      </w:pPr>
    </w:p>
    <w:p w14:paraId="6A59B38F" w14:textId="3203FCC4" w:rsidR="00E23506" w:rsidRPr="00811CC7" w:rsidRDefault="00811CC7" w:rsidP="00811CC7">
      <w:pPr>
        <w:pStyle w:val="TAMainText"/>
        <w:ind w:firstLine="0"/>
        <w:outlineLvl w:val="0"/>
        <w:rPr>
          <w:rFonts w:ascii="Times New Roman" w:hAnsi="Times New Roman"/>
          <w:b/>
        </w:rPr>
      </w:pPr>
      <w:r w:rsidRPr="00811CC7">
        <w:rPr>
          <w:rFonts w:ascii="Times New Roman" w:hAnsi="Times New Roman"/>
          <w:b/>
        </w:rPr>
        <w:t>POLYMER DISSOLUTION</w:t>
      </w:r>
    </w:p>
    <w:p w14:paraId="29C794DA" w14:textId="7E67FF46" w:rsidR="00F071D4" w:rsidRPr="00F071D4" w:rsidRDefault="00B34C60" w:rsidP="0011053B">
      <w:pPr>
        <w:pStyle w:val="TAMainText"/>
        <w:rPr>
          <w:rFonts w:ascii="Times New Roman" w:hAnsi="Times New Roman"/>
        </w:rPr>
      </w:pPr>
      <w:r>
        <w:rPr>
          <w:rFonts w:ascii="Times New Roman" w:hAnsi="Times New Roman"/>
        </w:rPr>
        <w:t>Polymer dissolution and processing with green s</w:t>
      </w:r>
      <w:r w:rsidR="00F071D4">
        <w:rPr>
          <w:rFonts w:ascii="Times New Roman" w:hAnsi="Times New Roman"/>
        </w:rPr>
        <w:t>olv</w:t>
      </w:r>
      <w:r>
        <w:rPr>
          <w:rFonts w:ascii="Times New Roman" w:hAnsi="Times New Roman"/>
        </w:rPr>
        <w:t>ents is also a growing field of</w:t>
      </w:r>
      <w:r w:rsidR="00F071D4">
        <w:rPr>
          <w:rFonts w:ascii="Times New Roman" w:hAnsi="Times New Roman"/>
        </w:rPr>
        <w:t xml:space="preserve"> interest</w:t>
      </w:r>
      <w:r>
        <w:rPr>
          <w:rFonts w:ascii="Times New Roman" w:hAnsi="Times New Roman"/>
        </w:rPr>
        <w:t>, with the goal being</w:t>
      </w:r>
      <w:r w:rsidR="00F071D4">
        <w:rPr>
          <w:rFonts w:ascii="Times New Roman" w:hAnsi="Times New Roman"/>
        </w:rPr>
        <w:t xml:space="preserve"> to reduce the polymer industry’s environmental impact and create healthier, less-damaging polymers.</w:t>
      </w:r>
      <w:r w:rsidR="00F071D4">
        <w:rPr>
          <w:rFonts w:ascii="Times New Roman" w:hAnsi="Times New Roman"/>
        </w:rPr>
        <w:fldChar w:fldCharType="begin"/>
      </w:r>
      <w:r w:rsidR="008C7FBE">
        <w:rPr>
          <w:rFonts w:ascii="Times New Roman" w:hAnsi="Times New Roman"/>
        </w:rPr>
        <w:instrText xml:space="preserve"> ADDIN ZOTERO_ITEM CSL_CITATION {"citationID":"zcoBkO6u","properties":{"formattedCitation":"\\super 42\\nosupersub{}","plainCitation":"42","noteIndex":0},"citationItems":[{"id":575,"uris":["http://zotero.org/users/4674022/items/YGV87ETB"],"uri":["http://zotero.org/users/4674022/items/YGV87ETB"],"itemData":{"id":575,"type":"article-journal","title":"Recent developments in the utilization of green solvents in polymer chemistry","container-title":"Chemical Society Reviews","page":"3317-3333","volume":"39","issue":"8","source":"pubs.rsc.org","DOI":"10.1039/B909964F","language":"en","author":[{"family":"Erdmenger","given":"Tina"},{"family":"Guerrero-Sanchez","given":"Carlos"},{"family":"Vitz","given":"Juergen"},{"family":"Hoogenboom","given":"Richard"},{"family":"S. Schubert","given":"Ulrich"}],"issued":{"date-parts":[["2010"]]}}}],"schema":"https://github.com/citation-style-language/schema/raw/master/csl-citation.json"} </w:instrText>
      </w:r>
      <w:r w:rsidR="00F071D4">
        <w:rPr>
          <w:rFonts w:ascii="Times New Roman" w:hAnsi="Times New Roman"/>
        </w:rPr>
        <w:fldChar w:fldCharType="separate"/>
      </w:r>
      <w:r w:rsidR="008C7FBE" w:rsidRPr="008C7FBE">
        <w:rPr>
          <w:rFonts w:ascii="Times New Roman" w:hAnsi="Times New Roman"/>
          <w:vertAlign w:val="superscript"/>
        </w:rPr>
        <w:t>42</w:t>
      </w:r>
      <w:r w:rsidR="00F071D4">
        <w:rPr>
          <w:rFonts w:ascii="Times New Roman" w:hAnsi="Times New Roman"/>
        </w:rPr>
        <w:fldChar w:fldCharType="end"/>
      </w:r>
      <w:r w:rsidR="00F071D4">
        <w:rPr>
          <w:rFonts w:ascii="Times New Roman" w:hAnsi="Times New Roman"/>
        </w:rPr>
        <w:t xml:space="preserve"> The OME</w:t>
      </w:r>
      <w:r w:rsidR="00F071D4" w:rsidRPr="00F071D4">
        <w:rPr>
          <w:rFonts w:ascii="Times New Roman" w:hAnsi="Times New Roman"/>
          <w:vertAlign w:val="subscript"/>
        </w:rPr>
        <w:t>3-5</w:t>
      </w:r>
      <w:r w:rsidR="00F071D4">
        <w:rPr>
          <w:rFonts w:ascii="Times New Roman" w:hAnsi="Times New Roman"/>
        </w:rPr>
        <w:t xml:space="preserve"> mixture was tested as an affordable, bio-derived solvent for processing a variety of polymers</w:t>
      </w:r>
      <w:r w:rsidR="001435A2">
        <w:rPr>
          <w:rFonts w:ascii="Times New Roman" w:hAnsi="Times New Roman"/>
        </w:rPr>
        <w:t xml:space="preserve"> at 5% w/v</w:t>
      </w:r>
      <w:r w:rsidR="00F071D4">
        <w:rPr>
          <w:rFonts w:ascii="Times New Roman" w:hAnsi="Times New Roman"/>
        </w:rPr>
        <w:t xml:space="preserve"> (</w:t>
      </w:r>
      <w:r w:rsidR="00811CC7" w:rsidRPr="00811CC7">
        <w:rPr>
          <w:rFonts w:ascii="Times New Roman" w:hAnsi="Times New Roman"/>
        </w:rPr>
        <w:fldChar w:fldCharType="begin"/>
      </w:r>
      <w:r w:rsidR="00811CC7" w:rsidRPr="00811CC7">
        <w:rPr>
          <w:rFonts w:ascii="Times New Roman" w:hAnsi="Times New Roman"/>
        </w:rPr>
        <w:instrText xml:space="preserve"> REF _Ref7017504 \h  \* MERGEFORMAT </w:instrText>
      </w:r>
      <w:r w:rsidR="00811CC7" w:rsidRPr="00811CC7">
        <w:rPr>
          <w:rFonts w:ascii="Times New Roman" w:hAnsi="Times New Roman"/>
        </w:rPr>
      </w:r>
      <w:r w:rsidR="00811CC7" w:rsidRPr="00811CC7">
        <w:rPr>
          <w:rFonts w:ascii="Times New Roman" w:hAnsi="Times New Roman"/>
        </w:rPr>
        <w:fldChar w:fldCharType="separate"/>
      </w:r>
      <w:r w:rsidR="003C715B" w:rsidRPr="003C715B">
        <w:t xml:space="preserve">Figure </w:t>
      </w:r>
      <w:r w:rsidR="003C715B" w:rsidRPr="003C715B">
        <w:rPr>
          <w:noProof/>
        </w:rPr>
        <w:t>5</w:t>
      </w:r>
      <w:r w:rsidR="00811CC7" w:rsidRPr="00811CC7">
        <w:rPr>
          <w:rFonts w:ascii="Times New Roman" w:hAnsi="Times New Roman"/>
        </w:rPr>
        <w:fldChar w:fldCharType="end"/>
      </w:r>
      <w:r w:rsidR="00F071D4">
        <w:rPr>
          <w:rFonts w:ascii="Times New Roman" w:hAnsi="Times New Roman"/>
        </w:rPr>
        <w:t xml:space="preserve">). Polystyrene dissolves readily in this solvent, suggesting potential application as a safer, less volatile replacement for dichloromethane polystyrene extraction </w:t>
      </w:r>
      <w:r w:rsidR="00A91A7F">
        <w:rPr>
          <w:rFonts w:ascii="Times New Roman" w:hAnsi="Times New Roman"/>
        </w:rPr>
        <w:t xml:space="preserve">and related </w:t>
      </w:r>
      <w:r w:rsidR="00F071D4">
        <w:rPr>
          <w:rFonts w:ascii="Times New Roman" w:hAnsi="Times New Roman"/>
        </w:rPr>
        <w:t>applications. A higher-volume application could be polystyrene dissolution for recycling, as green solvent systems for this are not yet well developed.</w:t>
      </w:r>
      <w:r w:rsidR="00F071D4">
        <w:rPr>
          <w:rFonts w:ascii="Times New Roman" w:hAnsi="Times New Roman"/>
        </w:rPr>
        <w:fldChar w:fldCharType="begin"/>
      </w:r>
      <w:r w:rsidR="008C7FBE">
        <w:rPr>
          <w:rFonts w:ascii="Times New Roman" w:hAnsi="Times New Roman"/>
        </w:rPr>
        <w:instrText xml:space="preserve"> ADDIN ZOTERO_ITEM CSL_CITATION {"citationID":"sixOPiPC","properties":{"formattedCitation":"\\super 43\\nosupersub{}","plainCitation":"43","noteIndex":0},"citationItems":[{"id":311,"uris":["http://zotero.org/users/4674022/items/46KFYNHV"],"uri":["http://zotero.org/users/4674022/items/46KFYNHV"],"itemData":{"id":311,"type":"article-journal","title":"Study of the solubility and stability of polystyrene wastes in a dissolution recycling process","container-title":"Waste Management","page":"1814-1818","volume":"29","issue":"6","source":"ScienceDirect","abstract":"Dissolution with suitable solvents is one of the cheapest and more efficient processes for polystyrene waste management. In this work the solubility of polystyrene foams in several solvents benzene, toluene, xylene, tetrahydrofuran, chloroform, 1,3-butanediol, 2-butanol, linalool, geraniol, d-limonene, p-cymene, terpinene, phellandrene, terpineol, menthol, eucalyptol, cinnamaldheyde, nitrobenzene, N,N-dimethylformamide and water has been determined. Experimental results have shown that to develop a “green process” the constituents of essential oils, d-limonene, p-cymene, terpinene, phellandrene, are the most appropriate solvents. The action of these solvent does not produce any degradation of polymer chains. The solubility of the polymer in the mentioned solvents at different temperatures has been investigated. The solvent can be easily recycled by distillation.","DOI":"10.1016/j.wasman.2009.01.001","ISSN":"0956-053X","journalAbbreviation":"Waste Management","author":[{"family":"García","given":"María Teresa"},{"family":"Gracia","given":"Ignacio"},{"family":"Duque","given":"Gema"},{"family":"Lucas","given":"Antonio","dropping-particle":"de"},{"family":"Rodríguez","given":"Juan Francisco"}],"issued":{"date-parts":[["2009",6,1]]}}}],"schema":"https://github.com/citation-style-language/schema/raw/master/csl-citation.json"} </w:instrText>
      </w:r>
      <w:r w:rsidR="00F071D4">
        <w:rPr>
          <w:rFonts w:ascii="Times New Roman" w:hAnsi="Times New Roman"/>
        </w:rPr>
        <w:fldChar w:fldCharType="separate"/>
      </w:r>
      <w:r w:rsidR="008C7FBE" w:rsidRPr="008C7FBE">
        <w:rPr>
          <w:rFonts w:ascii="Times New Roman" w:hAnsi="Times New Roman"/>
          <w:vertAlign w:val="superscript"/>
        </w:rPr>
        <w:t>43</w:t>
      </w:r>
      <w:r w:rsidR="00F071D4">
        <w:rPr>
          <w:rFonts w:ascii="Times New Roman" w:hAnsi="Times New Roman"/>
        </w:rPr>
        <w:fldChar w:fldCharType="end"/>
      </w:r>
      <w:r w:rsidR="00F071D4">
        <w:rPr>
          <w:rFonts w:ascii="Times New Roman" w:hAnsi="Times New Roman"/>
        </w:rPr>
        <w:t xml:space="preserve"> OME</w:t>
      </w:r>
      <w:r w:rsidR="00F071D4" w:rsidRPr="00F071D4">
        <w:rPr>
          <w:rFonts w:ascii="Times New Roman" w:hAnsi="Times New Roman"/>
          <w:vertAlign w:val="subscript"/>
        </w:rPr>
        <w:t>3-5</w:t>
      </w:r>
      <w:r w:rsidR="00F071D4">
        <w:rPr>
          <w:rFonts w:ascii="Times New Roman" w:hAnsi="Times New Roman"/>
        </w:rPr>
        <w:t xml:space="preserve"> appears to have no effect on polypropylene, polyethersulfone, or polyvinylpyrrolidone. It shows some interaction with Solvay’s Torlon, which is a polyamide-imide, but does not fully dissolve it.</w:t>
      </w:r>
    </w:p>
    <w:p w14:paraId="39374C53" w14:textId="491CE686" w:rsidR="00241204" w:rsidRPr="00241204" w:rsidRDefault="00F071D4" w:rsidP="00241204">
      <w:pPr>
        <w:pStyle w:val="TAMainText"/>
        <w:ind w:firstLine="0"/>
        <w:jc w:val="center"/>
        <w:rPr>
          <w:rFonts w:ascii="Times New Roman" w:hAnsi="Times New Roman"/>
        </w:rPr>
      </w:pPr>
      <w:r w:rsidRPr="00053DA6">
        <w:rPr>
          <w:rFonts w:ascii="Frutiger LT Com 45 Light" w:hAnsi="Frutiger LT Com 45 Light"/>
          <w:noProof/>
          <w:lang w:val="en-GB" w:eastAsia="en-GB"/>
        </w:rPr>
        <w:lastRenderedPageBreak/>
        <w:drawing>
          <wp:inline distT="0" distB="0" distL="0" distR="0" wp14:anchorId="17BEC8FC" wp14:editId="7E89DB5E">
            <wp:extent cx="5105469" cy="2256417"/>
            <wp:effectExtent l="0" t="0" r="0" b="4445"/>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
                    <a:stretch>
                      <a:fillRect/>
                    </a:stretch>
                  </pic:blipFill>
                  <pic:spPr>
                    <a:xfrm>
                      <a:off x="0" y="0"/>
                      <a:ext cx="5105469" cy="2256417"/>
                    </a:xfrm>
                    <a:prstGeom prst="rect">
                      <a:avLst/>
                    </a:prstGeom>
                  </pic:spPr>
                </pic:pic>
              </a:graphicData>
            </a:graphic>
          </wp:inline>
        </w:drawing>
      </w:r>
    </w:p>
    <w:p w14:paraId="2E041F37" w14:textId="5B8DABA9" w:rsidR="00F071D4" w:rsidRPr="00B8644B" w:rsidRDefault="00241204" w:rsidP="00241204">
      <w:pPr>
        <w:pStyle w:val="Caption"/>
      </w:pPr>
      <w:bookmarkStart w:id="13" w:name="_Ref7017504"/>
      <w:r w:rsidRPr="00241204">
        <w:rPr>
          <w:b/>
        </w:rPr>
        <w:t xml:space="preserve">Figure </w:t>
      </w:r>
      <w:r w:rsidRPr="00241204">
        <w:rPr>
          <w:b/>
        </w:rPr>
        <w:fldChar w:fldCharType="begin"/>
      </w:r>
      <w:r w:rsidRPr="00241204">
        <w:rPr>
          <w:b/>
        </w:rPr>
        <w:instrText xml:space="preserve"> SEQ Figure \* ARABIC </w:instrText>
      </w:r>
      <w:r w:rsidRPr="00241204">
        <w:rPr>
          <w:b/>
        </w:rPr>
        <w:fldChar w:fldCharType="separate"/>
      </w:r>
      <w:r w:rsidR="003C715B">
        <w:rPr>
          <w:b/>
          <w:noProof/>
        </w:rPr>
        <w:t>5</w:t>
      </w:r>
      <w:r w:rsidRPr="00241204">
        <w:rPr>
          <w:b/>
        </w:rPr>
        <w:fldChar w:fldCharType="end"/>
      </w:r>
      <w:bookmarkEnd w:id="13"/>
      <w:r w:rsidRPr="00241204">
        <w:rPr>
          <w:b/>
        </w:rPr>
        <w:t>.</w:t>
      </w:r>
      <w:r>
        <w:t xml:space="preserve"> </w:t>
      </w:r>
      <w:r w:rsidR="00F071D4" w:rsidRPr="00B8644B">
        <w:t>OME</w:t>
      </w:r>
      <w:r w:rsidR="00F071D4" w:rsidRPr="00B8644B">
        <w:rPr>
          <w:vertAlign w:val="subscript"/>
        </w:rPr>
        <w:t xml:space="preserve">3-5 </w:t>
      </w:r>
      <w:r w:rsidR="00F071D4" w:rsidRPr="00B8644B">
        <w:t>tested in dissolution of various polymers</w:t>
      </w:r>
      <w:r w:rsidR="001435A2">
        <w:t xml:space="preserve"> at 5% w/v.</w:t>
      </w:r>
      <w:r w:rsidR="00F06B1A">
        <w:t xml:space="preserve"> Checkmarks indicate full dissolution occurred, while crosses indicate samples with undissolved polymer.</w:t>
      </w:r>
    </w:p>
    <w:p w14:paraId="0C9E3105" w14:textId="376AB57F" w:rsidR="00F071D4" w:rsidRPr="00F071D4" w:rsidRDefault="00F071D4" w:rsidP="00B8644B">
      <w:pPr>
        <w:pStyle w:val="TAMainText"/>
        <w:spacing w:before="120" w:after="120"/>
        <w:ind w:firstLine="284"/>
        <w:rPr>
          <w:rFonts w:ascii="Times New Roman" w:hAnsi="Times New Roman"/>
        </w:rPr>
      </w:pPr>
      <w:r>
        <w:rPr>
          <w:rFonts w:ascii="Times New Roman" w:hAnsi="Times New Roman"/>
        </w:rPr>
        <w:t>Additionally, OME</w:t>
      </w:r>
      <w:r w:rsidRPr="00F071D4">
        <w:rPr>
          <w:rFonts w:ascii="Times New Roman" w:hAnsi="Times New Roman"/>
          <w:vertAlign w:val="subscript"/>
        </w:rPr>
        <w:t>3-5</w:t>
      </w:r>
      <w:r>
        <w:rPr>
          <w:rFonts w:ascii="Times New Roman" w:hAnsi="Times New Roman"/>
        </w:rPr>
        <w:t xml:space="preserve"> was tested for efficacy in removing polymer-based paints from porous ceramic material, simulating its behavior in graffiti removal. In this application, OME</w:t>
      </w:r>
      <w:r w:rsidRPr="00F071D4">
        <w:rPr>
          <w:rFonts w:ascii="Times New Roman" w:hAnsi="Times New Roman"/>
          <w:vertAlign w:val="subscript"/>
        </w:rPr>
        <w:t>3-5</w:t>
      </w:r>
      <w:r>
        <w:rPr>
          <w:rFonts w:ascii="Times New Roman" w:hAnsi="Times New Roman"/>
        </w:rPr>
        <w:t xml:space="preserve"> performed quite well for acrylic paint, showing performance similar to that of NMP</w:t>
      </w:r>
      <w:r w:rsidR="008B4255">
        <w:rPr>
          <w:rFonts w:ascii="Times New Roman" w:hAnsi="Times New Roman"/>
        </w:rPr>
        <w:t xml:space="preserve"> (</w:t>
      </w:r>
      <w:r w:rsidR="00F04455" w:rsidRPr="00F04455">
        <w:rPr>
          <w:rFonts w:ascii="Times New Roman" w:hAnsi="Times New Roman"/>
        </w:rPr>
        <w:fldChar w:fldCharType="begin"/>
      </w:r>
      <w:r w:rsidR="00F04455" w:rsidRPr="00F04455">
        <w:rPr>
          <w:rFonts w:ascii="Times New Roman" w:hAnsi="Times New Roman"/>
        </w:rPr>
        <w:instrText xml:space="preserve"> REF _Ref7017842 \h  \* MERGEFORMAT </w:instrText>
      </w:r>
      <w:r w:rsidR="00F04455" w:rsidRPr="00F04455">
        <w:rPr>
          <w:rFonts w:ascii="Times New Roman" w:hAnsi="Times New Roman"/>
        </w:rPr>
      </w:r>
      <w:r w:rsidR="00F04455" w:rsidRPr="00F04455">
        <w:rPr>
          <w:rFonts w:ascii="Times New Roman" w:hAnsi="Times New Roman"/>
        </w:rPr>
        <w:fldChar w:fldCharType="separate"/>
      </w:r>
      <w:r w:rsidR="003C715B" w:rsidRPr="003C715B">
        <w:t xml:space="preserve">Figure </w:t>
      </w:r>
      <w:r w:rsidR="003C715B" w:rsidRPr="003C715B">
        <w:rPr>
          <w:noProof/>
        </w:rPr>
        <w:t>6</w:t>
      </w:r>
      <w:r w:rsidR="00F04455" w:rsidRPr="00F04455">
        <w:rPr>
          <w:rFonts w:ascii="Times New Roman" w:hAnsi="Times New Roman"/>
        </w:rPr>
        <w:fldChar w:fldCharType="end"/>
      </w:r>
      <w:r w:rsidR="008B4255">
        <w:rPr>
          <w:rFonts w:ascii="Times New Roman" w:hAnsi="Times New Roman"/>
        </w:rPr>
        <w:t>)</w:t>
      </w:r>
      <w:r>
        <w:rPr>
          <w:rFonts w:ascii="Times New Roman" w:hAnsi="Times New Roman"/>
        </w:rPr>
        <w:t>. For cellulose paint, OME</w:t>
      </w:r>
      <w:r>
        <w:rPr>
          <w:rFonts w:ascii="Times New Roman" w:hAnsi="Times New Roman"/>
          <w:vertAlign w:val="subscript"/>
        </w:rPr>
        <w:t>3-5</w:t>
      </w:r>
      <w:r>
        <w:rPr>
          <w:rFonts w:ascii="Times New Roman" w:hAnsi="Times New Roman"/>
        </w:rPr>
        <w:t xml:space="preserve"> performed moderately well, leaving some dye behind.</w:t>
      </w:r>
    </w:p>
    <w:p w14:paraId="2BCB36DA" w14:textId="34AEE5C8" w:rsidR="00F071D4" w:rsidRDefault="008B4255" w:rsidP="008B4255">
      <w:pPr>
        <w:pStyle w:val="TAMainText"/>
        <w:ind w:firstLine="0"/>
        <w:jc w:val="center"/>
        <w:rPr>
          <w:rFonts w:ascii="Times New Roman" w:hAnsi="Times New Roman"/>
        </w:rPr>
      </w:pPr>
      <w:r>
        <w:rPr>
          <w:rFonts w:ascii="Times New Roman" w:hAnsi="Times New Roman"/>
          <w:noProof/>
          <w:lang w:val="en-GB" w:eastAsia="en-GB"/>
        </w:rPr>
        <w:drawing>
          <wp:inline distT="0" distB="0" distL="0" distR="0" wp14:anchorId="34B1FD34" wp14:editId="40D24B90">
            <wp:extent cx="5628290" cy="2491241"/>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ating Removal OMEs Small.jpg"/>
                    <pic:cNvPicPr/>
                  </pic:nvPicPr>
                  <pic:blipFill>
                    <a:blip r:embed="rId16"/>
                    <a:stretch>
                      <a:fillRect/>
                    </a:stretch>
                  </pic:blipFill>
                  <pic:spPr>
                    <a:xfrm>
                      <a:off x="0" y="0"/>
                      <a:ext cx="5634463" cy="2493973"/>
                    </a:xfrm>
                    <a:prstGeom prst="rect">
                      <a:avLst/>
                    </a:prstGeom>
                  </pic:spPr>
                </pic:pic>
              </a:graphicData>
            </a:graphic>
          </wp:inline>
        </w:drawing>
      </w:r>
    </w:p>
    <w:p w14:paraId="46BF4E3D" w14:textId="3DC0DC61" w:rsidR="008B4255" w:rsidRPr="00B8644B" w:rsidRDefault="00241204" w:rsidP="00241204">
      <w:pPr>
        <w:pStyle w:val="Caption"/>
      </w:pPr>
      <w:bookmarkStart w:id="14" w:name="_Ref7017842"/>
      <w:r w:rsidRPr="00241204">
        <w:rPr>
          <w:b/>
        </w:rPr>
        <w:t xml:space="preserve">Figure </w:t>
      </w:r>
      <w:r w:rsidRPr="00241204">
        <w:rPr>
          <w:b/>
        </w:rPr>
        <w:fldChar w:fldCharType="begin"/>
      </w:r>
      <w:r w:rsidRPr="00241204">
        <w:rPr>
          <w:b/>
        </w:rPr>
        <w:instrText xml:space="preserve"> SEQ Figure \* ARABIC </w:instrText>
      </w:r>
      <w:r w:rsidRPr="00241204">
        <w:rPr>
          <w:b/>
        </w:rPr>
        <w:fldChar w:fldCharType="separate"/>
      </w:r>
      <w:r w:rsidR="003C715B">
        <w:rPr>
          <w:b/>
          <w:noProof/>
        </w:rPr>
        <w:t>6</w:t>
      </w:r>
      <w:r w:rsidRPr="00241204">
        <w:rPr>
          <w:b/>
        </w:rPr>
        <w:fldChar w:fldCharType="end"/>
      </w:r>
      <w:bookmarkEnd w:id="14"/>
      <w:r w:rsidRPr="00241204">
        <w:rPr>
          <w:b/>
        </w:rPr>
        <w:t>.</w:t>
      </w:r>
      <w:r w:rsidR="008B4255" w:rsidRPr="00B8644B">
        <w:t xml:space="preserve"> Efficacy of OME</w:t>
      </w:r>
      <w:r w:rsidR="008B4255" w:rsidRPr="00B8644B">
        <w:rPr>
          <w:vertAlign w:val="subscript"/>
        </w:rPr>
        <w:t xml:space="preserve">3-5 </w:t>
      </w:r>
      <w:r w:rsidR="008B4255" w:rsidRPr="00B8644B">
        <w:t>in removing graffiti-like paint. OME</w:t>
      </w:r>
      <w:r w:rsidR="008B4255" w:rsidRPr="00B8644B">
        <w:rPr>
          <w:vertAlign w:val="subscript"/>
        </w:rPr>
        <w:t>3-5</w:t>
      </w:r>
      <w:r w:rsidR="008B4255" w:rsidRPr="00B8644B">
        <w:t>-cleaned tiles are shown between uncleaned tiles and tiles cleaned with NMP.</w:t>
      </w:r>
    </w:p>
    <w:p w14:paraId="711F8DE3" w14:textId="19A1F362" w:rsidR="005E1E5F" w:rsidRDefault="005E1E5F" w:rsidP="00151C19">
      <w:pPr>
        <w:pStyle w:val="TESupportingInformation"/>
        <w:spacing w:after="240"/>
        <w:ind w:firstLine="720"/>
        <w:outlineLvl w:val="0"/>
        <w:rPr>
          <w:rFonts w:ascii="Times New Roman" w:hAnsi="Times New Roman"/>
        </w:rPr>
      </w:pPr>
    </w:p>
    <w:p w14:paraId="7502A6DA" w14:textId="1D3FFFE6" w:rsidR="005E1E5F" w:rsidRPr="005E1E5F" w:rsidRDefault="005E1E5F" w:rsidP="005E1E5F">
      <w:pPr>
        <w:pStyle w:val="TAMainText"/>
        <w:ind w:firstLine="0"/>
        <w:outlineLvl w:val="0"/>
        <w:rPr>
          <w:rFonts w:ascii="Times New Roman" w:hAnsi="Times New Roman"/>
          <w:b/>
        </w:rPr>
      </w:pPr>
      <w:r>
        <w:rPr>
          <w:rFonts w:ascii="Times New Roman" w:hAnsi="Times New Roman"/>
          <w:b/>
        </w:rPr>
        <w:lastRenderedPageBreak/>
        <w:t>CONCLUSION</w:t>
      </w:r>
    </w:p>
    <w:p w14:paraId="43B71230" w14:textId="09693757" w:rsidR="006603A4" w:rsidRPr="00AB394E" w:rsidRDefault="006603A4" w:rsidP="00151C19">
      <w:pPr>
        <w:pStyle w:val="TESupportingInformation"/>
        <w:spacing w:after="240"/>
        <w:ind w:firstLine="720"/>
        <w:outlineLvl w:val="0"/>
        <w:rPr>
          <w:rFonts w:ascii="Times New Roman" w:hAnsi="Times New Roman"/>
        </w:rPr>
      </w:pPr>
      <w:r>
        <w:rPr>
          <w:rFonts w:ascii="Times New Roman" w:hAnsi="Times New Roman"/>
        </w:rPr>
        <w:t xml:space="preserve">In conclusion, </w:t>
      </w:r>
      <w:r w:rsidR="008F4A66">
        <w:rPr>
          <w:rFonts w:ascii="Times New Roman" w:hAnsi="Times New Roman"/>
        </w:rPr>
        <w:t>a new field of application has been opened for OME</w:t>
      </w:r>
      <w:r w:rsidR="008F4A66" w:rsidRPr="008F4A66">
        <w:rPr>
          <w:rFonts w:ascii="Times New Roman" w:hAnsi="Times New Roman"/>
          <w:vertAlign w:val="subscript"/>
        </w:rPr>
        <w:t>3-5</w:t>
      </w:r>
      <w:r w:rsidR="008F4A66">
        <w:rPr>
          <w:rFonts w:ascii="Times New Roman" w:hAnsi="Times New Roman"/>
        </w:rPr>
        <w:t xml:space="preserve"> and, by extension, </w:t>
      </w:r>
      <w:r w:rsidR="00FF17B9">
        <w:rPr>
          <w:rFonts w:ascii="Times New Roman" w:hAnsi="Times New Roman"/>
        </w:rPr>
        <w:t>short-chain</w:t>
      </w:r>
      <w:r w:rsidR="008F4A66">
        <w:rPr>
          <w:rFonts w:ascii="Times New Roman" w:hAnsi="Times New Roman"/>
        </w:rPr>
        <w:t xml:space="preserve"> </w:t>
      </w:r>
      <w:r w:rsidR="00FF17B9">
        <w:rPr>
          <w:rFonts w:ascii="Times New Roman" w:hAnsi="Times New Roman"/>
        </w:rPr>
        <w:t xml:space="preserve">liquid </w:t>
      </w:r>
      <w:r w:rsidR="008F4A66">
        <w:rPr>
          <w:rFonts w:ascii="Times New Roman" w:hAnsi="Times New Roman"/>
        </w:rPr>
        <w:t>OME</w:t>
      </w:r>
      <w:r w:rsidR="00FF17B9">
        <w:rPr>
          <w:rFonts w:ascii="Times New Roman" w:hAnsi="Times New Roman"/>
        </w:rPr>
        <w:t>s in general</w:t>
      </w:r>
      <w:r w:rsidR="008F4A66">
        <w:rPr>
          <w:rFonts w:ascii="Times New Roman" w:hAnsi="Times New Roman"/>
        </w:rPr>
        <w:t xml:space="preserve">. The potential of </w:t>
      </w:r>
      <w:r>
        <w:rPr>
          <w:rFonts w:ascii="Times New Roman" w:hAnsi="Times New Roman"/>
        </w:rPr>
        <w:t>OME</w:t>
      </w:r>
      <w:r w:rsidRPr="006603A4">
        <w:rPr>
          <w:rFonts w:ascii="Times New Roman" w:hAnsi="Times New Roman"/>
          <w:vertAlign w:val="subscript"/>
        </w:rPr>
        <w:t>3-5</w:t>
      </w:r>
      <w:r>
        <w:rPr>
          <w:rFonts w:ascii="Times New Roman" w:hAnsi="Times New Roman"/>
        </w:rPr>
        <w:t xml:space="preserve"> </w:t>
      </w:r>
      <w:r w:rsidR="008F4A66">
        <w:rPr>
          <w:rFonts w:ascii="Times New Roman" w:hAnsi="Times New Roman"/>
        </w:rPr>
        <w:t xml:space="preserve">as a solvent has been shown </w:t>
      </w:r>
      <w:r w:rsidR="00FF17B9">
        <w:rPr>
          <w:rFonts w:ascii="Times New Roman" w:hAnsi="Times New Roman"/>
        </w:rPr>
        <w:t>for diverse</w:t>
      </w:r>
      <w:r w:rsidR="008F4A66">
        <w:rPr>
          <w:rFonts w:ascii="Times New Roman" w:hAnsi="Times New Roman"/>
        </w:rPr>
        <w:t xml:space="preserve"> applications such as pharmaceutical and fine chemical synthesis, biocatalytic reactions, polymer dissolution and processing, and removal of paints and coatings.</w:t>
      </w:r>
      <w:r w:rsidR="000457CC">
        <w:rPr>
          <w:rFonts w:ascii="Times New Roman" w:hAnsi="Times New Roman"/>
        </w:rPr>
        <w:t xml:space="preserve"> </w:t>
      </w:r>
      <w:r w:rsidR="00FF17B9">
        <w:rPr>
          <w:rFonts w:ascii="Times New Roman" w:hAnsi="Times New Roman"/>
        </w:rPr>
        <w:t>As reported previously, t</w:t>
      </w:r>
      <w:r w:rsidR="00151C19">
        <w:rPr>
          <w:rFonts w:ascii="Times New Roman" w:hAnsi="Times New Roman"/>
        </w:rPr>
        <w:t>he OME</w:t>
      </w:r>
      <w:r w:rsidR="00151C19" w:rsidRPr="00151C19">
        <w:rPr>
          <w:rFonts w:ascii="Times New Roman" w:hAnsi="Times New Roman"/>
          <w:vertAlign w:val="subscript"/>
        </w:rPr>
        <w:t>3-5</w:t>
      </w:r>
      <w:r w:rsidR="00151C19">
        <w:rPr>
          <w:rFonts w:ascii="Times New Roman" w:hAnsi="Times New Roman"/>
        </w:rPr>
        <w:t xml:space="preserve"> mixture can be produced at a cost competitive </w:t>
      </w:r>
      <w:r w:rsidR="0080233F">
        <w:rPr>
          <w:rFonts w:ascii="Times New Roman" w:hAnsi="Times New Roman"/>
        </w:rPr>
        <w:t>with</w:t>
      </w:r>
      <w:r w:rsidR="00151C19">
        <w:rPr>
          <w:rFonts w:ascii="Times New Roman" w:hAnsi="Times New Roman"/>
        </w:rPr>
        <w:t xml:space="preserve"> traditional solvents, and its use as a solvent could complement the diesel additive applications that are currently being explored</w:t>
      </w:r>
      <w:r w:rsidR="00DC4404">
        <w:rPr>
          <w:rFonts w:ascii="Times New Roman" w:hAnsi="Times New Roman"/>
        </w:rPr>
        <w:t>, increasing demand and facilitating manufacturing scale-up</w:t>
      </w:r>
      <w:r w:rsidR="00151C19">
        <w:rPr>
          <w:rFonts w:ascii="Times New Roman" w:hAnsi="Times New Roman"/>
        </w:rPr>
        <w:t xml:space="preserve">. </w:t>
      </w:r>
      <w:r w:rsidR="008F4A66">
        <w:rPr>
          <w:rFonts w:ascii="Times New Roman" w:hAnsi="Times New Roman"/>
        </w:rPr>
        <w:t>Future work remains in studying the toxicity and aquatic toxicity of th</w:t>
      </w:r>
      <w:r w:rsidR="00DC4404">
        <w:rPr>
          <w:rFonts w:ascii="Times New Roman" w:hAnsi="Times New Roman"/>
        </w:rPr>
        <w:t>ese solvents</w:t>
      </w:r>
      <w:r w:rsidR="008F4A66">
        <w:rPr>
          <w:rFonts w:ascii="Times New Roman" w:hAnsi="Times New Roman"/>
        </w:rPr>
        <w:t xml:space="preserve">, but </w:t>
      </w:r>
      <w:r w:rsidR="00DC4404">
        <w:rPr>
          <w:rFonts w:ascii="Times New Roman" w:hAnsi="Times New Roman"/>
        </w:rPr>
        <w:t>they</w:t>
      </w:r>
      <w:r w:rsidR="008F4A66">
        <w:rPr>
          <w:rFonts w:ascii="Times New Roman" w:hAnsi="Times New Roman"/>
        </w:rPr>
        <w:t xml:space="preserve"> appear</w:t>
      </w:r>
      <w:r w:rsidR="00DC4404">
        <w:rPr>
          <w:rFonts w:ascii="Times New Roman" w:hAnsi="Times New Roman"/>
        </w:rPr>
        <w:t xml:space="preserve"> </w:t>
      </w:r>
      <w:r w:rsidR="008F4A66">
        <w:rPr>
          <w:rFonts w:ascii="Times New Roman" w:hAnsi="Times New Roman"/>
        </w:rPr>
        <w:t>safe in terms of genotoxicity</w:t>
      </w:r>
      <w:r w:rsidR="00AB394E">
        <w:rPr>
          <w:rFonts w:ascii="Times New Roman" w:hAnsi="Times New Roman"/>
        </w:rPr>
        <w:t xml:space="preserve"> and </w:t>
      </w:r>
      <w:r w:rsidR="008F4A66">
        <w:rPr>
          <w:rFonts w:ascii="Times New Roman" w:hAnsi="Times New Roman"/>
        </w:rPr>
        <w:t>mutagenicity</w:t>
      </w:r>
      <w:r w:rsidR="00DC4404">
        <w:rPr>
          <w:rFonts w:ascii="Times New Roman" w:hAnsi="Times New Roman"/>
        </w:rPr>
        <w:t>. In terms of safe handling,</w:t>
      </w:r>
      <w:r w:rsidR="00AB394E">
        <w:rPr>
          <w:rFonts w:ascii="Times New Roman" w:hAnsi="Times New Roman"/>
        </w:rPr>
        <w:t xml:space="preserve"> </w:t>
      </w:r>
      <w:r w:rsidR="00DC4404">
        <w:rPr>
          <w:rFonts w:ascii="Times New Roman" w:hAnsi="Times New Roman"/>
        </w:rPr>
        <w:t>OME</w:t>
      </w:r>
      <w:r w:rsidR="00DC4404" w:rsidRPr="00DC4404">
        <w:rPr>
          <w:rFonts w:ascii="Times New Roman" w:hAnsi="Times New Roman"/>
          <w:vertAlign w:val="subscript"/>
        </w:rPr>
        <w:t>3-5</w:t>
      </w:r>
      <w:r w:rsidR="00AB394E">
        <w:rPr>
          <w:rFonts w:ascii="Times New Roman" w:hAnsi="Times New Roman"/>
        </w:rPr>
        <w:t xml:space="preserve"> forms peroxides </w:t>
      </w:r>
      <w:r w:rsidR="00DC4404">
        <w:rPr>
          <w:rFonts w:ascii="Times New Roman" w:hAnsi="Times New Roman"/>
        </w:rPr>
        <w:t xml:space="preserve">much </w:t>
      </w:r>
      <w:r w:rsidR="00AB394E">
        <w:rPr>
          <w:rFonts w:ascii="Times New Roman" w:hAnsi="Times New Roman"/>
        </w:rPr>
        <w:t xml:space="preserve">more slowly than THF. </w:t>
      </w:r>
      <w:r w:rsidR="00DC4404">
        <w:rPr>
          <w:rFonts w:ascii="Times New Roman" w:hAnsi="Times New Roman"/>
        </w:rPr>
        <w:t xml:space="preserve">This report demonstrates that </w:t>
      </w:r>
      <w:r w:rsidR="00AB394E">
        <w:rPr>
          <w:rFonts w:ascii="Times New Roman" w:hAnsi="Times New Roman"/>
        </w:rPr>
        <w:t>OME</w:t>
      </w:r>
      <w:r w:rsidR="00AB394E">
        <w:rPr>
          <w:rFonts w:ascii="Times New Roman" w:hAnsi="Times New Roman"/>
          <w:vertAlign w:val="subscript"/>
        </w:rPr>
        <w:t>3-5</w:t>
      </w:r>
      <w:r w:rsidR="00AB394E">
        <w:rPr>
          <w:rFonts w:ascii="Times New Roman" w:hAnsi="Times New Roman"/>
        </w:rPr>
        <w:t xml:space="preserve"> should be considered as a </w:t>
      </w:r>
      <w:r w:rsidR="00DC4404">
        <w:rPr>
          <w:rFonts w:ascii="Times New Roman" w:hAnsi="Times New Roman"/>
        </w:rPr>
        <w:t>new</w:t>
      </w:r>
      <w:r w:rsidR="00AB394E">
        <w:rPr>
          <w:rFonts w:ascii="Times New Roman" w:hAnsi="Times New Roman"/>
        </w:rPr>
        <w:t xml:space="preserve"> ether solvent for a wide range of products and processes</w:t>
      </w:r>
      <w:r w:rsidR="00151C19">
        <w:rPr>
          <w:rFonts w:ascii="Times New Roman" w:hAnsi="Times New Roman"/>
        </w:rPr>
        <w:t>, expanding the palette of bio-based solvent options.</w:t>
      </w:r>
    </w:p>
    <w:p w14:paraId="2AF1C303" w14:textId="77777777" w:rsidR="006603A4" w:rsidRDefault="006603A4" w:rsidP="00165945">
      <w:pPr>
        <w:pStyle w:val="TESupportingInformation"/>
        <w:spacing w:after="240"/>
        <w:ind w:firstLine="0"/>
        <w:jc w:val="left"/>
        <w:outlineLvl w:val="0"/>
        <w:rPr>
          <w:rFonts w:ascii="Times New Roman" w:hAnsi="Times New Roman"/>
          <w:b/>
        </w:rPr>
      </w:pPr>
    </w:p>
    <w:p w14:paraId="7E1F762E" w14:textId="61418E02" w:rsidR="00DD6DBB" w:rsidRPr="00B8644B" w:rsidRDefault="00C10EE0" w:rsidP="00165945">
      <w:pPr>
        <w:pStyle w:val="TESupportingInformation"/>
        <w:spacing w:after="240"/>
        <w:ind w:firstLine="0"/>
        <w:jc w:val="left"/>
        <w:outlineLvl w:val="0"/>
        <w:rPr>
          <w:rFonts w:ascii="Times New Roman" w:hAnsi="Times New Roman"/>
          <w:b/>
        </w:rPr>
      </w:pPr>
      <w:r w:rsidRPr="00B8644B">
        <w:rPr>
          <w:rFonts w:ascii="Times New Roman" w:hAnsi="Times New Roman"/>
          <w:b/>
        </w:rPr>
        <w:t>ASSOCIATED CONTENT</w:t>
      </w:r>
    </w:p>
    <w:p w14:paraId="5A83A0D8" w14:textId="77777777" w:rsidR="00124B9E" w:rsidRDefault="00C10EE0" w:rsidP="00794805">
      <w:pPr>
        <w:pStyle w:val="TESupportingInformation"/>
        <w:spacing w:after="240"/>
        <w:ind w:firstLine="0"/>
        <w:jc w:val="left"/>
        <w:rPr>
          <w:rFonts w:ascii="Times New Roman" w:hAnsi="Times New Roman"/>
        </w:rPr>
      </w:pPr>
      <w:r w:rsidRPr="005F0594">
        <w:rPr>
          <w:rFonts w:ascii="Times New Roman" w:hAnsi="Times New Roman"/>
          <w:b/>
        </w:rPr>
        <w:t>Supporting Information</w:t>
      </w:r>
      <w:r w:rsidRPr="005F0594">
        <w:rPr>
          <w:rFonts w:ascii="Times New Roman" w:hAnsi="Times New Roman"/>
        </w:rPr>
        <w:t xml:space="preserve">. </w:t>
      </w:r>
    </w:p>
    <w:p w14:paraId="5003B839" w14:textId="4A4A3166" w:rsidR="00124B9E" w:rsidRDefault="00124B9E" w:rsidP="00794805">
      <w:pPr>
        <w:pStyle w:val="TESupportingInformation"/>
        <w:spacing w:after="240"/>
        <w:ind w:firstLine="0"/>
        <w:jc w:val="left"/>
      </w:pPr>
      <w:r>
        <w:t>The following files are available free of charge.</w:t>
      </w:r>
    </w:p>
    <w:p w14:paraId="1B55E183" w14:textId="067220EF" w:rsidR="00124B9E" w:rsidRPr="00124B9E" w:rsidRDefault="00124B9E" w:rsidP="00124B9E">
      <w:r>
        <w:t>Supporting information (PDF)</w:t>
      </w:r>
      <w:r w:rsidR="00662B5A">
        <w:t xml:space="preserve">: </w:t>
      </w:r>
    </w:p>
    <w:p w14:paraId="5471CF1D" w14:textId="0D869158" w:rsidR="00B44CCA" w:rsidRPr="00D52B1C" w:rsidRDefault="00124B9E" w:rsidP="00D52B1C">
      <w:pPr>
        <w:pStyle w:val="TESupportingInformation"/>
        <w:spacing w:after="240"/>
        <w:ind w:firstLine="0"/>
        <w:jc w:val="left"/>
        <w:rPr>
          <w:rFonts w:ascii="Times New Roman" w:hAnsi="Times New Roman"/>
        </w:rPr>
      </w:pPr>
      <w:r>
        <w:rPr>
          <w:rFonts w:ascii="Times New Roman" w:hAnsi="Times New Roman"/>
        </w:rPr>
        <w:t>Experimental details</w:t>
      </w:r>
      <w:r w:rsidR="00495A72">
        <w:rPr>
          <w:rFonts w:ascii="Times New Roman" w:hAnsi="Times New Roman"/>
        </w:rPr>
        <w:t>; Composition of OME mixture; Results of solvent miscibility tests; Solvatochromic dye structures; Suzuki-Miyaura reaction side product</w:t>
      </w:r>
      <w:r>
        <w:rPr>
          <w:rFonts w:ascii="Times New Roman" w:hAnsi="Times New Roman"/>
        </w:rPr>
        <w:t xml:space="preserve"> formation</w:t>
      </w:r>
      <w:r w:rsidR="00495A72">
        <w:rPr>
          <w:rFonts w:ascii="Times New Roman" w:hAnsi="Times New Roman"/>
        </w:rPr>
        <w:t>; Enzymatic polymerization product NMR</w:t>
      </w:r>
    </w:p>
    <w:p w14:paraId="2FB1A127" w14:textId="51705B1C" w:rsidR="00DD6DBB" w:rsidRPr="005F0594" w:rsidRDefault="00DD6DBB" w:rsidP="00165945">
      <w:pPr>
        <w:pStyle w:val="FACorrespondingAuthorFootnote"/>
        <w:spacing w:after="0"/>
        <w:jc w:val="left"/>
        <w:outlineLvl w:val="0"/>
        <w:rPr>
          <w:rFonts w:ascii="Times New Roman" w:hAnsi="Times New Roman"/>
        </w:rPr>
      </w:pPr>
      <w:r w:rsidRPr="005F0594">
        <w:rPr>
          <w:rFonts w:ascii="Times New Roman" w:hAnsi="Times New Roman"/>
        </w:rPr>
        <w:t>AUTHOR INFORMATION</w:t>
      </w:r>
    </w:p>
    <w:p w14:paraId="4C802830" w14:textId="77777777" w:rsidR="00DD6DBB" w:rsidRPr="005F0594" w:rsidRDefault="00DD6DBB" w:rsidP="00165945">
      <w:pPr>
        <w:pStyle w:val="FAAuthorInfoSubtitle"/>
        <w:outlineLvl w:val="0"/>
        <w:rPr>
          <w:rFonts w:ascii="Times New Roman" w:hAnsi="Times New Roman"/>
        </w:rPr>
      </w:pPr>
      <w:r w:rsidRPr="005F0594">
        <w:rPr>
          <w:rFonts w:ascii="Times New Roman" w:hAnsi="Times New Roman"/>
        </w:rPr>
        <w:lastRenderedPageBreak/>
        <w:t>Corresponding Author</w:t>
      </w:r>
    </w:p>
    <w:p w14:paraId="1ADBCE4C" w14:textId="7434CD9F" w:rsidR="00164011" w:rsidRDefault="00C10EE0" w:rsidP="00164011">
      <w:pPr>
        <w:pStyle w:val="FACorrespondingAuthorFootnote"/>
      </w:pPr>
      <w:r w:rsidRPr="005F0594">
        <w:t xml:space="preserve">* </w:t>
      </w:r>
      <w:r w:rsidR="00164011">
        <w:t xml:space="preserve">Robin White, </w:t>
      </w:r>
      <w:r w:rsidR="00164011" w:rsidRPr="00164011">
        <w:t xml:space="preserve">TNO (Netherlands Organisation for Applied Scientific Research), Locatie Eindhoven, High Tech Campus 25, 5656 AE Eindhoven, Netherlands; E-mail: </w:t>
      </w:r>
      <w:hyperlink r:id="rId17" w:history="1">
        <w:r w:rsidR="00164011" w:rsidRPr="00164011">
          <w:rPr>
            <w:rStyle w:val="Hyperlink"/>
            <w:color w:val="auto"/>
            <w:u w:val="none"/>
          </w:rPr>
          <w:t>robin.white@tno.nl</w:t>
        </w:r>
      </w:hyperlink>
    </w:p>
    <w:p w14:paraId="6B929D2A" w14:textId="4DAD416A" w:rsidR="009246AD" w:rsidRPr="00495A72" w:rsidRDefault="00164011" w:rsidP="00495A72">
      <w:pPr>
        <w:pStyle w:val="FACorrespondingAuthorFootnote"/>
        <w:spacing w:after="240"/>
        <w:jc w:val="left"/>
        <w:rPr>
          <w:rFonts w:ascii="Times New Roman" w:hAnsi="Times New Roman"/>
        </w:rPr>
      </w:pPr>
      <w:r w:rsidRPr="005F0594">
        <w:rPr>
          <w:rFonts w:ascii="Times New Roman" w:hAnsi="Times New Roman"/>
        </w:rPr>
        <w:t>*</w:t>
      </w:r>
      <w:r w:rsidRPr="00164011">
        <w:rPr>
          <w:rFonts w:ascii="Times New Roman" w:hAnsi="Times New Roman"/>
        </w:rPr>
        <w:t xml:space="preserve"> </w:t>
      </w:r>
      <w:r>
        <w:rPr>
          <w:rFonts w:ascii="Times New Roman" w:hAnsi="Times New Roman"/>
        </w:rPr>
        <w:t xml:space="preserve">James Clark, </w:t>
      </w:r>
      <w:r w:rsidRPr="00164011">
        <w:t xml:space="preserve">Green Chemistry Centre of Excellence, Department of Chemistry, University of York, Heslington, York, YO10 5DD, UK; E-mail: </w:t>
      </w:r>
      <w:hyperlink r:id="rId18" w:history="1">
        <w:r w:rsidRPr="00164011">
          <w:t>james.clark@york.ac.uk</w:t>
        </w:r>
      </w:hyperlink>
      <w:r w:rsidRPr="00164011">
        <w:t>; Phone: +44 (0)1904 322559</w:t>
      </w:r>
    </w:p>
    <w:p w14:paraId="5DFDAE91" w14:textId="77777777" w:rsidR="00C10EE0" w:rsidRPr="005F0594" w:rsidRDefault="00C10EE0" w:rsidP="00165945">
      <w:pPr>
        <w:pStyle w:val="FAAuthorInfoSubtitle"/>
        <w:outlineLvl w:val="0"/>
        <w:rPr>
          <w:rFonts w:ascii="Times New Roman" w:hAnsi="Times New Roman"/>
        </w:rPr>
      </w:pPr>
      <w:r w:rsidRPr="005F0594">
        <w:rPr>
          <w:rFonts w:ascii="Times New Roman" w:hAnsi="Times New Roman"/>
        </w:rPr>
        <w:t>Author Contributions</w:t>
      </w:r>
    </w:p>
    <w:p w14:paraId="681EDD05" w14:textId="2D2AEEDC" w:rsidR="00C10EE0" w:rsidRPr="005F0594" w:rsidRDefault="00C10EE0" w:rsidP="00E85021">
      <w:pPr>
        <w:pStyle w:val="StyleFACorrespondingAuthorFootnote7pt"/>
      </w:pPr>
      <w:r w:rsidRPr="005F0594">
        <w:t>The manuscript was written throug</w:t>
      </w:r>
      <w:r w:rsidR="00DD6DBB" w:rsidRPr="005F0594">
        <w:t xml:space="preserve">h contributions of all authors. </w:t>
      </w:r>
      <w:r w:rsidRPr="005F0594">
        <w:t>All authors have given approval to the final version of the manuscript.</w:t>
      </w:r>
    </w:p>
    <w:p w14:paraId="666B6765" w14:textId="77777777" w:rsidR="00DD6DBB" w:rsidRPr="005F0594" w:rsidRDefault="00DD6DBB" w:rsidP="00165945">
      <w:pPr>
        <w:pStyle w:val="TDAcknowledgments"/>
        <w:spacing w:before="0" w:after="0"/>
        <w:ind w:firstLine="0"/>
        <w:jc w:val="left"/>
        <w:outlineLvl w:val="0"/>
        <w:rPr>
          <w:rFonts w:ascii="Times New Roman" w:hAnsi="Times New Roman"/>
        </w:rPr>
      </w:pPr>
      <w:r w:rsidRPr="005F0594">
        <w:rPr>
          <w:rFonts w:ascii="Times New Roman" w:hAnsi="Times New Roman"/>
        </w:rPr>
        <w:t>ACKNOWLEDGMENT</w:t>
      </w:r>
    </w:p>
    <w:p w14:paraId="337C847E" w14:textId="211647E6" w:rsidR="00A7154B" w:rsidRDefault="0078638C" w:rsidP="0078638C">
      <w:pPr>
        <w:pStyle w:val="VAFigureCaption"/>
      </w:pPr>
      <w:r>
        <w:t xml:space="preserve">Anna Zhenova acknowledges financial support from GlaxoSmithKline, the University of York Wild Scholarship Fund, and the SCI Scholarship. </w:t>
      </w:r>
      <w:r w:rsidR="00A7154B" w:rsidRPr="00A7154B">
        <w:t>Alessandro Pellis thanks the FWF Erwin Schrödinger individual fellowship (grant agreement J 4014-N34) for financial support.</w:t>
      </w:r>
      <w:r w:rsidR="008F079F">
        <w:t xml:space="preserve"> </w:t>
      </w:r>
      <w:r w:rsidR="008F079F" w:rsidRPr="008F079F">
        <w:t>R</w:t>
      </w:r>
      <w:r>
        <w:t>obin J. White</w:t>
      </w:r>
      <w:r w:rsidR="008F079F" w:rsidRPr="008F079F">
        <w:t xml:space="preserve"> acknowledges financial support from the Fraunhofer Society and Fraunhofer Institute for Solar </w:t>
      </w:r>
      <w:r w:rsidR="008F079F">
        <w:t xml:space="preserve">Energy Systems ISE through the </w:t>
      </w:r>
      <w:r w:rsidR="008F079F" w:rsidRPr="008F079F">
        <w:rPr>
          <w:i/>
        </w:rPr>
        <w:t>Attract Award</w:t>
      </w:r>
      <w:r w:rsidR="008F079F" w:rsidRPr="008F079F">
        <w:t>.</w:t>
      </w:r>
      <w:r w:rsidR="00353B99">
        <w:t xml:space="preserve"> We thank Richard Gammons for assistance in measuring water content by Karl Fischer titration.</w:t>
      </w:r>
    </w:p>
    <w:p w14:paraId="2B998C7E" w14:textId="6C988D95" w:rsidR="00DD6DBB" w:rsidRPr="005F0594" w:rsidRDefault="00DD6DBB" w:rsidP="00165945">
      <w:pPr>
        <w:outlineLvl w:val="0"/>
        <w:rPr>
          <w:rFonts w:ascii="Times New Roman" w:hAnsi="Times New Roman"/>
        </w:rPr>
      </w:pPr>
      <w:r w:rsidRPr="005F0594">
        <w:rPr>
          <w:rFonts w:ascii="Times New Roman" w:hAnsi="Times New Roman"/>
        </w:rPr>
        <w:t>ABBREVIATIONS</w:t>
      </w:r>
    </w:p>
    <w:p w14:paraId="3CAF7FC9" w14:textId="62197B77" w:rsidR="00DD6DBB" w:rsidRPr="005F0594" w:rsidRDefault="00F40F25" w:rsidP="00DD6DBB">
      <w:pPr>
        <w:spacing w:line="480" w:lineRule="auto"/>
        <w:jc w:val="left"/>
        <w:rPr>
          <w:rFonts w:ascii="Times New Roman" w:hAnsi="Times New Roman"/>
        </w:rPr>
      </w:pPr>
      <w:r>
        <w:rPr>
          <w:rFonts w:ascii="Times New Roman" w:hAnsi="Times New Roman"/>
        </w:rPr>
        <w:t>OME, oxymethylene dimethyl ether; HSP, Hansen solubility parameters; KAT, Kamlet-Abboud-Taft parameters; CPME, cyclopentyl methyl ether; THF, tetrahydrofuran; NMP, N-methyl-2-pyrrolidinone; DPE, diphenyl ether; DP, degree of polymerization</w:t>
      </w:r>
      <w:r w:rsidR="00161565">
        <w:rPr>
          <w:rFonts w:ascii="Times New Roman" w:hAnsi="Times New Roman"/>
        </w:rPr>
        <w:t xml:space="preserve">; </w:t>
      </w:r>
      <w:r w:rsidR="00FD2092">
        <w:rPr>
          <w:rFonts w:ascii="Times New Roman" w:hAnsi="Times New Roman"/>
        </w:rPr>
        <w:t xml:space="preserve">PAI, polyamide-imide; PES, polyethersulfone; </w:t>
      </w:r>
      <w:r w:rsidR="00161565">
        <w:rPr>
          <w:rFonts w:ascii="Times New Roman" w:hAnsi="Times New Roman"/>
        </w:rPr>
        <w:t>PP, polypropylene; PS</w:t>
      </w:r>
      <w:r w:rsidR="00FD2092">
        <w:rPr>
          <w:rFonts w:ascii="Times New Roman" w:hAnsi="Times New Roman"/>
        </w:rPr>
        <w:t>, polystyrene; PVP, polyvinylpyrrolidone</w:t>
      </w:r>
    </w:p>
    <w:p w14:paraId="33C61CD5" w14:textId="77777777" w:rsidR="00DD6DBB" w:rsidRPr="005F0594" w:rsidRDefault="00DD6DBB" w:rsidP="00165945">
      <w:pPr>
        <w:pStyle w:val="TFReferencesSection"/>
        <w:spacing w:after="0"/>
        <w:ind w:firstLine="0"/>
        <w:outlineLvl w:val="0"/>
        <w:rPr>
          <w:rFonts w:ascii="Times New Roman" w:hAnsi="Times New Roman"/>
        </w:rPr>
      </w:pPr>
      <w:r w:rsidRPr="005F0594">
        <w:rPr>
          <w:rFonts w:ascii="Times New Roman" w:hAnsi="Times New Roman"/>
        </w:rPr>
        <w:t>REFERENCES</w:t>
      </w:r>
    </w:p>
    <w:p w14:paraId="4A9E2A75" w14:textId="4737366D" w:rsidR="008C7FBE" w:rsidRPr="008C7FBE" w:rsidRDefault="005F4F6D" w:rsidP="00200422">
      <w:pPr>
        <w:pStyle w:val="Bibliography"/>
        <w:rPr>
          <w:rFonts w:ascii="Times New Roman" w:hAnsi="Times New Roman"/>
        </w:rPr>
      </w:pPr>
      <w:r>
        <w:lastRenderedPageBreak/>
        <w:fldChar w:fldCharType="begin"/>
      </w:r>
      <w:r w:rsidR="008C7FBE">
        <w:instrText xml:space="preserve"> ADDIN ZOTERO_BIBL {"uncited":[],"omitted":[],"custom":[]} CSL_BIBLIOGRAPHY </w:instrText>
      </w:r>
      <w:r>
        <w:fldChar w:fldCharType="separate"/>
      </w:r>
      <w:r w:rsidR="008C7FBE" w:rsidRPr="008C7FBE">
        <w:rPr>
          <w:rFonts w:ascii="Times New Roman" w:hAnsi="Times New Roman"/>
        </w:rPr>
        <w:t xml:space="preserve">(1) </w:t>
      </w:r>
      <w:r w:rsidR="008C7FBE" w:rsidRPr="008C7FBE">
        <w:rPr>
          <w:rFonts w:ascii="Times New Roman" w:hAnsi="Times New Roman"/>
        </w:rPr>
        <w:tab/>
        <w:t xml:space="preserve">Härtl, M.; Gaukel, K.; Pélerin, D.; Wachtmeister, G. Oxymethylene Ether as Potentially CO2-neutral Fuel for Clean Diesel Engines Part 1: Engine Testing. </w:t>
      </w:r>
      <w:r w:rsidR="008C7FBE" w:rsidRPr="008C7FBE">
        <w:rPr>
          <w:rFonts w:ascii="Times New Roman" w:hAnsi="Times New Roman"/>
          <w:i/>
          <w:iCs/>
        </w:rPr>
        <w:t>MTZ Worldwide</w:t>
      </w:r>
      <w:r w:rsidR="008C7FBE" w:rsidRPr="008C7FBE">
        <w:rPr>
          <w:rFonts w:ascii="Times New Roman" w:hAnsi="Times New Roman"/>
        </w:rPr>
        <w:t xml:space="preserve"> </w:t>
      </w:r>
      <w:r w:rsidR="008C7FBE" w:rsidRPr="008C7FBE">
        <w:rPr>
          <w:rFonts w:ascii="Times New Roman" w:hAnsi="Times New Roman"/>
          <w:b/>
          <w:bCs/>
        </w:rPr>
        <w:t>2017</w:t>
      </w:r>
      <w:r w:rsidR="008C7FBE" w:rsidRPr="008C7FBE">
        <w:rPr>
          <w:rFonts w:ascii="Times New Roman" w:hAnsi="Times New Roman"/>
        </w:rPr>
        <w:t xml:space="preserve">, </w:t>
      </w:r>
      <w:r w:rsidR="008C7FBE" w:rsidRPr="008C7FBE">
        <w:rPr>
          <w:rFonts w:ascii="Times New Roman" w:hAnsi="Times New Roman"/>
          <w:i/>
          <w:iCs/>
        </w:rPr>
        <w:t>78</w:t>
      </w:r>
      <w:r w:rsidR="008C7FBE" w:rsidRPr="008C7FBE">
        <w:rPr>
          <w:rFonts w:ascii="Times New Roman" w:hAnsi="Times New Roman"/>
        </w:rPr>
        <w:t xml:space="preserve"> (2), 52–59. https://doi.org/10.1007/s38313-016-0163-6.</w:t>
      </w:r>
    </w:p>
    <w:p w14:paraId="30CF9F53" w14:textId="77777777" w:rsidR="008C7FBE" w:rsidRPr="008C7FBE" w:rsidRDefault="008C7FBE" w:rsidP="00200422">
      <w:pPr>
        <w:pStyle w:val="Bibliography"/>
        <w:rPr>
          <w:rFonts w:ascii="Times New Roman" w:hAnsi="Times New Roman"/>
        </w:rPr>
      </w:pPr>
      <w:r w:rsidRPr="008C7FBE">
        <w:rPr>
          <w:rFonts w:ascii="Times New Roman" w:hAnsi="Times New Roman"/>
        </w:rPr>
        <w:t xml:space="preserve">(2) </w:t>
      </w:r>
      <w:r w:rsidRPr="008C7FBE">
        <w:rPr>
          <w:rFonts w:ascii="Times New Roman" w:hAnsi="Times New Roman"/>
        </w:rPr>
        <w:tab/>
        <w:t xml:space="preserve">Niethammer, B.; Wodarz, S.; Betz, M.; Haltenort, P.; Oestreich, D.; Hackbarth, K.; Arnold, U.; Otto, T.; Sauer, J. Alternative Liquid Fuels from Renewable Resources. </w:t>
      </w:r>
      <w:r w:rsidRPr="008C7FBE">
        <w:rPr>
          <w:rFonts w:ascii="Times New Roman" w:hAnsi="Times New Roman"/>
          <w:i/>
          <w:iCs/>
        </w:rPr>
        <w:t>Chemie Ingenieur Technik</w:t>
      </w:r>
      <w:r w:rsidRPr="008C7FBE">
        <w:rPr>
          <w:rFonts w:ascii="Times New Roman" w:hAnsi="Times New Roman"/>
        </w:rPr>
        <w:t xml:space="preserve"> </w:t>
      </w:r>
      <w:r w:rsidRPr="008C7FBE">
        <w:rPr>
          <w:rFonts w:ascii="Times New Roman" w:hAnsi="Times New Roman"/>
          <w:b/>
          <w:bCs/>
        </w:rPr>
        <w:t>2018</w:t>
      </w:r>
      <w:r w:rsidRPr="008C7FBE">
        <w:rPr>
          <w:rFonts w:ascii="Times New Roman" w:hAnsi="Times New Roman"/>
        </w:rPr>
        <w:t xml:space="preserve">, </w:t>
      </w:r>
      <w:r w:rsidRPr="008C7FBE">
        <w:rPr>
          <w:rFonts w:ascii="Times New Roman" w:hAnsi="Times New Roman"/>
          <w:i/>
          <w:iCs/>
        </w:rPr>
        <w:t>90</w:t>
      </w:r>
      <w:r w:rsidRPr="008C7FBE">
        <w:rPr>
          <w:rFonts w:ascii="Times New Roman" w:hAnsi="Times New Roman"/>
        </w:rPr>
        <w:t xml:space="preserve"> (1–2), 99–112. https://doi.org/10.1002/cite.201700117.</w:t>
      </w:r>
    </w:p>
    <w:p w14:paraId="281FFE4F" w14:textId="77777777" w:rsidR="008C7FBE" w:rsidRPr="008C7FBE" w:rsidRDefault="008C7FBE" w:rsidP="00200422">
      <w:pPr>
        <w:pStyle w:val="Bibliography"/>
        <w:rPr>
          <w:rFonts w:ascii="Times New Roman" w:hAnsi="Times New Roman"/>
        </w:rPr>
      </w:pPr>
      <w:r w:rsidRPr="008C7FBE">
        <w:rPr>
          <w:rFonts w:ascii="Times New Roman" w:hAnsi="Times New Roman"/>
        </w:rPr>
        <w:t xml:space="preserve">(3) </w:t>
      </w:r>
      <w:r w:rsidRPr="008C7FBE">
        <w:rPr>
          <w:rFonts w:ascii="Times New Roman" w:hAnsi="Times New Roman"/>
        </w:rPr>
        <w:tab/>
        <w:t xml:space="preserve">Ouda, M.; Yarce, G.; White, R. J.; Hadrich, M.; Himmel, D.; Schaadt, A.; Klein, H.; Jacob, E.; Krossing, I. Poly(Oxymethylene) Dimethyl Ether Synthesis – a Combined Chemical Equilibrium Investigation towards an Increasingly Efficient and Potentially Sustainable Synthetic Route. </w:t>
      </w:r>
      <w:r w:rsidRPr="008C7FBE">
        <w:rPr>
          <w:rFonts w:ascii="Times New Roman" w:hAnsi="Times New Roman"/>
          <w:i/>
          <w:iCs/>
        </w:rPr>
        <w:t>React. Chem. Eng.</w:t>
      </w:r>
      <w:r w:rsidRPr="008C7FBE">
        <w:rPr>
          <w:rFonts w:ascii="Times New Roman" w:hAnsi="Times New Roman"/>
        </w:rPr>
        <w:t xml:space="preserve"> </w:t>
      </w:r>
      <w:r w:rsidRPr="008C7FBE">
        <w:rPr>
          <w:rFonts w:ascii="Times New Roman" w:hAnsi="Times New Roman"/>
          <w:b/>
          <w:bCs/>
        </w:rPr>
        <w:t>2017</w:t>
      </w:r>
      <w:r w:rsidRPr="008C7FBE">
        <w:rPr>
          <w:rFonts w:ascii="Times New Roman" w:hAnsi="Times New Roman"/>
        </w:rPr>
        <w:t xml:space="preserve">, </w:t>
      </w:r>
      <w:r w:rsidRPr="008C7FBE">
        <w:rPr>
          <w:rFonts w:ascii="Times New Roman" w:hAnsi="Times New Roman"/>
          <w:i/>
          <w:iCs/>
        </w:rPr>
        <w:t>2</w:t>
      </w:r>
      <w:r w:rsidRPr="008C7FBE">
        <w:rPr>
          <w:rFonts w:ascii="Times New Roman" w:hAnsi="Times New Roman"/>
        </w:rPr>
        <w:t xml:space="preserve"> (1), 50–59. https://doi.org/10.1039/C6RE00145A.</w:t>
      </w:r>
    </w:p>
    <w:p w14:paraId="6E6BD74A" w14:textId="77777777" w:rsidR="008C7FBE" w:rsidRPr="008C7FBE" w:rsidRDefault="008C7FBE" w:rsidP="00200422">
      <w:pPr>
        <w:pStyle w:val="Bibliography"/>
        <w:rPr>
          <w:rFonts w:ascii="Times New Roman" w:hAnsi="Times New Roman"/>
        </w:rPr>
      </w:pPr>
      <w:r w:rsidRPr="008C7FBE">
        <w:rPr>
          <w:rFonts w:ascii="Times New Roman" w:hAnsi="Times New Roman"/>
        </w:rPr>
        <w:t xml:space="preserve">(4) </w:t>
      </w:r>
      <w:r w:rsidRPr="008C7FBE">
        <w:rPr>
          <w:rFonts w:ascii="Times New Roman" w:hAnsi="Times New Roman"/>
        </w:rPr>
        <w:tab/>
        <w:t xml:space="preserve">Zhang, X.; Kumar, A.; Arnold, U.; Sauer, J. Biomass-Derived Oxymethylene Ethers as Diesel Additives: A Thermodynamic Analysis. </w:t>
      </w:r>
      <w:r w:rsidRPr="008C7FBE">
        <w:rPr>
          <w:rFonts w:ascii="Times New Roman" w:hAnsi="Times New Roman"/>
          <w:i/>
          <w:iCs/>
        </w:rPr>
        <w:t>Energy Procedia</w:t>
      </w:r>
      <w:r w:rsidRPr="008C7FBE">
        <w:rPr>
          <w:rFonts w:ascii="Times New Roman" w:hAnsi="Times New Roman"/>
        </w:rPr>
        <w:t xml:space="preserve"> </w:t>
      </w:r>
      <w:r w:rsidRPr="008C7FBE">
        <w:rPr>
          <w:rFonts w:ascii="Times New Roman" w:hAnsi="Times New Roman"/>
          <w:b/>
          <w:bCs/>
        </w:rPr>
        <w:t>2014</w:t>
      </w:r>
      <w:r w:rsidRPr="008C7FBE">
        <w:rPr>
          <w:rFonts w:ascii="Times New Roman" w:hAnsi="Times New Roman"/>
        </w:rPr>
        <w:t xml:space="preserve">, </w:t>
      </w:r>
      <w:r w:rsidRPr="008C7FBE">
        <w:rPr>
          <w:rFonts w:ascii="Times New Roman" w:hAnsi="Times New Roman"/>
          <w:i/>
          <w:iCs/>
        </w:rPr>
        <w:t>61</w:t>
      </w:r>
      <w:r w:rsidRPr="008C7FBE">
        <w:rPr>
          <w:rFonts w:ascii="Times New Roman" w:hAnsi="Times New Roman"/>
        </w:rPr>
        <w:t>, 1921–1924. https://doi.org/10.1016/j.egypro.2014.12.242.</w:t>
      </w:r>
    </w:p>
    <w:p w14:paraId="3A2F33BC" w14:textId="77777777" w:rsidR="008C7FBE" w:rsidRPr="008C7FBE" w:rsidRDefault="008C7FBE" w:rsidP="00200422">
      <w:pPr>
        <w:pStyle w:val="Bibliography"/>
        <w:rPr>
          <w:rFonts w:ascii="Times New Roman" w:hAnsi="Times New Roman"/>
        </w:rPr>
      </w:pPr>
      <w:r w:rsidRPr="008C7FBE">
        <w:rPr>
          <w:rFonts w:ascii="Times New Roman" w:hAnsi="Times New Roman"/>
        </w:rPr>
        <w:t xml:space="preserve">(5) </w:t>
      </w:r>
      <w:r w:rsidRPr="008C7FBE">
        <w:rPr>
          <w:rFonts w:ascii="Times New Roman" w:hAnsi="Times New Roman"/>
        </w:rPr>
        <w:tab/>
        <w:t xml:space="preserve">Held, M.; Tönges, Y.; Pélerin, D.; Härtl, M.; Wachtmeister, G.; Burger, J. On the Energetic Efficiency of Producing Polyoxymethylene Dimethyl Ethers from CO2 Using Electrical Energy. </w:t>
      </w:r>
      <w:r w:rsidRPr="008C7FBE">
        <w:rPr>
          <w:rFonts w:ascii="Times New Roman" w:hAnsi="Times New Roman"/>
          <w:i/>
          <w:iCs/>
        </w:rPr>
        <w:t>Energy Environ. Sci.</w:t>
      </w:r>
      <w:r w:rsidRPr="008C7FBE">
        <w:rPr>
          <w:rFonts w:ascii="Times New Roman" w:hAnsi="Times New Roman"/>
        </w:rPr>
        <w:t xml:space="preserve"> </w:t>
      </w:r>
      <w:r w:rsidRPr="008C7FBE">
        <w:rPr>
          <w:rFonts w:ascii="Times New Roman" w:hAnsi="Times New Roman"/>
          <w:b/>
          <w:bCs/>
        </w:rPr>
        <w:t>2019</w:t>
      </w:r>
      <w:r w:rsidRPr="008C7FBE">
        <w:rPr>
          <w:rFonts w:ascii="Times New Roman" w:hAnsi="Times New Roman"/>
        </w:rPr>
        <w:t>. https://doi.org/10.1039/C8EE02849D.</w:t>
      </w:r>
    </w:p>
    <w:p w14:paraId="3FE084E5" w14:textId="77777777" w:rsidR="008C7FBE" w:rsidRPr="008C7FBE" w:rsidRDefault="008C7FBE" w:rsidP="00200422">
      <w:pPr>
        <w:pStyle w:val="Bibliography"/>
        <w:rPr>
          <w:rFonts w:ascii="Times New Roman" w:hAnsi="Times New Roman"/>
        </w:rPr>
      </w:pPr>
      <w:r w:rsidRPr="008C7FBE">
        <w:rPr>
          <w:rFonts w:ascii="Times New Roman" w:hAnsi="Times New Roman"/>
        </w:rPr>
        <w:t xml:space="preserve">(6) </w:t>
      </w:r>
      <w:r w:rsidRPr="008C7FBE">
        <w:rPr>
          <w:rFonts w:ascii="Times New Roman" w:hAnsi="Times New Roman"/>
        </w:rPr>
        <w:tab/>
        <w:t xml:space="preserve">Peter, A.; Fehr, S. M.; Dybbert, V.; Himmel, D.; Lindner, I.; Jacob, E.; Ouda, M.; Schaadt, A.; White, R. J.; Scherer, H.; et al. Towards a Sustainable Synthesis of Oxymethylene Dimethyl Ether by Homogeneous Catalysis and Uptake of Molecular Formaldehyde. </w:t>
      </w:r>
      <w:r w:rsidRPr="008C7FBE">
        <w:rPr>
          <w:rFonts w:ascii="Times New Roman" w:hAnsi="Times New Roman"/>
          <w:i/>
          <w:iCs/>
        </w:rPr>
        <w:t>Angewandte Chemie International Edition</w:t>
      </w:r>
      <w:r w:rsidRPr="008C7FBE">
        <w:rPr>
          <w:rFonts w:ascii="Times New Roman" w:hAnsi="Times New Roman"/>
        </w:rPr>
        <w:t xml:space="preserve"> </w:t>
      </w:r>
      <w:r w:rsidRPr="008C7FBE">
        <w:rPr>
          <w:rFonts w:ascii="Times New Roman" w:hAnsi="Times New Roman"/>
          <w:b/>
          <w:bCs/>
        </w:rPr>
        <w:t>2018</w:t>
      </w:r>
      <w:r w:rsidRPr="008C7FBE">
        <w:rPr>
          <w:rFonts w:ascii="Times New Roman" w:hAnsi="Times New Roman"/>
        </w:rPr>
        <w:t xml:space="preserve">, </w:t>
      </w:r>
      <w:r w:rsidRPr="008C7FBE">
        <w:rPr>
          <w:rFonts w:ascii="Times New Roman" w:hAnsi="Times New Roman"/>
          <w:i/>
          <w:iCs/>
        </w:rPr>
        <w:t>57</w:t>
      </w:r>
      <w:r w:rsidRPr="008C7FBE">
        <w:rPr>
          <w:rFonts w:ascii="Times New Roman" w:hAnsi="Times New Roman"/>
        </w:rPr>
        <w:t xml:space="preserve"> (30), 9461–9464. https://doi.org/10.1002/anie.201802247.</w:t>
      </w:r>
    </w:p>
    <w:p w14:paraId="2357179D" w14:textId="77777777" w:rsidR="008C7FBE" w:rsidRPr="008C7FBE" w:rsidRDefault="008C7FBE" w:rsidP="00200422">
      <w:pPr>
        <w:pStyle w:val="Bibliography"/>
        <w:rPr>
          <w:rFonts w:ascii="Times New Roman" w:hAnsi="Times New Roman"/>
        </w:rPr>
      </w:pPr>
      <w:r w:rsidRPr="008C7FBE">
        <w:rPr>
          <w:rFonts w:ascii="Times New Roman" w:hAnsi="Times New Roman"/>
        </w:rPr>
        <w:t xml:space="preserve">(7) </w:t>
      </w:r>
      <w:r w:rsidRPr="008C7FBE">
        <w:rPr>
          <w:rFonts w:ascii="Times New Roman" w:hAnsi="Times New Roman"/>
        </w:rPr>
        <w:tab/>
        <w:t xml:space="preserve">Deutz, S.; Bongartz, D.; Heuser, B.; Kätelhön, A.; Langenhorst, L. S.; Omari, A.; Walters, M.; Klankermayer, J.; Leitner, W.; Mitsos, A.; et al. Cleaner Production of Cleaner Fuels: Wind-to-Wheel – Environmental Assessment of CO2-Based Oxymethylene Ether as a Drop-in Fuel. </w:t>
      </w:r>
      <w:r w:rsidRPr="008C7FBE">
        <w:rPr>
          <w:rFonts w:ascii="Times New Roman" w:hAnsi="Times New Roman"/>
          <w:i/>
          <w:iCs/>
        </w:rPr>
        <w:t>Energy Environ. Sci.</w:t>
      </w:r>
      <w:r w:rsidRPr="008C7FBE">
        <w:rPr>
          <w:rFonts w:ascii="Times New Roman" w:hAnsi="Times New Roman"/>
        </w:rPr>
        <w:t xml:space="preserve"> </w:t>
      </w:r>
      <w:r w:rsidRPr="008C7FBE">
        <w:rPr>
          <w:rFonts w:ascii="Times New Roman" w:hAnsi="Times New Roman"/>
          <w:b/>
          <w:bCs/>
        </w:rPr>
        <w:t>2018</w:t>
      </w:r>
      <w:r w:rsidRPr="008C7FBE">
        <w:rPr>
          <w:rFonts w:ascii="Times New Roman" w:hAnsi="Times New Roman"/>
        </w:rPr>
        <w:t xml:space="preserve">, </w:t>
      </w:r>
      <w:r w:rsidRPr="008C7FBE">
        <w:rPr>
          <w:rFonts w:ascii="Times New Roman" w:hAnsi="Times New Roman"/>
          <w:i/>
          <w:iCs/>
        </w:rPr>
        <w:t>11</w:t>
      </w:r>
      <w:r w:rsidRPr="008C7FBE">
        <w:rPr>
          <w:rFonts w:ascii="Times New Roman" w:hAnsi="Times New Roman"/>
        </w:rPr>
        <w:t xml:space="preserve"> (2), 331–343. https://doi.org/10.1039/C7EE01657C.</w:t>
      </w:r>
    </w:p>
    <w:p w14:paraId="5F31B461" w14:textId="77777777" w:rsidR="008C7FBE" w:rsidRPr="008C7FBE" w:rsidRDefault="008C7FBE" w:rsidP="00200422">
      <w:pPr>
        <w:pStyle w:val="Bibliography"/>
        <w:rPr>
          <w:rFonts w:ascii="Times New Roman" w:hAnsi="Times New Roman"/>
        </w:rPr>
      </w:pPr>
      <w:r w:rsidRPr="008C7FBE">
        <w:rPr>
          <w:rFonts w:ascii="Times New Roman" w:hAnsi="Times New Roman"/>
        </w:rPr>
        <w:t xml:space="preserve">(8) </w:t>
      </w:r>
      <w:r w:rsidRPr="008C7FBE">
        <w:rPr>
          <w:rFonts w:ascii="Times New Roman" w:hAnsi="Times New Roman"/>
        </w:rPr>
        <w:tab/>
        <w:t xml:space="preserve">Burger, J.; Siegert, M.; Ströfer, E.; Hasse, H. Poly(Oxymethylene) Dimethyl Ethers as Components of Tailored Diesel Fuel: Properties, Synthesis and Purification Concepts. </w:t>
      </w:r>
      <w:r w:rsidRPr="008C7FBE">
        <w:rPr>
          <w:rFonts w:ascii="Times New Roman" w:hAnsi="Times New Roman"/>
          <w:i/>
          <w:iCs/>
        </w:rPr>
        <w:t>Fuel</w:t>
      </w:r>
      <w:r w:rsidRPr="008C7FBE">
        <w:rPr>
          <w:rFonts w:ascii="Times New Roman" w:hAnsi="Times New Roman"/>
        </w:rPr>
        <w:t xml:space="preserve"> </w:t>
      </w:r>
      <w:r w:rsidRPr="008C7FBE">
        <w:rPr>
          <w:rFonts w:ascii="Times New Roman" w:hAnsi="Times New Roman"/>
          <w:b/>
          <w:bCs/>
        </w:rPr>
        <w:t>2010</w:t>
      </w:r>
      <w:r w:rsidRPr="008C7FBE">
        <w:rPr>
          <w:rFonts w:ascii="Times New Roman" w:hAnsi="Times New Roman"/>
        </w:rPr>
        <w:t xml:space="preserve">, </w:t>
      </w:r>
      <w:r w:rsidRPr="008C7FBE">
        <w:rPr>
          <w:rFonts w:ascii="Times New Roman" w:hAnsi="Times New Roman"/>
          <w:i/>
          <w:iCs/>
        </w:rPr>
        <w:t>89</w:t>
      </w:r>
      <w:r w:rsidRPr="008C7FBE">
        <w:rPr>
          <w:rFonts w:ascii="Times New Roman" w:hAnsi="Times New Roman"/>
        </w:rPr>
        <w:t xml:space="preserve"> (11), 3315–3319. https://doi.org/10.1016/j.fuel.2010.05.014.</w:t>
      </w:r>
    </w:p>
    <w:p w14:paraId="10E1DEFC" w14:textId="77777777" w:rsidR="008C7FBE" w:rsidRPr="008C7FBE" w:rsidRDefault="008C7FBE" w:rsidP="00200422">
      <w:pPr>
        <w:pStyle w:val="Bibliography"/>
        <w:rPr>
          <w:rFonts w:ascii="Times New Roman" w:hAnsi="Times New Roman"/>
        </w:rPr>
      </w:pPr>
      <w:r w:rsidRPr="008C7FBE">
        <w:rPr>
          <w:rFonts w:ascii="Times New Roman" w:hAnsi="Times New Roman"/>
        </w:rPr>
        <w:t xml:space="preserve">(9) </w:t>
      </w:r>
      <w:r w:rsidRPr="008C7FBE">
        <w:rPr>
          <w:rFonts w:ascii="Times New Roman" w:hAnsi="Times New Roman"/>
        </w:rPr>
        <w:tab/>
        <w:t xml:space="preserve">Schmitz, N.; Homberg, F.; Berje, J.; Burger, J.; Hasse, H. Chemical Equilibrium of the Synthesis of Poly(Oxymethylene) Dimethyl Ethers from Formaldehyde and Methanol in Aqueous Solutions. </w:t>
      </w:r>
      <w:r w:rsidRPr="008C7FBE">
        <w:rPr>
          <w:rFonts w:ascii="Times New Roman" w:hAnsi="Times New Roman"/>
          <w:i/>
          <w:iCs/>
        </w:rPr>
        <w:t>Ind. Eng. Chem. Res.</w:t>
      </w:r>
      <w:r w:rsidRPr="008C7FBE">
        <w:rPr>
          <w:rFonts w:ascii="Times New Roman" w:hAnsi="Times New Roman"/>
        </w:rPr>
        <w:t xml:space="preserve"> </w:t>
      </w:r>
      <w:r w:rsidRPr="008C7FBE">
        <w:rPr>
          <w:rFonts w:ascii="Times New Roman" w:hAnsi="Times New Roman"/>
          <w:b/>
          <w:bCs/>
        </w:rPr>
        <w:t>2015</w:t>
      </w:r>
      <w:r w:rsidRPr="008C7FBE">
        <w:rPr>
          <w:rFonts w:ascii="Times New Roman" w:hAnsi="Times New Roman"/>
        </w:rPr>
        <w:t xml:space="preserve">, </w:t>
      </w:r>
      <w:r w:rsidRPr="008C7FBE">
        <w:rPr>
          <w:rFonts w:ascii="Times New Roman" w:hAnsi="Times New Roman"/>
          <w:i/>
          <w:iCs/>
        </w:rPr>
        <w:t>54</w:t>
      </w:r>
      <w:r w:rsidRPr="008C7FBE">
        <w:rPr>
          <w:rFonts w:ascii="Times New Roman" w:hAnsi="Times New Roman"/>
        </w:rPr>
        <w:t xml:space="preserve"> (25), 6409–6417. https://doi.org/10.1021/acs.iecr.5b01148.</w:t>
      </w:r>
    </w:p>
    <w:p w14:paraId="443412AF" w14:textId="77777777" w:rsidR="008C7FBE" w:rsidRPr="008C7FBE" w:rsidRDefault="008C7FBE" w:rsidP="00200422">
      <w:pPr>
        <w:pStyle w:val="Bibliography"/>
        <w:rPr>
          <w:rFonts w:ascii="Times New Roman" w:hAnsi="Times New Roman"/>
        </w:rPr>
      </w:pPr>
      <w:r w:rsidRPr="008C7FBE">
        <w:rPr>
          <w:rFonts w:ascii="Times New Roman" w:hAnsi="Times New Roman"/>
        </w:rPr>
        <w:t xml:space="preserve">(10) </w:t>
      </w:r>
      <w:r w:rsidRPr="008C7FBE">
        <w:rPr>
          <w:rFonts w:ascii="Times New Roman" w:hAnsi="Times New Roman"/>
        </w:rPr>
        <w:tab/>
        <w:t xml:space="preserve">Wu, Q.; Wang, M.; Hao, Y.; Li, H.; Zhao, Y.; Jiao, Q. Synthesis of Polyoxymethylene Dimethyl Ethers Catalyzed by Brønsted Acid Ionic Liquids with Alkanesulfonic Acid Groups. </w:t>
      </w:r>
      <w:r w:rsidRPr="008C7FBE">
        <w:rPr>
          <w:rFonts w:ascii="Times New Roman" w:hAnsi="Times New Roman"/>
          <w:i/>
          <w:iCs/>
        </w:rPr>
        <w:t>Ind. Eng. Chem. Res.</w:t>
      </w:r>
      <w:r w:rsidRPr="008C7FBE">
        <w:rPr>
          <w:rFonts w:ascii="Times New Roman" w:hAnsi="Times New Roman"/>
        </w:rPr>
        <w:t xml:space="preserve"> </w:t>
      </w:r>
      <w:r w:rsidRPr="008C7FBE">
        <w:rPr>
          <w:rFonts w:ascii="Times New Roman" w:hAnsi="Times New Roman"/>
          <w:b/>
          <w:bCs/>
        </w:rPr>
        <w:t>2014</w:t>
      </w:r>
      <w:r w:rsidRPr="008C7FBE">
        <w:rPr>
          <w:rFonts w:ascii="Times New Roman" w:hAnsi="Times New Roman"/>
        </w:rPr>
        <w:t xml:space="preserve">, </w:t>
      </w:r>
      <w:r w:rsidRPr="008C7FBE">
        <w:rPr>
          <w:rFonts w:ascii="Times New Roman" w:hAnsi="Times New Roman"/>
          <w:i/>
          <w:iCs/>
        </w:rPr>
        <w:t>53</w:t>
      </w:r>
      <w:r w:rsidRPr="008C7FBE">
        <w:rPr>
          <w:rFonts w:ascii="Times New Roman" w:hAnsi="Times New Roman"/>
        </w:rPr>
        <w:t xml:space="preserve"> (42), 16254–16260. https://doi.org/10.1021/ie502409t.</w:t>
      </w:r>
    </w:p>
    <w:p w14:paraId="1CBD92B3" w14:textId="77777777" w:rsidR="008C7FBE" w:rsidRPr="008C7FBE" w:rsidRDefault="008C7FBE" w:rsidP="00200422">
      <w:pPr>
        <w:pStyle w:val="Bibliography"/>
        <w:rPr>
          <w:rFonts w:ascii="Times New Roman" w:hAnsi="Times New Roman"/>
        </w:rPr>
      </w:pPr>
      <w:r w:rsidRPr="008C7FBE">
        <w:rPr>
          <w:rFonts w:ascii="Times New Roman" w:hAnsi="Times New Roman"/>
        </w:rPr>
        <w:t xml:space="preserve">(11) </w:t>
      </w:r>
      <w:r w:rsidRPr="008C7FBE">
        <w:rPr>
          <w:rFonts w:ascii="Times New Roman" w:hAnsi="Times New Roman"/>
        </w:rPr>
        <w:tab/>
        <w:t xml:space="preserve">Zheng, Y.; Liu, F.; Guo, L.; Wang, T.; Wang, J. Molecular Size Reforming of Undersized and Oversized Polyoxymethylene Dimethyl Ethers. </w:t>
      </w:r>
      <w:r w:rsidRPr="008C7FBE">
        <w:rPr>
          <w:rFonts w:ascii="Times New Roman" w:hAnsi="Times New Roman"/>
          <w:i/>
          <w:iCs/>
        </w:rPr>
        <w:t>RSC Adv.</w:t>
      </w:r>
      <w:r w:rsidRPr="008C7FBE">
        <w:rPr>
          <w:rFonts w:ascii="Times New Roman" w:hAnsi="Times New Roman"/>
        </w:rPr>
        <w:t xml:space="preserve"> </w:t>
      </w:r>
      <w:r w:rsidRPr="008C7FBE">
        <w:rPr>
          <w:rFonts w:ascii="Times New Roman" w:hAnsi="Times New Roman"/>
          <w:b/>
          <w:bCs/>
        </w:rPr>
        <w:t>2016</w:t>
      </w:r>
      <w:r w:rsidRPr="008C7FBE">
        <w:rPr>
          <w:rFonts w:ascii="Times New Roman" w:hAnsi="Times New Roman"/>
        </w:rPr>
        <w:t xml:space="preserve">, </w:t>
      </w:r>
      <w:r w:rsidRPr="008C7FBE">
        <w:rPr>
          <w:rFonts w:ascii="Times New Roman" w:hAnsi="Times New Roman"/>
          <w:i/>
          <w:iCs/>
        </w:rPr>
        <w:t>6</w:t>
      </w:r>
      <w:r w:rsidRPr="008C7FBE">
        <w:rPr>
          <w:rFonts w:ascii="Times New Roman" w:hAnsi="Times New Roman"/>
        </w:rPr>
        <w:t xml:space="preserve"> (81), 77116–77125. https://doi.org/10.1039/C6RA08255F.</w:t>
      </w:r>
    </w:p>
    <w:p w14:paraId="2FB1AFAD" w14:textId="77777777" w:rsidR="008C7FBE" w:rsidRPr="008C7FBE" w:rsidRDefault="008C7FBE" w:rsidP="00200422">
      <w:pPr>
        <w:pStyle w:val="Bibliography"/>
        <w:rPr>
          <w:rFonts w:ascii="Times New Roman" w:hAnsi="Times New Roman"/>
        </w:rPr>
      </w:pPr>
      <w:r w:rsidRPr="008C7FBE">
        <w:rPr>
          <w:rFonts w:ascii="Times New Roman" w:hAnsi="Times New Roman"/>
        </w:rPr>
        <w:lastRenderedPageBreak/>
        <w:t xml:space="preserve">(12) </w:t>
      </w:r>
      <w:r w:rsidRPr="008C7FBE">
        <w:rPr>
          <w:rFonts w:ascii="Times New Roman" w:hAnsi="Times New Roman"/>
        </w:rPr>
        <w:tab/>
        <w:t xml:space="preserve">Ouda, M.; Mantei, F.; Hesterwerth, K.; Bargiacchi, E.; Klein, H.; White, R. J. A Hybrid Description and Evaluation of Oxymethylene Dimethyl Ethers Synthesis Based on the Endothermic Dehydrogenation of Methanol. </w:t>
      </w:r>
      <w:r w:rsidRPr="008C7FBE">
        <w:rPr>
          <w:rFonts w:ascii="Times New Roman" w:hAnsi="Times New Roman"/>
          <w:i/>
          <w:iCs/>
        </w:rPr>
        <w:t>React. Chem. Eng.</w:t>
      </w:r>
      <w:r w:rsidRPr="008C7FBE">
        <w:rPr>
          <w:rFonts w:ascii="Times New Roman" w:hAnsi="Times New Roman"/>
        </w:rPr>
        <w:t xml:space="preserve"> </w:t>
      </w:r>
      <w:r w:rsidRPr="008C7FBE">
        <w:rPr>
          <w:rFonts w:ascii="Times New Roman" w:hAnsi="Times New Roman"/>
          <w:b/>
          <w:bCs/>
        </w:rPr>
        <w:t>2018</w:t>
      </w:r>
      <w:r w:rsidRPr="008C7FBE">
        <w:rPr>
          <w:rFonts w:ascii="Times New Roman" w:hAnsi="Times New Roman"/>
        </w:rPr>
        <w:t xml:space="preserve">, </w:t>
      </w:r>
      <w:r w:rsidRPr="008C7FBE">
        <w:rPr>
          <w:rFonts w:ascii="Times New Roman" w:hAnsi="Times New Roman"/>
          <w:i/>
          <w:iCs/>
        </w:rPr>
        <w:t>3</w:t>
      </w:r>
      <w:r w:rsidRPr="008C7FBE">
        <w:rPr>
          <w:rFonts w:ascii="Times New Roman" w:hAnsi="Times New Roman"/>
        </w:rPr>
        <w:t xml:space="preserve"> (5), 676–695. https://doi.org/10.1039/C8RE00100F.</w:t>
      </w:r>
    </w:p>
    <w:p w14:paraId="4EAD40BC" w14:textId="77777777" w:rsidR="008C7FBE" w:rsidRPr="008C7FBE" w:rsidRDefault="008C7FBE" w:rsidP="00200422">
      <w:pPr>
        <w:pStyle w:val="Bibliography"/>
        <w:rPr>
          <w:rFonts w:ascii="Times New Roman" w:hAnsi="Times New Roman"/>
        </w:rPr>
      </w:pPr>
      <w:r w:rsidRPr="008C7FBE">
        <w:rPr>
          <w:rFonts w:ascii="Times New Roman" w:hAnsi="Times New Roman"/>
        </w:rPr>
        <w:t xml:space="preserve">(13) </w:t>
      </w:r>
      <w:r w:rsidRPr="008C7FBE">
        <w:rPr>
          <w:rFonts w:ascii="Times New Roman" w:hAnsi="Times New Roman"/>
        </w:rPr>
        <w:tab/>
        <w:t xml:space="preserve">Independent Chemical Information Services. Chemicals A-Z. </w:t>
      </w:r>
      <w:r w:rsidRPr="008C7FBE">
        <w:rPr>
          <w:rFonts w:ascii="Times New Roman" w:hAnsi="Times New Roman"/>
          <w:i/>
          <w:iCs/>
        </w:rPr>
        <w:t>ICIS Chemical Market Reporter</w:t>
      </w:r>
      <w:r w:rsidRPr="008C7FBE">
        <w:rPr>
          <w:rFonts w:ascii="Times New Roman" w:hAnsi="Times New Roman"/>
        </w:rPr>
        <w:t>. August 28, 2006.</w:t>
      </w:r>
    </w:p>
    <w:p w14:paraId="679951AC" w14:textId="77777777" w:rsidR="008C7FBE" w:rsidRPr="008C7FBE" w:rsidRDefault="008C7FBE" w:rsidP="00200422">
      <w:pPr>
        <w:pStyle w:val="Bibliography"/>
        <w:rPr>
          <w:rFonts w:ascii="Times New Roman" w:hAnsi="Times New Roman"/>
        </w:rPr>
      </w:pPr>
      <w:r w:rsidRPr="008C7FBE">
        <w:rPr>
          <w:rFonts w:ascii="Times New Roman" w:hAnsi="Times New Roman"/>
        </w:rPr>
        <w:t xml:space="preserve">(14) </w:t>
      </w:r>
      <w:r w:rsidRPr="008C7FBE">
        <w:rPr>
          <w:rFonts w:ascii="Times New Roman" w:hAnsi="Times New Roman"/>
        </w:rPr>
        <w:tab/>
        <w:t xml:space="preserve">Schappals, M.; Breug-Nissen, T.; Langenbach, K.; Burger, J.; Hasse, H. Solubility of Carbon Dioxide in Poly(Oxymethylene) Dimethyl Ethers. </w:t>
      </w:r>
      <w:r w:rsidRPr="008C7FBE">
        <w:rPr>
          <w:rFonts w:ascii="Times New Roman" w:hAnsi="Times New Roman"/>
          <w:i/>
          <w:iCs/>
        </w:rPr>
        <w:t>J. Chem. Eng. Data</w:t>
      </w:r>
      <w:r w:rsidRPr="008C7FBE">
        <w:rPr>
          <w:rFonts w:ascii="Times New Roman" w:hAnsi="Times New Roman"/>
        </w:rPr>
        <w:t xml:space="preserve"> </w:t>
      </w:r>
      <w:r w:rsidRPr="008C7FBE">
        <w:rPr>
          <w:rFonts w:ascii="Times New Roman" w:hAnsi="Times New Roman"/>
          <w:b/>
          <w:bCs/>
        </w:rPr>
        <w:t>2017</w:t>
      </w:r>
      <w:r w:rsidRPr="008C7FBE">
        <w:rPr>
          <w:rFonts w:ascii="Times New Roman" w:hAnsi="Times New Roman"/>
        </w:rPr>
        <w:t xml:space="preserve">, </w:t>
      </w:r>
      <w:r w:rsidRPr="008C7FBE">
        <w:rPr>
          <w:rFonts w:ascii="Times New Roman" w:hAnsi="Times New Roman"/>
          <w:i/>
          <w:iCs/>
        </w:rPr>
        <w:t>62</w:t>
      </w:r>
      <w:r w:rsidRPr="008C7FBE">
        <w:rPr>
          <w:rFonts w:ascii="Times New Roman" w:hAnsi="Times New Roman"/>
        </w:rPr>
        <w:t xml:space="preserve"> (11), 4027–4031. https://doi.org/10.1021/acs.jced.7b00718.</w:t>
      </w:r>
    </w:p>
    <w:p w14:paraId="7FDF2A78" w14:textId="77777777" w:rsidR="008C7FBE" w:rsidRPr="008C7FBE" w:rsidRDefault="008C7FBE" w:rsidP="00200422">
      <w:pPr>
        <w:pStyle w:val="Bibliography"/>
        <w:rPr>
          <w:rFonts w:ascii="Times New Roman" w:hAnsi="Times New Roman"/>
        </w:rPr>
      </w:pPr>
      <w:r w:rsidRPr="008C7FBE">
        <w:rPr>
          <w:rFonts w:ascii="Times New Roman" w:hAnsi="Times New Roman"/>
        </w:rPr>
        <w:t xml:space="preserve">(15) </w:t>
      </w:r>
      <w:r w:rsidRPr="008C7FBE">
        <w:rPr>
          <w:rFonts w:ascii="Times New Roman" w:hAnsi="Times New Roman"/>
        </w:rPr>
        <w:tab/>
        <w:t xml:space="preserve">Carretier, E.; Moulin, P.; Beaujean, M.; Charbit, F. Purification and Dehydration of Methylal by Pervaporation. </w:t>
      </w:r>
      <w:r w:rsidRPr="008C7FBE">
        <w:rPr>
          <w:rFonts w:ascii="Times New Roman" w:hAnsi="Times New Roman"/>
          <w:i/>
          <w:iCs/>
        </w:rPr>
        <w:t>Journal of Membrane Science</w:t>
      </w:r>
      <w:r w:rsidRPr="008C7FBE">
        <w:rPr>
          <w:rFonts w:ascii="Times New Roman" w:hAnsi="Times New Roman"/>
        </w:rPr>
        <w:t xml:space="preserve"> </w:t>
      </w:r>
      <w:r w:rsidRPr="008C7FBE">
        <w:rPr>
          <w:rFonts w:ascii="Times New Roman" w:hAnsi="Times New Roman"/>
          <w:b/>
          <w:bCs/>
        </w:rPr>
        <w:t>2003</w:t>
      </w:r>
      <w:r w:rsidRPr="008C7FBE">
        <w:rPr>
          <w:rFonts w:ascii="Times New Roman" w:hAnsi="Times New Roman"/>
        </w:rPr>
        <w:t xml:space="preserve">, </w:t>
      </w:r>
      <w:r w:rsidRPr="008C7FBE">
        <w:rPr>
          <w:rFonts w:ascii="Times New Roman" w:hAnsi="Times New Roman"/>
          <w:i/>
          <w:iCs/>
        </w:rPr>
        <w:t>217</w:t>
      </w:r>
      <w:r w:rsidRPr="008C7FBE">
        <w:rPr>
          <w:rFonts w:ascii="Times New Roman" w:hAnsi="Times New Roman"/>
        </w:rPr>
        <w:t xml:space="preserve"> (1), 159–171. https://doi.org/10.1016/S0376-7388(03)00125-X.</w:t>
      </w:r>
    </w:p>
    <w:p w14:paraId="2F6D2885" w14:textId="77777777" w:rsidR="008C7FBE" w:rsidRPr="008C7FBE" w:rsidRDefault="008C7FBE" w:rsidP="00200422">
      <w:pPr>
        <w:pStyle w:val="Bibliography"/>
        <w:rPr>
          <w:rFonts w:ascii="Times New Roman" w:hAnsi="Times New Roman"/>
        </w:rPr>
      </w:pPr>
      <w:r w:rsidRPr="008C7FBE">
        <w:rPr>
          <w:rFonts w:ascii="Times New Roman" w:hAnsi="Times New Roman"/>
        </w:rPr>
        <w:t xml:space="preserve">(16) </w:t>
      </w:r>
      <w:r w:rsidRPr="008C7FBE">
        <w:rPr>
          <w:rFonts w:ascii="Times New Roman" w:hAnsi="Times New Roman"/>
        </w:rPr>
        <w:tab/>
        <w:t xml:space="preserve">Deutsch, D.; Oestreich, D.; Lautenschütz, L.; Haltenort, P.; Arnold, U.; Sauer, J. High Purity Oligomeric Oxymethylene Ethers as Diesel Fuels. </w:t>
      </w:r>
      <w:r w:rsidRPr="008C7FBE">
        <w:rPr>
          <w:rFonts w:ascii="Times New Roman" w:hAnsi="Times New Roman"/>
          <w:i/>
          <w:iCs/>
        </w:rPr>
        <w:t>Chemie Ingenieur Technik</w:t>
      </w:r>
      <w:r w:rsidRPr="008C7FBE">
        <w:rPr>
          <w:rFonts w:ascii="Times New Roman" w:hAnsi="Times New Roman"/>
        </w:rPr>
        <w:t xml:space="preserve"> </w:t>
      </w:r>
      <w:r w:rsidRPr="008C7FBE">
        <w:rPr>
          <w:rFonts w:ascii="Times New Roman" w:hAnsi="Times New Roman"/>
          <w:b/>
          <w:bCs/>
        </w:rPr>
        <w:t>2017</w:t>
      </w:r>
      <w:r w:rsidRPr="008C7FBE">
        <w:rPr>
          <w:rFonts w:ascii="Times New Roman" w:hAnsi="Times New Roman"/>
        </w:rPr>
        <w:t xml:space="preserve">, </w:t>
      </w:r>
      <w:r w:rsidRPr="008C7FBE">
        <w:rPr>
          <w:rFonts w:ascii="Times New Roman" w:hAnsi="Times New Roman"/>
          <w:i/>
          <w:iCs/>
        </w:rPr>
        <w:t>89</w:t>
      </w:r>
      <w:r w:rsidRPr="008C7FBE">
        <w:rPr>
          <w:rFonts w:ascii="Times New Roman" w:hAnsi="Times New Roman"/>
        </w:rPr>
        <w:t xml:space="preserve"> (4), 486–489. https://doi.org/10.1002/cite.201600158.</w:t>
      </w:r>
    </w:p>
    <w:p w14:paraId="09B83197" w14:textId="77777777" w:rsidR="008C7FBE" w:rsidRPr="008C7FBE" w:rsidRDefault="008C7FBE" w:rsidP="00200422">
      <w:pPr>
        <w:pStyle w:val="Bibliography"/>
        <w:rPr>
          <w:rFonts w:ascii="Times New Roman" w:hAnsi="Times New Roman"/>
        </w:rPr>
      </w:pPr>
      <w:r w:rsidRPr="008C7FBE">
        <w:rPr>
          <w:rFonts w:ascii="Times New Roman" w:hAnsi="Times New Roman"/>
        </w:rPr>
        <w:t xml:space="preserve">(17) </w:t>
      </w:r>
      <w:r w:rsidRPr="008C7FBE">
        <w:rPr>
          <w:rFonts w:ascii="Times New Roman" w:hAnsi="Times New Roman"/>
        </w:rPr>
        <w:tab/>
        <w:t xml:space="preserve">Kang, M.-R.; Song, H.-Y.; Jin, F.-X.; Chen, J. Synthesis and Physicochemical Characterization of Polyoxymethylene Dimethyl Ethers. </w:t>
      </w:r>
      <w:r w:rsidRPr="008C7FBE">
        <w:rPr>
          <w:rFonts w:ascii="Times New Roman" w:hAnsi="Times New Roman"/>
          <w:i/>
          <w:iCs/>
        </w:rPr>
        <w:t>Journal of Fuel Chemistry and Technology</w:t>
      </w:r>
      <w:r w:rsidRPr="008C7FBE">
        <w:rPr>
          <w:rFonts w:ascii="Times New Roman" w:hAnsi="Times New Roman"/>
        </w:rPr>
        <w:t xml:space="preserve"> </w:t>
      </w:r>
      <w:r w:rsidRPr="008C7FBE">
        <w:rPr>
          <w:rFonts w:ascii="Times New Roman" w:hAnsi="Times New Roman"/>
          <w:b/>
          <w:bCs/>
        </w:rPr>
        <w:t>2017</w:t>
      </w:r>
      <w:r w:rsidRPr="008C7FBE">
        <w:rPr>
          <w:rFonts w:ascii="Times New Roman" w:hAnsi="Times New Roman"/>
        </w:rPr>
        <w:t xml:space="preserve">, </w:t>
      </w:r>
      <w:r w:rsidRPr="008C7FBE">
        <w:rPr>
          <w:rFonts w:ascii="Times New Roman" w:hAnsi="Times New Roman"/>
          <w:i/>
          <w:iCs/>
        </w:rPr>
        <w:t>45</w:t>
      </w:r>
      <w:r w:rsidRPr="008C7FBE">
        <w:rPr>
          <w:rFonts w:ascii="Times New Roman" w:hAnsi="Times New Roman"/>
        </w:rPr>
        <w:t xml:space="preserve"> (7), 837–845. https://doi.org/10.1016/S1872-5813(17)30040-3.</w:t>
      </w:r>
    </w:p>
    <w:p w14:paraId="7A5314F7" w14:textId="77777777" w:rsidR="008C7FBE" w:rsidRPr="008C7FBE" w:rsidRDefault="008C7FBE" w:rsidP="00200422">
      <w:pPr>
        <w:pStyle w:val="Bibliography"/>
        <w:rPr>
          <w:rFonts w:ascii="Times New Roman" w:hAnsi="Times New Roman"/>
        </w:rPr>
      </w:pPr>
      <w:r w:rsidRPr="008C7FBE">
        <w:rPr>
          <w:rFonts w:ascii="Times New Roman" w:hAnsi="Times New Roman"/>
        </w:rPr>
        <w:t xml:space="preserve">(18) </w:t>
      </w:r>
      <w:r w:rsidRPr="008C7FBE">
        <w:rPr>
          <w:rFonts w:ascii="Times New Roman" w:hAnsi="Times New Roman"/>
        </w:rPr>
        <w:tab/>
        <w:t>Jacob, E.; Maus, W. OME1: A Potentially Sustainable Diesel Fuel; Vienna, 2014; Vol. 35, pp 325–347.</w:t>
      </w:r>
    </w:p>
    <w:p w14:paraId="605840E3" w14:textId="77777777" w:rsidR="008C7FBE" w:rsidRPr="008C7FBE" w:rsidRDefault="008C7FBE" w:rsidP="00200422">
      <w:pPr>
        <w:pStyle w:val="Bibliography"/>
        <w:rPr>
          <w:rFonts w:ascii="Times New Roman" w:hAnsi="Times New Roman"/>
        </w:rPr>
      </w:pPr>
      <w:r w:rsidRPr="008C7FBE">
        <w:rPr>
          <w:rFonts w:ascii="Times New Roman" w:hAnsi="Times New Roman"/>
        </w:rPr>
        <w:t xml:space="preserve">(19) </w:t>
      </w:r>
      <w:r w:rsidRPr="008C7FBE">
        <w:rPr>
          <w:rFonts w:ascii="Times New Roman" w:hAnsi="Times New Roman"/>
        </w:rPr>
        <w:tab/>
        <w:t xml:space="preserve">Lautenschütz, L.; Oestreich, D.; Seidenspinner, P.; Arnold, U.; Dinjus, E.; Sauer, J. Physico-Chemical Properties and Fuel Characteristics of Oxymethylene Dialkyl Ethers. </w:t>
      </w:r>
      <w:r w:rsidRPr="008C7FBE">
        <w:rPr>
          <w:rFonts w:ascii="Times New Roman" w:hAnsi="Times New Roman"/>
          <w:i/>
          <w:iCs/>
        </w:rPr>
        <w:t>Fuel</w:t>
      </w:r>
      <w:r w:rsidRPr="008C7FBE">
        <w:rPr>
          <w:rFonts w:ascii="Times New Roman" w:hAnsi="Times New Roman"/>
        </w:rPr>
        <w:t xml:space="preserve"> </w:t>
      </w:r>
      <w:r w:rsidRPr="008C7FBE">
        <w:rPr>
          <w:rFonts w:ascii="Times New Roman" w:hAnsi="Times New Roman"/>
          <w:b/>
          <w:bCs/>
        </w:rPr>
        <w:t>2016</w:t>
      </w:r>
      <w:r w:rsidRPr="008C7FBE">
        <w:rPr>
          <w:rFonts w:ascii="Times New Roman" w:hAnsi="Times New Roman"/>
        </w:rPr>
        <w:t xml:space="preserve">, </w:t>
      </w:r>
      <w:r w:rsidRPr="008C7FBE">
        <w:rPr>
          <w:rFonts w:ascii="Times New Roman" w:hAnsi="Times New Roman"/>
          <w:i/>
          <w:iCs/>
        </w:rPr>
        <w:t>173</w:t>
      </w:r>
      <w:r w:rsidRPr="008C7FBE">
        <w:rPr>
          <w:rFonts w:ascii="Times New Roman" w:hAnsi="Times New Roman"/>
        </w:rPr>
        <w:t>, 129–137. https://doi.org/10.1016/j.fuel.2016.01.060.</w:t>
      </w:r>
    </w:p>
    <w:p w14:paraId="34BE39BB" w14:textId="77777777" w:rsidR="008C7FBE" w:rsidRPr="008C7FBE" w:rsidRDefault="008C7FBE" w:rsidP="00200422">
      <w:pPr>
        <w:pStyle w:val="Bibliography"/>
        <w:rPr>
          <w:rFonts w:ascii="Times New Roman" w:hAnsi="Times New Roman"/>
        </w:rPr>
      </w:pPr>
      <w:r w:rsidRPr="008C7FBE">
        <w:rPr>
          <w:rFonts w:ascii="Times New Roman" w:hAnsi="Times New Roman"/>
        </w:rPr>
        <w:t xml:space="preserve">(20) </w:t>
      </w:r>
      <w:r w:rsidRPr="008C7FBE">
        <w:rPr>
          <w:rFonts w:ascii="Times New Roman" w:hAnsi="Times New Roman"/>
        </w:rPr>
        <w:tab/>
        <w:t xml:space="preserve">Abbott, S. </w:t>
      </w:r>
      <w:r w:rsidRPr="008C7FBE">
        <w:rPr>
          <w:rFonts w:ascii="Times New Roman" w:hAnsi="Times New Roman"/>
          <w:i/>
          <w:iCs/>
        </w:rPr>
        <w:t>Hansen Solubility Parameters in Practice</w:t>
      </w:r>
      <w:r w:rsidRPr="008C7FBE">
        <w:rPr>
          <w:rFonts w:ascii="Times New Roman" w:hAnsi="Times New Roman"/>
        </w:rPr>
        <w:t>; 2012.</w:t>
      </w:r>
    </w:p>
    <w:p w14:paraId="00B978AE" w14:textId="77777777" w:rsidR="008C7FBE" w:rsidRPr="008C7FBE" w:rsidRDefault="008C7FBE" w:rsidP="00200422">
      <w:pPr>
        <w:pStyle w:val="Bibliography"/>
        <w:rPr>
          <w:rFonts w:ascii="Times New Roman" w:hAnsi="Times New Roman"/>
        </w:rPr>
      </w:pPr>
      <w:r w:rsidRPr="008C7FBE">
        <w:rPr>
          <w:rFonts w:ascii="Times New Roman" w:hAnsi="Times New Roman"/>
        </w:rPr>
        <w:t xml:space="preserve">(21) </w:t>
      </w:r>
      <w:r w:rsidRPr="008C7FBE">
        <w:rPr>
          <w:rFonts w:ascii="Times New Roman" w:hAnsi="Times New Roman"/>
        </w:rPr>
        <w:tab/>
        <w:t xml:space="preserve">Kamlet, M. J.; Abboud, J. L. M.; Abraham, M. H.; Taft, R. W. Linear Solvation Energy Relationships. 23. A Comprehensive Collection of the Solvatochromic Parameters, .Pi.*, .Alpha., and .Beta., and Some Methods for Simplifying the Generalized Solvatochromic Equation. </w:t>
      </w:r>
      <w:r w:rsidRPr="008C7FBE">
        <w:rPr>
          <w:rFonts w:ascii="Times New Roman" w:hAnsi="Times New Roman"/>
          <w:i/>
          <w:iCs/>
        </w:rPr>
        <w:t>J. Org. Chem.</w:t>
      </w:r>
      <w:r w:rsidRPr="008C7FBE">
        <w:rPr>
          <w:rFonts w:ascii="Times New Roman" w:hAnsi="Times New Roman"/>
        </w:rPr>
        <w:t xml:space="preserve"> </w:t>
      </w:r>
      <w:r w:rsidRPr="008C7FBE">
        <w:rPr>
          <w:rFonts w:ascii="Times New Roman" w:hAnsi="Times New Roman"/>
          <w:b/>
          <w:bCs/>
        </w:rPr>
        <w:t>1983</w:t>
      </w:r>
      <w:r w:rsidRPr="008C7FBE">
        <w:rPr>
          <w:rFonts w:ascii="Times New Roman" w:hAnsi="Times New Roman"/>
        </w:rPr>
        <w:t xml:space="preserve">, </w:t>
      </w:r>
      <w:r w:rsidRPr="008C7FBE">
        <w:rPr>
          <w:rFonts w:ascii="Times New Roman" w:hAnsi="Times New Roman"/>
          <w:i/>
          <w:iCs/>
        </w:rPr>
        <w:t>48</w:t>
      </w:r>
      <w:r w:rsidRPr="008C7FBE">
        <w:rPr>
          <w:rFonts w:ascii="Times New Roman" w:hAnsi="Times New Roman"/>
        </w:rPr>
        <w:t xml:space="preserve"> (17), 2877–2887. https://doi.org/10.1021/jo00165a018.</w:t>
      </w:r>
    </w:p>
    <w:p w14:paraId="66575219" w14:textId="77777777" w:rsidR="008C7FBE" w:rsidRPr="008C7FBE" w:rsidRDefault="008C7FBE" w:rsidP="00200422">
      <w:pPr>
        <w:pStyle w:val="Bibliography"/>
        <w:rPr>
          <w:rFonts w:ascii="Times New Roman" w:hAnsi="Times New Roman"/>
        </w:rPr>
      </w:pPr>
      <w:r w:rsidRPr="008C7FBE">
        <w:rPr>
          <w:rFonts w:ascii="Times New Roman" w:hAnsi="Times New Roman"/>
        </w:rPr>
        <w:t xml:space="preserve">(22) </w:t>
      </w:r>
      <w:r w:rsidRPr="008C7FBE">
        <w:rPr>
          <w:rFonts w:ascii="Times New Roman" w:hAnsi="Times New Roman"/>
        </w:rPr>
        <w:tab/>
        <w:t xml:space="preserve">Byrne, F.; Forier, B.; Bossaert, G.; Hoebers, C.; Farmer, T. J.; Clark, J. H.; Hunt, A. J. 2,2,5,5-Tetramethyltetrahydrofuran (TMTHF): A Non-Polar, Non-Peroxide Forming Ether Replacement for Hazardous Hydrocarbon Solvents. </w:t>
      </w:r>
      <w:r w:rsidRPr="008C7FBE">
        <w:rPr>
          <w:rFonts w:ascii="Times New Roman" w:hAnsi="Times New Roman"/>
          <w:i/>
          <w:iCs/>
        </w:rPr>
        <w:t>Green Chem.</w:t>
      </w:r>
      <w:r w:rsidRPr="008C7FBE">
        <w:rPr>
          <w:rFonts w:ascii="Times New Roman" w:hAnsi="Times New Roman"/>
        </w:rPr>
        <w:t xml:space="preserve"> </w:t>
      </w:r>
      <w:r w:rsidRPr="008C7FBE">
        <w:rPr>
          <w:rFonts w:ascii="Times New Roman" w:hAnsi="Times New Roman"/>
          <w:b/>
          <w:bCs/>
        </w:rPr>
        <w:t>2017</w:t>
      </w:r>
      <w:r w:rsidRPr="008C7FBE">
        <w:rPr>
          <w:rFonts w:ascii="Times New Roman" w:hAnsi="Times New Roman"/>
        </w:rPr>
        <w:t xml:space="preserve">, </w:t>
      </w:r>
      <w:r w:rsidRPr="008C7FBE">
        <w:rPr>
          <w:rFonts w:ascii="Times New Roman" w:hAnsi="Times New Roman"/>
          <w:i/>
          <w:iCs/>
        </w:rPr>
        <w:t>19</w:t>
      </w:r>
      <w:r w:rsidRPr="008C7FBE">
        <w:rPr>
          <w:rFonts w:ascii="Times New Roman" w:hAnsi="Times New Roman"/>
        </w:rPr>
        <w:t xml:space="preserve"> (15), 3671–3678. https://doi.org/10.1039/C7GC01392B.</w:t>
      </w:r>
    </w:p>
    <w:p w14:paraId="3EF56D56" w14:textId="77777777" w:rsidR="008C7FBE" w:rsidRPr="008C7FBE" w:rsidRDefault="008C7FBE" w:rsidP="00200422">
      <w:pPr>
        <w:pStyle w:val="Bibliography"/>
        <w:rPr>
          <w:rFonts w:ascii="Times New Roman" w:hAnsi="Times New Roman"/>
        </w:rPr>
      </w:pPr>
      <w:r w:rsidRPr="008C7FBE">
        <w:rPr>
          <w:rFonts w:ascii="Times New Roman" w:hAnsi="Times New Roman"/>
        </w:rPr>
        <w:t xml:space="preserve">(23) </w:t>
      </w:r>
      <w:r w:rsidRPr="008C7FBE">
        <w:rPr>
          <w:rFonts w:ascii="Times New Roman" w:hAnsi="Times New Roman"/>
        </w:rPr>
        <w:tab/>
        <w:t xml:space="preserve">Sherwood, J.; Bruyn, M. D.; Constantinou, A.; Moity, L.; McElroy, C. R.; Farmer, T. J.; Duncan, T.; Raverty, W.; Hunt, A. J.; Clark, J. H. Dihydrolevoglucosenone (Cyrene) as a Bio-Based Alternative for Dipolar Aprotic Solvents. </w:t>
      </w:r>
      <w:r w:rsidRPr="008C7FBE">
        <w:rPr>
          <w:rFonts w:ascii="Times New Roman" w:hAnsi="Times New Roman"/>
          <w:i/>
          <w:iCs/>
        </w:rPr>
        <w:t>Chem. Commun.</w:t>
      </w:r>
      <w:r w:rsidRPr="008C7FBE">
        <w:rPr>
          <w:rFonts w:ascii="Times New Roman" w:hAnsi="Times New Roman"/>
        </w:rPr>
        <w:t xml:space="preserve"> </w:t>
      </w:r>
      <w:r w:rsidRPr="008C7FBE">
        <w:rPr>
          <w:rFonts w:ascii="Times New Roman" w:hAnsi="Times New Roman"/>
          <w:b/>
          <w:bCs/>
        </w:rPr>
        <w:t>2014</w:t>
      </w:r>
      <w:r w:rsidRPr="008C7FBE">
        <w:rPr>
          <w:rFonts w:ascii="Times New Roman" w:hAnsi="Times New Roman"/>
        </w:rPr>
        <w:t xml:space="preserve">, </w:t>
      </w:r>
      <w:r w:rsidRPr="008C7FBE">
        <w:rPr>
          <w:rFonts w:ascii="Times New Roman" w:hAnsi="Times New Roman"/>
          <w:i/>
          <w:iCs/>
        </w:rPr>
        <w:t>50</w:t>
      </w:r>
      <w:r w:rsidRPr="008C7FBE">
        <w:rPr>
          <w:rFonts w:ascii="Times New Roman" w:hAnsi="Times New Roman"/>
        </w:rPr>
        <w:t xml:space="preserve"> (68), 9650–9652. https://doi.org/10.1039/C4CC04133J.</w:t>
      </w:r>
    </w:p>
    <w:p w14:paraId="687062E4" w14:textId="77777777" w:rsidR="008C7FBE" w:rsidRPr="008C7FBE" w:rsidRDefault="008C7FBE" w:rsidP="00200422">
      <w:pPr>
        <w:pStyle w:val="Bibliography"/>
        <w:rPr>
          <w:rFonts w:ascii="Times New Roman" w:hAnsi="Times New Roman"/>
        </w:rPr>
      </w:pPr>
      <w:r w:rsidRPr="008C7FBE">
        <w:rPr>
          <w:rFonts w:ascii="Times New Roman" w:hAnsi="Times New Roman"/>
        </w:rPr>
        <w:lastRenderedPageBreak/>
        <w:t xml:space="preserve">(24) </w:t>
      </w:r>
      <w:r w:rsidRPr="008C7FBE">
        <w:rPr>
          <w:rFonts w:ascii="Times New Roman" w:hAnsi="Times New Roman"/>
        </w:rPr>
        <w:tab/>
        <w:t xml:space="preserve">Jessop, P. G.; Jessop, D. A.; Fu, D.; Phan, L. Solvatochromic Parameters for Solvents of Interest in Green Chemistry. </w:t>
      </w:r>
      <w:r w:rsidRPr="008C7FBE">
        <w:rPr>
          <w:rFonts w:ascii="Times New Roman" w:hAnsi="Times New Roman"/>
          <w:i/>
          <w:iCs/>
        </w:rPr>
        <w:t>Green Chem.</w:t>
      </w:r>
      <w:r w:rsidRPr="008C7FBE">
        <w:rPr>
          <w:rFonts w:ascii="Times New Roman" w:hAnsi="Times New Roman"/>
        </w:rPr>
        <w:t xml:space="preserve"> </w:t>
      </w:r>
      <w:r w:rsidRPr="008C7FBE">
        <w:rPr>
          <w:rFonts w:ascii="Times New Roman" w:hAnsi="Times New Roman"/>
          <w:b/>
          <w:bCs/>
        </w:rPr>
        <w:t>2012</w:t>
      </w:r>
      <w:r w:rsidRPr="008C7FBE">
        <w:rPr>
          <w:rFonts w:ascii="Times New Roman" w:hAnsi="Times New Roman"/>
        </w:rPr>
        <w:t xml:space="preserve">, </w:t>
      </w:r>
      <w:r w:rsidRPr="008C7FBE">
        <w:rPr>
          <w:rFonts w:ascii="Times New Roman" w:hAnsi="Times New Roman"/>
          <w:i/>
          <w:iCs/>
        </w:rPr>
        <w:t>14</w:t>
      </w:r>
      <w:r w:rsidRPr="008C7FBE">
        <w:rPr>
          <w:rFonts w:ascii="Times New Roman" w:hAnsi="Times New Roman"/>
        </w:rPr>
        <w:t xml:space="preserve"> (5), 1245–1259. https://doi.org/10.1039/C2GC16670D.</w:t>
      </w:r>
    </w:p>
    <w:p w14:paraId="3A8EBF30" w14:textId="747D48EE" w:rsidR="008C7FBE" w:rsidRPr="008C7FBE" w:rsidRDefault="008C7FBE" w:rsidP="00200422">
      <w:pPr>
        <w:pStyle w:val="Bibliography"/>
        <w:rPr>
          <w:rFonts w:ascii="Times New Roman" w:hAnsi="Times New Roman"/>
        </w:rPr>
      </w:pPr>
      <w:r w:rsidRPr="008C7FBE">
        <w:rPr>
          <w:rFonts w:ascii="Times New Roman" w:hAnsi="Times New Roman"/>
        </w:rPr>
        <w:t xml:space="preserve">(25) </w:t>
      </w:r>
      <w:r w:rsidRPr="008C7FBE">
        <w:rPr>
          <w:rFonts w:ascii="Times New Roman" w:hAnsi="Times New Roman"/>
        </w:rPr>
        <w:tab/>
        <w:t>Bastiaensen, E.</w:t>
      </w:r>
      <w:r>
        <w:rPr>
          <w:rFonts w:ascii="Times New Roman" w:hAnsi="Times New Roman"/>
        </w:rPr>
        <w:t>, ChemCom Industries B.V.</w:t>
      </w:r>
      <w:r w:rsidRPr="008C7FBE">
        <w:rPr>
          <w:rFonts w:ascii="Times New Roman" w:hAnsi="Times New Roman"/>
        </w:rPr>
        <w:t xml:space="preserve"> OME Safety Data, 2019.</w:t>
      </w:r>
    </w:p>
    <w:p w14:paraId="11495FAB" w14:textId="77777777" w:rsidR="008C7FBE" w:rsidRPr="008C7FBE" w:rsidRDefault="008C7FBE" w:rsidP="00200422">
      <w:pPr>
        <w:pStyle w:val="Bibliography"/>
        <w:rPr>
          <w:rFonts w:ascii="Times New Roman" w:hAnsi="Times New Roman"/>
        </w:rPr>
      </w:pPr>
      <w:r w:rsidRPr="008C7FBE">
        <w:rPr>
          <w:rFonts w:ascii="Times New Roman" w:hAnsi="Times New Roman"/>
        </w:rPr>
        <w:t xml:space="preserve">(26) </w:t>
      </w:r>
      <w:r w:rsidRPr="008C7FBE">
        <w:rPr>
          <w:rFonts w:ascii="Times New Roman" w:hAnsi="Times New Roman"/>
        </w:rPr>
        <w:tab/>
        <w:t xml:space="preserve">Kelly, R. J. Review of Safety Guidelines for Peroxidizable Organic Chemicals. </w:t>
      </w:r>
      <w:r w:rsidRPr="008C7FBE">
        <w:rPr>
          <w:rFonts w:ascii="Times New Roman" w:hAnsi="Times New Roman"/>
          <w:i/>
          <w:iCs/>
        </w:rPr>
        <w:t>Chemical Health &amp; Safety</w:t>
      </w:r>
      <w:r w:rsidRPr="008C7FBE">
        <w:rPr>
          <w:rFonts w:ascii="Times New Roman" w:hAnsi="Times New Roman"/>
        </w:rPr>
        <w:t xml:space="preserve"> </w:t>
      </w:r>
      <w:r w:rsidRPr="008C7FBE">
        <w:rPr>
          <w:rFonts w:ascii="Times New Roman" w:hAnsi="Times New Roman"/>
          <w:b/>
          <w:bCs/>
        </w:rPr>
        <w:t>1996</w:t>
      </w:r>
      <w:r w:rsidRPr="008C7FBE">
        <w:rPr>
          <w:rFonts w:ascii="Times New Roman" w:hAnsi="Times New Roman"/>
        </w:rPr>
        <w:t>, 28–36.</w:t>
      </w:r>
    </w:p>
    <w:p w14:paraId="46E7E4AF" w14:textId="77777777" w:rsidR="008C7FBE" w:rsidRPr="008C7FBE" w:rsidRDefault="008C7FBE" w:rsidP="00200422">
      <w:pPr>
        <w:pStyle w:val="Bibliography"/>
        <w:rPr>
          <w:rFonts w:ascii="Times New Roman" w:hAnsi="Times New Roman"/>
        </w:rPr>
      </w:pPr>
      <w:r w:rsidRPr="008C7FBE">
        <w:rPr>
          <w:rFonts w:ascii="Times New Roman" w:hAnsi="Times New Roman"/>
        </w:rPr>
        <w:t xml:space="preserve">(27) </w:t>
      </w:r>
      <w:r w:rsidRPr="008C7FBE">
        <w:rPr>
          <w:rFonts w:ascii="Times New Roman" w:hAnsi="Times New Roman"/>
        </w:rPr>
        <w:tab/>
        <w:t xml:space="preserve">Watanabe, K.; Yamagiwa, N.; Torisawa, Y. Cyclopentyl Methyl Ether as a New and Alternative Process Solvent. </w:t>
      </w:r>
      <w:r w:rsidRPr="008C7FBE">
        <w:rPr>
          <w:rFonts w:ascii="Times New Roman" w:hAnsi="Times New Roman"/>
          <w:i/>
          <w:iCs/>
        </w:rPr>
        <w:t>Org. Process Res. Dev.</w:t>
      </w:r>
      <w:r w:rsidRPr="008C7FBE">
        <w:rPr>
          <w:rFonts w:ascii="Times New Roman" w:hAnsi="Times New Roman"/>
        </w:rPr>
        <w:t xml:space="preserve"> </w:t>
      </w:r>
      <w:r w:rsidRPr="008C7FBE">
        <w:rPr>
          <w:rFonts w:ascii="Times New Roman" w:hAnsi="Times New Roman"/>
          <w:b/>
          <w:bCs/>
        </w:rPr>
        <w:t>2007</w:t>
      </w:r>
      <w:r w:rsidRPr="008C7FBE">
        <w:rPr>
          <w:rFonts w:ascii="Times New Roman" w:hAnsi="Times New Roman"/>
        </w:rPr>
        <w:t xml:space="preserve">, </w:t>
      </w:r>
      <w:r w:rsidRPr="008C7FBE">
        <w:rPr>
          <w:rFonts w:ascii="Times New Roman" w:hAnsi="Times New Roman"/>
          <w:i/>
          <w:iCs/>
        </w:rPr>
        <w:t>11</w:t>
      </w:r>
      <w:r w:rsidRPr="008C7FBE">
        <w:rPr>
          <w:rFonts w:ascii="Times New Roman" w:hAnsi="Times New Roman"/>
        </w:rPr>
        <w:t xml:space="preserve"> (2), 251–258. https://doi.org/10.1021/op0680136.</w:t>
      </w:r>
    </w:p>
    <w:p w14:paraId="493CE4F1" w14:textId="77777777" w:rsidR="008C7FBE" w:rsidRPr="008C7FBE" w:rsidRDefault="008C7FBE" w:rsidP="00200422">
      <w:pPr>
        <w:pStyle w:val="Bibliography"/>
        <w:rPr>
          <w:rFonts w:ascii="Times New Roman" w:hAnsi="Times New Roman"/>
        </w:rPr>
      </w:pPr>
      <w:r w:rsidRPr="008C7FBE">
        <w:rPr>
          <w:rFonts w:ascii="Times New Roman" w:hAnsi="Times New Roman"/>
        </w:rPr>
        <w:t xml:space="preserve">(28) </w:t>
      </w:r>
      <w:r w:rsidRPr="008C7FBE">
        <w:rPr>
          <w:rFonts w:ascii="Times New Roman" w:hAnsi="Times New Roman"/>
        </w:rPr>
        <w:tab/>
        <w:t xml:space="preserve">Wang, H.; Shen, J. Decomposition of Polyoxymethylene Dimethyl Ethers and Synthesis of Bisphenol F. </w:t>
      </w:r>
      <w:r w:rsidRPr="008C7FBE">
        <w:rPr>
          <w:rFonts w:ascii="Times New Roman" w:hAnsi="Times New Roman"/>
          <w:i/>
          <w:iCs/>
        </w:rPr>
        <w:t>Catalysis Today</w:t>
      </w:r>
      <w:r w:rsidRPr="008C7FBE">
        <w:rPr>
          <w:rFonts w:ascii="Times New Roman" w:hAnsi="Times New Roman"/>
        </w:rPr>
        <w:t xml:space="preserve"> </w:t>
      </w:r>
      <w:r w:rsidRPr="008C7FBE">
        <w:rPr>
          <w:rFonts w:ascii="Times New Roman" w:hAnsi="Times New Roman"/>
          <w:b/>
          <w:bCs/>
        </w:rPr>
        <w:t>2017</w:t>
      </w:r>
      <w:r w:rsidRPr="008C7FBE">
        <w:rPr>
          <w:rFonts w:ascii="Times New Roman" w:hAnsi="Times New Roman"/>
        </w:rPr>
        <w:t xml:space="preserve">, </w:t>
      </w:r>
      <w:r w:rsidRPr="008C7FBE">
        <w:rPr>
          <w:rFonts w:ascii="Times New Roman" w:hAnsi="Times New Roman"/>
          <w:i/>
          <w:iCs/>
        </w:rPr>
        <w:t>298</w:t>
      </w:r>
      <w:r w:rsidRPr="008C7FBE">
        <w:rPr>
          <w:rFonts w:ascii="Times New Roman" w:hAnsi="Times New Roman"/>
        </w:rPr>
        <w:t>, 263–268. https://doi.org/10.1016/j.cattod.2017.01.041.</w:t>
      </w:r>
    </w:p>
    <w:p w14:paraId="4027C373" w14:textId="77777777" w:rsidR="008C7FBE" w:rsidRPr="008C7FBE" w:rsidRDefault="008C7FBE" w:rsidP="00200422">
      <w:pPr>
        <w:pStyle w:val="Bibliography"/>
        <w:rPr>
          <w:rFonts w:ascii="Times New Roman" w:hAnsi="Times New Roman"/>
        </w:rPr>
      </w:pPr>
      <w:r w:rsidRPr="008C7FBE">
        <w:rPr>
          <w:rFonts w:ascii="Times New Roman" w:hAnsi="Times New Roman"/>
        </w:rPr>
        <w:t xml:space="preserve">(29) </w:t>
      </w:r>
      <w:r w:rsidRPr="008C7FBE">
        <w:rPr>
          <w:rFonts w:ascii="Times New Roman" w:hAnsi="Times New Roman"/>
        </w:rPr>
        <w:tab/>
        <w:t xml:space="preserve">Elschenbroich, C. </w:t>
      </w:r>
      <w:r w:rsidRPr="008C7FBE">
        <w:rPr>
          <w:rFonts w:ascii="Times New Roman" w:hAnsi="Times New Roman"/>
          <w:i/>
          <w:iCs/>
        </w:rPr>
        <w:t>Organometallics</w:t>
      </w:r>
      <w:r w:rsidRPr="008C7FBE">
        <w:rPr>
          <w:rFonts w:ascii="Times New Roman" w:hAnsi="Times New Roman"/>
        </w:rPr>
        <w:t>, 5th ed.; John Wiley &amp; Sons, 2016.</w:t>
      </w:r>
    </w:p>
    <w:p w14:paraId="5081DAB5" w14:textId="77777777" w:rsidR="008C7FBE" w:rsidRPr="008C7FBE" w:rsidRDefault="008C7FBE" w:rsidP="00200422">
      <w:pPr>
        <w:pStyle w:val="Bibliography"/>
        <w:rPr>
          <w:rFonts w:ascii="Times New Roman" w:hAnsi="Times New Roman"/>
        </w:rPr>
      </w:pPr>
      <w:r w:rsidRPr="008C7FBE">
        <w:rPr>
          <w:rFonts w:ascii="Times New Roman" w:hAnsi="Times New Roman"/>
        </w:rPr>
        <w:t xml:space="preserve">(30) </w:t>
      </w:r>
      <w:r w:rsidRPr="008C7FBE">
        <w:rPr>
          <w:rFonts w:ascii="Times New Roman" w:hAnsi="Times New Roman"/>
        </w:rPr>
        <w:tab/>
        <w:t xml:space="preserve">Wilson, K. L.; Murray, J.; Jamieson, C.; Watson, A. J. B. Cyrene as a Bio-Based Solvent for the Suzuki–Miyaura Cross-Coupling. </w:t>
      </w:r>
      <w:r w:rsidRPr="008C7FBE">
        <w:rPr>
          <w:rFonts w:ascii="Times New Roman" w:hAnsi="Times New Roman"/>
          <w:i/>
          <w:iCs/>
        </w:rPr>
        <w:t>Synlett</w:t>
      </w:r>
      <w:r w:rsidRPr="008C7FBE">
        <w:rPr>
          <w:rFonts w:ascii="Times New Roman" w:hAnsi="Times New Roman"/>
        </w:rPr>
        <w:t xml:space="preserve"> </w:t>
      </w:r>
      <w:r w:rsidRPr="008C7FBE">
        <w:rPr>
          <w:rFonts w:ascii="Times New Roman" w:hAnsi="Times New Roman"/>
          <w:b/>
          <w:bCs/>
        </w:rPr>
        <w:t>2018</w:t>
      </w:r>
      <w:r w:rsidRPr="008C7FBE">
        <w:rPr>
          <w:rFonts w:ascii="Times New Roman" w:hAnsi="Times New Roman"/>
        </w:rPr>
        <w:t xml:space="preserve">, </w:t>
      </w:r>
      <w:r w:rsidRPr="008C7FBE">
        <w:rPr>
          <w:rFonts w:ascii="Times New Roman" w:hAnsi="Times New Roman"/>
          <w:i/>
          <w:iCs/>
        </w:rPr>
        <w:t>14</w:t>
      </w:r>
      <w:r w:rsidRPr="008C7FBE">
        <w:rPr>
          <w:rFonts w:ascii="Times New Roman" w:hAnsi="Times New Roman"/>
        </w:rPr>
        <w:t xml:space="preserve"> (5), 650–654. https://doi.org/10.1055/s-0036-1589143.</w:t>
      </w:r>
    </w:p>
    <w:p w14:paraId="20B039FB" w14:textId="77777777" w:rsidR="008C7FBE" w:rsidRPr="008C7FBE" w:rsidRDefault="008C7FBE" w:rsidP="00200422">
      <w:pPr>
        <w:pStyle w:val="Bibliography"/>
        <w:rPr>
          <w:rFonts w:ascii="Times New Roman" w:hAnsi="Times New Roman"/>
        </w:rPr>
      </w:pPr>
      <w:r w:rsidRPr="008C7FBE">
        <w:rPr>
          <w:rFonts w:ascii="Times New Roman" w:hAnsi="Times New Roman"/>
        </w:rPr>
        <w:t xml:space="preserve">(31) </w:t>
      </w:r>
      <w:r w:rsidRPr="008C7FBE">
        <w:rPr>
          <w:rFonts w:ascii="Times New Roman" w:hAnsi="Times New Roman"/>
        </w:rPr>
        <w:tab/>
        <w:t xml:space="preserve">Molander, G. A.; Elia, M. D. Suzuki-Miyaura Cross-Coupling Reactions of Benzyl Halides with Potassium Aryltrifluoroborates. </w:t>
      </w:r>
      <w:r w:rsidRPr="008C7FBE">
        <w:rPr>
          <w:rFonts w:ascii="Times New Roman" w:hAnsi="Times New Roman"/>
          <w:i/>
          <w:iCs/>
        </w:rPr>
        <w:t>J Org Chem</w:t>
      </w:r>
      <w:r w:rsidRPr="008C7FBE">
        <w:rPr>
          <w:rFonts w:ascii="Times New Roman" w:hAnsi="Times New Roman"/>
        </w:rPr>
        <w:t xml:space="preserve"> </w:t>
      </w:r>
      <w:r w:rsidRPr="008C7FBE">
        <w:rPr>
          <w:rFonts w:ascii="Times New Roman" w:hAnsi="Times New Roman"/>
          <w:b/>
          <w:bCs/>
        </w:rPr>
        <w:t>2006</w:t>
      </w:r>
      <w:r w:rsidRPr="008C7FBE">
        <w:rPr>
          <w:rFonts w:ascii="Times New Roman" w:hAnsi="Times New Roman"/>
        </w:rPr>
        <w:t xml:space="preserve">, </w:t>
      </w:r>
      <w:r w:rsidRPr="008C7FBE">
        <w:rPr>
          <w:rFonts w:ascii="Times New Roman" w:hAnsi="Times New Roman"/>
          <w:i/>
          <w:iCs/>
        </w:rPr>
        <w:t>71</w:t>
      </w:r>
      <w:r w:rsidRPr="008C7FBE">
        <w:rPr>
          <w:rFonts w:ascii="Times New Roman" w:hAnsi="Times New Roman"/>
        </w:rPr>
        <w:t xml:space="preserve"> (24), 9198–9202. https://doi.org/10.1021/jo061699f.</w:t>
      </w:r>
    </w:p>
    <w:p w14:paraId="23AD1F10" w14:textId="77777777" w:rsidR="008C7FBE" w:rsidRPr="008C7FBE" w:rsidRDefault="008C7FBE" w:rsidP="00200422">
      <w:pPr>
        <w:pStyle w:val="Bibliography"/>
        <w:rPr>
          <w:rFonts w:ascii="Times New Roman" w:hAnsi="Times New Roman"/>
        </w:rPr>
      </w:pPr>
      <w:r w:rsidRPr="008C7FBE">
        <w:rPr>
          <w:rFonts w:ascii="Times New Roman" w:hAnsi="Times New Roman"/>
        </w:rPr>
        <w:t xml:space="preserve">(32) </w:t>
      </w:r>
      <w:r w:rsidRPr="008C7FBE">
        <w:rPr>
          <w:rFonts w:ascii="Times New Roman" w:hAnsi="Times New Roman"/>
        </w:rPr>
        <w:tab/>
        <w:t xml:space="preserve">Prat, D.; Wells, A.; Hayler, J.; Sneddon, H.; McElroy, C. R.; Abou-Shehada, S.; Dunn, P. J. CHEM21 Selection Guide of Classical- and Less Classical-Solvents. </w:t>
      </w:r>
      <w:r w:rsidRPr="008C7FBE">
        <w:rPr>
          <w:rFonts w:ascii="Times New Roman" w:hAnsi="Times New Roman"/>
          <w:i/>
          <w:iCs/>
        </w:rPr>
        <w:t>Green Chem.</w:t>
      </w:r>
      <w:r w:rsidRPr="008C7FBE">
        <w:rPr>
          <w:rFonts w:ascii="Times New Roman" w:hAnsi="Times New Roman"/>
        </w:rPr>
        <w:t xml:space="preserve"> </w:t>
      </w:r>
      <w:r w:rsidRPr="008C7FBE">
        <w:rPr>
          <w:rFonts w:ascii="Times New Roman" w:hAnsi="Times New Roman"/>
          <w:b/>
          <w:bCs/>
        </w:rPr>
        <w:t>2016</w:t>
      </w:r>
      <w:r w:rsidRPr="008C7FBE">
        <w:rPr>
          <w:rFonts w:ascii="Times New Roman" w:hAnsi="Times New Roman"/>
        </w:rPr>
        <w:t xml:space="preserve">, </w:t>
      </w:r>
      <w:r w:rsidRPr="008C7FBE">
        <w:rPr>
          <w:rFonts w:ascii="Times New Roman" w:hAnsi="Times New Roman"/>
          <w:i/>
          <w:iCs/>
        </w:rPr>
        <w:t>18</w:t>
      </w:r>
      <w:r w:rsidRPr="008C7FBE">
        <w:rPr>
          <w:rFonts w:ascii="Times New Roman" w:hAnsi="Times New Roman"/>
        </w:rPr>
        <w:t xml:space="preserve"> (1), 288–296. https://doi.org/10.1039/C5GC01008J.</w:t>
      </w:r>
    </w:p>
    <w:p w14:paraId="438D6A3A" w14:textId="77777777" w:rsidR="008C7FBE" w:rsidRPr="008C7FBE" w:rsidRDefault="008C7FBE" w:rsidP="00200422">
      <w:pPr>
        <w:pStyle w:val="Bibliography"/>
        <w:rPr>
          <w:rFonts w:ascii="Times New Roman" w:hAnsi="Times New Roman"/>
        </w:rPr>
      </w:pPr>
      <w:r w:rsidRPr="008C7FBE">
        <w:rPr>
          <w:rFonts w:ascii="Times New Roman" w:hAnsi="Times New Roman"/>
        </w:rPr>
        <w:t xml:space="preserve">(33) </w:t>
      </w:r>
      <w:r w:rsidRPr="008C7FBE">
        <w:rPr>
          <w:rFonts w:ascii="Times New Roman" w:hAnsi="Times New Roman"/>
        </w:rPr>
        <w:tab/>
        <w:t xml:space="preserve">Paggiola, G.; Hunt, A. J.; McElroy, C. R.; Sherwood, J.; Clark, J. H. Biocatalysis in Bio-Derived Solvents: An Improved Approach for Medium Optimisation. </w:t>
      </w:r>
      <w:r w:rsidRPr="008C7FBE">
        <w:rPr>
          <w:rFonts w:ascii="Times New Roman" w:hAnsi="Times New Roman"/>
          <w:i/>
          <w:iCs/>
        </w:rPr>
        <w:t>Green Chem.</w:t>
      </w:r>
      <w:r w:rsidRPr="008C7FBE">
        <w:rPr>
          <w:rFonts w:ascii="Times New Roman" w:hAnsi="Times New Roman"/>
        </w:rPr>
        <w:t xml:space="preserve"> </w:t>
      </w:r>
      <w:r w:rsidRPr="008C7FBE">
        <w:rPr>
          <w:rFonts w:ascii="Times New Roman" w:hAnsi="Times New Roman"/>
          <w:b/>
          <w:bCs/>
        </w:rPr>
        <w:t>2014</w:t>
      </w:r>
      <w:r w:rsidRPr="008C7FBE">
        <w:rPr>
          <w:rFonts w:ascii="Times New Roman" w:hAnsi="Times New Roman"/>
        </w:rPr>
        <w:t xml:space="preserve">, </w:t>
      </w:r>
      <w:r w:rsidRPr="008C7FBE">
        <w:rPr>
          <w:rFonts w:ascii="Times New Roman" w:hAnsi="Times New Roman"/>
          <w:i/>
          <w:iCs/>
        </w:rPr>
        <w:t>16</w:t>
      </w:r>
      <w:r w:rsidRPr="008C7FBE">
        <w:rPr>
          <w:rFonts w:ascii="Times New Roman" w:hAnsi="Times New Roman"/>
        </w:rPr>
        <w:t xml:space="preserve"> (4), 2107–2110. https://doi.org/10.1039/C3GC42526F.</w:t>
      </w:r>
    </w:p>
    <w:p w14:paraId="2330FC81" w14:textId="77777777" w:rsidR="008C7FBE" w:rsidRPr="008C7FBE" w:rsidRDefault="008C7FBE" w:rsidP="00200422">
      <w:pPr>
        <w:pStyle w:val="Bibliography"/>
        <w:rPr>
          <w:rFonts w:ascii="Times New Roman" w:hAnsi="Times New Roman"/>
        </w:rPr>
      </w:pPr>
      <w:r w:rsidRPr="008C7FBE">
        <w:rPr>
          <w:rFonts w:ascii="Times New Roman" w:hAnsi="Times New Roman"/>
        </w:rPr>
        <w:t xml:space="preserve">(34) </w:t>
      </w:r>
      <w:r w:rsidRPr="008C7FBE">
        <w:rPr>
          <w:rFonts w:ascii="Times New Roman" w:hAnsi="Times New Roman"/>
        </w:rPr>
        <w:tab/>
        <w:t xml:space="preserve">Iemhoff, A.; Sherwood, J.; McElroy, C. R.; Hunt, A. J. Towards Sustainable Kinetic Resolution, a Combination of Bio-Catalysis, Flow Chemistry and Bio-Based Solvents. </w:t>
      </w:r>
      <w:r w:rsidRPr="008C7FBE">
        <w:rPr>
          <w:rFonts w:ascii="Times New Roman" w:hAnsi="Times New Roman"/>
          <w:i/>
          <w:iCs/>
        </w:rPr>
        <w:t>Green Chem.</w:t>
      </w:r>
      <w:r w:rsidRPr="008C7FBE">
        <w:rPr>
          <w:rFonts w:ascii="Times New Roman" w:hAnsi="Times New Roman"/>
        </w:rPr>
        <w:t xml:space="preserve"> </w:t>
      </w:r>
      <w:r w:rsidRPr="008C7FBE">
        <w:rPr>
          <w:rFonts w:ascii="Times New Roman" w:hAnsi="Times New Roman"/>
          <w:b/>
          <w:bCs/>
        </w:rPr>
        <w:t>2018</w:t>
      </w:r>
      <w:r w:rsidRPr="008C7FBE">
        <w:rPr>
          <w:rFonts w:ascii="Times New Roman" w:hAnsi="Times New Roman"/>
        </w:rPr>
        <w:t xml:space="preserve">, </w:t>
      </w:r>
      <w:r w:rsidRPr="008C7FBE">
        <w:rPr>
          <w:rFonts w:ascii="Times New Roman" w:hAnsi="Times New Roman"/>
          <w:i/>
          <w:iCs/>
        </w:rPr>
        <w:t>20</w:t>
      </w:r>
      <w:r w:rsidRPr="008C7FBE">
        <w:rPr>
          <w:rFonts w:ascii="Times New Roman" w:hAnsi="Times New Roman"/>
        </w:rPr>
        <w:t xml:space="preserve"> (1), 136–140. https://doi.org/10.1039/C7GC03177G.</w:t>
      </w:r>
    </w:p>
    <w:p w14:paraId="295394A4" w14:textId="77777777" w:rsidR="008C7FBE" w:rsidRPr="008C7FBE" w:rsidRDefault="008C7FBE" w:rsidP="00200422">
      <w:pPr>
        <w:pStyle w:val="Bibliography"/>
        <w:rPr>
          <w:rFonts w:ascii="Times New Roman" w:hAnsi="Times New Roman"/>
        </w:rPr>
      </w:pPr>
      <w:r w:rsidRPr="008C7FBE">
        <w:rPr>
          <w:rFonts w:ascii="Times New Roman" w:hAnsi="Times New Roman"/>
        </w:rPr>
        <w:t xml:space="preserve">(35) </w:t>
      </w:r>
      <w:r w:rsidRPr="008C7FBE">
        <w:rPr>
          <w:rFonts w:ascii="Times New Roman" w:hAnsi="Times New Roman"/>
        </w:rPr>
        <w:tab/>
        <w:t xml:space="preserve">Pellis, A.; P. Byrne, F.; Sherwood, J.; Vastano, M.; W. Comerford, J.; J. Farmer, T. Safer Bio-Based Solvents to Replace Toluene and Tetrahydrofuran for the Biocatalyzed Synthesis of Polyesters. </w:t>
      </w:r>
      <w:r w:rsidRPr="008C7FBE">
        <w:rPr>
          <w:rFonts w:ascii="Times New Roman" w:hAnsi="Times New Roman"/>
          <w:i/>
          <w:iCs/>
        </w:rPr>
        <w:t>Green Chemistry</w:t>
      </w:r>
      <w:r w:rsidRPr="008C7FBE">
        <w:rPr>
          <w:rFonts w:ascii="Times New Roman" w:hAnsi="Times New Roman"/>
        </w:rPr>
        <w:t xml:space="preserve"> </w:t>
      </w:r>
      <w:r w:rsidRPr="008C7FBE">
        <w:rPr>
          <w:rFonts w:ascii="Times New Roman" w:hAnsi="Times New Roman"/>
          <w:b/>
          <w:bCs/>
        </w:rPr>
        <w:t>2019</w:t>
      </w:r>
      <w:r w:rsidRPr="008C7FBE">
        <w:rPr>
          <w:rFonts w:ascii="Times New Roman" w:hAnsi="Times New Roman"/>
        </w:rPr>
        <w:t xml:space="preserve">, </w:t>
      </w:r>
      <w:r w:rsidRPr="008C7FBE">
        <w:rPr>
          <w:rFonts w:ascii="Times New Roman" w:hAnsi="Times New Roman"/>
          <w:i/>
          <w:iCs/>
        </w:rPr>
        <w:t>21</w:t>
      </w:r>
      <w:r w:rsidRPr="008C7FBE">
        <w:rPr>
          <w:rFonts w:ascii="Times New Roman" w:hAnsi="Times New Roman"/>
        </w:rPr>
        <w:t xml:space="preserve"> (7), 1686–1694. https://doi.org/10.1039/C8GC03567A.</w:t>
      </w:r>
    </w:p>
    <w:p w14:paraId="067A1EC4" w14:textId="77777777" w:rsidR="008C7FBE" w:rsidRPr="008C7FBE" w:rsidRDefault="008C7FBE" w:rsidP="00200422">
      <w:pPr>
        <w:pStyle w:val="Bibliography"/>
        <w:rPr>
          <w:rFonts w:ascii="Times New Roman" w:hAnsi="Times New Roman"/>
        </w:rPr>
      </w:pPr>
      <w:r w:rsidRPr="008C7FBE">
        <w:rPr>
          <w:rFonts w:ascii="Times New Roman" w:hAnsi="Times New Roman"/>
        </w:rPr>
        <w:t xml:space="preserve">(36) </w:t>
      </w:r>
      <w:r w:rsidRPr="008C7FBE">
        <w:rPr>
          <w:rFonts w:ascii="Times New Roman" w:hAnsi="Times New Roman"/>
        </w:rPr>
        <w:tab/>
        <w:t xml:space="preserve">Jiang, Y.; J. Woortman, A. J.; Ekenstein, G. O. R. A. van; Loos, K. A Biocatalytic Approach towards Sustainable Furanic–Aliphatic Polyesters. </w:t>
      </w:r>
      <w:r w:rsidRPr="008C7FBE">
        <w:rPr>
          <w:rFonts w:ascii="Times New Roman" w:hAnsi="Times New Roman"/>
          <w:i/>
          <w:iCs/>
        </w:rPr>
        <w:t>Polymer Chemistry</w:t>
      </w:r>
      <w:r w:rsidRPr="008C7FBE">
        <w:rPr>
          <w:rFonts w:ascii="Times New Roman" w:hAnsi="Times New Roman"/>
        </w:rPr>
        <w:t xml:space="preserve"> </w:t>
      </w:r>
      <w:r w:rsidRPr="008C7FBE">
        <w:rPr>
          <w:rFonts w:ascii="Times New Roman" w:hAnsi="Times New Roman"/>
          <w:b/>
          <w:bCs/>
        </w:rPr>
        <w:t>2015</w:t>
      </w:r>
      <w:r w:rsidRPr="008C7FBE">
        <w:rPr>
          <w:rFonts w:ascii="Times New Roman" w:hAnsi="Times New Roman"/>
        </w:rPr>
        <w:t xml:space="preserve">, </w:t>
      </w:r>
      <w:r w:rsidRPr="008C7FBE">
        <w:rPr>
          <w:rFonts w:ascii="Times New Roman" w:hAnsi="Times New Roman"/>
          <w:i/>
          <w:iCs/>
        </w:rPr>
        <w:t>6</w:t>
      </w:r>
      <w:r w:rsidRPr="008C7FBE">
        <w:rPr>
          <w:rFonts w:ascii="Times New Roman" w:hAnsi="Times New Roman"/>
        </w:rPr>
        <w:t xml:space="preserve"> (29), 5198–5211. https://doi.org/10.1039/C5PY00629E.</w:t>
      </w:r>
    </w:p>
    <w:p w14:paraId="15FAE7BF" w14:textId="77777777" w:rsidR="008C7FBE" w:rsidRPr="008C7FBE" w:rsidRDefault="008C7FBE" w:rsidP="00200422">
      <w:pPr>
        <w:pStyle w:val="Bibliography"/>
        <w:rPr>
          <w:rFonts w:ascii="Times New Roman" w:hAnsi="Times New Roman"/>
        </w:rPr>
      </w:pPr>
      <w:r w:rsidRPr="008C7FBE">
        <w:rPr>
          <w:rFonts w:ascii="Times New Roman" w:hAnsi="Times New Roman"/>
        </w:rPr>
        <w:t xml:space="preserve">(37) </w:t>
      </w:r>
      <w:r w:rsidRPr="008C7FBE">
        <w:rPr>
          <w:rFonts w:ascii="Times New Roman" w:hAnsi="Times New Roman"/>
        </w:rPr>
        <w:tab/>
        <w:t xml:space="preserve">Pellis, A.; Comerford, J. W.; Weinberger, S.; Guebitz, G. M.; Clark, J. H.; Farmer, T. J. Enzymatic Synthesis of Lignin Derivable Pyridine Based Polyesters for the Substitution of </w:t>
      </w:r>
      <w:r w:rsidRPr="008C7FBE">
        <w:rPr>
          <w:rFonts w:ascii="Times New Roman" w:hAnsi="Times New Roman"/>
        </w:rPr>
        <w:lastRenderedPageBreak/>
        <w:t xml:space="preserve">Petroleum Derived Plastics. </w:t>
      </w:r>
      <w:r w:rsidRPr="008C7FBE">
        <w:rPr>
          <w:rFonts w:ascii="Times New Roman" w:hAnsi="Times New Roman"/>
          <w:i/>
          <w:iCs/>
        </w:rPr>
        <w:t>Nature Communications</w:t>
      </w:r>
      <w:r w:rsidRPr="008C7FBE">
        <w:rPr>
          <w:rFonts w:ascii="Times New Roman" w:hAnsi="Times New Roman"/>
        </w:rPr>
        <w:t xml:space="preserve"> </w:t>
      </w:r>
      <w:r w:rsidRPr="008C7FBE">
        <w:rPr>
          <w:rFonts w:ascii="Times New Roman" w:hAnsi="Times New Roman"/>
          <w:b/>
          <w:bCs/>
        </w:rPr>
        <w:t>2019</w:t>
      </w:r>
      <w:r w:rsidRPr="008C7FBE">
        <w:rPr>
          <w:rFonts w:ascii="Times New Roman" w:hAnsi="Times New Roman"/>
        </w:rPr>
        <w:t xml:space="preserve">, </w:t>
      </w:r>
      <w:r w:rsidRPr="008C7FBE">
        <w:rPr>
          <w:rFonts w:ascii="Times New Roman" w:hAnsi="Times New Roman"/>
          <w:i/>
          <w:iCs/>
        </w:rPr>
        <w:t>10</w:t>
      </w:r>
      <w:r w:rsidRPr="008C7FBE">
        <w:rPr>
          <w:rFonts w:ascii="Times New Roman" w:hAnsi="Times New Roman"/>
        </w:rPr>
        <w:t xml:space="preserve"> (1), 1762. https://doi.org/10.1038/s41467-019-09817-3.</w:t>
      </w:r>
    </w:p>
    <w:p w14:paraId="55995A1C" w14:textId="77777777" w:rsidR="008C7FBE" w:rsidRPr="008C7FBE" w:rsidRDefault="008C7FBE" w:rsidP="00200422">
      <w:pPr>
        <w:pStyle w:val="Bibliography"/>
        <w:rPr>
          <w:rFonts w:ascii="Times New Roman" w:hAnsi="Times New Roman"/>
        </w:rPr>
      </w:pPr>
      <w:r w:rsidRPr="008C7FBE">
        <w:rPr>
          <w:rFonts w:ascii="Times New Roman" w:hAnsi="Times New Roman"/>
        </w:rPr>
        <w:t xml:space="preserve">(38) </w:t>
      </w:r>
      <w:r w:rsidRPr="008C7FBE">
        <w:rPr>
          <w:rFonts w:ascii="Times New Roman" w:hAnsi="Times New Roman"/>
        </w:rPr>
        <w:tab/>
        <w:t xml:space="preserve">Pellis, A.; Comerford, J. W.; Maneffa, A. J.; Sipponen, M. H.; Clark, J. H.; Farmer, T. J. Elucidating Enzymatic Polymerisations: Chain-Length Selectivity of Candida Antarctica Lipase B towards Various Aliphatic Diols and Dicarboxylic Acid Diesters. </w:t>
      </w:r>
      <w:r w:rsidRPr="008C7FBE">
        <w:rPr>
          <w:rFonts w:ascii="Times New Roman" w:hAnsi="Times New Roman"/>
          <w:i/>
          <w:iCs/>
        </w:rPr>
        <w:t>European Polymer Journal</w:t>
      </w:r>
      <w:r w:rsidRPr="008C7FBE">
        <w:rPr>
          <w:rFonts w:ascii="Times New Roman" w:hAnsi="Times New Roman"/>
        </w:rPr>
        <w:t xml:space="preserve"> </w:t>
      </w:r>
      <w:r w:rsidRPr="008C7FBE">
        <w:rPr>
          <w:rFonts w:ascii="Times New Roman" w:hAnsi="Times New Roman"/>
          <w:b/>
          <w:bCs/>
        </w:rPr>
        <w:t>2018</w:t>
      </w:r>
      <w:r w:rsidRPr="008C7FBE">
        <w:rPr>
          <w:rFonts w:ascii="Times New Roman" w:hAnsi="Times New Roman"/>
        </w:rPr>
        <w:t xml:space="preserve">, </w:t>
      </w:r>
      <w:r w:rsidRPr="008C7FBE">
        <w:rPr>
          <w:rFonts w:ascii="Times New Roman" w:hAnsi="Times New Roman"/>
          <w:i/>
          <w:iCs/>
        </w:rPr>
        <w:t>106</w:t>
      </w:r>
      <w:r w:rsidRPr="008C7FBE">
        <w:rPr>
          <w:rFonts w:ascii="Times New Roman" w:hAnsi="Times New Roman"/>
        </w:rPr>
        <w:t>, 79–84. https://doi.org/10.1016/j.eurpolymj.2018.07.009.</w:t>
      </w:r>
    </w:p>
    <w:p w14:paraId="7722C833" w14:textId="77777777" w:rsidR="008C7FBE" w:rsidRPr="008C7FBE" w:rsidRDefault="008C7FBE" w:rsidP="00200422">
      <w:pPr>
        <w:pStyle w:val="Bibliography"/>
        <w:rPr>
          <w:rFonts w:ascii="Times New Roman" w:hAnsi="Times New Roman"/>
        </w:rPr>
      </w:pPr>
      <w:r w:rsidRPr="008C7FBE">
        <w:rPr>
          <w:rFonts w:ascii="Times New Roman" w:hAnsi="Times New Roman"/>
        </w:rPr>
        <w:t xml:space="preserve">(39) </w:t>
      </w:r>
      <w:r w:rsidRPr="008C7FBE">
        <w:rPr>
          <w:rFonts w:ascii="Times New Roman" w:hAnsi="Times New Roman"/>
        </w:rPr>
        <w:tab/>
        <w:t xml:space="preserve">Pellis, A.; Ferrario, V.; Cespugli, M.; Corici, L.; Guarneri, A.; Zartl, B.; Acero, E. H.; Ebert, C.; Guebitz, G. M.; Gardossi, L. Fully Renewable Polyesters via Polycondensation Catalyzed by Thermobifida Cellulosilytica Cutinase 1: An Integrated Approach. </w:t>
      </w:r>
      <w:r w:rsidRPr="008C7FBE">
        <w:rPr>
          <w:rFonts w:ascii="Times New Roman" w:hAnsi="Times New Roman"/>
          <w:i/>
          <w:iCs/>
        </w:rPr>
        <w:t>Green Chem.</w:t>
      </w:r>
      <w:r w:rsidRPr="008C7FBE">
        <w:rPr>
          <w:rFonts w:ascii="Times New Roman" w:hAnsi="Times New Roman"/>
        </w:rPr>
        <w:t xml:space="preserve"> </w:t>
      </w:r>
      <w:r w:rsidRPr="008C7FBE">
        <w:rPr>
          <w:rFonts w:ascii="Times New Roman" w:hAnsi="Times New Roman"/>
          <w:b/>
          <w:bCs/>
        </w:rPr>
        <w:t>2017</w:t>
      </w:r>
      <w:r w:rsidRPr="008C7FBE">
        <w:rPr>
          <w:rFonts w:ascii="Times New Roman" w:hAnsi="Times New Roman"/>
        </w:rPr>
        <w:t xml:space="preserve">, </w:t>
      </w:r>
      <w:r w:rsidRPr="008C7FBE">
        <w:rPr>
          <w:rFonts w:ascii="Times New Roman" w:hAnsi="Times New Roman"/>
          <w:i/>
          <w:iCs/>
        </w:rPr>
        <w:t>19</w:t>
      </w:r>
      <w:r w:rsidRPr="008C7FBE">
        <w:rPr>
          <w:rFonts w:ascii="Times New Roman" w:hAnsi="Times New Roman"/>
        </w:rPr>
        <w:t xml:space="preserve"> (2), 490–502. https://doi.org/10.1039/C6GC02142E.</w:t>
      </w:r>
    </w:p>
    <w:p w14:paraId="0C67392D" w14:textId="77777777" w:rsidR="008C7FBE" w:rsidRPr="008C7FBE" w:rsidRDefault="008C7FBE" w:rsidP="00200422">
      <w:pPr>
        <w:pStyle w:val="Bibliography"/>
        <w:rPr>
          <w:rFonts w:ascii="Times New Roman" w:hAnsi="Times New Roman"/>
        </w:rPr>
      </w:pPr>
      <w:r w:rsidRPr="008C7FBE">
        <w:rPr>
          <w:rFonts w:ascii="Times New Roman" w:hAnsi="Times New Roman"/>
        </w:rPr>
        <w:t xml:space="preserve">(40) </w:t>
      </w:r>
      <w:r w:rsidRPr="008C7FBE">
        <w:rPr>
          <w:rFonts w:ascii="Times New Roman" w:hAnsi="Times New Roman"/>
        </w:rPr>
        <w:tab/>
        <w:t xml:space="preserve">Pellis, A.; Vastano, M.; Quartinello, F.; Acero, E. H.; Guebitz, G. M. His-Tag Immobilization of Cutinase 1 From Thermobifida Cellulosilytica for Solvent-Free Synthesis of Polyesters. </w:t>
      </w:r>
      <w:r w:rsidRPr="008C7FBE">
        <w:rPr>
          <w:rFonts w:ascii="Times New Roman" w:hAnsi="Times New Roman"/>
          <w:i/>
          <w:iCs/>
        </w:rPr>
        <w:t>Biotechnology Journal</w:t>
      </w:r>
      <w:r w:rsidRPr="008C7FBE">
        <w:rPr>
          <w:rFonts w:ascii="Times New Roman" w:hAnsi="Times New Roman"/>
        </w:rPr>
        <w:t xml:space="preserve"> </w:t>
      </w:r>
      <w:r w:rsidRPr="008C7FBE">
        <w:rPr>
          <w:rFonts w:ascii="Times New Roman" w:hAnsi="Times New Roman"/>
          <w:b/>
          <w:bCs/>
        </w:rPr>
        <w:t>2017</w:t>
      </w:r>
      <w:r w:rsidRPr="008C7FBE">
        <w:rPr>
          <w:rFonts w:ascii="Times New Roman" w:hAnsi="Times New Roman"/>
        </w:rPr>
        <w:t xml:space="preserve">, </w:t>
      </w:r>
      <w:r w:rsidRPr="008C7FBE">
        <w:rPr>
          <w:rFonts w:ascii="Times New Roman" w:hAnsi="Times New Roman"/>
          <w:i/>
          <w:iCs/>
        </w:rPr>
        <w:t>12</w:t>
      </w:r>
      <w:r w:rsidRPr="008C7FBE">
        <w:rPr>
          <w:rFonts w:ascii="Times New Roman" w:hAnsi="Times New Roman"/>
        </w:rPr>
        <w:t xml:space="preserve"> (10), 1700322. https://doi.org/10.1002/biot.201700322.</w:t>
      </w:r>
    </w:p>
    <w:p w14:paraId="6F093582" w14:textId="77777777" w:rsidR="008C7FBE" w:rsidRPr="008C7FBE" w:rsidRDefault="008C7FBE" w:rsidP="00200422">
      <w:pPr>
        <w:pStyle w:val="Bibliography"/>
        <w:rPr>
          <w:rFonts w:ascii="Times New Roman" w:hAnsi="Times New Roman"/>
        </w:rPr>
      </w:pPr>
      <w:r w:rsidRPr="008C7FBE">
        <w:rPr>
          <w:rFonts w:ascii="Times New Roman" w:hAnsi="Times New Roman"/>
        </w:rPr>
        <w:t xml:space="preserve">(41) </w:t>
      </w:r>
      <w:r w:rsidRPr="008C7FBE">
        <w:rPr>
          <w:rFonts w:ascii="Times New Roman" w:hAnsi="Times New Roman"/>
        </w:rPr>
        <w:tab/>
        <w:t xml:space="preserve">Douka, A.; Vouyiouka, S.; Papaspyridi, L.-M.; Papaspyrides, C. D. A Review on Enzymatic Polymerization to Produce Polycondensation Polymers: The Case of Aliphatic Polyesters, Polyamides and Polyesteramides. </w:t>
      </w:r>
      <w:r w:rsidRPr="008C7FBE">
        <w:rPr>
          <w:rFonts w:ascii="Times New Roman" w:hAnsi="Times New Roman"/>
          <w:i/>
          <w:iCs/>
        </w:rPr>
        <w:t>Progress in Polymer Science</w:t>
      </w:r>
      <w:r w:rsidRPr="008C7FBE">
        <w:rPr>
          <w:rFonts w:ascii="Times New Roman" w:hAnsi="Times New Roman"/>
        </w:rPr>
        <w:t xml:space="preserve"> </w:t>
      </w:r>
      <w:r w:rsidRPr="008C7FBE">
        <w:rPr>
          <w:rFonts w:ascii="Times New Roman" w:hAnsi="Times New Roman"/>
          <w:b/>
          <w:bCs/>
        </w:rPr>
        <w:t>2018</w:t>
      </w:r>
      <w:r w:rsidRPr="008C7FBE">
        <w:rPr>
          <w:rFonts w:ascii="Times New Roman" w:hAnsi="Times New Roman"/>
        </w:rPr>
        <w:t xml:space="preserve">, </w:t>
      </w:r>
      <w:r w:rsidRPr="008C7FBE">
        <w:rPr>
          <w:rFonts w:ascii="Times New Roman" w:hAnsi="Times New Roman"/>
          <w:i/>
          <w:iCs/>
        </w:rPr>
        <w:t>79</w:t>
      </w:r>
      <w:r w:rsidRPr="008C7FBE">
        <w:rPr>
          <w:rFonts w:ascii="Times New Roman" w:hAnsi="Times New Roman"/>
        </w:rPr>
        <w:t>, 1–25. https://doi.org/10.1016/j.progpolymsci.2017.10.001.</w:t>
      </w:r>
    </w:p>
    <w:p w14:paraId="4F56A4FA" w14:textId="77777777" w:rsidR="008C7FBE" w:rsidRPr="008C7FBE" w:rsidRDefault="008C7FBE" w:rsidP="00200422">
      <w:pPr>
        <w:pStyle w:val="Bibliography"/>
        <w:rPr>
          <w:rFonts w:ascii="Times New Roman" w:hAnsi="Times New Roman"/>
        </w:rPr>
      </w:pPr>
      <w:r w:rsidRPr="008C7FBE">
        <w:rPr>
          <w:rFonts w:ascii="Times New Roman" w:hAnsi="Times New Roman"/>
        </w:rPr>
        <w:t xml:space="preserve">(42) </w:t>
      </w:r>
      <w:r w:rsidRPr="008C7FBE">
        <w:rPr>
          <w:rFonts w:ascii="Times New Roman" w:hAnsi="Times New Roman"/>
        </w:rPr>
        <w:tab/>
        <w:t xml:space="preserve">Erdmenger, T.; Guerrero-Sanchez, C.; Vitz, J.; Hoogenboom, R.; S. Schubert, U. Recent Developments in the Utilization of Green Solvents in Polymer Chemistry. </w:t>
      </w:r>
      <w:r w:rsidRPr="008C7FBE">
        <w:rPr>
          <w:rFonts w:ascii="Times New Roman" w:hAnsi="Times New Roman"/>
          <w:i/>
          <w:iCs/>
        </w:rPr>
        <w:t>Chemical Society Reviews</w:t>
      </w:r>
      <w:r w:rsidRPr="008C7FBE">
        <w:rPr>
          <w:rFonts w:ascii="Times New Roman" w:hAnsi="Times New Roman"/>
        </w:rPr>
        <w:t xml:space="preserve"> </w:t>
      </w:r>
      <w:r w:rsidRPr="008C7FBE">
        <w:rPr>
          <w:rFonts w:ascii="Times New Roman" w:hAnsi="Times New Roman"/>
          <w:b/>
          <w:bCs/>
        </w:rPr>
        <w:t>2010</w:t>
      </w:r>
      <w:r w:rsidRPr="008C7FBE">
        <w:rPr>
          <w:rFonts w:ascii="Times New Roman" w:hAnsi="Times New Roman"/>
        </w:rPr>
        <w:t xml:space="preserve">, </w:t>
      </w:r>
      <w:r w:rsidRPr="008C7FBE">
        <w:rPr>
          <w:rFonts w:ascii="Times New Roman" w:hAnsi="Times New Roman"/>
          <w:i/>
          <w:iCs/>
        </w:rPr>
        <w:t>39</w:t>
      </w:r>
      <w:r w:rsidRPr="008C7FBE">
        <w:rPr>
          <w:rFonts w:ascii="Times New Roman" w:hAnsi="Times New Roman"/>
        </w:rPr>
        <w:t xml:space="preserve"> (8), 3317–3333. https://doi.org/10.1039/B909964F.</w:t>
      </w:r>
    </w:p>
    <w:p w14:paraId="4A03E243" w14:textId="77777777" w:rsidR="008C7FBE" w:rsidRPr="008C7FBE" w:rsidRDefault="008C7FBE" w:rsidP="00200422">
      <w:pPr>
        <w:pStyle w:val="Bibliography"/>
        <w:rPr>
          <w:rFonts w:ascii="Times New Roman" w:hAnsi="Times New Roman"/>
        </w:rPr>
      </w:pPr>
      <w:r w:rsidRPr="008C7FBE">
        <w:rPr>
          <w:rFonts w:ascii="Times New Roman" w:hAnsi="Times New Roman"/>
        </w:rPr>
        <w:t xml:space="preserve">(43) </w:t>
      </w:r>
      <w:r w:rsidRPr="008C7FBE">
        <w:rPr>
          <w:rFonts w:ascii="Times New Roman" w:hAnsi="Times New Roman"/>
        </w:rPr>
        <w:tab/>
        <w:t xml:space="preserve">García, M. T.; Gracia, I.; Duque, G.; Lucas, A. de; Rodríguez, J. F. Study of the Solubility and Stability of Polystyrene Wastes in a Dissolution Recycling Process. </w:t>
      </w:r>
      <w:r w:rsidRPr="008C7FBE">
        <w:rPr>
          <w:rFonts w:ascii="Times New Roman" w:hAnsi="Times New Roman"/>
          <w:i/>
          <w:iCs/>
        </w:rPr>
        <w:t>Waste Management</w:t>
      </w:r>
      <w:r w:rsidRPr="008C7FBE">
        <w:rPr>
          <w:rFonts w:ascii="Times New Roman" w:hAnsi="Times New Roman"/>
        </w:rPr>
        <w:t xml:space="preserve"> </w:t>
      </w:r>
      <w:r w:rsidRPr="008C7FBE">
        <w:rPr>
          <w:rFonts w:ascii="Times New Roman" w:hAnsi="Times New Roman"/>
          <w:b/>
          <w:bCs/>
        </w:rPr>
        <w:t>2009</w:t>
      </w:r>
      <w:r w:rsidRPr="008C7FBE">
        <w:rPr>
          <w:rFonts w:ascii="Times New Roman" w:hAnsi="Times New Roman"/>
        </w:rPr>
        <w:t xml:space="preserve">, </w:t>
      </w:r>
      <w:r w:rsidRPr="008C7FBE">
        <w:rPr>
          <w:rFonts w:ascii="Times New Roman" w:hAnsi="Times New Roman"/>
          <w:i/>
          <w:iCs/>
        </w:rPr>
        <w:t>29</w:t>
      </w:r>
      <w:r w:rsidRPr="008C7FBE">
        <w:rPr>
          <w:rFonts w:ascii="Times New Roman" w:hAnsi="Times New Roman"/>
        </w:rPr>
        <w:t xml:space="preserve"> (6), 1814–1818. https://doi.org/10.1016/j.wasman.2009.01.001.</w:t>
      </w:r>
    </w:p>
    <w:p w14:paraId="6DA9392F" w14:textId="6DF3B471" w:rsidR="009246AD" w:rsidRPr="005F0594" w:rsidRDefault="005F4F6D" w:rsidP="008C7FBE">
      <w:pPr>
        <w:pStyle w:val="Bibliography"/>
      </w:pPr>
      <w:r>
        <w:fldChar w:fldCharType="end"/>
      </w:r>
    </w:p>
    <w:p w14:paraId="3497DC26" w14:textId="77777777" w:rsidR="008712AE" w:rsidRDefault="008712AE" w:rsidP="000B5610">
      <w:pPr>
        <w:pStyle w:val="SNSynopsisTOC"/>
        <w:spacing w:after="240"/>
        <w:jc w:val="left"/>
        <w:rPr>
          <w:rFonts w:ascii="Times New Roman" w:hAnsi="Times New Roman"/>
          <w:b/>
          <w:bCs/>
        </w:rPr>
      </w:pPr>
    </w:p>
    <w:p w14:paraId="3F67F863" w14:textId="60C8AAD9" w:rsidR="008712AE" w:rsidRDefault="008712AE" w:rsidP="000B5610">
      <w:pPr>
        <w:pStyle w:val="SNSynopsisTOC"/>
        <w:spacing w:after="240"/>
        <w:jc w:val="left"/>
        <w:rPr>
          <w:rFonts w:ascii="Times New Roman" w:hAnsi="Times New Roman"/>
          <w:b/>
          <w:bCs/>
        </w:rPr>
      </w:pPr>
    </w:p>
    <w:p w14:paraId="0D4F2CF6" w14:textId="317CA2F3" w:rsidR="008712AE" w:rsidRDefault="008712AE" w:rsidP="000B5610">
      <w:pPr>
        <w:pStyle w:val="SNSynopsisTOC"/>
        <w:spacing w:after="240"/>
        <w:jc w:val="left"/>
        <w:rPr>
          <w:rFonts w:ascii="Times New Roman" w:hAnsi="Times New Roman"/>
          <w:b/>
          <w:bCs/>
        </w:rPr>
      </w:pPr>
    </w:p>
    <w:p w14:paraId="158405FE" w14:textId="04E6A038" w:rsidR="008712AE" w:rsidRDefault="008712AE" w:rsidP="000B5610">
      <w:pPr>
        <w:pStyle w:val="SNSynopsisTOC"/>
        <w:spacing w:after="240"/>
        <w:jc w:val="left"/>
        <w:rPr>
          <w:rFonts w:ascii="Times New Roman" w:hAnsi="Times New Roman"/>
          <w:b/>
          <w:bCs/>
        </w:rPr>
      </w:pPr>
    </w:p>
    <w:p w14:paraId="1E9D27A3" w14:textId="77777777" w:rsidR="008712AE" w:rsidRDefault="008712AE" w:rsidP="000B5610">
      <w:pPr>
        <w:pStyle w:val="SNSynopsisTOC"/>
        <w:spacing w:after="240"/>
        <w:jc w:val="left"/>
        <w:rPr>
          <w:rFonts w:ascii="Times New Roman" w:hAnsi="Times New Roman"/>
          <w:b/>
          <w:bCs/>
        </w:rPr>
      </w:pPr>
    </w:p>
    <w:p w14:paraId="23EAF021" w14:textId="77777777" w:rsidR="008712AE" w:rsidRDefault="008712AE" w:rsidP="000B5610">
      <w:pPr>
        <w:pStyle w:val="SNSynopsisTOC"/>
        <w:spacing w:after="240"/>
        <w:jc w:val="left"/>
        <w:rPr>
          <w:rFonts w:ascii="Times New Roman" w:hAnsi="Times New Roman"/>
          <w:b/>
          <w:bCs/>
        </w:rPr>
      </w:pPr>
    </w:p>
    <w:p w14:paraId="7CEB367B" w14:textId="57BBD374" w:rsidR="008712AE" w:rsidRPr="008712AE" w:rsidRDefault="008712AE" w:rsidP="008712AE">
      <w:pPr>
        <w:pStyle w:val="SNSynopsisTOC"/>
        <w:spacing w:after="240"/>
        <w:jc w:val="left"/>
        <w:rPr>
          <w:rFonts w:ascii="Times New Roman" w:hAnsi="Times New Roman"/>
          <w:b/>
          <w:bCs/>
        </w:rPr>
      </w:pPr>
      <w:r w:rsidRPr="008712AE">
        <w:rPr>
          <w:rFonts w:ascii="Times New Roman" w:hAnsi="Times New Roman"/>
          <w:b/>
          <w:bCs/>
        </w:rPr>
        <w:lastRenderedPageBreak/>
        <w:t>For Table of Contents Use Only</w:t>
      </w:r>
    </w:p>
    <w:p w14:paraId="64CAB7E4" w14:textId="23C3F4DD" w:rsidR="00D52B1C" w:rsidRDefault="00D52B1C" w:rsidP="000B5610">
      <w:pPr>
        <w:pStyle w:val="SNSynopsisTOC"/>
        <w:spacing w:after="240"/>
        <w:jc w:val="left"/>
        <w:rPr>
          <w:rFonts w:ascii="Times New Roman" w:hAnsi="Times New Roman"/>
          <w:b/>
          <w:bCs/>
        </w:rPr>
      </w:pPr>
      <w:r>
        <w:rPr>
          <w:rFonts w:ascii="Times New Roman" w:hAnsi="Times New Roman"/>
          <w:b/>
          <w:bCs/>
          <w:noProof/>
          <w:lang w:val="en-GB" w:eastAsia="en-GB"/>
        </w:rPr>
        <w:drawing>
          <wp:inline distT="0" distB="0" distL="0" distR="0" wp14:anchorId="491B9448" wp14:editId="42146719">
            <wp:extent cx="2971800" cy="1600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C Graphic.png"/>
                    <pic:cNvPicPr/>
                  </pic:nvPicPr>
                  <pic:blipFill>
                    <a:blip r:embed="rId19"/>
                    <a:stretch>
                      <a:fillRect/>
                    </a:stretch>
                  </pic:blipFill>
                  <pic:spPr>
                    <a:xfrm>
                      <a:off x="0" y="0"/>
                      <a:ext cx="2971800" cy="1600200"/>
                    </a:xfrm>
                    <a:prstGeom prst="rect">
                      <a:avLst/>
                    </a:prstGeom>
                  </pic:spPr>
                </pic:pic>
              </a:graphicData>
            </a:graphic>
          </wp:inline>
        </w:drawing>
      </w:r>
    </w:p>
    <w:p w14:paraId="7255CDE4" w14:textId="77777777" w:rsidR="008712AE" w:rsidRDefault="008712AE" w:rsidP="008712AE">
      <w:pPr>
        <w:pStyle w:val="SNSynopsisTOC"/>
        <w:spacing w:after="240"/>
        <w:jc w:val="left"/>
        <w:rPr>
          <w:rFonts w:ascii="Times New Roman" w:hAnsi="Times New Roman"/>
        </w:rPr>
      </w:pPr>
      <w:r w:rsidRPr="00116920">
        <w:rPr>
          <w:rFonts w:ascii="Times New Roman" w:hAnsi="Times New Roman"/>
          <w:b/>
        </w:rPr>
        <w:t>SYNOPSIS</w:t>
      </w:r>
      <w:r w:rsidRPr="005F0594">
        <w:rPr>
          <w:rFonts w:ascii="Times New Roman" w:hAnsi="Times New Roman"/>
        </w:rPr>
        <w:t xml:space="preserve"> </w:t>
      </w:r>
      <w:r>
        <w:rPr>
          <w:rFonts w:ascii="Times New Roman" w:hAnsi="Times New Roman"/>
        </w:rPr>
        <w:t>O</w:t>
      </w:r>
      <w:r w:rsidRPr="00116920">
        <w:rPr>
          <w:rFonts w:ascii="Times New Roman" w:hAnsi="Times New Roman"/>
        </w:rPr>
        <w:t>xymethylene dimethyl ethers present a safer CO</w:t>
      </w:r>
      <w:r w:rsidRPr="00116920">
        <w:rPr>
          <w:rFonts w:ascii="Times New Roman" w:hAnsi="Times New Roman"/>
          <w:vertAlign w:val="subscript"/>
        </w:rPr>
        <w:t>2</w:t>
      </w:r>
      <w:r w:rsidRPr="00116920">
        <w:rPr>
          <w:rFonts w:ascii="Times New Roman" w:hAnsi="Times New Roman"/>
        </w:rPr>
        <w:t xml:space="preserve">- or bio-based alternative to 1,4-dioxane and other hazardous ether solvents in various </w:t>
      </w:r>
      <w:r>
        <w:rPr>
          <w:rFonts w:ascii="Times New Roman" w:hAnsi="Times New Roman"/>
        </w:rPr>
        <w:t xml:space="preserve">commercially relevant and emerging </w:t>
      </w:r>
      <w:r w:rsidRPr="00116920">
        <w:rPr>
          <w:rFonts w:ascii="Times New Roman" w:hAnsi="Times New Roman"/>
        </w:rPr>
        <w:t>applications.</w:t>
      </w:r>
    </w:p>
    <w:p w14:paraId="7E77791E" w14:textId="15EE5071" w:rsidR="00D52B1C" w:rsidRPr="00D52B1C" w:rsidRDefault="00D52B1C" w:rsidP="000B5610">
      <w:pPr>
        <w:pStyle w:val="SNSynopsisTOC"/>
        <w:spacing w:after="240"/>
        <w:jc w:val="left"/>
        <w:rPr>
          <w:rFonts w:ascii="Times New Roman" w:hAnsi="Times New Roman"/>
          <w:b/>
          <w:bCs/>
        </w:rPr>
      </w:pPr>
    </w:p>
    <w:sectPr w:rsidR="00D52B1C" w:rsidRPr="00D52B1C" w:rsidSect="000B5610">
      <w:footerReference w:type="even" r:id="rId20"/>
      <w:footerReference w:type="default" r:id="rId21"/>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C9A35B" w14:textId="77777777" w:rsidR="003807FF" w:rsidRDefault="003807FF">
      <w:r>
        <w:separator/>
      </w:r>
    </w:p>
  </w:endnote>
  <w:endnote w:type="continuationSeparator" w:id="0">
    <w:p w14:paraId="15ECDB18" w14:textId="77777777" w:rsidR="003807FF" w:rsidRDefault="00380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rutiger LT Com 45 Light">
    <w:altName w:val="Calibri"/>
    <w:charset w:val="00"/>
    <w:family w:val="swiss"/>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BA3FE" w14:textId="77777777" w:rsidR="005E4541" w:rsidRDefault="005E45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AFF1CB2" w14:textId="77777777" w:rsidR="005E4541" w:rsidRDefault="005E454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08E18" w14:textId="431E8A79" w:rsidR="005E4541" w:rsidRDefault="005E45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660F0">
      <w:rPr>
        <w:rStyle w:val="PageNumber"/>
        <w:noProof/>
      </w:rPr>
      <w:t>2</w:t>
    </w:r>
    <w:r>
      <w:rPr>
        <w:rStyle w:val="PageNumber"/>
      </w:rPr>
      <w:fldChar w:fldCharType="end"/>
    </w:r>
  </w:p>
  <w:p w14:paraId="43580D5A" w14:textId="77777777" w:rsidR="005E4541" w:rsidRDefault="005E454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3F1114" w14:textId="77777777" w:rsidR="003807FF" w:rsidRDefault="003807FF">
      <w:r>
        <w:separator/>
      </w:r>
    </w:p>
  </w:footnote>
  <w:footnote w:type="continuationSeparator" w:id="0">
    <w:p w14:paraId="2B47B278" w14:textId="77777777" w:rsidR="003807FF" w:rsidRDefault="003807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3"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5"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6"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7"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6"/>
  </w:num>
  <w:num w:numId="2">
    <w:abstractNumId w:val="4"/>
  </w:num>
  <w:num w:numId="3">
    <w:abstractNumId w:val="7"/>
  </w:num>
  <w:num w:numId="4">
    <w:abstractNumId w:val="5"/>
  </w:num>
  <w:num w:numId="5">
    <w:abstractNumId w:val="3"/>
  </w:num>
  <w:num w:numId="6">
    <w:abstractNumId w:val="2"/>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64B"/>
    <w:rsid w:val="00002FFA"/>
    <w:rsid w:val="000229C7"/>
    <w:rsid w:val="000457CC"/>
    <w:rsid w:val="00050EEC"/>
    <w:rsid w:val="00051120"/>
    <w:rsid w:val="000556F5"/>
    <w:rsid w:val="0005660F"/>
    <w:rsid w:val="0006017F"/>
    <w:rsid w:val="00060D11"/>
    <w:rsid w:val="00063064"/>
    <w:rsid w:val="00065825"/>
    <w:rsid w:val="00067957"/>
    <w:rsid w:val="000702AD"/>
    <w:rsid w:val="00071D76"/>
    <w:rsid w:val="00092E9C"/>
    <w:rsid w:val="000A0BA0"/>
    <w:rsid w:val="000A240F"/>
    <w:rsid w:val="000B5610"/>
    <w:rsid w:val="000C05CC"/>
    <w:rsid w:val="000D0BF2"/>
    <w:rsid w:val="000D145A"/>
    <w:rsid w:val="000E10A0"/>
    <w:rsid w:val="000E43F5"/>
    <w:rsid w:val="000F371E"/>
    <w:rsid w:val="000F5940"/>
    <w:rsid w:val="00106F4A"/>
    <w:rsid w:val="0010769A"/>
    <w:rsid w:val="00107D03"/>
    <w:rsid w:val="0011053B"/>
    <w:rsid w:val="00116920"/>
    <w:rsid w:val="00117843"/>
    <w:rsid w:val="00124B9E"/>
    <w:rsid w:val="00132CAD"/>
    <w:rsid w:val="00136625"/>
    <w:rsid w:val="00140433"/>
    <w:rsid w:val="001435A2"/>
    <w:rsid w:val="00151AF6"/>
    <w:rsid w:val="00151C19"/>
    <w:rsid w:val="0015473D"/>
    <w:rsid w:val="00155E0C"/>
    <w:rsid w:val="00157DB9"/>
    <w:rsid w:val="00161565"/>
    <w:rsid w:val="00164011"/>
    <w:rsid w:val="0016445A"/>
    <w:rsid w:val="00165945"/>
    <w:rsid w:val="00170443"/>
    <w:rsid w:val="00173BBF"/>
    <w:rsid w:val="00180F1B"/>
    <w:rsid w:val="00184C96"/>
    <w:rsid w:val="001922CB"/>
    <w:rsid w:val="00195A18"/>
    <w:rsid w:val="001974A7"/>
    <w:rsid w:val="001A0F86"/>
    <w:rsid w:val="001A7A90"/>
    <w:rsid w:val="001B27E6"/>
    <w:rsid w:val="001B7DE0"/>
    <w:rsid w:val="001C5480"/>
    <w:rsid w:val="001D31B0"/>
    <w:rsid w:val="00200422"/>
    <w:rsid w:val="002061E8"/>
    <w:rsid w:val="00212B1D"/>
    <w:rsid w:val="00214A82"/>
    <w:rsid w:val="00232383"/>
    <w:rsid w:val="00235458"/>
    <w:rsid w:val="00241204"/>
    <w:rsid w:val="0024330F"/>
    <w:rsid w:val="00243467"/>
    <w:rsid w:val="002511FB"/>
    <w:rsid w:val="00252AC0"/>
    <w:rsid w:val="002553B6"/>
    <w:rsid w:val="002567D0"/>
    <w:rsid w:val="0026075C"/>
    <w:rsid w:val="00282D31"/>
    <w:rsid w:val="0029464B"/>
    <w:rsid w:val="002A7493"/>
    <w:rsid w:val="002B654A"/>
    <w:rsid w:val="002C3431"/>
    <w:rsid w:val="002D37A6"/>
    <w:rsid w:val="002E4CEF"/>
    <w:rsid w:val="002F5A24"/>
    <w:rsid w:val="003020CE"/>
    <w:rsid w:val="00311D03"/>
    <w:rsid w:val="00314D09"/>
    <w:rsid w:val="00315CD4"/>
    <w:rsid w:val="00316F37"/>
    <w:rsid w:val="0032126E"/>
    <w:rsid w:val="0033004A"/>
    <w:rsid w:val="003466A8"/>
    <w:rsid w:val="003522D6"/>
    <w:rsid w:val="00353B99"/>
    <w:rsid w:val="0035424F"/>
    <w:rsid w:val="003577CC"/>
    <w:rsid w:val="003664E9"/>
    <w:rsid w:val="003679A1"/>
    <w:rsid w:val="00372289"/>
    <w:rsid w:val="00374F24"/>
    <w:rsid w:val="003807FF"/>
    <w:rsid w:val="0038107A"/>
    <w:rsid w:val="003910F3"/>
    <w:rsid w:val="003917DB"/>
    <w:rsid w:val="003B4AF3"/>
    <w:rsid w:val="003B61E0"/>
    <w:rsid w:val="003C05DA"/>
    <w:rsid w:val="003C715B"/>
    <w:rsid w:val="003D6402"/>
    <w:rsid w:val="00427DBB"/>
    <w:rsid w:val="00435D87"/>
    <w:rsid w:val="00437890"/>
    <w:rsid w:val="0044146E"/>
    <w:rsid w:val="00441E82"/>
    <w:rsid w:val="00442F6F"/>
    <w:rsid w:val="00443D95"/>
    <w:rsid w:val="004526A5"/>
    <w:rsid w:val="004541AD"/>
    <w:rsid w:val="00454FB8"/>
    <w:rsid w:val="0046364F"/>
    <w:rsid w:val="0047449E"/>
    <w:rsid w:val="00475AC3"/>
    <w:rsid w:val="00475FD2"/>
    <w:rsid w:val="004829C2"/>
    <w:rsid w:val="00487CBF"/>
    <w:rsid w:val="004934F7"/>
    <w:rsid w:val="00495A72"/>
    <w:rsid w:val="004B7403"/>
    <w:rsid w:val="004C6BC8"/>
    <w:rsid w:val="004E7185"/>
    <w:rsid w:val="004F076E"/>
    <w:rsid w:val="004F5EBD"/>
    <w:rsid w:val="004F7B14"/>
    <w:rsid w:val="0050277E"/>
    <w:rsid w:val="0050784E"/>
    <w:rsid w:val="00521D26"/>
    <w:rsid w:val="005230AA"/>
    <w:rsid w:val="00525AC7"/>
    <w:rsid w:val="005361DB"/>
    <w:rsid w:val="005401FB"/>
    <w:rsid w:val="00541D2B"/>
    <w:rsid w:val="00553B9F"/>
    <w:rsid w:val="00556C7F"/>
    <w:rsid w:val="00572523"/>
    <w:rsid w:val="00572A0F"/>
    <w:rsid w:val="00572EAC"/>
    <w:rsid w:val="00576263"/>
    <w:rsid w:val="00584FD0"/>
    <w:rsid w:val="00591A57"/>
    <w:rsid w:val="005B3188"/>
    <w:rsid w:val="005D0C10"/>
    <w:rsid w:val="005D32E4"/>
    <w:rsid w:val="005E1E5F"/>
    <w:rsid w:val="005E265D"/>
    <w:rsid w:val="005E4541"/>
    <w:rsid w:val="005F0594"/>
    <w:rsid w:val="005F1321"/>
    <w:rsid w:val="005F4F6D"/>
    <w:rsid w:val="006015BD"/>
    <w:rsid w:val="00605658"/>
    <w:rsid w:val="006309B6"/>
    <w:rsid w:val="00641708"/>
    <w:rsid w:val="00642648"/>
    <w:rsid w:val="006455A5"/>
    <w:rsid w:val="006521A6"/>
    <w:rsid w:val="00654453"/>
    <w:rsid w:val="00654F76"/>
    <w:rsid w:val="00656B86"/>
    <w:rsid w:val="006603A4"/>
    <w:rsid w:val="0066299D"/>
    <w:rsid w:val="00662B5A"/>
    <w:rsid w:val="0066525D"/>
    <w:rsid w:val="0066532E"/>
    <w:rsid w:val="00667B90"/>
    <w:rsid w:val="00673620"/>
    <w:rsid w:val="006A7A7F"/>
    <w:rsid w:val="006B19C7"/>
    <w:rsid w:val="006B2581"/>
    <w:rsid w:val="006B5C1F"/>
    <w:rsid w:val="006D3331"/>
    <w:rsid w:val="006E1E58"/>
    <w:rsid w:val="006F461E"/>
    <w:rsid w:val="00702894"/>
    <w:rsid w:val="007063B9"/>
    <w:rsid w:val="007308C6"/>
    <w:rsid w:val="00732A1A"/>
    <w:rsid w:val="00732FF8"/>
    <w:rsid w:val="00737F03"/>
    <w:rsid w:val="00741D72"/>
    <w:rsid w:val="007523FD"/>
    <w:rsid w:val="007535EF"/>
    <w:rsid w:val="007578DF"/>
    <w:rsid w:val="007629D3"/>
    <w:rsid w:val="00767E66"/>
    <w:rsid w:val="007718EB"/>
    <w:rsid w:val="00773EFC"/>
    <w:rsid w:val="0078638C"/>
    <w:rsid w:val="00792662"/>
    <w:rsid w:val="00794805"/>
    <w:rsid w:val="007961F1"/>
    <w:rsid w:val="007966A0"/>
    <w:rsid w:val="007B160F"/>
    <w:rsid w:val="007C0930"/>
    <w:rsid w:val="007F0469"/>
    <w:rsid w:val="007F5302"/>
    <w:rsid w:val="0080233F"/>
    <w:rsid w:val="008047DE"/>
    <w:rsid w:val="00811CC7"/>
    <w:rsid w:val="008120E2"/>
    <w:rsid w:val="00812CB6"/>
    <w:rsid w:val="00824A69"/>
    <w:rsid w:val="008273B3"/>
    <w:rsid w:val="00834CC5"/>
    <w:rsid w:val="00837340"/>
    <w:rsid w:val="00856E1F"/>
    <w:rsid w:val="00860078"/>
    <w:rsid w:val="00862CF8"/>
    <w:rsid w:val="008655C0"/>
    <w:rsid w:val="008712AE"/>
    <w:rsid w:val="008726F3"/>
    <w:rsid w:val="00884E8F"/>
    <w:rsid w:val="008A7F17"/>
    <w:rsid w:val="008B4255"/>
    <w:rsid w:val="008C7FBE"/>
    <w:rsid w:val="008D4824"/>
    <w:rsid w:val="008F079F"/>
    <w:rsid w:val="008F4A66"/>
    <w:rsid w:val="00901596"/>
    <w:rsid w:val="00903F2E"/>
    <w:rsid w:val="00912169"/>
    <w:rsid w:val="0092037A"/>
    <w:rsid w:val="00922306"/>
    <w:rsid w:val="009246AD"/>
    <w:rsid w:val="00927BE7"/>
    <w:rsid w:val="00937256"/>
    <w:rsid w:val="009542C3"/>
    <w:rsid w:val="00986F13"/>
    <w:rsid w:val="0099475C"/>
    <w:rsid w:val="009976E5"/>
    <w:rsid w:val="009A1F75"/>
    <w:rsid w:val="009C19ED"/>
    <w:rsid w:val="009C72EF"/>
    <w:rsid w:val="009D0832"/>
    <w:rsid w:val="009D62C2"/>
    <w:rsid w:val="009F11B6"/>
    <w:rsid w:val="009F2E7E"/>
    <w:rsid w:val="00A02D62"/>
    <w:rsid w:val="00A07FEA"/>
    <w:rsid w:val="00A20EB5"/>
    <w:rsid w:val="00A23479"/>
    <w:rsid w:val="00A24D61"/>
    <w:rsid w:val="00A327DC"/>
    <w:rsid w:val="00A42014"/>
    <w:rsid w:val="00A44880"/>
    <w:rsid w:val="00A50825"/>
    <w:rsid w:val="00A7154B"/>
    <w:rsid w:val="00A764EF"/>
    <w:rsid w:val="00A81550"/>
    <w:rsid w:val="00A83800"/>
    <w:rsid w:val="00A8384E"/>
    <w:rsid w:val="00A91A7F"/>
    <w:rsid w:val="00A92AF7"/>
    <w:rsid w:val="00A97EB2"/>
    <w:rsid w:val="00AB34C5"/>
    <w:rsid w:val="00AB394E"/>
    <w:rsid w:val="00AC442F"/>
    <w:rsid w:val="00AC6160"/>
    <w:rsid w:val="00AC76A3"/>
    <w:rsid w:val="00AE0A62"/>
    <w:rsid w:val="00AF2B5B"/>
    <w:rsid w:val="00AF54A6"/>
    <w:rsid w:val="00B00411"/>
    <w:rsid w:val="00B16FFA"/>
    <w:rsid w:val="00B305F5"/>
    <w:rsid w:val="00B34C60"/>
    <w:rsid w:val="00B44CCA"/>
    <w:rsid w:val="00B46547"/>
    <w:rsid w:val="00B52941"/>
    <w:rsid w:val="00B54E5A"/>
    <w:rsid w:val="00B73527"/>
    <w:rsid w:val="00B7618D"/>
    <w:rsid w:val="00B8637C"/>
    <w:rsid w:val="00B8644B"/>
    <w:rsid w:val="00B86BA2"/>
    <w:rsid w:val="00BB2444"/>
    <w:rsid w:val="00BB6451"/>
    <w:rsid w:val="00BC5D4C"/>
    <w:rsid w:val="00BD2C44"/>
    <w:rsid w:val="00BE1E27"/>
    <w:rsid w:val="00BE20AC"/>
    <w:rsid w:val="00BF45F2"/>
    <w:rsid w:val="00BF7062"/>
    <w:rsid w:val="00C01A7B"/>
    <w:rsid w:val="00C10EE0"/>
    <w:rsid w:val="00C12556"/>
    <w:rsid w:val="00C16E99"/>
    <w:rsid w:val="00C37621"/>
    <w:rsid w:val="00C63EC1"/>
    <w:rsid w:val="00C731FD"/>
    <w:rsid w:val="00C76A1B"/>
    <w:rsid w:val="00C8499E"/>
    <w:rsid w:val="00C95237"/>
    <w:rsid w:val="00CA292C"/>
    <w:rsid w:val="00CB2147"/>
    <w:rsid w:val="00CB425E"/>
    <w:rsid w:val="00CC6E9D"/>
    <w:rsid w:val="00D016D7"/>
    <w:rsid w:val="00D0244F"/>
    <w:rsid w:val="00D2061A"/>
    <w:rsid w:val="00D269C5"/>
    <w:rsid w:val="00D27C50"/>
    <w:rsid w:val="00D31A66"/>
    <w:rsid w:val="00D32E24"/>
    <w:rsid w:val="00D50AF8"/>
    <w:rsid w:val="00D52100"/>
    <w:rsid w:val="00D52B1C"/>
    <w:rsid w:val="00D5496F"/>
    <w:rsid w:val="00D57047"/>
    <w:rsid w:val="00D57F13"/>
    <w:rsid w:val="00D603FC"/>
    <w:rsid w:val="00D660F0"/>
    <w:rsid w:val="00D869F0"/>
    <w:rsid w:val="00D92D4F"/>
    <w:rsid w:val="00D94A93"/>
    <w:rsid w:val="00DA0FDB"/>
    <w:rsid w:val="00DA5044"/>
    <w:rsid w:val="00DB5E2A"/>
    <w:rsid w:val="00DB795F"/>
    <w:rsid w:val="00DC4404"/>
    <w:rsid w:val="00DC4F40"/>
    <w:rsid w:val="00DD6DBB"/>
    <w:rsid w:val="00DF0D09"/>
    <w:rsid w:val="00E01A37"/>
    <w:rsid w:val="00E074F2"/>
    <w:rsid w:val="00E23506"/>
    <w:rsid w:val="00E262EA"/>
    <w:rsid w:val="00E27B92"/>
    <w:rsid w:val="00E3152B"/>
    <w:rsid w:val="00E31864"/>
    <w:rsid w:val="00E43316"/>
    <w:rsid w:val="00E461E1"/>
    <w:rsid w:val="00E65382"/>
    <w:rsid w:val="00E66EE6"/>
    <w:rsid w:val="00E75416"/>
    <w:rsid w:val="00E77A7E"/>
    <w:rsid w:val="00E85021"/>
    <w:rsid w:val="00E90082"/>
    <w:rsid w:val="00E91482"/>
    <w:rsid w:val="00E917F7"/>
    <w:rsid w:val="00E96302"/>
    <w:rsid w:val="00E970E8"/>
    <w:rsid w:val="00EB1398"/>
    <w:rsid w:val="00EB3D11"/>
    <w:rsid w:val="00EC3146"/>
    <w:rsid w:val="00ED6568"/>
    <w:rsid w:val="00ED72E7"/>
    <w:rsid w:val="00EF1E3D"/>
    <w:rsid w:val="00F04455"/>
    <w:rsid w:val="00F06B1A"/>
    <w:rsid w:val="00F06E3D"/>
    <w:rsid w:val="00F071D4"/>
    <w:rsid w:val="00F134F5"/>
    <w:rsid w:val="00F137DA"/>
    <w:rsid w:val="00F13A5D"/>
    <w:rsid w:val="00F14B99"/>
    <w:rsid w:val="00F17BF5"/>
    <w:rsid w:val="00F23F5F"/>
    <w:rsid w:val="00F26455"/>
    <w:rsid w:val="00F35395"/>
    <w:rsid w:val="00F35A20"/>
    <w:rsid w:val="00F3654D"/>
    <w:rsid w:val="00F40F25"/>
    <w:rsid w:val="00F47B85"/>
    <w:rsid w:val="00F5645C"/>
    <w:rsid w:val="00F64115"/>
    <w:rsid w:val="00F65065"/>
    <w:rsid w:val="00F667CB"/>
    <w:rsid w:val="00F77E07"/>
    <w:rsid w:val="00F807B3"/>
    <w:rsid w:val="00FA1586"/>
    <w:rsid w:val="00FA4B3E"/>
    <w:rsid w:val="00FA50E2"/>
    <w:rsid w:val="00FA6153"/>
    <w:rsid w:val="00FB1193"/>
    <w:rsid w:val="00FB3CDD"/>
    <w:rsid w:val="00FB6A0F"/>
    <w:rsid w:val="00FD1C57"/>
    <w:rsid w:val="00FD2092"/>
    <w:rsid w:val="00FD71AD"/>
    <w:rsid w:val="00FE12ED"/>
    <w:rsid w:val="00FE1765"/>
    <w:rsid w:val="00FE6219"/>
    <w:rsid w:val="00FF17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5E79F69"/>
  <w15:docId w15:val="{43592A0D-3148-4F5D-88E0-B35455166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link w:val="Heading1Char"/>
    <w:qFormat/>
    <w:rsid w:val="00DC4F4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E85021"/>
    <w:pPr>
      <w:spacing w:after="240" w:line="480" w:lineRule="auto"/>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E85021"/>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styleId="CommentReference">
    <w:name w:val="annotation reference"/>
    <w:basedOn w:val="DefaultParagraphFont"/>
    <w:uiPriority w:val="99"/>
    <w:semiHidden/>
    <w:unhideWhenUsed/>
    <w:rsid w:val="002567D0"/>
    <w:rPr>
      <w:sz w:val="16"/>
      <w:szCs w:val="16"/>
    </w:rPr>
  </w:style>
  <w:style w:type="paragraph" w:styleId="CommentText">
    <w:name w:val="annotation text"/>
    <w:basedOn w:val="Normal"/>
    <w:link w:val="CommentTextChar"/>
    <w:uiPriority w:val="99"/>
    <w:unhideWhenUsed/>
    <w:rsid w:val="002567D0"/>
    <w:rPr>
      <w:sz w:val="20"/>
    </w:rPr>
  </w:style>
  <w:style w:type="character" w:customStyle="1" w:styleId="CommentTextChar">
    <w:name w:val="Comment Text Char"/>
    <w:basedOn w:val="DefaultParagraphFont"/>
    <w:link w:val="CommentText"/>
    <w:uiPriority w:val="99"/>
    <w:rsid w:val="002567D0"/>
    <w:rPr>
      <w:rFonts w:ascii="Times" w:hAnsi="Times"/>
    </w:rPr>
  </w:style>
  <w:style w:type="paragraph" w:styleId="CommentSubject">
    <w:name w:val="annotation subject"/>
    <w:basedOn w:val="CommentText"/>
    <w:next w:val="CommentText"/>
    <w:link w:val="CommentSubjectChar"/>
    <w:semiHidden/>
    <w:unhideWhenUsed/>
    <w:rsid w:val="002567D0"/>
    <w:rPr>
      <w:b/>
      <w:bCs/>
    </w:rPr>
  </w:style>
  <w:style w:type="character" w:customStyle="1" w:styleId="CommentSubjectChar">
    <w:name w:val="Comment Subject Char"/>
    <w:basedOn w:val="CommentTextChar"/>
    <w:link w:val="CommentSubject"/>
    <w:semiHidden/>
    <w:rsid w:val="002567D0"/>
    <w:rPr>
      <w:rFonts w:ascii="Times" w:hAnsi="Times"/>
      <w:b/>
      <w:bCs/>
    </w:rPr>
  </w:style>
  <w:style w:type="paragraph" w:styleId="Bibliography">
    <w:name w:val="Bibliography"/>
    <w:basedOn w:val="Normal"/>
    <w:next w:val="Normal"/>
    <w:uiPriority w:val="37"/>
    <w:unhideWhenUsed/>
    <w:rsid w:val="00116920"/>
  </w:style>
  <w:style w:type="table" w:styleId="TableGrid">
    <w:name w:val="Table Grid"/>
    <w:basedOn w:val="TableNormal"/>
    <w:uiPriority w:val="59"/>
    <w:rsid w:val="00B465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94805"/>
    <w:pPr>
      <w:widowControl w:val="0"/>
      <w:autoSpaceDE w:val="0"/>
      <w:autoSpaceDN w:val="0"/>
      <w:spacing w:after="0" w:line="271" w:lineRule="exact"/>
      <w:ind w:left="159"/>
      <w:jc w:val="center"/>
    </w:pPr>
    <w:rPr>
      <w:rFonts w:ascii="Georgia" w:eastAsia="Georgia" w:hAnsi="Georgia" w:cs="Georgia"/>
      <w:sz w:val="22"/>
      <w:szCs w:val="22"/>
    </w:rPr>
  </w:style>
  <w:style w:type="character" w:customStyle="1" w:styleId="UnresolvedMention1">
    <w:name w:val="Unresolved Mention1"/>
    <w:basedOn w:val="DefaultParagraphFont"/>
    <w:uiPriority w:val="99"/>
    <w:semiHidden/>
    <w:unhideWhenUsed/>
    <w:rsid w:val="00311D03"/>
    <w:rPr>
      <w:color w:val="808080"/>
      <w:shd w:val="clear" w:color="auto" w:fill="E6E6E6"/>
    </w:rPr>
  </w:style>
  <w:style w:type="paragraph" w:styleId="Revision">
    <w:name w:val="Revision"/>
    <w:hidden/>
    <w:uiPriority w:val="99"/>
    <w:semiHidden/>
    <w:rsid w:val="00DC4F40"/>
    <w:rPr>
      <w:rFonts w:ascii="Times" w:hAnsi="Times"/>
      <w:sz w:val="24"/>
    </w:rPr>
  </w:style>
  <w:style w:type="character" w:customStyle="1" w:styleId="Heading1Char">
    <w:name w:val="Heading 1 Char"/>
    <w:basedOn w:val="DefaultParagraphFont"/>
    <w:link w:val="Heading1"/>
    <w:rsid w:val="00DC4F40"/>
    <w:rPr>
      <w:rFonts w:asciiTheme="majorHAnsi" w:eastAsiaTheme="majorEastAsia" w:hAnsiTheme="majorHAnsi" w:cstheme="majorBidi"/>
      <w:color w:val="365F91" w:themeColor="accent1" w:themeShade="BF"/>
      <w:sz w:val="32"/>
      <w:szCs w:val="32"/>
    </w:rPr>
  </w:style>
  <w:style w:type="character" w:customStyle="1" w:styleId="UnresolvedMention2">
    <w:name w:val="Unresolved Mention2"/>
    <w:basedOn w:val="DefaultParagraphFont"/>
    <w:uiPriority w:val="99"/>
    <w:semiHidden/>
    <w:unhideWhenUsed/>
    <w:rsid w:val="00656B86"/>
    <w:rPr>
      <w:color w:val="808080"/>
      <w:shd w:val="clear" w:color="auto" w:fill="E6E6E6"/>
    </w:rPr>
  </w:style>
  <w:style w:type="paragraph" w:styleId="Caption">
    <w:name w:val="caption"/>
    <w:basedOn w:val="VAFigureCaption"/>
    <w:next w:val="Normal"/>
    <w:unhideWhenUsed/>
    <w:qFormat/>
    <w:rsid w:val="00241204"/>
    <w:pPr>
      <w:spacing w:line="360" w:lineRule="auto"/>
    </w:pPr>
    <w:rPr>
      <w:rFonts w:ascii="Times New Roman" w:hAnsi="Times New Roman"/>
      <w:sz w:val="22"/>
    </w:rPr>
  </w:style>
  <w:style w:type="table" w:styleId="PlainTable3">
    <w:name w:val="Plain Table 3"/>
    <w:basedOn w:val="TableNormal"/>
    <w:rsid w:val="009F11B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
    <w:name w:val="Unresolved Mention"/>
    <w:basedOn w:val="DefaultParagraphFont"/>
    <w:uiPriority w:val="99"/>
    <w:semiHidden/>
    <w:unhideWhenUsed/>
    <w:rsid w:val="001640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408607">
      <w:bodyDiv w:val="1"/>
      <w:marLeft w:val="0"/>
      <w:marRight w:val="0"/>
      <w:marTop w:val="0"/>
      <w:marBottom w:val="0"/>
      <w:divBdr>
        <w:top w:val="none" w:sz="0" w:space="0" w:color="auto"/>
        <w:left w:val="none" w:sz="0" w:space="0" w:color="auto"/>
        <w:bottom w:val="none" w:sz="0" w:space="0" w:color="auto"/>
        <w:right w:val="none" w:sz="0" w:space="0" w:color="auto"/>
      </w:divBdr>
    </w:div>
    <w:div w:id="217278725">
      <w:bodyDiv w:val="1"/>
      <w:marLeft w:val="0"/>
      <w:marRight w:val="0"/>
      <w:marTop w:val="0"/>
      <w:marBottom w:val="0"/>
      <w:divBdr>
        <w:top w:val="none" w:sz="0" w:space="0" w:color="auto"/>
        <w:left w:val="none" w:sz="0" w:space="0" w:color="auto"/>
        <w:bottom w:val="none" w:sz="0" w:space="0" w:color="auto"/>
        <w:right w:val="none" w:sz="0" w:space="0" w:color="auto"/>
      </w:divBdr>
      <w:divsChild>
        <w:div w:id="1909462622">
          <w:marLeft w:val="0"/>
          <w:marRight w:val="0"/>
          <w:marTop w:val="0"/>
          <w:marBottom w:val="0"/>
          <w:divBdr>
            <w:top w:val="none" w:sz="0" w:space="0" w:color="auto"/>
            <w:left w:val="none" w:sz="0" w:space="0" w:color="auto"/>
            <w:bottom w:val="none" w:sz="0" w:space="0" w:color="auto"/>
            <w:right w:val="none" w:sz="0" w:space="0" w:color="auto"/>
          </w:divBdr>
        </w:div>
        <w:div w:id="509877613">
          <w:marLeft w:val="0"/>
          <w:marRight w:val="0"/>
          <w:marTop w:val="0"/>
          <w:marBottom w:val="0"/>
          <w:divBdr>
            <w:top w:val="none" w:sz="0" w:space="0" w:color="auto"/>
            <w:left w:val="none" w:sz="0" w:space="0" w:color="auto"/>
            <w:bottom w:val="none" w:sz="0" w:space="0" w:color="auto"/>
            <w:right w:val="none" w:sz="0" w:space="0" w:color="auto"/>
          </w:divBdr>
        </w:div>
        <w:div w:id="1802070158">
          <w:marLeft w:val="0"/>
          <w:marRight w:val="0"/>
          <w:marTop w:val="0"/>
          <w:marBottom w:val="0"/>
          <w:divBdr>
            <w:top w:val="none" w:sz="0" w:space="0" w:color="auto"/>
            <w:left w:val="none" w:sz="0" w:space="0" w:color="auto"/>
            <w:bottom w:val="none" w:sz="0" w:space="0" w:color="auto"/>
            <w:right w:val="none" w:sz="0" w:space="0" w:color="auto"/>
          </w:divBdr>
        </w:div>
        <w:div w:id="618806211">
          <w:marLeft w:val="0"/>
          <w:marRight w:val="0"/>
          <w:marTop w:val="0"/>
          <w:marBottom w:val="0"/>
          <w:divBdr>
            <w:top w:val="none" w:sz="0" w:space="0" w:color="auto"/>
            <w:left w:val="none" w:sz="0" w:space="0" w:color="auto"/>
            <w:bottom w:val="none" w:sz="0" w:space="0" w:color="auto"/>
            <w:right w:val="none" w:sz="0" w:space="0" w:color="auto"/>
          </w:divBdr>
        </w:div>
        <w:div w:id="1062365026">
          <w:marLeft w:val="0"/>
          <w:marRight w:val="0"/>
          <w:marTop w:val="0"/>
          <w:marBottom w:val="0"/>
          <w:divBdr>
            <w:top w:val="none" w:sz="0" w:space="0" w:color="auto"/>
            <w:left w:val="none" w:sz="0" w:space="0" w:color="auto"/>
            <w:bottom w:val="none" w:sz="0" w:space="0" w:color="auto"/>
            <w:right w:val="none" w:sz="0" w:space="0" w:color="auto"/>
          </w:divBdr>
        </w:div>
        <w:div w:id="1224096649">
          <w:marLeft w:val="0"/>
          <w:marRight w:val="0"/>
          <w:marTop w:val="0"/>
          <w:marBottom w:val="0"/>
          <w:divBdr>
            <w:top w:val="none" w:sz="0" w:space="0" w:color="auto"/>
            <w:left w:val="none" w:sz="0" w:space="0" w:color="auto"/>
            <w:bottom w:val="none" w:sz="0" w:space="0" w:color="auto"/>
            <w:right w:val="none" w:sz="0" w:space="0" w:color="auto"/>
          </w:divBdr>
        </w:div>
        <w:div w:id="490752325">
          <w:marLeft w:val="0"/>
          <w:marRight w:val="0"/>
          <w:marTop w:val="0"/>
          <w:marBottom w:val="0"/>
          <w:divBdr>
            <w:top w:val="none" w:sz="0" w:space="0" w:color="auto"/>
            <w:left w:val="none" w:sz="0" w:space="0" w:color="auto"/>
            <w:bottom w:val="none" w:sz="0" w:space="0" w:color="auto"/>
            <w:right w:val="none" w:sz="0" w:space="0" w:color="auto"/>
          </w:divBdr>
        </w:div>
        <w:div w:id="1980453853">
          <w:marLeft w:val="0"/>
          <w:marRight w:val="0"/>
          <w:marTop w:val="0"/>
          <w:marBottom w:val="0"/>
          <w:divBdr>
            <w:top w:val="none" w:sz="0" w:space="0" w:color="auto"/>
            <w:left w:val="none" w:sz="0" w:space="0" w:color="auto"/>
            <w:bottom w:val="none" w:sz="0" w:space="0" w:color="auto"/>
            <w:right w:val="none" w:sz="0" w:space="0" w:color="auto"/>
          </w:divBdr>
        </w:div>
        <w:div w:id="1542400760">
          <w:marLeft w:val="0"/>
          <w:marRight w:val="0"/>
          <w:marTop w:val="0"/>
          <w:marBottom w:val="0"/>
          <w:divBdr>
            <w:top w:val="none" w:sz="0" w:space="0" w:color="auto"/>
            <w:left w:val="none" w:sz="0" w:space="0" w:color="auto"/>
            <w:bottom w:val="none" w:sz="0" w:space="0" w:color="auto"/>
            <w:right w:val="none" w:sz="0" w:space="0" w:color="auto"/>
          </w:divBdr>
        </w:div>
        <w:div w:id="213666543">
          <w:marLeft w:val="0"/>
          <w:marRight w:val="0"/>
          <w:marTop w:val="0"/>
          <w:marBottom w:val="0"/>
          <w:divBdr>
            <w:top w:val="none" w:sz="0" w:space="0" w:color="auto"/>
            <w:left w:val="none" w:sz="0" w:space="0" w:color="auto"/>
            <w:bottom w:val="none" w:sz="0" w:space="0" w:color="auto"/>
            <w:right w:val="none" w:sz="0" w:space="0" w:color="auto"/>
          </w:divBdr>
        </w:div>
        <w:div w:id="1423987800">
          <w:marLeft w:val="0"/>
          <w:marRight w:val="0"/>
          <w:marTop w:val="0"/>
          <w:marBottom w:val="0"/>
          <w:divBdr>
            <w:top w:val="none" w:sz="0" w:space="0" w:color="auto"/>
            <w:left w:val="none" w:sz="0" w:space="0" w:color="auto"/>
            <w:bottom w:val="none" w:sz="0" w:space="0" w:color="auto"/>
            <w:right w:val="none" w:sz="0" w:space="0" w:color="auto"/>
          </w:divBdr>
        </w:div>
        <w:div w:id="1334256509">
          <w:marLeft w:val="0"/>
          <w:marRight w:val="0"/>
          <w:marTop w:val="0"/>
          <w:marBottom w:val="0"/>
          <w:divBdr>
            <w:top w:val="none" w:sz="0" w:space="0" w:color="auto"/>
            <w:left w:val="none" w:sz="0" w:space="0" w:color="auto"/>
            <w:bottom w:val="none" w:sz="0" w:space="0" w:color="auto"/>
            <w:right w:val="none" w:sz="0" w:space="0" w:color="auto"/>
          </w:divBdr>
        </w:div>
        <w:div w:id="94523698">
          <w:marLeft w:val="0"/>
          <w:marRight w:val="0"/>
          <w:marTop w:val="0"/>
          <w:marBottom w:val="0"/>
          <w:divBdr>
            <w:top w:val="none" w:sz="0" w:space="0" w:color="auto"/>
            <w:left w:val="none" w:sz="0" w:space="0" w:color="auto"/>
            <w:bottom w:val="none" w:sz="0" w:space="0" w:color="auto"/>
            <w:right w:val="none" w:sz="0" w:space="0" w:color="auto"/>
          </w:divBdr>
        </w:div>
        <w:div w:id="2022969616">
          <w:marLeft w:val="0"/>
          <w:marRight w:val="0"/>
          <w:marTop w:val="0"/>
          <w:marBottom w:val="0"/>
          <w:divBdr>
            <w:top w:val="none" w:sz="0" w:space="0" w:color="auto"/>
            <w:left w:val="none" w:sz="0" w:space="0" w:color="auto"/>
            <w:bottom w:val="none" w:sz="0" w:space="0" w:color="auto"/>
            <w:right w:val="none" w:sz="0" w:space="0" w:color="auto"/>
          </w:divBdr>
        </w:div>
      </w:divsChild>
    </w:div>
    <w:div w:id="272831771">
      <w:bodyDiv w:val="1"/>
      <w:marLeft w:val="0"/>
      <w:marRight w:val="0"/>
      <w:marTop w:val="0"/>
      <w:marBottom w:val="0"/>
      <w:divBdr>
        <w:top w:val="none" w:sz="0" w:space="0" w:color="auto"/>
        <w:left w:val="none" w:sz="0" w:space="0" w:color="auto"/>
        <w:bottom w:val="none" w:sz="0" w:space="0" w:color="auto"/>
        <w:right w:val="none" w:sz="0" w:space="0" w:color="auto"/>
      </w:divBdr>
    </w:div>
    <w:div w:id="299269236">
      <w:bodyDiv w:val="1"/>
      <w:marLeft w:val="0"/>
      <w:marRight w:val="0"/>
      <w:marTop w:val="0"/>
      <w:marBottom w:val="0"/>
      <w:divBdr>
        <w:top w:val="none" w:sz="0" w:space="0" w:color="auto"/>
        <w:left w:val="none" w:sz="0" w:space="0" w:color="auto"/>
        <w:bottom w:val="none" w:sz="0" w:space="0" w:color="auto"/>
        <w:right w:val="none" w:sz="0" w:space="0" w:color="auto"/>
      </w:divBdr>
      <w:divsChild>
        <w:div w:id="2100518492">
          <w:marLeft w:val="0"/>
          <w:marRight w:val="0"/>
          <w:marTop w:val="0"/>
          <w:marBottom w:val="0"/>
          <w:divBdr>
            <w:top w:val="none" w:sz="0" w:space="0" w:color="auto"/>
            <w:left w:val="none" w:sz="0" w:space="0" w:color="auto"/>
            <w:bottom w:val="none" w:sz="0" w:space="0" w:color="auto"/>
            <w:right w:val="none" w:sz="0" w:space="0" w:color="auto"/>
          </w:divBdr>
        </w:div>
      </w:divsChild>
    </w:div>
    <w:div w:id="312754539">
      <w:bodyDiv w:val="1"/>
      <w:marLeft w:val="0"/>
      <w:marRight w:val="0"/>
      <w:marTop w:val="0"/>
      <w:marBottom w:val="0"/>
      <w:divBdr>
        <w:top w:val="none" w:sz="0" w:space="0" w:color="auto"/>
        <w:left w:val="none" w:sz="0" w:space="0" w:color="auto"/>
        <w:bottom w:val="none" w:sz="0" w:space="0" w:color="auto"/>
        <w:right w:val="none" w:sz="0" w:space="0" w:color="auto"/>
      </w:divBdr>
    </w:div>
    <w:div w:id="347605728">
      <w:bodyDiv w:val="1"/>
      <w:marLeft w:val="0"/>
      <w:marRight w:val="0"/>
      <w:marTop w:val="0"/>
      <w:marBottom w:val="0"/>
      <w:divBdr>
        <w:top w:val="none" w:sz="0" w:space="0" w:color="auto"/>
        <w:left w:val="none" w:sz="0" w:space="0" w:color="auto"/>
        <w:bottom w:val="none" w:sz="0" w:space="0" w:color="auto"/>
        <w:right w:val="none" w:sz="0" w:space="0" w:color="auto"/>
      </w:divBdr>
      <w:divsChild>
        <w:div w:id="2102411561">
          <w:marLeft w:val="0"/>
          <w:marRight w:val="0"/>
          <w:marTop w:val="0"/>
          <w:marBottom w:val="0"/>
          <w:divBdr>
            <w:top w:val="none" w:sz="0" w:space="0" w:color="auto"/>
            <w:left w:val="none" w:sz="0" w:space="0" w:color="auto"/>
            <w:bottom w:val="none" w:sz="0" w:space="0" w:color="auto"/>
            <w:right w:val="none" w:sz="0" w:space="0" w:color="auto"/>
          </w:divBdr>
        </w:div>
        <w:div w:id="1272281286">
          <w:marLeft w:val="0"/>
          <w:marRight w:val="0"/>
          <w:marTop w:val="0"/>
          <w:marBottom w:val="0"/>
          <w:divBdr>
            <w:top w:val="none" w:sz="0" w:space="0" w:color="auto"/>
            <w:left w:val="none" w:sz="0" w:space="0" w:color="auto"/>
            <w:bottom w:val="none" w:sz="0" w:space="0" w:color="auto"/>
            <w:right w:val="none" w:sz="0" w:space="0" w:color="auto"/>
          </w:divBdr>
        </w:div>
        <w:div w:id="1843354592">
          <w:marLeft w:val="0"/>
          <w:marRight w:val="0"/>
          <w:marTop w:val="0"/>
          <w:marBottom w:val="0"/>
          <w:divBdr>
            <w:top w:val="none" w:sz="0" w:space="0" w:color="auto"/>
            <w:left w:val="none" w:sz="0" w:space="0" w:color="auto"/>
            <w:bottom w:val="none" w:sz="0" w:space="0" w:color="auto"/>
            <w:right w:val="none" w:sz="0" w:space="0" w:color="auto"/>
          </w:divBdr>
        </w:div>
        <w:div w:id="1404330207">
          <w:marLeft w:val="0"/>
          <w:marRight w:val="0"/>
          <w:marTop w:val="0"/>
          <w:marBottom w:val="0"/>
          <w:divBdr>
            <w:top w:val="none" w:sz="0" w:space="0" w:color="auto"/>
            <w:left w:val="none" w:sz="0" w:space="0" w:color="auto"/>
            <w:bottom w:val="none" w:sz="0" w:space="0" w:color="auto"/>
            <w:right w:val="none" w:sz="0" w:space="0" w:color="auto"/>
          </w:divBdr>
        </w:div>
        <w:div w:id="1788163616">
          <w:marLeft w:val="0"/>
          <w:marRight w:val="0"/>
          <w:marTop w:val="0"/>
          <w:marBottom w:val="0"/>
          <w:divBdr>
            <w:top w:val="none" w:sz="0" w:space="0" w:color="auto"/>
            <w:left w:val="none" w:sz="0" w:space="0" w:color="auto"/>
            <w:bottom w:val="none" w:sz="0" w:space="0" w:color="auto"/>
            <w:right w:val="none" w:sz="0" w:space="0" w:color="auto"/>
          </w:divBdr>
        </w:div>
        <w:div w:id="1926258578">
          <w:marLeft w:val="0"/>
          <w:marRight w:val="0"/>
          <w:marTop w:val="0"/>
          <w:marBottom w:val="0"/>
          <w:divBdr>
            <w:top w:val="none" w:sz="0" w:space="0" w:color="auto"/>
            <w:left w:val="none" w:sz="0" w:space="0" w:color="auto"/>
            <w:bottom w:val="none" w:sz="0" w:space="0" w:color="auto"/>
            <w:right w:val="none" w:sz="0" w:space="0" w:color="auto"/>
          </w:divBdr>
        </w:div>
        <w:div w:id="130710281">
          <w:marLeft w:val="0"/>
          <w:marRight w:val="0"/>
          <w:marTop w:val="0"/>
          <w:marBottom w:val="0"/>
          <w:divBdr>
            <w:top w:val="none" w:sz="0" w:space="0" w:color="auto"/>
            <w:left w:val="none" w:sz="0" w:space="0" w:color="auto"/>
            <w:bottom w:val="none" w:sz="0" w:space="0" w:color="auto"/>
            <w:right w:val="none" w:sz="0" w:space="0" w:color="auto"/>
          </w:divBdr>
        </w:div>
        <w:div w:id="991103743">
          <w:marLeft w:val="0"/>
          <w:marRight w:val="0"/>
          <w:marTop w:val="0"/>
          <w:marBottom w:val="0"/>
          <w:divBdr>
            <w:top w:val="none" w:sz="0" w:space="0" w:color="auto"/>
            <w:left w:val="none" w:sz="0" w:space="0" w:color="auto"/>
            <w:bottom w:val="none" w:sz="0" w:space="0" w:color="auto"/>
            <w:right w:val="none" w:sz="0" w:space="0" w:color="auto"/>
          </w:divBdr>
        </w:div>
        <w:div w:id="1480152127">
          <w:marLeft w:val="0"/>
          <w:marRight w:val="0"/>
          <w:marTop w:val="0"/>
          <w:marBottom w:val="0"/>
          <w:divBdr>
            <w:top w:val="none" w:sz="0" w:space="0" w:color="auto"/>
            <w:left w:val="none" w:sz="0" w:space="0" w:color="auto"/>
            <w:bottom w:val="none" w:sz="0" w:space="0" w:color="auto"/>
            <w:right w:val="none" w:sz="0" w:space="0" w:color="auto"/>
          </w:divBdr>
        </w:div>
        <w:div w:id="273513530">
          <w:marLeft w:val="0"/>
          <w:marRight w:val="0"/>
          <w:marTop w:val="0"/>
          <w:marBottom w:val="0"/>
          <w:divBdr>
            <w:top w:val="none" w:sz="0" w:space="0" w:color="auto"/>
            <w:left w:val="none" w:sz="0" w:space="0" w:color="auto"/>
            <w:bottom w:val="none" w:sz="0" w:space="0" w:color="auto"/>
            <w:right w:val="none" w:sz="0" w:space="0" w:color="auto"/>
          </w:divBdr>
        </w:div>
        <w:div w:id="2055080825">
          <w:marLeft w:val="0"/>
          <w:marRight w:val="0"/>
          <w:marTop w:val="0"/>
          <w:marBottom w:val="0"/>
          <w:divBdr>
            <w:top w:val="none" w:sz="0" w:space="0" w:color="auto"/>
            <w:left w:val="none" w:sz="0" w:space="0" w:color="auto"/>
            <w:bottom w:val="none" w:sz="0" w:space="0" w:color="auto"/>
            <w:right w:val="none" w:sz="0" w:space="0" w:color="auto"/>
          </w:divBdr>
        </w:div>
        <w:div w:id="830683858">
          <w:marLeft w:val="0"/>
          <w:marRight w:val="0"/>
          <w:marTop w:val="0"/>
          <w:marBottom w:val="0"/>
          <w:divBdr>
            <w:top w:val="none" w:sz="0" w:space="0" w:color="auto"/>
            <w:left w:val="none" w:sz="0" w:space="0" w:color="auto"/>
            <w:bottom w:val="none" w:sz="0" w:space="0" w:color="auto"/>
            <w:right w:val="none" w:sz="0" w:space="0" w:color="auto"/>
          </w:divBdr>
        </w:div>
        <w:div w:id="400954964">
          <w:marLeft w:val="0"/>
          <w:marRight w:val="0"/>
          <w:marTop w:val="0"/>
          <w:marBottom w:val="0"/>
          <w:divBdr>
            <w:top w:val="none" w:sz="0" w:space="0" w:color="auto"/>
            <w:left w:val="none" w:sz="0" w:space="0" w:color="auto"/>
            <w:bottom w:val="none" w:sz="0" w:space="0" w:color="auto"/>
            <w:right w:val="none" w:sz="0" w:space="0" w:color="auto"/>
          </w:divBdr>
        </w:div>
        <w:div w:id="270743843">
          <w:marLeft w:val="0"/>
          <w:marRight w:val="0"/>
          <w:marTop w:val="0"/>
          <w:marBottom w:val="0"/>
          <w:divBdr>
            <w:top w:val="none" w:sz="0" w:space="0" w:color="auto"/>
            <w:left w:val="none" w:sz="0" w:space="0" w:color="auto"/>
            <w:bottom w:val="none" w:sz="0" w:space="0" w:color="auto"/>
            <w:right w:val="none" w:sz="0" w:space="0" w:color="auto"/>
          </w:divBdr>
        </w:div>
        <w:div w:id="427626607">
          <w:marLeft w:val="0"/>
          <w:marRight w:val="0"/>
          <w:marTop w:val="0"/>
          <w:marBottom w:val="0"/>
          <w:divBdr>
            <w:top w:val="none" w:sz="0" w:space="0" w:color="auto"/>
            <w:left w:val="none" w:sz="0" w:space="0" w:color="auto"/>
            <w:bottom w:val="none" w:sz="0" w:space="0" w:color="auto"/>
            <w:right w:val="none" w:sz="0" w:space="0" w:color="auto"/>
          </w:divBdr>
        </w:div>
        <w:div w:id="122892700">
          <w:marLeft w:val="0"/>
          <w:marRight w:val="0"/>
          <w:marTop w:val="0"/>
          <w:marBottom w:val="0"/>
          <w:divBdr>
            <w:top w:val="none" w:sz="0" w:space="0" w:color="auto"/>
            <w:left w:val="none" w:sz="0" w:space="0" w:color="auto"/>
            <w:bottom w:val="none" w:sz="0" w:space="0" w:color="auto"/>
            <w:right w:val="none" w:sz="0" w:space="0" w:color="auto"/>
          </w:divBdr>
        </w:div>
        <w:div w:id="863907430">
          <w:marLeft w:val="0"/>
          <w:marRight w:val="0"/>
          <w:marTop w:val="0"/>
          <w:marBottom w:val="0"/>
          <w:divBdr>
            <w:top w:val="none" w:sz="0" w:space="0" w:color="auto"/>
            <w:left w:val="none" w:sz="0" w:space="0" w:color="auto"/>
            <w:bottom w:val="none" w:sz="0" w:space="0" w:color="auto"/>
            <w:right w:val="none" w:sz="0" w:space="0" w:color="auto"/>
          </w:divBdr>
        </w:div>
        <w:div w:id="265500996">
          <w:marLeft w:val="0"/>
          <w:marRight w:val="0"/>
          <w:marTop w:val="0"/>
          <w:marBottom w:val="0"/>
          <w:divBdr>
            <w:top w:val="none" w:sz="0" w:space="0" w:color="auto"/>
            <w:left w:val="none" w:sz="0" w:space="0" w:color="auto"/>
            <w:bottom w:val="none" w:sz="0" w:space="0" w:color="auto"/>
            <w:right w:val="none" w:sz="0" w:space="0" w:color="auto"/>
          </w:divBdr>
        </w:div>
        <w:div w:id="2074697050">
          <w:marLeft w:val="0"/>
          <w:marRight w:val="0"/>
          <w:marTop w:val="0"/>
          <w:marBottom w:val="0"/>
          <w:divBdr>
            <w:top w:val="none" w:sz="0" w:space="0" w:color="auto"/>
            <w:left w:val="none" w:sz="0" w:space="0" w:color="auto"/>
            <w:bottom w:val="none" w:sz="0" w:space="0" w:color="auto"/>
            <w:right w:val="none" w:sz="0" w:space="0" w:color="auto"/>
          </w:divBdr>
        </w:div>
        <w:div w:id="1742484244">
          <w:marLeft w:val="0"/>
          <w:marRight w:val="0"/>
          <w:marTop w:val="0"/>
          <w:marBottom w:val="0"/>
          <w:divBdr>
            <w:top w:val="none" w:sz="0" w:space="0" w:color="auto"/>
            <w:left w:val="none" w:sz="0" w:space="0" w:color="auto"/>
            <w:bottom w:val="none" w:sz="0" w:space="0" w:color="auto"/>
            <w:right w:val="none" w:sz="0" w:space="0" w:color="auto"/>
          </w:divBdr>
        </w:div>
        <w:div w:id="357002792">
          <w:marLeft w:val="0"/>
          <w:marRight w:val="0"/>
          <w:marTop w:val="0"/>
          <w:marBottom w:val="0"/>
          <w:divBdr>
            <w:top w:val="none" w:sz="0" w:space="0" w:color="auto"/>
            <w:left w:val="none" w:sz="0" w:space="0" w:color="auto"/>
            <w:bottom w:val="none" w:sz="0" w:space="0" w:color="auto"/>
            <w:right w:val="none" w:sz="0" w:space="0" w:color="auto"/>
          </w:divBdr>
        </w:div>
        <w:div w:id="735325172">
          <w:marLeft w:val="0"/>
          <w:marRight w:val="0"/>
          <w:marTop w:val="0"/>
          <w:marBottom w:val="0"/>
          <w:divBdr>
            <w:top w:val="none" w:sz="0" w:space="0" w:color="auto"/>
            <w:left w:val="none" w:sz="0" w:space="0" w:color="auto"/>
            <w:bottom w:val="none" w:sz="0" w:space="0" w:color="auto"/>
            <w:right w:val="none" w:sz="0" w:space="0" w:color="auto"/>
          </w:divBdr>
        </w:div>
        <w:div w:id="1202592086">
          <w:marLeft w:val="0"/>
          <w:marRight w:val="0"/>
          <w:marTop w:val="0"/>
          <w:marBottom w:val="0"/>
          <w:divBdr>
            <w:top w:val="none" w:sz="0" w:space="0" w:color="auto"/>
            <w:left w:val="none" w:sz="0" w:space="0" w:color="auto"/>
            <w:bottom w:val="none" w:sz="0" w:space="0" w:color="auto"/>
            <w:right w:val="none" w:sz="0" w:space="0" w:color="auto"/>
          </w:divBdr>
        </w:div>
      </w:divsChild>
    </w:div>
    <w:div w:id="396249488">
      <w:bodyDiv w:val="1"/>
      <w:marLeft w:val="0"/>
      <w:marRight w:val="0"/>
      <w:marTop w:val="0"/>
      <w:marBottom w:val="0"/>
      <w:divBdr>
        <w:top w:val="none" w:sz="0" w:space="0" w:color="auto"/>
        <w:left w:val="none" w:sz="0" w:space="0" w:color="auto"/>
        <w:bottom w:val="none" w:sz="0" w:space="0" w:color="auto"/>
        <w:right w:val="none" w:sz="0" w:space="0" w:color="auto"/>
      </w:divBdr>
      <w:divsChild>
        <w:div w:id="824321418">
          <w:marLeft w:val="0"/>
          <w:marRight w:val="0"/>
          <w:marTop w:val="0"/>
          <w:marBottom w:val="0"/>
          <w:divBdr>
            <w:top w:val="none" w:sz="0" w:space="0" w:color="auto"/>
            <w:left w:val="none" w:sz="0" w:space="0" w:color="auto"/>
            <w:bottom w:val="none" w:sz="0" w:space="0" w:color="auto"/>
            <w:right w:val="none" w:sz="0" w:space="0" w:color="auto"/>
          </w:divBdr>
        </w:div>
        <w:div w:id="619342963">
          <w:marLeft w:val="0"/>
          <w:marRight w:val="0"/>
          <w:marTop w:val="0"/>
          <w:marBottom w:val="0"/>
          <w:divBdr>
            <w:top w:val="none" w:sz="0" w:space="0" w:color="auto"/>
            <w:left w:val="none" w:sz="0" w:space="0" w:color="auto"/>
            <w:bottom w:val="none" w:sz="0" w:space="0" w:color="auto"/>
            <w:right w:val="none" w:sz="0" w:space="0" w:color="auto"/>
          </w:divBdr>
        </w:div>
        <w:div w:id="579800069">
          <w:marLeft w:val="0"/>
          <w:marRight w:val="0"/>
          <w:marTop w:val="0"/>
          <w:marBottom w:val="0"/>
          <w:divBdr>
            <w:top w:val="none" w:sz="0" w:space="0" w:color="auto"/>
            <w:left w:val="none" w:sz="0" w:space="0" w:color="auto"/>
            <w:bottom w:val="none" w:sz="0" w:space="0" w:color="auto"/>
            <w:right w:val="none" w:sz="0" w:space="0" w:color="auto"/>
          </w:divBdr>
        </w:div>
        <w:div w:id="717508271">
          <w:marLeft w:val="0"/>
          <w:marRight w:val="0"/>
          <w:marTop w:val="0"/>
          <w:marBottom w:val="0"/>
          <w:divBdr>
            <w:top w:val="none" w:sz="0" w:space="0" w:color="auto"/>
            <w:left w:val="none" w:sz="0" w:space="0" w:color="auto"/>
            <w:bottom w:val="none" w:sz="0" w:space="0" w:color="auto"/>
            <w:right w:val="none" w:sz="0" w:space="0" w:color="auto"/>
          </w:divBdr>
        </w:div>
        <w:div w:id="1063990334">
          <w:marLeft w:val="0"/>
          <w:marRight w:val="0"/>
          <w:marTop w:val="0"/>
          <w:marBottom w:val="0"/>
          <w:divBdr>
            <w:top w:val="none" w:sz="0" w:space="0" w:color="auto"/>
            <w:left w:val="none" w:sz="0" w:space="0" w:color="auto"/>
            <w:bottom w:val="none" w:sz="0" w:space="0" w:color="auto"/>
            <w:right w:val="none" w:sz="0" w:space="0" w:color="auto"/>
          </w:divBdr>
        </w:div>
        <w:div w:id="897013863">
          <w:marLeft w:val="0"/>
          <w:marRight w:val="0"/>
          <w:marTop w:val="0"/>
          <w:marBottom w:val="0"/>
          <w:divBdr>
            <w:top w:val="none" w:sz="0" w:space="0" w:color="auto"/>
            <w:left w:val="none" w:sz="0" w:space="0" w:color="auto"/>
            <w:bottom w:val="none" w:sz="0" w:space="0" w:color="auto"/>
            <w:right w:val="none" w:sz="0" w:space="0" w:color="auto"/>
          </w:divBdr>
        </w:div>
        <w:div w:id="299918836">
          <w:marLeft w:val="0"/>
          <w:marRight w:val="0"/>
          <w:marTop w:val="0"/>
          <w:marBottom w:val="0"/>
          <w:divBdr>
            <w:top w:val="none" w:sz="0" w:space="0" w:color="auto"/>
            <w:left w:val="none" w:sz="0" w:space="0" w:color="auto"/>
            <w:bottom w:val="none" w:sz="0" w:space="0" w:color="auto"/>
            <w:right w:val="none" w:sz="0" w:space="0" w:color="auto"/>
          </w:divBdr>
        </w:div>
        <w:div w:id="1940331284">
          <w:marLeft w:val="0"/>
          <w:marRight w:val="0"/>
          <w:marTop w:val="0"/>
          <w:marBottom w:val="0"/>
          <w:divBdr>
            <w:top w:val="none" w:sz="0" w:space="0" w:color="auto"/>
            <w:left w:val="none" w:sz="0" w:space="0" w:color="auto"/>
            <w:bottom w:val="none" w:sz="0" w:space="0" w:color="auto"/>
            <w:right w:val="none" w:sz="0" w:space="0" w:color="auto"/>
          </w:divBdr>
        </w:div>
        <w:div w:id="1491217769">
          <w:marLeft w:val="0"/>
          <w:marRight w:val="0"/>
          <w:marTop w:val="0"/>
          <w:marBottom w:val="0"/>
          <w:divBdr>
            <w:top w:val="none" w:sz="0" w:space="0" w:color="auto"/>
            <w:left w:val="none" w:sz="0" w:space="0" w:color="auto"/>
            <w:bottom w:val="none" w:sz="0" w:space="0" w:color="auto"/>
            <w:right w:val="none" w:sz="0" w:space="0" w:color="auto"/>
          </w:divBdr>
        </w:div>
        <w:div w:id="431584404">
          <w:marLeft w:val="0"/>
          <w:marRight w:val="0"/>
          <w:marTop w:val="0"/>
          <w:marBottom w:val="0"/>
          <w:divBdr>
            <w:top w:val="none" w:sz="0" w:space="0" w:color="auto"/>
            <w:left w:val="none" w:sz="0" w:space="0" w:color="auto"/>
            <w:bottom w:val="none" w:sz="0" w:space="0" w:color="auto"/>
            <w:right w:val="none" w:sz="0" w:space="0" w:color="auto"/>
          </w:divBdr>
        </w:div>
        <w:div w:id="163715312">
          <w:marLeft w:val="0"/>
          <w:marRight w:val="0"/>
          <w:marTop w:val="0"/>
          <w:marBottom w:val="0"/>
          <w:divBdr>
            <w:top w:val="none" w:sz="0" w:space="0" w:color="auto"/>
            <w:left w:val="none" w:sz="0" w:space="0" w:color="auto"/>
            <w:bottom w:val="none" w:sz="0" w:space="0" w:color="auto"/>
            <w:right w:val="none" w:sz="0" w:space="0" w:color="auto"/>
          </w:divBdr>
        </w:div>
        <w:div w:id="1075468231">
          <w:marLeft w:val="0"/>
          <w:marRight w:val="0"/>
          <w:marTop w:val="0"/>
          <w:marBottom w:val="0"/>
          <w:divBdr>
            <w:top w:val="none" w:sz="0" w:space="0" w:color="auto"/>
            <w:left w:val="none" w:sz="0" w:space="0" w:color="auto"/>
            <w:bottom w:val="none" w:sz="0" w:space="0" w:color="auto"/>
            <w:right w:val="none" w:sz="0" w:space="0" w:color="auto"/>
          </w:divBdr>
        </w:div>
      </w:divsChild>
    </w:div>
    <w:div w:id="421874840">
      <w:bodyDiv w:val="1"/>
      <w:marLeft w:val="0"/>
      <w:marRight w:val="0"/>
      <w:marTop w:val="0"/>
      <w:marBottom w:val="0"/>
      <w:divBdr>
        <w:top w:val="none" w:sz="0" w:space="0" w:color="auto"/>
        <w:left w:val="none" w:sz="0" w:space="0" w:color="auto"/>
        <w:bottom w:val="none" w:sz="0" w:space="0" w:color="auto"/>
        <w:right w:val="none" w:sz="0" w:space="0" w:color="auto"/>
      </w:divBdr>
      <w:divsChild>
        <w:div w:id="95948515">
          <w:marLeft w:val="0"/>
          <w:marRight w:val="0"/>
          <w:marTop w:val="0"/>
          <w:marBottom w:val="0"/>
          <w:divBdr>
            <w:top w:val="none" w:sz="0" w:space="0" w:color="auto"/>
            <w:left w:val="none" w:sz="0" w:space="0" w:color="auto"/>
            <w:bottom w:val="none" w:sz="0" w:space="0" w:color="auto"/>
            <w:right w:val="none" w:sz="0" w:space="0" w:color="auto"/>
          </w:divBdr>
        </w:div>
        <w:div w:id="437916652">
          <w:marLeft w:val="0"/>
          <w:marRight w:val="0"/>
          <w:marTop w:val="0"/>
          <w:marBottom w:val="0"/>
          <w:divBdr>
            <w:top w:val="none" w:sz="0" w:space="0" w:color="auto"/>
            <w:left w:val="none" w:sz="0" w:space="0" w:color="auto"/>
            <w:bottom w:val="none" w:sz="0" w:space="0" w:color="auto"/>
            <w:right w:val="none" w:sz="0" w:space="0" w:color="auto"/>
          </w:divBdr>
        </w:div>
        <w:div w:id="1619292798">
          <w:marLeft w:val="0"/>
          <w:marRight w:val="0"/>
          <w:marTop w:val="0"/>
          <w:marBottom w:val="0"/>
          <w:divBdr>
            <w:top w:val="none" w:sz="0" w:space="0" w:color="auto"/>
            <w:left w:val="none" w:sz="0" w:space="0" w:color="auto"/>
            <w:bottom w:val="none" w:sz="0" w:space="0" w:color="auto"/>
            <w:right w:val="none" w:sz="0" w:space="0" w:color="auto"/>
          </w:divBdr>
        </w:div>
        <w:div w:id="1943956914">
          <w:marLeft w:val="0"/>
          <w:marRight w:val="0"/>
          <w:marTop w:val="0"/>
          <w:marBottom w:val="0"/>
          <w:divBdr>
            <w:top w:val="none" w:sz="0" w:space="0" w:color="auto"/>
            <w:left w:val="none" w:sz="0" w:space="0" w:color="auto"/>
            <w:bottom w:val="none" w:sz="0" w:space="0" w:color="auto"/>
            <w:right w:val="none" w:sz="0" w:space="0" w:color="auto"/>
          </w:divBdr>
        </w:div>
        <w:div w:id="2069962249">
          <w:marLeft w:val="0"/>
          <w:marRight w:val="0"/>
          <w:marTop w:val="0"/>
          <w:marBottom w:val="0"/>
          <w:divBdr>
            <w:top w:val="none" w:sz="0" w:space="0" w:color="auto"/>
            <w:left w:val="none" w:sz="0" w:space="0" w:color="auto"/>
            <w:bottom w:val="none" w:sz="0" w:space="0" w:color="auto"/>
            <w:right w:val="none" w:sz="0" w:space="0" w:color="auto"/>
          </w:divBdr>
        </w:div>
        <w:div w:id="1261910399">
          <w:marLeft w:val="0"/>
          <w:marRight w:val="0"/>
          <w:marTop w:val="0"/>
          <w:marBottom w:val="0"/>
          <w:divBdr>
            <w:top w:val="none" w:sz="0" w:space="0" w:color="auto"/>
            <w:left w:val="none" w:sz="0" w:space="0" w:color="auto"/>
            <w:bottom w:val="none" w:sz="0" w:space="0" w:color="auto"/>
            <w:right w:val="none" w:sz="0" w:space="0" w:color="auto"/>
          </w:divBdr>
        </w:div>
        <w:div w:id="1177773316">
          <w:marLeft w:val="0"/>
          <w:marRight w:val="0"/>
          <w:marTop w:val="0"/>
          <w:marBottom w:val="0"/>
          <w:divBdr>
            <w:top w:val="none" w:sz="0" w:space="0" w:color="auto"/>
            <w:left w:val="none" w:sz="0" w:space="0" w:color="auto"/>
            <w:bottom w:val="none" w:sz="0" w:space="0" w:color="auto"/>
            <w:right w:val="none" w:sz="0" w:space="0" w:color="auto"/>
          </w:divBdr>
        </w:div>
        <w:div w:id="1752507961">
          <w:marLeft w:val="0"/>
          <w:marRight w:val="0"/>
          <w:marTop w:val="0"/>
          <w:marBottom w:val="0"/>
          <w:divBdr>
            <w:top w:val="none" w:sz="0" w:space="0" w:color="auto"/>
            <w:left w:val="none" w:sz="0" w:space="0" w:color="auto"/>
            <w:bottom w:val="none" w:sz="0" w:space="0" w:color="auto"/>
            <w:right w:val="none" w:sz="0" w:space="0" w:color="auto"/>
          </w:divBdr>
        </w:div>
        <w:div w:id="1698046893">
          <w:marLeft w:val="0"/>
          <w:marRight w:val="0"/>
          <w:marTop w:val="0"/>
          <w:marBottom w:val="0"/>
          <w:divBdr>
            <w:top w:val="none" w:sz="0" w:space="0" w:color="auto"/>
            <w:left w:val="none" w:sz="0" w:space="0" w:color="auto"/>
            <w:bottom w:val="none" w:sz="0" w:space="0" w:color="auto"/>
            <w:right w:val="none" w:sz="0" w:space="0" w:color="auto"/>
          </w:divBdr>
        </w:div>
        <w:div w:id="791172186">
          <w:marLeft w:val="0"/>
          <w:marRight w:val="0"/>
          <w:marTop w:val="0"/>
          <w:marBottom w:val="0"/>
          <w:divBdr>
            <w:top w:val="none" w:sz="0" w:space="0" w:color="auto"/>
            <w:left w:val="none" w:sz="0" w:space="0" w:color="auto"/>
            <w:bottom w:val="none" w:sz="0" w:space="0" w:color="auto"/>
            <w:right w:val="none" w:sz="0" w:space="0" w:color="auto"/>
          </w:divBdr>
        </w:div>
        <w:div w:id="841776749">
          <w:marLeft w:val="0"/>
          <w:marRight w:val="0"/>
          <w:marTop w:val="0"/>
          <w:marBottom w:val="0"/>
          <w:divBdr>
            <w:top w:val="none" w:sz="0" w:space="0" w:color="auto"/>
            <w:left w:val="none" w:sz="0" w:space="0" w:color="auto"/>
            <w:bottom w:val="none" w:sz="0" w:space="0" w:color="auto"/>
            <w:right w:val="none" w:sz="0" w:space="0" w:color="auto"/>
          </w:divBdr>
        </w:div>
        <w:div w:id="1509758707">
          <w:marLeft w:val="0"/>
          <w:marRight w:val="0"/>
          <w:marTop w:val="0"/>
          <w:marBottom w:val="0"/>
          <w:divBdr>
            <w:top w:val="none" w:sz="0" w:space="0" w:color="auto"/>
            <w:left w:val="none" w:sz="0" w:space="0" w:color="auto"/>
            <w:bottom w:val="none" w:sz="0" w:space="0" w:color="auto"/>
            <w:right w:val="none" w:sz="0" w:space="0" w:color="auto"/>
          </w:divBdr>
        </w:div>
        <w:div w:id="1746142168">
          <w:marLeft w:val="0"/>
          <w:marRight w:val="0"/>
          <w:marTop w:val="0"/>
          <w:marBottom w:val="0"/>
          <w:divBdr>
            <w:top w:val="none" w:sz="0" w:space="0" w:color="auto"/>
            <w:left w:val="none" w:sz="0" w:space="0" w:color="auto"/>
            <w:bottom w:val="none" w:sz="0" w:space="0" w:color="auto"/>
            <w:right w:val="none" w:sz="0" w:space="0" w:color="auto"/>
          </w:divBdr>
        </w:div>
        <w:div w:id="1956595846">
          <w:marLeft w:val="0"/>
          <w:marRight w:val="0"/>
          <w:marTop w:val="0"/>
          <w:marBottom w:val="0"/>
          <w:divBdr>
            <w:top w:val="none" w:sz="0" w:space="0" w:color="auto"/>
            <w:left w:val="none" w:sz="0" w:space="0" w:color="auto"/>
            <w:bottom w:val="none" w:sz="0" w:space="0" w:color="auto"/>
            <w:right w:val="none" w:sz="0" w:space="0" w:color="auto"/>
          </w:divBdr>
        </w:div>
        <w:div w:id="1233662963">
          <w:marLeft w:val="0"/>
          <w:marRight w:val="0"/>
          <w:marTop w:val="0"/>
          <w:marBottom w:val="0"/>
          <w:divBdr>
            <w:top w:val="none" w:sz="0" w:space="0" w:color="auto"/>
            <w:left w:val="none" w:sz="0" w:space="0" w:color="auto"/>
            <w:bottom w:val="none" w:sz="0" w:space="0" w:color="auto"/>
            <w:right w:val="none" w:sz="0" w:space="0" w:color="auto"/>
          </w:divBdr>
        </w:div>
      </w:divsChild>
    </w:div>
    <w:div w:id="425656854">
      <w:bodyDiv w:val="1"/>
      <w:marLeft w:val="0"/>
      <w:marRight w:val="0"/>
      <w:marTop w:val="0"/>
      <w:marBottom w:val="0"/>
      <w:divBdr>
        <w:top w:val="none" w:sz="0" w:space="0" w:color="auto"/>
        <w:left w:val="none" w:sz="0" w:space="0" w:color="auto"/>
        <w:bottom w:val="none" w:sz="0" w:space="0" w:color="auto"/>
        <w:right w:val="none" w:sz="0" w:space="0" w:color="auto"/>
      </w:divBdr>
    </w:div>
    <w:div w:id="462042755">
      <w:bodyDiv w:val="1"/>
      <w:marLeft w:val="0"/>
      <w:marRight w:val="0"/>
      <w:marTop w:val="0"/>
      <w:marBottom w:val="0"/>
      <w:divBdr>
        <w:top w:val="none" w:sz="0" w:space="0" w:color="auto"/>
        <w:left w:val="none" w:sz="0" w:space="0" w:color="auto"/>
        <w:bottom w:val="none" w:sz="0" w:space="0" w:color="auto"/>
        <w:right w:val="none" w:sz="0" w:space="0" w:color="auto"/>
      </w:divBdr>
      <w:divsChild>
        <w:div w:id="574366101">
          <w:marLeft w:val="0"/>
          <w:marRight w:val="0"/>
          <w:marTop w:val="0"/>
          <w:marBottom w:val="0"/>
          <w:divBdr>
            <w:top w:val="none" w:sz="0" w:space="0" w:color="auto"/>
            <w:left w:val="none" w:sz="0" w:space="0" w:color="auto"/>
            <w:bottom w:val="none" w:sz="0" w:space="0" w:color="auto"/>
            <w:right w:val="none" w:sz="0" w:space="0" w:color="auto"/>
          </w:divBdr>
        </w:div>
        <w:div w:id="1470392930">
          <w:marLeft w:val="0"/>
          <w:marRight w:val="0"/>
          <w:marTop w:val="0"/>
          <w:marBottom w:val="0"/>
          <w:divBdr>
            <w:top w:val="none" w:sz="0" w:space="0" w:color="auto"/>
            <w:left w:val="none" w:sz="0" w:space="0" w:color="auto"/>
            <w:bottom w:val="none" w:sz="0" w:space="0" w:color="auto"/>
            <w:right w:val="none" w:sz="0" w:space="0" w:color="auto"/>
          </w:divBdr>
        </w:div>
        <w:div w:id="1718814127">
          <w:marLeft w:val="0"/>
          <w:marRight w:val="0"/>
          <w:marTop w:val="0"/>
          <w:marBottom w:val="0"/>
          <w:divBdr>
            <w:top w:val="none" w:sz="0" w:space="0" w:color="auto"/>
            <w:left w:val="none" w:sz="0" w:space="0" w:color="auto"/>
            <w:bottom w:val="none" w:sz="0" w:space="0" w:color="auto"/>
            <w:right w:val="none" w:sz="0" w:space="0" w:color="auto"/>
          </w:divBdr>
        </w:div>
        <w:div w:id="413474617">
          <w:marLeft w:val="0"/>
          <w:marRight w:val="0"/>
          <w:marTop w:val="0"/>
          <w:marBottom w:val="0"/>
          <w:divBdr>
            <w:top w:val="none" w:sz="0" w:space="0" w:color="auto"/>
            <w:left w:val="none" w:sz="0" w:space="0" w:color="auto"/>
            <w:bottom w:val="none" w:sz="0" w:space="0" w:color="auto"/>
            <w:right w:val="none" w:sz="0" w:space="0" w:color="auto"/>
          </w:divBdr>
        </w:div>
        <w:div w:id="1773629103">
          <w:marLeft w:val="0"/>
          <w:marRight w:val="0"/>
          <w:marTop w:val="0"/>
          <w:marBottom w:val="0"/>
          <w:divBdr>
            <w:top w:val="none" w:sz="0" w:space="0" w:color="auto"/>
            <w:left w:val="none" w:sz="0" w:space="0" w:color="auto"/>
            <w:bottom w:val="none" w:sz="0" w:space="0" w:color="auto"/>
            <w:right w:val="none" w:sz="0" w:space="0" w:color="auto"/>
          </w:divBdr>
        </w:div>
        <w:div w:id="1424229672">
          <w:marLeft w:val="0"/>
          <w:marRight w:val="0"/>
          <w:marTop w:val="0"/>
          <w:marBottom w:val="0"/>
          <w:divBdr>
            <w:top w:val="none" w:sz="0" w:space="0" w:color="auto"/>
            <w:left w:val="none" w:sz="0" w:space="0" w:color="auto"/>
            <w:bottom w:val="none" w:sz="0" w:space="0" w:color="auto"/>
            <w:right w:val="none" w:sz="0" w:space="0" w:color="auto"/>
          </w:divBdr>
        </w:div>
        <w:div w:id="1325157528">
          <w:marLeft w:val="0"/>
          <w:marRight w:val="0"/>
          <w:marTop w:val="0"/>
          <w:marBottom w:val="0"/>
          <w:divBdr>
            <w:top w:val="none" w:sz="0" w:space="0" w:color="auto"/>
            <w:left w:val="none" w:sz="0" w:space="0" w:color="auto"/>
            <w:bottom w:val="none" w:sz="0" w:space="0" w:color="auto"/>
            <w:right w:val="none" w:sz="0" w:space="0" w:color="auto"/>
          </w:divBdr>
        </w:div>
        <w:div w:id="12921016">
          <w:marLeft w:val="0"/>
          <w:marRight w:val="0"/>
          <w:marTop w:val="0"/>
          <w:marBottom w:val="0"/>
          <w:divBdr>
            <w:top w:val="none" w:sz="0" w:space="0" w:color="auto"/>
            <w:left w:val="none" w:sz="0" w:space="0" w:color="auto"/>
            <w:bottom w:val="none" w:sz="0" w:space="0" w:color="auto"/>
            <w:right w:val="none" w:sz="0" w:space="0" w:color="auto"/>
          </w:divBdr>
        </w:div>
        <w:div w:id="734546396">
          <w:marLeft w:val="0"/>
          <w:marRight w:val="0"/>
          <w:marTop w:val="0"/>
          <w:marBottom w:val="0"/>
          <w:divBdr>
            <w:top w:val="none" w:sz="0" w:space="0" w:color="auto"/>
            <w:left w:val="none" w:sz="0" w:space="0" w:color="auto"/>
            <w:bottom w:val="none" w:sz="0" w:space="0" w:color="auto"/>
            <w:right w:val="none" w:sz="0" w:space="0" w:color="auto"/>
          </w:divBdr>
        </w:div>
      </w:divsChild>
    </w:div>
    <w:div w:id="478808045">
      <w:bodyDiv w:val="1"/>
      <w:marLeft w:val="0"/>
      <w:marRight w:val="0"/>
      <w:marTop w:val="0"/>
      <w:marBottom w:val="0"/>
      <w:divBdr>
        <w:top w:val="none" w:sz="0" w:space="0" w:color="auto"/>
        <w:left w:val="none" w:sz="0" w:space="0" w:color="auto"/>
        <w:bottom w:val="none" w:sz="0" w:space="0" w:color="auto"/>
        <w:right w:val="none" w:sz="0" w:space="0" w:color="auto"/>
      </w:divBdr>
    </w:div>
    <w:div w:id="619729907">
      <w:bodyDiv w:val="1"/>
      <w:marLeft w:val="0"/>
      <w:marRight w:val="0"/>
      <w:marTop w:val="0"/>
      <w:marBottom w:val="0"/>
      <w:divBdr>
        <w:top w:val="none" w:sz="0" w:space="0" w:color="auto"/>
        <w:left w:val="none" w:sz="0" w:space="0" w:color="auto"/>
        <w:bottom w:val="none" w:sz="0" w:space="0" w:color="auto"/>
        <w:right w:val="none" w:sz="0" w:space="0" w:color="auto"/>
      </w:divBdr>
      <w:divsChild>
        <w:div w:id="1568421854">
          <w:marLeft w:val="0"/>
          <w:marRight w:val="0"/>
          <w:marTop w:val="0"/>
          <w:marBottom w:val="0"/>
          <w:divBdr>
            <w:top w:val="none" w:sz="0" w:space="0" w:color="auto"/>
            <w:left w:val="none" w:sz="0" w:space="0" w:color="auto"/>
            <w:bottom w:val="none" w:sz="0" w:space="0" w:color="auto"/>
            <w:right w:val="none" w:sz="0" w:space="0" w:color="auto"/>
          </w:divBdr>
        </w:div>
        <w:div w:id="1671103418">
          <w:marLeft w:val="0"/>
          <w:marRight w:val="0"/>
          <w:marTop w:val="0"/>
          <w:marBottom w:val="0"/>
          <w:divBdr>
            <w:top w:val="none" w:sz="0" w:space="0" w:color="auto"/>
            <w:left w:val="none" w:sz="0" w:space="0" w:color="auto"/>
            <w:bottom w:val="none" w:sz="0" w:space="0" w:color="auto"/>
            <w:right w:val="none" w:sz="0" w:space="0" w:color="auto"/>
          </w:divBdr>
        </w:div>
        <w:div w:id="120272727">
          <w:marLeft w:val="0"/>
          <w:marRight w:val="0"/>
          <w:marTop w:val="0"/>
          <w:marBottom w:val="0"/>
          <w:divBdr>
            <w:top w:val="none" w:sz="0" w:space="0" w:color="auto"/>
            <w:left w:val="none" w:sz="0" w:space="0" w:color="auto"/>
            <w:bottom w:val="none" w:sz="0" w:space="0" w:color="auto"/>
            <w:right w:val="none" w:sz="0" w:space="0" w:color="auto"/>
          </w:divBdr>
        </w:div>
        <w:div w:id="258605518">
          <w:marLeft w:val="0"/>
          <w:marRight w:val="0"/>
          <w:marTop w:val="0"/>
          <w:marBottom w:val="0"/>
          <w:divBdr>
            <w:top w:val="none" w:sz="0" w:space="0" w:color="auto"/>
            <w:left w:val="none" w:sz="0" w:space="0" w:color="auto"/>
            <w:bottom w:val="none" w:sz="0" w:space="0" w:color="auto"/>
            <w:right w:val="none" w:sz="0" w:space="0" w:color="auto"/>
          </w:divBdr>
        </w:div>
        <w:div w:id="1393653037">
          <w:marLeft w:val="0"/>
          <w:marRight w:val="0"/>
          <w:marTop w:val="0"/>
          <w:marBottom w:val="0"/>
          <w:divBdr>
            <w:top w:val="none" w:sz="0" w:space="0" w:color="auto"/>
            <w:left w:val="none" w:sz="0" w:space="0" w:color="auto"/>
            <w:bottom w:val="none" w:sz="0" w:space="0" w:color="auto"/>
            <w:right w:val="none" w:sz="0" w:space="0" w:color="auto"/>
          </w:divBdr>
        </w:div>
        <w:div w:id="1522354056">
          <w:marLeft w:val="0"/>
          <w:marRight w:val="0"/>
          <w:marTop w:val="0"/>
          <w:marBottom w:val="0"/>
          <w:divBdr>
            <w:top w:val="none" w:sz="0" w:space="0" w:color="auto"/>
            <w:left w:val="none" w:sz="0" w:space="0" w:color="auto"/>
            <w:bottom w:val="none" w:sz="0" w:space="0" w:color="auto"/>
            <w:right w:val="none" w:sz="0" w:space="0" w:color="auto"/>
          </w:divBdr>
        </w:div>
        <w:div w:id="1301770240">
          <w:marLeft w:val="0"/>
          <w:marRight w:val="0"/>
          <w:marTop w:val="0"/>
          <w:marBottom w:val="0"/>
          <w:divBdr>
            <w:top w:val="none" w:sz="0" w:space="0" w:color="auto"/>
            <w:left w:val="none" w:sz="0" w:space="0" w:color="auto"/>
            <w:bottom w:val="none" w:sz="0" w:space="0" w:color="auto"/>
            <w:right w:val="none" w:sz="0" w:space="0" w:color="auto"/>
          </w:divBdr>
        </w:div>
        <w:div w:id="1752386613">
          <w:marLeft w:val="0"/>
          <w:marRight w:val="0"/>
          <w:marTop w:val="0"/>
          <w:marBottom w:val="0"/>
          <w:divBdr>
            <w:top w:val="none" w:sz="0" w:space="0" w:color="auto"/>
            <w:left w:val="none" w:sz="0" w:space="0" w:color="auto"/>
            <w:bottom w:val="none" w:sz="0" w:space="0" w:color="auto"/>
            <w:right w:val="none" w:sz="0" w:space="0" w:color="auto"/>
          </w:divBdr>
        </w:div>
        <w:div w:id="744035688">
          <w:marLeft w:val="0"/>
          <w:marRight w:val="0"/>
          <w:marTop w:val="0"/>
          <w:marBottom w:val="0"/>
          <w:divBdr>
            <w:top w:val="none" w:sz="0" w:space="0" w:color="auto"/>
            <w:left w:val="none" w:sz="0" w:space="0" w:color="auto"/>
            <w:bottom w:val="none" w:sz="0" w:space="0" w:color="auto"/>
            <w:right w:val="none" w:sz="0" w:space="0" w:color="auto"/>
          </w:divBdr>
        </w:div>
        <w:div w:id="1071735001">
          <w:marLeft w:val="0"/>
          <w:marRight w:val="0"/>
          <w:marTop w:val="0"/>
          <w:marBottom w:val="0"/>
          <w:divBdr>
            <w:top w:val="none" w:sz="0" w:space="0" w:color="auto"/>
            <w:left w:val="none" w:sz="0" w:space="0" w:color="auto"/>
            <w:bottom w:val="none" w:sz="0" w:space="0" w:color="auto"/>
            <w:right w:val="none" w:sz="0" w:space="0" w:color="auto"/>
          </w:divBdr>
        </w:div>
        <w:div w:id="142893358">
          <w:marLeft w:val="0"/>
          <w:marRight w:val="0"/>
          <w:marTop w:val="0"/>
          <w:marBottom w:val="0"/>
          <w:divBdr>
            <w:top w:val="none" w:sz="0" w:space="0" w:color="auto"/>
            <w:left w:val="none" w:sz="0" w:space="0" w:color="auto"/>
            <w:bottom w:val="none" w:sz="0" w:space="0" w:color="auto"/>
            <w:right w:val="none" w:sz="0" w:space="0" w:color="auto"/>
          </w:divBdr>
        </w:div>
        <w:div w:id="884566060">
          <w:marLeft w:val="0"/>
          <w:marRight w:val="0"/>
          <w:marTop w:val="0"/>
          <w:marBottom w:val="0"/>
          <w:divBdr>
            <w:top w:val="none" w:sz="0" w:space="0" w:color="auto"/>
            <w:left w:val="none" w:sz="0" w:space="0" w:color="auto"/>
            <w:bottom w:val="none" w:sz="0" w:space="0" w:color="auto"/>
            <w:right w:val="none" w:sz="0" w:space="0" w:color="auto"/>
          </w:divBdr>
        </w:div>
        <w:div w:id="2019456574">
          <w:marLeft w:val="0"/>
          <w:marRight w:val="0"/>
          <w:marTop w:val="0"/>
          <w:marBottom w:val="0"/>
          <w:divBdr>
            <w:top w:val="none" w:sz="0" w:space="0" w:color="auto"/>
            <w:left w:val="none" w:sz="0" w:space="0" w:color="auto"/>
            <w:bottom w:val="none" w:sz="0" w:space="0" w:color="auto"/>
            <w:right w:val="none" w:sz="0" w:space="0" w:color="auto"/>
          </w:divBdr>
        </w:div>
        <w:div w:id="1497962391">
          <w:marLeft w:val="0"/>
          <w:marRight w:val="0"/>
          <w:marTop w:val="0"/>
          <w:marBottom w:val="0"/>
          <w:divBdr>
            <w:top w:val="none" w:sz="0" w:space="0" w:color="auto"/>
            <w:left w:val="none" w:sz="0" w:space="0" w:color="auto"/>
            <w:bottom w:val="none" w:sz="0" w:space="0" w:color="auto"/>
            <w:right w:val="none" w:sz="0" w:space="0" w:color="auto"/>
          </w:divBdr>
        </w:div>
        <w:div w:id="259337166">
          <w:marLeft w:val="0"/>
          <w:marRight w:val="0"/>
          <w:marTop w:val="0"/>
          <w:marBottom w:val="0"/>
          <w:divBdr>
            <w:top w:val="none" w:sz="0" w:space="0" w:color="auto"/>
            <w:left w:val="none" w:sz="0" w:space="0" w:color="auto"/>
            <w:bottom w:val="none" w:sz="0" w:space="0" w:color="auto"/>
            <w:right w:val="none" w:sz="0" w:space="0" w:color="auto"/>
          </w:divBdr>
        </w:div>
        <w:div w:id="420614205">
          <w:marLeft w:val="0"/>
          <w:marRight w:val="0"/>
          <w:marTop w:val="0"/>
          <w:marBottom w:val="0"/>
          <w:divBdr>
            <w:top w:val="none" w:sz="0" w:space="0" w:color="auto"/>
            <w:left w:val="none" w:sz="0" w:space="0" w:color="auto"/>
            <w:bottom w:val="none" w:sz="0" w:space="0" w:color="auto"/>
            <w:right w:val="none" w:sz="0" w:space="0" w:color="auto"/>
          </w:divBdr>
        </w:div>
        <w:div w:id="295331458">
          <w:marLeft w:val="0"/>
          <w:marRight w:val="0"/>
          <w:marTop w:val="0"/>
          <w:marBottom w:val="0"/>
          <w:divBdr>
            <w:top w:val="none" w:sz="0" w:space="0" w:color="auto"/>
            <w:left w:val="none" w:sz="0" w:space="0" w:color="auto"/>
            <w:bottom w:val="none" w:sz="0" w:space="0" w:color="auto"/>
            <w:right w:val="none" w:sz="0" w:space="0" w:color="auto"/>
          </w:divBdr>
        </w:div>
        <w:div w:id="741028617">
          <w:marLeft w:val="0"/>
          <w:marRight w:val="0"/>
          <w:marTop w:val="0"/>
          <w:marBottom w:val="0"/>
          <w:divBdr>
            <w:top w:val="none" w:sz="0" w:space="0" w:color="auto"/>
            <w:left w:val="none" w:sz="0" w:space="0" w:color="auto"/>
            <w:bottom w:val="none" w:sz="0" w:space="0" w:color="auto"/>
            <w:right w:val="none" w:sz="0" w:space="0" w:color="auto"/>
          </w:divBdr>
        </w:div>
        <w:div w:id="128254490">
          <w:marLeft w:val="0"/>
          <w:marRight w:val="0"/>
          <w:marTop w:val="0"/>
          <w:marBottom w:val="0"/>
          <w:divBdr>
            <w:top w:val="none" w:sz="0" w:space="0" w:color="auto"/>
            <w:left w:val="none" w:sz="0" w:space="0" w:color="auto"/>
            <w:bottom w:val="none" w:sz="0" w:space="0" w:color="auto"/>
            <w:right w:val="none" w:sz="0" w:space="0" w:color="auto"/>
          </w:divBdr>
        </w:div>
      </w:divsChild>
    </w:div>
    <w:div w:id="640766619">
      <w:bodyDiv w:val="1"/>
      <w:marLeft w:val="0"/>
      <w:marRight w:val="0"/>
      <w:marTop w:val="0"/>
      <w:marBottom w:val="0"/>
      <w:divBdr>
        <w:top w:val="none" w:sz="0" w:space="0" w:color="auto"/>
        <w:left w:val="none" w:sz="0" w:space="0" w:color="auto"/>
        <w:bottom w:val="none" w:sz="0" w:space="0" w:color="auto"/>
        <w:right w:val="none" w:sz="0" w:space="0" w:color="auto"/>
      </w:divBdr>
      <w:divsChild>
        <w:div w:id="529756703">
          <w:marLeft w:val="0"/>
          <w:marRight w:val="0"/>
          <w:marTop w:val="0"/>
          <w:marBottom w:val="0"/>
          <w:divBdr>
            <w:top w:val="none" w:sz="0" w:space="0" w:color="auto"/>
            <w:left w:val="none" w:sz="0" w:space="0" w:color="auto"/>
            <w:bottom w:val="none" w:sz="0" w:space="0" w:color="auto"/>
            <w:right w:val="none" w:sz="0" w:space="0" w:color="auto"/>
          </w:divBdr>
        </w:div>
        <w:div w:id="852064162">
          <w:marLeft w:val="0"/>
          <w:marRight w:val="0"/>
          <w:marTop w:val="0"/>
          <w:marBottom w:val="0"/>
          <w:divBdr>
            <w:top w:val="none" w:sz="0" w:space="0" w:color="auto"/>
            <w:left w:val="none" w:sz="0" w:space="0" w:color="auto"/>
            <w:bottom w:val="none" w:sz="0" w:space="0" w:color="auto"/>
            <w:right w:val="none" w:sz="0" w:space="0" w:color="auto"/>
          </w:divBdr>
        </w:div>
        <w:div w:id="999189621">
          <w:marLeft w:val="0"/>
          <w:marRight w:val="0"/>
          <w:marTop w:val="0"/>
          <w:marBottom w:val="0"/>
          <w:divBdr>
            <w:top w:val="none" w:sz="0" w:space="0" w:color="auto"/>
            <w:left w:val="none" w:sz="0" w:space="0" w:color="auto"/>
            <w:bottom w:val="none" w:sz="0" w:space="0" w:color="auto"/>
            <w:right w:val="none" w:sz="0" w:space="0" w:color="auto"/>
          </w:divBdr>
        </w:div>
        <w:div w:id="1857885056">
          <w:marLeft w:val="0"/>
          <w:marRight w:val="0"/>
          <w:marTop w:val="0"/>
          <w:marBottom w:val="0"/>
          <w:divBdr>
            <w:top w:val="none" w:sz="0" w:space="0" w:color="auto"/>
            <w:left w:val="none" w:sz="0" w:space="0" w:color="auto"/>
            <w:bottom w:val="none" w:sz="0" w:space="0" w:color="auto"/>
            <w:right w:val="none" w:sz="0" w:space="0" w:color="auto"/>
          </w:divBdr>
        </w:div>
        <w:div w:id="907573644">
          <w:marLeft w:val="0"/>
          <w:marRight w:val="0"/>
          <w:marTop w:val="0"/>
          <w:marBottom w:val="0"/>
          <w:divBdr>
            <w:top w:val="none" w:sz="0" w:space="0" w:color="auto"/>
            <w:left w:val="none" w:sz="0" w:space="0" w:color="auto"/>
            <w:bottom w:val="none" w:sz="0" w:space="0" w:color="auto"/>
            <w:right w:val="none" w:sz="0" w:space="0" w:color="auto"/>
          </w:divBdr>
        </w:div>
        <w:div w:id="592275632">
          <w:marLeft w:val="0"/>
          <w:marRight w:val="0"/>
          <w:marTop w:val="0"/>
          <w:marBottom w:val="0"/>
          <w:divBdr>
            <w:top w:val="none" w:sz="0" w:space="0" w:color="auto"/>
            <w:left w:val="none" w:sz="0" w:space="0" w:color="auto"/>
            <w:bottom w:val="none" w:sz="0" w:space="0" w:color="auto"/>
            <w:right w:val="none" w:sz="0" w:space="0" w:color="auto"/>
          </w:divBdr>
        </w:div>
        <w:div w:id="1560552561">
          <w:marLeft w:val="0"/>
          <w:marRight w:val="0"/>
          <w:marTop w:val="0"/>
          <w:marBottom w:val="0"/>
          <w:divBdr>
            <w:top w:val="none" w:sz="0" w:space="0" w:color="auto"/>
            <w:left w:val="none" w:sz="0" w:space="0" w:color="auto"/>
            <w:bottom w:val="none" w:sz="0" w:space="0" w:color="auto"/>
            <w:right w:val="none" w:sz="0" w:space="0" w:color="auto"/>
          </w:divBdr>
        </w:div>
        <w:div w:id="137696750">
          <w:marLeft w:val="0"/>
          <w:marRight w:val="0"/>
          <w:marTop w:val="0"/>
          <w:marBottom w:val="0"/>
          <w:divBdr>
            <w:top w:val="none" w:sz="0" w:space="0" w:color="auto"/>
            <w:left w:val="none" w:sz="0" w:space="0" w:color="auto"/>
            <w:bottom w:val="none" w:sz="0" w:space="0" w:color="auto"/>
            <w:right w:val="none" w:sz="0" w:space="0" w:color="auto"/>
          </w:divBdr>
        </w:div>
        <w:div w:id="1673989949">
          <w:marLeft w:val="0"/>
          <w:marRight w:val="0"/>
          <w:marTop w:val="0"/>
          <w:marBottom w:val="0"/>
          <w:divBdr>
            <w:top w:val="none" w:sz="0" w:space="0" w:color="auto"/>
            <w:left w:val="none" w:sz="0" w:space="0" w:color="auto"/>
            <w:bottom w:val="none" w:sz="0" w:space="0" w:color="auto"/>
            <w:right w:val="none" w:sz="0" w:space="0" w:color="auto"/>
          </w:divBdr>
        </w:div>
        <w:div w:id="362823565">
          <w:marLeft w:val="0"/>
          <w:marRight w:val="0"/>
          <w:marTop w:val="0"/>
          <w:marBottom w:val="0"/>
          <w:divBdr>
            <w:top w:val="none" w:sz="0" w:space="0" w:color="auto"/>
            <w:left w:val="none" w:sz="0" w:space="0" w:color="auto"/>
            <w:bottom w:val="none" w:sz="0" w:space="0" w:color="auto"/>
            <w:right w:val="none" w:sz="0" w:space="0" w:color="auto"/>
          </w:divBdr>
        </w:div>
        <w:div w:id="621040675">
          <w:marLeft w:val="0"/>
          <w:marRight w:val="0"/>
          <w:marTop w:val="0"/>
          <w:marBottom w:val="0"/>
          <w:divBdr>
            <w:top w:val="none" w:sz="0" w:space="0" w:color="auto"/>
            <w:left w:val="none" w:sz="0" w:space="0" w:color="auto"/>
            <w:bottom w:val="none" w:sz="0" w:space="0" w:color="auto"/>
            <w:right w:val="none" w:sz="0" w:space="0" w:color="auto"/>
          </w:divBdr>
        </w:div>
        <w:div w:id="1686786551">
          <w:marLeft w:val="0"/>
          <w:marRight w:val="0"/>
          <w:marTop w:val="0"/>
          <w:marBottom w:val="0"/>
          <w:divBdr>
            <w:top w:val="none" w:sz="0" w:space="0" w:color="auto"/>
            <w:left w:val="none" w:sz="0" w:space="0" w:color="auto"/>
            <w:bottom w:val="none" w:sz="0" w:space="0" w:color="auto"/>
            <w:right w:val="none" w:sz="0" w:space="0" w:color="auto"/>
          </w:divBdr>
        </w:div>
        <w:div w:id="189494152">
          <w:marLeft w:val="0"/>
          <w:marRight w:val="0"/>
          <w:marTop w:val="0"/>
          <w:marBottom w:val="0"/>
          <w:divBdr>
            <w:top w:val="none" w:sz="0" w:space="0" w:color="auto"/>
            <w:left w:val="none" w:sz="0" w:space="0" w:color="auto"/>
            <w:bottom w:val="none" w:sz="0" w:space="0" w:color="auto"/>
            <w:right w:val="none" w:sz="0" w:space="0" w:color="auto"/>
          </w:divBdr>
        </w:div>
        <w:div w:id="1432236386">
          <w:marLeft w:val="0"/>
          <w:marRight w:val="0"/>
          <w:marTop w:val="0"/>
          <w:marBottom w:val="0"/>
          <w:divBdr>
            <w:top w:val="none" w:sz="0" w:space="0" w:color="auto"/>
            <w:left w:val="none" w:sz="0" w:space="0" w:color="auto"/>
            <w:bottom w:val="none" w:sz="0" w:space="0" w:color="auto"/>
            <w:right w:val="none" w:sz="0" w:space="0" w:color="auto"/>
          </w:divBdr>
        </w:div>
        <w:div w:id="169608781">
          <w:marLeft w:val="0"/>
          <w:marRight w:val="0"/>
          <w:marTop w:val="0"/>
          <w:marBottom w:val="0"/>
          <w:divBdr>
            <w:top w:val="none" w:sz="0" w:space="0" w:color="auto"/>
            <w:left w:val="none" w:sz="0" w:space="0" w:color="auto"/>
            <w:bottom w:val="none" w:sz="0" w:space="0" w:color="auto"/>
            <w:right w:val="none" w:sz="0" w:space="0" w:color="auto"/>
          </w:divBdr>
        </w:div>
        <w:div w:id="894387885">
          <w:marLeft w:val="0"/>
          <w:marRight w:val="0"/>
          <w:marTop w:val="0"/>
          <w:marBottom w:val="0"/>
          <w:divBdr>
            <w:top w:val="none" w:sz="0" w:space="0" w:color="auto"/>
            <w:left w:val="none" w:sz="0" w:space="0" w:color="auto"/>
            <w:bottom w:val="none" w:sz="0" w:space="0" w:color="auto"/>
            <w:right w:val="none" w:sz="0" w:space="0" w:color="auto"/>
          </w:divBdr>
        </w:div>
        <w:div w:id="1809202242">
          <w:marLeft w:val="0"/>
          <w:marRight w:val="0"/>
          <w:marTop w:val="0"/>
          <w:marBottom w:val="0"/>
          <w:divBdr>
            <w:top w:val="none" w:sz="0" w:space="0" w:color="auto"/>
            <w:left w:val="none" w:sz="0" w:space="0" w:color="auto"/>
            <w:bottom w:val="none" w:sz="0" w:space="0" w:color="auto"/>
            <w:right w:val="none" w:sz="0" w:space="0" w:color="auto"/>
          </w:divBdr>
        </w:div>
        <w:div w:id="1079402904">
          <w:marLeft w:val="0"/>
          <w:marRight w:val="0"/>
          <w:marTop w:val="0"/>
          <w:marBottom w:val="0"/>
          <w:divBdr>
            <w:top w:val="none" w:sz="0" w:space="0" w:color="auto"/>
            <w:left w:val="none" w:sz="0" w:space="0" w:color="auto"/>
            <w:bottom w:val="none" w:sz="0" w:space="0" w:color="auto"/>
            <w:right w:val="none" w:sz="0" w:space="0" w:color="auto"/>
          </w:divBdr>
        </w:div>
        <w:div w:id="411240130">
          <w:marLeft w:val="0"/>
          <w:marRight w:val="0"/>
          <w:marTop w:val="0"/>
          <w:marBottom w:val="0"/>
          <w:divBdr>
            <w:top w:val="none" w:sz="0" w:space="0" w:color="auto"/>
            <w:left w:val="none" w:sz="0" w:space="0" w:color="auto"/>
            <w:bottom w:val="none" w:sz="0" w:space="0" w:color="auto"/>
            <w:right w:val="none" w:sz="0" w:space="0" w:color="auto"/>
          </w:divBdr>
        </w:div>
        <w:div w:id="1065566094">
          <w:marLeft w:val="0"/>
          <w:marRight w:val="0"/>
          <w:marTop w:val="0"/>
          <w:marBottom w:val="0"/>
          <w:divBdr>
            <w:top w:val="none" w:sz="0" w:space="0" w:color="auto"/>
            <w:left w:val="none" w:sz="0" w:space="0" w:color="auto"/>
            <w:bottom w:val="none" w:sz="0" w:space="0" w:color="auto"/>
            <w:right w:val="none" w:sz="0" w:space="0" w:color="auto"/>
          </w:divBdr>
        </w:div>
        <w:div w:id="1339111639">
          <w:marLeft w:val="0"/>
          <w:marRight w:val="0"/>
          <w:marTop w:val="0"/>
          <w:marBottom w:val="0"/>
          <w:divBdr>
            <w:top w:val="none" w:sz="0" w:space="0" w:color="auto"/>
            <w:left w:val="none" w:sz="0" w:space="0" w:color="auto"/>
            <w:bottom w:val="none" w:sz="0" w:space="0" w:color="auto"/>
            <w:right w:val="none" w:sz="0" w:space="0" w:color="auto"/>
          </w:divBdr>
        </w:div>
        <w:div w:id="434717468">
          <w:marLeft w:val="0"/>
          <w:marRight w:val="0"/>
          <w:marTop w:val="0"/>
          <w:marBottom w:val="0"/>
          <w:divBdr>
            <w:top w:val="none" w:sz="0" w:space="0" w:color="auto"/>
            <w:left w:val="none" w:sz="0" w:space="0" w:color="auto"/>
            <w:bottom w:val="none" w:sz="0" w:space="0" w:color="auto"/>
            <w:right w:val="none" w:sz="0" w:space="0" w:color="auto"/>
          </w:divBdr>
        </w:div>
        <w:div w:id="487945788">
          <w:marLeft w:val="0"/>
          <w:marRight w:val="0"/>
          <w:marTop w:val="0"/>
          <w:marBottom w:val="0"/>
          <w:divBdr>
            <w:top w:val="none" w:sz="0" w:space="0" w:color="auto"/>
            <w:left w:val="none" w:sz="0" w:space="0" w:color="auto"/>
            <w:bottom w:val="none" w:sz="0" w:space="0" w:color="auto"/>
            <w:right w:val="none" w:sz="0" w:space="0" w:color="auto"/>
          </w:divBdr>
        </w:div>
        <w:div w:id="2140416722">
          <w:marLeft w:val="0"/>
          <w:marRight w:val="0"/>
          <w:marTop w:val="0"/>
          <w:marBottom w:val="0"/>
          <w:divBdr>
            <w:top w:val="none" w:sz="0" w:space="0" w:color="auto"/>
            <w:left w:val="none" w:sz="0" w:space="0" w:color="auto"/>
            <w:bottom w:val="none" w:sz="0" w:space="0" w:color="auto"/>
            <w:right w:val="none" w:sz="0" w:space="0" w:color="auto"/>
          </w:divBdr>
        </w:div>
        <w:div w:id="1064330311">
          <w:marLeft w:val="0"/>
          <w:marRight w:val="0"/>
          <w:marTop w:val="0"/>
          <w:marBottom w:val="0"/>
          <w:divBdr>
            <w:top w:val="none" w:sz="0" w:space="0" w:color="auto"/>
            <w:left w:val="none" w:sz="0" w:space="0" w:color="auto"/>
            <w:bottom w:val="none" w:sz="0" w:space="0" w:color="auto"/>
            <w:right w:val="none" w:sz="0" w:space="0" w:color="auto"/>
          </w:divBdr>
        </w:div>
        <w:div w:id="438113027">
          <w:marLeft w:val="0"/>
          <w:marRight w:val="0"/>
          <w:marTop w:val="0"/>
          <w:marBottom w:val="0"/>
          <w:divBdr>
            <w:top w:val="none" w:sz="0" w:space="0" w:color="auto"/>
            <w:left w:val="none" w:sz="0" w:space="0" w:color="auto"/>
            <w:bottom w:val="none" w:sz="0" w:space="0" w:color="auto"/>
            <w:right w:val="none" w:sz="0" w:space="0" w:color="auto"/>
          </w:divBdr>
        </w:div>
        <w:div w:id="1638222879">
          <w:marLeft w:val="0"/>
          <w:marRight w:val="0"/>
          <w:marTop w:val="0"/>
          <w:marBottom w:val="0"/>
          <w:divBdr>
            <w:top w:val="none" w:sz="0" w:space="0" w:color="auto"/>
            <w:left w:val="none" w:sz="0" w:space="0" w:color="auto"/>
            <w:bottom w:val="none" w:sz="0" w:space="0" w:color="auto"/>
            <w:right w:val="none" w:sz="0" w:space="0" w:color="auto"/>
          </w:divBdr>
        </w:div>
        <w:div w:id="1671133043">
          <w:marLeft w:val="0"/>
          <w:marRight w:val="0"/>
          <w:marTop w:val="0"/>
          <w:marBottom w:val="0"/>
          <w:divBdr>
            <w:top w:val="none" w:sz="0" w:space="0" w:color="auto"/>
            <w:left w:val="none" w:sz="0" w:space="0" w:color="auto"/>
            <w:bottom w:val="none" w:sz="0" w:space="0" w:color="auto"/>
            <w:right w:val="none" w:sz="0" w:space="0" w:color="auto"/>
          </w:divBdr>
        </w:div>
        <w:div w:id="775907452">
          <w:marLeft w:val="0"/>
          <w:marRight w:val="0"/>
          <w:marTop w:val="0"/>
          <w:marBottom w:val="0"/>
          <w:divBdr>
            <w:top w:val="none" w:sz="0" w:space="0" w:color="auto"/>
            <w:left w:val="none" w:sz="0" w:space="0" w:color="auto"/>
            <w:bottom w:val="none" w:sz="0" w:space="0" w:color="auto"/>
            <w:right w:val="none" w:sz="0" w:space="0" w:color="auto"/>
          </w:divBdr>
        </w:div>
        <w:div w:id="197546913">
          <w:marLeft w:val="0"/>
          <w:marRight w:val="0"/>
          <w:marTop w:val="0"/>
          <w:marBottom w:val="0"/>
          <w:divBdr>
            <w:top w:val="none" w:sz="0" w:space="0" w:color="auto"/>
            <w:left w:val="none" w:sz="0" w:space="0" w:color="auto"/>
            <w:bottom w:val="none" w:sz="0" w:space="0" w:color="auto"/>
            <w:right w:val="none" w:sz="0" w:space="0" w:color="auto"/>
          </w:divBdr>
        </w:div>
        <w:div w:id="1997685884">
          <w:marLeft w:val="0"/>
          <w:marRight w:val="0"/>
          <w:marTop w:val="0"/>
          <w:marBottom w:val="0"/>
          <w:divBdr>
            <w:top w:val="none" w:sz="0" w:space="0" w:color="auto"/>
            <w:left w:val="none" w:sz="0" w:space="0" w:color="auto"/>
            <w:bottom w:val="none" w:sz="0" w:space="0" w:color="auto"/>
            <w:right w:val="none" w:sz="0" w:space="0" w:color="auto"/>
          </w:divBdr>
        </w:div>
        <w:div w:id="1815566982">
          <w:marLeft w:val="0"/>
          <w:marRight w:val="0"/>
          <w:marTop w:val="0"/>
          <w:marBottom w:val="0"/>
          <w:divBdr>
            <w:top w:val="none" w:sz="0" w:space="0" w:color="auto"/>
            <w:left w:val="none" w:sz="0" w:space="0" w:color="auto"/>
            <w:bottom w:val="none" w:sz="0" w:space="0" w:color="auto"/>
            <w:right w:val="none" w:sz="0" w:space="0" w:color="auto"/>
          </w:divBdr>
        </w:div>
        <w:div w:id="2037344911">
          <w:marLeft w:val="0"/>
          <w:marRight w:val="0"/>
          <w:marTop w:val="0"/>
          <w:marBottom w:val="0"/>
          <w:divBdr>
            <w:top w:val="none" w:sz="0" w:space="0" w:color="auto"/>
            <w:left w:val="none" w:sz="0" w:space="0" w:color="auto"/>
            <w:bottom w:val="none" w:sz="0" w:space="0" w:color="auto"/>
            <w:right w:val="none" w:sz="0" w:space="0" w:color="auto"/>
          </w:divBdr>
        </w:div>
        <w:div w:id="342586458">
          <w:marLeft w:val="0"/>
          <w:marRight w:val="0"/>
          <w:marTop w:val="0"/>
          <w:marBottom w:val="0"/>
          <w:divBdr>
            <w:top w:val="none" w:sz="0" w:space="0" w:color="auto"/>
            <w:left w:val="none" w:sz="0" w:space="0" w:color="auto"/>
            <w:bottom w:val="none" w:sz="0" w:space="0" w:color="auto"/>
            <w:right w:val="none" w:sz="0" w:space="0" w:color="auto"/>
          </w:divBdr>
        </w:div>
        <w:div w:id="1439252347">
          <w:marLeft w:val="0"/>
          <w:marRight w:val="0"/>
          <w:marTop w:val="0"/>
          <w:marBottom w:val="0"/>
          <w:divBdr>
            <w:top w:val="none" w:sz="0" w:space="0" w:color="auto"/>
            <w:left w:val="none" w:sz="0" w:space="0" w:color="auto"/>
            <w:bottom w:val="none" w:sz="0" w:space="0" w:color="auto"/>
            <w:right w:val="none" w:sz="0" w:space="0" w:color="auto"/>
          </w:divBdr>
        </w:div>
        <w:div w:id="1978799983">
          <w:marLeft w:val="0"/>
          <w:marRight w:val="0"/>
          <w:marTop w:val="0"/>
          <w:marBottom w:val="0"/>
          <w:divBdr>
            <w:top w:val="none" w:sz="0" w:space="0" w:color="auto"/>
            <w:left w:val="none" w:sz="0" w:space="0" w:color="auto"/>
            <w:bottom w:val="none" w:sz="0" w:space="0" w:color="auto"/>
            <w:right w:val="none" w:sz="0" w:space="0" w:color="auto"/>
          </w:divBdr>
        </w:div>
        <w:div w:id="470287884">
          <w:marLeft w:val="0"/>
          <w:marRight w:val="0"/>
          <w:marTop w:val="0"/>
          <w:marBottom w:val="0"/>
          <w:divBdr>
            <w:top w:val="none" w:sz="0" w:space="0" w:color="auto"/>
            <w:left w:val="none" w:sz="0" w:space="0" w:color="auto"/>
            <w:bottom w:val="none" w:sz="0" w:space="0" w:color="auto"/>
            <w:right w:val="none" w:sz="0" w:space="0" w:color="auto"/>
          </w:divBdr>
        </w:div>
        <w:div w:id="383216819">
          <w:marLeft w:val="0"/>
          <w:marRight w:val="0"/>
          <w:marTop w:val="0"/>
          <w:marBottom w:val="0"/>
          <w:divBdr>
            <w:top w:val="none" w:sz="0" w:space="0" w:color="auto"/>
            <w:left w:val="none" w:sz="0" w:space="0" w:color="auto"/>
            <w:bottom w:val="none" w:sz="0" w:space="0" w:color="auto"/>
            <w:right w:val="none" w:sz="0" w:space="0" w:color="auto"/>
          </w:divBdr>
        </w:div>
        <w:div w:id="647632379">
          <w:marLeft w:val="0"/>
          <w:marRight w:val="0"/>
          <w:marTop w:val="0"/>
          <w:marBottom w:val="0"/>
          <w:divBdr>
            <w:top w:val="none" w:sz="0" w:space="0" w:color="auto"/>
            <w:left w:val="none" w:sz="0" w:space="0" w:color="auto"/>
            <w:bottom w:val="none" w:sz="0" w:space="0" w:color="auto"/>
            <w:right w:val="none" w:sz="0" w:space="0" w:color="auto"/>
          </w:divBdr>
        </w:div>
        <w:div w:id="1255673130">
          <w:marLeft w:val="0"/>
          <w:marRight w:val="0"/>
          <w:marTop w:val="0"/>
          <w:marBottom w:val="0"/>
          <w:divBdr>
            <w:top w:val="none" w:sz="0" w:space="0" w:color="auto"/>
            <w:left w:val="none" w:sz="0" w:space="0" w:color="auto"/>
            <w:bottom w:val="none" w:sz="0" w:space="0" w:color="auto"/>
            <w:right w:val="none" w:sz="0" w:space="0" w:color="auto"/>
          </w:divBdr>
        </w:div>
        <w:div w:id="570970327">
          <w:marLeft w:val="0"/>
          <w:marRight w:val="0"/>
          <w:marTop w:val="0"/>
          <w:marBottom w:val="0"/>
          <w:divBdr>
            <w:top w:val="none" w:sz="0" w:space="0" w:color="auto"/>
            <w:left w:val="none" w:sz="0" w:space="0" w:color="auto"/>
            <w:bottom w:val="none" w:sz="0" w:space="0" w:color="auto"/>
            <w:right w:val="none" w:sz="0" w:space="0" w:color="auto"/>
          </w:divBdr>
        </w:div>
        <w:div w:id="2068795661">
          <w:marLeft w:val="0"/>
          <w:marRight w:val="0"/>
          <w:marTop w:val="0"/>
          <w:marBottom w:val="0"/>
          <w:divBdr>
            <w:top w:val="none" w:sz="0" w:space="0" w:color="auto"/>
            <w:left w:val="none" w:sz="0" w:space="0" w:color="auto"/>
            <w:bottom w:val="none" w:sz="0" w:space="0" w:color="auto"/>
            <w:right w:val="none" w:sz="0" w:space="0" w:color="auto"/>
          </w:divBdr>
        </w:div>
        <w:div w:id="63964393">
          <w:marLeft w:val="0"/>
          <w:marRight w:val="0"/>
          <w:marTop w:val="0"/>
          <w:marBottom w:val="0"/>
          <w:divBdr>
            <w:top w:val="none" w:sz="0" w:space="0" w:color="auto"/>
            <w:left w:val="none" w:sz="0" w:space="0" w:color="auto"/>
            <w:bottom w:val="none" w:sz="0" w:space="0" w:color="auto"/>
            <w:right w:val="none" w:sz="0" w:space="0" w:color="auto"/>
          </w:divBdr>
        </w:div>
        <w:div w:id="1489326202">
          <w:marLeft w:val="0"/>
          <w:marRight w:val="0"/>
          <w:marTop w:val="0"/>
          <w:marBottom w:val="0"/>
          <w:divBdr>
            <w:top w:val="none" w:sz="0" w:space="0" w:color="auto"/>
            <w:left w:val="none" w:sz="0" w:space="0" w:color="auto"/>
            <w:bottom w:val="none" w:sz="0" w:space="0" w:color="auto"/>
            <w:right w:val="none" w:sz="0" w:space="0" w:color="auto"/>
          </w:divBdr>
        </w:div>
        <w:div w:id="119035509">
          <w:marLeft w:val="0"/>
          <w:marRight w:val="0"/>
          <w:marTop w:val="0"/>
          <w:marBottom w:val="0"/>
          <w:divBdr>
            <w:top w:val="none" w:sz="0" w:space="0" w:color="auto"/>
            <w:left w:val="none" w:sz="0" w:space="0" w:color="auto"/>
            <w:bottom w:val="none" w:sz="0" w:space="0" w:color="auto"/>
            <w:right w:val="none" w:sz="0" w:space="0" w:color="auto"/>
          </w:divBdr>
        </w:div>
        <w:div w:id="1473713179">
          <w:marLeft w:val="0"/>
          <w:marRight w:val="0"/>
          <w:marTop w:val="0"/>
          <w:marBottom w:val="0"/>
          <w:divBdr>
            <w:top w:val="none" w:sz="0" w:space="0" w:color="auto"/>
            <w:left w:val="none" w:sz="0" w:space="0" w:color="auto"/>
            <w:bottom w:val="none" w:sz="0" w:space="0" w:color="auto"/>
            <w:right w:val="none" w:sz="0" w:space="0" w:color="auto"/>
          </w:divBdr>
        </w:div>
        <w:div w:id="1764305109">
          <w:marLeft w:val="0"/>
          <w:marRight w:val="0"/>
          <w:marTop w:val="0"/>
          <w:marBottom w:val="0"/>
          <w:divBdr>
            <w:top w:val="none" w:sz="0" w:space="0" w:color="auto"/>
            <w:left w:val="none" w:sz="0" w:space="0" w:color="auto"/>
            <w:bottom w:val="none" w:sz="0" w:space="0" w:color="auto"/>
            <w:right w:val="none" w:sz="0" w:space="0" w:color="auto"/>
          </w:divBdr>
        </w:div>
        <w:div w:id="2142796341">
          <w:marLeft w:val="0"/>
          <w:marRight w:val="0"/>
          <w:marTop w:val="0"/>
          <w:marBottom w:val="0"/>
          <w:divBdr>
            <w:top w:val="none" w:sz="0" w:space="0" w:color="auto"/>
            <w:left w:val="none" w:sz="0" w:space="0" w:color="auto"/>
            <w:bottom w:val="none" w:sz="0" w:space="0" w:color="auto"/>
            <w:right w:val="none" w:sz="0" w:space="0" w:color="auto"/>
          </w:divBdr>
        </w:div>
        <w:div w:id="2130738430">
          <w:marLeft w:val="0"/>
          <w:marRight w:val="0"/>
          <w:marTop w:val="0"/>
          <w:marBottom w:val="0"/>
          <w:divBdr>
            <w:top w:val="none" w:sz="0" w:space="0" w:color="auto"/>
            <w:left w:val="none" w:sz="0" w:space="0" w:color="auto"/>
            <w:bottom w:val="none" w:sz="0" w:space="0" w:color="auto"/>
            <w:right w:val="none" w:sz="0" w:space="0" w:color="auto"/>
          </w:divBdr>
        </w:div>
        <w:div w:id="1378972712">
          <w:marLeft w:val="0"/>
          <w:marRight w:val="0"/>
          <w:marTop w:val="0"/>
          <w:marBottom w:val="0"/>
          <w:divBdr>
            <w:top w:val="none" w:sz="0" w:space="0" w:color="auto"/>
            <w:left w:val="none" w:sz="0" w:space="0" w:color="auto"/>
            <w:bottom w:val="none" w:sz="0" w:space="0" w:color="auto"/>
            <w:right w:val="none" w:sz="0" w:space="0" w:color="auto"/>
          </w:divBdr>
        </w:div>
        <w:div w:id="1180654502">
          <w:marLeft w:val="0"/>
          <w:marRight w:val="0"/>
          <w:marTop w:val="0"/>
          <w:marBottom w:val="0"/>
          <w:divBdr>
            <w:top w:val="none" w:sz="0" w:space="0" w:color="auto"/>
            <w:left w:val="none" w:sz="0" w:space="0" w:color="auto"/>
            <w:bottom w:val="none" w:sz="0" w:space="0" w:color="auto"/>
            <w:right w:val="none" w:sz="0" w:space="0" w:color="auto"/>
          </w:divBdr>
        </w:div>
        <w:div w:id="16278069">
          <w:marLeft w:val="0"/>
          <w:marRight w:val="0"/>
          <w:marTop w:val="0"/>
          <w:marBottom w:val="0"/>
          <w:divBdr>
            <w:top w:val="none" w:sz="0" w:space="0" w:color="auto"/>
            <w:left w:val="none" w:sz="0" w:space="0" w:color="auto"/>
            <w:bottom w:val="none" w:sz="0" w:space="0" w:color="auto"/>
            <w:right w:val="none" w:sz="0" w:space="0" w:color="auto"/>
          </w:divBdr>
        </w:div>
      </w:divsChild>
    </w:div>
    <w:div w:id="692802626">
      <w:bodyDiv w:val="1"/>
      <w:marLeft w:val="0"/>
      <w:marRight w:val="0"/>
      <w:marTop w:val="0"/>
      <w:marBottom w:val="0"/>
      <w:divBdr>
        <w:top w:val="none" w:sz="0" w:space="0" w:color="auto"/>
        <w:left w:val="none" w:sz="0" w:space="0" w:color="auto"/>
        <w:bottom w:val="none" w:sz="0" w:space="0" w:color="auto"/>
        <w:right w:val="none" w:sz="0" w:space="0" w:color="auto"/>
      </w:divBdr>
    </w:div>
    <w:div w:id="719128713">
      <w:bodyDiv w:val="1"/>
      <w:marLeft w:val="0"/>
      <w:marRight w:val="0"/>
      <w:marTop w:val="0"/>
      <w:marBottom w:val="0"/>
      <w:divBdr>
        <w:top w:val="none" w:sz="0" w:space="0" w:color="auto"/>
        <w:left w:val="none" w:sz="0" w:space="0" w:color="auto"/>
        <w:bottom w:val="none" w:sz="0" w:space="0" w:color="auto"/>
        <w:right w:val="none" w:sz="0" w:space="0" w:color="auto"/>
      </w:divBdr>
    </w:div>
    <w:div w:id="924190249">
      <w:bodyDiv w:val="1"/>
      <w:marLeft w:val="0"/>
      <w:marRight w:val="0"/>
      <w:marTop w:val="0"/>
      <w:marBottom w:val="0"/>
      <w:divBdr>
        <w:top w:val="none" w:sz="0" w:space="0" w:color="auto"/>
        <w:left w:val="none" w:sz="0" w:space="0" w:color="auto"/>
        <w:bottom w:val="none" w:sz="0" w:space="0" w:color="auto"/>
        <w:right w:val="none" w:sz="0" w:space="0" w:color="auto"/>
      </w:divBdr>
      <w:divsChild>
        <w:div w:id="20494061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940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81834">
      <w:bodyDiv w:val="1"/>
      <w:marLeft w:val="0"/>
      <w:marRight w:val="0"/>
      <w:marTop w:val="0"/>
      <w:marBottom w:val="0"/>
      <w:divBdr>
        <w:top w:val="none" w:sz="0" w:space="0" w:color="auto"/>
        <w:left w:val="none" w:sz="0" w:space="0" w:color="auto"/>
        <w:bottom w:val="none" w:sz="0" w:space="0" w:color="auto"/>
        <w:right w:val="none" w:sz="0" w:space="0" w:color="auto"/>
      </w:divBdr>
      <w:divsChild>
        <w:div w:id="734429008">
          <w:marLeft w:val="0"/>
          <w:marRight w:val="0"/>
          <w:marTop w:val="0"/>
          <w:marBottom w:val="0"/>
          <w:divBdr>
            <w:top w:val="none" w:sz="0" w:space="0" w:color="auto"/>
            <w:left w:val="none" w:sz="0" w:space="0" w:color="auto"/>
            <w:bottom w:val="none" w:sz="0" w:space="0" w:color="auto"/>
            <w:right w:val="none" w:sz="0" w:space="0" w:color="auto"/>
          </w:divBdr>
        </w:div>
        <w:div w:id="1440297962">
          <w:marLeft w:val="0"/>
          <w:marRight w:val="0"/>
          <w:marTop w:val="0"/>
          <w:marBottom w:val="0"/>
          <w:divBdr>
            <w:top w:val="none" w:sz="0" w:space="0" w:color="auto"/>
            <w:left w:val="none" w:sz="0" w:space="0" w:color="auto"/>
            <w:bottom w:val="none" w:sz="0" w:space="0" w:color="auto"/>
            <w:right w:val="none" w:sz="0" w:space="0" w:color="auto"/>
          </w:divBdr>
        </w:div>
        <w:div w:id="1004942322">
          <w:marLeft w:val="0"/>
          <w:marRight w:val="0"/>
          <w:marTop w:val="0"/>
          <w:marBottom w:val="0"/>
          <w:divBdr>
            <w:top w:val="none" w:sz="0" w:space="0" w:color="auto"/>
            <w:left w:val="none" w:sz="0" w:space="0" w:color="auto"/>
            <w:bottom w:val="none" w:sz="0" w:space="0" w:color="auto"/>
            <w:right w:val="none" w:sz="0" w:space="0" w:color="auto"/>
          </w:divBdr>
        </w:div>
      </w:divsChild>
    </w:div>
    <w:div w:id="1671178115">
      <w:bodyDiv w:val="1"/>
      <w:marLeft w:val="0"/>
      <w:marRight w:val="0"/>
      <w:marTop w:val="0"/>
      <w:marBottom w:val="0"/>
      <w:divBdr>
        <w:top w:val="none" w:sz="0" w:space="0" w:color="auto"/>
        <w:left w:val="none" w:sz="0" w:space="0" w:color="auto"/>
        <w:bottom w:val="none" w:sz="0" w:space="0" w:color="auto"/>
        <w:right w:val="none" w:sz="0" w:space="0" w:color="auto"/>
      </w:divBdr>
      <w:divsChild>
        <w:div w:id="1586381938">
          <w:marLeft w:val="0"/>
          <w:marRight w:val="0"/>
          <w:marTop w:val="0"/>
          <w:marBottom w:val="0"/>
          <w:divBdr>
            <w:top w:val="none" w:sz="0" w:space="0" w:color="auto"/>
            <w:left w:val="none" w:sz="0" w:space="0" w:color="auto"/>
            <w:bottom w:val="none" w:sz="0" w:space="0" w:color="auto"/>
            <w:right w:val="none" w:sz="0" w:space="0" w:color="auto"/>
          </w:divBdr>
        </w:div>
        <w:div w:id="1517190348">
          <w:marLeft w:val="0"/>
          <w:marRight w:val="0"/>
          <w:marTop w:val="0"/>
          <w:marBottom w:val="0"/>
          <w:divBdr>
            <w:top w:val="none" w:sz="0" w:space="0" w:color="auto"/>
            <w:left w:val="none" w:sz="0" w:space="0" w:color="auto"/>
            <w:bottom w:val="none" w:sz="0" w:space="0" w:color="auto"/>
            <w:right w:val="none" w:sz="0" w:space="0" w:color="auto"/>
          </w:divBdr>
        </w:div>
        <w:div w:id="952516603">
          <w:marLeft w:val="0"/>
          <w:marRight w:val="0"/>
          <w:marTop w:val="0"/>
          <w:marBottom w:val="0"/>
          <w:divBdr>
            <w:top w:val="none" w:sz="0" w:space="0" w:color="auto"/>
            <w:left w:val="none" w:sz="0" w:space="0" w:color="auto"/>
            <w:bottom w:val="none" w:sz="0" w:space="0" w:color="auto"/>
            <w:right w:val="none" w:sz="0" w:space="0" w:color="auto"/>
          </w:divBdr>
        </w:div>
        <w:div w:id="699286370">
          <w:marLeft w:val="0"/>
          <w:marRight w:val="0"/>
          <w:marTop w:val="0"/>
          <w:marBottom w:val="0"/>
          <w:divBdr>
            <w:top w:val="none" w:sz="0" w:space="0" w:color="auto"/>
            <w:left w:val="none" w:sz="0" w:space="0" w:color="auto"/>
            <w:bottom w:val="none" w:sz="0" w:space="0" w:color="auto"/>
            <w:right w:val="none" w:sz="0" w:space="0" w:color="auto"/>
          </w:divBdr>
        </w:div>
        <w:div w:id="463040155">
          <w:marLeft w:val="0"/>
          <w:marRight w:val="0"/>
          <w:marTop w:val="0"/>
          <w:marBottom w:val="0"/>
          <w:divBdr>
            <w:top w:val="none" w:sz="0" w:space="0" w:color="auto"/>
            <w:left w:val="none" w:sz="0" w:space="0" w:color="auto"/>
            <w:bottom w:val="none" w:sz="0" w:space="0" w:color="auto"/>
            <w:right w:val="none" w:sz="0" w:space="0" w:color="auto"/>
          </w:divBdr>
        </w:div>
        <w:div w:id="1744990906">
          <w:marLeft w:val="0"/>
          <w:marRight w:val="0"/>
          <w:marTop w:val="0"/>
          <w:marBottom w:val="0"/>
          <w:divBdr>
            <w:top w:val="none" w:sz="0" w:space="0" w:color="auto"/>
            <w:left w:val="none" w:sz="0" w:space="0" w:color="auto"/>
            <w:bottom w:val="none" w:sz="0" w:space="0" w:color="auto"/>
            <w:right w:val="none" w:sz="0" w:space="0" w:color="auto"/>
          </w:divBdr>
        </w:div>
        <w:div w:id="40449334">
          <w:marLeft w:val="0"/>
          <w:marRight w:val="0"/>
          <w:marTop w:val="0"/>
          <w:marBottom w:val="0"/>
          <w:divBdr>
            <w:top w:val="none" w:sz="0" w:space="0" w:color="auto"/>
            <w:left w:val="none" w:sz="0" w:space="0" w:color="auto"/>
            <w:bottom w:val="none" w:sz="0" w:space="0" w:color="auto"/>
            <w:right w:val="none" w:sz="0" w:space="0" w:color="auto"/>
          </w:divBdr>
        </w:div>
        <w:div w:id="1733193632">
          <w:marLeft w:val="0"/>
          <w:marRight w:val="0"/>
          <w:marTop w:val="0"/>
          <w:marBottom w:val="0"/>
          <w:divBdr>
            <w:top w:val="none" w:sz="0" w:space="0" w:color="auto"/>
            <w:left w:val="none" w:sz="0" w:space="0" w:color="auto"/>
            <w:bottom w:val="none" w:sz="0" w:space="0" w:color="auto"/>
            <w:right w:val="none" w:sz="0" w:space="0" w:color="auto"/>
          </w:divBdr>
        </w:div>
        <w:div w:id="2087334534">
          <w:marLeft w:val="0"/>
          <w:marRight w:val="0"/>
          <w:marTop w:val="0"/>
          <w:marBottom w:val="0"/>
          <w:divBdr>
            <w:top w:val="none" w:sz="0" w:space="0" w:color="auto"/>
            <w:left w:val="none" w:sz="0" w:space="0" w:color="auto"/>
            <w:bottom w:val="none" w:sz="0" w:space="0" w:color="auto"/>
            <w:right w:val="none" w:sz="0" w:space="0" w:color="auto"/>
          </w:divBdr>
        </w:div>
        <w:div w:id="1433551632">
          <w:marLeft w:val="0"/>
          <w:marRight w:val="0"/>
          <w:marTop w:val="0"/>
          <w:marBottom w:val="0"/>
          <w:divBdr>
            <w:top w:val="none" w:sz="0" w:space="0" w:color="auto"/>
            <w:left w:val="none" w:sz="0" w:space="0" w:color="auto"/>
            <w:bottom w:val="none" w:sz="0" w:space="0" w:color="auto"/>
            <w:right w:val="none" w:sz="0" w:space="0" w:color="auto"/>
          </w:divBdr>
        </w:div>
        <w:div w:id="1666010210">
          <w:marLeft w:val="0"/>
          <w:marRight w:val="0"/>
          <w:marTop w:val="0"/>
          <w:marBottom w:val="0"/>
          <w:divBdr>
            <w:top w:val="none" w:sz="0" w:space="0" w:color="auto"/>
            <w:left w:val="none" w:sz="0" w:space="0" w:color="auto"/>
            <w:bottom w:val="none" w:sz="0" w:space="0" w:color="auto"/>
            <w:right w:val="none" w:sz="0" w:space="0" w:color="auto"/>
          </w:divBdr>
        </w:div>
        <w:div w:id="1704675344">
          <w:marLeft w:val="0"/>
          <w:marRight w:val="0"/>
          <w:marTop w:val="0"/>
          <w:marBottom w:val="0"/>
          <w:divBdr>
            <w:top w:val="none" w:sz="0" w:space="0" w:color="auto"/>
            <w:left w:val="none" w:sz="0" w:space="0" w:color="auto"/>
            <w:bottom w:val="none" w:sz="0" w:space="0" w:color="auto"/>
            <w:right w:val="none" w:sz="0" w:space="0" w:color="auto"/>
          </w:divBdr>
        </w:div>
        <w:div w:id="829442092">
          <w:marLeft w:val="0"/>
          <w:marRight w:val="0"/>
          <w:marTop w:val="0"/>
          <w:marBottom w:val="0"/>
          <w:divBdr>
            <w:top w:val="none" w:sz="0" w:space="0" w:color="auto"/>
            <w:left w:val="none" w:sz="0" w:space="0" w:color="auto"/>
            <w:bottom w:val="none" w:sz="0" w:space="0" w:color="auto"/>
            <w:right w:val="none" w:sz="0" w:space="0" w:color="auto"/>
          </w:divBdr>
        </w:div>
        <w:div w:id="1365671474">
          <w:marLeft w:val="0"/>
          <w:marRight w:val="0"/>
          <w:marTop w:val="0"/>
          <w:marBottom w:val="0"/>
          <w:divBdr>
            <w:top w:val="none" w:sz="0" w:space="0" w:color="auto"/>
            <w:left w:val="none" w:sz="0" w:space="0" w:color="auto"/>
            <w:bottom w:val="none" w:sz="0" w:space="0" w:color="auto"/>
            <w:right w:val="none" w:sz="0" w:space="0" w:color="auto"/>
          </w:divBdr>
        </w:div>
      </w:divsChild>
    </w:div>
    <w:div w:id="1763139611">
      <w:bodyDiv w:val="1"/>
      <w:marLeft w:val="0"/>
      <w:marRight w:val="0"/>
      <w:marTop w:val="0"/>
      <w:marBottom w:val="0"/>
      <w:divBdr>
        <w:top w:val="none" w:sz="0" w:space="0" w:color="auto"/>
        <w:left w:val="none" w:sz="0" w:space="0" w:color="auto"/>
        <w:bottom w:val="none" w:sz="0" w:space="0" w:color="auto"/>
        <w:right w:val="none" w:sz="0" w:space="0" w:color="auto"/>
      </w:divBdr>
      <w:divsChild>
        <w:div w:id="1344477765">
          <w:marLeft w:val="0"/>
          <w:marRight w:val="0"/>
          <w:marTop w:val="0"/>
          <w:marBottom w:val="0"/>
          <w:divBdr>
            <w:top w:val="none" w:sz="0" w:space="0" w:color="auto"/>
            <w:left w:val="none" w:sz="0" w:space="0" w:color="auto"/>
            <w:bottom w:val="none" w:sz="0" w:space="0" w:color="auto"/>
            <w:right w:val="none" w:sz="0" w:space="0" w:color="auto"/>
          </w:divBdr>
        </w:div>
        <w:div w:id="1214926297">
          <w:marLeft w:val="0"/>
          <w:marRight w:val="0"/>
          <w:marTop w:val="0"/>
          <w:marBottom w:val="0"/>
          <w:divBdr>
            <w:top w:val="none" w:sz="0" w:space="0" w:color="auto"/>
            <w:left w:val="none" w:sz="0" w:space="0" w:color="auto"/>
            <w:bottom w:val="none" w:sz="0" w:space="0" w:color="auto"/>
            <w:right w:val="none" w:sz="0" w:space="0" w:color="auto"/>
          </w:divBdr>
        </w:div>
        <w:div w:id="777146091">
          <w:marLeft w:val="0"/>
          <w:marRight w:val="0"/>
          <w:marTop w:val="0"/>
          <w:marBottom w:val="0"/>
          <w:divBdr>
            <w:top w:val="none" w:sz="0" w:space="0" w:color="auto"/>
            <w:left w:val="none" w:sz="0" w:space="0" w:color="auto"/>
            <w:bottom w:val="none" w:sz="0" w:space="0" w:color="auto"/>
            <w:right w:val="none" w:sz="0" w:space="0" w:color="auto"/>
          </w:divBdr>
        </w:div>
        <w:div w:id="522130449">
          <w:marLeft w:val="0"/>
          <w:marRight w:val="0"/>
          <w:marTop w:val="0"/>
          <w:marBottom w:val="0"/>
          <w:divBdr>
            <w:top w:val="none" w:sz="0" w:space="0" w:color="auto"/>
            <w:left w:val="none" w:sz="0" w:space="0" w:color="auto"/>
            <w:bottom w:val="none" w:sz="0" w:space="0" w:color="auto"/>
            <w:right w:val="none" w:sz="0" w:space="0" w:color="auto"/>
          </w:divBdr>
        </w:div>
        <w:div w:id="1769304017">
          <w:marLeft w:val="0"/>
          <w:marRight w:val="0"/>
          <w:marTop w:val="0"/>
          <w:marBottom w:val="0"/>
          <w:divBdr>
            <w:top w:val="none" w:sz="0" w:space="0" w:color="auto"/>
            <w:left w:val="none" w:sz="0" w:space="0" w:color="auto"/>
            <w:bottom w:val="none" w:sz="0" w:space="0" w:color="auto"/>
            <w:right w:val="none" w:sz="0" w:space="0" w:color="auto"/>
          </w:divBdr>
        </w:div>
        <w:div w:id="1055541098">
          <w:marLeft w:val="0"/>
          <w:marRight w:val="0"/>
          <w:marTop w:val="0"/>
          <w:marBottom w:val="0"/>
          <w:divBdr>
            <w:top w:val="none" w:sz="0" w:space="0" w:color="auto"/>
            <w:left w:val="none" w:sz="0" w:space="0" w:color="auto"/>
            <w:bottom w:val="none" w:sz="0" w:space="0" w:color="auto"/>
            <w:right w:val="none" w:sz="0" w:space="0" w:color="auto"/>
          </w:divBdr>
        </w:div>
        <w:div w:id="1296521666">
          <w:marLeft w:val="0"/>
          <w:marRight w:val="0"/>
          <w:marTop w:val="0"/>
          <w:marBottom w:val="0"/>
          <w:divBdr>
            <w:top w:val="none" w:sz="0" w:space="0" w:color="auto"/>
            <w:left w:val="none" w:sz="0" w:space="0" w:color="auto"/>
            <w:bottom w:val="none" w:sz="0" w:space="0" w:color="auto"/>
            <w:right w:val="none" w:sz="0" w:space="0" w:color="auto"/>
          </w:divBdr>
        </w:div>
        <w:div w:id="177352142">
          <w:marLeft w:val="0"/>
          <w:marRight w:val="0"/>
          <w:marTop w:val="0"/>
          <w:marBottom w:val="0"/>
          <w:divBdr>
            <w:top w:val="none" w:sz="0" w:space="0" w:color="auto"/>
            <w:left w:val="none" w:sz="0" w:space="0" w:color="auto"/>
            <w:bottom w:val="none" w:sz="0" w:space="0" w:color="auto"/>
            <w:right w:val="none" w:sz="0" w:space="0" w:color="auto"/>
          </w:divBdr>
        </w:div>
        <w:div w:id="1362586811">
          <w:marLeft w:val="0"/>
          <w:marRight w:val="0"/>
          <w:marTop w:val="0"/>
          <w:marBottom w:val="0"/>
          <w:divBdr>
            <w:top w:val="none" w:sz="0" w:space="0" w:color="auto"/>
            <w:left w:val="none" w:sz="0" w:space="0" w:color="auto"/>
            <w:bottom w:val="none" w:sz="0" w:space="0" w:color="auto"/>
            <w:right w:val="none" w:sz="0" w:space="0" w:color="auto"/>
          </w:divBdr>
        </w:div>
        <w:div w:id="1703287788">
          <w:marLeft w:val="0"/>
          <w:marRight w:val="0"/>
          <w:marTop w:val="0"/>
          <w:marBottom w:val="0"/>
          <w:divBdr>
            <w:top w:val="none" w:sz="0" w:space="0" w:color="auto"/>
            <w:left w:val="none" w:sz="0" w:space="0" w:color="auto"/>
            <w:bottom w:val="none" w:sz="0" w:space="0" w:color="auto"/>
            <w:right w:val="none" w:sz="0" w:space="0" w:color="auto"/>
          </w:divBdr>
        </w:div>
        <w:div w:id="753212086">
          <w:marLeft w:val="0"/>
          <w:marRight w:val="0"/>
          <w:marTop w:val="0"/>
          <w:marBottom w:val="0"/>
          <w:divBdr>
            <w:top w:val="none" w:sz="0" w:space="0" w:color="auto"/>
            <w:left w:val="none" w:sz="0" w:space="0" w:color="auto"/>
            <w:bottom w:val="none" w:sz="0" w:space="0" w:color="auto"/>
            <w:right w:val="none" w:sz="0" w:space="0" w:color="auto"/>
          </w:divBdr>
        </w:div>
        <w:div w:id="892666148">
          <w:marLeft w:val="0"/>
          <w:marRight w:val="0"/>
          <w:marTop w:val="0"/>
          <w:marBottom w:val="0"/>
          <w:divBdr>
            <w:top w:val="none" w:sz="0" w:space="0" w:color="auto"/>
            <w:left w:val="none" w:sz="0" w:space="0" w:color="auto"/>
            <w:bottom w:val="none" w:sz="0" w:space="0" w:color="auto"/>
            <w:right w:val="none" w:sz="0" w:space="0" w:color="auto"/>
          </w:divBdr>
        </w:div>
        <w:div w:id="1266234266">
          <w:marLeft w:val="0"/>
          <w:marRight w:val="0"/>
          <w:marTop w:val="0"/>
          <w:marBottom w:val="0"/>
          <w:divBdr>
            <w:top w:val="none" w:sz="0" w:space="0" w:color="auto"/>
            <w:left w:val="none" w:sz="0" w:space="0" w:color="auto"/>
            <w:bottom w:val="none" w:sz="0" w:space="0" w:color="auto"/>
            <w:right w:val="none" w:sz="0" w:space="0" w:color="auto"/>
          </w:divBdr>
        </w:div>
        <w:div w:id="1057432317">
          <w:marLeft w:val="0"/>
          <w:marRight w:val="0"/>
          <w:marTop w:val="0"/>
          <w:marBottom w:val="0"/>
          <w:divBdr>
            <w:top w:val="none" w:sz="0" w:space="0" w:color="auto"/>
            <w:left w:val="none" w:sz="0" w:space="0" w:color="auto"/>
            <w:bottom w:val="none" w:sz="0" w:space="0" w:color="auto"/>
            <w:right w:val="none" w:sz="0" w:space="0" w:color="auto"/>
          </w:divBdr>
        </w:div>
      </w:divsChild>
    </w:div>
    <w:div w:id="1914505339">
      <w:bodyDiv w:val="1"/>
      <w:marLeft w:val="0"/>
      <w:marRight w:val="0"/>
      <w:marTop w:val="0"/>
      <w:marBottom w:val="0"/>
      <w:divBdr>
        <w:top w:val="none" w:sz="0" w:space="0" w:color="auto"/>
        <w:left w:val="none" w:sz="0" w:space="0" w:color="auto"/>
        <w:bottom w:val="none" w:sz="0" w:space="0" w:color="auto"/>
        <w:right w:val="none" w:sz="0" w:space="0" w:color="auto"/>
      </w:divBdr>
      <w:divsChild>
        <w:div w:id="1294362919">
          <w:marLeft w:val="0"/>
          <w:marRight w:val="0"/>
          <w:marTop w:val="0"/>
          <w:marBottom w:val="0"/>
          <w:divBdr>
            <w:top w:val="none" w:sz="0" w:space="0" w:color="auto"/>
            <w:left w:val="none" w:sz="0" w:space="0" w:color="auto"/>
            <w:bottom w:val="none" w:sz="0" w:space="0" w:color="auto"/>
            <w:right w:val="none" w:sz="0" w:space="0" w:color="auto"/>
          </w:divBdr>
        </w:div>
        <w:div w:id="670182885">
          <w:marLeft w:val="0"/>
          <w:marRight w:val="0"/>
          <w:marTop w:val="0"/>
          <w:marBottom w:val="0"/>
          <w:divBdr>
            <w:top w:val="none" w:sz="0" w:space="0" w:color="auto"/>
            <w:left w:val="none" w:sz="0" w:space="0" w:color="auto"/>
            <w:bottom w:val="none" w:sz="0" w:space="0" w:color="auto"/>
            <w:right w:val="none" w:sz="0" w:space="0" w:color="auto"/>
          </w:divBdr>
        </w:div>
        <w:div w:id="768622521">
          <w:marLeft w:val="0"/>
          <w:marRight w:val="0"/>
          <w:marTop w:val="0"/>
          <w:marBottom w:val="0"/>
          <w:divBdr>
            <w:top w:val="none" w:sz="0" w:space="0" w:color="auto"/>
            <w:left w:val="none" w:sz="0" w:space="0" w:color="auto"/>
            <w:bottom w:val="none" w:sz="0" w:space="0" w:color="auto"/>
            <w:right w:val="none" w:sz="0" w:space="0" w:color="auto"/>
          </w:divBdr>
        </w:div>
        <w:div w:id="726344009">
          <w:marLeft w:val="0"/>
          <w:marRight w:val="0"/>
          <w:marTop w:val="0"/>
          <w:marBottom w:val="0"/>
          <w:divBdr>
            <w:top w:val="none" w:sz="0" w:space="0" w:color="auto"/>
            <w:left w:val="none" w:sz="0" w:space="0" w:color="auto"/>
            <w:bottom w:val="none" w:sz="0" w:space="0" w:color="auto"/>
            <w:right w:val="none" w:sz="0" w:space="0" w:color="auto"/>
          </w:divBdr>
        </w:div>
        <w:div w:id="270824334">
          <w:marLeft w:val="0"/>
          <w:marRight w:val="0"/>
          <w:marTop w:val="0"/>
          <w:marBottom w:val="0"/>
          <w:divBdr>
            <w:top w:val="none" w:sz="0" w:space="0" w:color="auto"/>
            <w:left w:val="none" w:sz="0" w:space="0" w:color="auto"/>
            <w:bottom w:val="none" w:sz="0" w:space="0" w:color="auto"/>
            <w:right w:val="none" w:sz="0" w:space="0" w:color="auto"/>
          </w:divBdr>
        </w:div>
        <w:div w:id="1046100655">
          <w:marLeft w:val="0"/>
          <w:marRight w:val="0"/>
          <w:marTop w:val="0"/>
          <w:marBottom w:val="0"/>
          <w:divBdr>
            <w:top w:val="none" w:sz="0" w:space="0" w:color="auto"/>
            <w:left w:val="none" w:sz="0" w:space="0" w:color="auto"/>
            <w:bottom w:val="none" w:sz="0" w:space="0" w:color="auto"/>
            <w:right w:val="none" w:sz="0" w:space="0" w:color="auto"/>
          </w:divBdr>
        </w:div>
        <w:div w:id="1469544479">
          <w:marLeft w:val="0"/>
          <w:marRight w:val="0"/>
          <w:marTop w:val="0"/>
          <w:marBottom w:val="0"/>
          <w:divBdr>
            <w:top w:val="none" w:sz="0" w:space="0" w:color="auto"/>
            <w:left w:val="none" w:sz="0" w:space="0" w:color="auto"/>
            <w:bottom w:val="none" w:sz="0" w:space="0" w:color="auto"/>
            <w:right w:val="none" w:sz="0" w:space="0" w:color="auto"/>
          </w:divBdr>
        </w:div>
        <w:div w:id="2028214211">
          <w:marLeft w:val="0"/>
          <w:marRight w:val="0"/>
          <w:marTop w:val="0"/>
          <w:marBottom w:val="0"/>
          <w:divBdr>
            <w:top w:val="none" w:sz="0" w:space="0" w:color="auto"/>
            <w:left w:val="none" w:sz="0" w:space="0" w:color="auto"/>
            <w:bottom w:val="none" w:sz="0" w:space="0" w:color="auto"/>
            <w:right w:val="none" w:sz="0" w:space="0" w:color="auto"/>
          </w:divBdr>
        </w:div>
        <w:div w:id="357631104">
          <w:marLeft w:val="0"/>
          <w:marRight w:val="0"/>
          <w:marTop w:val="0"/>
          <w:marBottom w:val="0"/>
          <w:divBdr>
            <w:top w:val="none" w:sz="0" w:space="0" w:color="auto"/>
            <w:left w:val="none" w:sz="0" w:space="0" w:color="auto"/>
            <w:bottom w:val="none" w:sz="0" w:space="0" w:color="auto"/>
            <w:right w:val="none" w:sz="0" w:space="0" w:color="auto"/>
          </w:divBdr>
        </w:div>
        <w:div w:id="735663106">
          <w:marLeft w:val="0"/>
          <w:marRight w:val="0"/>
          <w:marTop w:val="0"/>
          <w:marBottom w:val="0"/>
          <w:divBdr>
            <w:top w:val="none" w:sz="0" w:space="0" w:color="auto"/>
            <w:left w:val="none" w:sz="0" w:space="0" w:color="auto"/>
            <w:bottom w:val="none" w:sz="0" w:space="0" w:color="auto"/>
            <w:right w:val="none" w:sz="0" w:space="0" w:color="auto"/>
          </w:divBdr>
        </w:div>
        <w:div w:id="1887445879">
          <w:marLeft w:val="0"/>
          <w:marRight w:val="0"/>
          <w:marTop w:val="0"/>
          <w:marBottom w:val="0"/>
          <w:divBdr>
            <w:top w:val="none" w:sz="0" w:space="0" w:color="auto"/>
            <w:left w:val="none" w:sz="0" w:space="0" w:color="auto"/>
            <w:bottom w:val="none" w:sz="0" w:space="0" w:color="auto"/>
            <w:right w:val="none" w:sz="0" w:space="0" w:color="auto"/>
          </w:divBdr>
        </w:div>
        <w:div w:id="658264005">
          <w:marLeft w:val="0"/>
          <w:marRight w:val="0"/>
          <w:marTop w:val="0"/>
          <w:marBottom w:val="0"/>
          <w:divBdr>
            <w:top w:val="none" w:sz="0" w:space="0" w:color="auto"/>
            <w:left w:val="none" w:sz="0" w:space="0" w:color="auto"/>
            <w:bottom w:val="none" w:sz="0" w:space="0" w:color="auto"/>
            <w:right w:val="none" w:sz="0" w:space="0" w:color="auto"/>
          </w:divBdr>
        </w:div>
        <w:div w:id="1588422537">
          <w:marLeft w:val="0"/>
          <w:marRight w:val="0"/>
          <w:marTop w:val="0"/>
          <w:marBottom w:val="0"/>
          <w:divBdr>
            <w:top w:val="none" w:sz="0" w:space="0" w:color="auto"/>
            <w:left w:val="none" w:sz="0" w:space="0" w:color="auto"/>
            <w:bottom w:val="none" w:sz="0" w:space="0" w:color="auto"/>
            <w:right w:val="none" w:sz="0" w:space="0" w:color="auto"/>
          </w:divBdr>
        </w:div>
        <w:div w:id="217055268">
          <w:marLeft w:val="0"/>
          <w:marRight w:val="0"/>
          <w:marTop w:val="0"/>
          <w:marBottom w:val="0"/>
          <w:divBdr>
            <w:top w:val="none" w:sz="0" w:space="0" w:color="auto"/>
            <w:left w:val="none" w:sz="0" w:space="0" w:color="auto"/>
            <w:bottom w:val="none" w:sz="0" w:space="0" w:color="auto"/>
            <w:right w:val="none" w:sz="0" w:space="0" w:color="auto"/>
          </w:divBdr>
        </w:div>
        <w:div w:id="2073919305">
          <w:marLeft w:val="0"/>
          <w:marRight w:val="0"/>
          <w:marTop w:val="0"/>
          <w:marBottom w:val="0"/>
          <w:divBdr>
            <w:top w:val="none" w:sz="0" w:space="0" w:color="auto"/>
            <w:left w:val="none" w:sz="0" w:space="0" w:color="auto"/>
            <w:bottom w:val="none" w:sz="0" w:space="0" w:color="auto"/>
            <w:right w:val="none" w:sz="0" w:space="0" w:color="auto"/>
          </w:divBdr>
        </w:div>
        <w:div w:id="1125538752">
          <w:marLeft w:val="0"/>
          <w:marRight w:val="0"/>
          <w:marTop w:val="0"/>
          <w:marBottom w:val="0"/>
          <w:divBdr>
            <w:top w:val="none" w:sz="0" w:space="0" w:color="auto"/>
            <w:left w:val="none" w:sz="0" w:space="0" w:color="auto"/>
            <w:bottom w:val="none" w:sz="0" w:space="0" w:color="auto"/>
            <w:right w:val="none" w:sz="0" w:space="0" w:color="auto"/>
          </w:divBdr>
        </w:div>
        <w:div w:id="1778602122">
          <w:marLeft w:val="0"/>
          <w:marRight w:val="0"/>
          <w:marTop w:val="0"/>
          <w:marBottom w:val="0"/>
          <w:divBdr>
            <w:top w:val="none" w:sz="0" w:space="0" w:color="auto"/>
            <w:left w:val="none" w:sz="0" w:space="0" w:color="auto"/>
            <w:bottom w:val="none" w:sz="0" w:space="0" w:color="auto"/>
            <w:right w:val="none" w:sz="0" w:space="0" w:color="auto"/>
          </w:divBdr>
        </w:div>
        <w:div w:id="1667126311">
          <w:marLeft w:val="0"/>
          <w:marRight w:val="0"/>
          <w:marTop w:val="0"/>
          <w:marBottom w:val="0"/>
          <w:divBdr>
            <w:top w:val="none" w:sz="0" w:space="0" w:color="auto"/>
            <w:left w:val="none" w:sz="0" w:space="0" w:color="auto"/>
            <w:bottom w:val="none" w:sz="0" w:space="0" w:color="auto"/>
            <w:right w:val="none" w:sz="0" w:space="0" w:color="auto"/>
          </w:divBdr>
        </w:div>
        <w:div w:id="71856439">
          <w:marLeft w:val="0"/>
          <w:marRight w:val="0"/>
          <w:marTop w:val="0"/>
          <w:marBottom w:val="0"/>
          <w:divBdr>
            <w:top w:val="none" w:sz="0" w:space="0" w:color="auto"/>
            <w:left w:val="none" w:sz="0" w:space="0" w:color="auto"/>
            <w:bottom w:val="none" w:sz="0" w:space="0" w:color="auto"/>
            <w:right w:val="none" w:sz="0" w:space="0" w:color="auto"/>
          </w:divBdr>
        </w:div>
        <w:div w:id="1666319072">
          <w:marLeft w:val="0"/>
          <w:marRight w:val="0"/>
          <w:marTop w:val="0"/>
          <w:marBottom w:val="0"/>
          <w:divBdr>
            <w:top w:val="none" w:sz="0" w:space="0" w:color="auto"/>
            <w:left w:val="none" w:sz="0" w:space="0" w:color="auto"/>
            <w:bottom w:val="none" w:sz="0" w:space="0" w:color="auto"/>
            <w:right w:val="none" w:sz="0" w:space="0" w:color="auto"/>
          </w:divBdr>
        </w:div>
        <w:div w:id="1443189153">
          <w:marLeft w:val="0"/>
          <w:marRight w:val="0"/>
          <w:marTop w:val="0"/>
          <w:marBottom w:val="0"/>
          <w:divBdr>
            <w:top w:val="none" w:sz="0" w:space="0" w:color="auto"/>
            <w:left w:val="none" w:sz="0" w:space="0" w:color="auto"/>
            <w:bottom w:val="none" w:sz="0" w:space="0" w:color="auto"/>
            <w:right w:val="none" w:sz="0" w:space="0" w:color="auto"/>
          </w:divBdr>
        </w:div>
        <w:div w:id="592864562">
          <w:marLeft w:val="0"/>
          <w:marRight w:val="0"/>
          <w:marTop w:val="0"/>
          <w:marBottom w:val="0"/>
          <w:divBdr>
            <w:top w:val="none" w:sz="0" w:space="0" w:color="auto"/>
            <w:left w:val="none" w:sz="0" w:space="0" w:color="auto"/>
            <w:bottom w:val="none" w:sz="0" w:space="0" w:color="auto"/>
            <w:right w:val="none" w:sz="0" w:space="0" w:color="auto"/>
          </w:divBdr>
        </w:div>
        <w:div w:id="1556163991">
          <w:marLeft w:val="0"/>
          <w:marRight w:val="0"/>
          <w:marTop w:val="0"/>
          <w:marBottom w:val="0"/>
          <w:divBdr>
            <w:top w:val="none" w:sz="0" w:space="0" w:color="auto"/>
            <w:left w:val="none" w:sz="0" w:space="0" w:color="auto"/>
            <w:bottom w:val="none" w:sz="0" w:space="0" w:color="auto"/>
            <w:right w:val="none" w:sz="0" w:space="0" w:color="auto"/>
          </w:divBdr>
        </w:div>
        <w:div w:id="453988307">
          <w:marLeft w:val="0"/>
          <w:marRight w:val="0"/>
          <w:marTop w:val="0"/>
          <w:marBottom w:val="0"/>
          <w:divBdr>
            <w:top w:val="none" w:sz="0" w:space="0" w:color="auto"/>
            <w:left w:val="none" w:sz="0" w:space="0" w:color="auto"/>
            <w:bottom w:val="none" w:sz="0" w:space="0" w:color="auto"/>
            <w:right w:val="none" w:sz="0" w:space="0" w:color="auto"/>
          </w:divBdr>
        </w:div>
        <w:div w:id="1788962660">
          <w:marLeft w:val="0"/>
          <w:marRight w:val="0"/>
          <w:marTop w:val="0"/>
          <w:marBottom w:val="0"/>
          <w:divBdr>
            <w:top w:val="none" w:sz="0" w:space="0" w:color="auto"/>
            <w:left w:val="none" w:sz="0" w:space="0" w:color="auto"/>
            <w:bottom w:val="none" w:sz="0" w:space="0" w:color="auto"/>
            <w:right w:val="none" w:sz="0" w:space="0" w:color="auto"/>
          </w:divBdr>
        </w:div>
        <w:div w:id="351029714">
          <w:marLeft w:val="0"/>
          <w:marRight w:val="0"/>
          <w:marTop w:val="0"/>
          <w:marBottom w:val="0"/>
          <w:divBdr>
            <w:top w:val="none" w:sz="0" w:space="0" w:color="auto"/>
            <w:left w:val="none" w:sz="0" w:space="0" w:color="auto"/>
            <w:bottom w:val="none" w:sz="0" w:space="0" w:color="auto"/>
            <w:right w:val="none" w:sz="0" w:space="0" w:color="auto"/>
          </w:divBdr>
        </w:div>
        <w:div w:id="232400905">
          <w:marLeft w:val="0"/>
          <w:marRight w:val="0"/>
          <w:marTop w:val="0"/>
          <w:marBottom w:val="0"/>
          <w:divBdr>
            <w:top w:val="none" w:sz="0" w:space="0" w:color="auto"/>
            <w:left w:val="none" w:sz="0" w:space="0" w:color="auto"/>
            <w:bottom w:val="none" w:sz="0" w:space="0" w:color="auto"/>
            <w:right w:val="none" w:sz="0" w:space="0" w:color="auto"/>
          </w:divBdr>
        </w:div>
        <w:div w:id="1973171255">
          <w:marLeft w:val="0"/>
          <w:marRight w:val="0"/>
          <w:marTop w:val="0"/>
          <w:marBottom w:val="0"/>
          <w:divBdr>
            <w:top w:val="none" w:sz="0" w:space="0" w:color="auto"/>
            <w:left w:val="none" w:sz="0" w:space="0" w:color="auto"/>
            <w:bottom w:val="none" w:sz="0" w:space="0" w:color="auto"/>
            <w:right w:val="none" w:sz="0" w:space="0" w:color="auto"/>
          </w:divBdr>
        </w:div>
        <w:div w:id="944262901">
          <w:marLeft w:val="0"/>
          <w:marRight w:val="0"/>
          <w:marTop w:val="0"/>
          <w:marBottom w:val="0"/>
          <w:divBdr>
            <w:top w:val="none" w:sz="0" w:space="0" w:color="auto"/>
            <w:left w:val="none" w:sz="0" w:space="0" w:color="auto"/>
            <w:bottom w:val="none" w:sz="0" w:space="0" w:color="auto"/>
            <w:right w:val="none" w:sz="0" w:space="0" w:color="auto"/>
          </w:divBdr>
        </w:div>
        <w:div w:id="430398377">
          <w:marLeft w:val="0"/>
          <w:marRight w:val="0"/>
          <w:marTop w:val="0"/>
          <w:marBottom w:val="0"/>
          <w:divBdr>
            <w:top w:val="none" w:sz="0" w:space="0" w:color="auto"/>
            <w:left w:val="none" w:sz="0" w:space="0" w:color="auto"/>
            <w:bottom w:val="none" w:sz="0" w:space="0" w:color="auto"/>
            <w:right w:val="none" w:sz="0" w:space="0" w:color="auto"/>
          </w:divBdr>
        </w:div>
        <w:div w:id="243878728">
          <w:marLeft w:val="0"/>
          <w:marRight w:val="0"/>
          <w:marTop w:val="0"/>
          <w:marBottom w:val="0"/>
          <w:divBdr>
            <w:top w:val="none" w:sz="0" w:space="0" w:color="auto"/>
            <w:left w:val="none" w:sz="0" w:space="0" w:color="auto"/>
            <w:bottom w:val="none" w:sz="0" w:space="0" w:color="auto"/>
            <w:right w:val="none" w:sz="0" w:space="0" w:color="auto"/>
          </w:divBdr>
        </w:div>
        <w:div w:id="641423163">
          <w:marLeft w:val="0"/>
          <w:marRight w:val="0"/>
          <w:marTop w:val="0"/>
          <w:marBottom w:val="0"/>
          <w:divBdr>
            <w:top w:val="none" w:sz="0" w:space="0" w:color="auto"/>
            <w:left w:val="none" w:sz="0" w:space="0" w:color="auto"/>
            <w:bottom w:val="none" w:sz="0" w:space="0" w:color="auto"/>
            <w:right w:val="none" w:sz="0" w:space="0" w:color="auto"/>
          </w:divBdr>
        </w:div>
        <w:div w:id="80759357">
          <w:marLeft w:val="0"/>
          <w:marRight w:val="0"/>
          <w:marTop w:val="0"/>
          <w:marBottom w:val="0"/>
          <w:divBdr>
            <w:top w:val="none" w:sz="0" w:space="0" w:color="auto"/>
            <w:left w:val="none" w:sz="0" w:space="0" w:color="auto"/>
            <w:bottom w:val="none" w:sz="0" w:space="0" w:color="auto"/>
            <w:right w:val="none" w:sz="0" w:space="0" w:color="auto"/>
          </w:divBdr>
        </w:div>
        <w:div w:id="312299295">
          <w:marLeft w:val="0"/>
          <w:marRight w:val="0"/>
          <w:marTop w:val="0"/>
          <w:marBottom w:val="0"/>
          <w:divBdr>
            <w:top w:val="none" w:sz="0" w:space="0" w:color="auto"/>
            <w:left w:val="none" w:sz="0" w:space="0" w:color="auto"/>
            <w:bottom w:val="none" w:sz="0" w:space="0" w:color="auto"/>
            <w:right w:val="none" w:sz="0" w:space="0" w:color="auto"/>
          </w:divBdr>
        </w:div>
        <w:div w:id="1825858091">
          <w:marLeft w:val="0"/>
          <w:marRight w:val="0"/>
          <w:marTop w:val="0"/>
          <w:marBottom w:val="0"/>
          <w:divBdr>
            <w:top w:val="none" w:sz="0" w:space="0" w:color="auto"/>
            <w:left w:val="none" w:sz="0" w:space="0" w:color="auto"/>
            <w:bottom w:val="none" w:sz="0" w:space="0" w:color="auto"/>
            <w:right w:val="none" w:sz="0" w:space="0" w:color="auto"/>
          </w:divBdr>
        </w:div>
        <w:div w:id="720326117">
          <w:marLeft w:val="0"/>
          <w:marRight w:val="0"/>
          <w:marTop w:val="0"/>
          <w:marBottom w:val="0"/>
          <w:divBdr>
            <w:top w:val="none" w:sz="0" w:space="0" w:color="auto"/>
            <w:left w:val="none" w:sz="0" w:space="0" w:color="auto"/>
            <w:bottom w:val="none" w:sz="0" w:space="0" w:color="auto"/>
            <w:right w:val="none" w:sz="0" w:space="0" w:color="auto"/>
          </w:divBdr>
        </w:div>
        <w:div w:id="1770195554">
          <w:marLeft w:val="0"/>
          <w:marRight w:val="0"/>
          <w:marTop w:val="0"/>
          <w:marBottom w:val="0"/>
          <w:divBdr>
            <w:top w:val="none" w:sz="0" w:space="0" w:color="auto"/>
            <w:left w:val="none" w:sz="0" w:space="0" w:color="auto"/>
            <w:bottom w:val="none" w:sz="0" w:space="0" w:color="auto"/>
            <w:right w:val="none" w:sz="0" w:space="0" w:color="auto"/>
          </w:divBdr>
        </w:div>
        <w:div w:id="1833721284">
          <w:marLeft w:val="0"/>
          <w:marRight w:val="0"/>
          <w:marTop w:val="0"/>
          <w:marBottom w:val="0"/>
          <w:divBdr>
            <w:top w:val="none" w:sz="0" w:space="0" w:color="auto"/>
            <w:left w:val="none" w:sz="0" w:space="0" w:color="auto"/>
            <w:bottom w:val="none" w:sz="0" w:space="0" w:color="auto"/>
            <w:right w:val="none" w:sz="0" w:space="0" w:color="auto"/>
          </w:divBdr>
        </w:div>
        <w:div w:id="1237398229">
          <w:marLeft w:val="0"/>
          <w:marRight w:val="0"/>
          <w:marTop w:val="0"/>
          <w:marBottom w:val="0"/>
          <w:divBdr>
            <w:top w:val="none" w:sz="0" w:space="0" w:color="auto"/>
            <w:left w:val="none" w:sz="0" w:space="0" w:color="auto"/>
            <w:bottom w:val="none" w:sz="0" w:space="0" w:color="auto"/>
            <w:right w:val="none" w:sz="0" w:space="0" w:color="auto"/>
          </w:divBdr>
        </w:div>
        <w:div w:id="694696284">
          <w:marLeft w:val="0"/>
          <w:marRight w:val="0"/>
          <w:marTop w:val="0"/>
          <w:marBottom w:val="0"/>
          <w:divBdr>
            <w:top w:val="none" w:sz="0" w:space="0" w:color="auto"/>
            <w:left w:val="none" w:sz="0" w:space="0" w:color="auto"/>
            <w:bottom w:val="none" w:sz="0" w:space="0" w:color="auto"/>
            <w:right w:val="none" w:sz="0" w:space="0" w:color="auto"/>
          </w:divBdr>
        </w:div>
        <w:div w:id="494302390">
          <w:marLeft w:val="0"/>
          <w:marRight w:val="0"/>
          <w:marTop w:val="0"/>
          <w:marBottom w:val="0"/>
          <w:divBdr>
            <w:top w:val="none" w:sz="0" w:space="0" w:color="auto"/>
            <w:left w:val="none" w:sz="0" w:space="0" w:color="auto"/>
            <w:bottom w:val="none" w:sz="0" w:space="0" w:color="auto"/>
            <w:right w:val="none" w:sz="0" w:space="0" w:color="auto"/>
          </w:divBdr>
        </w:div>
        <w:div w:id="312757653">
          <w:marLeft w:val="0"/>
          <w:marRight w:val="0"/>
          <w:marTop w:val="0"/>
          <w:marBottom w:val="0"/>
          <w:divBdr>
            <w:top w:val="none" w:sz="0" w:space="0" w:color="auto"/>
            <w:left w:val="none" w:sz="0" w:space="0" w:color="auto"/>
            <w:bottom w:val="none" w:sz="0" w:space="0" w:color="auto"/>
            <w:right w:val="none" w:sz="0" w:space="0" w:color="auto"/>
          </w:divBdr>
        </w:div>
        <w:div w:id="1723748267">
          <w:marLeft w:val="0"/>
          <w:marRight w:val="0"/>
          <w:marTop w:val="0"/>
          <w:marBottom w:val="0"/>
          <w:divBdr>
            <w:top w:val="none" w:sz="0" w:space="0" w:color="auto"/>
            <w:left w:val="none" w:sz="0" w:space="0" w:color="auto"/>
            <w:bottom w:val="none" w:sz="0" w:space="0" w:color="auto"/>
            <w:right w:val="none" w:sz="0" w:space="0" w:color="auto"/>
          </w:divBdr>
        </w:div>
      </w:divsChild>
    </w:div>
    <w:div w:id="2033918475">
      <w:bodyDiv w:val="1"/>
      <w:marLeft w:val="0"/>
      <w:marRight w:val="0"/>
      <w:marTop w:val="0"/>
      <w:marBottom w:val="0"/>
      <w:divBdr>
        <w:top w:val="none" w:sz="0" w:space="0" w:color="auto"/>
        <w:left w:val="none" w:sz="0" w:space="0" w:color="auto"/>
        <w:bottom w:val="none" w:sz="0" w:space="0" w:color="auto"/>
        <w:right w:val="none" w:sz="0" w:space="0" w:color="auto"/>
      </w:divBdr>
    </w:div>
    <w:div w:id="2052269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mes.clark@york.ac.uk" TargetMode="External"/><Relationship Id="rId13" Type="http://schemas.openxmlformats.org/officeDocument/2006/relationships/image" Target="media/image4.png"/><Relationship Id="rId18" Type="http://schemas.openxmlformats.org/officeDocument/2006/relationships/hyperlink" Target="mailto:james.clark@york.ac.uk"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mailto:robin.white@tno.nl"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robin.white@tno.nl"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AC82D3-758E-493F-BAFC-6629F016B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25266</Words>
  <Characters>144018</Characters>
  <Application>Microsoft Office Word</Application>
  <DocSecurity>0</DocSecurity>
  <Lines>1200</Lines>
  <Paragraphs>337</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168947</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Anna Zhenova</dc:creator>
  <cp:keywords/>
  <cp:lastModifiedBy>Rob Mcelroy</cp:lastModifiedBy>
  <cp:revision>2</cp:revision>
  <cp:lastPrinted>2019-07-19T12:23:00Z</cp:lastPrinted>
  <dcterms:created xsi:type="dcterms:W3CDTF">2019-09-03T13:56:00Z</dcterms:created>
  <dcterms:modified xsi:type="dcterms:W3CDTF">2019-09-03T13:56:00Z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zotero-version="5.0.69"&gt;&lt;session id="3ztE3XCs"/&gt;&lt;style id="http://www.zotero.org/styles/american-chemical-society" hasBibliography="1" bibliographyStyleHasBeenSet="1"/&gt;&lt;prefs&gt;&lt;pref name="fieldType" value="Field"/&gt;&lt;pref name="dontAsk</vt:lpwstr>
  </property>
  <property fmtid="{D5CDD505-2E9C-101B-9397-08002B2CF9AE}" pid="3" name="ZOTERO_PREF_2">
    <vt:lpwstr>DelayCitationUpdates" value="true"/&gt;&lt;/prefs&gt;&lt;/data&gt;</vt:lpwstr>
  </property>
</Properties>
</file>