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2A587" w14:textId="77777777" w:rsidR="00EC1DDD" w:rsidRPr="00210899" w:rsidRDefault="00EC1DDD" w:rsidP="00EC1DDD">
      <w:pPr>
        <w:spacing w:line="480" w:lineRule="auto"/>
        <w:rPr>
          <w:rFonts w:cstheme="minorHAnsi"/>
          <w:sz w:val="24"/>
          <w:szCs w:val="24"/>
        </w:rPr>
      </w:pPr>
      <w:r w:rsidRPr="00210899">
        <w:rPr>
          <w:rFonts w:cstheme="minorHAnsi"/>
          <w:sz w:val="24"/>
          <w:szCs w:val="24"/>
        </w:rPr>
        <w:t>Manuscript category: Original Article</w:t>
      </w:r>
    </w:p>
    <w:p w14:paraId="7CF5165D" w14:textId="77777777" w:rsidR="00EC1DDD" w:rsidRPr="00210899" w:rsidRDefault="00EC1DDD" w:rsidP="00EC1DDD">
      <w:pPr>
        <w:spacing w:line="480" w:lineRule="auto"/>
        <w:rPr>
          <w:rFonts w:cstheme="minorHAnsi"/>
          <w:sz w:val="24"/>
          <w:szCs w:val="24"/>
        </w:rPr>
      </w:pPr>
      <w:r w:rsidRPr="00210899">
        <w:rPr>
          <w:rFonts w:cstheme="minorHAnsi"/>
          <w:sz w:val="24"/>
          <w:szCs w:val="24"/>
        </w:rPr>
        <w:t>Title: Smoking</w:t>
      </w:r>
      <w:r>
        <w:rPr>
          <w:rFonts w:cstheme="minorHAnsi"/>
          <w:sz w:val="24"/>
          <w:szCs w:val="24"/>
        </w:rPr>
        <w:t>-</w:t>
      </w:r>
      <w:r w:rsidRPr="00210899">
        <w:rPr>
          <w:rFonts w:cstheme="minorHAnsi"/>
          <w:sz w:val="24"/>
          <w:szCs w:val="24"/>
        </w:rPr>
        <w:t xml:space="preserve">related violence in </w:t>
      </w:r>
      <w:r>
        <w:rPr>
          <w:rFonts w:cstheme="minorHAnsi"/>
          <w:sz w:val="24"/>
          <w:szCs w:val="24"/>
        </w:rPr>
        <w:t xml:space="preserve">a </w:t>
      </w:r>
      <w:r w:rsidRPr="00210899">
        <w:rPr>
          <w:rFonts w:cstheme="minorHAnsi"/>
          <w:sz w:val="24"/>
          <w:szCs w:val="24"/>
        </w:rPr>
        <w:t xml:space="preserve">mental health </w:t>
      </w:r>
      <w:r>
        <w:rPr>
          <w:rFonts w:cstheme="minorHAnsi"/>
          <w:sz w:val="24"/>
          <w:szCs w:val="24"/>
        </w:rPr>
        <w:t>setting</w:t>
      </w:r>
      <w:r w:rsidRPr="00210899">
        <w:rPr>
          <w:rFonts w:cstheme="minorHAnsi"/>
          <w:sz w:val="24"/>
          <w:szCs w:val="24"/>
        </w:rPr>
        <w:t xml:space="preserve"> following the implementation of a </w:t>
      </w:r>
      <w:r>
        <w:rPr>
          <w:rFonts w:cstheme="minorHAnsi"/>
          <w:sz w:val="24"/>
          <w:szCs w:val="24"/>
        </w:rPr>
        <w:t xml:space="preserve">comprehensive </w:t>
      </w:r>
      <w:r w:rsidRPr="00210899">
        <w:rPr>
          <w:rFonts w:cstheme="minorHAnsi"/>
          <w:sz w:val="24"/>
          <w:szCs w:val="24"/>
        </w:rPr>
        <w:t>smoke-free policy: A content analysis of incident reports</w:t>
      </w:r>
    </w:p>
    <w:p w14:paraId="6167E452" w14:textId="77777777" w:rsidR="00EC1DDD" w:rsidRPr="00210899" w:rsidRDefault="00EC1DDD" w:rsidP="00EC1DDD">
      <w:pPr>
        <w:spacing w:line="480" w:lineRule="auto"/>
        <w:rPr>
          <w:rFonts w:cstheme="minorHAnsi"/>
          <w:sz w:val="24"/>
          <w:szCs w:val="24"/>
        </w:rPr>
      </w:pPr>
      <w:r w:rsidRPr="00210899">
        <w:rPr>
          <w:rFonts w:cstheme="minorHAnsi"/>
          <w:sz w:val="24"/>
          <w:szCs w:val="24"/>
        </w:rPr>
        <w:t xml:space="preserve">Author names and affiliations: </w:t>
      </w:r>
    </w:p>
    <w:p w14:paraId="69AF056A" w14:textId="77777777" w:rsidR="00EC1DDD" w:rsidRPr="00210899" w:rsidRDefault="00EC1DDD" w:rsidP="00EC1DDD">
      <w:pPr>
        <w:spacing w:line="480" w:lineRule="auto"/>
        <w:rPr>
          <w:rFonts w:cstheme="minorHAnsi"/>
          <w:sz w:val="24"/>
          <w:szCs w:val="24"/>
        </w:rPr>
      </w:pPr>
      <w:r w:rsidRPr="00210899">
        <w:rPr>
          <w:rFonts w:cstheme="minorHAnsi"/>
          <w:sz w:val="24"/>
          <w:szCs w:val="24"/>
        </w:rPr>
        <w:t xml:space="preserve">Gilda Spaducci, MSc. </w:t>
      </w:r>
      <w:r w:rsidRPr="00210899">
        <w:rPr>
          <w:rFonts w:cstheme="minorHAnsi"/>
          <w:color w:val="000000"/>
          <w:sz w:val="24"/>
          <w:szCs w:val="24"/>
        </w:rPr>
        <w:t>Addictions Department, Institute of Psychiatry, Psychology &amp; Neuroscience, King’s College London, 4 Windsor Walk, Denmark Hill, London,</w:t>
      </w:r>
      <w:r w:rsidRPr="00210899">
        <w:rPr>
          <w:rFonts w:cstheme="minorHAnsi"/>
          <w:color w:val="000000"/>
          <w:sz w:val="24"/>
          <w:szCs w:val="24"/>
          <w:shd w:val="clear" w:color="auto" w:fill="FFFFFF"/>
        </w:rPr>
        <w:t> </w:t>
      </w:r>
      <w:r w:rsidRPr="00210899">
        <w:rPr>
          <w:rFonts w:cstheme="minorHAnsi"/>
          <w:color w:val="000000"/>
          <w:sz w:val="24"/>
          <w:szCs w:val="24"/>
        </w:rPr>
        <w:t xml:space="preserve">UK </w:t>
      </w:r>
      <w:r w:rsidRPr="00210899">
        <w:rPr>
          <w:rFonts w:cstheme="minorHAnsi"/>
          <w:color w:val="000000"/>
          <w:sz w:val="24"/>
          <w:szCs w:val="24"/>
          <w:shd w:val="clear" w:color="auto" w:fill="FFFFFF"/>
        </w:rPr>
        <w:t>SE5 8BB</w:t>
      </w:r>
      <w:r>
        <w:rPr>
          <w:rFonts w:cstheme="minorHAnsi"/>
          <w:color w:val="000000"/>
          <w:sz w:val="24"/>
          <w:szCs w:val="24"/>
          <w:shd w:val="clear" w:color="auto" w:fill="FFFFFF"/>
        </w:rPr>
        <w:t>.</w:t>
      </w:r>
    </w:p>
    <w:p w14:paraId="7A6F955C" w14:textId="77777777" w:rsidR="00EC1DDD" w:rsidRPr="00210899" w:rsidRDefault="00EC1DDD" w:rsidP="00EC1DDD">
      <w:pPr>
        <w:spacing w:line="480" w:lineRule="auto"/>
        <w:rPr>
          <w:rFonts w:cstheme="minorHAnsi"/>
          <w:sz w:val="24"/>
          <w:szCs w:val="24"/>
        </w:rPr>
      </w:pPr>
      <w:r w:rsidRPr="00210899">
        <w:rPr>
          <w:rFonts w:cstheme="minorHAnsi"/>
          <w:sz w:val="24"/>
          <w:szCs w:val="24"/>
        </w:rPr>
        <w:t xml:space="preserve">Ann McNeill, PhD. </w:t>
      </w:r>
      <w:r w:rsidRPr="00210899">
        <w:rPr>
          <w:rFonts w:cstheme="minorHAnsi"/>
          <w:color w:val="000000"/>
          <w:sz w:val="24"/>
          <w:szCs w:val="24"/>
        </w:rPr>
        <w:t>Addictions Department, Institute of Psychiatry, Psychology &amp; Neuroscience, King’s College London, 4 Windsor Walk, Denmark Hill, London,</w:t>
      </w:r>
      <w:r w:rsidRPr="00210899">
        <w:rPr>
          <w:rFonts w:cstheme="minorHAnsi"/>
          <w:color w:val="000000"/>
          <w:sz w:val="24"/>
          <w:szCs w:val="24"/>
          <w:shd w:val="clear" w:color="auto" w:fill="FFFFFF"/>
        </w:rPr>
        <w:t> </w:t>
      </w:r>
      <w:r w:rsidRPr="00210899">
        <w:rPr>
          <w:rFonts w:cstheme="minorHAnsi"/>
          <w:color w:val="000000"/>
          <w:sz w:val="24"/>
          <w:szCs w:val="24"/>
        </w:rPr>
        <w:t xml:space="preserve">UK </w:t>
      </w:r>
      <w:r w:rsidRPr="00210899">
        <w:rPr>
          <w:rFonts w:cstheme="minorHAnsi"/>
          <w:color w:val="000000"/>
          <w:sz w:val="24"/>
          <w:szCs w:val="24"/>
          <w:shd w:val="clear" w:color="auto" w:fill="FFFFFF"/>
        </w:rPr>
        <w:t>SE5 8BB</w:t>
      </w:r>
      <w:r w:rsidRPr="00210899">
        <w:rPr>
          <w:rFonts w:cstheme="minorHAnsi"/>
          <w:color w:val="000000"/>
          <w:sz w:val="24"/>
          <w:szCs w:val="24"/>
        </w:rPr>
        <w:t xml:space="preserve"> and UK Centre for Tobacco and Alcohol Studies.</w:t>
      </w:r>
    </w:p>
    <w:p w14:paraId="25C1F32B" w14:textId="77777777" w:rsidR="00EC1DDD" w:rsidRPr="00210899" w:rsidRDefault="00EC1DDD" w:rsidP="00EC1DDD">
      <w:pPr>
        <w:spacing w:line="480" w:lineRule="auto"/>
        <w:rPr>
          <w:rFonts w:cstheme="minorHAnsi"/>
          <w:sz w:val="24"/>
          <w:szCs w:val="24"/>
        </w:rPr>
      </w:pPr>
      <w:r w:rsidRPr="00210899">
        <w:rPr>
          <w:rFonts w:cstheme="minorHAnsi"/>
          <w:sz w:val="24"/>
          <w:szCs w:val="24"/>
        </w:rPr>
        <w:t>Kathryn Hubbard, MSc. Health Services and Population Department, Institute of Psychiatry, Psychology &amp; Neuroscience, King’s College London, De Crespigny Park, London, UK SE5 8AF</w:t>
      </w:r>
    </w:p>
    <w:p w14:paraId="1C9A7F22" w14:textId="77777777" w:rsidR="00EC1DDD" w:rsidRPr="00210899" w:rsidRDefault="00EC1DDD" w:rsidP="00EC1DDD">
      <w:pPr>
        <w:spacing w:line="480" w:lineRule="auto"/>
        <w:rPr>
          <w:rFonts w:cstheme="minorHAnsi"/>
          <w:sz w:val="24"/>
          <w:szCs w:val="24"/>
        </w:rPr>
      </w:pPr>
      <w:r w:rsidRPr="00210899">
        <w:rPr>
          <w:rFonts w:cstheme="minorHAnsi"/>
          <w:sz w:val="24"/>
          <w:szCs w:val="24"/>
        </w:rPr>
        <w:t>Duncan Stewart, PhD. Mental Health and Addiction Research Group, Department of Health Sciences, University of York, Heslington, York, UK, YO10 5DD.</w:t>
      </w:r>
    </w:p>
    <w:p w14:paraId="6E0BEBE7" w14:textId="77777777" w:rsidR="00EC1DDD" w:rsidRPr="00210899" w:rsidRDefault="00EC1DDD" w:rsidP="00EC1DDD">
      <w:pPr>
        <w:spacing w:line="480" w:lineRule="auto"/>
        <w:rPr>
          <w:rFonts w:cstheme="minorHAnsi"/>
          <w:sz w:val="24"/>
          <w:szCs w:val="24"/>
        </w:rPr>
      </w:pPr>
      <w:r w:rsidRPr="00210899">
        <w:rPr>
          <w:rFonts w:cstheme="minorHAnsi"/>
          <w:sz w:val="24"/>
          <w:szCs w:val="24"/>
        </w:rPr>
        <w:t xml:space="preserve">Mary Yates. South London and Maudsley NHS Foundation Trust, Bethlem Royal Hospital, Beckenham, </w:t>
      </w:r>
      <w:r>
        <w:rPr>
          <w:rFonts w:cstheme="minorHAnsi"/>
          <w:sz w:val="24"/>
          <w:szCs w:val="24"/>
        </w:rPr>
        <w:t>London</w:t>
      </w:r>
      <w:r w:rsidRPr="00210899">
        <w:rPr>
          <w:rFonts w:cstheme="minorHAnsi"/>
          <w:sz w:val="24"/>
          <w:szCs w:val="24"/>
        </w:rPr>
        <w:t>, UK.</w:t>
      </w:r>
    </w:p>
    <w:p w14:paraId="5A65F1BB" w14:textId="77777777" w:rsidR="00EC1DDD" w:rsidRPr="00210899" w:rsidRDefault="00EC1DDD" w:rsidP="00EC1DDD">
      <w:pPr>
        <w:spacing w:line="480" w:lineRule="auto"/>
        <w:rPr>
          <w:rFonts w:cstheme="minorHAnsi"/>
          <w:color w:val="000000"/>
          <w:sz w:val="24"/>
          <w:szCs w:val="24"/>
        </w:rPr>
      </w:pPr>
      <w:r>
        <w:rPr>
          <w:rFonts w:cstheme="minorHAnsi"/>
          <w:sz w:val="24"/>
          <w:szCs w:val="24"/>
        </w:rPr>
        <w:t>*</w:t>
      </w:r>
      <w:r w:rsidRPr="00210899">
        <w:rPr>
          <w:rFonts w:cstheme="minorHAnsi"/>
          <w:sz w:val="24"/>
          <w:szCs w:val="24"/>
        </w:rPr>
        <w:t xml:space="preserve">Deborah Robson, PhD. </w:t>
      </w:r>
      <w:r w:rsidRPr="00210899">
        <w:rPr>
          <w:rFonts w:cstheme="minorHAnsi"/>
          <w:color w:val="000000"/>
          <w:sz w:val="24"/>
          <w:szCs w:val="24"/>
        </w:rPr>
        <w:t>Addictions Department, Institute of Psychiatry, Psychology &amp; Neuroscience, King’s College London, 4 Windsor Walk, Denmark Hill, London,</w:t>
      </w:r>
      <w:r w:rsidRPr="00210899">
        <w:rPr>
          <w:rFonts w:cstheme="minorHAnsi"/>
          <w:color w:val="000000"/>
          <w:sz w:val="24"/>
          <w:szCs w:val="24"/>
          <w:shd w:val="clear" w:color="auto" w:fill="FFFFFF"/>
        </w:rPr>
        <w:t> </w:t>
      </w:r>
      <w:r w:rsidRPr="00210899">
        <w:rPr>
          <w:rFonts w:cstheme="minorHAnsi"/>
          <w:color w:val="000000"/>
          <w:sz w:val="24"/>
          <w:szCs w:val="24"/>
        </w:rPr>
        <w:t xml:space="preserve">UK </w:t>
      </w:r>
      <w:r w:rsidRPr="00210899">
        <w:rPr>
          <w:rFonts w:cstheme="minorHAnsi"/>
          <w:color w:val="000000"/>
          <w:sz w:val="24"/>
          <w:szCs w:val="24"/>
          <w:shd w:val="clear" w:color="auto" w:fill="FFFFFF"/>
        </w:rPr>
        <w:t>SE5 8BB</w:t>
      </w:r>
      <w:r w:rsidRPr="00210899">
        <w:rPr>
          <w:rFonts w:cstheme="minorHAnsi"/>
          <w:color w:val="000000"/>
          <w:sz w:val="24"/>
          <w:szCs w:val="24"/>
        </w:rPr>
        <w:t xml:space="preserve">. </w:t>
      </w:r>
    </w:p>
    <w:p w14:paraId="13F773AB" w14:textId="77777777" w:rsidR="00EC1DDD" w:rsidRPr="00210899" w:rsidRDefault="00EC1DDD" w:rsidP="00EC1DDD">
      <w:pPr>
        <w:spacing w:line="480" w:lineRule="auto"/>
        <w:rPr>
          <w:rFonts w:cstheme="minorHAnsi"/>
          <w:color w:val="000000"/>
          <w:sz w:val="24"/>
          <w:szCs w:val="24"/>
        </w:rPr>
      </w:pPr>
      <w:r w:rsidRPr="00210899">
        <w:rPr>
          <w:rFonts w:cstheme="minorHAnsi"/>
          <w:color w:val="000000"/>
          <w:sz w:val="24"/>
          <w:szCs w:val="24"/>
        </w:rPr>
        <w:t>*Corresponding author</w:t>
      </w:r>
    </w:p>
    <w:p w14:paraId="171D2DB5" w14:textId="77777777" w:rsidR="00EC1DDD" w:rsidRPr="00210899" w:rsidRDefault="00EC1DDD" w:rsidP="00EC1DDD">
      <w:pPr>
        <w:spacing w:line="480" w:lineRule="auto"/>
        <w:rPr>
          <w:rFonts w:cstheme="minorHAnsi"/>
          <w:sz w:val="24"/>
          <w:szCs w:val="24"/>
          <w:lang w:eastAsia="en-GB"/>
        </w:rPr>
      </w:pPr>
      <w:r w:rsidRPr="00210899">
        <w:rPr>
          <w:rFonts w:cstheme="minorHAnsi"/>
          <w:color w:val="000000"/>
          <w:sz w:val="24"/>
          <w:szCs w:val="24"/>
        </w:rPr>
        <w:t xml:space="preserve">Correspondence: </w:t>
      </w:r>
      <w:r>
        <w:rPr>
          <w:rFonts w:cstheme="minorHAnsi"/>
          <w:color w:val="000000"/>
          <w:sz w:val="24"/>
          <w:szCs w:val="24"/>
        </w:rPr>
        <w:t>Deborah Robson,</w:t>
      </w:r>
      <w:r w:rsidRPr="00210899">
        <w:rPr>
          <w:rFonts w:cstheme="minorHAnsi"/>
          <w:color w:val="000000"/>
          <w:sz w:val="24"/>
          <w:szCs w:val="24"/>
        </w:rPr>
        <w:t xml:space="preserve"> Addictions Department, Institute of Psychiatry, Psychology &amp; Neuroscience, King’s College London, 4 Windsor Walk, Denmark Hill, London,</w:t>
      </w:r>
      <w:r w:rsidRPr="00210899">
        <w:rPr>
          <w:rFonts w:cstheme="minorHAnsi"/>
          <w:color w:val="000000"/>
          <w:sz w:val="24"/>
          <w:szCs w:val="24"/>
          <w:shd w:val="clear" w:color="auto" w:fill="FFFFFF"/>
        </w:rPr>
        <w:t> </w:t>
      </w:r>
      <w:r w:rsidRPr="00210899">
        <w:rPr>
          <w:rFonts w:cstheme="minorHAnsi"/>
          <w:color w:val="000000"/>
          <w:sz w:val="24"/>
          <w:szCs w:val="24"/>
        </w:rPr>
        <w:t xml:space="preserve">UK </w:t>
      </w:r>
      <w:r w:rsidRPr="00210899">
        <w:rPr>
          <w:rFonts w:cstheme="minorHAnsi"/>
          <w:color w:val="000000"/>
          <w:sz w:val="24"/>
          <w:szCs w:val="24"/>
          <w:shd w:val="clear" w:color="auto" w:fill="FFFFFF"/>
        </w:rPr>
        <w:t>SE5 8BB,</w:t>
      </w:r>
      <w:r>
        <w:t xml:space="preserve"> </w:t>
      </w:r>
      <w:hyperlink r:id="rId8" w:history="1">
        <w:r w:rsidRPr="00C459D8">
          <w:rPr>
            <w:rStyle w:val="Hyperlink"/>
          </w:rPr>
          <w:t>Deborah.j.robson@kcl.ac.uk</w:t>
        </w:r>
      </w:hyperlink>
      <w:r>
        <w:t xml:space="preserve">. </w:t>
      </w:r>
      <w:r w:rsidRPr="000C31DF">
        <w:rPr>
          <w:sz w:val="24"/>
          <w:szCs w:val="24"/>
        </w:rPr>
        <w:t>Tel: +44(0) 20 7848 2657</w:t>
      </w:r>
      <w:r w:rsidRPr="000C31DF">
        <w:rPr>
          <w:rFonts w:cstheme="minorHAnsi"/>
          <w:color w:val="000000"/>
          <w:sz w:val="24"/>
          <w:szCs w:val="24"/>
          <w:shd w:val="clear" w:color="auto" w:fill="FFFFFF"/>
        </w:rPr>
        <w:t>.</w:t>
      </w:r>
      <w:r w:rsidRPr="00210899">
        <w:rPr>
          <w:rFonts w:cstheme="minorHAnsi"/>
          <w:color w:val="000000"/>
          <w:sz w:val="24"/>
          <w:szCs w:val="24"/>
          <w:shd w:val="clear" w:color="auto" w:fill="FFFFFF"/>
        </w:rPr>
        <w:t xml:space="preserve"> </w:t>
      </w:r>
    </w:p>
    <w:p w14:paraId="556F3046" w14:textId="77777777" w:rsidR="00EC1DDD" w:rsidRPr="00210899" w:rsidRDefault="00EC1DDD" w:rsidP="00EC1DDD">
      <w:pPr>
        <w:spacing w:line="480" w:lineRule="auto"/>
        <w:rPr>
          <w:rFonts w:cstheme="minorHAnsi"/>
          <w:color w:val="1C1D1E"/>
          <w:sz w:val="24"/>
          <w:szCs w:val="24"/>
          <w:shd w:val="clear" w:color="auto" w:fill="FFFFFF"/>
        </w:rPr>
      </w:pPr>
      <w:r w:rsidRPr="00210899">
        <w:rPr>
          <w:rFonts w:cstheme="minorHAnsi"/>
          <w:sz w:val="24"/>
          <w:szCs w:val="24"/>
        </w:rPr>
        <w:t xml:space="preserve">Authorship statement: DR </w:t>
      </w:r>
      <w:r>
        <w:rPr>
          <w:rFonts w:cstheme="minorHAnsi"/>
          <w:sz w:val="24"/>
          <w:szCs w:val="24"/>
        </w:rPr>
        <w:t xml:space="preserve">conceived the study. DR and GS </w:t>
      </w:r>
      <w:r w:rsidRPr="00210899">
        <w:rPr>
          <w:rFonts w:cstheme="minorHAnsi"/>
          <w:sz w:val="24"/>
          <w:szCs w:val="24"/>
        </w:rPr>
        <w:t>developed the coding framework</w:t>
      </w:r>
      <w:r>
        <w:rPr>
          <w:rFonts w:cstheme="minorHAnsi"/>
          <w:sz w:val="24"/>
          <w:szCs w:val="24"/>
        </w:rPr>
        <w:t>s</w:t>
      </w:r>
      <w:r w:rsidRPr="00210899">
        <w:rPr>
          <w:rFonts w:cstheme="minorHAnsi"/>
          <w:sz w:val="24"/>
          <w:szCs w:val="24"/>
        </w:rPr>
        <w:t xml:space="preserve">. </w:t>
      </w:r>
      <w:r w:rsidRPr="00210899">
        <w:rPr>
          <w:rFonts w:cstheme="minorHAnsi"/>
          <w:color w:val="1C1D1E"/>
          <w:sz w:val="24"/>
          <w:szCs w:val="24"/>
          <w:shd w:val="clear" w:color="auto" w:fill="FFFFFF"/>
        </w:rPr>
        <w:t xml:space="preserve">GS and KH coded the data. </w:t>
      </w:r>
      <w:r w:rsidRPr="00210899">
        <w:rPr>
          <w:rFonts w:eastAsia="Times New Roman" w:cstheme="minorHAnsi"/>
          <w:sz w:val="24"/>
          <w:szCs w:val="24"/>
        </w:rPr>
        <w:t>All authors contributed to interpreting, drafting, revising and agreeing the final version of the paper.</w:t>
      </w:r>
    </w:p>
    <w:p w14:paraId="259BDE20" w14:textId="77777777" w:rsidR="00EC1DDD" w:rsidRPr="00210899" w:rsidRDefault="00EC1DDD" w:rsidP="00EC1DDD">
      <w:pPr>
        <w:spacing w:line="480" w:lineRule="auto"/>
        <w:rPr>
          <w:rFonts w:cstheme="minorHAnsi"/>
          <w:color w:val="1C1D1E"/>
          <w:sz w:val="24"/>
          <w:szCs w:val="24"/>
          <w:shd w:val="clear" w:color="auto" w:fill="FFFFFF"/>
        </w:rPr>
      </w:pPr>
      <w:r w:rsidRPr="00210899">
        <w:rPr>
          <w:rFonts w:cstheme="minorHAnsi"/>
          <w:color w:val="1C1D1E"/>
          <w:sz w:val="24"/>
          <w:szCs w:val="24"/>
          <w:shd w:val="clear" w:color="auto" w:fill="FFFFFF"/>
        </w:rPr>
        <w:t xml:space="preserve">Acknowledgements: </w:t>
      </w:r>
      <w:r w:rsidRPr="00210899">
        <w:rPr>
          <w:rFonts w:cstheme="minorHAnsi"/>
          <w:sz w:val="24"/>
          <w:szCs w:val="24"/>
        </w:rPr>
        <w:t>This research was supported by the Maudsley Charity and National Institute for Health Research (NIHR) Collaboration for Leadership in Applied Health Research and Care South London (NIHR CLAHRC South London) at King’s College Hospital NHS Foundation Trust. The views expressed in this article are those of the author(s) and not necessarily those of the NHS, the NIHR, or the Department of Health and Social Care.</w:t>
      </w:r>
    </w:p>
    <w:p w14:paraId="67A52C4B" w14:textId="77777777" w:rsidR="00EC1DDD" w:rsidRPr="00210899" w:rsidRDefault="00EC1DDD" w:rsidP="00EC1DDD">
      <w:pPr>
        <w:spacing w:line="480" w:lineRule="auto"/>
        <w:rPr>
          <w:rFonts w:cstheme="minorHAnsi"/>
          <w:color w:val="1C1D1E"/>
          <w:sz w:val="24"/>
          <w:szCs w:val="24"/>
          <w:shd w:val="clear" w:color="auto" w:fill="FFFFFF"/>
        </w:rPr>
      </w:pPr>
      <w:r w:rsidRPr="00210899">
        <w:rPr>
          <w:rFonts w:cstheme="minorHAnsi"/>
          <w:color w:val="1C1D1E"/>
          <w:sz w:val="24"/>
          <w:szCs w:val="24"/>
          <w:shd w:val="clear" w:color="auto" w:fill="FFFFFF"/>
        </w:rPr>
        <w:t>Disclosure statement: The authors do not have any conflicts of interest</w:t>
      </w:r>
      <w:r>
        <w:rPr>
          <w:rFonts w:cstheme="minorHAnsi"/>
          <w:color w:val="1C1D1E"/>
          <w:sz w:val="24"/>
          <w:szCs w:val="24"/>
          <w:shd w:val="clear" w:color="auto" w:fill="FFFFFF"/>
        </w:rPr>
        <w:t>.</w:t>
      </w:r>
    </w:p>
    <w:p w14:paraId="0A5FD97A" w14:textId="77777777" w:rsidR="00EC1DDD" w:rsidRDefault="00EC1DDD">
      <w:r>
        <w:br w:type="page"/>
      </w:r>
    </w:p>
    <w:p w14:paraId="4692EA20" w14:textId="5607F571" w:rsidR="007A49E0" w:rsidRPr="00172E44" w:rsidRDefault="007A49E0" w:rsidP="00741EC5">
      <w:pPr>
        <w:spacing w:line="480" w:lineRule="auto"/>
      </w:pPr>
      <w:bookmarkStart w:id="0" w:name="_GoBack"/>
      <w:bookmarkEnd w:id="0"/>
      <w:r w:rsidRPr="00172E44">
        <w:t>Abstract</w:t>
      </w:r>
    </w:p>
    <w:p w14:paraId="0D2CB0C2" w14:textId="20619C70" w:rsidR="00CC1D3A" w:rsidRPr="00172E44" w:rsidRDefault="007A49E0" w:rsidP="00C15783">
      <w:pPr>
        <w:spacing w:after="0" w:line="480" w:lineRule="auto"/>
        <w:rPr>
          <w:shd w:val="clear" w:color="auto" w:fill="FFFFFF"/>
        </w:rPr>
      </w:pPr>
      <w:r w:rsidRPr="00172E44">
        <w:rPr>
          <w:rFonts w:eastAsia="Times New Roman" w:cstheme="minorHAnsi"/>
          <w:color w:val="000000"/>
          <w:lang w:eastAsia="en-GB"/>
        </w:rPr>
        <w:t xml:space="preserve">Smoke-free policies in </w:t>
      </w:r>
      <w:r w:rsidR="006A7966" w:rsidRPr="00172E44">
        <w:rPr>
          <w:rFonts w:eastAsia="Times New Roman" w:cstheme="minorHAnsi"/>
          <w:color w:val="000000"/>
          <w:lang w:eastAsia="en-GB"/>
        </w:rPr>
        <w:t xml:space="preserve">mental health settings </w:t>
      </w:r>
      <w:r w:rsidRPr="00172E44">
        <w:rPr>
          <w:rFonts w:eastAsia="Times New Roman" w:cstheme="minorHAnsi"/>
          <w:color w:val="000000"/>
          <w:lang w:eastAsia="en-GB"/>
        </w:rPr>
        <w:t xml:space="preserve">are important to protect health but are </w:t>
      </w:r>
      <w:r w:rsidR="00BC3F72" w:rsidRPr="00172E44">
        <w:rPr>
          <w:rFonts w:eastAsia="Times New Roman" w:cstheme="minorHAnsi"/>
          <w:color w:val="000000"/>
          <w:lang w:eastAsia="en-GB"/>
        </w:rPr>
        <w:t>often</w:t>
      </w:r>
      <w:r w:rsidR="00CB44F7" w:rsidRPr="00172E44">
        <w:rPr>
          <w:rFonts w:eastAsia="Times New Roman" w:cstheme="minorHAnsi"/>
          <w:color w:val="000000"/>
          <w:lang w:eastAsia="en-GB"/>
        </w:rPr>
        <w:t xml:space="preserve"> </w:t>
      </w:r>
      <w:r w:rsidR="009934FF" w:rsidRPr="00172E44">
        <w:rPr>
          <w:rFonts w:eastAsia="Times New Roman" w:cstheme="minorHAnsi"/>
          <w:color w:val="000000"/>
          <w:lang w:eastAsia="en-GB"/>
        </w:rPr>
        <w:t xml:space="preserve">impeded </w:t>
      </w:r>
      <w:r w:rsidRPr="00172E44">
        <w:rPr>
          <w:rFonts w:eastAsia="Times New Roman" w:cstheme="minorHAnsi"/>
          <w:color w:val="000000"/>
          <w:lang w:eastAsia="en-GB"/>
        </w:rPr>
        <w:t xml:space="preserve">by staff concerns that physical violence </w:t>
      </w:r>
      <w:r w:rsidR="00934A15" w:rsidRPr="00172E44">
        <w:rPr>
          <w:rFonts w:eastAsia="Times New Roman" w:cstheme="minorHAnsi"/>
          <w:color w:val="000000"/>
          <w:lang w:eastAsia="en-GB"/>
        </w:rPr>
        <w:t xml:space="preserve">may </w:t>
      </w:r>
      <w:r w:rsidRPr="00172E44">
        <w:rPr>
          <w:rFonts w:eastAsia="Times New Roman" w:cstheme="minorHAnsi"/>
          <w:color w:val="000000"/>
          <w:lang w:eastAsia="en-GB"/>
        </w:rPr>
        <w:t xml:space="preserve">increase. </w:t>
      </w:r>
      <w:r w:rsidR="00794FC4" w:rsidRPr="00172E44">
        <w:rPr>
          <w:rFonts w:eastAsia="Times New Roman" w:cstheme="minorHAnsi"/>
          <w:color w:val="000000"/>
          <w:lang w:eastAsia="en-GB"/>
        </w:rPr>
        <w:t>We aimed to address</w:t>
      </w:r>
      <w:r w:rsidR="00794FC4" w:rsidRPr="00172E44">
        <w:rPr>
          <w:rFonts w:cstheme="minorHAnsi"/>
        </w:rPr>
        <w:t xml:space="preserve"> the</w:t>
      </w:r>
      <w:r w:rsidR="00CB44F7" w:rsidRPr="00172E44">
        <w:rPr>
          <w:rFonts w:cstheme="minorHAnsi"/>
        </w:rPr>
        <w:t xml:space="preserve"> </w:t>
      </w:r>
      <w:r w:rsidR="00AC2360" w:rsidRPr="00172E44">
        <w:rPr>
          <w:rFonts w:cstheme="minorHAnsi"/>
        </w:rPr>
        <w:t xml:space="preserve">literature </w:t>
      </w:r>
      <w:r w:rsidR="008F7B52" w:rsidRPr="00172E44">
        <w:rPr>
          <w:rFonts w:cstheme="minorHAnsi"/>
        </w:rPr>
        <w:t>gap about</w:t>
      </w:r>
      <w:r w:rsidRPr="00172E44">
        <w:rPr>
          <w:rFonts w:cstheme="minorHAnsi"/>
        </w:rPr>
        <w:t xml:space="preserve"> the </w:t>
      </w:r>
      <w:r w:rsidR="004E7B70" w:rsidRPr="00172E44">
        <w:rPr>
          <w:rFonts w:cstheme="minorHAnsi"/>
        </w:rPr>
        <w:t>frequency</w:t>
      </w:r>
      <w:r w:rsidR="00C94627" w:rsidRPr="00172E44">
        <w:rPr>
          <w:rFonts w:cstheme="minorHAnsi"/>
        </w:rPr>
        <w:t>,</w:t>
      </w:r>
      <w:r w:rsidR="00CB44F7" w:rsidRPr="00172E44">
        <w:rPr>
          <w:rFonts w:cstheme="minorHAnsi"/>
        </w:rPr>
        <w:t xml:space="preserve"> </w:t>
      </w:r>
      <w:r w:rsidRPr="00172E44">
        <w:rPr>
          <w:rFonts w:cstheme="minorHAnsi"/>
        </w:rPr>
        <w:t xml:space="preserve">nature </w:t>
      </w:r>
      <w:r w:rsidR="00C94627" w:rsidRPr="00172E44">
        <w:rPr>
          <w:rFonts w:cstheme="minorHAnsi"/>
        </w:rPr>
        <w:t xml:space="preserve">and management </w:t>
      </w:r>
      <w:r w:rsidRPr="00172E44">
        <w:rPr>
          <w:rFonts w:cstheme="minorHAnsi"/>
        </w:rPr>
        <w:t xml:space="preserve">of </w:t>
      </w:r>
      <w:r w:rsidR="00934A15" w:rsidRPr="00172E44">
        <w:rPr>
          <w:rFonts w:cstheme="minorHAnsi"/>
        </w:rPr>
        <w:t xml:space="preserve">physical </w:t>
      </w:r>
      <w:r w:rsidRPr="00172E44">
        <w:rPr>
          <w:rFonts w:cstheme="minorHAnsi"/>
        </w:rPr>
        <w:t xml:space="preserve">violence </w:t>
      </w:r>
      <w:r w:rsidR="00A362F7" w:rsidRPr="00172E44">
        <w:rPr>
          <w:rFonts w:cstheme="minorHAnsi"/>
        </w:rPr>
        <w:t xml:space="preserve">in relation </w:t>
      </w:r>
      <w:r w:rsidRPr="00172E44">
        <w:rPr>
          <w:rFonts w:cstheme="minorHAnsi"/>
        </w:rPr>
        <w:t>to smoking. We compare</w:t>
      </w:r>
      <w:r w:rsidR="005F7D5C" w:rsidRPr="00172E44">
        <w:rPr>
          <w:rFonts w:cstheme="minorHAnsi"/>
        </w:rPr>
        <w:t>d</w:t>
      </w:r>
      <w:r w:rsidRPr="00172E44">
        <w:rPr>
          <w:rFonts w:cstheme="minorHAnsi"/>
        </w:rPr>
        <w:t xml:space="preserve"> the </w:t>
      </w:r>
      <w:r w:rsidR="00B042B0" w:rsidRPr="00172E44">
        <w:rPr>
          <w:rFonts w:cstheme="minorHAnsi"/>
        </w:rPr>
        <w:t>antecedents</w:t>
      </w:r>
      <w:r w:rsidR="004430E2" w:rsidRPr="00172E44">
        <w:rPr>
          <w:rFonts w:cstheme="minorHAnsi"/>
        </w:rPr>
        <w:t xml:space="preserve"> and</w:t>
      </w:r>
      <w:r w:rsidR="005869AF" w:rsidRPr="00172E44">
        <w:rPr>
          <w:rFonts w:cstheme="minorHAnsi"/>
        </w:rPr>
        <w:t xml:space="preserve"> containment</w:t>
      </w:r>
      <w:r w:rsidR="00C971DB" w:rsidRPr="00172E44">
        <w:rPr>
          <w:rFonts w:cstheme="minorHAnsi"/>
        </w:rPr>
        <w:t xml:space="preserve"> </w:t>
      </w:r>
      <w:r w:rsidRPr="00172E44">
        <w:rPr>
          <w:rFonts w:cstheme="minorHAnsi"/>
        </w:rPr>
        <w:t xml:space="preserve">of </w:t>
      </w:r>
      <w:r w:rsidRPr="00172E44">
        <w:rPr>
          <w:rFonts w:cstheme="minorHAnsi"/>
          <w:noProof/>
        </w:rPr>
        <w:t>smoking</w:t>
      </w:r>
      <w:r w:rsidR="00EC18AC" w:rsidRPr="00172E44">
        <w:rPr>
          <w:rFonts w:cstheme="minorHAnsi"/>
          <w:noProof/>
        </w:rPr>
        <w:t>-</w:t>
      </w:r>
      <w:r w:rsidRPr="00172E44">
        <w:rPr>
          <w:rFonts w:cstheme="minorHAnsi"/>
          <w:noProof/>
        </w:rPr>
        <w:t>related</w:t>
      </w:r>
      <w:r w:rsidRPr="00172E44">
        <w:rPr>
          <w:rFonts w:cstheme="minorHAnsi"/>
        </w:rPr>
        <w:t xml:space="preserve"> incidents</w:t>
      </w:r>
      <w:r w:rsidR="00E237DF" w:rsidRPr="00172E44">
        <w:rPr>
          <w:rFonts w:cstheme="minorHAnsi"/>
        </w:rPr>
        <w:t xml:space="preserve"> of physical violence</w:t>
      </w:r>
      <w:r w:rsidR="00A71364" w:rsidRPr="00172E44">
        <w:rPr>
          <w:rFonts w:cstheme="minorHAnsi"/>
        </w:rPr>
        <w:t xml:space="preserve"> over a two-year period, </w:t>
      </w:r>
      <w:r w:rsidR="007916C2" w:rsidRPr="00172E44">
        <w:rPr>
          <w:rFonts w:cstheme="minorHAnsi"/>
          <w:shd w:val="clear" w:color="auto" w:fill="FFFFFF"/>
        </w:rPr>
        <w:t>(</w:t>
      </w:r>
      <w:bookmarkStart w:id="1" w:name="_Hlk5285142"/>
      <w:r w:rsidR="007916C2" w:rsidRPr="00172E44">
        <w:rPr>
          <w:rFonts w:cstheme="minorHAnsi"/>
          <w:shd w:val="clear" w:color="auto" w:fill="FFFFFF"/>
        </w:rPr>
        <w:t>12-month</w:t>
      </w:r>
      <w:r w:rsidR="00BE7802" w:rsidRPr="00172E44">
        <w:rPr>
          <w:rFonts w:cstheme="minorHAnsi"/>
          <w:shd w:val="clear" w:color="auto" w:fill="FFFFFF"/>
        </w:rPr>
        <w:t>s</w:t>
      </w:r>
      <w:r w:rsidR="007916C2" w:rsidRPr="00172E44">
        <w:rPr>
          <w:rFonts w:cstheme="minorHAnsi"/>
          <w:shd w:val="clear" w:color="auto" w:fill="FFFFFF"/>
        </w:rPr>
        <w:t xml:space="preserve"> when an indoor-only smoke-free policy was in place, followed by 12</w:t>
      </w:r>
      <w:r w:rsidR="006A7966" w:rsidRPr="00172E44">
        <w:rPr>
          <w:rFonts w:cstheme="minorHAnsi"/>
          <w:shd w:val="clear" w:color="auto" w:fill="FFFFFF"/>
        </w:rPr>
        <w:t>-month</w:t>
      </w:r>
      <w:r w:rsidR="00BE7802" w:rsidRPr="00172E44">
        <w:rPr>
          <w:rFonts w:cstheme="minorHAnsi"/>
          <w:shd w:val="clear" w:color="auto" w:fill="FFFFFF"/>
        </w:rPr>
        <w:t>s</w:t>
      </w:r>
      <w:r w:rsidR="00C971DB" w:rsidRPr="00172E44">
        <w:rPr>
          <w:rFonts w:cstheme="minorHAnsi"/>
          <w:shd w:val="clear" w:color="auto" w:fill="FFFFFF"/>
        </w:rPr>
        <w:t xml:space="preserve"> </w:t>
      </w:r>
      <w:r w:rsidR="00F07F3F" w:rsidRPr="00172E44">
        <w:rPr>
          <w:rFonts w:cstheme="minorHAnsi"/>
          <w:shd w:val="clear" w:color="auto" w:fill="FFFFFF"/>
        </w:rPr>
        <w:t xml:space="preserve">after </w:t>
      </w:r>
      <w:r w:rsidR="007916C2" w:rsidRPr="00172E44">
        <w:rPr>
          <w:rFonts w:cstheme="minorHAnsi"/>
          <w:shd w:val="clear" w:color="auto" w:fill="FFFFFF"/>
        </w:rPr>
        <w:t>a new comprehensive smoke-free policy</w:t>
      </w:r>
      <w:r w:rsidR="00F07F3F" w:rsidRPr="00172E44">
        <w:rPr>
          <w:rFonts w:cstheme="minorHAnsi"/>
          <w:shd w:val="clear" w:color="auto" w:fill="FFFFFF"/>
        </w:rPr>
        <w:t xml:space="preserve"> was </w:t>
      </w:r>
      <w:bookmarkEnd w:id="1"/>
      <w:r w:rsidR="00E237DF" w:rsidRPr="00172E44">
        <w:rPr>
          <w:rFonts w:cstheme="minorHAnsi"/>
          <w:shd w:val="clear" w:color="auto" w:fill="FFFFFF"/>
        </w:rPr>
        <w:t>i</w:t>
      </w:r>
      <w:r w:rsidR="00BA0E0F" w:rsidRPr="00172E44">
        <w:rPr>
          <w:rFonts w:cstheme="minorHAnsi"/>
          <w:shd w:val="clear" w:color="auto" w:fill="FFFFFF"/>
        </w:rPr>
        <w:t>ntroduced</w:t>
      </w:r>
      <w:r w:rsidR="007916C2" w:rsidRPr="00172E44">
        <w:rPr>
          <w:rFonts w:cstheme="minorHAnsi"/>
          <w:shd w:val="clear" w:color="auto" w:fill="FFFFFF"/>
        </w:rPr>
        <w:t>)</w:t>
      </w:r>
      <w:r w:rsidR="00CB44F7" w:rsidRPr="00172E44">
        <w:rPr>
          <w:rFonts w:cstheme="minorHAnsi"/>
          <w:shd w:val="clear" w:color="auto" w:fill="FFFFFF"/>
        </w:rPr>
        <w:t xml:space="preserve"> </w:t>
      </w:r>
      <w:r w:rsidR="00794FC4" w:rsidRPr="00172E44">
        <w:rPr>
          <w:rFonts w:cstheme="minorHAnsi"/>
          <w:shd w:val="clear" w:color="auto" w:fill="FFFFFF"/>
        </w:rPr>
        <w:t>using incident reports completed by staff</w:t>
      </w:r>
      <w:r w:rsidR="00CB44F7" w:rsidRPr="00172E44">
        <w:rPr>
          <w:rFonts w:cstheme="minorHAnsi"/>
          <w:shd w:val="clear" w:color="auto" w:fill="FFFFFF"/>
        </w:rPr>
        <w:t xml:space="preserve"> </w:t>
      </w:r>
      <w:r w:rsidR="00F07F3F" w:rsidRPr="00172E44">
        <w:rPr>
          <w:rFonts w:cstheme="minorHAnsi"/>
        </w:rPr>
        <w:t>in</w:t>
      </w:r>
      <w:r w:rsidR="00CB44F7" w:rsidRPr="00172E44">
        <w:rPr>
          <w:rFonts w:cstheme="minorHAnsi"/>
        </w:rPr>
        <w:t xml:space="preserve"> </w:t>
      </w:r>
      <w:r w:rsidR="00BE7802" w:rsidRPr="00172E44">
        <w:rPr>
          <w:rFonts w:cstheme="minorHAnsi"/>
        </w:rPr>
        <w:t>a</w:t>
      </w:r>
      <w:r w:rsidR="00CB44F7" w:rsidRPr="00172E44">
        <w:rPr>
          <w:rFonts w:cstheme="minorHAnsi"/>
        </w:rPr>
        <w:t xml:space="preserve"> </w:t>
      </w:r>
      <w:r w:rsidR="00BC3F72" w:rsidRPr="00172E44">
        <w:rPr>
          <w:rFonts w:cstheme="minorHAnsi"/>
        </w:rPr>
        <w:t>large</w:t>
      </w:r>
      <w:r w:rsidR="00CB44F7" w:rsidRPr="00172E44">
        <w:rPr>
          <w:rFonts w:cstheme="minorHAnsi"/>
        </w:rPr>
        <w:t xml:space="preserve"> </w:t>
      </w:r>
      <w:r w:rsidR="00F07F3F" w:rsidRPr="00172E44">
        <w:rPr>
          <w:rFonts w:cstheme="minorHAnsi"/>
        </w:rPr>
        <w:t>mental health organisation</w:t>
      </w:r>
      <w:r w:rsidRPr="00172E44">
        <w:rPr>
          <w:rFonts w:cstheme="minorHAnsi"/>
        </w:rPr>
        <w:t xml:space="preserve"> in London, UK.</w:t>
      </w:r>
      <w:r w:rsidR="00C971DB" w:rsidRPr="00172E44">
        <w:rPr>
          <w:rFonts w:cstheme="minorHAnsi"/>
        </w:rPr>
        <w:t xml:space="preserve"> </w:t>
      </w:r>
      <w:r w:rsidR="00FD4355" w:rsidRPr="00172E44">
        <w:rPr>
          <w:rFonts w:cstheme="minorHAnsi"/>
        </w:rPr>
        <w:t>Sixty-one</w:t>
      </w:r>
      <w:r w:rsidR="00C971DB" w:rsidRPr="00172E44">
        <w:rPr>
          <w:rFonts w:cstheme="minorHAnsi"/>
        </w:rPr>
        <w:t xml:space="preserve"> </w:t>
      </w:r>
      <w:r w:rsidR="007509FC" w:rsidRPr="00172E44">
        <w:rPr>
          <w:rFonts w:eastAsia="Times New Roman" w:cstheme="minorHAnsi"/>
          <w:color w:val="000000"/>
          <w:lang w:eastAsia="en-GB"/>
        </w:rPr>
        <w:t>smoking</w:t>
      </w:r>
      <w:r w:rsidR="00EC18AC" w:rsidRPr="00172E44">
        <w:rPr>
          <w:rFonts w:eastAsia="Times New Roman" w:cstheme="minorHAnsi"/>
          <w:color w:val="000000"/>
          <w:lang w:eastAsia="en-GB"/>
        </w:rPr>
        <w:t>-</w:t>
      </w:r>
      <w:r w:rsidR="007509FC" w:rsidRPr="00172E44">
        <w:rPr>
          <w:rFonts w:eastAsia="Times New Roman" w:cstheme="minorHAnsi"/>
          <w:color w:val="000000"/>
          <w:lang w:eastAsia="en-GB"/>
        </w:rPr>
        <w:t xml:space="preserve">related incidents occurred </w:t>
      </w:r>
      <w:r w:rsidR="003F48F5" w:rsidRPr="00172E44">
        <w:rPr>
          <w:rFonts w:eastAsia="Times New Roman" w:cstheme="minorHAnsi"/>
          <w:color w:val="000000"/>
          <w:lang w:eastAsia="en-GB"/>
        </w:rPr>
        <w:t xml:space="preserve">during </w:t>
      </w:r>
      <w:r w:rsidR="00DA6933" w:rsidRPr="00172E44">
        <w:rPr>
          <w:rFonts w:eastAsia="Times New Roman" w:cstheme="minorHAnsi"/>
          <w:color w:val="000000"/>
          <w:lang w:eastAsia="en-GB"/>
        </w:rPr>
        <w:t xml:space="preserve">the </w:t>
      </w:r>
      <w:r w:rsidR="003F48F5" w:rsidRPr="00172E44">
        <w:rPr>
          <w:rFonts w:eastAsia="Times New Roman" w:cstheme="minorHAnsi"/>
          <w:color w:val="000000"/>
          <w:lang w:eastAsia="en-GB"/>
        </w:rPr>
        <w:t xml:space="preserve">indoor-only smoke-free policy </w:t>
      </w:r>
      <w:r w:rsidR="00F07F3F" w:rsidRPr="00172E44">
        <w:rPr>
          <w:rFonts w:eastAsia="Times New Roman" w:cstheme="minorHAnsi"/>
          <w:color w:val="000000"/>
          <w:lang w:eastAsia="en-GB"/>
        </w:rPr>
        <w:t>period</w:t>
      </w:r>
      <w:r w:rsidR="006B2BDD" w:rsidRPr="00172E44">
        <w:rPr>
          <w:rFonts w:eastAsia="Times New Roman" w:cstheme="minorHAnsi"/>
          <w:color w:val="000000"/>
          <w:lang w:eastAsia="en-GB"/>
        </w:rPr>
        <w:t>;</w:t>
      </w:r>
      <w:r w:rsidR="00C971DB" w:rsidRPr="00172E44">
        <w:rPr>
          <w:rFonts w:eastAsia="Times New Roman" w:cstheme="minorHAnsi"/>
          <w:color w:val="000000"/>
          <w:lang w:eastAsia="en-GB"/>
        </w:rPr>
        <w:t xml:space="preserve"> </w:t>
      </w:r>
      <w:r w:rsidR="007509FC" w:rsidRPr="00172E44">
        <w:rPr>
          <w:rFonts w:eastAsia="Times New Roman" w:cstheme="minorHAnsi"/>
          <w:color w:val="000000"/>
          <w:lang w:eastAsia="en-GB"/>
        </w:rPr>
        <w:t>32 smoking</w:t>
      </w:r>
      <w:r w:rsidR="005869AF" w:rsidRPr="00172E44">
        <w:rPr>
          <w:rFonts w:eastAsia="Times New Roman" w:cstheme="minorHAnsi"/>
          <w:color w:val="000000"/>
          <w:lang w:eastAsia="en-GB"/>
        </w:rPr>
        <w:t>-</w:t>
      </w:r>
      <w:r w:rsidR="007509FC" w:rsidRPr="00172E44">
        <w:rPr>
          <w:rFonts w:eastAsia="Times New Roman" w:cstheme="minorHAnsi"/>
          <w:color w:val="000000"/>
          <w:lang w:eastAsia="en-GB"/>
        </w:rPr>
        <w:t xml:space="preserve">related incidents </w:t>
      </w:r>
      <w:r w:rsidR="007509FC" w:rsidRPr="00172E44">
        <w:rPr>
          <w:rFonts w:eastAsia="Times New Roman" w:cstheme="minorHAnsi"/>
          <w:noProof/>
          <w:color w:val="000000"/>
          <w:lang w:eastAsia="en-GB"/>
        </w:rPr>
        <w:t>occurred</w:t>
      </w:r>
      <w:r w:rsidR="00C971DB" w:rsidRPr="00172E44">
        <w:rPr>
          <w:rFonts w:eastAsia="Times New Roman" w:cstheme="minorHAnsi"/>
          <w:noProof/>
          <w:color w:val="000000"/>
          <w:lang w:eastAsia="en-GB"/>
        </w:rPr>
        <w:t xml:space="preserve"> </w:t>
      </w:r>
      <w:r w:rsidR="00EC18AC" w:rsidRPr="00172E44">
        <w:rPr>
          <w:rFonts w:eastAsia="Times New Roman" w:cstheme="minorHAnsi"/>
          <w:color w:val="000000"/>
          <w:lang w:eastAsia="en-GB"/>
        </w:rPr>
        <w:t xml:space="preserve">during </w:t>
      </w:r>
      <w:r w:rsidR="00DA6933" w:rsidRPr="00172E44">
        <w:rPr>
          <w:rFonts w:eastAsia="Times New Roman" w:cstheme="minorHAnsi"/>
          <w:color w:val="000000"/>
          <w:lang w:eastAsia="en-GB"/>
        </w:rPr>
        <w:t>the</w:t>
      </w:r>
      <w:r w:rsidR="003F48F5" w:rsidRPr="00172E44">
        <w:rPr>
          <w:rFonts w:eastAsia="Times New Roman" w:cstheme="minorHAnsi"/>
          <w:color w:val="000000"/>
          <w:lang w:eastAsia="en-GB"/>
        </w:rPr>
        <w:t xml:space="preserve"> comprehensive smoke-free policy</w:t>
      </w:r>
      <w:r w:rsidR="00C24F6F" w:rsidRPr="00172E44">
        <w:rPr>
          <w:rFonts w:eastAsia="Times New Roman" w:cstheme="minorHAnsi"/>
          <w:color w:val="000000"/>
          <w:lang w:eastAsia="en-GB"/>
        </w:rPr>
        <w:t>.</w:t>
      </w:r>
      <w:r w:rsidR="00C971DB" w:rsidRPr="00172E44">
        <w:rPr>
          <w:rFonts w:eastAsia="Times New Roman" w:cstheme="minorHAnsi"/>
          <w:color w:val="000000"/>
          <w:lang w:eastAsia="en-GB"/>
        </w:rPr>
        <w:t xml:space="preserve"> </w:t>
      </w:r>
      <w:r w:rsidRPr="00172E44">
        <w:rPr>
          <w:rFonts w:eastAsia="Times New Roman" w:cstheme="minorHAnsi"/>
          <w:color w:val="000000"/>
          <w:lang w:eastAsia="en-GB"/>
        </w:rPr>
        <w:t>We identified f</w:t>
      </w:r>
      <w:r w:rsidR="00914580" w:rsidRPr="00172E44">
        <w:rPr>
          <w:rFonts w:eastAsia="Times New Roman" w:cstheme="minorHAnsi"/>
          <w:color w:val="000000"/>
          <w:lang w:eastAsia="en-GB"/>
        </w:rPr>
        <w:t>our</w:t>
      </w:r>
      <w:r w:rsidRPr="00172E44">
        <w:rPr>
          <w:rFonts w:eastAsia="Times New Roman" w:cstheme="minorHAnsi"/>
          <w:color w:val="000000"/>
          <w:lang w:eastAsia="en-GB"/>
        </w:rPr>
        <w:t xml:space="preserve"> antecedent categories </w:t>
      </w:r>
      <w:r w:rsidR="00BE7802" w:rsidRPr="00172E44">
        <w:rPr>
          <w:rFonts w:eastAsia="Times New Roman" w:cstheme="minorHAnsi"/>
          <w:color w:val="000000"/>
          <w:lang w:eastAsia="en-GB"/>
        </w:rPr>
        <w:t>for</w:t>
      </w:r>
      <w:r w:rsidR="00E71687" w:rsidRPr="00172E44">
        <w:rPr>
          <w:rFonts w:eastAsia="Times New Roman" w:cstheme="minorHAnsi"/>
          <w:color w:val="000000"/>
          <w:lang w:eastAsia="en-GB"/>
        </w:rPr>
        <w:t xml:space="preserve"> </w:t>
      </w:r>
      <w:r w:rsidR="00AE0EAD" w:rsidRPr="00172E44">
        <w:rPr>
          <w:rFonts w:eastAsia="Times New Roman" w:cstheme="minorHAnsi"/>
          <w:color w:val="000000"/>
          <w:lang w:eastAsia="en-GB"/>
        </w:rPr>
        <w:t xml:space="preserve">physical </w:t>
      </w:r>
      <w:r w:rsidRPr="00172E44">
        <w:rPr>
          <w:rFonts w:eastAsia="Times New Roman" w:cstheme="minorHAnsi"/>
          <w:color w:val="000000"/>
          <w:lang w:eastAsia="en-GB"/>
        </w:rPr>
        <w:t>violence: 1) patient request to smoke</w:t>
      </w:r>
      <w:r w:rsidR="00914580" w:rsidRPr="00172E44">
        <w:rPr>
          <w:rFonts w:eastAsia="Times New Roman" w:cstheme="minorHAnsi"/>
          <w:color w:val="000000"/>
          <w:lang w:eastAsia="en-GB"/>
        </w:rPr>
        <w:t xml:space="preserve"> denied</w:t>
      </w:r>
      <w:r w:rsidR="004430E2" w:rsidRPr="00172E44">
        <w:rPr>
          <w:rFonts w:eastAsia="Times New Roman" w:cstheme="minorHAnsi"/>
          <w:color w:val="000000"/>
          <w:lang w:eastAsia="en-GB"/>
        </w:rPr>
        <w:t xml:space="preserve"> by staff</w:t>
      </w:r>
      <w:r w:rsidRPr="00172E44">
        <w:rPr>
          <w:rFonts w:eastAsia="Times New Roman" w:cstheme="minorHAnsi"/>
          <w:color w:val="000000"/>
          <w:lang w:eastAsia="en-GB"/>
        </w:rPr>
        <w:t xml:space="preserve">; 2) during a supervised smoking break; 3) </w:t>
      </w:r>
      <w:r w:rsidR="008F7B52" w:rsidRPr="00172E44">
        <w:rPr>
          <w:rFonts w:eastAsia="Times New Roman" w:cstheme="minorHAnsi"/>
          <w:color w:val="000000"/>
          <w:lang w:eastAsia="en-GB"/>
        </w:rPr>
        <w:t xml:space="preserve">staff response to a </w:t>
      </w:r>
      <w:r w:rsidR="0076774D" w:rsidRPr="00172E44">
        <w:rPr>
          <w:rFonts w:eastAsia="Times New Roman" w:cstheme="minorHAnsi"/>
          <w:color w:val="000000"/>
          <w:lang w:eastAsia="en-GB"/>
        </w:rPr>
        <w:t xml:space="preserve">patient </w:t>
      </w:r>
      <w:r w:rsidR="00914580" w:rsidRPr="00172E44">
        <w:rPr>
          <w:rFonts w:eastAsia="Times New Roman" w:cstheme="minorHAnsi"/>
          <w:color w:val="000000"/>
          <w:lang w:eastAsia="en-GB"/>
        </w:rPr>
        <w:t xml:space="preserve">breach of </w:t>
      </w:r>
      <w:r w:rsidR="00B66D76" w:rsidRPr="00172E44">
        <w:rPr>
          <w:rFonts w:eastAsia="Times New Roman" w:cstheme="minorHAnsi"/>
          <w:color w:val="000000"/>
          <w:lang w:eastAsia="en-GB"/>
        </w:rPr>
        <w:t xml:space="preserve">the </w:t>
      </w:r>
      <w:r w:rsidR="00914580" w:rsidRPr="00172E44">
        <w:rPr>
          <w:rFonts w:eastAsia="Times New Roman" w:cstheme="minorHAnsi"/>
          <w:color w:val="000000"/>
          <w:lang w:eastAsia="en-GB"/>
        </w:rPr>
        <w:t>smoke-free policy 4) asking</w:t>
      </w:r>
      <w:r w:rsidR="00DA6933" w:rsidRPr="00172E44">
        <w:rPr>
          <w:rFonts w:eastAsia="Times New Roman" w:cstheme="minorHAnsi"/>
          <w:color w:val="000000"/>
          <w:lang w:eastAsia="en-GB"/>
        </w:rPr>
        <w:t xml:space="preserve"> for</w:t>
      </w:r>
      <w:r w:rsidR="00914580" w:rsidRPr="00172E44">
        <w:rPr>
          <w:rFonts w:eastAsia="Times New Roman" w:cstheme="minorHAnsi"/>
          <w:color w:val="000000"/>
          <w:lang w:eastAsia="en-GB"/>
        </w:rPr>
        <w:t xml:space="preserve">, </w:t>
      </w:r>
      <w:r w:rsidRPr="00172E44">
        <w:rPr>
          <w:rFonts w:eastAsia="Times New Roman" w:cstheme="minorHAnsi"/>
          <w:color w:val="000000"/>
          <w:lang w:eastAsia="en-GB"/>
        </w:rPr>
        <w:t xml:space="preserve">trading or stealing smoking </w:t>
      </w:r>
      <w:r w:rsidR="00914580" w:rsidRPr="00172E44">
        <w:rPr>
          <w:rFonts w:eastAsia="Times New Roman" w:cstheme="minorHAnsi"/>
          <w:color w:val="000000"/>
          <w:lang w:eastAsia="en-GB"/>
        </w:rPr>
        <w:t>materials</w:t>
      </w:r>
      <w:r w:rsidR="00F04017" w:rsidRPr="00172E44">
        <w:rPr>
          <w:rFonts w:eastAsia="Times New Roman" w:cstheme="minorHAnsi"/>
          <w:color w:val="000000"/>
          <w:lang w:eastAsia="en-GB"/>
        </w:rPr>
        <w:t xml:space="preserve">. </w:t>
      </w:r>
      <w:r w:rsidR="00F04017" w:rsidRPr="00172E44">
        <w:rPr>
          <w:rFonts w:cstheme="minorHAnsi"/>
          <w:shd w:val="clear" w:color="auto" w:fill="FFFFFF"/>
        </w:rPr>
        <w:t>T</w:t>
      </w:r>
      <w:r w:rsidR="00A71364" w:rsidRPr="00172E44">
        <w:rPr>
          <w:rFonts w:cstheme="minorHAnsi"/>
          <w:shd w:val="clear" w:color="auto" w:fill="FFFFFF"/>
        </w:rPr>
        <w:t xml:space="preserve">he </w:t>
      </w:r>
      <w:r w:rsidR="00E71687" w:rsidRPr="00172E44">
        <w:rPr>
          <w:rFonts w:cstheme="minorHAnsi"/>
          <w:shd w:val="clear" w:color="auto" w:fill="FFFFFF"/>
        </w:rPr>
        <w:t xml:space="preserve">antecedent pattern </w:t>
      </w:r>
      <w:r w:rsidR="00AC2360" w:rsidRPr="00172E44">
        <w:rPr>
          <w:rFonts w:cstheme="minorHAnsi"/>
          <w:shd w:val="clear" w:color="auto" w:fill="FFFFFF"/>
        </w:rPr>
        <w:t>changed across the two policy periods</w:t>
      </w:r>
      <w:r w:rsidR="00C84E39" w:rsidRPr="00172E44">
        <w:rPr>
          <w:rFonts w:cstheme="minorHAnsi"/>
          <w:shd w:val="clear" w:color="auto" w:fill="FFFFFF"/>
        </w:rPr>
        <w:t>,</w:t>
      </w:r>
      <w:r w:rsidR="00E71687" w:rsidRPr="00172E44">
        <w:rPr>
          <w:rFonts w:cstheme="minorHAnsi"/>
          <w:shd w:val="clear" w:color="auto" w:fill="FFFFFF"/>
        </w:rPr>
        <w:t xml:space="preserve"> with fewer incidents of denying a patient’s request to smoke and a greater number of incidents involving staff responding to breaches occurring after the introduction of the comprehensive smoke-free policy. The prohibition of smoking breaks removed this source of violence. </w:t>
      </w:r>
      <w:r w:rsidR="002812E0" w:rsidRPr="00172E44">
        <w:rPr>
          <w:rFonts w:cstheme="minorHAnsi"/>
          <w:shd w:val="clear" w:color="auto" w:fill="FFFFFF"/>
        </w:rPr>
        <w:t>Time</w:t>
      </w:r>
      <w:r w:rsidR="00C971DB" w:rsidRPr="00172E44">
        <w:rPr>
          <w:rFonts w:cstheme="minorHAnsi"/>
          <w:shd w:val="clear" w:color="auto" w:fill="FFFFFF"/>
        </w:rPr>
        <w:t>-</w:t>
      </w:r>
      <w:r w:rsidR="002812E0" w:rsidRPr="00172E44">
        <w:rPr>
          <w:rFonts w:cstheme="minorHAnsi"/>
          <w:shd w:val="clear" w:color="auto" w:fill="FFFFFF"/>
        </w:rPr>
        <w:t xml:space="preserve">out </w:t>
      </w:r>
      <w:r w:rsidR="00AC2360" w:rsidRPr="00172E44">
        <w:rPr>
          <w:shd w:val="clear" w:color="auto" w:fill="FFFFFF"/>
        </w:rPr>
        <w:t xml:space="preserve">and PRN medication </w:t>
      </w:r>
      <w:r w:rsidR="00AC2360" w:rsidRPr="00172E44">
        <w:rPr>
          <w:rFonts w:cstheme="minorHAnsi"/>
          <w:shd w:val="clear" w:color="auto" w:fill="FFFFFF"/>
        </w:rPr>
        <w:t xml:space="preserve">were the most common containment </w:t>
      </w:r>
      <w:r w:rsidR="00FC432D" w:rsidRPr="00172E44">
        <w:rPr>
          <w:rFonts w:cstheme="minorHAnsi"/>
          <w:shd w:val="clear" w:color="auto" w:fill="FFFFFF"/>
        </w:rPr>
        <w:t>interventions</w:t>
      </w:r>
      <w:r w:rsidR="002812E0" w:rsidRPr="00172E44">
        <w:rPr>
          <w:rFonts w:cstheme="minorHAnsi"/>
          <w:shd w:val="clear" w:color="auto" w:fill="FFFFFF"/>
        </w:rPr>
        <w:t xml:space="preserve">. </w:t>
      </w:r>
      <w:r w:rsidRPr="00172E44">
        <w:rPr>
          <w:rFonts w:eastAsia="Times New Roman" w:cstheme="minorHAnsi"/>
          <w:color w:val="000000"/>
          <w:lang w:eastAsia="en-GB"/>
        </w:rPr>
        <w:t xml:space="preserve">Understanding the context of smoking-related violence </w:t>
      </w:r>
      <w:r w:rsidR="00B164AE" w:rsidRPr="00172E44">
        <w:rPr>
          <w:rFonts w:eastAsia="Times New Roman" w:cstheme="minorHAnsi"/>
          <w:color w:val="000000"/>
          <w:lang w:eastAsia="en-GB"/>
        </w:rPr>
        <w:t xml:space="preserve">may </w:t>
      </w:r>
      <w:r w:rsidRPr="00172E44">
        <w:rPr>
          <w:rFonts w:eastAsia="Times New Roman" w:cstheme="minorHAnsi"/>
          <w:color w:val="000000"/>
          <w:lang w:eastAsia="en-GB"/>
        </w:rPr>
        <w:t>inform clinical guidelines about its prevention and management.</w:t>
      </w:r>
    </w:p>
    <w:p w14:paraId="0685C1DF" w14:textId="77777777" w:rsidR="007A49E0" w:rsidRPr="00172E44" w:rsidRDefault="007A49E0" w:rsidP="00C15783">
      <w:pPr>
        <w:spacing w:after="0" w:line="480" w:lineRule="auto"/>
        <w:rPr>
          <w:rFonts w:eastAsia="Times New Roman" w:cstheme="minorHAnsi"/>
          <w:color w:val="000000"/>
          <w:lang w:eastAsia="en-GB"/>
        </w:rPr>
      </w:pPr>
      <w:r w:rsidRPr="00172E44">
        <w:rPr>
          <w:rFonts w:eastAsia="Times New Roman" w:cstheme="minorHAnsi"/>
          <w:color w:val="000000"/>
          <w:lang w:eastAsia="en-GB"/>
        </w:rPr>
        <w:br/>
      </w:r>
      <w:r w:rsidRPr="00172E44">
        <w:rPr>
          <w:rFonts w:cstheme="minorHAnsi"/>
        </w:rPr>
        <w:t>Keywords: hospitals</w:t>
      </w:r>
      <w:r w:rsidR="00F415F8" w:rsidRPr="00172E44">
        <w:rPr>
          <w:rFonts w:cstheme="minorHAnsi"/>
        </w:rPr>
        <w:t xml:space="preserve">; </w:t>
      </w:r>
      <w:r w:rsidRPr="00172E44">
        <w:rPr>
          <w:rFonts w:cstheme="minorHAnsi"/>
        </w:rPr>
        <w:t>inpatients</w:t>
      </w:r>
      <w:r w:rsidR="00F415F8" w:rsidRPr="00172E44">
        <w:rPr>
          <w:rFonts w:cstheme="minorHAnsi"/>
        </w:rPr>
        <w:t xml:space="preserve">; mental health; </w:t>
      </w:r>
      <w:r w:rsidRPr="00172E44">
        <w:rPr>
          <w:rFonts w:cstheme="minorHAnsi"/>
        </w:rPr>
        <w:t>smoke-free policy; smoking; violence</w:t>
      </w:r>
    </w:p>
    <w:p w14:paraId="546B2EC0" w14:textId="77777777" w:rsidR="004E7B70" w:rsidRPr="00172E44" w:rsidRDefault="004E7B70" w:rsidP="00C15783">
      <w:pPr>
        <w:spacing w:line="480" w:lineRule="auto"/>
        <w:rPr>
          <w:rFonts w:cstheme="minorHAnsi"/>
        </w:rPr>
      </w:pPr>
    </w:p>
    <w:p w14:paraId="2EED5212" w14:textId="77777777" w:rsidR="00BA0E0F" w:rsidRPr="00172E44" w:rsidRDefault="00BA0E0F" w:rsidP="00C15783">
      <w:pPr>
        <w:spacing w:line="480" w:lineRule="auto"/>
        <w:rPr>
          <w:rFonts w:cstheme="minorHAnsi"/>
        </w:rPr>
      </w:pPr>
    </w:p>
    <w:p w14:paraId="6172399B" w14:textId="77777777" w:rsidR="00BA0E0F" w:rsidRPr="00172E44" w:rsidRDefault="00BA0E0F" w:rsidP="00C15783">
      <w:pPr>
        <w:spacing w:line="480" w:lineRule="auto"/>
        <w:rPr>
          <w:rFonts w:cstheme="minorHAnsi"/>
        </w:rPr>
      </w:pPr>
    </w:p>
    <w:p w14:paraId="7618CA91" w14:textId="77777777" w:rsidR="00733467" w:rsidRPr="00172E44" w:rsidRDefault="00733467" w:rsidP="00C15783">
      <w:pPr>
        <w:spacing w:line="480" w:lineRule="auto"/>
        <w:rPr>
          <w:rFonts w:cstheme="minorHAnsi"/>
        </w:rPr>
      </w:pPr>
      <w:r w:rsidRPr="00172E44">
        <w:rPr>
          <w:rFonts w:cstheme="minorHAnsi"/>
        </w:rPr>
        <w:lastRenderedPageBreak/>
        <w:t>Introduction</w:t>
      </w:r>
    </w:p>
    <w:p w14:paraId="30202605" w14:textId="3AC600B0" w:rsidR="006815F3" w:rsidRPr="00172E44" w:rsidRDefault="005512B8" w:rsidP="00C15783">
      <w:pPr>
        <w:spacing w:line="480" w:lineRule="auto"/>
        <w:rPr>
          <w:rFonts w:cstheme="minorHAnsi"/>
        </w:rPr>
      </w:pPr>
      <w:r w:rsidRPr="00172E44">
        <w:rPr>
          <w:rFonts w:cstheme="minorHAnsi"/>
        </w:rPr>
        <w:t>T</w:t>
      </w:r>
      <w:r w:rsidR="00E10230" w:rsidRPr="00172E44">
        <w:rPr>
          <w:rFonts w:cstheme="minorHAnsi"/>
        </w:rPr>
        <w:t xml:space="preserve">he implementation of </w:t>
      </w:r>
      <w:r w:rsidR="00733467" w:rsidRPr="00172E44">
        <w:rPr>
          <w:rFonts w:cstheme="minorHAnsi"/>
        </w:rPr>
        <w:t xml:space="preserve">smoke-free policies in mental health settings </w:t>
      </w:r>
      <w:r w:rsidR="00B66D76" w:rsidRPr="00172E44">
        <w:rPr>
          <w:rFonts w:cstheme="minorHAnsi"/>
          <w:noProof/>
        </w:rPr>
        <w:t>are</w:t>
      </w:r>
      <w:r w:rsidR="00733467" w:rsidRPr="00172E44">
        <w:rPr>
          <w:rFonts w:cstheme="minorHAnsi"/>
        </w:rPr>
        <w:t xml:space="preserve"> commonplace in Europe, North America </w:t>
      </w:r>
      <w:r w:rsidR="00733467" w:rsidRPr="00172E44">
        <w:rPr>
          <w:rFonts w:cstheme="minorHAnsi"/>
          <w:noProof/>
        </w:rPr>
        <w:t>and</w:t>
      </w:r>
      <w:r w:rsidR="00733467" w:rsidRPr="00172E44">
        <w:rPr>
          <w:rFonts w:cstheme="minorHAnsi"/>
        </w:rPr>
        <w:t xml:space="preserve"> Australia</w:t>
      </w:r>
      <w:r w:rsidRPr="00172E44">
        <w:rPr>
          <w:rFonts w:cstheme="minorHAnsi"/>
        </w:rPr>
        <w:t xml:space="preserve">. </w:t>
      </w:r>
      <w:r w:rsidR="001575E8" w:rsidRPr="00172E44">
        <w:rPr>
          <w:rFonts w:cstheme="minorHAnsi"/>
        </w:rPr>
        <w:t>Indoor</w:t>
      </w:r>
      <w:r w:rsidR="00E55E44" w:rsidRPr="00172E44">
        <w:rPr>
          <w:rFonts w:cstheme="minorHAnsi"/>
        </w:rPr>
        <w:t>-only</w:t>
      </w:r>
      <w:r w:rsidR="001575E8" w:rsidRPr="00172E44">
        <w:rPr>
          <w:rFonts w:cstheme="minorHAnsi"/>
        </w:rPr>
        <w:t xml:space="preserve"> smoke</w:t>
      </w:r>
      <w:r w:rsidR="008F7B52" w:rsidRPr="00172E44">
        <w:rPr>
          <w:rFonts w:cstheme="minorHAnsi"/>
        </w:rPr>
        <w:t>-</w:t>
      </w:r>
      <w:r w:rsidR="001575E8" w:rsidRPr="00172E44">
        <w:rPr>
          <w:rFonts w:cstheme="minorHAnsi"/>
        </w:rPr>
        <w:t xml:space="preserve">free policies were implemented throughout </w:t>
      </w:r>
      <w:r w:rsidR="00EC18AC" w:rsidRPr="00172E44">
        <w:rPr>
          <w:rFonts w:cstheme="minorHAnsi"/>
        </w:rPr>
        <w:t xml:space="preserve">UK </w:t>
      </w:r>
      <w:r w:rsidR="001575E8" w:rsidRPr="00172E44">
        <w:rPr>
          <w:rFonts w:cstheme="minorHAnsi"/>
        </w:rPr>
        <w:t>National Health Service</w:t>
      </w:r>
      <w:r w:rsidR="007916C2" w:rsidRPr="00172E44">
        <w:rPr>
          <w:rFonts w:cstheme="minorHAnsi"/>
        </w:rPr>
        <w:t>s</w:t>
      </w:r>
      <w:r w:rsidR="001575E8" w:rsidRPr="00172E44">
        <w:rPr>
          <w:rFonts w:cstheme="minorHAnsi"/>
        </w:rPr>
        <w:t xml:space="preserve"> (NHS) </w:t>
      </w:r>
      <w:r w:rsidR="0091092A" w:rsidRPr="00172E44">
        <w:rPr>
          <w:rFonts w:cstheme="minorHAnsi"/>
        </w:rPr>
        <w:t xml:space="preserve">hospitals </w:t>
      </w:r>
      <w:r w:rsidR="001575E8" w:rsidRPr="00172E44">
        <w:rPr>
          <w:rFonts w:cstheme="minorHAnsi"/>
        </w:rPr>
        <w:t>from 200</w:t>
      </w:r>
      <w:r w:rsidR="00EC18AC" w:rsidRPr="00172E44">
        <w:rPr>
          <w:rFonts w:cstheme="minorHAnsi"/>
        </w:rPr>
        <w:t>6</w:t>
      </w:r>
      <w:r w:rsidR="00066083" w:rsidRPr="00172E44">
        <w:rPr>
          <w:rFonts w:cstheme="minorHAnsi"/>
        </w:rPr>
        <w:t xml:space="preserve"> (Royal College of Physicians, 2018)</w:t>
      </w:r>
      <w:r w:rsidR="001575E8" w:rsidRPr="00172E44">
        <w:rPr>
          <w:rFonts w:cstheme="minorHAnsi"/>
        </w:rPr>
        <w:t xml:space="preserve">. </w:t>
      </w:r>
      <w:r w:rsidR="00B424E1" w:rsidRPr="00172E44">
        <w:rPr>
          <w:rFonts w:cstheme="minorHAnsi"/>
        </w:rPr>
        <w:t>Complete smoke-free NHS Estates where smoking is prohibited in hospital grounds</w:t>
      </w:r>
      <w:r w:rsidR="00387C38" w:rsidRPr="00172E44">
        <w:rPr>
          <w:rFonts w:cstheme="minorHAnsi"/>
          <w:noProof/>
        </w:rPr>
        <w:t xml:space="preserve"> </w:t>
      </w:r>
      <w:r w:rsidR="000735B9" w:rsidRPr="00172E44">
        <w:rPr>
          <w:rFonts w:cstheme="minorHAnsi"/>
          <w:noProof/>
        </w:rPr>
        <w:t>and</w:t>
      </w:r>
      <w:r w:rsidR="00B424E1" w:rsidRPr="00172E44">
        <w:rPr>
          <w:rFonts w:cstheme="minorHAnsi"/>
          <w:noProof/>
        </w:rPr>
        <w:t xml:space="preserve"> buildings</w:t>
      </w:r>
      <w:r w:rsidR="00077116" w:rsidRPr="00172E44">
        <w:rPr>
          <w:rFonts w:cstheme="minorHAnsi"/>
          <w:noProof/>
        </w:rPr>
        <w:t xml:space="preserve"> </w:t>
      </w:r>
      <w:r w:rsidR="00DA6933" w:rsidRPr="00172E44">
        <w:rPr>
          <w:rFonts w:cstheme="minorHAnsi"/>
        </w:rPr>
        <w:t xml:space="preserve">alongside a tobacco treatment pathway </w:t>
      </w:r>
      <w:r w:rsidR="00B424E1" w:rsidRPr="00172E44">
        <w:rPr>
          <w:rFonts w:cstheme="minorHAnsi"/>
        </w:rPr>
        <w:t>(</w:t>
      </w:r>
      <w:r w:rsidR="00F07F3F" w:rsidRPr="00172E44">
        <w:rPr>
          <w:rFonts w:cstheme="minorHAnsi"/>
        </w:rPr>
        <w:t>i</w:t>
      </w:r>
      <w:r w:rsidR="00F949EA" w:rsidRPr="00172E44">
        <w:rPr>
          <w:rFonts w:cstheme="minorHAnsi"/>
        </w:rPr>
        <w:t>.</w:t>
      </w:r>
      <w:r w:rsidR="00F07F3F" w:rsidRPr="00172E44">
        <w:rPr>
          <w:rFonts w:cstheme="minorHAnsi"/>
        </w:rPr>
        <w:t>e</w:t>
      </w:r>
      <w:r w:rsidR="00F949EA" w:rsidRPr="00172E44">
        <w:rPr>
          <w:rFonts w:cstheme="minorHAnsi"/>
        </w:rPr>
        <w:t>.</w:t>
      </w:r>
      <w:r w:rsidR="00F07F3F" w:rsidRPr="00172E44">
        <w:rPr>
          <w:rFonts w:cstheme="minorHAnsi"/>
        </w:rPr>
        <w:t xml:space="preserve"> a </w:t>
      </w:r>
      <w:r w:rsidR="00B424E1" w:rsidRPr="00172E44">
        <w:rPr>
          <w:rFonts w:cstheme="minorHAnsi"/>
        </w:rPr>
        <w:t>comprehensive smoke-free polic</w:t>
      </w:r>
      <w:r w:rsidR="00F07F3F" w:rsidRPr="00172E44">
        <w:rPr>
          <w:rFonts w:cstheme="minorHAnsi"/>
        </w:rPr>
        <w:t>y</w:t>
      </w:r>
      <w:r w:rsidR="00B424E1" w:rsidRPr="00172E44">
        <w:rPr>
          <w:rFonts w:cstheme="minorHAnsi"/>
        </w:rPr>
        <w:t xml:space="preserve">) has been an ambition </w:t>
      </w:r>
      <w:r w:rsidR="00B424E1" w:rsidRPr="00172E44">
        <w:rPr>
          <w:rFonts w:cstheme="minorHAnsi"/>
          <w:noProof/>
        </w:rPr>
        <w:t>of</w:t>
      </w:r>
      <w:r w:rsidR="001D5ACB" w:rsidRPr="00172E44">
        <w:rPr>
          <w:rFonts w:cstheme="minorHAnsi"/>
          <w:noProof/>
        </w:rPr>
        <w:t xml:space="preserve"> </w:t>
      </w:r>
      <w:r w:rsidR="00B424E1" w:rsidRPr="00172E44">
        <w:rPr>
          <w:rFonts w:cstheme="minorHAnsi"/>
          <w:noProof/>
        </w:rPr>
        <w:t>the</w:t>
      </w:r>
      <w:r w:rsidR="00B424E1" w:rsidRPr="00172E44">
        <w:rPr>
          <w:rFonts w:cstheme="minorHAnsi"/>
        </w:rPr>
        <w:t xml:space="preserve"> NHS since the </w:t>
      </w:r>
      <w:r w:rsidR="00B424E1" w:rsidRPr="00172E44">
        <w:rPr>
          <w:rFonts w:cstheme="minorHAnsi"/>
          <w:noProof/>
        </w:rPr>
        <w:t>19</w:t>
      </w:r>
      <w:r w:rsidR="005076FB" w:rsidRPr="00172E44">
        <w:rPr>
          <w:rFonts w:cstheme="minorHAnsi"/>
          <w:noProof/>
        </w:rPr>
        <w:t>8</w:t>
      </w:r>
      <w:r w:rsidR="00B424E1" w:rsidRPr="00172E44">
        <w:rPr>
          <w:rFonts w:cstheme="minorHAnsi"/>
          <w:noProof/>
        </w:rPr>
        <w:t>0s</w:t>
      </w:r>
      <w:r w:rsidR="005076FB" w:rsidRPr="00172E44">
        <w:rPr>
          <w:rFonts w:cstheme="minorHAnsi"/>
          <w:noProof/>
        </w:rPr>
        <w:t xml:space="preserve"> (</w:t>
      </w:r>
      <w:r w:rsidR="008A3C9B" w:rsidRPr="00172E44">
        <w:rPr>
          <w:rFonts w:cstheme="minorHAnsi"/>
          <w:noProof/>
        </w:rPr>
        <w:t>Royal College of Physicians, 2018)</w:t>
      </w:r>
      <w:r w:rsidR="00486A6E" w:rsidRPr="00172E44">
        <w:rPr>
          <w:rFonts w:cstheme="minorHAnsi"/>
          <w:noProof/>
        </w:rPr>
        <w:t xml:space="preserve">. However, widespread introduction of comprehensive policies </w:t>
      </w:r>
      <w:r w:rsidR="00486A6E" w:rsidRPr="00172E44">
        <w:rPr>
          <w:rFonts w:cstheme="minorHAnsi"/>
        </w:rPr>
        <w:t>only started to happen following</w:t>
      </w:r>
      <w:r w:rsidR="001575E8" w:rsidRPr="00172E44">
        <w:rPr>
          <w:rFonts w:cstheme="minorHAnsi"/>
        </w:rPr>
        <w:t xml:space="preserve"> publication of </w:t>
      </w:r>
      <w:r w:rsidR="005B5922" w:rsidRPr="00172E44">
        <w:rPr>
          <w:rFonts w:cstheme="minorHAnsi"/>
          <w:color w:val="000000"/>
        </w:rPr>
        <w:t>National Institute of Health and Care Excellence (</w:t>
      </w:r>
      <w:r w:rsidR="001575E8" w:rsidRPr="00172E44">
        <w:rPr>
          <w:rFonts w:cstheme="minorHAnsi"/>
        </w:rPr>
        <w:t>NICE</w:t>
      </w:r>
      <w:r w:rsidR="005B5922" w:rsidRPr="00172E44">
        <w:rPr>
          <w:rFonts w:cstheme="minorHAnsi"/>
        </w:rPr>
        <w:t>)</w:t>
      </w:r>
      <w:r w:rsidR="001575E8" w:rsidRPr="00172E44">
        <w:rPr>
          <w:rFonts w:cstheme="minorHAnsi"/>
        </w:rPr>
        <w:t xml:space="preserve"> guidelines for smoking in secondary care (NICE, 2013). Implementation of smoke</w:t>
      </w:r>
      <w:r w:rsidR="008F7B52" w:rsidRPr="00172E44">
        <w:rPr>
          <w:rFonts w:cstheme="minorHAnsi"/>
        </w:rPr>
        <w:t>-</w:t>
      </w:r>
      <w:r w:rsidR="001575E8" w:rsidRPr="00172E44">
        <w:rPr>
          <w:rFonts w:cstheme="minorHAnsi"/>
        </w:rPr>
        <w:t xml:space="preserve">free policies </w:t>
      </w:r>
      <w:r w:rsidR="006A7966" w:rsidRPr="00172E44">
        <w:rPr>
          <w:rFonts w:cstheme="minorHAnsi"/>
        </w:rPr>
        <w:t xml:space="preserve">in mental health </w:t>
      </w:r>
      <w:r w:rsidR="00396C49" w:rsidRPr="00172E44">
        <w:rPr>
          <w:rFonts w:cstheme="minorHAnsi"/>
        </w:rPr>
        <w:t>setting</w:t>
      </w:r>
      <w:r w:rsidR="006A7966" w:rsidRPr="00172E44">
        <w:rPr>
          <w:rFonts w:cstheme="minorHAnsi"/>
        </w:rPr>
        <w:t xml:space="preserve">s </w:t>
      </w:r>
      <w:r w:rsidR="001575E8" w:rsidRPr="00172E44">
        <w:rPr>
          <w:rFonts w:cstheme="minorHAnsi"/>
        </w:rPr>
        <w:t>have attracted controversy (</w:t>
      </w:r>
      <w:r w:rsidR="008A3C9B" w:rsidRPr="00172E44">
        <w:rPr>
          <w:rFonts w:cstheme="minorHAnsi"/>
        </w:rPr>
        <w:t>Arnott et al. 2015</w:t>
      </w:r>
      <w:r w:rsidR="00E55E44" w:rsidRPr="00172E44">
        <w:rPr>
          <w:rFonts w:cstheme="minorHAnsi"/>
        </w:rPr>
        <w:t>; Campion et al. 2006</w:t>
      </w:r>
      <w:r w:rsidR="001575E8" w:rsidRPr="00172E44">
        <w:rPr>
          <w:rFonts w:cstheme="minorHAnsi"/>
        </w:rPr>
        <w:t>) and</w:t>
      </w:r>
      <w:r w:rsidR="00077116" w:rsidRPr="00172E44">
        <w:rPr>
          <w:rFonts w:cstheme="minorHAnsi"/>
        </w:rPr>
        <w:t xml:space="preserve"> </w:t>
      </w:r>
      <w:r w:rsidR="00733467" w:rsidRPr="00172E44">
        <w:rPr>
          <w:rFonts w:cstheme="minorHAnsi"/>
          <w:color w:val="1C1D1E"/>
          <w:shd w:val="clear" w:color="auto" w:fill="FFFFFF"/>
        </w:rPr>
        <w:t xml:space="preserve">some </w:t>
      </w:r>
      <w:r w:rsidR="00E10230" w:rsidRPr="00172E44">
        <w:rPr>
          <w:rFonts w:cstheme="minorHAnsi"/>
          <w:color w:val="1C1D1E"/>
          <w:shd w:val="clear" w:color="auto" w:fill="FFFFFF"/>
        </w:rPr>
        <w:t xml:space="preserve">staff </w:t>
      </w:r>
      <w:r w:rsidR="00733467" w:rsidRPr="00172E44">
        <w:rPr>
          <w:rFonts w:cstheme="minorHAnsi"/>
          <w:color w:val="1C1D1E"/>
          <w:shd w:val="clear" w:color="auto" w:fill="FFFFFF"/>
        </w:rPr>
        <w:t xml:space="preserve">have expressed concern that their </w:t>
      </w:r>
      <w:r w:rsidR="000735B9" w:rsidRPr="00172E44">
        <w:rPr>
          <w:rFonts w:cstheme="minorHAnsi"/>
          <w:color w:val="1C1D1E"/>
          <w:shd w:val="clear" w:color="auto" w:fill="FFFFFF"/>
        </w:rPr>
        <w:t>introduction</w:t>
      </w:r>
      <w:r w:rsidR="00077116" w:rsidRPr="00172E44">
        <w:rPr>
          <w:rFonts w:cstheme="minorHAnsi"/>
          <w:color w:val="1C1D1E"/>
          <w:shd w:val="clear" w:color="auto" w:fill="FFFFFF"/>
        </w:rPr>
        <w:t xml:space="preserve"> </w:t>
      </w:r>
      <w:r w:rsidR="00B164AE" w:rsidRPr="00172E44">
        <w:rPr>
          <w:rFonts w:cstheme="minorHAnsi"/>
          <w:color w:val="1C1D1E"/>
          <w:shd w:val="clear" w:color="auto" w:fill="FFFFFF"/>
        </w:rPr>
        <w:t>may</w:t>
      </w:r>
      <w:r w:rsidR="00077116" w:rsidRPr="00172E44">
        <w:rPr>
          <w:rFonts w:cstheme="minorHAnsi"/>
          <w:color w:val="1C1D1E"/>
          <w:shd w:val="clear" w:color="auto" w:fill="FFFFFF"/>
        </w:rPr>
        <w:t xml:space="preserve"> </w:t>
      </w:r>
      <w:r w:rsidR="00733467" w:rsidRPr="00172E44">
        <w:rPr>
          <w:rFonts w:cstheme="minorHAnsi"/>
          <w:color w:val="1C1D1E"/>
          <w:shd w:val="clear" w:color="auto" w:fill="FFFFFF"/>
        </w:rPr>
        <w:t>lead to increase</w:t>
      </w:r>
      <w:r w:rsidR="00B164AE" w:rsidRPr="00172E44">
        <w:rPr>
          <w:rFonts w:cstheme="minorHAnsi"/>
          <w:color w:val="1C1D1E"/>
          <w:shd w:val="clear" w:color="auto" w:fill="FFFFFF"/>
        </w:rPr>
        <w:t>d</w:t>
      </w:r>
      <w:r w:rsidR="00733467" w:rsidRPr="00172E44">
        <w:rPr>
          <w:rFonts w:cstheme="minorHAnsi"/>
          <w:color w:val="1C1D1E"/>
          <w:shd w:val="clear" w:color="auto" w:fill="FFFFFF"/>
        </w:rPr>
        <w:t xml:space="preserve"> violence (Dean et al. 2018; Hehir </w:t>
      </w:r>
      <w:r w:rsidR="00733467" w:rsidRPr="00172E44">
        <w:rPr>
          <w:rFonts w:cstheme="minorHAnsi"/>
          <w:iCs/>
          <w:color w:val="1C1D1E"/>
          <w:shd w:val="clear" w:color="auto" w:fill="FFFFFF"/>
        </w:rPr>
        <w:t>et al</w:t>
      </w:r>
      <w:r w:rsidR="00733467" w:rsidRPr="00172E44">
        <w:rPr>
          <w:rFonts w:cstheme="minorHAnsi"/>
          <w:color w:val="1C1D1E"/>
          <w:shd w:val="clear" w:color="auto" w:fill="FFFFFF"/>
        </w:rPr>
        <w:t>. </w:t>
      </w:r>
      <w:r w:rsidR="00733467" w:rsidRPr="00172E44">
        <w:rPr>
          <w:rStyle w:val="Hyperlink"/>
          <w:rFonts w:cstheme="minorHAnsi"/>
          <w:color w:val="auto"/>
          <w:u w:val="none"/>
        </w:rPr>
        <w:t>2013</w:t>
      </w:r>
      <w:r w:rsidR="00733467" w:rsidRPr="00172E44">
        <w:rPr>
          <w:rFonts w:cstheme="minorHAnsi"/>
          <w:color w:val="1C1D1E"/>
          <w:shd w:val="clear" w:color="auto" w:fill="FFFFFF"/>
        </w:rPr>
        <w:t xml:space="preserve">). </w:t>
      </w:r>
      <w:r w:rsidR="008647BC" w:rsidRPr="00172E44">
        <w:rPr>
          <w:rFonts w:cstheme="minorHAnsi"/>
        </w:rPr>
        <w:t xml:space="preserve">However, </w:t>
      </w:r>
      <w:r w:rsidR="008647BC" w:rsidRPr="00172E44">
        <w:rPr>
          <w:rFonts w:cstheme="minorHAnsi"/>
          <w:noProof/>
        </w:rPr>
        <w:t>n</w:t>
      </w:r>
      <w:r w:rsidR="00733467" w:rsidRPr="00172E44">
        <w:rPr>
          <w:rFonts w:cstheme="minorHAnsi"/>
          <w:noProof/>
        </w:rPr>
        <w:t>ine</w:t>
      </w:r>
      <w:r w:rsidR="00733467" w:rsidRPr="00172E44">
        <w:rPr>
          <w:rFonts w:cstheme="minorHAnsi"/>
        </w:rPr>
        <w:t xml:space="preserve"> out of 10 studies included in a systematic review by Lawn and Pols (2005) evaluating change</w:t>
      </w:r>
      <w:r w:rsidR="0091092A" w:rsidRPr="00172E44">
        <w:rPr>
          <w:rFonts w:cstheme="minorHAnsi"/>
        </w:rPr>
        <w:t>s</w:t>
      </w:r>
      <w:r w:rsidR="00733467" w:rsidRPr="00172E44">
        <w:rPr>
          <w:rFonts w:cstheme="minorHAnsi"/>
        </w:rPr>
        <w:t xml:space="preserve"> in violence following implementation of smoke-free policies found either no change or a decrease in violence</w:t>
      </w:r>
      <w:r w:rsidR="00B164AE" w:rsidRPr="00172E44">
        <w:rPr>
          <w:rFonts w:cstheme="minorHAnsi"/>
        </w:rPr>
        <w:t>.</w:t>
      </w:r>
      <w:r w:rsidR="00733467" w:rsidRPr="00172E44">
        <w:rPr>
          <w:rFonts w:cstheme="minorHAnsi"/>
        </w:rPr>
        <w:t xml:space="preserve"> A more recent systematic review reported that eight out of 11 studies found either no change or a reduction in verbal or physical violence post-policy implementation </w:t>
      </w:r>
      <w:r w:rsidR="00F07F3F" w:rsidRPr="00172E44">
        <w:rPr>
          <w:rFonts w:cstheme="minorHAnsi"/>
        </w:rPr>
        <w:t>(Spaducci et al. 201</w:t>
      </w:r>
      <w:r w:rsidR="002A76FE" w:rsidRPr="00172E44">
        <w:rPr>
          <w:rFonts w:cstheme="minorHAnsi"/>
        </w:rPr>
        <w:t>8</w:t>
      </w:r>
      <w:r w:rsidR="00F07F3F" w:rsidRPr="00172E44">
        <w:rPr>
          <w:rFonts w:cstheme="minorHAnsi"/>
        </w:rPr>
        <w:t>)</w:t>
      </w:r>
      <w:r w:rsidR="00905A41" w:rsidRPr="00172E44">
        <w:rPr>
          <w:rFonts w:cstheme="minorHAnsi"/>
        </w:rPr>
        <w:t>.</w:t>
      </w:r>
      <w:r w:rsidR="00C971DB" w:rsidRPr="00172E44">
        <w:rPr>
          <w:rFonts w:cstheme="minorHAnsi"/>
        </w:rPr>
        <w:t xml:space="preserve"> </w:t>
      </w:r>
      <w:r w:rsidR="00911B97" w:rsidRPr="00172E44">
        <w:rPr>
          <w:rFonts w:cstheme="minorHAnsi"/>
        </w:rPr>
        <w:t xml:space="preserve">We previously evaluated the effect of </w:t>
      </w:r>
      <w:r w:rsidR="00E237DF" w:rsidRPr="00172E44">
        <w:rPr>
          <w:rFonts w:cstheme="minorHAnsi"/>
        </w:rPr>
        <w:t>i</w:t>
      </w:r>
      <w:r w:rsidR="000735B9" w:rsidRPr="00172E44">
        <w:rPr>
          <w:rFonts w:cstheme="minorHAnsi"/>
        </w:rPr>
        <w:t>ntroducing</w:t>
      </w:r>
      <w:r w:rsidR="00911B97" w:rsidRPr="00172E44">
        <w:rPr>
          <w:rFonts w:cstheme="minorHAnsi"/>
        </w:rPr>
        <w:t xml:space="preserve"> a comprehensive smoke-free policy on physical violence across four </w:t>
      </w:r>
      <w:r w:rsidR="00396C49" w:rsidRPr="00172E44">
        <w:rPr>
          <w:rFonts w:cstheme="minorHAnsi"/>
        </w:rPr>
        <w:t xml:space="preserve">UK </w:t>
      </w:r>
      <w:r w:rsidR="00911B97" w:rsidRPr="00172E44">
        <w:rPr>
          <w:rFonts w:cstheme="minorHAnsi"/>
        </w:rPr>
        <w:t>NHS psychiatric hospitals using a time series design</w:t>
      </w:r>
      <w:r w:rsidR="00F07F3F" w:rsidRPr="00172E44">
        <w:rPr>
          <w:rFonts w:cstheme="minorHAnsi"/>
        </w:rPr>
        <w:t>,</w:t>
      </w:r>
      <w:r w:rsidR="00077116" w:rsidRPr="00172E44">
        <w:rPr>
          <w:rFonts w:cstheme="minorHAnsi"/>
        </w:rPr>
        <w:t xml:space="preserve"> </w:t>
      </w:r>
      <w:r w:rsidR="00911B97" w:rsidRPr="00172E44">
        <w:rPr>
          <w:rFonts w:cstheme="minorHAnsi"/>
        </w:rPr>
        <w:t xml:space="preserve">accounting for confounding variables that may </w:t>
      </w:r>
      <w:r w:rsidR="00911B97" w:rsidRPr="00172E44">
        <w:rPr>
          <w:rFonts w:cstheme="minorHAnsi"/>
          <w:shd w:val="clear" w:color="auto" w:fill="FFFFFF"/>
        </w:rPr>
        <w:t>have influenced rates of violence such as patient demographics and clinical characteristics (Robson et al</w:t>
      </w:r>
      <w:r w:rsidR="006A08D3" w:rsidRPr="00172E44">
        <w:rPr>
          <w:rFonts w:cstheme="minorHAnsi"/>
          <w:shd w:val="clear" w:color="auto" w:fill="FFFFFF"/>
        </w:rPr>
        <w:t>.</w:t>
      </w:r>
      <w:r w:rsidR="00911B97" w:rsidRPr="00172E44">
        <w:rPr>
          <w:rFonts w:cstheme="minorHAnsi"/>
          <w:shd w:val="clear" w:color="auto" w:fill="FFFFFF"/>
        </w:rPr>
        <w:t xml:space="preserve"> 2017)</w:t>
      </w:r>
      <w:r w:rsidR="00911B97" w:rsidRPr="00172E44">
        <w:rPr>
          <w:rFonts w:cstheme="minorHAnsi"/>
        </w:rPr>
        <w:t>. We identified a 47% reduction in physical violence towards staff and a 15% reduction in violence towards other patients in the 12 months after the policy was i</w:t>
      </w:r>
      <w:r w:rsidR="00077116" w:rsidRPr="00172E44">
        <w:rPr>
          <w:rFonts w:cstheme="minorHAnsi"/>
        </w:rPr>
        <w:t>ntroduced</w:t>
      </w:r>
      <w:r w:rsidR="00911B97" w:rsidRPr="00172E44">
        <w:rPr>
          <w:rFonts w:cstheme="minorHAnsi"/>
        </w:rPr>
        <w:t>, relative to the 30 months before.</w:t>
      </w:r>
    </w:p>
    <w:p w14:paraId="5C5F65B5" w14:textId="77777777" w:rsidR="00F41E38" w:rsidRPr="00172E44" w:rsidRDefault="00F41E38" w:rsidP="00C15783">
      <w:pPr>
        <w:spacing w:line="480" w:lineRule="auto"/>
        <w:rPr>
          <w:rFonts w:cstheme="minorHAnsi"/>
        </w:rPr>
      </w:pPr>
    </w:p>
    <w:p w14:paraId="52CDAD11" w14:textId="59153F05" w:rsidR="00865964" w:rsidRPr="00172E44" w:rsidRDefault="00733467" w:rsidP="00C15783">
      <w:pPr>
        <w:spacing w:line="480" w:lineRule="auto"/>
        <w:rPr>
          <w:rFonts w:cstheme="minorHAnsi"/>
        </w:rPr>
      </w:pPr>
      <w:r w:rsidRPr="00172E44">
        <w:rPr>
          <w:rFonts w:cstheme="minorHAnsi"/>
        </w:rPr>
        <w:lastRenderedPageBreak/>
        <w:t>Background</w:t>
      </w:r>
    </w:p>
    <w:p w14:paraId="377536A0" w14:textId="77777777" w:rsidR="00A2669A" w:rsidRPr="00172E44" w:rsidRDefault="00733467" w:rsidP="001C34D9">
      <w:pPr>
        <w:spacing w:line="480" w:lineRule="auto"/>
      </w:pPr>
      <w:r w:rsidRPr="00172E44" w:rsidDel="00733467">
        <w:rPr>
          <w:rFonts w:cstheme="minorHAnsi"/>
        </w:rPr>
        <w:t xml:space="preserve">Violence is common in inpatient mental health services; a meta-analysis of 35 studies including 23,972 inpatients from acute mental health wards found that almost </w:t>
      </w:r>
      <w:r w:rsidR="00396C49" w:rsidRPr="00172E44">
        <w:rPr>
          <w:rFonts w:cstheme="minorHAnsi"/>
        </w:rPr>
        <w:t>one</w:t>
      </w:r>
      <w:r w:rsidRPr="00172E44" w:rsidDel="00733467">
        <w:rPr>
          <w:rFonts w:cstheme="minorHAnsi"/>
        </w:rPr>
        <w:t xml:space="preserve"> in </w:t>
      </w:r>
      <w:r w:rsidR="00396C49" w:rsidRPr="00172E44">
        <w:rPr>
          <w:rFonts w:cstheme="minorHAnsi"/>
        </w:rPr>
        <w:t>five</w:t>
      </w:r>
      <w:r w:rsidRPr="00172E44" w:rsidDel="00733467">
        <w:rPr>
          <w:rFonts w:cstheme="minorHAnsi"/>
        </w:rPr>
        <w:t xml:space="preserve"> inpatients perpetrated at least one act of physical violence </w:t>
      </w:r>
      <w:r w:rsidR="00196032" w:rsidRPr="00172E44">
        <w:rPr>
          <w:rFonts w:cstheme="minorHAnsi"/>
        </w:rPr>
        <w:t xml:space="preserve">during hospitalisation </w:t>
      </w:r>
      <w:r w:rsidRPr="00172E44" w:rsidDel="00733467">
        <w:rPr>
          <w:rFonts w:cstheme="minorHAnsi"/>
        </w:rPr>
        <w:t xml:space="preserve">(Iozzino et al. 2015). This has physical and psychological consequences for staff including physical injuries, anxiety </w:t>
      </w:r>
      <w:r w:rsidRPr="00172E44" w:rsidDel="00733467">
        <w:rPr>
          <w:rFonts w:cstheme="minorHAnsi"/>
          <w:noProof/>
        </w:rPr>
        <w:t>and</w:t>
      </w:r>
      <w:r w:rsidRPr="00172E44" w:rsidDel="00733467">
        <w:rPr>
          <w:rFonts w:cstheme="minorHAnsi"/>
        </w:rPr>
        <w:t xml:space="preserve"> fear (Needham et al</w:t>
      </w:r>
      <w:r w:rsidRPr="00172E44" w:rsidDel="00733467">
        <w:rPr>
          <w:rFonts w:cstheme="minorHAnsi"/>
          <w:i/>
        </w:rPr>
        <w:t>.</w:t>
      </w:r>
      <w:r w:rsidRPr="00172E44" w:rsidDel="00733467">
        <w:rPr>
          <w:rFonts w:cstheme="minorHAnsi"/>
        </w:rPr>
        <w:t xml:space="preserve"> 2005), with some members of staff leaving the profession as a result (Richter </w:t>
      </w:r>
      <w:r w:rsidR="006A08D3" w:rsidRPr="00172E44">
        <w:rPr>
          <w:rFonts w:cstheme="minorHAnsi"/>
        </w:rPr>
        <w:t>&amp;</w:t>
      </w:r>
      <w:r w:rsidRPr="00172E44" w:rsidDel="00733467">
        <w:rPr>
          <w:rFonts w:cstheme="minorHAnsi"/>
        </w:rPr>
        <w:t xml:space="preserve"> Berger, 2006).</w:t>
      </w:r>
      <w:r w:rsidR="00F324FF" w:rsidRPr="00172E44">
        <w:rPr>
          <w:rFonts w:cstheme="minorHAnsi"/>
        </w:rPr>
        <w:t xml:space="preserve"> There is less research </w:t>
      </w:r>
      <w:r w:rsidR="00396C49" w:rsidRPr="00172E44">
        <w:rPr>
          <w:rFonts w:cstheme="minorHAnsi"/>
        </w:rPr>
        <w:t xml:space="preserve">on </w:t>
      </w:r>
      <w:r w:rsidR="00F324FF" w:rsidRPr="00172E44">
        <w:rPr>
          <w:rFonts w:cstheme="minorHAnsi"/>
        </w:rPr>
        <w:t xml:space="preserve">patient perspectives of being involved in violence during </w:t>
      </w:r>
      <w:r w:rsidR="007F755A" w:rsidRPr="00172E44">
        <w:rPr>
          <w:rFonts w:cstheme="minorHAnsi"/>
        </w:rPr>
        <w:t>hospitalisation</w:t>
      </w:r>
      <w:r w:rsidR="00F324FF" w:rsidRPr="00172E44">
        <w:rPr>
          <w:rFonts w:cstheme="minorHAnsi"/>
        </w:rPr>
        <w:t xml:space="preserve"> (</w:t>
      </w:r>
      <w:r w:rsidR="00F324FF" w:rsidRPr="00172E44">
        <w:t>Ilkiw-Lavalle</w:t>
      </w:r>
      <w:r w:rsidR="00C971DB" w:rsidRPr="00172E44">
        <w:t xml:space="preserve"> </w:t>
      </w:r>
      <w:r w:rsidR="00DA52C8" w:rsidRPr="00172E44">
        <w:t>&amp;</w:t>
      </w:r>
      <w:r w:rsidR="00C971DB" w:rsidRPr="00172E44">
        <w:t xml:space="preserve"> </w:t>
      </w:r>
      <w:r w:rsidR="00F324FF" w:rsidRPr="00172E44">
        <w:t>Grenyer</w:t>
      </w:r>
      <w:r w:rsidR="00F949EA" w:rsidRPr="00172E44">
        <w:t>, 2003</w:t>
      </w:r>
      <w:r w:rsidR="00F324FF" w:rsidRPr="00172E44">
        <w:t xml:space="preserve">). </w:t>
      </w:r>
    </w:p>
    <w:p w14:paraId="26BD5C9D" w14:textId="0D254991" w:rsidR="002D6139" w:rsidRPr="00172E44" w:rsidRDefault="00A2669A" w:rsidP="001C34D9">
      <w:pPr>
        <w:spacing w:line="480" w:lineRule="auto"/>
        <w:rPr>
          <w:rFonts w:cstheme="minorHAnsi"/>
        </w:rPr>
      </w:pPr>
      <w:r w:rsidRPr="00172E44">
        <w:rPr>
          <w:rFonts w:cstheme="minorHAnsi"/>
        </w:rPr>
        <w:t>T</w:t>
      </w:r>
      <w:r w:rsidR="00733467" w:rsidRPr="00172E44">
        <w:rPr>
          <w:rFonts w:cstheme="minorHAnsi"/>
        </w:rPr>
        <w:t xml:space="preserve">he antecedents </w:t>
      </w:r>
      <w:r w:rsidR="00AE4427" w:rsidRPr="00172E44">
        <w:rPr>
          <w:rFonts w:cstheme="minorHAnsi"/>
        </w:rPr>
        <w:t>of violence</w:t>
      </w:r>
      <w:r w:rsidR="005E4402" w:rsidRPr="00172E44">
        <w:rPr>
          <w:rFonts w:cstheme="minorHAnsi"/>
        </w:rPr>
        <w:t xml:space="preserve"> and containment </w:t>
      </w:r>
      <w:r w:rsidR="00C1565C" w:rsidRPr="00172E44">
        <w:rPr>
          <w:rFonts w:cstheme="minorHAnsi"/>
        </w:rPr>
        <w:t>interventions</w:t>
      </w:r>
      <w:r w:rsidR="00266D8E" w:rsidRPr="00172E44">
        <w:rPr>
          <w:rFonts w:cstheme="minorHAnsi"/>
        </w:rPr>
        <w:t xml:space="preserve"> </w:t>
      </w:r>
      <w:r w:rsidR="000735B9" w:rsidRPr="00172E44">
        <w:rPr>
          <w:color w:val="000000"/>
        </w:rPr>
        <w:t>in</w:t>
      </w:r>
      <w:r w:rsidR="00266D8E" w:rsidRPr="00172E44">
        <w:rPr>
          <w:color w:val="000000"/>
          <w:sz w:val="24"/>
        </w:rPr>
        <w:t xml:space="preserve"> </w:t>
      </w:r>
      <w:r w:rsidR="00AE4427" w:rsidRPr="00172E44">
        <w:rPr>
          <w:rFonts w:cstheme="minorHAnsi"/>
        </w:rPr>
        <w:t>inpatient mental health settings</w:t>
      </w:r>
      <w:r w:rsidRPr="00172E44">
        <w:rPr>
          <w:rFonts w:cstheme="minorHAnsi"/>
        </w:rPr>
        <w:t xml:space="preserve"> have been extensively researched</w:t>
      </w:r>
      <w:r w:rsidR="00FF56E6" w:rsidRPr="00172E44">
        <w:rPr>
          <w:rFonts w:cstheme="minorHAnsi"/>
        </w:rPr>
        <w:t>,</w:t>
      </w:r>
      <w:r w:rsidR="008F7B52" w:rsidRPr="00172E44">
        <w:rPr>
          <w:rFonts w:cstheme="minorHAnsi"/>
        </w:rPr>
        <w:t xml:space="preserve"> however </w:t>
      </w:r>
      <w:r w:rsidR="002D6139" w:rsidRPr="00172E44">
        <w:rPr>
          <w:rFonts w:cstheme="minorHAnsi"/>
        </w:rPr>
        <w:t>a detailed</w:t>
      </w:r>
      <w:r w:rsidR="008F7B52" w:rsidRPr="00172E44">
        <w:rPr>
          <w:rFonts w:cstheme="minorHAnsi"/>
        </w:rPr>
        <w:t xml:space="preserve"> examination of the </w:t>
      </w:r>
      <w:r w:rsidR="002D6139" w:rsidRPr="00172E44">
        <w:rPr>
          <w:rFonts w:cstheme="minorHAnsi"/>
        </w:rPr>
        <w:t xml:space="preserve">antecedents and containment </w:t>
      </w:r>
      <w:r w:rsidR="008F7B52" w:rsidRPr="00172E44">
        <w:rPr>
          <w:rFonts w:cstheme="minorHAnsi"/>
        </w:rPr>
        <w:t>of violence in relation to smoking and smoke-free policies</w:t>
      </w:r>
      <w:r w:rsidR="002D6139" w:rsidRPr="00172E44">
        <w:rPr>
          <w:rFonts w:cstheme="minorHAnsi"/>
        </w:rPr>
        <w:t xml:space="preserve"> is missing from the literature</w:t>
      </w:r>
      <w:r w:rsidR="00733467" w:rsidRPr="00172E44">
        <w:rPr>
          <w:rFonts w:cstheme="minorHAnsi"/>
        </w:rPr>
        <w:t>.</w:t>
      </w:r>
      <w:r w:rsidR="00266D8E" w:rsidRPr="00172E44">
        <w:rPr>
          <w:rFonts w:cstheme="minorHAnsi"/>
        </w:rPr>
        <w:t xml:space="preserve"> </w:t>
      </w:r>
      <w:r w:rsidR="00190A4F" w:rsidRPr="00172E44">
        <w:rPr>
          <w:rFonts w:cstheme="minorHAnsi"/>
          <w:shd w:val="clear" w:color="auto" w:fill="FFFFFF"/>
        </w:rPr>
        <w:t>A meta-analysis of 71 studies by Papadopolous et al</w:t>
      </w:r>
      <w:r w:rsidR="006A08D3" w:rsidRPr="00172E44">
        <w:rPr>
          <w:rFonts w:cstheme="minorHAnsi"/>
          <w:shd w:val="clear" w:color="auto" w:fill="FFFFFF"/>
        </w:rPr>
        <w:t>.</w:t>
      </w:r>
      <w:r w:rsidR="00266D8E" w:rsidRPr="00172E44">
        <w:rPr>
          <w:rFonts w:cstheme="minorHAnsi"/>
          <w:shd w:val="clear" w:color="auto" w:fill="FFFFFF"/>
        </w:rPr>
        <w:t xml:space="preserve"> </w:t>
      </w:r>
      <w:r w:rsidR="0033729A" w:rsidRPr="00172E44">
        <w:rPr>
          <w:rFonts w:cstheme="minorHAnsi"/>
          <w:shd w:val="clear" w:color="auto" w:fill="FFFFFF"/>
        </w:rPr>
        <w:t>(</w:t>
      </w:r>
      <w:r w:rsidR="00190A4F" w:rsidRPr="00172E44">
        <w:rPr>
          <w:rFonts w:cstheme="minorHAnsi"/>
          <w:shd w:val="clear" w:color="auto" w:fill="FFFFFF"/>
        </w:rPr>
        <w:t>2012</w:t>
      </w:r>
      <w:r w:rsidR="0033729A" w:rsidRPr="00172E44">
        <w:rPr>
          <w:rFonts w:cstheme="minorHAnsi"/>
          <w:shd w:val="clear" w:color="auto" w:fill="FFFFFF"/>
        </w:rPr>
        <w:t>)</w:t>
      </w:r>
      <w:r w:rsidR="00190A4F" w:rsidRPr="00172E44">
        <w:rPr>
          <w:rFonts w:cstheme="minorHAnsi"/>
          <w:shd w:val="clear" w:color="auto" w:fill="FFFFFF"/>
        </w:rPr>
        <w:t xml:space="preserve">, of the antecedents of violence in psychiatric in-patient settings found that </w:t>
      </w:r>
      <w:r w:rsidR="00190A4F" w:rsidRPr="00172E44">
        <w:rPr>
          <w:rFonts w:cstheme="minorHAnsi"/>
        </w:rPr>
        <w:t>patient-patient interactions, e.g. patients intruding physically or psychologically into another’s space and staff-patient interactions, such as staff limiting a patient’s freedom</w:t>
      </w:r>
      <w:r w:rsidR="002447C7" w:rsidRPr="00172E44">
        <w:rPr>
          <w:rFonts w:cstheme="minorHAnsi"/>
        </w:rPr>
        <w:t>,</w:t>
      </w:r>
      <w:r w:rsidR="00190A4F" w:rsidRPr="00172E44">
        <w:rPr>
          <w:rFonts w:cstheme="minorHAnsi"/>
        </w:rPr>
        <w:t xml:space="preserve"> were the most common causes of violence</w:t>
      </w:r>
      <w:r w:rsidR="007F755A" w:rsidRPr="00172E44">
        <w:rPr>
          <w:rFonts w:cstheme="minorHAnsi"/>
        </w:rPr>
        <w:t>.</w:t>
      </w:r>
      <w:r w:rsidR="00266D8E" w:rsidRPr="00172E44">
        <w:rPr>
          <w:rFonts w:cstheme="minorHAnsi"/>
        </w:rPr>
        <w:t xml:space="preserve"> </w:t>
      </w:r>
      <w:r w:rsidR="00733467" w:rsidRPr="00172E44">
        <w:rPr>
          <w:rFonts w:cstheme="minorHAnsi"/>
        </w:rPr>
        <w:t xml:space="preserve">Patient demographic and clinical characteristics </w:t>
      </w:r>
      <w:r w:rsidR="00976AE4" w:rsidRPr="00172E44">
        <w:rPr>
          <w:rFonts w:cstheme="minorHAnsi"/>
          <w:noProof/>
        </w:rPr>
        <w:t>that</w:t>
      </w:r>
      <w:r w:rsidR="00976AE4" w:rsidRPr="00172E44">
        <w:rPr>
          <w:rFonts w:cstheme="minorHAnsi"/>
        </w:rPr>
        <w:t xml:space="preserve"> are</w:t>
      </w:r>
      <w:r w:rsidR="00733467" w:rsidRPr="00172E44">
        <w:rPr>
          <w:rFonts w:cstheme="minorHAnsi"/>
        </w:rPr>
        <w:t xml:space="preserve"> predict</w:t>
      </w:r>
      <w:r w:rsidR="00884008" w:rsidRPr="00172E44">
        <w:rPr>
          <w:rFonts w:cstheme="minorHAnsi"/>
        </w:rPr>
        <w:t xml:space="preserve">ive </w:t>
      </w:r>
      <w:r w:rsidR="00733467" w:rsidRPr="00172E44">
        <w:rPr>
          <w:rFonts w:cstheme="minorHAnsi"/>
        </w:rPr>
        <w:t xml:space="preserve">of violence on mental health wards include being of a younger age, male, having a diagnosis of </w:t>
      </w:r>
      <w:r w:rsidR="00FE50D2" w:rsidRPr="00172E44">
        <w:rPr>
          <w:rFonts w:cstheme="minorHAnsi"/>
        </w:rPr>
        <w:t>Schizophrenia,</w:t>
      </w:r>
      <w:r w:rsidR="00266D8E" w:rsidRPr="00172E44">
        <w:rPr>
          <w:rFonts w:cstheme="minorHAnsi"/>
        </w:rPr>
        <w:t xml:space="preserve"> </w:t>
      </w:r>
      <w:r w:rsidR="00733467" w:rsidRPr="00172E44">
        <w:rPr>
          <w:rFonts w:cstheme="minorHAnsi"/>
        </w:rPr>
        <w:t xml:space="preserve">prior history of violence and previous illicit drug use (Dack et al. 2013). Containment interventions </w:t>
      </w:r>
      <w:r w:rsidR="00AB2743" w:rsidRPr="00172E44">
        <w:rPr>
          <w:rFonts w:cstheme="minorHAnsi"/>
          <w:noProof/>
        </w:rPr>
        <w:t>frequently</w:t>
      </w:r>
      <w:r w:rsidR="00266D8E" w:rsidRPr="00172E44">
        <w:rPr>
          <w:rFonts w:cstheme="minorHAnsi"/>
          <w:noProof/>
        </w:rPr>
        <w:t xml:space="preserve"> </w:t>
      </w:r>
      <w:r w:rsidR="007C7B28" w:rsidRPr="00172E44">
        <w:rPr>
          <w:rFonts w:cstheme="minorHAnsi"/>
        </w:rPr>
        <w:t>u</w:t>
      </w:r>
      <w:r w:rsidR="00884008" w:rsidRPr="00172E44">
        <w:rPr>
          <w:rFonts w:cstheme="minorHAnsi"/>
        </w:rPr>
        <w:t xml:space="preserve">sed by staff </w:t>
      </w:r>
      <w:r w:rsidR="00733467" w:rsidRPr="00172E44">
        <w:rPr>
          <w:rFonts w:cstheme="minorHAnsi"/>
        </w:rPr>
        <w:t>to manage violence, include the use of Pro Re Nata (PRN) medication, (Stewart et al. 2012)</w:t>
      </w:r>
      <w:r w:rsidR="00396C49" w:rsidRPr="00172E44">
        <w:rPr>
          <w:rFonts w:cstheme="minorHAnsi"/>
        </w:rPr>
        <w:t>,</w:t>
      </w:r>
      <w:r w:rsidR="00733467" w:rsidRPr="00172E44">
        <w:rPr>
          <w:rFonts w:cstheme="minorHAnsi"/>
        </w:rPr>
        <w:t xml:space="preserve"> increased observation (Bowers et al. 2004), restraint (Stewart et al. 2009) and seclusion (Ross</w:t>
      </w:r>
      <w:r w:rsidR="006A08D3" w:rsidRPr="00172E44">
        <w:rPr>
          <w:rFonts w:cstheme="minorHAnsi"/>
        </w:rPr>
        <w:t xml:space="preserve"> et al.</w:t>
      </w:r>
      <w:r w:rsidR="00733467" w:rsidRPr="00172E44">
        <w:rPr>
          <w:rFonts w:cstheme="minorHAnsi"/>
        </w:rPr>
        <w:t xml:space="preserve"> 2012).</w:t>
      </w:r>
      <w:r w:rsidR="002D6139" w:rsidRPr="00172E44">
        <w:rPr>
          <w:rFonts w:cstheme="minorHAnsi"/>
        </w:rPr>
        <w:t xml:space="preserve"> Previous studies suggest </w:t>
      </w:r>
      <w:r w:rsidR="002D6139" w:rsidRPr="00172E44">
        <w:rPr>
          <w:rFonts w:cstheme="minorHAnsi"/>
          <w:noProof/>
        </w:rPr>
        <w:t>t</w:t>
      </w:r>
      <w:r w:rsidR="00733467" w:rsidRPr="00172E44">
        <w:rPr>
          <w:rFonts w:cstheme="minorHAnsi"/>
        </w:rPr>
        <w:t>he antecedents of smoking-related violence in the context of implementing a comprehensive smoke-free policy include staff denying a patient’s request to smoke</w:t>
      </w:r>
      <w:r w:rsidR="00107784" w:rsidRPr="00172E44">
        <w:rPr>
          <w:rFonts w:cstheme="minorHAnsi"/>
        </w:rPr>
        <w:t xml:space="preserve"> and restricting access</w:t>
      </w:r>
      <w:r w:rsidR="00733467" w:rsidRPr="00172E44">
        <w:rPr>
          <w:rFonts w:cstheme="minorHAnsi"/>
        </w:rPr>
        <w:t xml:space="preserve"> to cigarettes</w:t>
      </w:r>
      <w:r w:rsidR="00396C49" w:rsidRPr="00172E44">
        <w:rPr>
          <w:rFonts w:cstheme="minorHAnsi"/>
        </w:rPr>
        <w:t>; h</w:t>
      </w:r>
      <w:r w:rsidR="002D6139" w:rsidRPr="00172E44">
        <w:rPr>
          <w:rFonts w:cstheme="minorHAnsi"/>
        </w:rPr>
        <w:t>owever</w:t>
      </w:r>
      <w:r w:rsidR="00396C49" w:rsidRPr="00172E44">
        <w:rPr>
          <w:rFonts w:cstheme="minorHAnsi"/>
        </w:rPr>
        <w:t xml:space="preserve">, </w:t>
      </w:r>
      <w:r w:rsidR="002D6139" w:rsidRPr="00172E44">
        <w:rPr>
          <w:rFonts w:cstheme="minorHAnsi"/>
        </w:rPr>
        <w:t xml:space="preserve">descriptive accounts </w:t>
      </w:r>
      <w:r w:rsidR="00EC7D75" w:rsidRPr="00172E44">
        <w:rPr>
          <w:rFonts w:cstheme="minorHAnsi"/>
        </w:rPr>
        <w:t>of staff interaction</w:t>
      </w:r>
      <w:r w:rsidR="007F755A" w:rsidRPr="00172E44">
        <w:rPr>
          <w:rFonts w:cstheme="minorHAnsi"/>
        </w:rPr>
        <w:t>s</w:t>
      </w:r>
      <w:r w:rsidR="00EC7D75" w:rsidRPr="00172E44">
        <w:rPr>
          <w:rFonts w:cstheme="minorHAnsi"/>
        </w:rPr>
        <w:t xml:space="preserve"> with patient</w:t>
      </w:r>
      <w:r w:rsidR="007F755A" w:rsidRPr="00172E44">
        <w:rPr>
          <w:rFonts w:cstheme="minorHAnsi"/>
        </w:rPr>
        <w:t>s</w:t>
      </w:r>
      <w:r w:rsidR="00266D8E" w:rsidRPr="00172E44">
        <w:rPr>
          <w:rFonts w:cstheme="minorHAnsi"/>
        </w:rPr>
        <w:t xml:space="preserve"> </w:t>
      </w:r>
      <w:r w:rsidR="00ED228A" w:rsidRPr="00172E44">
        <w:rPr>
          <w:rFonts w:cstheme="minorHAnsi"/>
        </w:rPr>
        <w:t xml:space="preserve">before the violence occurred </w:t>
      </w:r>
      <w:r w:rsidR="00733467" w:rsidRPr="00172E44">
        <w:rPr>
          <w:rFonts w:cstheme="minorHAnsi"/>
        </w:rPr>
        <w:t>and</w:t>
      </w:r>
      <w:r w:rsidR="00266D8E" w:rsidRPr="00172E44">
        <w:rPr>
          <w:rFonts w:cstheme="minorHAnsi"/>
        </w:rPr>
        <w:t xml:space="preserve"> </w:t>
      </w:r>
      <w:r w:rsidR="007F755A" w:rsidRPr="00172E44">
        <w:rPr>
          <w:rFonts w:cstheme="minorHAnsi"/>
        </w:rPr>
        <w:t>containment interventions used</w:t>
      </w:r>
      <w:r w:rsidR="00271582" w:rsidRPr="00172E44">
        <w:rPr>
          <w:rFonts w:cstheme="minorHAnsi"/>
        </w:rPr>
        <w:t xml:space="preserve"> to manage these violent incidents</w:t>
      </w:r>
      <w:r w:rsidR="00266D8E" w:rsidRPr="00172E44">
        <w:rPr>
          <w:rFonts w:cstheme="minorHAnsi"/>
        </w:rPr>
        <w:t xml:space="preserve"> </w:t>
      </w:r>
      <w:r w:rsidR="007F755A" w:rsidRPr="00172E44">
        <w:rPr>
          <w:rFonts w:cstheme="minorHAnsi"/>
          <w:noProof/>
        </w:rPr>
        <w:t>were</w:t>
      </w:r>
      <w:r w:rsidR="00266D8E" w:rsidRPr="00172E44">
        <w:rPr>
          <w:rFonts w:cstheme="minorHAnsi"/>
          <w:noProof/>
        </w:rPr>
        <w:t xml:space="preserve"> </w:t>
      </w:r>
      <w:r w:rsidR="002D6139" w:rsidRPr="00172E44">
        <w:rPr>
          <w:rFonts w:cstheme="minorHAnsi"/>
        </w:rPr>
        <w:t>missing</w:t>
      </w:r>
      <w:r w:rsidR="00266D8E" w:rsidRPr="00172E44">
        <w:rPr>
          <w:rFonts w:cstheme="minorHAnsi"/>
        </w:rPr>
        <w:t xml:space="preserve"> </w:t>
      </w:r>
      <w:r w:rsidR="002D6139" w:rsidRPr="00172E44">
        <w:rPr>
          <w:rFonts w:cstheme="minorHAnsi"/>
        </w:rPr>
        <w:t>(Campion et al</w:t>
      </w:r>
      <w:r w:rsidR="006A08D3" w:rsidRPr="00172E44">
        <w:rPr>
          <w:rFonts w:cstheme="minorHAnsi"/>
        </w:rPr>
        <w:t>.</w:t>
      </w:r>
      <w:r w:rsidR="002D6139" w:rsidRPr="00172E44">
        <w:rPr>
          <w:rFonts w:cstheme="minorHAnsi"/>
        </w:rPr>
        <w:t xml:space="preserve"> 2008</w:t>
      </w:r>
      <w:r w:rsidR="00B478B9" w:rsidRPr="00172E44">
        <w:rPr>
          <w:rFonts w:cstheme="minorHAnsi"/>
        </w:rPr>
        <w:t>;</w:t>
      </w:r>
      <w:r w:rsidR="00A65B07" w:rsidRPr="00172E44">
        <w:rPr>
          <w:rFonts w:cstheme="minorHAnsi"/>
        </w:rPr>
        <w:t xml:space="preserve"> </w:t>
      </w:r>
      <w:r w:rsidR="002D6139" w:rsidRPr="00172E44">
        <w:rPr>
          <w:rFonts w:cstheme="minorHAnsi"/>
        </w:rPr>
        <w:t>Huddlestone et al</w:t>
      </w:r>
      <w:r w:rsidR="006A08D3" w:rsidRPr="00172E44">
        <w:rPr>
          <w:rFonts w:cstheme="minorHAnsi"/>
        </w:rPr>
        <w:t>.</w:t>
      </w:r>
      <w:r w:rsidR="002D6139" w:rsidRPr="00172E44">
        <w:rPr>
          <w:rFonts w:cstheme="minorHAnsi"/>
        </w:rPr>
        <w:t xml:space="preserve"> 2018). </w:t>
      </w:r>
      <w:r w:rsidR="006D23C7" w:rsidRPr="00172E44">
        <w:rPr>
          <w:rFonts w:cstheme="minorHAnsi"/>
        </w:rPr>
        <w:t xml:space="preserve">Previous research </w:t>
      </w:r>
      <w:r w:rsidR="007F6830" w:rsidRPr="00172E44">
        <w:rPr>
          <w:rFonts w:cstheme="minorHAnsi"/>
        </w:rPr>
        <w:t>ha</w:t>
      </w:r>
      <w:r w:rsidR="005175C2" w:rsidRPr="00172E44">
        <w:rPr>
          <w:rFonts w:cstheme="minorHAnsi"/>
        </w:rPr>
        <w:t>s</w:t>
      </w:r>
      <w:r w:rsidR="007F6830" w:rsidRPr="00172E44">
        <w:rPr>
          <w:rFonts w:cstheme="minorHAnsi"/>
        </w:rPr>
        <w:t xml:space="preserve"> described the </w:t>
      </w:r>
      <w:r w:rsidR="000D39C3" w:rsidRPr="00172E44">
        <w:rPr>
          <w:rFonts w:cstheme="minorHAnsi"/>
        </w:rPr>
        <w:t>type</w:t>
      </w:r>
      <w:r w:rsidR="005127D7" w:rsidRPr="00172E44">
        <w:rPr>
          <w:rFonts w:cstheme="minorHAnsi"/>
        </w:rPr>
        <w:t>s</w:t>
      </w:r>
      <w:r w:rsidR="000D39C3" w:rsidRPr="00172E44">
        <w:rPr>
          <w:rFonts w:cstheme="minorHAnsi"/>
        </w:rPr>
        <w:t xml:space="preserve"> of injuries</w:t>
      </w:r>
      <w:r w:rsidR="007F6830" w:rsidRPr="00172E44">
        <w:rPr>
          <w:rFonts w:cstheme="minorHAnsi"/>
        </w:rPr>
        <w:t xml:space="preserve"> sustained</w:t>
      </w:r>
      <w:r w:rsidR="00D56FEE" w:rsidRPr="00172E44">
        <w:rPr>
          <w:rFonts w:cstheme="minorHAnsi"/>
        </w:rPr>
        <w:t xml:space="preserve"> during violent incidents in inpatient wards</w:t>
      </w:r>
      <w:r w:rsidR="00266D8E" w:rsidRPr="00172E44">
        <w:rPr>
          <w:rFonts w:cstheme="minorHAnsi"/>
        </w:rPr>
        <w:t xml:space="preserve"> </w:t>
      </w:r>
      <w:r w:rsidR="000D39C3" w:rsidRPr="00172E44">
        <w:rPr>
          <w:rFonts w:cstheme="minorHAnsi"/>
        </w:rPr>
        <w:t>(Renwick et al. 2016)</w:t>
      </w:r>
      <w:r w:rsidR="00601843" w:rsidRPr="00172E44">
        <w:rPr>
          <w:rFonts w:cstheme="minorHAnsi"/>
        </w:rPr>
        <w:t>, but not in the context of smoking-related violence</w:t>
      </w:r>
      <w:r w:rsidR="00266D8E" w:rsidRPr="00172E44">
        <w:rPr>
          <w:rFonts w:cstheme="minorHAnsi"/>
        </w:rPr>
        <w:t>.</w:t>
      </w:r>
      <w:r w:rsidR="00601843" w:rsidRPr="00172E44">
        <w:rPr>
          <w:rFonts w:cstheme="minorHAnsi"/>
        </w:rPr>
        <w:t xml:space="preserve"> </w:t>
      </w:r>
      <w:r w:rsidR="005175C2" w:rsidRPr="00172E44">
        <w:rPr>
          <w:rFonts w:cstheme="minorHAnsi"/>
        </w:rPr>
        <w:t xml:space="preserve">The latter is important </w:t>
      </w:r>
      <w:r w:rsidR="004666ED" w:rsidRPr="00172E44">
        <w:rPr>
          <w:rFonts w:cstheme="minorHAnsi"/>
        </w:rPr>
        <w:t xml:space="preserve">in order </w:t>
      </w:r>
      <w:r w:rsidR="005175C2" w:rsidRPr="00172E44">
        <w:rPr>
          <w:rFonts w:cstheme="minorHAnsi"/>
        </w:rPr>
        <w:t>to</w:t>
      </w:r>
      <w:r w:rsidR="00266D8E" w:rsidRPr="00172E44">
        <w:rPr>
          <w:rFonts w:cstheme="minorHAnsi"/>
        </w:rPr>
        <w:t xml:space="preserve"> </w:t>
      </w:r>
      <w:r w:rsidR="00B43001" w:rsidRPr="00172E44">
        <w:rPr>
          <w:rFonts w:cstheme="minorHAnsi"/>
        </w:rPr>
        <w:t>assess the severity of any in</w:t>
      </w:r>
      <w:r w:rsidR="007B00B1" w:rsidRPr="00172E44">
        <w:rPr>
          <w:rFonts w:cstheme="minorHAnsi"/>
        </w:rPr>
        <w:t>jurie</w:t>
      </w:r>
      <w:r w:rsidR="00B43001" w:rsidRPr="00172E44">
        <w:rPr>
          <w:rFonts w:cstheme="minorHAnsi"/>
        </w:rPr>
        <w:t xml:space="preserve">s in relation to smoke-free </w:t>
      </w:r>
      <w:r w:rsidR="004666ED" w:rsidRPr="00172E44">
        <w:rPr>
          <w:rFonts w:cstheme="minorHAnsi"/>
        </w:rPr>
        <w:t>policy implementation.</w:t>
      </w:r>
    </w:p>
    <w:p w14:paraId="4996A743" w14:textId="5AFDBEC8" w:rsidR="00C971DB" w:rsidRPr="00172E44" w:rsidRDefault="00911B97" w:rsidP="00C15783">
      <w:pPr>
        <w:spacing w:line="480" w:lineRule="auto"/>
        <w:rPr>
          <w:rFonts w:cstheme="minorHAnsi"/>
        </w:rPr>
      </w:pPr>
      <w:r w:rsidRPr="00172E44">
        <w:rPr>
          <w:rFonts w:cstheme="minorHAnsi"/>
        </w:rPr>
        <w:t>In our prior study, p</w:t>
      </w:r>
      <w:r w:rsidR="002D6139" w:rsidRPr="00172E44">
        <w:rPr>
          <w:rFonts w:cstheme="minorHAnsi"/>
        </w:rPr>
        <w:t xml:space="preserve">hysical </w:t>
      </w:r>
      <w:r w:rsidR="00F152CD" w:rsidRPr="00172E44">
        <w:rPr>
          <w:rFonts w:cstheme="minorHAnsi"/>
        </w:rPr>
        <w:t>v</w:t>
      </w:r>
      <w:r w:rsidR="00733467" w:rsidRPr="00172E44">
        <w:rPr>
          <w:rFonts w:cstheme="minorHAnsi"/>
        </w:rPr>
        <w:t>iolence related to smoking accounted for less than 5% of the total number of incidents (Robson et al</w:t>
      </w:r>
      <w:r w:rsidR="00733467" w:rsidRPr="00172E44">
        <w:rPr>
          <w:rFonts w:cstheme="minorHAnsi"/>
          <w:i/>
        </w:rPr>
        <w:t>.</w:t>
      </w:r>
      <w:r w:rsidR="00733467" w:rsidRPr="00172E44">
        <w:rPr>
          <w:rFonts w:cstheme="minorHAnsi"/>
        </w:rPr>
        <w:t xml:space="preserve"> 2017)</w:t>
      </w:r>
      <w:r w:rsidR="005B5922" w:rsidRPr="00172E44">
        <w:rPr>
          <w:rFonts w:cstheme="minorHAnsi"/>
        </w:rPr>
        <w:t xml:space="preserve">; </w:t>
      </w:r>
      <w:r w:rsidR="002D6139" w:rsidRPr="00172E44">
        <w:rPr>
          <w:rFonts w:cstheme="minorHAnsi"/>
        </w:rPr>
        <w:t xml:space="preserve">a more detailed </w:t>
      </w:r>
      <w:r w:rsidR="002D6139" w:rsidRPr="00172E44">
        <w:rPr>
          <w:rFonts w:cstheme="minorHAnsi"/>
          <w:noProof/>
        </w:rPr>
        <w:t xml:space="preserve">examination </w:t>
      </w:r>
      <w:r w:rsidR="001C34D9" w:rsidRPr="00172E44">
        <w:rPr>
          <w:rFonts w:cstheme="minorHAnsi"/>
        </w:rPr>
        <w:t xml:space="preserve">about why </w:t>
      </w:r>
      <w:r w:rsidR="001C34D9" w:rsidRPr="00172E44">
        <w:rPr>
          <w:rFonts w:cstheme="minorHAnsi"/>
          <w:noProof/>
        </w:rPr>
        <w:t>smoking</w:t>
      </w:r>
      <w:r w:rsidR="005E4402" w:rsidRPr="00172E44">
        <w:rPr>
          <w:rFonts w:cstheme="minorHAnsi"/>
          <w:noProof/>
        </w:rPr>
        <w:t>-</w:t>
      </w:r>
      <w:r w:rsidR="001C34D9" w:rsidRPr="00172E44">
        <w:rPr>
          <w:rFonts w:cstheme="minorHAnsi"/>
          <w:noProof/>
        </w:rPr>
        <w:t>related</w:t>
      </w:r>
      <w:r w:rsidR="00266D8E" w:rsidRPr="00172E44">
        <w:rPr>
          <w:rFonts w:cstheme="minorHAnsi"/>
          <w:noProof/>
        </w:rPr>
        <w:t xml:space="preserve"> </w:t>
      </w:r>
      <w:r w:rsidR="003825B5" w:rsidRPr="00172E44">
        <w:rPr>
          <w:rFonts w:cstheme="minorHAnsi"/>
        </w:rPr>
        <w:t xml:space="preserve">physical </w:t>
      </w:r>
      <w:r w:rsidR="001C34D9" w:rsidRPr="00172E44">
        <w:rPr>
          <w:rFonts w:cstheme="minorHAnsi"/>
        </w:rPr>
        <w:t xml:space="preserve">violence occurs and how it is managed </w:t>
      </w:r>
      <w:r w:rsidR="00266D8E" w:rsidRPr="00172E44">
        <w:rPr>
          <w:rFonts w:cstheme="minorHAnsi"/>
        </w:rPr>
        <w:t>may</w:t>
      </w:r>
      <w:r w:rsidR="001C34D9" w:rsidRPr="00172E44">
        <w:rPr>
          <w:rFonts w:cstheme="minorHAnsi"/>
        </w:rPr>
        <w:t xml:space="preserve"> help inform staff on how to prevent</w:t>
      </w:r>
      <w:r w:rsidR="00C1463D" w:rsidRPr="00172E44">
        <w:rPr>
          <w:rFonts w:cstheme="minorHAnsi"/>
        </w:rPr>
        <w:t xml:space="preserve"> this</w:t>
      </w:r>
      <w:r w:rsidR="00BB2614" w:rsidRPr="00172E44">
        <w:rPr>
          <w:rFonts w:cstheme="minorHAnsi"/>
        </w:rPr>
        <w:t xml:space="preserve">, and </w:t>
      </w:r>
      <w:r w:rsidR="00A73761" w:rsidRPr="00172E44">
        <w:rPr>
          <w:rFonts w:cstheme="minorHAnsi"/>
        </w:rPr>
        <w:t>whether containment strategies are proportionate to the level of violence</w:t>
      </w:r>
      <w:r w:rsidR="002D6139" w:rsidRPr="00172E44">
        <w:rPr>
          <w:rFonts w:cstheme="minorHAnsi"/>
        </w:rPr>
        <w:t xml:space="preserve">. Therefore, </w:t>
      </w:r>
      <w:r w:rsidR="002D6139" w:rsidRPr="00172E44">
        <w:rPr>
          <w:rFonts w:cstheme="minorHAnsi"/>
          <w:noProof/>
        </w:rPr>
        <w:t>t</w:t>
      </w:r>
      <w:r w:rsidR="00733467" w:rsidRPr="00172E44">
        <w:rPr>
          <w:rFonts w:cstheme="minorHAnsi"/>
          <w:noProof/>
        </w:rPr>
        <w:t>his</w:t>
      </w:r>
      <w:r w:rsidR="00733467" w:rsidRPr="00172E44">
        <w:rPr>
          <w:rFonts w:cstheme="minorHAnsi"/>
        </w:rPr>
        <w:t xml:space="preserve"> current study builds on our previous research by examining the antecedents and </w:t>
      </w:r>
      <w:r w:rsidR="005869AF" w:rsidRPr="00172E44">
        <w:rPr>
          <w:rFonts w:cstheme="minorHAnsi"/>
        </w:rPr>
        <w:t>containment</w:t>
      </w:r>
      <w:r w:rsidR="00266D8E" w:rsidRPr="00172E44">
        <w:rPr>
          <w:rFonts w:cstheme="minorHAnsi"/>
        </w:rPr>
        <w:t xml:space="preserve"> </w:t>
      </w:r>
      <w:r w:rsidR="005869AF" w:rsidRPr="00172E44">
        <w:rPr>
          <w:rFonts w:cstheme="minorHAnsi"/>
        </w:rPr>
        <w:t>interventions</w:t>
      </w:r>
      <w:r w:rsidR="00733467" w:rsidRPr="00172E44">
        <w:rPr>
          <w:rFonts w:cstheme="minorHAnsi"/>
        </w:rPr>
        <w:t xml:space="preserve"> used by staff</w:t>
      </w:r>
      <w:r w:rsidR="00470DE0" w:rsidRPr="00172E44">
        <w:rPr>
          <w:rFonts w:cstheme="minorHAnsi"/>
        </w:rPr>
        <w:t xml:space="preserve"> and t</w:t>
      </w:r>
      <w:r w:rsidR="00673485" w:rsidRPr="00172E44">
        <w:rPr>
          <w:rFonts w:cstheme="minorHAnsi"/>
        </w:rPr>
        <w:t xml:space="preserve">he injuries sustained during </w:t>
      </w:r>
      <w:r w:rsidR="00396C49" w:rsidRPr="00172E44">
        <w:rPr>
          <w:rFonts w:cstheme="minorHAnsi"/>
        </w:rPr>
        <w:t xml:space="preserve">smoking-related </w:t>
      </w:r>
      <w:r w:rsidR="00271582" w:rsidRPr="00172E44">
        <w:rPr>
          <w:rFonts w:cstheme="minorHAnsi"/>
        </w:rPr>
        <w:t xml:space="preserve">incidents of </w:t>
      </w:r>
      <w:r w:rsidR="00396C49" w:rsidRPr="00172E44">
        <w:rPr>
          <w:rFonts w:cstheme="minorHAnsi"/>
        </w:rPr>
        <w:t>physical violen</w:t>
      </w:r>
      <w:r w:rsidR="00271582" w:rsidRPr="00172E44">
        <w:rPr>
          <w:rFonts w:cstheme="minorHAnsi"/>
        </w:rPr>
        <w:t>ce</w:t>
      </w:r>
      <w:r w:rsidR="00396C49" w:rsidRPr="00172E44">
        <w:rPr>
          <w:rFonts w:cstheme="minorHAnsi"/>
        </w:rPr>
        <w:t xml:space="preserve">, </w:t>
      </w:r>
      <w:r w:rsidR="000735B9" w:rsidRPr="00172E44">
        <w:rPr>
          <w:rFonts w:cstheme="minorHAnsi"/>
        </w:rPr>
        <w:t>throughout</w:t>
      </w:r>
      <w:r w:rsidR="006835BF" w:rsidRPr="00172E44">
        <w:rPr>
          <w:rFonts w:cstheme="minorHAnsi"/>
        </w:rPr>
        <w:t xml:space="preserve"> a </w:t>
      </w:r>
      <w:r w:rsidR="00790F6E" w:rsidRPr="00172E44">
        <w:rPr>
          <w:rFonts w:cstheme="minorHAnsi"/>
        </w:rPr>
        <w:t>12-month period when an</w:t>
      </w:r>
      <w:r w:rsidR="006835BF" w:rsidRPr="00172E44">
        <w:rPr>
          <w:rFonts w:cstheme="minorHAnsi"/>
        </w:rPr>
        <w:t xml:space="preserve"> indoor-only smoke-free policy</w:t>
      </w:r>
      <w:r w:rsidR="00790F6E" w:rsidRPr="00172E44">
        <w:rPr>
          <w:rFonts w:cstheme="minorHAnsi"/>
        </w:rPr>
        <w:t xml:space="preserve"> was in place, followed by a further </w:t>
      </w:r>
      <w:r w:rsidR="00396C49" w:rsidRPr="00172E44">
        <w:rPr>
          <w:rFonts w:cstheme="minorHAnsi"/>
        </w:rPr>
        <w:t xml:space="preserve">12-month </w:t>
      </w:r>
      <w:r w:rsidR="00790F6E" w:rsidRPr="00172E44">
        <w:rPr>
          <w:rFonts w:cstheme="minorHAnsi"/>
        </w:rPr>
        <w:t>period after a comprehensive smoke-free policy was</w:t>
      </w:r>
      <w:r w:rsidR="00C67236" w:rsidRPr="00172E44">
        <w:rPr>
          <w:rFonts w:cstheme="minorHAnsi"/>
        </w:rPr>
        <w:t xml:space="preserve"> </w:t>
      </w:r>
      <w:r w:rsidR="00FD3494" w:rsidRPr="00172E44">
        <w:rPr>
          <w:rFonts w:cstheme="minorHAnsi"/>
        </w:rPr>
        <w:t>introduced</w:t>
      </w:r>
      <w:r w:rsidR="00790F6E" w:rsidRPr="00172E44">
        <w:rPr>
          <w:rFonts w:cstheme="minorHAnsi"/>
        </w:rPr>
        <w:t>.</w:t>
      </w:r>
    </w:p>
    <w:p w14:paraId="339B7FF8" w14:textId="77777777" w:rsidR="00F41E38" w:rsidRPr="00172E44" w:rsidRDefault="00F41E38" w:rsidP="00C15783">
      <w:pPr>
        <w:spacing w:line="480" w:lineRule="auto"/>
        <w:rPr>
          <w:rFonts w:cstheme="minorHAnsi"/>
        </w:rPr>
      </w:pPr>
    </w:p>
    <w:p w14:paraId="6F8923A2" w14:textId="77777777" w:rsidR="00F41E38" w:rsidRPr="00172E44" w:rsidRDefault="00E301CC" w:rsidP="00C15783">
      <w:pPr>
        <w:spacing w:line="480" w:lineRule="auto"/>
        <w:rPr>
          <w:rFonts w:cstheme="minorHAnsi"/>
        </w:rPr>
      </w:pPr>
      <w:r w:rsidRPr="00172E44">
        <w:rPr>
          <w:rFonts w:cstheme="minorHAnsi"/>
        </w:rPr>
        <w:t>Methods</w:t>
      </w:r>
    </w:p>
    <w:p w14:paraId="7B28F62F" w14:textId="77777777" w:rsidR="000C7123" w:rsidRPr="00172E44" w:rsidRDefault="000C7123" w:rsidP="00C15783">
      <w:pPr>
        <w:spacing w:line="480" w:lineRule="auto"/>
        <w:rPr>
          <w:rFonts w:cstheme="minorHAnsi"/>
        </w:rPr>
      </w:pPr>
      <w:r w:rsidRPr="00172E44">
        <w:rPr>
          <w:rFonts w:cstheme="minorHAnsi"/>
        </w:rPr>
        <w:t xml:space="preserve">Design </w:t>
      </w:r>
    </w:p>
    <w:p w14:paraId="6D795E7C" w14:textId="15BFC037" w:rsidR="00F41E38" w:rsidRPr="00172E44" w:rsidRDefault="00194DB6" w:rsidP="00741EC5">
      <w:pPr>
        <w:spacing w:line="480" w:lineRule="auto"/>
        <w:rPr>
          <w:rFonts w:cstheme="minorHAnsi"/>
        </w:rPr>
      </w:pPr>
      <w:r w:rsidRPr="00172E44">
        <w:rPr>
          <w:rFonts w:cstheme="minorHAnsi"/>
        </w:rPr>
        <w:t>We undertook a</w:t>
      </w:r>
      <w:r w:rsidR="00F0418C" w:rsidRPr="00172E44">
        <w:rPr>
          <w:rFonts w:cstheme="minorHAnsi"/>
        </w:rPr>
        <w:t xml:space="preserve"> manifest content analysis </w:t>
      </w:r>
      <w:r w:rsidR="007F755A" w:rsidRPr="00172E44">
        <w:rPr>
          <w:rFonts w:cstheme="minorHAnsi"/>
        </w:rPr>
        <w:t>(Downe-Wamboldt, 1992)</w:t>
      </w:r>
      <w:r w:rsidR="00C67236" w:rsidRPr="00172E44">
        <w:rPr>
          <w:rFonts w:cstheme="minorHAnsi"/>
        </w:rPr>
        <w:t xml:space="preserve"> </w:t>
      </w:r>
      <w:r w:rsidR="00F0418C" w:rsidRPr="00172E44">
        <w:rPr>
          <w:rFonts w:cstheme="minorHAnsi"/>
        </w:rPr>
        <w:t xml:space="preserve">of </w:t>
      </w:r>
      <w:r w:rsidRPr="00172E44">
        <w:rPr>
          <w:rFonts w:cstheme="minorHAnsi"/>
        </w:rPr>
        <w:t xml:space="preserve">incident reports </w:t>
      </w:r>
      <w:r w:rsidR="000735B9" w:rsidRPr="00172E44">
        <w:rPr>
          <w:rFonts w:cstheme="minorHAnsi"/>
        </w:rPr>
        <w:t>of</w:t>
      </w:r>
      <w:r w:rsidR="00C67236" w:rsidRPr="00172E44">
        <w:rPr>
          <w:rFonts w:cstheme="minorHAnsi"/>
        </w:rPr>
        <w:t xml:space="preserve"> </w:t>
      </w:r>
      <w:r w:rsidR="003825B5" w:rsidRPr="00172E44">
        <w:rPr>
          <w:rFonts w:cstheme="minorHAnsi"/>
        </w:rPr>
        <w:t xml:space="preserve">physical </w:t>
      </w:r>
      <w:r w:rsidR="002447C7" w:rsidRPr="00172E44">
        <w:rPr>
          <w:rFonts w:cstheme="minorHAnsi"/>
        </w:rPr>
        <w:t>violence</w:t>
      </w:r>
      <w:r w:rsidR="00271582" w:rsidRPr="00172E44">
        <w:rPr>
          <w:rFonts w:cstheme="minorHAnsi"/>
        </w:rPr>
        <w:t xml:space="preserve"> related to smoking</w:t>
      </w:r>
      <w:r w:rsidR="002447C7" w:rsidRPr="00172E44">
        <w:rPr>
          <w:rFonts w:cstheme="minorHAnsi"/>
        </w:rPr>
        <w:t xml:space="preserve">, </w:t>
      </w:r>
      <w:r w:rsidR="00017C29" w:rsidRPr="00172E44">
        <w:rPr>
          <w:rFonts w:cstheme="minorHAnsi"/>
        </w:rPr>
        <w:t xml:space="preserve">and extracted data </w:t>
      </w:r>
      <w:r w:rsidR="000735B9" w:rsidRPr="00172E44">
        <w:rPr>
          <w:rFonts w:cstheme="minorHAnsi"/>
        </w:rPr>
        <w:t>on</w:t>
      </w:r>
      <w:r w:rsidR="00F0418C" w:rsidRPr="00172E44">
        <w:rPr>
          <w:rFonts w:cstheme="minorHAnsi"/>
        </w:rPr>
        <w:t xml:space="preserve"> antecedents</w:t>
      </w:r>
      <w:r w:rsidR="003825B5" w:rsidRPr="00172E44">
        <w:rPr>
          <w:rFonts w:cstheme="minorHAnsi"/>
        </w:rPr>
        <w:t>,</w:t>
      </w:r>
      <w:r w:rsidR="00F0418C" w:rsidRPr="00172E44">
        <w:rPr>
          <w:rFonts w:cstheme="minorHAnsi"/>
        </w:rPr>
        <w:t xml:space="preserve"> nature of assault</w:t>
      </w:r>
      <w:r w:rsidR="00E423A7" w:rsidRPr="00172E44">
        <w:rPr>
          <w:rFonts w:cstheme="minorHAnsi"/>
        </w:rPr>
        <w:t xml:space="preserve">, </w:t>
      </w:r>
      <w:r w:rsidR="00F0418C" w:rsidRPr="00172E44">
        <w:rPr>
          <w:rFonts w:cstheme="minorHAnsi"/>
        </w:rPr>
        <w:t xml:space="preserve">injury </w:t>
      </w:r>
      <w:r w:rsidR="00017C29" w:rsidRPr="00172E44">
        <w:rPr>
          <w:rFonts w:cstheme="minorHAnsi"/>
        </w:rPr>
        <w:t>sustained</w:t>
      </w:r>
      <w:r w:rsidR="00E423A7" w:rsidRPr="00172E44">
        <w:rPr>
          <w:rFonts w:cstheme="minorHAnsi"/>
        </w:rPr>
        <w:t xml:space="preserve">, and </w:t>
      </w:r>
      <w:r w:rsidR="005869AF" w:rsidRPr="00172E44">
        <w:rPr>
          <w:rFonts w:cstheme="minorHAnsi"/>
        </w:rPr>
        <w:t>containment interventions</w:t>
      </w:r>
      <w:r w:rsidR="00E423A7" w:rsidRPr="00172E44">
        <w:rPr>
          <w:rFonts w:cstheme="minorHAnsi"/>
        </w:rPr>
        <w:t xml:space="preserve"> to </w:t>
      </w:r>
      <w:r w:rsidR="005869AF" w:rsidRPr="00172E44">
        <w:rPr>
          <w:rFonts w:cstheme="minorHAnsi"/>
        </w:rPr>
        <w:t>manage</w:t>
      </w:r>
      <w:r w:rsidR="00E423A7" w:rsidRPr="00172E44">
        <w:rPr>
          <w:rFonts w:cstheme="minorHAnsi"/>
        </w:rPr>
        <w:t xml:space="preserve"> the violence</w:t>
      </w:r>
      <w:r w:rsidR="00F0418C" w:rsidRPr="00172E44">
        <w:rPr>
          <w:rFonts w:cstheme="minorHAnsi"/>
        </w:rPr>
        <w:t xml:space="preserve">. </w:t>
      </w:r>
    </w:p>
    <w:p w14:paraId="642AAD29" w14:textId="77777777" w:rsidR="001101B0" w:rsidRPr="00172E44" w:rsidRDefault="001101B0" w:rsidP="00741EC5">
      <w:pPr>
        <w:spacing w:line="480" w:lineRule="auto"/>
      </w:pPr>
      <w:r w:rsidRPr="00172E44">
        <w:t>Setting</w:t>
      </w:r>
    </w:p>
    <w:p w14:paraId="5441F04F" w14:textId="6468D579" w:rsidR="005023A2" w:rsidRPr="00172E44" w:rsidRDefault="001101B0" w:rsidP="00BA0E0F">
      <w:pPr>
        <w:pStyle w:val="CommentText"/>
        <w:spacing w:line="480" w:lineRule="auto"/>
        <w:rPr>
          <w:sz w:val="22"/>
          <w:szCs w:val="22"/>
        </w:rPr>
      </w:pPr>
      <w:r w:rsidRPr="00172E44">
        <w:rPr>
          <w:sz w:val="22"/>
        </w:rPr>
        <w:t xml:space="preserve">This study was conducted in the inpatient wards of a </w:t>
      </w:r>
      <w:r w:rsidR="000E017D" w:rsidRPr="00172E44">
        <w:rPr>
          <w:sz w:val="22"/>
        </w:rPr>
        <w:t xml:space="preserve">large </w:t>
      </w:r>
      <w:r w:rsidR="009014F8" w:rsidRPr="00172E44">
        <w:rPr>
          <w:sz w:val="22"/>
        </w:rPr>
        <w:t xml:space="preserve">mental health </w:t>
      </w:r>
      <w:r w:rsidRPr="00172E44">
        <w:rPr>
          <w:sz w:val="22"/>
        </w:rPr>
        <w:t>organisation in London, UK</w:t>
      </w:r>
      <w:r w:rsidR="00FD3494" w:rsidRPr="00172E44">
        <w:rPr>
          <w:rFonts w:cstheme="minorHAnsi"/>
          <w:sz w:val="22"/>
          <w:szCs w:val="22"/>
        </w:rPr>
        <w:t xml:space="preserve"> with</w:t>
      </w:r>
      <w:r w:rsidRPr="00172E44">
        <w:rPr>
          <w:sz w:val="22"/>
        </w:rPr>
        <w:t xml:space="preserve"> four hospitals, 50 wards and 800 beds, </w:t>
      </w:r>
      <w:r w:rsidR="005023A2" w:rsidRPr="00172E44">
        <w:rPr>
          <w:sz w:val="22"/>
        </w:rPr>
        <w:t xml:space="preserve">providing a </w:t>
      </w:r>
      <w:r w:rsidR="005023A2" w:rsidRPr="00172E44">
        <w:rPr>
          <w:sz w:val="22"/>
          <w:szCs w:val="22"/>
        </w:rPr>
        <w:t>full</w:t>
      </w:r>
      <w:r w:rsidR="005023A2" w:rsidRPr="00172E44">
        <w:rPr>
          <w:sz w:val="22"/>
        </w:rPr>
        <w:t xml:space="preserve"> range of specialist mental health </w:t>
      </w:r>
      <w:r w:rsidR="005023A2" w:rsidRPr="00172E44">
        <w:rPr>
          <w:sz w:val="22"/>
          <w:szCs w:val="22"/>
        </w:rPr>
        <w:t>care</w:t>
      </w:r>
      <w:r w:rsidR="002A5CD1" w:rsidRPr="00172E44">
        <w:rPr>
          <w:sz w:val="22"/>
          <w:szCs w:val="22"/>
        </w:rPr>
        <w:t xml:space="preserve"> services</w:t>
      </w:r>
      <w:r w:rsidR="005023A2" w:rsidRPr="00172E44">
        <w:rPr>
          <w:sz w:val="22"/>
          <w:szCs w:val="22"/>
        </w:rPr>
        <w:t xml:space="preserve">, including acute, long-term, specialist and older persons </w:t>
      </w:r>
      <w:r w:rsidR="005023A2" w:rsidRPr="00172E44">
        <w:rPr>
          <w:sz w:val="22"/>
        </w:rPr>
        <w:t>services to a population of approximately 1.1 million.</w:t>
      </w:r>
    </w:p>
    <w:p w14:paraId="00ACEE8E" w14:textId="16D58DF5" w:rsidR="006815F3" w:rsidRPr="00172E44" w:rsidRDefault="005F59FF" w:rsidP="00741EC5">
      <w:pPr>
        <w:spacing w:line="480" w:lineRule="auto"/>
        <w:rPr>
          <w:rFonts w:cstheme="minorHAnsi"/>
        </w:rPr>
      </w:pPr>
      <w:r w:rsidRPr="00172E44">
        <w:rPr>
          <w:rFonts w:cstheme="minorHAnsi"/>
        </w:rPr>
        <w:t>An</w:t>
      </w:r>
      <w:r w:rsidR="001101B0" w:rsidRPr="00172E44">
        <w:rPr>
          <w:rFonts w:cstheme="minorHAnsi"/>
        </w:rPr>
        <w:t xml:space="preserve"> indoor</w:t>
      </w:r>
      <w:r w:rsidR="00695374" w:rsidRPr="00172E44">
        <w:rPr>
          <w:rFonts w:cstheme="minorHAnsi"/>
        </w:rPr>
        <w:t>-only</w:t>
      </w:r>
      <w:r w:rsidR="001101B0" w:rsidRPr="00172E44">
        <w:rPr>
          <w:rFonts w:cstheme="minorHAnsi"/>
        </w:rPr>
        <w:t xml:space="preserve"> smoke-free policy was </w:t>
      </w:r>
      <w:r w:rsidR="005E5C36" w:rsidRPr="00172E44">
        <w:rPr>
          <w:rFonts w:cstheme="minorHAnsi"/>
        </w:rPr>
        <w:t>introduced</w:t>
      </w:r>
      <w:r w:rsidR="001101B0" w:rsidRPr="00172E44">
        <w:rPr>
          <w:rFonts w:cstheme="minorHAnsi"/>
        </w:rPr>
        <w:t xml:space="preserve"> from 2008 to 2014, which prohibited smoking inside hospital buildings</w:t>
      </w:r>
      <w:r w:rsidR="005B5922" w:rsidRPr="00172E44">
        <w:rPr>
          <w:rFonts w:cstheme="minorHAnsi"/>
        </w:rPr>
        <w:t xml:space="preserve">. </w:t>
      </w:r>
      <w:r w:rsidR="00017C29" w:rsidRPr="00172E44">
        <w:rPr>
          <w:rFonts w:cstheme="minorHAnsi"/>
        </w:rPr>
        <w:t xml:space="preserve">Smoking </w:t>
      </w:r>
      <w:r w:rsidR="0005409A" w:rsidRPr="00172E44">
        <w:rPr>
          <w:rFonts w:cstheme="minorHAnsi"/>
        </w:rPr>
        <w:t xml:space="preserve">materials </w:t>
      </w:r>
      <w:r w:rsidR="00017C29" w:rsidRPr="00172E44">
        <w:rPr>
          <w:rFonts w:cstheme="minorHAnsi"/>
        </w:rPr>
        <w:t>w</w:t>
      </w:r>
      <w:r w:rsidR="0005409A" w:rsidRPr="00172E44">
        <w:rPr>
          <w:rFonts w:cstheme="minorHAnsi"/>
        </w:rPr>
        <w:t>ere</w:t>
      </w:r>
      <w:r w:rsidR="00017C29" w:rsidRPr="00172E44">
        <w:rPr>
          <w:rFonts w:cstheme="minorHAnsi"/>
        </w:rPr>
        <w:t xml:space="preserve"> held by patient</w:t>
      </w:r>
      <w:r w:rsidR="00F37E17" w:rsidRPr="00172E44">
        <w:rPr>
          <w:rFonts w:cstheme="minorHAnsi"/>
        </w:rPr>
        <w:t>s</w:t>
      </w:r>
      <w:r w:rsidR="00017C29" w:rsidRPr="00172E44">
        <w:rPr>
          <w:rFonts w:cstheme="minorHAnsi"/>
        </w:rPr>
        <w:t xml:space="preserve"> or stored by staff and handed to patients during </w:t>
      </w:r>
      <w:r w:rsidR="001101B0" w:rsidRPr="00172E44">
        <w:rPr>
          <w:rFonts w:cstheme="minorHAnsi"/>
        </w:rPr>
        <w:t>staff facilitated ‘smoking breaks’ in ward gardens</w:t>
      </w:r>
      <w:r w:rsidR="00017C29" w:rsidRPr="00172E44">
        <w:rPr>
          <w:rFonts w:cstheme="minorHAnsi"/>
        </w:rPr>
        <w:t xml:space="preserve">. Patients who smoked </w:t>
      </w:r>
      <w:r w:rsidR="001101B0" w:rsidRPr="00172E44">
        <w:rPr>
          <w:rFonts w:cstheme="minorHAnsi"/>
        </w:rPr>
        <w:t>had access to nicotine replacement therapy</w:t>
      </w:r>
      <w:r w:rsidR="00017C29" w:rsidRPr="00172E44">
        <w:rPr>
          <w:rFonts w:cstheme="minorHAnsi"/>
        </w:rPr>
        <w:t xml:space="preserve"> (NRT)</w:t>
      </w:r>
      <w:r w:rsidR="00DA0C4C" w:rsidRPr="00172E44">
        <w:rPr>
          <w:rFonts w:cstheme="minorHAnsi"/>
        </w:rPr>
        <w:t>.</w:t>
      </w:r>
      <w:r w:rsidR="00C67236" w:rsidRPr="00172E44">
        <w:rPr>
          <w:rFonts w:cstheme="minorHAnsi"/>
        </w:rPr>
        <w:t xml:space="preserve"> </w:t>
      </w:r>
      <w:r w:rsidR="00017C29" w:rsidRPr="00172E44">
        <w:rPr>
          <w:rFonts w:cstheme="minorHAnsi"/>
        </w:rPr>
        <w:t>During th</w:t>
      </w:r>
      <w:r w:rsidR="00F37E17" w:rsidRPr="00172E44">
        <w:rPr>
          <w:rFonts w:cstheme="minorHAnsi"/>
        </w:rPr>
        <w:t>is</w:t>
      </w:r>
      <w:r w:rsidR="00017C29" w:rsidRPr="00172E44">
        <w:rPr>
          <w:rFonts w:cstheme="minorHAnsi"/>
        </w:rPr>
        <w:t xml:space="preserve"> period</w:t>
      </w:r>
      <w:r w:rsidR="00A40A04" w:rsidRPr="00172E44">
        <w:rPr>
          <w:rFonts w:cstheme="minorHAnsi"/>
        </w:rPr>
        <w:t xml:space="preserve">, staff </w:t>
      </w:r>
      <w:r w:rsidR="006B1ABF" w:rsidRPr="00172E44">
        <w:rPr>
          <w:rFonts w:cstheme="minorHAnsi"/>
          <w:noProof/>
        </w:rPr>
        <w:t>were</w:t>
      </w:r>
      <w:r w:rsidR="006B1ABF" w:rsidRPr="00172E44">
        <w:rPr>
          <w:rFonts w:cstheme="minorHAnsi"/>
        </w:rPr>
        <w:t xml:space="preserve"> spending </w:t>
      </w:r>
      <w:r w:rsidR="00FD3494" w:rsidRPr="00172E44">
        <w:rPr>
          <w:rFonts w:cstheme="minorHAnsi"/>
        </w:rPr>
        <w:t>approximately</w:t>
      </w:r>
      <w:r w:rsidR="006B1ABF" w:rsidRPr="00172E44">
        <w:rPr>
          <w:rFonts w:cstheme="minorHAnsi"/>
        </w:rPr>
        <w:t xml:space="preserve"> two hours and 23 minutes a day supervising smoking breaks (Robson et al</w:t>
      </w:r>
      <w:r w:rsidR="00B06363" w:rsidRPr="00172E44">
        <w:rPr>
          <w:rFonts w:cstheme="minorHAnsi"/>
        </w:rPr>
        <w:t>.</w:t>
      </w:r>
      <w:r w:rsidR="006B1ABF" w:rsidRPr="00172E44">
        <w:rPr>
          <w:rFonts w:cstheme="minorHAnsi"/>
        </w:rPr>
        <w:t xml:space="preserve"> 2016). </w:t>
      </w:r>
      <w:r w:rsidR="00F7562F" w:rsidRPr="00172E44">
        <w:rPr>
          <w:rFonts w:cstheme="minorHAnsi"/>
        </w:rPr>
        <w:t>Following the publication of NICE (2013) recommendations, a</w:t>
      </w:r>
      <w:r w:rsidR="00C67236" w:rsidRPr="00172E44">
        <w:rPr>
          <w:rFonts w:cstheme="minorHAnsi"/>
        </w:rPr>
        <w:t xml:space="preserve"> </w:t>
      </w:r>
      <w:r w:rsidR="00A40A04" w:rsidRPr="00172E44">
        <w:rPr>
          <w:rFonts w:cstheme="minorHAnsi"/>
        </w:rPr>
        <w:t>comprehensive smoke</w:t>
      </w:r>
      <w:r w:rsidR="00A26F37" w:rsidRPr="00172E44">
        <w:rPr>
          <w:rFonts w:cstheme="minorHAnsi"/>
        </w:rPr>
        <w:t>-</w:t>
      </w:r>
      <w:r w:rsidR="00A40A04" w:rsidRPr="00172E44">
        <w:rPr>
          <w:rFonts w:cstheme="minorHAnsi"/>
        </w:rPr>
        <w:t xml:space="preserve">free policy </w:t>
      </w:r>
      <w:r w:rsidR="00A26F37" w:rsidRPr="00172E44">
        <w:rPr>
          <w:rFonts w:cstheme="minorHAnsi"/>
        </w:rPr>
        <w:t xml:space="preserve">was </w:t>
      </w:r>
      <w:r w:rsidR="00E237DF" w:rsidRPr="00172E44">
        <w:rPr>
          <w:rFonts w:cstheme="minorHAnsi"/>
        </w:rPr>
        <w:t>i</w:t>
      </w:r>
      <w:r w:rsidR="00807EAD" w:rsidRPr="00172E44">
        <w:rPr>
          <w:rFonts w:cstheme="minorHAnsi"/>
        </w:rPr>
        <w:t>ntroduced</w:t>
      </w:r>
      <w:r w:rsidR="00C67236" w:rsidRPr="00172E44">
        <w:rPr>
          <w:rFonts w:cstheme="minorHAnsi"/>
        </w:rPr>
        <w:t xml:space="preserve"> </w:t>
      </w:r>
      <w:r w:rsidR="00A26F37" w:rsidRPr="00172E44">
        <w:rPr>
          <w:rFonts w:cstheme="minorHAnsi"/>
        </w:rPr>
        <w:t>from 1</w:t>
      </w:r>
      <w:r w:rsidR="00A26F37" w:rsidRPr="00172E44">
        <w:rPr>
          <w:rFonts w:cstheme="minorHAnsi"/>
          <w:vertAlign w:val="superscript"/>
        </w:rPr>
        <w:t>st</w:t>
      </w:r>
      <w:r w:rsidR="00A26F37" w:rsidRPr="00172E44">
        <w:rPr>
          <w:rFonts w:cstheme="minorHAnsi"/>
        </w:rPr>
        <w:t xml:space="preserve"> October 2014</w:t>
      </w:r>
      <w:r w:rsidR="008005D2" w:rsidRPr="00172E44">
        <w:rPr>
          <w:rFonts w:cstheme="minorHAnsi"/>
          <w:color w:val="000000"/>
        </w:rPr>
        <w:t xml:space="preserve">. </w:t>
      </w:r>
      <w:r w:rsidR="00C91166" w:rsidRPr="00172E44">
        <w:rPr>
          <w:rFonts w:cstheme="minorHAnsi"/>
        </w:rPr>
        <w:t xml:space="preserve">The policy </w:t>
      </w:r>
      <w:r w:rsidR="001101B0" w:rsidRPr="00172E44">
        <w:rPr>
          <w:rFonts w:cstheme="minorHAnsi"/>
        </w:rPr>
        <w:t>prohibi</w:t>
      </w:r>
      <w:r w:rsidR="00F37E17" w:rsidRPr="00172E44">
        <w:rPr>
          <w:rFonts w:cstheme="minorHAnsi"/>
        </w:rPr>
        <w:t>t</w:t>
      </w:r>
      <w:r w:rsidR="009A38BB" w:rsidRPr="00172E44">
        <w:rPr>
          <w:rFonts w:cstheme="minorHAnsi"/>
        </w:rPr>
        <w:t>ed</w:t>
      </w:r>
      <w:r w:rsidR="001101B0" w:rsidRPr="00172E44">
        <w:rPr>
          <w:rFonts w:cstheme="minorHAnsi"/>
        </w:rPr>
        <w:t xml:space="preserve"> smoking in buildings, ward gardens</w:t>
      </w:r>
      <w:r w:rsidR="00636F10" w:rsidRPr="00172E44">
        <w:rPr>
          <w:rFonts w:cstheme="minorHAnsi"/>
        </w:rPr>
        <w:t>,</w:t>
      </w:r>
      <w:r w:rsidR="001101B0" w:rsidRPr="00172E44">
        <w:rPr>
          <w:rFonts w:cstheme="minorHAnsi"/>
        </w:rPr>
        <w:t xml:space="preserve"> grounds</w:t>
      </w:r>
      <w:r w:rsidR="00A40A04" w:rsidRPr="00172E44">
        <w:rPr>
          <w:rFonts w:cstheme="minorHAnsi"/>
        </w:rPr>
        <w:t xml:space="preserve"> and</w:t>
      </w:r>
      <w:r w:rsidR="00C67236" w:rsidRPr="00172E44">
        <w:rPr>
          <w:rFonts w:cstheme="minorHAnsi"/>
        </w:rPr>
        <w:t xml:space="preserve"> </w:t>
      </w:r>
      <w:r w:rsidR="00A40A04" w:rsidRPr="00172E44">
        <w:rPr>
          <w:rFonts w:cstheme="minorHAnsi"/>
        </w:rPr>
        <w:t>s</w:t>
      </w:r>
      <w:r w:rsidR="001101B0" w:rsidRPr="00172E44">
        <w:rPr>
          <w:rFonts w:cstheme="minorHAnsi"/>
        </w:rPr>
        <w:t xml:space="preserve">taff facilitated </w:t>
      </w:r>
      <w:r w:rsidR="00636F10" w:rsidRPr="00172E44">
        <w:rPr>
          <w:rFonts w:cstheme="minorHAnsi"/>
        </w:rPr>
        <w:t>‘</w:t>
      </w:r>
      <w:r w:rsidR="001101B0" w:rsidRPr="00172E44">
        <w:rPr>
          <w:rFonts w:cstheme="minorHAnsi"/>
        </w:rPr>
        <w:t>smoking breaks</w:t>
      </w:r>
      <w:r w:rsidR="00636F10" w:rsidRPr="00172E44">
        <w:rPr>
          <w:rFonts w:cstheme="minorHAnsi"/>
        </w:rPr>
        <w:t>’</w:t>
      </w:r>
      <w:r w:rsidR="00C67236" w:rsidRPr="00172E44">
        <w:rPr>
          <w:rFonts w:cstheme="minorHAnsi"/>
        </w:rPr>
        <w:t xml:space="preserve"> </w:t>
      </w:r>
      <w:r w:rsidR="009A38BB" w:rsidRPr="00172E44">
        <w:rPr>
          <w:rFonts w:cstheme="minorHAnsi"/>
        </w:rPr>
        <w:t>we</w:t>
      </w:r>
      <w:r w:rsidR="00A26F37" w:rsidRPr="00172E44">
        <w:rPr>
          <w:rFonts w:cstheme="minorHAnsi"/>
        </w:rPr>
        <w:t>re no longer allowed</w:t>
      </w:r>
      <w:r w:rsidR="001101B0" w:rsidRPr="00172E44">
        <w:rPr>
          <w:rFonts w:cstheme="minorHAnsi"/>
        </w:rPr>
        <w:t xml:space="preserve">. </w:t>
      </w:r>
      <w:r w:rsidR="000D39C3" w:rsidRPr="00172E44">
        <w:rPr>
          <w:rFonts w:cstheme="minorHAnsi"/>
        </w:rPr>
        <w:t>Additionally</w:t>
      </w:r>
      <w:r w:rsidR="001101B0" w:rsidRPr="00172E44">
        <w:rPr>
          <w:rFonts w:cstheme="minorHAnsi"/>
        </w:rPr>
        <w:t>, a tobacco dependence treatment pathway was</w:t>
      </w:r>
      <w:r w:rsidR="000D39C3" w:rsidRPr="00172E44">
        <w:rPr>
          <w:rFonts w:cstheme="minorHAnsi"/>
        </w:rPr>
        <w:t xml:space="preserve"> introduced,</w:t>
      </w:r>
      <w:r w:rsidR="001101B0" w:rsidRPr="00172E44">
        <w:rPr>
          <w:rFonts w:cstheme="minorHAnsi"/>
        </w:rPr>
        <w:t xml:space="preserve"> includ</w:t>
      </w:r>
      <w:r w:rsidR="000D39C3" w:rsidRPr="00172E44">
        <w:rPr>
          <w:rFonts w:cstheme="minorHAnsi"/>
        </w:rPr>
        <w:t>ing</w:t>
      </w:r>
      <w:r w:rsidR="00D7560E" w:rsidRPr="00172E44">
        <w:rPr>
          <w:rFonts w:cstheme="minorHAnsi"/>
        </w:rPr>
        <w:t xml:space="preserve"> the offer of NRT within 30 minutes of </w:t>
      </w:r>
      <w:r w:rsidR="00F75A72" w:rsidRPr="00172E44">
        <w:rPr>
          <w:rFonts w:cstheme="minorHAnsi"/>
        </w:rPr>
        <w:t>admission to hospital</w:t>
      </w:r>
      <w:r w:rsidR="00A56117" w:rsidRPr="00172E44">
        <w:rPr>
          <w:rFonts w:cstheme="minorHAnsi"/>
        </w:rPr>
        <w:t xml:space="preserve">, </w:t>
      </w:r>
      <w:r w:rsidR="000C7123" w:rsidRPr="00172E44">
        <w:rPr>
          <w:rFonts w:cstheme="minorHAnsi"/>
          <w:noProof/>
        </w:rPr>
        <w:t>behavioural</w:t>
      </w:r>
      <w:r w:rsidR="00A56117" w:rsidRPr="00172E44">
        <w:rPr>
          <w:rFonts w:cstheme="minorHAnsi"/>
          <w:noProof/>
        </w:rPr>
        <w:t xml:space="preserve"> </w:t>
      </w:r>
      <w:r w:rsidR="00D7560E" w:rsidRPr="00172E44">
        <w:rPr>
          <w:rFonts w:cstheme="minorHAnsi"/>
        </w:rPr>
        <w:t xml:space="preserve">support </w:t>
      </w:r>
      <w:r w:rsidR="000C7123" w:rsidRPr="00172E44">
        <w:rPr>
          <w:rFonts w:cstheme="minorHAnsi"/>
        </w:rPr>
        <w:t>an</w:t>
      </w:r>
      <w:r w:rsidR="00A56117" w:rsidRPr="00172E44">
        <w:rPr>
          <w:rFonts w:cstheme="minorHAnsi"/>
        </w:rPr>
        <w:t xml:space="preserve">d recommendations for ongoing </w:t>
      </w:r>
      <w:r w:rsidR="000C7123" w:rsidRPr="00172E44">
        <w:rPr>
          <w:rFonts w:cstheme="minorHAnsi"/>
        </w:rPr>
        <w:t>stop smoking medication from</w:t>
      </w:r>
      <w:r w:rsidR="00D7560E" w:rsidRPr="00172E44">
        <w:rPr>
          <w:rFonts w:cstheme="minorHAnsi"/>
        </w:rPr>
        <w:t xml:space="preserve"> a tobacco dependence treatment advis</w:t>
      </w:r>
      <w:r w:rsidR="00FD3494" w:rsidRPr="00172E44">
        <w:rPr>
          <w:rFonts w:cstheme="minorHAnsi"/>
        </w:rPr>
        <w:t>o</w:t>
      </w:r>
      <w:r w:rsidR="00D7560E" w:rsidRPr="00172E44">
        <w:rPr>
          <w:rFonts w:cstheme="minorHAnsi"/>
        </w:rPr>
        <w:t xml:space="preserve">r. </w:t>
      </w:r>
      <w:r w:rsidR="004B375F" w:rsidRPr="00172E44">
        <w:rPr>
          <w:rFonts w:cstheme="minorHAnsi"/>
        </w:rPr>
        <w:t>E</w:t>
      </w:r>
      <w:r w:rsidR="001101B0" w:rsidRPr="00172E44">
        <w:rPr>
          <w:rFonts w:cstheme="minorHAnsi"/>
        </w:rPr>
        <w:t>-cigarette</w:t>
      </w:r>
      <w:r w:rsidR="00A56117" w:rsidRPr="00172E44">
        <w:rPr>
          <w:rFonts w:cstheme="minorHAnsi"/>
        </w:rPr>
        <w:t xml:space="preserve"> </w:t>
      </w:r>
      <w:r w:rsidR="004B375F" w:rsidRPr="00172E44">
        <w:rPr>
          <w:rFonts w:cstheme="minorHAnsi"/>
        </w:rPr>
        <w:t>use was also permitted.</w:t>
      </w:r>
      <w:r w:rsidR="00A56117" w:rsidRPr="00172E44">
        <w:rPr>
          <w:rFonts w:cstheme="minorHAnsi"/>
        </w:rPr>
        <w:t xml:space="preserve"> </w:t>
      </w:r>
      <w:r w:rsidR="001101B0" w:rsidRPr="00172E44">
        <w:rPr>
          <w:rFonts w:cstheme="minorHAnsi"/>
          <w:color w:val="000000"/>
        </w:rPr>
        <w:t>The policy and treatment pathway are supported by a staff training programme</w:t>
      </w:r>
      <w:r w:rsidR="003B4E4A" w:rsidRPr="00172E44">
        <w:rPr>
          <w:rFonts w:cstheme="minorHAnsi"/>
          <w:color w:val="000000"/>
        </w:rPr>
        <w:t>.</w:t>
      </w:r>
    </w:p>
    <w:p w14:paraId="054867A0" w14:textId="77777777" w:rsidR="00F41E38" w:rsidRPr="00172E44" w:rsidRDefault="00F41E38" w:rsidP="00741EC5">
      <w:pPr>
        <w:spacing w:line="480" w:lineRule="auto"/>
      </w:pPr>
    </w:p>
    <w:p w14:paraId="45BC14C8" w14:textId="77777777" w:rsidR="00E301CC" w:rsidRPr="00172E44" w:rsidRDefault="00E301CC" w:rsidP="00741EC5">
      <w:pPr>
        <w:spacing w:line="480" w:lineRule="auto"/>
      </w:pPr>
      <w:r w:rsidRPr="00172E44">
        <w:t>Sample</w:t>
      </w:r>
      <w:r w:rsidR="00B93B72" w:rsidRPr="00172E44">
        <w:t xml:space="preserve"> and </w:t>
      </w:r>
      <w:r w:rsidR="00F16744" w:rsidRPr="00172E44">
        <w:t>Data Collection</w:t>
      </w:r>
    </w:p>
    <w:p w14:paraId="5B760FB5" w14:textId="705DB0D9" w:rsidR="006815F3" w:rsidRPr="00172E44" w:rsidRDefault="00685925" w:rsidP="00741EC5">
      <w:pPr>
        <w:spacing w:line="480" w:lineRule="auto"/>
        <w:rPr>
          <w:rFonts w:cstheme="minorHAnsi"/>
        </w:rPr>
      </w:pPr>
      <w:r w:rsidRPr="00172E44">
        <w:rPr>
          <w:rFonts w:cstheme="minorHAnsi"/>
        </w:rPr>
        <w:t xml:space="preserve">Data were a subset of </w:t>
      </w:r>
      <w:r w:rsidR="00A40A04" w:rsidRPr="00172E44">
        <w:rPr>
          <w:rFonts w:cstheme="minorHAnsi"/>
        </w:rPr>
        <w:t xml:space="preserve">incident reports </w:t>
      </w:r>
      <w:r w:rsidR="00F75A72" w:rsidRPr="00172E44">
        <w:rPr>
          <w:rFonts w:cstheme="minorHAnsi"/>
        </w:rPr>
        <w:t>o</w:t>
      </w:r>
      <w:r w:rsidR="007E6ECF" w:rsidRPr="00172E44">
        <w:rPr>
          <w:rFonts w:cstheme="minorHAnsi"/>
        </w:rPr>
        <w:t>f</w:t>
      </w:r>
      <w:r w:rsidR="00271582" w:rsidRPr="00172E44">
        <w:rPr>
          <w:rFonts w:cstheme="minorHAnsi"/>
        </w:rPr>
        <w:t xml:space="preserve"> physical violence </w:t>
      </w:r>
      <w:r w:rsidR="00A40A04" w:rsidRPr="00172E44">
        <w:rPr>
          <w:rFonts w:cstheme="minorHAnsi"/>
        </w:rPr>
        <w:t xml:space="preserve">used for </w:t>
      </w:r>
      <w:r w:rsidR="009A38BB" w:rsidRPr="00172E44">
        <w:rPr>
          <w:rFonts w:cstheme="minorHAnsi"/>
        </w:rPr>
        <w:t>the</w:t>
      </w:r>
      <w:r w:rsidRPr="00172E44">
        <w:rPr>
          <w:rFonts w:cstheme="minorHAnsi"/>
        </w:rPr>
        <w:t xml:space="preserve"> larger study (Robson et al</w:t>
      </w:r>
      <w:r w:rsidR="00B06363" w:rsidRPr="00172E44">
        <w:rPr>
          <w:rFonts w:cstheme="minorHAnsi"/>
        </w:rPr>
        <w:t>.</w:t>
      </w:r>
      <w:r w:rsidRPr="00172E44">
        <w:rPr>
          <w:rFonts w:cstheme="minorHAnsi"/>
        </w:rPr>
        <w:t xml:space="preserve"> 2017)</w:t>
      </w:r>
      <w:r w:rsidR="00EB2532" w:rsidRPr="00172E44">
        <w:rPr>
          <w:rFonts w:cstheme="minorHAnsi"/>
        </w:rPr>
        <w:t xml:space="preserve"> and </w:t>
      </w:r>
      <w:r w:rsidR="00B2711C" w:rsidRPr="00172E44">
        <w:rPr>
          <w:rFonts w:cstheme="minorHAnsi"/>
        </w:rPr>
        <w:t xml:space="preserve">only </w:t>
      </w:r>
      <w:r w:rsidR="00EB2532" w:rsidRPr="00172E44">
        <w:rPr>
          <w:rFonts w:cstheme="minorHAnsi"/>
        </w:rPr>
        <w:t>included</w:t>
      </w:r>
      <w:r w:rsidR="00B2711C" w:rsidRPr="00172E44">
        <w:rPr>
          <w:rFonts w:cstheme="minorHAnsi"/>
        </w:rPr>
        <w:t xml:space="preserve"> violent </w:t>
      </w:r>
      <w:r w:rsidR="002545A6" w:rsidRPr="00172E44">
        <w:rPr>
          <w:rFonts w:cstheme="minorHAnsi"/>
        </w:rPr>
        <w:t xml:space="preserve">incidents </w:t>
      </w:r>
      <w:r w:rsidR="00F71718" w:rsidRPr="00172E44">
        <w:rPr>
          <w:rFonts w:cstheme="minorHAnsi"/>
        </w:rPr>
        <w:t xml:space="preserve">related to smoking, </w:t>
      </w:r>
      <w:r w:rsidR="00CE46BF" w:rsidRPr="00172E44">
        <w:rPr>
          <w:rFonts w:cstheme="minorHAnsi"/>
        </w:rPr>
        <w:t>occurring between 1</w:t>
      </w:r>
      <w:r w:rsidR="00CE46BF" w:rsidRPr="00172E44">
        <w:rPr>
          <w:rFonts w:cstheme="minorHAnsi"/>
          <w:vertAlign w:val="superscript"/>
        </w:rPr>
        <w:t>st</w:t>
      </w:r>
      <w:r w:rsidR="00CE46BF" w:rsidRPr="00172E44">
        <w:rPr>
          <w:rFonts w:cstheme="minorHAnsi"/>
        </w:rPr>
        <w:t xml:space="preserve"> October 2013 to 30</w:t>
      </w:r>
      <w:r w:rsidR="00CE46BF" w:rsidRPr="00172E44">
        <w:rPr>
          <w:rFonts w:cstheme="minorHAnsi"/>
          <w:vertAlign w:val="superscript"/>
        </w:rPr>
        <w:t>th</w:t>
      </w:r>
      <w:r w:rsidR="00CE46BF" w:rsidRPr="00172E44">
        <w:rPr>
          <w:rFonts w:cstheme="minorHAnsi"/>
        </w:rPr>
        <w:t xml:space="preserve"> September 2015</w:t>
      </w:r>
      <w:r w:rsidR="00695374" w:rsidRPr="00172E44">
        <w:rPr>
          <w:rFonts w:cstheme="minorHAnsi"/>
        </w:rPr>
        <w:t>,</w:t>
      </w:r>
      <w:r w:rsidR="00F8669B" w:rsidRPr="00172E44">
        <w:rPr>
          <w:rFonts w:cstheme="minorHAnsi"/>
        </w:rPr>
        <w:t xml:space="preserve"> a </w:t>
      </w:r>
      <w:r w:rsidR="00A66326" w:rsidRPr="00172E44">
        <w:rPr>
          <w:rFonts w:cstheme="minorHAnsi"/>
        </w:rPr>
        <w:t>12-month</w:t>
      </w:r>
      <w:r w:rsidR="00A56117" w:rsidRPr="00172E44">
        <w:rPr>
          <w:rFonts w:cstheme="minorHAnsi"/>
        </w:rPr>
        <w:t xml:space="preserve"> </w:t>
      </w:r>
      <w:r w:rsidR="00F8669B" w:rsidRPr="00172E44">
        <w:rPr>
          <w:rFonts w:cstheme="minorHAnsi"/>
        </w:rPr>
        <w:t xml:space="preserve">period </w:t>
      </w:r>
      <w:r w:rsidR="00695374" w:rsidRPr="00172E44">
        <w:rPr>
          <w:rFonts w:cstheme="minorHAnsi"/>
        </w:rPr>
        <w:t xml:space="preserve">when </w:t>
      </w:r>
      <w:r w:rsidR="00F8669B" w:rsidRPr="00172E44">
        <w:rPr>
          <w:rFonts w:cstheme="minorHAnsi"/>
        </w:rPr>
        <w:t>an</w:t>
      </w:r>
      <w:r w:rsidR="00695374" w:rsidRPr="00172E44">
        <w:rPr>
          <w:rFonts w:cstheme="minorHAnsi"/>
        </w:rPr>
        <w:t xml:space="preserve"> indoor-only </w:t>
      </w:r>
      <w:r w:rsidR="00F8669B" w:rsidRPr="00172E44">
        <w:rPr>
          <w:rFonts w:cstheme="minorHAnsi"/>
        </w:rPr>
        <w:t xml:space="preserve">smoke-free </w:t>
      </w:r>
      <w:r w:rsidR="00695374" w:rsidRPr="00172E44">
        <w:rPr>
          <w:rFonts w:cstheme="minorHAnsi"/>
        </w:rPr>
        <w:t>policy was in place</w:t>
      </w:r>
      <w:r w:rsidR="00F8669B" w:rsidRPr="00172E44">
        <w:rPr>
          <w:rFonts w:cstheme="minorHAnsi"/>
        </w:rPr>
        <w:t>, followed by</w:t>
      </w:r>
      <w:r w:rsidR="00A56117" w:rsidRPr="00172E44">
        <w:rPr>
          <w:rFonts w:cstheme="minorHAnsi"/>
        </w:rPr>
        <w:t xml:space="preserve"> </w:t>
      </w:r>
      <w:r w:rsidR="00F8669B" w:rsidRPr="00172E44">
        <w:rPr>
          <w:rFonts w:cstheme="minorHAnsi"/>
        </w:rPr>
        <w:t xml:space="preserve">a further </w:t>
      </w:r>
      <w:r w:rsidR="00695374" w:rsidRPr="00172E44">
        <w:rPr>
          <w:rFonts w:cstheme="minorHAnsi"/>
        </w:rPr>
        <w:t>12</w:t>
      </w:r>
      <w:r w:rsidR="003825B5" w:rsidRPr="00172E44">
        <w:rPr>
          <w:rFonts w:cstheme="minorHAnsi"/>
        </w:rPr>
        <w:t>-</w:t>
      </w:r>
      <w:r w:rsidR="00695374" w:rsidRPr="00172E44">
        <w:rPr>
          <w:rFonts w:cstheme="minorHAnsi"/>
        </w:rPr>
        <w:t>month</w:t>
      </w:r>
      <w:r w:rsidR="003825B5" w:rsidRPr="00172E44">
        <w:rPr>
          <w:rFonts w:cstheme="minorHAnsi"/>
        </w:rPr>
        <w:t xml:space="preserve"> period</w:t>
      </w:r>
      <w:r w:rsidR="00A56117" w:rsidRPr="00172E44">
        <w:rPr>
          <w:rFonts w:cstheme="minorHAnsi"/>
        </w:rPr>
        <w:t xml:space="preserve"> </w:t>
      </w:r>
      <w:r w:rsidR="00F8669B" w:rsidRPr="00172E44">
        <w:rPr>
          <w:rFonts w:cstheme="minorHAnsi"/>
        </w:rPr>
        <w:t xml:space="preserve">after </w:t>
      </w:r>
      <w:r w:rsidR="003825B5" w:rsidRPr="00172E44">
        <w:rPr>
          <w:rFonts w:cstheme="minorHAnsi"/>
        </w:rPr>
        <w:t>the</w:t>
      </w:r>
      <w:r w:rsidR="00A56117" w:rsidRPr="00172E44">
        <w:rPr>
          <w:rFonts w:cstheme="minorHAnsi"/>
        </w:rPr>
        <w:t xml:space="preserve"> </w:t>
      </w:r>
      <w:r w:rsidR="00695374" w:rsidRPr="00172E44">
        <w:rPr>
          <w:rFonts w:cstheme="minorHAnsi"/>
        </w:rPr>
        <w:t xml:space="preserve">comprehensive </w:t>
      </w:r>
      <w:r w:rsidR="00F8669B" w:rsidRPr="00172E44">
        <w:rPr>
          <w:rFonts w:cstheme="minorHAnsi"/>
        </w:rPr>
        <w:t xml:space="preserve">smoke-free </w:t>
      </w:r>
      <w:r w:rsidR="00695374" w:rsidRPr="00172E44">
        <w:rPr>
          <w:rFonts w:cstheme="minorHAnsi"/>
        </w:rPr>
        <w:t>policy</w:t>
      </w:r>
      <w:r w:rsidR="00F8669B" w:rsidRPr="00172E44">
        <w:rPr>
          <w:rFonts w:cstheme="minorHAnsi"/>
        </w:rPr>
        <w:t xml:space="preserve"> was </w:t>
      </w:r>
      <w:r w:rsidR="000735B9" w:rsidRPr="00172E44">
        <w:rPr>
          <w:rFonts w:cstheme="minorHAnsi"/>
        </w:rPr>
        <w:t>introduced</w:t>
      </w:r>
      <w:r w:rsidR="00F8669B" w:rsidRPr="00172E44">
        <w:rPr>
          <w:rFonts w:cstheme="minorHAnsi"/>
        </w:rPr>
        <w:t>.</w:t>
      </w:r>
      <w:r w:rsidR="00A56117" w:rsidRPr="00172E44">
        <w:rPr>
          <w:rFonts w:cstheme="minorHAnsi"/>
        </w:rPr>
        <w:t xml:space="preserve"> </w:t>
      </w:r>
      <w:r w:rsidR="00F75A72" w:rsidRPr="00172E44">
        <w:rPr>
          <w:rFonts w:cstheme="minorHAnsi"/>
        </w:rPr>
        <w:t>W</w:t>
      </w:r>
      <w:r w:rsidR="0081312F" w:rsidRPr="00172E44">
        <w:rPr>
          <w:rFonts w:cstheme="minorHAnsi"/>
        </w:rPr>
        <w:t>e included i</w:t>
      </w:r>
      <w:r w:rsidR="004C7655" w:rsidRPr="00172E44">
        <w:rPr>
          <w:rFonts w:cstheme="minorHAnsi"/>
        </w:rPr>
        <w:t xml:space="preserve">ncidents </w:t>
      </w:r>
      <w:r w:rsidR="0081312F" w:rsidRPr="00172E44">
        <w:rPr>
          <w:rFonts w:cstheme="minorHAnsi"/>
        </w:rPr>
        <w:t xml:space="preserve">that </w:t>
      </w:r>
      <w:r w:rsidR="00B042B0" w:rsidRPr="00172E44">
        <w:rPr>
          <w:rFonts w:cstheme="minorHAnsi"/>
        </w:rPr>
        <w:t>occurred</w:t>
      </w:r>
      <w:r w:rsidR="0081312F" w:rsidRPr="00172E44">
        <w:rPr>
          <w:rFonts w:cstheme="minorHAnsi"/>
        </w:rPr>
        <w:t xml:space="preserve"> on adult wards</w:t>
      </w:r>
      <w:r w:rsidR="00C50E19" w:rsidRPr="00172E44">
        <w:rPr>
          <w:rFonts w:cstheme="minorHAnsi"/>
        </w:rPr>
        <w:t xml:space="preserve">, </w:t>
      </w:r>
      <w:r w:rsidR="00F37E17" w:rsidRPr="00172E44">
        <w:rPr>
          <w:rFonts w:cstheme="minorHAnsi"/>
        </w:rPr>
        <w:t>and excluded incidents in</w:t>
      </w:r>
      <w:r w:rsidR="00A56117" w:rsidRPr="00172E44">
        <w:rPr>
          <w:rFonts w:cstheme="minorHAnsi"/>
        </w:rPr>
        <w:t xml:space="preserve"> </w:t>
      </w:r>
      <w:r w:rsidR="004C7655" w:rsidRPr="00172E44">
        <w:rPr>
          <w:rFonts w:cstheme="minorHAnsi"/>
        </w:rPr>
        <w:t>forensic service</w:t>
      </w:r>
      <w:r w:rsidR="00A26F37" w:rsidRPr="00172E44">
        <w:rPr>
          <w:rFonts w:cstheme="minorHAnsi"/>
        </w:rPr>
        <w:t>s</w:t>
      </w:r>
      <w:r w:rsidR="004C7655" w:rsidRPr="00172E44">
        <w:rPr>
          <w:rFonts w:cstheme="minorHAnsi"/>
        </w:rPr>
        <w:t xml:space="preserve"> because </w:t>
      </w:r>
      <w:r w:rsidR="00A26F37" w:rsidRPr="00172E44">
        <w:rPr>
          <w:rFonts w:cstheme="minorHAnsi"/>
        </w:rPr>
        <w:t xml:space="preserve">a comprehensive smoke-free policy </w:t>
      </w:r>
      <w:r w:rsidR="0005409A" w:rsidRPr="00172E44">
        <w:rPr>
          <w:rFonts w:cstheme="minorHAnsi"/>
        </w:rPr>
        <w:t>had been</w:t>
      </w:r>
      <w:r w:rsidR="00A56117" w:rsidRPr="00172E44">
        <w:rPr>
          <w:rFonts w:cstheme="minorHAnsi"/>
        </w:rPr>
        <w:t xml:space="preserve"> </w:t>
      </w:r>
      <w:r w:rsidR="004C7655" w:rsidRPr="00172E44">
        <w:rPr>
          <w:rFonts w:cstheme="minorHAnsi"/>
        </w:rPr>
        <w:t xml:space="preserve">piloted </w:t>
      </w:r>
      <w:r w:rsidR="00F37E17" w:rsidRPr="00172E44">
        <w:rPr>
          <w:rFonts w:cstheme="minorHAnsi"/>
        </w:rPr>
        <w:t>there</w:t>
      </w:r>
      <w:r w:rsidR="00A56117" w:rsidRPr="00172E44">
        <w:rPr>
          <w:rFonts w:cstheme="minorHAnsi"/>
        </w:rPr>
        <w:t xml:space="preserve"> </w:t>
      </w:r>
      <w:r w:rsidR="001A50C3" w:rsidRPr="00172E44">
        <w:rPr>
          <w:rFonts w:cstheme="minorHAnsi"/>
        </w:rPr>
        <w:t xml:space="preserve">one year earlier than the rest of the </w:t>
      </w:r>
      <w:r w:rsidR="001A50C3" w:rsidRPr="00172E44">
        <w:rPr>
          <w:rFonts w:cstheme="minorHAnsi"/>
          <w:noProof/>
        </w:rPr>
        <w:t>organisation</w:t>
      </w:r>
      <w:r w:rsidR="001A50C3" w:rsidRPr="00172E44">
        <w:rPr>
          <w:rFonts w:cstheme="minorHAnsi"/>
        </w:rPr>
        <w:t>.</w:t>
      </w:r>
      <w:r w:rsidR="00A56117" w:rsidRPr="00172E44">
        <w:rPr>
          <w:rFonts w:cstheme="minorHAnsi"/>
        </w:rPr>
        <w:t xml:space="preserve"> </w:t>
      </w:r>
      <w:r w:rsidR="00EB2532" w:rsidRPr="00172E44">
        <w:rPr>
          <w:rFonts w:cstheme="minorHAnsi"/>
        </w:rPr>
        <w:t>Data</w:t>
      </w:r>
      <w:r w:rsidR="00A56117" w:rsidRPr="00172E44">
        <w:rPr>
          <w:rFonts w:cstheme="minorHAnsi"/>
        </w:rPr>
        <w:t xml:space="preserve"> </w:t>
      </w:r>
      <w:r w:rsidR="00F71718" w:rsidRPr="00172E44">
        <w:rPr>
          <w:rFonts w:cstheme="minorHAnsi"/>
        </w:rPr>
        <w:t xml:space="preserve">were extracted from incident reports </w:t>
      </w:r>
      <w:r w:rsidR="00EB2532" w:rsidRPr="00172E44">
        <w:rPr>
          <w:rFonts w:cstheme="minorHAnsi"/>
        </w:rPr>
        <w:t>recorded in</w:t>
      </w:r>
      <w:r w:rsidR="00F71718" w:rsidRPr="00172E44">
        <w:rPr>
          <w:rFonts w:cstheme="minorHAnsi"/>
        </w:rPr>
        <w:t xml:space="preserve"> Datixweb, an online reporting system</w:t>
      </w:r>
      <w:r w:rsidR="00CE46BF" w:rsidRPr="00172E44">
        <w:rPr>
          <w:rFonts w:cstheme="minorHAnsi"/>
        </w:rPr>
        <w:t>. S</w:t>
      </w:r>
      <w:r w:rsidR="00F71718" w:rsidRPr="00172E44">
        <w:rPr>
          <w:rFonts w:cstheme="minorHAnsi"/>
        </w:rPr>
        <w:t xml:space="preserve">taff </w:t>
      </w:r>
      <w:r w:rsidR="009014F8" w:rsidRPr="00172E44">
        <w:rPr>
          <w:rFonts w:cstheme="minorHAnsi"/>
          <w:noProof/>
        </w:rPr>
        <w:t>were</w:t>
      </w:r>
      <w:r w:rsidR="00A56117" w:rsidRPr="00172E44">
        <w:rPr>
          <w:rFonts w:cstheme="minorHAnsi"/>
          <w:noProof/>
        </w:rPr>
        <w:t xml:space="preserve"> </w:t>
      </w:r>
      <w:r w:rsidR="00F71718" w:rsidRPr="00172E44">
        <w:rPr>
          <w:rFonts w:cstheme="minorHAnsi"/>
        </w:rPr>
        <w:t xml:space="preserve">required to report details of incidents relating to patient safety within 24 hours of an event. The incident reports </w:t>
      </w:r>
      <w:r w:rsidR="009014F8" w:rsidRPr="00172E44">
        <w:rPr>
          <w:rFonts w:cstheme="minorHAnsi"/>
        </w:rPr>
        <w:t xml:space="preserve">were </w:t>
      </w:r>
      <w:r w:rsidR="00F71718" w:rsidRPr="00172E44">
        <w:rPr>
          <w:rFonts w:cstheme="minorHAnsi"/>
        </w:rPr>
        <w:t xml:space="preserve">completed by </w:t>
      </w:r>
      <w:r w:rsidR="000A71F5" w:rsidRPr="00172E44">
        <w:rPr>
          <w:rFonts w:cstheme="minorHAnsi"/>
        </w:rPr>
        <w:t>a</w:t>
      </w:r>
      <w:r w:rsidR="00F71718" w:rsidRPr="00172E44">
        <w:rPr>
          <w:rFonts w:cstheme="minorHAnsi"/>
        </w:rPr>
        <w:t xml:space="preserve"> staff member who observed the incident </w:t>
      </w:r>
      <w:r w:rsidR="00A56117" w:rsidRPr="00172E44">
        <w:rPr>
          <w:rFonts w:cstheme="minorHAnsi"/>
        </w:rPr>
        <w:t xml:space="preserve">and was then scrutinised further by </w:t>
      </w:r>
      <w:r w:rsidR="008005D2" w:rsidRPr="00172E44">
        <w:rPr>
          <w:rFonts w:cstheme="minorHAnsi"/>
        </w:rPr>
        <w:t>a</w:t>
      </w:r>
      <w:r w:rsidR="00A56117" w:rsidRPr="00172E44">
        <w:rPr>
          <w:rFonts w:cstheme="minorHAnsi"/>
        </w:rPr>
        <w:t xml:space="preserve"> senior</w:t>
      </w:r>
      <w:r w:rsidR="008005D2" w:rsidRPr="00172E44">
        <w:rPr>
          <w:rFonts w:cstheme="minorHAnsi"/>
        </w:rPr>
        <w:t xml:space="preserve"> </w:t>
      </w:r>
      <w:r w:rsidR="00F71718" w:rsidRPr="00172E44">
        <w:rPr>
          <w:rFonts w:cstheme="minorHAnsi"/>
        </w:rPr>
        <w:t>manager</w:t>
      </w:r>
      <w:r w:rsidR="00AA30BB" w:rsidRPr="00172E44">
        <w:rPr>
          <w:rFonts w:cstheme="minorHAnsi"/>
        </w:rPr>
        <w:t>.</w:t>
      </w:r>
      <w:r w:rsidR="00A56117" w:rsidRPr="00172E44">
        <w:rPr>
          <w:rFonts w:cstheme="minorHAnsi"/>
        </w:rPr>
        <w:t xml:space="preserve"> </w:t>
      </w:r>
      <w:r w:rsidR="00B1663C" w:rsidRPr="00172E44">
        <w:rPr>
          <w:rFonts w:cstheme="minorHAnsi"/>
        </w:rPr>
        <w:t>Datixweb</w:t>
      </w:r>
      <w:r w:rsidR="005D67BC" w:rsidRPr="00172E44">
        <w:rPr>
          <w:rFonts w:cstheme="minorHAnsi"/>
        </w:rPr>
        <w:t xml:space="preserve"> contains structured fields </w:t>
      </w:r>
      <w:r w:rsidR="00001AC7" w:rsidRPr="00172E44">
        <w:rPr>
          <w:rFonts w:cstheme="minorHAnsi"/>
        </w:rPr>
        <w:t xml:space="preserve">to record </w:t>
      </w:r>
      <w:r w:rsidR="005D67BC" w:rsidRPr="00172E44">
        <w:rPr>
          <w:rFonts w:cstheme="minorHAnsi"/>
        </w:rPr>
        <w:t>the type</w:t>
      </w:r>
      <w:r w:rsidR="00F75A72" w:rsidRPr="00172E44">
        <w:rPr>
          <w:rFonts w:cstheme="minorHAnsi"/>
        </w:rPr>
        <w:t>,</w:t>
      </w:r>
      <w:r w:rsidR="00A56117" w:rsidRPr="00172E44">
        <w:rPr>
          <w:rFonts w:cstheme="minorHAnsi"/>
        </w:rPr>
        <w:t xml:space="preserve"> </w:t>
      </w:r>
      <w:r w:rsidR="00F75A72" w:rsidRPr="00172E44">
        <w:rPr>
          <w:rFonts w:cstheme="minorHAnsi"/>
        </w:rPr>
        <w:t xml:space="preserve">time, </w:t>
      </w:r>
      <w:r w:rsidR="005D67BC" w:rsidRPr="00172E44">
        <w:rPr>
          <w:rFonts w:cstheme="minorHAnsi"/>
        </w:rPr>
        <w:t xml:space="preserve">date, </w:t>
      </w:r>
      <w:r w:rsidR="00F75A72" w:rsidRPr="00172E44">
        <w:rPr>
          <w:rFonts w:cstheme="minorHAnsi"/>
        </w:rPr>
        <w:t xml:space="preserve">and </w:t>
      </w:r>
      <w:r w:rsidR="005D67BC" w:rsidRPr="00172E44">
        <w:rPr>
          <w:rFonts w:cstheme="minorHAnsi"/>
        </w:rPr>
        <w:t>location of the incident</w:t>
      </w:r>
      <w:r w:rsidR="00387C38" w:rsidRPr="00172E44">
        <w:rPr>
          <w:rFonts w:cstheme="minorHAnsi"/>
        </w:rPr>
        <w:t>.</w:t>
      </w:r>
      <w:r w:rsidR="00A56117" w:rsidRPr="00172E44">
        <w:rPr>
          <w:rFonts w:cstheme="minorHAnsi"/>
        </w:rPr>
        <w:t xml:space="preserve"> </w:t>
      </w:r>
      <w:r w:rsidR="0052488A" w:rsidRPr="00172E44">
        <w:rPr>
          <w:rFonts w:cstheme="minorHAnsi"/>
        </w:rPr>
        <w:t xml:space="preserve">It also </w:t>
      </w:r>
      <w:r w:rsidR="00732EAF" w:rsidRPr="00172E44">
        <w:rPr>
          <w:rFonts w:cstheme="minorHAnsi"/>
        </w:rPr>
        <w:t>contains two</w:t>
      </w:r>
      <w:r w:rsidR="005D67BC" w:rsidRPr="00172E44">
        <w:rPr>
          <w:rFonts w:cstheme="minorHAnsi"/>
        </w:rPr>
        <w:t xml:space="preserve"> unstructured fields</w:t>
      </w:r>
      <w:r w:rsidR="00253FED" w:rsidRPr="00172E44">
        <w:rPr>
          <w:rFonts w:cstheme="minorHAnsi"/>
        </w:rPr>
        <w:t xml:space="preserve"> to </w:t>
      </w:r>
      <w:r w:rsidR="0052488A" w:rsidRPr="00172E44">
        <w:rPr>
          <w:rFonts w:cstheme="minorHAnsi"/>
        </w:rPr>
        <w:t xml:space="preserve">include a </w:t>
      </w:r>
      <w:r w:rsidR="00253FED" w:rsidRPr="00172E44">
        <w:rPr>
          <w:rFonts w:cstheme="minorHAnsi"/>
        </w:rPr>
        <w:t>descri</w:t>
      </w:r>
      <w:r w:rsidR="0052488A" w:rsidRPr="00172E44">
        <w:rPr>
          <w:rFonts w:cstheme="minorHAnsi"/>
        </w:rPr>
        <w:t>ption</w:t>
      </w:r>
      <w:r w:rsidR="007854E4" w:rsidRPr="00172E44">
        <w:rPr>
          <w:rFonts w:cstheme="minorHAnsi"/>
        </w:rPr>
        <w:t xml:space="preserve"> of</w:t>
      </w:r>
      <w:r w:rsidR="00253FED" w:rsidRPr="00172E44">
        <w:rPr>
          <w:rFonts w:cstheme="minorHAnsi"/>
        </w:rPr>
        <w:t xml:space="preserve"> the incident and its management</w:t>
      </w:r>
      <w:r w:rsidR="003F4DBF" w:rsidRPr="00172E44">
        <w:rPr>
          <w:rFonts w:cstheme="minorHAnsi"/>
        </w:rPr>
        <w:t>.</w:t>
      </w:r>
      <w:bookmarkStart w:id="2" w:name="_Hlk14765779"/>
      <w:r w:rsidR="00A56117" w:rsidRPr="00172E44">
        <w:rPr>
          <w:rFonts w:cstheme="minorHAnsi"/>
        </w:rPr>
        <w:t xml:space="preserve"> </w:t>
      </w:r>
      <w:r w:rsidR="00794FC4" w:rsidRPr="00172E44">
        <w:rPr>
          <w:rFonts w:cstheme="minorHAnsi"/>
        </w:rPr>
        <w:t xml:space="preserve">Physical violence was defined </w:t>
      </w:r>
      <w:r w:rsidR="00283B09" w:rsidRPr="00172E44">
        <w:rPr>
          <w:rFonts w:cstheme="minorHAnsi"/>
        </w:rPr>
        <w:t xml:space="preserve">as </w:t>
      </w:r>
      <w:r w:rsidR="002C1587" w:rsidRPr="00172E44">
        <w:rPr>
          <w:rFonts w:cstheme="minorHAnsi"/>
        </w:rPr>
        <w:t xml:space="preserve">intentional </w:t>
      </w:r>
      <w:r w:rsidR="00732EAF" w:rsidRPr="00172E44">
        <w:rPr>
          <w:rFonts w:cstheme="minorHAnsi"/>
        </w:rPr>
        <w:t xml:space="preserve">and </w:t>
      </w:r>
      <w:r w:rsidR="002C1587" w:rsidRPr="00172E44">
        <w:rPr>
          <w:rFonts w:cstheme="minorHAnsi"/>
        </w:rPr>
        <w:t>unlawful, unwanted or unwarranted</w:t>
      </w:r>
      <w:r w:rsidR="00A56117" w:rsidRPr="00172E44">
        <w:rPr>
          <w:rFonts w:cstheme="minorHAnsi"/>
        </w:rPr>
        <w:t xml:space="preserve"> </w:t>
      </w:r>
      <w:r w:rsidR="00CA6529" w:rsidRPr="00172E44">
        <w:rPr>
          <w:rFonts w:cstheme="minorHAnsi"/>
        </w:rPr>
        <w:t>force against another person</w:t>
      </w:r>
      <w:r w:rsidR="002C1587" w:rsidRPr="00172E44">
        <w:rPr>
          <w:rFonts w:cstheme="minorHAnsi"/>
        </w:rPr>
        <w:t>, resulting in physical injury or discomfort. Physical contact had to occur, either directly (person to person) or indirectly</w:t>
      </w:r>
      <w:r w:rsidR="00EF4B30" w:rsidRPr="00172E44">
        <w:rPr>
          <w:rFonts w:cstheme="minorHAnsi"/>
        </w:rPr>
        <w:t xml:space="preserve">, </w:t>
      </w:r>
      <w:r w:rsidR="002C1587" w:rsidRPr="00172E44">
        <w:rPr>
          <w:rFonts w:cstheme="minorHAnsi"/>
        </w:rPr>
        <w:t>i.e. the use of liquid or a weapon</w:t>
      </w:r>
      <w:r w:rsidR="00EF4B30" w:rsidRPr="00172E44">
        <w:rPr>
          <w:rFonts w:cstheme="minorHAnsi"/>
        </w:rPr>
        <w:t xml:space="preserve"> (NHS Protect Publications, 2016)</w:t>
      </w:r>
      <w:r w:rsidR="002C1587" w:rsidRPr="00172E44">
        <w:rPr>
          <w:rFonts w:cstheme="minorHAnsi"/>
        </w:rPr>
        <w:t xml:space="preserve">. </w:t>
      </w:r>
      <w:bookmarkStart w:id="3" w:name="_Hlk14765790"/>
      <w:bookmarkEnd w:id="2"/>
      <w:r w:rsidR="002C1587" w:rsidRPr="00172E44">
        <w:rPr>
          <w:rFonts w:cstheme="minorHAnsi"/>
        </w:rPr>
        <w:t>For the violence to be smoking-related, the record of the antecedent had to include a smoking-related term (e.g. smoke, tobacco or cigarettes).</w:t>
      </w:r>
      <w:bookmarkEnd w:id="3"/>
      <w:r w:rsidR="00A56117" w:rsidRPr="00172E44">
        <w:rPr>
          <w:rFonts w:cstheme="minorHAnsi"/>
        </w:rPr>
        <w:t xml:space="preserve"> </w:t>
      </w:r>
      <w:r w:rsidR="00CE46BF" w:rsidRPr="00172E44">
        <w:rPr>
          <w:rFonts w:cstheme="minorHAnsi"/>
        </w:rPr>
        <w:t xml:space="preserve">Data extracted from structured fields </w:t>
      </w:r>
      <w:r w:rsidR="00B54CC6" w:rsidRPr="00172E44">
        <w:rPr>
          <w:rFonts w:cstheme="minorHAnsi"/>
        </w:rPr>
        <w:t>with</w:t>
      </w:r>
      <w:r w:rsidRPr="00172E44">
        <w:rPr>
          <w:rFonts w:cstheme="minorHAnsi"/>
        </w:rPr>
        <w:t>in</w:t>
      </w:r>
      <w:r w:rsidR="00CE46BF" w:rsidRPr="00172E44">
        <w:rPr>
          <w:rFonts w:cstheme="minorHAnsi"/>
        </w:rPr>
        <w:t xml:space="preserve"> the</w:t>
      </w:r>
      <w:r w:rsidRPr="00172E44">
        <w:rPr>
          <w:rFonts w:cstheme="minorHAnsi"/>
        </w:rPr>
        <w:t xml:space="preserve"> incident re</w:t>
      </w:r>
      <w:r w:rsidR="00DE3281" w:rsidRPr="00172E44">
        <w:rPr>
          <w:rFonts w:cstheme="minorHAnsi"/>
        </w:rPr>
        <w:t>port</w:t>
      </w:r>
      <w:r w:rsidR="00A56117" w:rsidRPr="00172E44">
        <w:rPr>
          <w:rFonts w:cstheme="minorHAnsi"/>
        </w:rPr>
        <w:t xml:space="preserve"> </w:t>
      </w:r>
      <w:r w:rsidRPr="00172E44">
        <w:rPr>
          <w:rFonts w:cstheme="minorHAnsi"/>
        </w:rPr>
        <w:t xml:space="preserve">included </w:t>
      </w:r>
      <w:r w:rsidR="0085143E" w:rsidRPr="00172E44">
        <w:rPr>
          <w:rFonts w:cstheme="minorHAnsi"/>
        </w:rPr>
        <w:t xml:space="preserve">date of the violence and whom </w:t>
      </w:r>
      <w:r w:rsidR="00F0418C" w:rsidRPr="00172E44">
        <w:rPr>
          <w:rFonts w:cstheme="minorHAnsi"/>
        </w:rPr>
        <w:t xml:space="preserve">it </w:t>
      </w:r>
      <w:r w:rsidR="0085143E" w:rsidRPr="00172E44">
        <w:rPr>
          <w:rFonts w:cstheme="minorHAnsi"/>
        </w:rPr>
        <w:t>was directed towards</w:t>
      </w:r>
      <w:r w:rsidR="00B54CC6" w:rsidRPr="00172E44">
        <w:rPr>
          <w:rFonts w:cstheme="minorHAnsi"/>
        </w:rPr>
        <w:t>.</w:t>
      </w:r>
      <w:r w:rsidR="00746A3B" w:rsidRPr="00172E44">
        <w:rPr>
          <w:rFonts w:cstheme="minorHAnsi"/>
        </w:rPr>
        <w:t xml:space="preserve"> </w:t>
      </w:r>
      <w:r w:rsidR="00B54CC6" w:rsidRPr="00172E44">
        <w:rPr>
          <w:rFonts w:cstheme="minorHAnsi"/>
        </w:rPr>
        <w:t>D</w:t>
      </w:r>
      <w:r w:rsidR="0085143E" w:rsidRPr="00172E44">
        <w:rPr>
          <w:rFonts w:cstheme="minorHAnsi"/>
        </w:rPr>
        <w:t>etails of the antecedents</w:t>
      </w:r>
      <w:r w:rsidR="00F37E17" w:rsidRPr="00172E44">
        <w:rPr>
          <w:rFonts w:cstheme="minorHAnsi"/>
        </w:rPr>
        <w:t>,</w:t>
      </w:r>
      <w:r w:rsidR="00A56117" w:rsidRPr="00172E44">
        <w:rPr>
          <w:rFonts w:cstheme="minorHAnsi"/>
        </w:rPr>
        <w:t xml:space="preserve"> </w:t>
      </w:r>
      <w:r w:rsidR="00F0418C" w:rsidRPr="00172E44">
        <w:rPr>
          <w:rFonts w:cstheme="minorHAnsi"/>
        </w:rPr>
        <w:t xml:space="preserve">type of </w:t>
      </w:r>
      <w:r w:rsidR="00E63B0C" w:rsidRPr="00172E44">
        <w:rPr>
          <w:rFonts w:cstheme="minorHAnsi"/>
        </w:rPr>
        <w:t>assault</w:t>
      </w:r>
      <w:r w:rsidR="00B34292" w:rsidRPr="00172E44">
        <w:rPr>
          <w:rFonts w:cstheme="minorHAnsi"/>
        </w:rPr>
        <w:t>,</w:t>
      </w:r>
      <w:r w:rsidR="00B54CC6" w:rsidRPr="00172E44">
        <w:rPr>
          <w:rFonts w:cstheme="minorHAnsi"/>
        </w:rPr>
        <w:t xml:space="preserve"> injury sustained</w:t>
      </w:r>
      <w:r w:rsidR="00A068D2" w:rsidRPr="00172E44">
        <w:rPr>
          <w:rFonts w:cstheme="minorHAnsi"/>
        </w:rPr>
        <w:t xml:space="preserve">, </w:t>
      </w:r>
      <w:r w:rsidR="00BC647E" w:rsidRPr="00172E44">
        <w:rPr>
          <w:rFonts w:cstheme="minorHAnsi"/>
        </w:rPr>
        <w:t>and</w:t>
      </w:r>
      <w:r w:rsidR="00A56117" w:rsidRPr="00172E44">
        <w:rPr>
          <w:rFonts w:cstheme="minorHAnsi"/>
        </w:rPr>
        <w:t xml:space="preserve"> </w:t>
      </w:r>
      <w:r w:rsidR="005869AF" w:rsidRPr="00172E44">
        <w:rPr>
          <w:rFonts w:cstheme="minorHAnsi"/>
        </w:rPr>
        <w:t>containment interventions used</w:t>
      </w:r>
      <w:r w:rsidR="00A068D2" w:rsidRPr="00172E44">
        <w:rPr>
          <w:rFonts w:cstheme="minorHAnsi"/>
        </w:rPr>
        <w:t>,</w:t>
      </w:r>
      <w:r w:rsidR="00A56117" w:rsidRPr="00172E44">
        <w:rPr>
          <w:rFonts w:cstheme="minorHAnsi"/>
        </w:rPr>
        <w:t xml:space="preserve"> </w:t>
      </w:r>
      <w:r w:rsidR="00B2711C" w:rsidRPr="00172E44">
        <w:rPr>
          <w:rFonts w:cstheme="minorHAnsi"/>
        </w:rPr>
        <w:t>where provided,</w:t>
      </w:r>
      <w:r w:rsidR="00A56117" w:rsidRPr="00172E44">
        <w:rPr>
          <w:rFonts w:cstheme="minorHAnsi"/>
        </w:rPr>
        <w:t xml:space="preserve"> </w:t>
      </w:r>
      <w:r w:rsidR="00B54CC6" w:rsidRPr="00172E44">
        <w:rPr>
          <w:rFonts w:cstheme="minorHAnsi"/>
        </w:rPr>
        <w:t>were extracted from</w:t>
      </w:r>
      <w:r w:rsidR="0085143E" w:rsidRPr="00172E44">
        <w:rPr>
          <w:rFonts w:cstheme="minorHAnsi"/>
        </w:rPr>
        <w:t xml:space="preserve"> the free</w:t>
      </w:r>
      <w:r w:rsidR="00BC647E" w:rsidRPr="00172E44">
        <w:rPr>
          <w:rFonts w:cstheme="minorHAnsi"/>
        </w:rPr>
        <w:t>-</w:t>
      </w:r>
      <w:r w:rsidR="0085143E" w:rsidRPr="00172E44">
        <w:rPr>
          <w:rFonts w:cstheme="minorHAnsi"/>
        </w:rPr>
        <w:t xml:space="preserve">text </w:t>
      </w:r>
      <w:r w:rsidR="00B54CC6" w:rsidRPr="00172E44">
        <w:rPr>
          <w:rFonts w:cstheme="minorHAnsi"/>
        </w:rPr>
        <w:t xml:space="preserve">field within </w:t>
      </w:r>
      <w:r w:rsidR="003825B5" w:rsidRPr="00172E44">
        <w:rPr>
          <w:rFonts w:cstheme="minorHAnsi"/>
        </w:rPr>
        <w:t>each</w:t>
      </w:r>
      <w:r w:rsidR="00A56117" w:rsidRPr="00172E44">
        <w:rPr>
          <w:rFonts w:cstheme="minorHAnsi"/>
        </w:rPr>
        <w:t xml:space="preserve"> </w:t>
      </w:r>
      <w:r w:rsidR="00F0418C" w:rsidRPr="00172E44">
        <w:rPr>
          <w:rFonts w:cstheme="minorHAnsi"/>
        </w:rPr>
        <w:t>incident re</w:t>
      </w:r>
      <w:r w:rsidR="00A27F67" w:rsidRPr="00172E44">
        <w:rPr>
          <w:rFonts w:cstheme="minorHAnsi"/>
        </w:rPr>
        <w:t>port</w:t>
      </w:r>
      <w:r w:rsidR="00F0418C" w:rsidRPr="00172E44">
        <w:rPr>
          <w:rFonts w:cstheme="minorHAnsi"/>
        </w:rPr>
        <w:t xml:space="preserve">. </w:t>
      </w:r>
      <w:r w:rsidR="00E63B0C" w:rsidRPr="00172E44">
        <w:rPr>
          <w:rFonts w:cstheme="minorHAnsi"/>
        </w:rPr>
        <w:t xml:space="preserve">Demographic and clinical characteristics of the </w:t>
      </w:r>
      <w:r w:rsidR="003B7636" w:rsidRPr="00172E44">
        <w:rPr>
          <w:rFonts w:cstheme="minorHAnsi"/>
        </w:rPr>
        <w:t>patients who</w:t>
      </w:r>
      <w:r w:rsidR="00E663CC" w:rsidRPr="00172E44">
        <w:rPr>
          <w:rFonts w:cstheme="minorHAnsi"/>
        </w:rPr>
        <w:t xml:space="preserve"> were reported to have</w:t>
      </w:r>
      <w:r w:rsidR="003B7636" w:rsidRPr="00172E44">
        <w:rPr>
          <w:rFonts w:cstheme="minorHAnsi"/>
        </w:rPr>
        <w:t xml:space="preserve"> initiated the violence</w:t>
      </w:r>
      <w:r w:rsidR="00E63B0C" w:rsidRPr="00172E44">
        <w:rPr>
          <w:rFonts w:cstheme="minorHAnsi"/>
        </w:rPr>
        <w:t xml:space="preserve"> were extracted from electronic healthcare record</w:t>
      </w:r>
      <w:r w:rsidR="00E95328" w:rsidRPr="00172E44">
        <w:rPr>
          <w:rFonts w:cstheme="minorHAnsi"/>
        </w:rPr>
        <w:t>s</w:t>
      </w:r>
      <w:r w:rsidR="00E63B0C" w:rsidRPr="00172E44">
        <w:rPr>
          <w:rFonts w:cstheme="minorHAnsi"/>
        </w:rPr>
        <w:t xml:space="preserve">. </w:t>
      </w:r>
      <w:r w:rsidR="00AA7188" w:rsidRPr="00172E44">
        <w:rPr>
          <w:rFonts w:cstheme="minorHAnsi"/>
        </w:rPr>
        <w:t xml:space="preserve">We received approval </w:t>
      </w:r>
      <w:r w:rsidR="0090277A" w:rsidRPr="00172E44">
        <w:rPr>
          <w:rFonts w:cstheme="minorHAnsi"/>
        </w:rPr>
        <w:t xml:space="preserve">from </w:t>
      </w:r>
      <w:r w:rsidR="00E95328" w:rsidRPr="00172E44">
        <w:rPr>
          <w:rFonts w:cstheme="minorHAnsi"/>
        </w:rPr>
        <w:t>the organisation’s</w:t>
      </w:r>
      <w:r w:rsidR="00A56117" w:rsidRPr="00172E44">
        <w:rPr>
          <w:rFonts w:cstheme="minorHAnsi"/>
        </w:rPr>
        <w:t xml:space="preserve"> </w:t>
      </w:r>
      <w:r w:rsidR="00AA7188" w:rsidRPr="00172E44">
        <w:rPr>
          <w:rFonts w:cstheme="minorHAnsi"/>
        </w:rPr>
        <w:t xml:space="preserve">clinical audit department to </w:t>
      </w:r>
      <w:r w:rsidR="00DE3281" w:rsidRPr="00172E44">
        <w:rPr>
          <w:rFonts w:cstheme="minorHAnsi"/>
        </w:rPr>
        <w:t>conduct the study</w:t>
      </w:r>
      <w:r w:rsidR="003C1EF5" w:rsidRPr="00172E44">
        <w:rPr>
          <w:rFonts w:cstheme="minorHAnsi"/>
        </w:rPr>
        <w:t>.</w:t>
      </w:r>
    </w:p>
    <w:p w14:paraId="5B45858B" w14:textId="77777777" w:rsidR="00620531" w:rsidRPr="00172E44" w:rsidRDefault="00F0418C" w:rsidP="00741EC5">
      <w:pPr>
        <w:spacing w:line="480" w:lineRule="auto"/>
      </w:pPr>
      <w:r w:rsidRPr="00172E44">
        <w:t>A</w:t>
      </w:r>
      <w:r w:rsidR="00620531" w:rsidRPr="00172E44">
        <w:t>nalysis</w:t>
      </w:r>
    </w:p>
    <w:p w14:paraId="152109D4" w14:textId="5556697F" w:rsidR="00703C46" w:rsidRPr="00172E44" w:rsidRDefault="004202ED" w:rsidP="00741EC5">
      <w:pPr>
        <w:spacing w:line="480" w:lineRule="auto"/>
        <w:rPr>
          <w:rFonts w:cstheme="minorHAnsi"/>
        </w:rPr>
      </w:pPr>
      <w:r w:rsidRPr="00172E44">
        <w:rPr>
          <w:rFonts w:cstheme="minorHAnsi"/>
        </w:rPr>
        <w:t xml:space="preserve">After reading a sample of the incident reports, DR developed an initial coding framework for the antecedents. </w:t>
      </w:r>
      <w:r w:rsidR="009E2FFC" w:rsidRPr="00172E44">
        <w:rPr>
          <w:rFonts w:cstheme="minorHAnsi"/>
        </w:rPr>
        <w:t>KH</w:t>
      </w:r>
      <w:r w:rsidRPr="00172E44">
        <w:rPr>
          <w:rFonts w:cstheme="minorHAnsi"/>
        </w:rPr>
        <w:t xml:space="preserve"> and </w:t>
      </w:r>
      <w:r w:rsidR="009E2FFC" w:rsidRPr="00172E44">
        <w:rPr>
          <w:rFonts w:cstheme="minorHAnsi"/>
        </w:rPr>
        <w:t>GS</w:t>
      </w:r>
      <w:r w:rsidR="00A56117" w:rsidRPr="00172E44">
        <w:rPr>
          <w:rFonts w:cstheme="minorHAnsi"/>
        </w:rPr>
        <w:t xml:space="preserve"> </w:t>
      </w:r>
      <w:r w:rsidR="007230CC" w:rsidRPr="00172E44">
        <w:rPr>
          <w:rFonts w:cstheme="minorHAnsi"/>
        </w:rPr>
        <w:t>independently</w:t>
      </w:r>
      <w:r w:rsidR="00A56117" w:rsidRPr="00172E44">
        <w:rPr>
          <w:rFonts w:cstheme="minorHAnsi"/>
        </w:rPr>
        <w:t xml:space="preserve"> </w:t>
      </w:r>
      <w:r w:rsidR="00C45EF4" w:rsidRPr="00172E44">
        <w:rPr>
          <w:rFonts w:cstheme="minorHAnsi"/>
          <w:noProof/>
        </w:rPr>
        <w:t>c</w:t>
      </w:r>
      <w:r w:rsidR="004E2F17" w:rsidRPr="00172E44">
        <w:rPr>
          <w:rFonts w:cstheme="minorHAnsi"/>
          <w:noProof/>
        </w:rPr>
        <w:t>ategorised</w:t>
      </w:r>
      <w:r w:rsidR="0080205B" w:rsidRPr="00172E44">
        <w:rPr>
          <w:rFonts w:cstheme="minorHAnsi"/>
        </w:rPr>
        <w:t xml:space="preserve"> the data</w:t>
      </w:r>
      <w:r w:rsidR="00A56117" w:rsidRPr="00172E44">
        <w:rPr>
          <w:rFonts w:cstheme="minorHAnsi"/>
        </w:rPr>
        <w:t xml:space="preserve"> </w:t>
      </w:r>
      <w:r w:rsidR="009C0DFA" w:rsidRPr="00172E44">
        <w:rPr>
          <w:rFonts w:cstheme="minorHAnsi"/>
        </w:rPr>
        <w:t xml:space="preserve">according to the coding framework and developed new codes as they emerged. </w:t>
      </w:r>
      <w:r w:rsidR="00521018" w:rsidRPr="00172E44">
        <w:rPr>
          <w:rFonts w:cstheme="minorHAnsi"/>
        </w:rPr>
        <w:t xml:space="preserve">Incidents could be classified into more than one category. </w:t>
      </w:r>
      <w:r w:rsidR="00454552" w:rsidRPr="00172E44">
        <w:rPr>
          <w:rFonts w:cstheme="minorHAnsi"/>
        </w:rPr>
        <w:t>C</w:t>
      </w:r>
      <w:r w:rsidR="00ED031B" w:rsidRPr="00172E44">
        <w:rPr>
          <w:rFonts w:cstheme="minorHAnsi"/>
        </w:rPr>
        <w:t xml:space="preserve">ontainment interventions </w:t>
      </w:r>
      <w:r w:rsidR="009E2FFC" w:rsidRPr="00172E44">
        <w:rPr>
          <w:rFonts w:cstheme="minorHAnsi"/>
        </w:rPr>
        <w:t xml:space="preserve">were </w:t>
      </w:r>
      <w:r w:rsidR="009E2FFC" w:rsidRPr="00172E44">
        <w:rPr>
          <w:rFonts w:cstheme="minorHAnsi"/>
          <w:noProof/>
        </w:rPr>
        <w:t>analysed</w:t>
      </w:r>
      <w:r w:rsidR="009E2FFC" w:rsidRPr="00172E44">
        <w:rPr>
          <w:rFonts w:cstheme="minorHAnsi"/>
        </w:rPr>
        <w:t xml:space="preserve"> using a coding framework developed by DR and GS</w:t>
      </w:r>
      <w:r w:rsidR="0013520B" w:rsidRPr="00172E44">
        <w:rPr>
          <w:rFonts w:cstheme="minorHAnsi"/>
        </w:rPr>
        <w:t>.</w:t>
      </w:r>
      <w:r w:rsidR="00A56117" w:rsidRPr="00172E44">
        <w:rPr>
          <w:rFonts w:cstheme="minorHAnsi"/>
        </w:rPr>
        <w:t xml:space="preserve"> </w:t>
      </w:r>
      <w:r w:rsidR="002D215F" w:rsidRPr="00172E44">
        <w:rPr>
          <w:rFonts w:cstheme="minorHAnsi"/>
        </w:rPr>
        <w:t xml:space="preserve">These included </w:t>
      </w:r>
      <w:r w:rsidR="00925F23" w:rsidRPr="00172E44">
        <w:rPr>
          <w:rFonts w:cstheme="minorHAnsi"/>
        </w:rPr>
        <w:t>use of time-out (asking the patient to stay in an unlocked room alone on a consensual basis until they are calmer) (Bowers et al. 2012</w:t>
      </w:r>
      <w:r w:rsidR="00925F23" w:rsidRPr="00172E44">
        <w:rPr>
          <w:rFonts w:cstheme="minorHAnsi"/>
          <w:vertAlign w:val="superscript"/>
        </w:rPr>
        <w:t>b</w:t>
      </w:r>
      <w:r w:rsidR="00C971DB" w:rsidRPr="00172E44">
        <w:rPr>
          <w:rFonts w:cstheme="minorHAnsi"/>
        </w:rPr>
        <w:t>),</w:t>
      </w:r>
      <w:r w:rsidR="006815F3" w:rsidRPr="00172E44">
        <w:rPr>
          <w:rFonts w:cstheme="minorHAnsi"/>
        </w:rPr>
        <w:t xml:space="preserve"> </w:t>
      </w:r>
      <w:r w:rsidR="002D215F" w:rsidRPr="00172E44">
        <w:rPr>
          <w:rFonts w:cstheme="minorHAnsi"/>
        </w:rPr>
        <w:t>PRN</w:t>
      </w:r>
      <w:r w:rsidR="00746A3B" w:rsidRPr="00172E44">
        <w:rPr>
          <w:rFonts w:cstheme="minorHAnsi"/>
        </w:rPr>
        <w:t xml:space="preserve"> </w:t>
      </w:r>
      <w:r w:rsidR="00215B81" w:rsidRPr="00172E44">
        <w:rPr>
          <w:rFonts w:cstheme="minorHAnsi"/>
        </w:rPr>
        <w:t>medication (</w:t>
      </w:r>
      <w:bookmarkStart w:id="4" w:name="_Hlk5655252"/>
      <w:r w:rsidR="00215B81" w:rsidRPr="00172E44">
        <w:rPr>
          <w:rFonts w:cstheme="minorHAnsi"/>
        </w:rPr>
        <w:t>Stewart et al</w:t>
      </w:r>
      <w:r w:rsidR="00B06363" w:rsidRPr="00172E44">
        <w:rPr>
          <w:rFonts w:cstheme="minorHAnsi"/>
        </w:rPr>
        <w:t>.</w:t>
      </w:r>
      <w:r w:rsidR="00215B81" w:rsidRPr="00172E44">
        <w:rPr>
          <w:rFonts w:cstheme="minorHAnsi"/>
        </w:rPr>
        <w:t xml:space="preserve"> 2012</w:t>
      </w:r>
      <w:bookmarkEnd w:id="4"/>
      <w:r w:rsidR="00215B81" w:rsidRPr="00172E44">
        <w:rPr>
          <w:rFonts w:cstheme="minorHAnsi"/>
        </w:rPr>
        <w:t>)</w:t>
      </w:r>
      <w:r w:rsidR="009A38BB" w:rsidRPr="00172E44">
        <w:rPr>
          <w:rFonts w:cstheme="minorHAnsi"/>
        </w:rPr>
        <w:t xml:space="preserve">, </w:t>
      </w:r>
      <w:r w:rsidR="002D215F" w:rsidRPr="00172E44">
        <w:rPr>
          <w:rFonts w:cstheme="minorHAnsi"/>
        </w:rPr>
        <w:t>increased observation of a patient (</w:t>
      </w:r>
      <w:bookmarkStart w:id="5" w:name="_Hlk5655258"/>
      <w:r w:rsidR="002D215F" w:rsidRPr="00172E44">
        <w:rPr>
          <w:rFonts w:cstheme="minorHAnsi"/>
        </w:rPr>
        <w:t>Bowers et al</w:t>
      </w:r>
      <w:r w:rsidR="00B06363" w:rsidRPr="00172E44">
        <w:rPr>
          <w:rFonts w:cstheme="minorHAnsi"/>
        </w:rPr>
        <w:t>.</w:t>
      </w:r>
      <w:r w:rsidR="002D215F" w:rsidRPr="00172E44">
        <w:rPr>
          <w:rFonts w:cstheme="minorHAnsi"/>
        </w:rPr>
        <w:t xml:space="preserve"> 2004</w:t>
      </w:r>
      <w:bookmarkEnd w:id="5"/>
      <w:r w:rsidR="002D215F" w:rsidRPr="00172E44">
        <w:rPr>
          <w:rFonts w:cstheme="minorHAnsi"/>
        </w:rPr>
        <w:t>)</w:t>
      </w:r>
      <w:r w:rsidR="00330754" w:rsidRPr="00172E44">
        <w:rPr>
          <w:rFonts w:cstheme="minorHAnsi"/>
        </w:rPr>
        <w:t>, restraint which involves manually holding a patient to prevent movement (Bowers et al</w:t>
      </w:r>
      <w:r w:rsidR="00B06363" w:rsidRPr="00172E44">
        <w:rPr>
          <w:rFonts w:cstheme="minorHAnsi"/>
        </w:rPr>
        <w:t>.</w:t>
      </w:r>
      <w:r w:rsidR="00330754" w:rsidRPr="00172E44">
        <w:rPr>
          <w:rFonts w:cstheme="minorHAnsi"/>
        </w:rPr>
        <w:t xml:space="preserve"> 201</w:t>
      </w:r>
      <w:r w:rsidR="00081FBB" w:rsidRPr="00172E44">
        <w:rPr>
          <w:rFonts w:cstheme="minorHAnsi"/>
        </w:rPr>
        <w:t>2</w:t>
      </w:r>
      <w:r w:rsidR="00486A76" w:rsidRPr="00172E44">
        <w:rPr>
          <w:rFonts w:cstheme="minorHAnsi"/>
          <w:vertAlign w:val="superscript"/>
        </w:rPr>
        <w:t>a</w:t>
      </w:r>
      <w:r w:rsidR="00330754" w:rsidRPr="00172E44">
        <w:rPr>
          <w:rFonts w:cstheme="minorHAnsi"/>
        </w:rPr>
        <w:t>)</w:t>
      </w:r>
      <w:r w:rsidR="008C536C" w:rsidRPr="00172E44">
        <w:rPr>
          <w:rFonts w:cstheme="minorHAnsi"/>
        </w:rPr>
        <w:t xml:space="preserve"> and seclusion (the isolation of a patient in a locked room) (Ross</w:t>
      </w:r>
      <w:r w:rsidR="00695374" w:rsidRPr="00172E44">
        <w:rPr>
          <w:rFonts w:cstheme="minorHAnsi"/>
        </w:rPr>
        <w:t xml:space="preserve"> et al.</w:t>
      </w:r>
      <w:r w:rsidR="008C536C" w:rsidRPr="00172E44">
        <w:rPr>
          <w:rFonts w:cstheme="minorHAnsi"/>
        </w:rPr>
        <w:t xml:space="preserve"> 2012). </w:t>
      </w:r>
      <w:r w:rsidR="008D38AF" w:rsidRPr="00172E44">
        <w:rPr>
          <w:rFonts w:cstheme="minorHAnsi"/>
        </w:rPr>
        <w:t xml:space="preserve">We also </w:t>
      </w:r>
      <w:r w:rsidR="008C536C" w:rsidRPr="00172E44">
        <w:rPr>
          <w:rFonts w:cstheme="minorHAnsi"/>
        </w:rPr>
        <w:t xml:space="preserve">included </w:t>
      </w:r>
      <w:r w:rsidR="002D215F" w:rsidRPr="00172E44">
        <w:rPr>
          <w:rFonts w:cstheme="minorHAnsi"/>
        </w:rPr>
        <w:t xml:space="preserve">de-escalation </w:t>
      </w:r>
      <w:r w:rsidR="00445344" w:rsidRPr="00172E44">
        <w:rPr>
          <w:rFonts w:cstheme="minorHAnsi"/>
        </w:rPr>
        <w:t xml:space="preserve">which involves </w:t>
      </w:r>
      <w:r w:rsidR="002D215F" w:rsidRPr="00172E44">
        <w:rPr>
          <w:rFonts w:cstheme="minorHAnsi"/>
        </w:rPr>
        <w:t>verbal and non-verbal communication to diffuse violence (</w:t>
      </w:r>
      <w:r w:rsidR="005B5922" w:rsidRPr="00172E44">
        <w:rPr>
          <w:rFonts w:cstheme="minorHAnsi"/>
        </w:rPr>
        <w:t>NICE</w:t>
      </w:r>
      <w:r w:rsidR="002D215F" w:rsidRPr="00172E44">
        <w:rPr>
          <w:rFonts w:cstheme="minorHAnsi"/>
        </w:rPr>
        <w:t xml:space="preserve"> 2015</w:t>
      </w:r>
      <w:r w:rsidR="00C50E19" w:rsidRPr="00172E44">
        <w:rPr>
          <w:rFonts w:cstheme="minorHAnsi"/>
        </w:rPr>
        <w:t>.</w:t>
      </w:r>
      <w:r w:rsidR="00746A3B" w:rsidRPr="00172E44">
        <w:rPr>
          <w:rFonts w:cstheme="minorHAnsi"/>
        </w:rPr>
        <w:t xml:space="preserve"> </w:t>
      </w:r>
      <w:r w:rsidR="00A07BB4" w:rsidRPr="00172E44">
        <w:rPr>
          <w:rFonts w:cstheme="minorHAnsi"/>
        </w:rPr>
        <w:t xml:space="preserve">The nature of assaults and injuries sustained were coded inductively from the free text fields of the incident reports. </w:t>
      </w:r>
      <w:r w:rsidR="00745D95" w:rsidRPr="00172E44">
        <w:rPr>
          <w:rFonts w:cstheme="minorHAnsi"/>
        </w:rPr>
        <w:t>Quality checks were conducted</w:t>
      </w:r>
      <w:r w:rsidR="002E3BAA" w:rsidRPr="00172E44">
        <w:rPr>
          <w:rFonts w:cstheme="minorHAnsi"/>
        </w:rPr>
        <w:t xml:space="preserve"> independently by GS and KH </w:t>
      </w:r>
      <w:r w:rsidR="00745D95" w:rsidRPr="00172E44">
        <w:rPr>
          <w:rFonts w:cstheme="minorHAnsi"/>
        </w:rPr>
        <w:t xml:space="preserve">on </w:t>
      </w:r>
      <w:r w:rsidR="002E3BAA" w:rsidRPr="00172E44">
        <w:rPr>
          <w:rFonts w:cstheme="minorHAnsi"/>
        </w:rPr>
        <w:t>1</w:t>
      </w:r>
      <w:r w:rsidR="00745D95" w:rsidRPr="00172E44">
        <w:rPr>
          <w:rFonts w:cstheme="minorHAnsi"/>
        </w:rPr>
        <w:t>0% of</w:t>
      </w:r>
      <w:r w:rsidR="002E3BAA" w:rsidRPr="00172E44">
        <w:rPr>
          <w:rFonts w:cstheme="minorHAnsi"/>
        </w:rPr>
        <w:t xml:space="preserve"> the incidents</w:t>
      </w:r>
      <w:r w:rsidR="00746A3B" w:rsidRPr="00172E44">
        <w:rPr>
          <w:rFonts w:cstheme="minorHAnsi"/>
        </w:rPr>
        <w:t xml:space="preserve"> </w:t>
      </w:r>
      <w:r w:rsidR="001D38E7" w:rsidRPr="00172E44">
        <w:rPr>
          <w:rFonts w:cstheme="minorHAnsi"/>
        </w:rPr>
        <w:t>early in the coding process</w:t>
      </w:r>
      <w:r w:rsidR="00AC1C34" w:rsidRPr="00172E44">
        <w:rPr>
          <w:rFonts w:cstheme="minorHAnsi"/>
        </w:rPr>
        <w:t xml:space="preserve"> and discrepancies</w:t>
      </w:r>
      <w:r w:rsidR="005A12AB" w:rsidRPr="00172E44">
        <w:rPr>
          <w:rFonts w:cstheme="minorHAnsi"/>
        </w:rPr>
        <w:t xml:space="preserve"> were </w:t>
      </w:r>
      <w:r w:rsidR="00AC1C34" w:rsidRPr="00172E44">
        <w:rPr>
          <w:rFonts w:cstheme="minorHAnsi"/>
        </w:rPr>
        <w:t>resolved</w:t>
      </w:r>
      <w:r w:rsidR="005A12AB" w:rsidRPr="00172E44">
        <w:rPr>
          <w:rFonts w:cstheme="minorHAnsi"/>
        </w:rPr>
        <w:t xml:space="preserve"> with DR</w:t>
      </w:r>
      <w:r w:rsidR="00746A3B" w:rsidRPr="00172E44">
        <w:rPr>
          <w:rFonts w:cstheme="minorHAnsi"/>
        </w:rPr>
        <w:t xml:space="preserve"> </w:t>
      </w:r>
      <w:r w:rsidR="005D760C" w:rsidRPr="00172E44">
        <w:rPr>
          <w:rFonts w:cstheme="minorHAnsi"/>
        </w:rPr>
        <w:t xml:space="preserve">to allow for </w:t>
      </w:r>
      <w:r w:rsidR="00E95328" w:rsidRPr="00172E44">
        <w:rPr>
          <w:rFonts w:cstheme="minorHAnsi"/>
        </w:rPr>
        <w:t xml:space="preserve">subsequent </w:t>
      </w:r>
      <w:r w:rsidR="005A12AB" w:rsidRPr="00172E44">
        <w:rPr>
          <w:rFonts w:cstheme="minorHAnsi"/>
        </w:rPr>
        <w:t>consisten</w:t>
      </w:r>
      <w:r w:rsidR="00E95328" w:rsidRPr="00172E44">
        <w:rPr>
          <w:rFonts w:cstheme="minorHAnsi"/>
        </w:rPr>
        <w:t>cy</w:t>
      </w:r>
      <w:r w:rsidR="005D760C" w:rsidRPr="00172E44">
        <w:rPr>
          <w:rFonts w:cstheme="minorHAnsi"/>
        </w:rPr>
        <w:t>.</w:t>
      </w:r>
    </w:p>
    <w:p w14:paraId="2F82C5CF" w14:textId="77777777" w:rsidR="00F41E38" w:rsidRPr="00172E44" w:rsidRDefault="00F41E38" w:rsidP="00741EC5">
      <w:pPr>
        <w:spacing w:line="480" w:lineRule="auto"/>
      </w:pPr>
    </w:p>
    <w:p w14:paraId="46EB6E17" w14:textId="77777777" w:rsidR="00287E61" w:rsidRPr="00172E44" w:rsidRDefault="00287E61" w:rsidP="00741EC5">
      <w:pPr>
        <w:spacing w:line="480" w:lineRule="auto"/>
      </w:pPr>
      <w:r w:rsidRPr="00172E44">
        <w:t xml:space="preserve">Results </w:t>
      </w:r>
    </w:p>
    <w:p w14:paraId="528DB1EE" w14:textId="18EBA92C" w:rsidR="004F5B67" w:rsidRPr="00172E44" w:rsidRDefault="00E423A7" w:rsidP="00741EC5">
      <w:pPr>
        <w:spacing w:line="480" w:lineRule="auto"/>
        <w:rPr>
          <w:rFonts w:cstheme="minorHAnsi"/>
        </w:rPr>
      </w:pPr>
      <w:r w:rsidRPr="00172E44">
        <w:rPr>
          <w:rFonts w:cstheme="minorHAnsi"/>
        </w:rPr>
        <w:t>Overall</w:t>
      </w:r>
      <w:r w:rsidR="00287E61" w:rsidRPr="00172E44">
        <w:rPr>
          <w:rFonts w:cstheme="minorHAnsi"/>
        </w:rPr>
        <w:t>, there were</w:t>
      </w:r>
      <w:r w:rsidR="00746A3B" w:rsidRPr="00172E44">
        <w:t xml:space="preserve"> </w:t>
      </w:r>
      <w:r w:rsidR="000735B9" w:rsidRPr="00172E44">
        <w:rPr>
          <w:rFonts w:cstheme="minorHAnsi"/>
        </w:rPr>
        <w:t xml:space="preserve">93 </w:t>
      </w:r>
      <w:r w:rsidR="00402E6D" w:rsidRPr="00172E44">
        <w:rPr>
          <w:rFonts w:cstheme="minorHAnsi"/>
        </w:rPr>
        <w:t>recorded</w:t>
      </w:r>
      <w:r w:rsidR="00287E61" w:rsidRPr="00172E44">
        <w:rPr>
          <w:rFonts w:cstheme="minorHAnsi"/>
        </w:rPr>
        <w:t xml:space="preserve"> incidents of physical violence related to smoking, perpetrated by 74 individual patients</w:t>
      </w:r>
      <w:r w:rsidR="00A27F67" w:rsidRPr="00172E44">
        <w:rPr>
          <w:rFonts w:cstheme="minorHAnsi"/>
        </w:rPr>
        <w:t>.</w:t>
      </w:r>
      <w:r w:rsidR="00287E61" w:rsidRPr="00172E44">
        <w:rPr>
          <w:rFonts w:cstheme="minorHAnsi"/>
        </w:rPr>
        <w:t xml:space="preserve"> Sixty-seven incidents involved patient</w:t>
      </w:r>
      <w:r w:rsidR="00CB307C" w:rsidRPr="00172E44">
        <w:rPr>
          <w:rFonts w:cstheme="minorHAnsi"/>
        </w:rPr>
        <w:t>-</w:t>
      </w:r>
      <w:r w:rsidR="00287E61" w:rsidRPr="00172E44">
        <w:rPr>
          <w:rFonts w:cstheme="minorHAnsi"/>
        </w:rPr>
        <w:t>toward</w:t>
      </w:r>
      <w:r w:rsidR="00CB307C" w:rsidRPr="00172E44">
        <w:rPr>
          <w:rFonts w:cstheme="minorHAnsi"/>
        </w:rPr>
        <w:t>-</w:t>
      </w:r>
      <w:r w:rsidR="00287E61" w:rsidRPr="00172E44">
        <w:rPr>
          <w:rFonts w:cstheme="minorHAnsi"/>
        </w:rPr>
        <w:t>staff violence</w:t>
      </w:r>
      <w:r w:rsidR="00523F44" w:rsidRPr="00172E44">
        <w:rPr>
          <w:rFonts w:cstheme="minorHAnsi"/>
        </w:rPr>
        <w:t xml:space="preserve"> (42 </w:t>
      </w:r>
      <w:r w:rsidR="00217F7F" w:rsidRPr="00172E44">
        <w:rPr>
          <w:rFonts w:cstheme="minorHAnsi"/>
        </w:rPr>
        <w:t xml:space="preserve">during the indoor-only </w:t>
      </w:r>
      <w:r w:rsidR="008B187B" w:rsidRPr="00172E44">
        <w:rPr>
          <w:rFonts w:cstheme="minorHAnsi"/>
        </w:rPr>
        <w:t xml:space="preserve">smoke-free </w:t>
      </w:r>
      <w:r w:rsidR="003F48F5" w:rsidRPr="00172E44">
        <w:rPr>
          <w:rFonts w:cstheme="minorHAnsi"/>
        </w:rPr>
        <w:t xml:space="preserve">policy </w:t>
      </w:r>
      <w:r w:rsidR="009A38BB" w:rsidRPr="00172E44">
        <w:rPr>
          <w:rFonts w:cstheme="minorHAnsi"/>
        </w:rPr>
        <w:t>period</w:t>
      </w:r>
      <w:r w:rsidR="00746A3B" w:rsidRPr="00172E44">
        <w:rPr>
          <w:rFonts w:cstheme="minorHAnsi"/>
        </w:rPr>
        <w:t xml:space="preserve"> </w:t>
      </w:r>
      <w:r w:rsidR="00523F44" w:rsidRPr="00172E44">
        <w:rPr>
          <w:rFonts w:cstheme="minorHAnsi"/>
        </w:rPr>
        <w:t xml:space="preserve">and </w:t>
      </w:r>
      <w:r w:rsidR="00805F63" w:rsidRPr="00172E44">
        <w:rPr>
          <w:rFonts w:cstheme="minorHAnsi"/>
        </w:rPr>
        <w:t>25</w:t>
      </w:r>
      <w:r w:rsidR="00746A3B" w:rsidRPr="00172E44">
        <w:rPr>
          <w:rFonts w:cstheme="minorHAnsi"/>
        </w:rPr>
        <w:t xml:space="preserve"> </w:t>
      </w:r>
      <w:r w:rsidR="009A38BB" w:rsidRPr="00172E44">
        <w:rPr>
          <w:rFonts w:cstheme="minorHAnsi"/>
        </w:rPr>
        <w:t>post</w:t>
      </w:r>
      <w:r w:rsidR="00695374" w:rsidRPr="00172E44">
        <w:rPr>
          <w:rFonts w:cstheme="minorHAnsi"/>
        </w:rPr>
        <w:t>-</w:t>
      </w:r>
      <w:r w:rsidR="003F48F5" w:rsidRPr="00172E44">
        <w:rPr>
          <w:rFonts w:cstheme="minorHAnsi"/>
        </w:rPr>
        <w:t xml:space="preserve">comprehensive </w:t>
      </w:r>
      <w:r w:rsidR="008B187B" w:rsidRPr="00172E44">
        <w:rPr>
          <w:rFonts w:cstheme="minorHAnsi"/>
        </w:rPr>
        <w:t xml:space="preserve">smoke-free </w:t>
      </w:r>
      <w:r w:rsidR="00523F44" w:rsidRPr="00172E44">
        <w:rPr>
          <w:rFonts w:cstheme="minorHAnsi"/>
        </w:rPr>
        <w:t xml:space="preserve">policy </w:t>
      </w:r>
      <w:r w:rsidR="0042305A" w:rsidRPr="00172E44">
        <w:rPr>
          <w:rFonts w:cstheme="minorHAnsi"/>
        </w:rPr>
        <w:t>introduction</w:t>
      </w:r>
      <w:r w:rsidR="00565D7F" w:rsidRPr="00172E44">
        <w:rPr>
          <w:rFonts w:cstheme="minorHAnsi"/>
        </w:rPr>
        <w:t>)</w:t>
      </w:r>
      <w:r w:rsidR="00523F44" w:rsidRPr="00172E44">
        <w:rPr>
          <w:rFonts w:cstheme="minorHAnsi"/>
        </w:rPr>
        <w:t>. Twenty-six</w:t>
      </w:r>
      <w:r w:rsidR="00746A3B" w:rsidRPr="00172E44">
        <w:rPr>
          <w:rFonts w:cstheme="minorHAnsi"/>
        </w:rPr>
        <w:t xml:space="preserve"> </w:t>
      </w:r>
      <w:r w:rsidR="003C1EF5" w:rsidRPr="00172E44">
        <w:rPr>
          <w:rFonts w:cstheme="minorHAnsi"/>
        </w:rPr>
        <w:t xml:space="preserve">incidents </w:t>
      </w:r>
      <w:r w:rsidR="00287E61" w:rsidRPr="00172E44">
        <w:rPr>
          <w:rFonts w:cstheme="minorHAnsi"/>
        </w:rPr>
        <w:t>involved patient</w:t>
      </w:r>
      <w:r w:rsidR="00CB307C" w:rsidRPr="00172E44">
        <w:rPr>
          <w:rFonts w:cstheme="minorHAnsi"/>
        </w:rPr>
        <w:t>-</w:t>
      </w:r>
      <w:r w:rsidR="00287E61" w:rsidRPr="00172E44">
        <w:rPr>
          <w:rFonts w:cstheme="minorHAnsi"/>
        </w:rPr>
        <w:t>toward</w:t>
      </w:r>
      <w:r w:rsidR="00CB307C" w:rsidRPr="00172E44">
        <w:rPr>
          <w:rFonts w:cstheme="minorHAnsi"/>
        </w:rPr>
        <w:t>-</w:t>
      </w:r>
      <w:r w:rsidR="00287E61" w:rsidRPr="00172E44">
        <w:rPr>
          <w:rFonts w:cstheme="minorHAnsi"/>
        </w:rPr>
        <w:t>patient violence</w:t>
      </w:r>
      <w:r w:rsidR="00042F43" w:rsidRPr="00172E44">
        <w:rPr>
          <w:rFonts w:cstheme="minorHAnsi"/>
        </w:rPr>
        <w:t xml:space="preserve">, </w:t>
      </w:r>
      <w:r w:rsidR="003C1EF5" w:rsidRPr="00172E44">
        <w:rPr>
          <w:rFonts w:cstheme="minorHAnsi"/>
        </w:rPr>
        <w:t>(</w:t>
      </w:r>
      <w:r w:rsidR="00805F63" w:rsidRPr="00172E44">
        <w:rPr>
          <w:rFonts w:cstheme="minorHAnsi"/>
        </w:rPr>
        <w:t>19</w:t>
      </w:r>
      <w:r w:rsidR="00746A3B" w:rsidRPr="00172E44">
        <w:rPr>
          <w:rFonts w:cstheme="minorHAnsi"/>
        </w:rPr>
        <w:t xml:space="preserve"> </w:t>
      </w:r>
      <w:r w:rsidR="00217F7F" w:rsidRPr="00172E44">
        <w:rPr>
          <w:rFonts w:cstheme="minorHAnsi"/>
        </w:rPr>
        <w:t xml:space="preserve">during the indoor-only </w:t>
      </w:r>
      <w:r w:rsidR="008B187B" w:rsidRPr="00172E44">
        <w:rPr>
          <w:rFonts w:cstheme="minorHAnsi"/>
        </w:rPr>
        <w:t xml:space="preserve">smoke-free </w:t>
      </w:r>
      <w:r w:rsidR="003C1EF5" w:rsidRPr="00172E44">
        <w:rPr>
          <w:rFonts w:cstheme="minorHAnsi"/>
        </w:rPr>
        <w:t>policy</w:t>
      </w:r>
      <w:r w:rsidR="00217F7F" w:rsidRPr="00172E44">
        <w:rPr>
          <w:rFonts w:cstheme="minorHAnsi"/>
        </w:rPr>
        <w:t xml:space="preserve"> period</w:t>
      </w:r>
      <w:r w:rsidR="00746A3B" w:rsidRPr="00172E44">
        <w:rPr>
          <w:rFonts w:cstheme="minorHAnsi"/>
        </w:rPr>
        <w:t xml:space="preserve"> </w:t>
      </w:r>
      <w:r w:rsidR="00042F43" w:rsidRPr="00172E44">
        <w:rPr>
          <w:rFonts w:cstheme="minorHAnsi"/>
        </w:rPr>
        <w:t xml:space="preserve">and </w:t>
      </w:r>
      <w:r w:rsidR="003C1EF5" w:rsidRPr="00172E44">
        <w:rPr>
          <w:rFonts w:cstheme="minorHAnsi"/>
        </w:rPr>
        <w:t xml:space="preserve">seven </w:t>
      </w:r>
      <w:r w:rsidR="00042F43" w:rsidRPr="00172E44">
        <w:rPr>
          <w:rFonts w:cstheme="minorHAnsi"/>
        </w:rPr>
        <w:t>post-</w:t>
      </w:r>
      <w:r w:rsidR="003F48F5" w:rsidRPr="00172E44">
        <w:rPr>
          <w:rFonts w:cstheme="minorHAnsi"/>
        </w:rPr>
        <w:t xml:space="preserve">comprehensive </w:t>
      </w:r>
      <w:r w:rsidR="008B187B" w:rsidRPr="00172E44">
        <w:rPr>
          <w:rFonts w:cstheme="minorHAnsi"/>
        </w:rPr>
        <w:t xml:space="preserve">smoke-free </w:t>
      </w:r>
      <w:r w:rsidR="00042F43" w:rsidRPr="00172E44">
        <w:rPr>
          <w:rFonts w:cstheme="minorHAnsi"/>
        </w:rPr>
        <w:t xml:space="preserve">policy </w:t>
      </w:r>
      <w:r w:rsidR="001520AF" w:rsidRPr="00172E44">
        <w:rPr>
          <w:rFonts w:cstheme="minorHAnsi"/>
        </w:rPr>
        <w:t>introduction</w:t>
      </w:r>
      <w:r w:rsidR="003C1EF5" w:rsidRPr="00172E44">
        <w:rPr>
          <w:rFonts w:cstheme="minorHAnsi"/>
        </w:rPr>
        <w:t>)</w:t>
      </w:r>
      <w:r w:rsidR="00A747E3" w:rsidRPr="00172E44">
        <w:rPr>
          <w:rFonts w:cstheme="minorHAnsi"/>
        </w:rPr>
        <w:t>.</w:t>
      </w:r>
      <w:r w:rsidR="00746A3B" w:rsidRPr="00172E44">
        <w:rPr>
          <w:rFonts w:cstheme="minorHAnsi"/>
        </w:rPr>
        <w:t xml:space="preserve"> </w:t>
      </w:r>
      <w:r w:rsidR="0042305A" w:rsidRPr="00172E44">
        <w:rPr>
          <w:rFonts w:cstheme="minorHAnsi"/>
        </w:rPr>
        <w:t>Overall</w:t>
      </w:r>
      <w:r w:rsidR="00A90F65" w:rsidRPr="00172E44">
        <w:rPr>
          <w:rFonts w:cstheme="minorHAnsi"/>
        </w:rPr>
        <w:t>, t</w:t>
      </w:r>
      <w:r w:rsidR="0053026A" w:rsidRPr="00172E44">
        <w:rPr>
          <w:rFonts w:cstheme="minorHAnsi"/>
        </w:rPr>
        <w:t>he</w:t>
      </w:r>
      <w:r w:rsidR="0076774D" w:rsidRPr="00172E44">
        <w:rPr>
          <w:rFonts w:cstheme="minorHAnsi"/>
        </w:rPr>
        <w:t xml:space="preserve">re were 61 </w:t>
      </w:r>
      <w:r w:rsidR="001A3C8F" w:rsidRPr="00172E44">
        <w:rPr>
          <w:rFonts w:cstheme="minorHAnsi"/>
        </w:rPr>
        <w:t xml:space="preserve">incidents related to smoking </w:t>
      </w:r>
      <w:r w:rsidR="00217F7F" w:rsidRPr="00172E44">
        <w:rPr>
          <w:rFonts w:cstheme="minorHAnsi"/>
        </w:rPr>
        <w:t xml:space="preserve">during the indoor-only </w:t>
      </w:r>
      <w:r w:rsidR="008B187B" w:rsidRPr="00172E44">
        <w:rPr>
          <w:rFonts w:cstheme="minorHAnsi"/>
        </w:rPr>
        <w:t xml:space="preserve">smoke-free </w:t>
      </w:r>
      <w:r w:rsidR="001A3C8F" w:rsidRPr="00172E44">
        <w:rPr>
          <w:rFonts w:cstheme="minorHAnsi"/>
        </w:rPr>
        <w:t>policy</w:t>
      </w:r>
      <w:r w:rsidR="00217F7F" w:rsidRPr="00172E44">
        <w:rPr>
          <w:rFonts w:cstheme="minorHAnsi"/>
        </w:rPr>
        <w:t xml:space="preserve"> period</w:t>
      </w:r>
      <w:r w:rsidR="0041038A" w:rsidRPr="00172E44">
        <w:rPr>
          <w:rFonts w:cstheme="minorHAnsi"/>
        </w:rPr>
        <w:t xml:space="preserve">, compared </w:t>
      </w:r>
      <w:r w:rsidR="00621F07" w:rsidRPr="00172E44">
        <w:rPr>
          <w:rFonts w:cstheme="minorHAnsi"/>
        </w:rPr>
        <w:t>with</w:t>
      </w:r>
      <w:r w:rsidR="0041038A" w:rsidRPr="00172E44">
        <w:rPr>
          <w:rFonts w:cstheme="minorHAnsi"/>
        </w:rPr>
        <w:t xml:space="preserve"> 1289 incidents of violence unrelated to smoking</w:t>
      </w:r>
      <w:r w:rsidR="00621F07" w:rsidRPr="00172E44">
        <w:rPr>
          <w:rFonts w:cstheme="minorHAnsi"/>
        </w:rPr>
        <w:t>. There were</w:t>
      </w:r>
      <w:r w:rsidR="00746A3B" w:rsidRPr="00172E44">
        <w:rPr>
          <w:rFonts w:cstheme="minorHAnsi"/>
        </w:rPr>
        <w:t xml:space="preserve"> </w:t>
      </w:r>
      <w:r w:rsidR="001A3C8F" w:rsidRPr="00172E44">
        <w:rPr>
          <w:rFonts w:cstheme="minorHAnsi"/>
        </w:rPr>
        <w:t>32</w:t>
      </w:r>
      <w:r w:rsidR="0041038A" w:rsidRPr="00172E44">
        <w:rPr>
          <w:rFonts w:cstheme="minorHAnsi"/>
        </w:rPr>
        <w:t xml:space="preserve"> incidents of violence related to smoking</w:t>
      </w:r>
      <w:r w:rsidR="00746A3B" w:rsidRPr="00172E44">
        <w:rPr>
          <w:rFonts w:cstheme="minorHAnsi"/>
        </w:rPr>
        <w:t xml:space="preserve"> </w:t>
      </w:r>
      <w:r w:rsidR="009A38BB" w:rsidRPr="00172E44">
        <w:rPr>
          <w:rFonts w:cstheme="minorHAnsi"/>
        </w:rPr>
        <w:t>post</w:t>
      </w:r>
      <w:r w:rsidR="00695374" w:rsidRPr="00172E44">
        <w:rPr>
          <w:rFonts w:cstheme="minorHAnsi"/>
        </w:rPr>
        <w:t>-</w:t>
      </w:r>
      <w:r w:rsidR="003F48F5" w:rsidRPr="00172E44">
        <w:rPr>
          <w:rFonts w:cstheme="minorHAnsi"/>
        </w:rPr>
        <w:t xml:space="preserve">comprehensive </w:t>
      </w:r>
      <w:r w:rsidR="008B187B" w:rsidRPr="00172E44">
        <w:rPr>
          <w:rFonts w:cstheme="minorHAnsi"/>
        </w:rPr>
        <w:t xml:space="preserve">smoke-free </w:t>
      </w:r>
      <w:r w:rsidR="001A3C8F" w:rsidRPr="00172E44">
        <w:rPr>
          <w:rFonts w:cstheme="minorHAnsi"/>
        </w:rPr>
        <w:t>policy</w:t>
      </w:r>
      <w:r w:rsidR="00746A3B" w:rsidRPr="00172E44">
        <w:rPr>
          <w:rFonts w:cstheme="minorHAnsi"/>
        </w:rPr>
        <w:t xml:space="preserve"> </w:t>
      </w:r>
      <w:r w:rsidR="009D19B0" w:rsidRPr="00172E44">
        <w:rPr>
          <w:rFonts w:cstheme="minorHAnsi"/>
        </w:rPr>
        <w:t>introduction</w:t>
      </w:r>
      <w:r w:rsidR="00746A3B" w:rsidRPr="00172E44">
        <w:rPr>
          <w:rFonts w:cstheme="minorHAnsi"/>
        </w:rPr>
        <w:t xml:space="preserve"> </w:t>
      </w:r>
      <w:r w:rsidR="0041038A" w:rsidRPr="00172E44">
        <w:rPr>
          <w:rFonts w:cstheme="minorHAnsi"/>
        </w:rPr>
        <w:t xml:space="preserve">compared </w:t>
      </w:r>
      <w:r w:rsidR="009D19B0" w:rsidRPr="00172E44">
        <w:rPr>
          <w:rFonts w:cstheme="minorHAnsi"/>
        </w:rPr>
        <w:t>with</w:t>
      </w:r>
      <w:r w:rsidR="0041038A" w:rsidRPr="00172E44">
        <w:rPr>
          <w:rFonts w:cstheme="minorHAnsi"/>
        </w:rPr>
        <w:t xml:space="preserve"> 1229 incidents unrelated to smoking</w:t>
      </w:r>
      <w:r w:rsidR="001A3C8F" w:rsidRPr="00172E44">
        <w:rPr>
          <w:rFonts w:cstheme="minorHAnsi"/>
        </w:rPr>
        <w:t>.</w:t>
      </w:r>
    </w:p>
    <w:p w14:paraId="22CC1687" w14:textId="77777777" w:rsidR="00287E61" w:rsidRPr="00172E44" w:rsidRDefault="00287E61" w:rsidP="00741EC5">
      <w:pPr>
        <w:spacing w:line="480" w:lineRule="auto"/>
      </w:pPr>
      <w:r w:rsidRPr="00172E44">
        <w:t>Pati</w:t>
      </w:r>
      <w:r w:rsidR="00194403" w:rsidRPr="00172E44">
        <w:t>ent</w:t>
      </w:r>
      <w:r w:rsidRPr="00172E44">
        <w:t xml:space="preserve"> Characteristics</w:t>
      </w:r>
    </w:p>
    <w:p w14:paraId="0A88ED6C" w14:textId="1A1E066F" w:rsidR="00C971DB" w:rsidRPr="00172E44" w:rsidRDefault="00685C16" w:rsidP="00C15783">
      <w:pPr>
        <w:spacing w:line="480" w:lineRule="auto"/>
        <w:rPr>
          <w:rFonts w:cstheme="minorHAnsi"/>
        </w:rPr>
      </w:pPr>
      <w:r w:rsidRPr="00172E44">
        <w:rPr>
          <w:rFonts w:cstheme="minorHAnsi"/>
        </w:rPr>
        <w:t xml:space="preserve">The average age of the </w:t>
      </w:r>
      <w:r w:rsidR="00EE6627" w:rsidRPr="00172E44">
        <w:rPr>
          <w:rFonts w:cstheme="minorHAnsi"/>
        </w:rPr>
        <w:t>74 patients</w:t>
      </w:r>
      <w:r w:rsidR="00746A3B" w:rsidRPr="00172E44">
        <w:rPr>
          <w:rFonts w:cstheme="minorHAnsi"/>
        </w:rPr>
        <w:t xml:space="preserve"> </w:t>
      </w:r>
      <w:r w:rsidR="00EE6627" w:rsidRPr="00172E44">
        <w:rPr>
          <w:rFonts w:cstheme="minorHAnsi"/>
        </w:rPr>
        <w:t xml:space="preserve">who </w:t>
      </w:r>
      <w:r w:rsidR="00746A3B" w:rsidRPr="00172E44">
        <w:rPr>
          <w:rFonts w:cstheme="minorHAnsi"/>
        </w:rPr>
        <w:t xml:space="preserve">were reported to have initiated </w:t>
      </w:r>
      <w:r w:rsidR="00EE6627" w:rsidRPr="00172E44">
        <w:rPr>
          <w:rFonts w:cstheme="minorHAnsi"/>
        </w:rPr>
        <w:t xml:space="preserve">violence </w:t>
      </w:r>
      <w:r w:rsidRPr="00172E44">
        <w:rPr>
          <w:rFonts w:cstheme="minorHAnsi"/>
        </w:rPr>
        <w:t>w</w:t>
      </w:r>
      <w:r w:rsidR="005348C5" w:rsidRPr="00172E44">
        <w:rPr>
          <w:rFonts w:cstheme="minorHAnsi"/>
        </w:rPr>
        <w:t>as</w:t>
      </w:r>
      <w:r w:rsidRPr="00172E44">
        <w:rPr>
          <w:rFonts w:cstheme="minorHAnsi"/>
        </w:rPr>
        <w:t xml:space="preserve"> 40 years</w:t>
      </w:r>
      <w:r w:rsidR="00E71914" w:rsidRPr="00172E44">
        <w:rPr>
          <w:rFonts w:cstheme="minorHAnsi"/>
        </w:rPr>
        <w:t>,</w:t>
      </w:r>
      <w:r w:rsidRPr="00172E44">
        <w:rPr>
          <w:rFonts w:cstheme="minorHAnsi"/>
        </w:rPr>
        <w:t xml:space="preserve"> h</w:t>
      </w:r>
      <w:r w:rsidR="00287E61" w:rsidRPr="00172E44">
        <w:rPr>
          <w:rFonts w:cstheme="minorHAnsi"/>
        </w:rPr>
        <w:t xml:space="preserve">alf were female. Forty-two </w:t>
      </w:r>
      <w:r w:rsidR="005A12AB" w:rsidRPr="00172E44">
        <w:rPr>
          <w:rFonts w:cstheme="minorHAnsi"/>
        </w:rPr>
        <w:t xml:space="preserve">patients </w:t>
      </w:r>
      <w:r w:rsidR="00287E61" w:rsidRPr="00172E44">
        <w:rPr>
          <w:rFonts w:cstheme="minorHAnsi"/>
        </w:rPr>
        <w:t xml:space="preserve">(57%) had a diagnosis of schizophrenia or a related disorder (ICD-10, F.20-29), 14 (19%) had a mood disorder (ICD-10, F.30-39), 17 (24%) had a different diagnosis (including </w:t>
      </w:r>
      <w:r w:rsidR="005F1E4A" w:rsidRPr="00172E44">
        <w:rPr>
          <w:rFonts w:cstheme="minorHAnsi"/>
        </w:rPr>
        <w:t>dementia</w:t>
      </w:r>
      <w:r w:rsidR="00287E61" w:rsidRPr="00172E44">
        <w:rPr>
          <w:rFonts w:cstheme="minorHAnsi"/>
        </w:rPr>
        <w:t>) and the diagnosis of one p</w:t>
      </w:r>
      <w:r w:rsidR="0085425F" w:rsidRPr="00172E44">
        <w:rPr>
          <w:rFonts w:cstheme="minorHAnsi"/>
        </w:rPr>
        <w:t>ati</w:t>
      </w:r>
      <w:r w:rsidR="00194403" w:rsidRPr="00172E44">
        <w:rPr>
          <w:rFonts w:cstheme="minorHAnsi"/>
        </w:rPr>
        <w:t>ent</w:t>
      </w:r>
      <w:r w:rsidR="00287E61" w:rsidRPr="00172E44">
        <w:rPr>
          <w:rFonts w:cstheme="minorHAnsi"/>
        </w:rPr>
        <w:t xml:space="preserve"> was not specified. Sixty-three (85%) </w:t>
      </w:r>
      <w:r w:rsidR="005A12AB" w:rsidRPr="00172E44">
        <w:rPr>
          <w:rFonts w:cstheme="minorHAnsi"/>
        </w:rPr>
        <w:t xml:space="preserve">patients </w:t>
      </w:r>
      <w:r w:rsidR="00287E61" w:rsidRPr="00172E44">
        <w:rPr>
          <w:rFonts w:cstheme="minorHAnsi"/>
        </w:rPr>
        <w:t xml:space="preserve">were legally detained at the time of the incident. </w:t>
      </w:r>
      <w:r w:rsidR="004C37B6" w:rsidRPr="00172E44">
        <w:rPr>
          <w:rFonts w:cstheme="minorHAnsi"/>
        </w:rPr>
        <w:t xml:space="preserve">In total, </w:t>
      </w:r>
      <w:r w:rsidR="00EB1F61" w:rsidRPr="00172E44">
        <w:rPr>
          <w:rFonts w:cstheme="minorHAnsi"/>
        </w:rPr>
        <w:t>68</w:t>
      </w:r>
      <w:r w:rsidR="004C37B6" w:rsidRPr="00172E44">
        <w:rPr>
          <w:rFonts w:cstheme="minorHAnsi"/>
        </w:rPr>
        <w:t xml:space="preserve"> (9</w:t>
      </w:r>
      <w:r w:rsidR="00EB1F61" w:rsidRPr="00172E44">
        <w:rPr>
          <w:rFonts w:cstheme="minorHAnsi"/>
        </w:rPr>
        <w:t>2</w:t>
      </w:r>
      <w:r w:rsidR="004C37B6" w:rsidRPr="00172E44">
        <w:rPr>
          <w:rFonts w:cstheme="minorHAnsi"/>
        </w:rPr>
        <w:t>%) were smokers</w:t>
      </w:r>
      <w:r w:rsidR="00EE6627" w:rsidRPr="00172E44">
        <w:rPr>
          <w:rFonts w:cstheme="minorHAnsi"/>
        </w:rPr>
        <w:t xml:space="preserve"> and</w:t>
      </w:r>
      <w:r w:rsidR="00746A3B" w:rsidRPr="00172E44">
        <w:rPr>
          <w:rFonts w:cstheme="minorHAnsi"/>
        </w:rPr>
        <w:t xml:space="preserve"> </w:t>
      </w:r>
      <w:r w:rsidR="00EE6627" w:rsidRPr="00172E44">
        <w:rPr>
          <w:rFonts w:cstheme="minorHAnsi"/>
        </w:rPr>
        <w:t>s</w:t>
      </w:r>
      <w:r w:rsidR="00E9521A" w:rsidRPr="00172E44">
        <w:rPr>
          <w:rFonts w:cstheme="minorHAnsi"/>
        </w:rPr>
        <w:t>ixty-seven</w:t>
      </w:r>
      <w:r w:rsidR="00287E61" w:rsidRPr="00172E44">
        <w:rPr>
          <w:rFonts w:cstheme="minorHAnsi"/>
        </w:rPr>
        <w:t xml:space="preserve"> (91%) had a previous history of violence</w:t>
      </w:r>
      <w:r w:rsidR="00A43E1A" w:rsidRPr="00172E44">
        <w:rPr>
          <w:rFonts w:cstheme="minorHAnsi"/>
        </w:rPr>
        <w:t>.</w:t>
      </w:r>
    </w:p>
    <w:p w14:paraId="4208FA70" w14:textId="77777777" w:rsidR="00F41E38" w:rsidRPr="00172E44" w:rsidRDefault="00F41E38" w:rsidP="00741EC5">
      <w:pPr>
        <w:spacing w:line="480" w:lineRule="auto"/>
      </w:pPr>
    </w:p>
    <w:p w14:paraId="6D7C68FC" w14:textId="77777777" w:rsidR="00B563F6" w:rsidRPr="00172E44" w:rsidRDefault="00B563F6" w:rsidP="00741EC5">
      <w:pPr>
        <w:spacing w:line="480" w:lineRule="auto"/>
      </w:pPr>
      <w:r w:rsidRPr="00172E44">
        <w:t>Classification of the antecedent</w:t>
      </w:r>
      <w:r w:rsidR="00BC6CBE" w:rsidRPr="00172E44">
        <w:t>s</w:t>
      </w:r>
      <w:r w:rsidRPr="00172E44">
        <w:t xml:space="preserve"> of violence </w:t>
      </w:r>
    </w:p>
    <w:p w14:paraId="58D484A1" w14:textId="217795A0" w:rsidR="00DC68FC" w:rsidRPr="00172E44" w:rsidRDefault="00C41B80" w:rsidP="00C15783">
      <w:pPr>
        <w:spacing w:line="480" w:lineRule="auto"/>
        <w:rPr>
          <w:rFonts w:cstheme="minorHAnsi"/>
        </w:rPr>
      </w:pPr>
      <w:r w:rsidRPr="00172E44">
        <w:rPr>
          <w:rFonts w:cstheme="minorHAnsi"/>
        </w:rPr>
        <w:t xml:space="preserve">An antecedent was identified in 92 of the 93 reported incidents of </w:t>
      </w:r>
      <w:r w:rsidR="00440618" w:rsidRPr="00172E44">
        <w:rPr>
          <w:rFonts w:cstheme="minorHAnsi"/>
        </w:rPr>
        <w:t xml:space="preserve">smoking-related </w:t>
      </w:r>
      <w:r w:rsidRPr="00172E44">
        <w:rPr>
          <w:rFonts w:cstheme="minorHAnsi"/>
        </w:rPr>
        <w:t>violence</w:t>
      </w:r>
      <w:r w:rsidR="00456B06" w:rsidRPr="00172E44">
        <w:rPr>
          <w:rFonts w:cstheme="minorHAnsi"/>
        </w:rPr>
        <w:t xml:space="preserve">. </w:t>
      </w:r>
      <w:r w:rsidR="00894EF4" w:rsidRPr="00172E44">
        <w:rPr>
          <w:rFonts w:cstheme="minorHAnsi"/>
        </w:rPr>
        <w:t xml:space="preserve">Eighty-three </w:t>
      </w:r>
      <w:r w:rsidRPr="00172E44">
        <w:rPr>
          <w:rFonts w:cstheme="minorHAnsi"/>
        </w:rPr>
        <w:t xml:space="preserve">incidents could be classified into one of </w:t>
      </w:r>
      <w:r w:rsidR="003454E6" w:rsidRPr="00172E44">
        <w:rPr>
          <w:rFonts w:cstheme="minorHAnsi"/>
        </w:rPr>
        <w:t>four</w:t>
      </w:r>
      <w:r w:rsidRPr="00172E44">
        <w:rPr>
          <w:rFonts w:cstheme="minorHAnsi"/>
        </w:rPr>
        <w:t xml:space="preserve"> categories (</w:t>
      </w:r>
      <w:r w:rsidR="006E028A" w:rsidRPr="00172E44">
        <w:rPr>
          <w:rFonts w:cstheme="minorHAnsi"/>
        </w:rPr>
        <w:t xml:space="preserve">Table </w:t>
      </w:r>
      <w:r w:rsidR="008D7240" w:rsidRPr="00172E44">
        <w:rPr>
          <w:rFonts w:cstheme="minorHAnsi"/>
        </w:rPr>
        <w:t>1</w:t>
      </w:r>
      <w:r w:rsidRPr="00172E44">
        <w:rPr>
          <w:rFonts w:cstheme="minorHAnsi"/>
        </w:rPr>
        <w:t xml:space="preserve">). </w:t>
      </w:r>
      <w:r w:rsidR="00894EF4" w:rsidRPr="00172E44">
        <w:rPr>
          <w:rFonts w:cstheme="minorHAnsi"/>
        </w:rPr>
        <w:t>Eight</w:t>
      </w:r>
      <w:r w:rsidR="006E028A" w:rsidRPr="00172E44">
        <w:rPr>
          <w:rFonts w:cstheme="minorHAnsi"/>
        </w:rPr>
        <w:t xml:space="preserve"> incidents </w:t>
      </w:r>
      <w:r w:rsidR="00E40BDD" w:rsidRPr="00172E44">
        <w:rPr>
          <w:rFonts w:cstheme="minorHAnsi"/>
        </w:rPr>
        <w:t>could be fitted into</w:t>
      </w:r>
      <w:r w:rsidR="00F22450" w:rsidRPr="00172E44">
        <w:rPr>
          <w:rFonts w:cstheme="minorHAnsi"/>
        </w:rPr>
        <w:t xml:space="preserve"> two categories </w:t>
      </w:r>
      <w:r w:rsidR="008F26E9" w:rsidRPr="00172E44">
        <w:rPr>
          <w:rFonts w:cstheme="minorHAnsi"/>
        </w:rPr>
        <w:t>and one incident fitted into three categories.</w:t>
      </w:r>
    </w:p>
    <w:p w14:paraId="6BF102B5" w14:textId="77777777" w:rsidR="00F41E38" w:rsidRPr="00172E44" w:rsidRDefault="000D12C2" w:rsidP="00741EC5">
      <w:pPr>
        <w:spacing w:line="480" w:lineRule="auto"/>
        <w:rPr>
          <w:rFonts w:cstheme="minorHAnsi"/>
          <w:b/>
        </w:rPr>
      </w:pPr>
      <w:r w:rsidRPr="00172E44">
        <w:rPr>
          <w:rFonts w:cstheme="minorHAnsi"/>
          <w:b/>
        </w:rPr>
        <w:t xml:space="preserve">Please insert Table 1 here </w:t>
      </w:r>
    </w:p>
    <w:p w14:paraId="1801BB03" w14:textId="77777777" w:rsidR="002956AA" w:rsidRPr="00172E44" w:rsidRDefault="002956AA" w:rsidP="00741EC5">
      <w:pPr>
        <w:spacing w:line="480" w:lineRule="auto"/>
      </w:pPr>
      <w:r w:rsidRPr="00172E44">
        <w:t xml:space="preserve">Single antecedent category </w:t>
      </w:r>
    </w:p>
    <w:p w14:paraId="1570333D" w14:textId="77777777" w:rsidR="006E028A" w:rsidRPr="00172E44" w:rsidRDefault="006E028A" w:rsidP="00C15783">
      <w:pPr>
        <w:pStyle w:val="ListParagraph"/>
        <w:numPr>
          <w:ilvl w:val="0"/>
          <w:numId w:val="5"/>
        </w:numPr>
        <w:spacing w:line="480" w:lineRule="auto"/>
        <w:rPr>
          <w:rFonts w:cstheme="minorHAnsi"/>
          <w:i/>
        </w:rPr>
      </w:pPr>
      <w:r w:rsidRPr="00172E44">
        <w:rPr>
          <w:rFonts w:cstheme="minorHAnsi"/>
          <w:i/>
        </w:rPr>
        <w:t xml:space="preserve">Patient request to smoke </w:t>
      </w:r>
      <w:r w:rsidR="005E6BD7" w:rsidRPr="00172E44">
        <w:rPr>
          <w:rFonts w:cstheme="minorHAnsi"/>
          <w:i/>
        </w:rPr>
        <w:t>denied</w:t>
      </w:r>
      <w:r w:rsidR="00ED031B" w:rsidRPr="00172E44">
        <w:rPr>
          <w:rFonts w:cstheme="minorHAnsi"/>
          <w:i/>
        </w:rPr>
        <w:t xml:space="preserve"> by staff</w:t>
      </w:r>
    </w:p>
    <w:p w14:paraId="0C6A7A23" w14:textId="6D11185A" w:rsidR="00EE6627" w:rsidRPr="00172E44" w:rsidRDefault="009D3B23" w:rsidP="00C15783">
      <w:pPr>
        <w:spacing w:line="480" w:lineRule="auto"/>
        <w:jc w:val="both"/>
        <w:rPr>
          <w:rFonts w:cstheme="minorHAnsi"/>
          <w:i/>
        </w:rPr>
      </w:pPr>
      <w:r w:rsidRPr="00172E44">
        <w:rPr>
          <w:rFonts w:cstheme="minorHAnsi"/>
        </w:rPr>
        <w:t>Incidents were</w:t>
      </w:r>
      <w:r w:rsidR="00C5292C" w:rsidRPr="00172E44">
        <w:rPr>
          <w:rFonts w:cstheme="minorHAnsi"/>
        </w:rPr>
        <w:t xml:space="preserve"> classified</w:t>
      </w:r>
      <w:r w:rsidRPr="00172E44">
        <w:rPr>
          <w:rFonts w:cstheme="minorHAnsi"/>
        </w:rPr>
        <w:t xml:space="preserve"> under this category when patients </w:t>
      </w:r>
      <w:r w:rsidR="00703C46" w:rsidRPr="00172E44">
        <w:rPr>
          <w:rFonts w:cstheme="minorHAnsi"/>
        </w:rPr>
        <w:t xml:space="preserve">asked for </w:t>
      </w:r>
      <w:r w:rsidRPr="00172E44">
        <w:rPr>
          <w:rFonts w:cstheme="minorHAnsi"/>
        </w:rPr>
        <w:t xml:space="preserve">their smoking </w:t>
      </w:r>
      <w:r w:rsidR="003C70DD" w:rsidRPr="00172E44">
        <w:rPr>
          <w:rFonts w:cstheme="minorHAnsi"/>
        </w:rPr>
        <w:t>materials</w:t>
      </w:r>
      <w:r w:rsidR="00C971DB" w:rsidRPr="00172E44">
        <w:rPr>
          <w:rFonts w:cstheme="minorHAnsi"/>
        </w:rPr>
        <w:t xml:space="preserve"> </w:t>
      </w:r>
      <w:r w:rsidR="00703C46" w:rsidRPr="00172E44">
        <w:rPr>
          <w:rFonts w:cstheme="minorHAnsi"/>
        </w:rPr>
        <w:t xml:space="preserve">that had been stored by staff </w:t>
      </w:r>
      <w:r w:rsidRPr="00172E44">
        <w:rPr>
          <w:rFonts w:cstheme="minorHAnsi"/>
        </w:rPr>
        <w:t xml:space="preserve">and </w:t>
      </w:r>
      <w:r w:rsidR="00944F2F" w:rsidRPr="00172E44">
        <w:rPr>
          <w:rFonts w:cstheme="minorHAnsi"/>
        </w:rPr>
        <w:t>their request</w:t>
      </w:r>
      <w:r w:rsidR="00703C46" w:rsidRPr="00172E44">
        <w:rPr>
          <w:rFonts w:cstheme="minorHAnsi"/>
        </w:rPr>
        <w:t xml:space="preserve"> was denied</w:t>
      </w:r>
      <w:r w:rsidR="00674B40" w:rsidRPr="00172E44">
        <w:rPr>
          <w:rFonts w:cstheme="minorHAnsi"/>
        </w:rPr>
        <w:t xml:space="preserve"> (Table 1).</w:t>
      </w:r>
      <w:bookmarkStart w:id="6" w:name="_Hlk522115928"/>
      <w:r w:rsidR="00746A3B" w:rsidRPr="00172E44">
        <w:rPr>
          <w:rFonts w:cstheme="minorHAnsi"/>
        </w:rPr>
        <w:t xml:space="preserve"> </w:t>
      </w:r>
      <w:r w:rsidR="00944F2F" w:rsidRPr="00172E44">
        <w:rPr>
          <w:rFonts w:cstheme="minorHAnsi"/>
        </w:rPr>
        <w:t>This included i</w:t>
      </w:r>
      <w:r w:rsidRPr="00172E44">
        <w:rPr>
          <w:rFonts w:cstheme="minorHAnsi"/>
        </w:rPr>
        <w:t xml:space="preserve">ncidents </w:t>
      </w:r>
      <w:r w:rsidR="00944F2F" w:rsidRPr="00172E44">
        <w:rPr>
          <w:rFonts w:cstheme="minorHAnsi"/>
        </w:rPr>
        <w:t>where</w:t>
      </w:r>
      <w:r w:rsidRPr="00172E44">
        <w:rPr>
          <w:rFonts w:cstheme="minorHAnsi"/>
        </w:rPr>
        <w:t xml:space="preserve"> staff prohibi</w:t>
      </w:r>
      <w:r w:rsidR="00944F2F" w:rsidRPr="00172E44">
        <w:rPr>
          <w:rFonts w:cstheme="minorHAnsi"/>
        </w:rPr>
        <w:t>ted</w:t>
      </w:r>
      <w:r w:rsidRPr="00172E44">
        <w:rPr>
          <w:rFonts w:cstheme="minorHAnsi"/>
        </w:rPr>
        <w:t xml:space="preserve"> patients from leaving the ward to smoke</w:t>
      </w:r>
      <w:r w:rsidR="00746A3B" w:rsidRPr="00172E44">
        <w:rPr>
          <w:rFonts w:cstheme="minorHAnsi"/>
        </w:rPr>
        <w:t xml:space="preserve"> </w:t>
      </w:r>
      <w:r w:rsidR="00C4438E" w:rsidRPr="00172E44">
        <w:rPr>
          <w:rFonts w:cstheme="minorHAnsi"/>
        </w:rPr>
        <w:t>e.g</w:t>
      </w:r>
      <w:r w:rsidR="00F36CFA" w:rsidRPr="00172E44">
        <w:rPr>
          <w:rFonts w:cstheme="minorHAnsi"/>
        </w:rPr>
        <w:t>.</w:t>
      </w:r>
      <w:r w:rsidR="00C971DB" w:rsidRPr="00172E44">
        <w:rPr>
          <w:rFonts w:cstheme="minorHAnsi"/>
        </w:rPr>
        <w:t xml:space="preserve"> </w:t>
      </w:r>
      <w:r w:rsidR="005E6BD7" w:rsidRPr="00172E44">
        <w:rPr>
          <w:rFonts w:cstheme="minorHAnsi"/>
        </w:rPr>
        <w:t xml:space="preserve">during the </w:t>
      </w:r>
      <w:r w:rsidR="003F48F5" w:rsidRPr="00172E44">
        <w:rPr>
          <w:rFonts w:cstheme="minorHAnsi"/>
        </w:rPr>
        <w:t xml:space="preserve">indoor-only </w:t>
      </w:r>
      <w:r w:rsidR="008B187B" w:rsidRPr="00172E44">
        <w:rPr>
          <w:rFonts w:cstheme="minorHAnsi"/>
        </w:rPr>
        <w:t xml:space="preserve">smoke-free </w:t>
      </w:r>
      <w:r w:rsidR="006865F1" w:rsidRPr="00172E44">
        <w:rPr>
          <w:rFonts w:cstheme="minorHAnsi"/>
        </w:rPr>
        <w:t xml:space="preserve">policy </w:t>
      </w:r>
      <w:r w:rsidR="005E6BD7" w:rsidRPr="00172E44">
        <w:rPr>
          <w:rFonts w:cstheme="minorHAnsi"/>
        </w:rPr>
        <w:t>period</w:t>
      </w:r>
      <w:r w:rsidR="00845516" w:rsidRPr="00172E44">
        <w:rPr>
          <w:rFonts w:cstheme="minorHAnsi"/>
        </w:rPr>
        <w:t>,</w:t>
      </w:r>
      <w:r w:rsidR="005E6BD7" w:rsidRPr="00172E44">
        <w:rPr>
          <w:rFonts w:cstheme="minorHAnsi"/>
        </w:rPr>
        <w:t xml:space="preserve"> staff refused patient request</w:t>
      </w:r>
      <w:r w:rsidR="00674B40" w:rsidRPr="00172E44">
        <w:rPr>
          <w:rFonts w:cstheme="minorHAnsi"/>
        </w:rPr>
        <w:t>s</w:t>
      </w:r>
      <w:r w:rsidR="005E6BD7" w:rsidRPr="00172E44">
        <w:rPr>
          <w:rFonts w:cstheme="minorHAnsi"/>
        </w:rPr>
        <w:t xml:space="preserve"> to smoke </w:t>
      </w:r>
      <w:r w:rsidR="00C4438E" w:rsidRPr="00172E44">
        <w:rPr>
          <w:rFonts w:cstheme="minorHAnsi"/>
        </w:rPr>
        <w:t>if it</w:t>
      </w:r>
      <w:r w:rsidR="008D7240" w:rsidRPr="00172E44">
        <w:rPr>
          <w:rFonts w:cstheme="minorHAnsi"/>
        </w:rPr>
        <w:t xml:space="preserve"> was outside of scheduled smoking break times </w:t>
      </w:r>
      <w:bookmarkEnd w:id="6"/>
      <w:r w:rsidR="007632D0" w:rsidRPr="00172E44">
        <w:rPr>
          <w:rFonts w:cstheme="minorHAnsi"/>
        </w:rPr>
        <w:t xml:space="preserve">or </w:t>
      </w:r>
      <w:r w:rsidR="00382334" w:rsidRPr="00172E44">
        <w:rPr>
          <w:rFonts w:cstheme="minorHAnsi"/>
        </w:rPr>
        <w:t>if staff were concerned about the patient</w:t>
      </w:r>
      <w:r w:rsidR="005E6BD7" w:rsidRPr="00172E44">
        <w:rPr>
          <w:rFonts w:cstheme="minorHAnsi"/>
        </w:rPr>
        <w:t>’</w:t>
      </w:r>
      <w:r w:rsidR="00382334" w:rsidRPr="00172E44">
        <w:rPr>
          <w:rFonts w:cstheme="minorHAnsi"/>
        </w:rPr>
        <w:t>s</w:t>
      </w:r>
      <w:r w:rsidR="00746A3B" w:rsidRPr="00172E44">
        <w:rPr>
          <w:rFonts w:cstheme="minorHAnsi"/>
        </w:rPr>
        <w:t xml:space="preserve"> </w:t>
      </w:r>
      <w:r w:rsidR="000735B9" w:rsidRPr="00172E44">
        <w:rPr>
          <w:rFonts w:cstheme="minorHAnsi"/>
        </w:rPr>
        <w:t>welfare</w:t>
      </w:r>
      <w:r w:rsidR="00746A3B" w:rsidRPr="00172E44">
        <w:rPr>
          <w:rStyle w:val="CommentReference"/>
        </w:rPr>
        <w:t xml:space="preserve">. </w:t>
      </w:r>
      <w:r w:rsidR="00746A3B" w:rsidRPr="00172E44">
        <w:rPr>
          <w:rFonts w:cstheme="minorHAnsi"/>
        </w:rPr>
        <w:t>During</w:t>
      </w:r>
      <w:r w:rsidR="00217F7F" w:rsidRPr="00172E44">
        <w:rPr>
          <w:rFonts w:cstheme="minorHAnsi"/>
        </w:rPr>
        <w:t xml:space="preserve"> the indoor-only</w:t>
      </w:r>
      <w:r w:rsidR="00746A3B" w:rsidRPr="00172E44">
        <w:rPr>
          <w:rFonts w:cstheme="minorHAnsi"/>
        </w:rPr>
        <w:t xml:space="preserve"> </w:t>
      </w:r>
      <w:r w:rsidR="008B187B" w:rsidRPr="00172E44">
        <w:rPr>
          <w:rFonts w:cstheme="minorHAnsi"/>
        </w:rPr>
        <w:t xml:space="preserve">smoke-free </w:t>
      </w:r>
      <w:r w:rsidR="00E40BDD" w:rsidRPr="00172E44">
        <w:rPr>
          <w:rFonts w:cstheme="minorHAnsi"/>
        </w:rPr>
        <w:t>policy</w:t>
      </w:r>
      <w:r w:rsidR="00217F7F" w:rsidRPr="00172E44">
        <w:rPr>
          <w:rFonts w:cstheme="minorHAnsi"/>
        </w:rPr>
        <w:t xml:space="preserve"> period</w:t>
      </w:r>
      <w:r w:rsidR="00E40BDD" w:rsidRPr="00172E44">
        <w:rPr>
          <w:rFonts w:cstheme="minorHAnsi"/>
        </w:rPr>
        <w:t>, there were 1</w:t>
      </w:r>
      <w:r w:rsidR="00944F2F" w:rsidRPr="00172E44">
        <w:rPr>
          <w:rFonts w:cstheme="minorHAnsi"/>
        </w:rPr>
        <w:t>6</w:t>
      </w:r>
      <w:r w:rsidR="00E40BDD" w:rsidRPr="00172E44">
        <w:rPr>
          <w:rFonts w:cstheme="minorHAnsi"/>
        </w:rPr>
        <w:t xml:space="preserve"> incidents of violence towards</w:t>
      </w:r>
      <w:r w:rsidR="00C971DB" w:rsidRPr="00172E44">
        <w:rPr>
          <w:rFonts w:cstheme="minorHAnsi"/>
        </w:rPr>
        <w:t xml:space="preserve"> </w:t>
      </w:r>
      <w:r w:rsidR="00E40BDD" w:rsidRPr="00172E44">
        <w:rPr>
          <w:rFonts w:cstheme="minorHAnsi"/>
        </w:rPr>
        <w:t>staff</w:t>
      </w:r>
      <w:r w:rsidR="00B37B1E" w:rsidRPr="00172E44">
        <w:rPr>
          <w:rFonts w:cstheme="minorHAnsi"/>
        </w:rPr>
        <w:t xml:space="preserve"> and </w:t>
      </w:r>
      <w:r w:rsidR="00382334" w:rsidRPr="00172E44">
        <w:rPr>
          <w:rFonts w:cstheme="minorHAnsi"/>
        </w:rPr>
        <w:t>t</w:t>
      </w:r>
      <w:r w:rsidR="00E40BDD" w:rsidRPr="00172E44">
        <w:rPr>
          <w:rFonts w:cstheme="minorHAnsi"/>
        </w:rPr>
        <w:t>wo incidents towards other patients; the</w:t>
      </w:r>
      <w:r w:rsidR="00B37B1E" w:rsidRPr="00172E44">
        <w:rPr>
          <w:rFonts w:cstheme="minorHAnsi"/>
        </w:rPr>
        <w:t xml:space="preserve"> latter</w:t>
      </w:r>
      <w:r w:rsidR="00E40BDD" w:rsidRPr="00172E44">
        <w:rPr>
          <w:rFonts w:cstheme="minorHAnsi"/>
        </w:rPr>
        <w:t xml:space="preserve"> occurred </w:t>
      </w:r>
      <w:r w:rsidR="00782900" w:rsidRPr="00172E44">
        <w:rPr>
          <w:rFonts w:cstheme="minorHAnsi"/>
        </w:rPr>
        <w:t>when</w:t>
      </w:r>
      <w:r w:rsidR="00E40BDD" w:rsidRPr="00172E44">
        <w:rPr>
          <w:rFonts w:cstheme="minorHAnsi"/>
        </w:rPr>
        <w:t xml:space="preserve"> patients were still agitated after their request to smoke was refused by staff and </w:t>
      </w:r>
      <w:r w:rsidR="00BC6CBE" w:rsidRPr="00172E44">
        <w:rPr>
          <w:rFonts w:cstheme="minorHAnsi"/>
        </w:rPr>
        <w:t xml:space="preserve">subsequently </w:t>
      </w:r>
      <w:r w:rsidR="00E40BDD" w:rsidRPr="00172E44">
        <w:rPr>
          <w:rFonts w:cstheme="minorHAnsi"/>
        </w:rPr>
        <w:t>became violent towards their peers.</w:t>
      </w:r>
    </w:p>
    <w:p w14:paraId="6BDC556C" w14:textId="2C038168" w:rsidR="00E40BDD" w:rsidRPr="00172E44" w:rsidRDefault="00EE6627" w:rsidP="00C15783">
      <w:pPr>
        <w:spacing w:line="480" w:lineRule="auto"/>
        <w:jc w:val="both"/>
        <w:rPr>
          <w:rFonts w:cstheme="minorHAnsi"/>
        </w:rPr>
      </w:pPr>
      <w:bookmarkStart w:id="7" w:name="_Hlk14959089"/>
      <w:r w:rsidRPr="00172E44">
        <w:rPr>
          <w:rFonts w:cstheme="minorHAnsi"/>
          <w:i/>
        </w:rPr>
        <w:t>“Patient then became agitated and wanting to go out of the ward according to his request for a smoke</w:t>
      </w:r>
      <w:r w:rsidR="00601CB9" w:rsidRPr="00172E44">
        <w:rPr>
          <w:rFonts w:cstheme="minorHAnsi"/>
          <w:i/>
        </w:rPr>
        <w:t>….</w:t>
      </w:r>
      <w:r w:rsidRPr="00172E44">
        <w:rPr>
          <w:rFonts w:cstheme="minorHAnsi"/>
          <w:i/>
        </w:rPr>
        <w:t xml:space="preserve">undermining all therapeutic engagement to deescalate his agitation but ended up throwing his weight on the staff </w:t>
      </w:r>
      <w:r w:rsidR="00A530C4" w:rsidRPr="00172E44">
        <w:rPr>
          <w:rFonts w:cstheme="minorHAnsi"/>
          <w:i/>
        </w:rPr>
        <w:t>(who)</w:t>
      </w:r>
      <w:r w:rsidRPr="00172E44">
        <w:rPr>
          <w:rFonts w:cstheme="minorHAnsi"/>
          <w:i/>
        </w:rPr>
        <w:t xml:space="preserve"> sustained bruises</w:t>
      </w:r>
      <w:bookmarkEnd w:id="7"/>
      <w:r w:rsidRPr="00172E44">
        <w:rPr>
          <w:rFonts w:cstheme="minorHAnsi"/>
          <w:i/>
        </w:rPr>
        <w:t xml:space="preserve">.” (Patient-towards-staff, </w:t>
      </w:r>
      <w:r w:rsidR="006865F1" w:rsidRPr="00172E44">
        <w:rPr>
          <w:rFonts w:cstheme="minorHAnsi"/>
          <w:i/>
        </w:rPr>
        <w:t xml:space="preserve">indoor-only </w:t>
      </w:r>
      <w:r w:rsidR="008B187B" w:rsidRPr="00172E44">
        <w:rPr>
          <w:rFonts w:cstheme="minorHAnsi"/>
          <w:i/>
        </w:rPr>
        <w:t xml:space="preserve">smoke-free </w:t>
      </w:r>
      <w:r w:rsidR="006865F1" w:rsidRPr="00172E44">
        <w:rPr>
          <w:rFonts w:cstheme="minorHAnsi"/>
          <w:i/>
        </w:rPr>
        <w:t>policy</w:t>
      </w:r>
      <w:r w:rsidRPr="00172E44">
        <w:rPr>
          <w:rFonts w:cstheme="minorHAnsi"/>
          <w:i/>
        </w:rPr>
        <w:t xml:space="preserve">: </w:t>
      </w:r>
      <w:r w:rsidR="00945CE2" w:rsidRPr="00172E44">
        <w:rPr>
          <w:rFonts w:cstheme="minorHAnsi"/>
          <w:i/>
        </w:rPr>
        <w:t>patient,</w:t>
      </w:r>
      <w:r w:rsidRPr="00172E44">
        <w:rPr>
          <w:rFonts w:cstheme="minorHAnsi"/>
          <w:i/>
        </w:rPr>
        <w:t xml:space="preserve"> male, </w:t>
      </w:r>
      <w:r w:rsidR="007F56C7" w:rsidRPr="00172E44">
        <w:rPr>
          <w:rFonts w:cstheme="minorHAnsi"/>
          <w:i/>
        </w:rPr>
        <w:t xml:space="preserve">age </w:t>
      </w:r>
      <w:r w:rsidR="00165905" w:rsidRPr="00172E44">
        <w:rPr>
          <w:rFonts w:cstheme="minorHAnsi"/>
          <w:i/>
        </w:rPr>
        <w:t>18</w:t>
      </w:r>
      <w:r w:rsidR="00AA5F67" w:rsidRPr="00172E44">
        <w:rPr>
          <w:rFonts w:cstheme="minorHAnsi"/>
          <w:i/>
        </w:rPr>
        <w:t>-</w:t>
      </w:r>
      <w:r w:rsidR="00031E85" w:rsidRPr="00172E44">
        <w:rPr>
          <w:rFonts w:cstheme="minorHAnsi"/>
          <w:i/>
        </w:rPr>
        <w:t>29</w:t>
      </w:r>
      <w:r w:rsidRPr="00172E44">
        <w:rPr>
          <w:rFonts w:cstheme="minorHAnsi"/>
          <w:i/>
        </w:rPr>
        <w:t>)</w:t>
      </w:r>
      <w:r w:rsidRPr="00172E44">
        <w:rPr>
          <w:rFonts w:cstheme="minorHAnsi"/>
        </w:rPr>
        <w:t>.</w:t>
      </w:r>
    </w:p>
    <w:p w14:paraId="7EC5FFB9" w14:textId="1D883339" w:rsidR="00C53509" w:rsidRPr="00172E44" w:rsidRDefault="00C53509" w:rsidP="00C15783">
      <w:pPr>
        <w:spacing w:line="480" w:lineRule="auto"/>
        <w:rPr>
          <w:rFonts w:cstheme="minorHAnsi"/>
        </w:rPr>
      </w:pPr>
      <w:r w:rsidRPr="00172E44">
        <w:rPr>
          <w:rFonts w:cstheme="minorHAnsi"/>
          <w:i/>
        </w:rPr>
        <w:t xml:space="preserve">“Patient became verbally aggressive because they could not go out to smoke. The patient later attacked a fellow patient sitting in the communal area with the heel of their shoe by hitting the victim on the head. </w:t>
      </w:r>
      <w:r w:rsidRPr="00172E44">
        <w:rPr>
          <w:rFonts w:cstheme="minorHAnsi"/>
          <w:i/>
          <w:noProof/>
        </w:rPr>
        <w:t>Victim</w:t>
      </w:r>
      <w:r w:rsidRPr="00172E44">
        <w:rPr>
          <w:rFonts w:cstheme="minorHAnsi"/>
          <w:i/>
        </w:rPr>
        <w:t xml:space="preserve"> was bleeding and their face was swollen.” (Patient-towards-patient,</w:t>
      </w:r>
      <w:r w:rsidR="008B4C8F" w:rsidRPr="00172E44">
        <w:rPr>
          <w:rFonts w:cstheme="minorHAnsi"/>
          <w:i/>
        </w:rPr>
        <w:t xml:space="preserve"> </w:t>
      </w:r>
      <w:r w:rsidR="006865F1" w:rsidRPr="00172E44">
        <w:rPr>
          <w:rFonts w:cstheme="minorHAnsi"/>
          <w:i/>
        </w:rPr>
        <w:t xml:space="preserve">indoor-only </w:t>
      </w:r>
      <w:r w:rsidR="008B187B" w:rsidRPr="00172E44">
        <w:rPr>
          <w:rFonts w:cstheme="minorHAnsi"/>
          <w:i/>
        </w:rPr>
        <w:t xml:space="preserve">smoke-free </w:t>
      </w:r>
      <w:r w:rsidR="006865F1" w:rsidRPr="00172E44">
        <w:rPr>
          <w:rFonts w:cstheme="minorHAnsi"/>
          <w:i/>
        </w:rPr>
        <w:t>policy</w:t>
      </w:r>
      <w:r w:rsidRPr="00172E44">
        <w:rPr>
          <w:rFonts w:cstheme="minorHAnsi"/>
          <w:i/>
        </w:rPr>
        <w:t xml:space="preserve">: </w:t>
      </w:r>
      <w:r w:rsidR="00945CE2" w:rsidRPr="00172E44">
        <w:rPr>
          <w:rFonts w:cstheme="minorHAnsi"/>
          <w:i/>
        </w:rPr>
        <w:t>patient,</w:t>
      </w:r>
      <w:r w:rsidR="008B4C8F" w:rsidRPr="00172E44">
        <w:rPr>
          <w:rFonts w:cstheme="minorHAnsi"/>
          <w:i/>
        </w:rPr>
        <w:t xml:space="preserve"> </w:t>
      </w:r>
      <w:r w:rsidRPr="00172E44">
        <w:rPr>
          <w:rFonts w:cstheme="minorHAnsi"/>
          <w:i/>
        </w:rPr>
        <w:t xml:space="preserve">female, </w:t>
      </w:r>
      <w:r w:rsidR="007F56C7" w:rsidRPr="00172E44">
        <w:rPr>
          <w:rFonts w:cstheme="minorHAnsi"/>
          <w:i/>
        </w:rPr>
        <w:t xml:space="preserve">age </w:t>
      </w:r>
      <w:r w:rsidR="00165905" w:rsidRPr="00172E44">
        <w:rPr>
          <w:rFonts w:cstheme="minorHAnsi"/>
          <w:i/>
        </w:rPr>
        <w:t>18</w:t>
      </w:r>
      <w:r w:rsidR="007F56C7" w:rsidRPr="00172E44">
        <w:rPr>
          <w:rFonts w:cstheme="minorHAnsi"/>
          <w:i/>
        </w:rPr>
        <w:t>-</w:t>
      </w:r>
      <w:r w:rsidR="008E3C30" w:rsidRPr="00172E44">
        <w:rPr>
          <w:rFonts w:cstheme="minorHAnsi"/>
          <w:i/>
        </w:rPr>
        <w:t>29</w:t>
      </w:r>
      <w:r w:rsidR="008B5286" w:rsidRPr="00172E44">
        <w:rPr>
          <w:rFonts w:cstheme="minorHAnsi"/>
          <w:i/>
        </w:rPr>
        <w:t>).</w:t>
      </w:r>
    </w:p>
    <w:p w14:paraId="0CF06734" w14:textId="0D21CD47" w:rsidR="006E028A" w:rsidRPr="00172E44" w:rsidRDefault="009D3B23" w:rsidP="00C15783">
      <w:pPr>
        <w:spacing w:line="480" w:lineRule="auto"/>
        <w:rPr>
          <w:rFonts w:cstheme="minorHAnsi"/>
        </w:rPr>
      </w:pPr>
      <w:r w:rsidRPr="00172E44">
        <w:rPr>
          <w:rFonts w:cstheme="minorHAnsi"/>
        </w:rPr>
        <w:t>Post</w:t>
      </w:r>
      <w:r w:rsidR="00B37B1E" w:rsidRPr="00172E44">
        <w:rPr>
          <w:rFonts w:cstheme="minorHAnsi"/>
        </w:rPr>
        <w:t>-</w:t>
      </w:r>
      <w:r w:rsidR="0019200E" w:rsidRPr="00172E44">
        <w:rPr>
          <w:rFonts w:cstheme="minorHAnsi"/>
        </w:rPr>
        <w:t xml:space="preserve">comprehensive </w:t>
      </w:r>
      <w:r w:rsidR="008B187B" w:rsidRPr="00172E44">
        <w:rPr>
          <w:rFonts w:cstheme="minorHAnsi"/>
        </w:rPr>
        <w:t xml:space="preserve">smoke-free </w:t>
      </w:r>
      <w:r w:rsidRPr="00172E44">
        <w:rPr>
          <w:rFonts w:cstheme="minorHAnsi"/>
        </w:rPr>
        <w:t>policy</w:t>
      </w:r>
      <w:r w:rsidR="008B4C8F" w:rsidRPr="00172E44">
        <w:rPr>
          <w:rFonts w:cstheme="minorHAnsi"/>
        </w:rPr>
        <w:t xml:space="preserve"> </w:t>
      </w:r>
      <w:r w:rsidR="001520AF" w:rsidRPr="00172E44">
        <w:rPr>
          <w:rFonts w:cstheme="minorHAnsi"/>
        </w:rPr>
        <w:t>introduction</w:t>
      </w:r>
      <w:r w:rsidRPr="00172E44">
        <w:rPr>
          <w:rFonts w:cstheme="minorHAnsi"/>
        </w:rPr>
        <w:t>, there were 1</w:t>
      </w:r>
      <w:r w:rsidR="004572E5" w:rsidRPr="00172E44">
        <w:rPr>
          <w:rFonts w:cstheme="minorHAnsi"/>
        </w:rPr>
        <w:t>0</w:t>
      </w:r>
      <w:r w:rsidRPr="00172E44">
        <w:rPr>
          <w:rFonts w:cstheme="minorHAnsi"/>
        </w:rPr>
        <w:t xml:space="preserve"> patient</w:t>
      </w:r>
      <w:r w:rsidR="00EE3620" w:rsidRPr="00172E44">
        <w:rPr>
          <w:rFonts w:cstheme="minorHAnsi"/>
        </w:rPr>
        <w:t>-</w:t>
      </w:r>
      <w:r w:rsidRPr="00172E44">
        <w:rPr>
          <w:rFonts w:cstheme="minorHAnsi"/>
        </w:rPr>
        <w:t>toward</w:t>
      </w:r>
      <w:r w:rsidR="00663C27" w:rsidRPr="00172E44">
        <w:rPr>
          <w:rFonts w:cstheme="minorHAnsi"/>
        </w:rPr>
        <w:t>-</w:t>
      </w:r>
      <w:r w:rsidRPr="00172E44">
        <w:rPr>
          <w:rFonts w:cstheme="minorHAnsi"/>
        </w:rPr>
        <w:t>staff incidents classified in this category</w:t>
      </w:r>
      <w:r w:rsidR="00EE3620" w:rsidRPr="00172E44">
        <w:rPr>
          <w:rFonts w:cstheme="minorHAnsi"/>
        </w:rPr>
        <w:t xml:space="preserve"> an</w:t>
      </w:r>
      <w:r w:rsidR="00663C27" w:rsidRPr="00172E44">
        <w:rPr>
          <w:rFonts w:cstheme="minorHAnsi"/>
        </w:rPr>
        <w:t>d</w:t>
      </w:r>
      <w:r w:rsidR="008B4C8F" w:rsidRPr="00172E44">
        <w:rPr>
          <w:rFonts w:cstheme="minorHAnsi"/>
        </w:rPr>
        <w:t xml:space="preserve"> </w:t>
      </w:r>
      <w:r w:rsidR="000A082F" w:rsidRPr="00172E44">
        <w:rPr>
          <w:rFonts w:cstheme="minorHAnsi"/>
        </w:rPr>
        <w:t>no</w:t>
      </w:r>
      <w:r w:rsidR="008B4C8F" w:rsidRPr="00172E44">
        <w:rPr>
          <w:rFonts w:cstheme="minorHAnsi"/>
        </w:rPr>
        <w:t xml:space="preserve"> </w:t>
      </w:r>
      <w:r w:rsidRPr="00172E44">
        <w:rPr>
          <w:rFonts w:cstheme="minorHAnsi"/>
        </w:rPr>
        <w:t>patient</w:t>
      </w:r>
      <w:r w:rsidR="00663C27" w:rsidRPr="00172E44">
        <w:rPr>
          <w:rFonts w:cstheme="minorHAnsi"/>
        </w:rPr>
        <w:t>-</w:t>
      </w:r>
      <w:r w:rsidRPr="00172E44">
        <w:rPr>
          <w:rFonts w:cstheme="minorHAnsi"/>
        </w:rPr>
        <w:t>toward</w:t>
      </w:r>
      <w:r w:rsidR="00663C27" w:rsidRPr="00172E44">
        <w:rPr>
          <w:rFonts w:cstheme="minorHAnsi"/>
        </w:rPr>
        <w:t>-</w:t>
      </w:r>
      <w:r w:rsidRPr="00172E44">
        <w:rPr>
          <w:rFonts w:cstheme="minorHAnsi"/>
        </w:rPr>
        <w:t>patient incidents</w:t>
      </w:r>
      <w:r w:rsidR="00663C27" w:rsidRPr="00172E44">
        <w:rPr>
          <w:rFonts w:cstheme="minorHAnsi"/>
        </w:rPr>
        <w:t>.</w:t>
      </w:r>
    </w:p>
    <w:p w14:paraId="7DB3E744" w14:textId="64CCDFC7" w:rsidR="00382334" w:rsidRPr="00172E44" w:rsidRDefault="009D3B23" w:rsidP="00C15783">
      <w:pPr>
        <w:spacing w:line="480" w:lineRule="auto"/>
        <w:jc w:val="both"/>
        <w:rPr>
          <w:rFonts w:cstheme="minorHAnsi"/>
          <w:i/>
        </w:rPr>
      </w:pPr>
      <w:r w:rsidRPr="00172E44">
        <w:rPr>
          <w:rFonts w:cstheme="minorHAnsi"/>
          <w:i/>
        </w:rPr>
        <w:t>“Approached staff member in the nurses' station and requested to smoke. Staff was in the process of informing her that she cannot smoke on the ward; she suddenly slapped the staff member on her face and spat at her.” (P</w:t>
      </w:r>
      <w:r w:rsidR="00E40BDD" w:rsidRPr="00172E44">
        <w:rPr>
          <w:rFonts w:cstheme="minorHAnsi"/>
          <w:i/>
        </w:rPr>
        <w:t>atient</w:t>
      </w:r>
      <w:r w:rsidR="009A6035" w:rsidRPr="00172E44">
        <w:rPr>
          <w:rFonts w:cstheme="minorHAnsi"/>
          <w:i/>
        </w:rPr>
        <w:t>-</w:t>
      </w:r>
      <w:r w:rsidRPr="00172E44">
        <w:rPr>
          <w:rFonts w:cstheme="minorHAnsi"/>
          <w:i/>
        </w:rPr>
        <w:t>towards</w:t>
      </w:r>
      <w:r w:rsidR="009A6035" w:rsidRPr="00172E44">
        <w:rPr>
          <w:rFonts w:cstheme="minorHAnsi"/>
          <w:i/>
        </w:rPr>
        <w:t>-</w:t>
      </w:r>
      <w:r w:rsidRPr="00172E44">
        <w:rPr>
          <w:rFonts w:cstheme="minorHAnsi"/>
          <w:i/>
        </w:rPr>
        <w:t>staf</w:t>
      </w:r>
      <w:r w:rsidR="009A6035" w:rsidRPr="00172E44">
        <w:rPr>
          <w:rFonts w:cstheme="minorHAnsi"/>
          <w:i/>
        </w:rPr>
        <w:t xml:space="preserve">f, </w:t>
      </w:r>
      <w:r w:rsidR="0019200E" w:rsidRPr="00172E44">
        <w:rPr>
          <w:rFonts w:cstheme="minorHAnsi"/>
          <w:i/>
        </w:rPr>
        <w:t xml:space="preserve">comprehensive </w:t>
      </w:r>
      <w:r w:rsidR="008B187B" w:rsidRPr="00172E44">
        <w:rPr>
          <w:rFonts w:cstheme="minorHAnsi"/>
          <w:i/>
        </w:rPr>
        <w:t xml:space="preserve">smoke-free </w:t>
      </w:r>
      <w:r w:rsidR="0053026A" w:rsidRPr="00172E44">
        <w:rPr>
          <w:rFonts w:cstheme="minorHAnsi"/>
          <w:i/>
        </w:rPr>
        <w:t>policy</w:t>
      </w:r>
      <w:r w:rsidRPr="00172E44">
        <w:rPr>
          <w:rFonts w:cstheme="minorHAnsi"/>
          <w:i/>
        </w:rPr>
        <w:t>:</w:t>
      </w:r>
      <w:r w:rsidR="008B4C8F" w:rsidRPr="00172E44">
        <w:rPr>
          <w:rFonts w:cstheme="minorHAnsi"/>
          <w:i/>
        </w:rPr>
        <w:t xml:space="preserve"> </w:t>
      </w:r>
      <w:r w:rsidR="00945CE2" w:rsidRPr="00172E44">
        <w:rPr>
          <w:rFonts w:cstheme="minorHAnsi"/>
          <w:i/>
        </w:rPr>
        <w:t>patient,</w:t>
      </w:r>
      <w:r w:rsidRPr="00172E44">
        <w:rPr>
          <w:rFonts w:cstheme="minorHAnsi"/>
          <w:i/>
        </w:rPr>
        <w:t xml:space="preserve"> female, </w:t>
      </w:r>
      <w:r w:rsidR="007F56C7" w:rsidRPr="00172E44">
        <w:rPr>
          <w:rFonts w:cstheme="minorHAnsi"/>
          <w:i/>
        </w:rPr>
        <w:t xml:space="preserve">age </w:t>
      </w:r>
      <w:r w:rsidR="00165905" w:rsidRPr="00172E44">
        <w:rPr>
          <w:rFonts w:cstheme="minorHAnsi"/>
          <w:i/>
        </w:rPr>
        <w:t>18</w:t>
      </w:r>
      <w:r w:rsidR="007F56C7" w:rsidRPr="00172E44">
        <w:rPr>
          <w:rFonts w:cstheme="minorHAnsi"/>
          <w:i/>
        </w:rPr>
        <w:t>-</w:t>
      </w:r>
      <w:r w:rsidR="008E3C30" w:rsidRPr="00172E44">
        <w:rPr>
          <w:rFonts w:cstheme="minorHAnsi"/>
          <w:i/>
        </w:rPr>
        <w:t>29</w:t>
      </w:r>
      <w:r w:rsidRPr="00172E44">
        <w:rPr>
          <w:rFonts w:cstheme="minorHAnsi"/>
          <w:i/>
        </w:rPr>
        <w:t>)</w:t>
      </w:r>
      <w:r w:rsidR="00E40BDD" w:rsidRPr="00172E44">
        <w:rPr>
          <w:rFonts w:cstheme="minorHAnsi"/>
          <w:i/>
        </w:rPr>
        <w:t>.</w:t>
      </w:r>
    </w:p>
    <w:p w14:paraId="79BC1070" w14:textId="77777777" w:rsidR="00F41E38" w:rsidRPr="00172E44" w:rsidRDefault="00F41E38" w:rsidP="00C15783">
      <w:pPr>
        <w:spacing w:line="480" w:lineRule="auto"/>
        <w:jc w:val="both"/>
        <w:rPr>
          <w:rFonts w:cstheme="minorHAnsi"/>
          <w:i/>
        </w:rPr>
      </w:pPr>
    </w:p>
    <w:p w14:paraId="3ECF98E4" w14:textId="77777777" w:rsidR="009D3B23" w:rsidRPr="00172E44" w:rsidRDefault="00A92CF3" w:rsidP="00C15783">
      <w:pPr>
        <w:pStyle w:val="ListParagraph"/>
        <w:numPr>
          <w:ilvl w:val="0"/>
          <w:numId w:val="5"/>
        </w:numPr>
        <w:spacing w:line="480" w:lineRule="auto"/>
        <w:rPr>
          <w:rFonts w:cstheme="minorHAnsi"/>
          <w:i/>
        </w:rPr>
      </w:pPr>
      <w:r w:rsidRPr="00172E44">
        <w:rPr>
          <w:rFonts w:cstheme="minorHAnsi"/>
          <w:i/>
        </w:rPr>
        <w:t xml:space="preserve">During </w:t>
      </w:r>
      <w:r w:rsidR="00530ECA" w:rsidRPr="00172E44">
        <w:rPr>
          <w:rFonts w:cstheme="minorHAnsi"/>
          <w:i/>
        </w:rPr>
        <w:t xml:space="preserve">a </w:t>
      </w:r>
      <w:r w:rsidRPr="00172E44">
        <w:rPr>
          <w:rFonts w:cstheme="minorHAnsi"/>
          <w:i/>
        </w:rPr>
        <w:t xml:space="preserve">supervised smoking break </w:t>
      </w:r>
    </w:p>
    <w:p w14:paraId="3D293493" w14:textId="52843F69" w:rsidR="00A92CF3" w:rsidRPr="00172E44" w:rsidRDefault="00A92CF3" w:rsidP="00C15783">
      <w:pPr>
        <w:spacing w:line="480" w:lineRule="auto"/>
        <w:jc w:val="both"/>
        <w:rPr>
          <w:rFonts w:cstheme="minorHAnsi"/>
        </w:rPr>
      </w:pPr>
      <w:r w:rsidRPr="00172E44">
        <w:rPr>
          <w:rFonts w:cstheme="minorHAnsi"/>
        </w:rPr>
        <w:t>Incidents were classified</w:t>
      </w:r>
      <w:r w:rsidR="008B4C8F" w:rsidRPr="00172E44">
        <w:t xml:space="preserve"> </w:t>
      </w:r>
      <w:r w:rsidR="00D87089" w:rsidRPr="00172E44">
        <w:rPr>
          <w:rFonts w:cstheme="minorHAnsi"/>
        </w:rPr>
        <w:t xml:space="preserve">under </w:t>
      </w:r>
      <w:r w:rsidRPr="00172E44">
        <w:rPr>
          <w:rFonts w:cstheme="minorHAnsi"/>
        </w:rPr>
        <w:t xml:space="preserve">this category when </w:t>
      </w:r>
      <w:r w:rsidR="000C0E43" w:rsidRPr="00172E44">
        <w:rPr>
          <w:rFonts w:cstheme="minorHAnsi"/>
        </w:rPr>
        <w:t>smoking was facilitated and supervised by staff</w:t>
      </w:r>
      <w:r w:rsidR="008B4C8F" w:rsidRPr="00172E44">
        <w:rPr>
          <w:rFonts w:cstheme="minorHAnsi"/>
        </w:rPr>
        <w:t xml:space="preserve"> </w:t>
      </w:r>
      <w:r w:rsidR="008B4D36" w:rsidRPr="00172E44">
        <w:rPr>
          <w:rFonts w:cstheme="minorHAnsi"/>
        </w:rPr>
        <w:t>in the ward garden or hospital grounds</w:t>
      </w:r>
      <w:r w:rsidR="00945CE2" w:rsidRPr="00172E44">
        <w:rPr>
          <w:rFonts w:cstheme="minorHAnsi"/>
        </w:rPr>
        <w:t>.</w:t>
      </w:r>
      <w:r w:rsidR="008B4C8F" w:rsidRPr="00172E44">
        <w:rPr>
          <w:rFonts w:cstheme="minorHAnsi"/>
        </w:rPr>
        <w:t xml:space="preserve"> </w:t>
      </w:r>
      <w:r w:rsidR="00845516" w:rsidRPr="00172E44">
        <w:rPr>
          <w:rFonts w:cstheme="minorHAnsi"/>
        </w:rPr>
        <w:t>T</w:t>
      </w:r>
      <w:r w:rsidRPr="00172E44">
        <w:rPr>
          <w:rFonts w:cstheme="minorHAnsi"/>
        </w:rPr>
        <w:t>here were 1</w:t>
      </w:r>
      <w:r w:rsidR="004572E5" w:rsidRPr="00172E44">
        <w:rPr>
          <w:rFonts w:cstheme="minorHAnsi"/>
        </w:rPr>
        <w:t>2</w:t>
      </w:r>
      <w:r w:rsidR="008B4C8F" w:rsidRPr="00172E44">
        <w:rPr>
          <w:rFonts w:cstheme="minorHAnsi"/>
        </w:rPr>
        <w:t xml:space="preserve"> </w:t>
      </w:r>
      <w:r w:rsidR="0061316E" w:rsidRPr="00172E44">
        <w:rPr>
          <w:rFonts w:cstheme="minorHAnsi"/>
        </w:rPr>
        <w:t xml:space="preserve">recorded </w:t>
      </w:r>
      <w:r w:rsidRPr="00172E44">
        <w:rPr>
          <w:rFonts w:cstheme="minorHAnsi"/>
        </w:rPr>
        <w:t xml:space="preserve">incidents of </w:t>
      </w:r>
      <w:r w:rsidR="003F438C" w:rsidRPr="00172E44">
        <w:rPr>
          <w:rFonts w:cstheme="minorHAnsi"/>
        </w:rPr>
        <w:t>patient-</w:t>
      </w:r>
      <w:r w:rsidRPr="00172E44">
        <w:rPr>
          <w:rFonts w:cstheme="minorHAnsi"/>
        </w:rPr>
        <w:t>toward</w:t>
      </w:r>
      <w:r w:rsidR="003F438C" w:rsidRPr="00172E44">
        <w:rPr>
          <w:rFonts w:cstheme="minorHAnsi"/>
        </w:rPr>
        <w:t>-</w:t>
      </w:r>
      <w:r w:rsidRPr="00172E44">
        <w:rPr>
          <w:rFonts w:cstheme="minorHAnsi"/>
        </w:rPr>
        <w:t xml:space="preserve">staff </w:t>
      </w:r>
      <w:r w:rsidR="003F438C" w:rsidRPr="00172E44">
        <w:rPr>
          <w:rFonts w:cstheme="minorHAnsi"/>
        </w:rPr>
        <w:t xml:space="preserve">violence </w:t>
      </w:r>
      <w:r w:rsidRPr="00172E44">
        <w:rPr>
          <w:rFonts w:cstheme="minorHAnsi"/>
        </w:rPr>
        <w:t>and 1</w:t>
      </w:r>
      <w:r w:rsidR="004572E5" w:rsidRPr="00172E44">
        <w:rPr>
          <w:rFonts w:cstheme="minorHAnsi"/>
        </w:rPr>
        <w:t>0</w:t>
      </w:r>
      <w:r w:rsidR="008B4C8F" w:rsidRPr="00172E44">
        <w:rPr>
          <w:rFonts w:cstheme="minorHAnsi"/>
        </w:rPr>
        <w:t xml:space="preserve"> </w:t>
      </w:r>
      <w:r w:rsidR="003F438C" w:rsidRPr="00172E44">
        <w:rPr>
          <w:rFonts w:cstheme="minorHAnsi"/>
        </w:rPr>
        <w:t>patient-</w:t>
      </w:r>
      <w:r w:rsidRPr="00172E44">
        <w:rPr>
          <w:rFonts w:cstheme="minorHAnsi"/>
        </w:rPr>
        <w:t>toward</w:t>
      </w:r>
      <w:r w:rsidR="003F438C" w:rsidRPr="00172E44">
        <w:rPr>
          <w:rFonts w:cstheme="minorHAnsi"/>
        </w:rPr>
        <w:t>-</w:t>
      </w:r>
      <w:r w:rsidRPr="00172E44">
        <w:rPr>
          <w:rFonts w:cstheme="minorHAnsi"/>
        </w:rPr>
        <w:t>patient</w:t>
      </w:r>
      <w:r w:rsidR="008B4C8F" w:rsidRPr="00172E44">
        <w:rPr>
          <w:rFonts w:cstheme="minorHAnsi"/>
        </w:rPr>
        <w:t xml:space="preserve"> </w:t>
      </w:r>
      <w:r w:rsidR="00945CE2" w:rsidRPr="00172E44">
        <w:rPr>
          <w:rFonts w:cstheme="minorHAnsi"/>
        </w:rPr>
        <w:t xml:space="preserve">incidents </w:t>
      </w:r>
      <w:r w:rsidR="004E701F" w:rsidRPr="00172E44">
        <w:rPr>
          <w:rFonts w:cstheme="minorHAnsi"/>
        </w:rPr>
        <w:t xml:space="preserve">during the indoor-only smoke-free policy period </w:t>
      </w:r>
      <w:r w:rsidR="00945CE2" w:rsidRPr="00172E44">
        <w:rPr>
          <w:rFonts w:cstheme="minorHAnsi"/>
        </w:rPr>
        <w:t xml:space="preserve">and none post-comprehensive smoke-free policy </w:t>
      </w:r>
      <w:r w:rsidR="00065045" w:rsidRPr="00172E44">
        <w:rPr>
          <w:rFonts w:cstheme="minorHAnsi"/>
        </w:rPr>
        <w:t>introduction</w:t>
      </w:r>
      <w:r w:rsidR="00945CE2" w:rsidRPr="00172E44">
        <w:rPr>
          <w:rFonts w:cstheme="minorHAnsi"/>
        </w:rPr>
        <w:t>.</w:t>
      </w:r>
    </w:p>
    <w:p w14:paraId="70D2CBC2" w14:textId="5CA83CFF" w:rsidR="00292F5B" w:rsidRPr="00172E44" w:rsidRDefault="00292F5B" w:rsidP="00C15783">
      <w:pPr>
        <w:spacing w:line="480" w:lineRule="auto"/>
        <w:rPr>
          <w:rFonts w:cstheme="minorHAnsi"/>
          <w:i/>
        </w:rPr>
      </w:pPr>
      <w:r w:rsidRPr="00172E44">
        <w:rPr>
          <w:rFonts w:cstheme="minorHAnsi"/>
          <w:i/>
        </w:rPr>
        <w:t>“</w:t>
      </w:r>
      <w:r w:rsidR="00B705FF" w:rsidRPr="00172E44">
        <w:rPr>
          <w:rFonts w:cstheme="minorHAnsi"/>
          <w:i/>
        </w:rPr>
        <w:t xml:space="preserve">Staff lit </w:t>
      </w:r>
      <w:r w:rsidR="005512B8" w:rsidRPr="00172E44">
        <w:rPr>
          <w:rFonts w:cstheme="minorHAnsi"/>
          <w:i/>
        </w:rPr>
        <w:t xml:space="preserve">a </w:t>
      </w:r>
      <w:r w:rsidR="00B705FF" w:rsidRPr="00172E44">
        <w:rPr>
          <w:rFonts w:cstheme="minorHAnsi"/>
          <w:i/>
        </w:rPr>
        <w:t xml:space="preserve">cigarette for another patient and this patient just came along inviting staff to a fight, </w:t>
      </w:r>
      <w:r w:rsidR="00617934" w:rsidRPr="00172E44">
        <w:rPr>
          <w:rFonts w:cstheme="minorHAnsi"/>
          <w:i/>
        </w:rPr>
        <w:t>………</w:t>
      </w:r>
      <w:r w:rsidR="00B705FF" w:rsidRPr="00172E44">
        <w:rPr>
          <w:rFonts w:cstheme="minorHAnsi"/>
          <w:i/>
        </w:rPr>
        <w:t xml:space="preserve"> he told staff to "f**off</w:t>
      </w:r>
      <w:r w:rsidR="00FE4ADB" w:rsidRPr="00172E44">
        <w:rPr>
          <w:rFonts w:cstheme="minorHAnsi"/>
          <w:i/>
        </w:rPr>
        <w:t>…</w:t>
      </w:r>
      <w:r w:rsidR="00B705FF" w:rsidRPr="00172E44">
        <w:rPr>
          <w:rFonts w:cstheme="minorHAnsi"/>
          <w:i/>
        </w:rPr>
        <w:t xml:space="preserve">", later </w:t>
      </w:r>
      <w:r w:rsidR="00792A75" w:rsidRPr="00172E44">
        <w:rPr>
          <w:rFonts w:cstheme="minorHAnsi"/>
          <w:i/>
        </w:rPr>
        <w:t>…</w:t>
      </w:r>
      <w:r w:rsidR="00B705FF" w:rsidRPr="00172E44">
        <w:rPr>
          <w:rFonts w:cstheme="minorHAnsi"/>
          <w:i/>
        </w:rPr>
        <w:t xml:space="preserve">…he </w:t>
      </w:r>
      <w:r w:rsidR="00B705FF" w:rsidRPr="00172E44">
        <w:rPr>
          <w:rFonts w:cstheme="minorHAnsi"/>
          <w:i/>
          <w:noProof/>
        </w:rPr>
        <w:t>head butted</w:t>
      </w:r>
      <w:r w:rsidR="00B705FF" w:rsidRPr="00172E44">
        <w:rPr>
          <w:rFonts w:cstheme="minorHAnsi"/>
          <w:i/>
        </w:rPr>
        <w:t xml:space="preserve"> staff member on the forehead and tried to bite his hand when trying to free himself.</w:t>
      </w:r>
      <w:r w:rsidRPr="00172E44">
        <w:rPr>
          <w:rFonts w:cstheme="minorHAnsi"/>
          <w:i/>
        </w:rPr>
        <w:t>” (Patient</w:t>
      </w:r>
      <w:r w:rsidR="00B705FF" w:rsidRPr="00172E44">
        <w:rPr>
          <w:rFonts w:cstheme="minorHAnsi"/>
          <w:i/>
        </w:rPr>
        <w:t>-</w:t>
      </w:r>
      <w:r w:rsidRPr="00172E44">
        <w:rPr>
          <w:rFonts w:cstheme="minorHAnsi"/>
          <w:i/>
        </w:rPr>
        <w:t>toward</w:t>
      </w:r>
      <w:r w:rsidR="00B705FF" w:rsidRPr="00172E44">
        <w:rPr>
          <w:rFonts w:cstheme="minorHAnsi"/>
          <w:i/>
        </w:rPr>
        <w:t>-</w:t>
      </w:r>
      <w:r w:rsidRPr="00172E44">
        <w:rPr>
          <w:rFonts w:cstheme="minorHAnsi"/>
          <w:i/>
        </w:rPr>
        <w:t>staff</w:t>
      </w:r>
      <w:r w:rsidR="00A146FE" w:rsidRPr="00172E44">
        <w:rPr>
          <w:rFonts w:cstheme="minorHAnsi"/>
          <w:i/>
        </w:rPr>
        <w:t>,</w:t>
      </w:r>
      <w:r w:rsidR="008B4C8F" w:rsidRPr="00172E44">
        <w:rPr>
          <w:rFonts w:cstheme="minorHAnsi"/>
          <w:i/>
        </w:rPr>
        <w:t xml:space="preserve"> </w:t>
      </w:r>
      <w:r w:rsidR="006865F1" w:rsidRPr="00172E44">
        <w:rPr>
          <w:rFonts w:cstheme="minorHAnsi"/>
          <w:i/>
        </w:rPr>
        <w:t xml:space="preserve">indoor-only </w:t>
      </w:r>
      <w:r w:rsidR="008B187B" w:rsidRPr="00172E44">
        <w:rPr>
          <w:rFonts w:cstheme="minorHAnsi"/>
          <w:i/>
        </w:rPr>
        <w:t xml:space="preserve">smoke-free </w:t>
      </w:r>
      <w:r w:rsidR="00041D26" w:rsidRPr="00172E44">
        <w:rPr>
          <w:rFonts w:cstheme="minorHAnsi"/>
          <w:i/>
        </w:rPr>
        <w:t>policy</w:t>
      </w:r>
      <w:r w:rsidR="00BC3E08" w:rsidRPr="00172E44">
        <w:rPr>
          <w:rFonts w:cstheme="minorHAnsi"/>
          <w:i/>
        </w:rPr>
        <w:t>:</w:t>
      </w:r>
      <w:r w:rsidR="008B4C8F" w:rsidRPr="00172E44">
        <w:rPr>
          <w:rFonts w:cstheme="minorHAnsi"/>
          <w:i/>
        </w:rPr>
        <w:t xml:space="preserve"> </w:t>
      </w:r>
      <w:r w:rsidR="00945CE2" w:rsidRPr="00172E44">
        <w:rPr>
          <w:rFonts w:cstheme="minorHAnsi"/>
          <w:i/>
        </w:rPr>
        <w:t>patient,</w:t>
      </w:r>
      <w:r w:rsidR="008B4C8F" w:rsidRPr="00172E44">
        <w:rPr>
          <w:rFonts w:cstheme="minorHAnsi"/>
          <w:i/>
        </w:rPr>
        <w:t xml:space="preserve"> </w:t>
      </w:r>
      <w:r w:rsidRPr="00172E44">
        <w:rPr>
          <w:rFonts w:cstheme="minorHAnsi"/>
          <w:i/>
        </w:rPr>
        <w:t xml:space="preserve">male, </w:t>
      </w:r>
      <w:r w:rsidR="00815198" w:rsidRPr="00172E44">
        <w:rPr>
          <w:rFonts w:cstheme="minorHAnsi"/>
          <w:i/>
        </w:rPr>
        <w:t xml:space="preserve">age </w:t>
      </w:r>
      <w:r w:rsidRPr="00172E44">
        <w:rPr>
          <w:rFonts w:cstheme="minorHAnsi"/>
          <w:i/>
        </w:rPr>
        <w:t>6</w:t>
      </w:r>
      <w:r w:rsidR="00B705FF" w:rsidRPr="00172E44">
        <w:rPr>
          <w:rFonts w:cstheme="minorHAnsi"/>
          <w:i/>
        </w:rPr>
        <w:t>0</w:t>
      </w:r>
      <w:r w:rsidR="008E3C30" w:rsidRPr="00172E44">
        <w:rPr>
          <w:rFonts w:cstheme="minorHAnsi"/>
          <w:i/>
        </w:rPr>
        <w:t>-69</w:t>
      </w:r>
      <w:r w:rsidRPr="00172E44">
        <w:rPr>
          <w:rFonts w:cstheme="minorHAnsi"/>
          <w:i/>
        </w:rPr>
        <w:t>)</w:t>
      </w:r>
      <w:r w:rsidR="007F5F91" w:rsidRPr="00172E44">
        <w:rPr>
          <w:rFonts w:cstheme="minorHAnsi"/>
          <w:i/>
        </w:rPr>
        <w:t>.</w:t>
      </w:r>
    </w:p>
    <w:p w14:paraId="61DFC1F1" w14:textId="420B67CF" w:rsidR="00B05407" w:rsidRPr="00172E44" w:rsidRDefault="00A146FE" w:rsidP="00C15783">
      <w:pPr>
        <w:spacing w:line="480" w:lineRule="auto"/>
        <w:rPr>
          <w:rFonts w:cstheme="minorHAnsi"/>
          <w:i/>
        </w:rPr>
      </w:pPr>
      <w:r w:rsidRPr="00172E44">
        <w:rPr>
          <w:rFonts w:cstheme="minorHAnsi"/>
          <w:i/>
        </w:rPr>
        <w:t>“Two patients were in the garden smoking. Staff then noticed that one patient had punched the other in the face.” (Patient</w:t>
      </w:r>
      <w:r w:rsidR="007465CB" w:rsidRPr="00172E44">
        <w:rPr>
          <w:rFonts w:cstheme="minorHAnsi"/>
          <w:i/>
        </w:rPr>
        <w:t>-</w:t>
      </w:r>
      <w:r w:rsidRPr="00172E44">
        <w:rPr>
          <w:rFonts w:cstheme="minorHAnsi"/>
          <w:i/>
        </w:rPr>
        <w:t>toward</w:t>
      </w:r>
      <w:r w:rsidR="007465CB" w:rsidRPr="00172E44">
        <w:rPr>
          <w:rFonts w:cstheme="minorHAnsi"/>
          <w:i/>
        </w:rPr>
        <w:t>-</w:t>
      </w:r>
      <w:r w:rsidRPr="00172E44">
        <w:rPr>
          <w:rFonts w:cstheme="minorHAnsi"/>
          <w:i/>
        </w:rPr>
        <w:t xml:space="preserve">patient, </w:t>
      </w:r>
      <w:r w:rsidR="006865F1" w:rsidRPr="00172E44">
        <w:rPr>
          <w:rFonts w:cstheme="minorHAnsi"/>
          <w:i/>
        </w:rPr>
        <w:t>indoor-only</w:t>
      </w:r>
      <w:r w:rsidR="008B187B" w:rsidRPr="00172E44">
        <w:rPr>
          <w:rFonts w:cstheme="minorHAnsi"/>
          <w:i/>
        </w:rPr>
        <w:t xml:space="preserve"> smoke-free</w:t>
      </w:r>
      <w:r w:rsidR="008B4C8F" w:rsidRPr="00172E44">
        <w:rPr>
          <w:rFonts w:cstheme="minorHAnsi"/>
          <w:i/>
        </w:rPr>
        <w:t xml:space="preserve"> </w:t>
      </w:r>
      <w:r w:rsidRPr="00172E44">
        <w:rPr>
          <w:rFonts w:cstheme="minorHAnsi"/>
          <w:i/>
        </w:rPr>
        <w:t>policy</w:t>
      </w:r>
      <w:r w:rsidR="00D80CC9" w:rsidRPr="00172E44">
        <w:rPr>
          <w:rFonts w:cstheme="minorHAnsi"/>
          <w:i/>
        </w:rPr>
        <w:t>:</w:t>
      </w:r>
      <w:r w:rsidR="00945CE2" w:rsidRPr="00172E44">
        <w:rPr>
          <w:rFonts w:cstheme="minorHAnsi"/>
          <w:i/>
        </w:rPr>
        <w:t xml:space="preserve"> patient,</w:t>
      </w:r>
      <w:r w:rsidR="008B4C8F" w:rsidRPr="00172E44">
        <w:rPr>
          <w:rFonts w:cstheme="minorHAnsi"/>
          <w:i/>
        </w:rPr>
        <w:t xml:space="preserve"> </w:t>
      </w:r>
      <w:r w:rsidRPr="00172E44">
        <w:rPr>
          <w:rFonts w:cstheme="minorHAnsi"/>
          <w:i/>
        </w:rPr>
        <w:t>female</w:t>
      </w:r>
      <w:r w:rsidR="00DA6F14" w:rsidRPr="00172E44">
        <w:rPr>
          <w:rFonts w:cstheme="minorHAnsi"/>
          <w:i/>
        </w:rPr>
        <w:t>,</w:t>
      </w:r>
      <w:r w:rsidR="008B4C8F" w:rsidRPr="00172E44">
        <w:rPr>
          <w:rFonts w:cstheme="minorHAnsi"/>
          <w:i/>
        </w:rPr>
        <w:t xml:space="preserve"> </w:t>
      </w:r>
      <w:r w:rsidR="00815198" w:rsidRPr="00172E44">
        <w:rPr>
          <w:rFonts w:cstheme="minorHAnsi"/>
          <w:i/>
        </w:rPr>
        <w:t>age</w:t>
      </w:r>
      <w:r w:rsidR="008B4C8F" w:rsidRPr="00172E44">
        <w:rPr>
          <w:rFonts w:cstheme="minorHAnsi"/>
          <w:i/>
        </w:rPr>
        <w:t xml:space="preserve"> </w:t>
      </w:r>
      <w:r w:rsidRPr="00172E44">
        <w:rPr>
          <w:rFonts w:cstheme="minorHAnsi"/>
          <w:i/>
        </w:rPr>
        <w:t>4</w:t>
      </w:r>
      <w:r w:rsidR="00815198" w:rsidRPr="00172E44">
        <w:rPr>
          <w:rFonts w:cstheme="minorHAnsi"/>
          <w:i/>
        </w:rPr>
        <w:t>0-</w:t>
      </w:r>
      <w:r w:rsidR="008E3C30" w:rsidRPr="00172E44">
        <w:rPr>
          <w:rFonts w:cstheme="minorHAnsi"/>
          <w:i/>
        </w:rPr>
        <w:t>49</w:t>
      </w:r>
      <w:r w:rsidRPr="00172E44">
        <w:rPr>
          <w:rFonts w:cstheme="minorHAnsi"/>
          <w:i/>
        </w:rPr>
        <w:t>)</w:t>
      </w:r>
      <w:r w:rsidR="007F5F91" w:rsidRPr="00172E44">
        <w:rPr>
          <w:rFonts w:cstheme="minorHAnsi"/>
          <w:i/>
        </w:rPr>
        <w:t>.</w:t>
      </w:r>
    </w:p>
    <w:p w14:paraId="60202D1D" w14:textId="77777777" w:rsidR="00F41E38" w:rsidRPr="00172E44" w:rsidRDefault="00F41E38" w:rsidP="00C15783">
      <w:pPr>
        <w:spacing w:line="480" w:lineRule="auto"/>
        <w:rPr>
          <w:rFonts w:cstheme="minorHAnsi"/>
          <w:i/>
        </w:rPr>
      </w:pPr>
    </w:p>
    <w:p w14:paraId="4D6FA752" w14:textId="77777777" w:rsidR="009D24B4" w:rsidRPr="00172E44" w:rsidRDefault="007C3ABE" w:rsidP="00C15783">
      <w:pPr>
        <w:pStyle w:val="ListParagraph"/>
        <w:numPr>
          <w:ilvl w:val="0"/>
          <w:numId w:val="5"/>
        </w:numPr>
        <w:spacing w:line="480" w:lineRule="auto"/>
        <w:rPr>
          <w:rFonts w:cstheme="minorHAnsi"/>
          <w:i/>
        </w:rPr>
      </w:pPr>
      <w:bookmarkStart w:id="8" w:name="_Hlk535578642"/>
      <w:r w:rsidRPr="00172E44">
        <w:rPr>
          <w:rFonts w:cstheme="minorHAnsi"/>
          <w:i/>
        </w:rPr>
        <w:t xml:space="preserve">Staff response </w:t>
      </w:r>
      <w:r w:rsidR="005B5922" w:rsidRPr="00172E44">
        <w:rPr>
          <w:rFonts w:cstheme="minorHAnsi"/>
          <w:i/>
        </w:rPr>
        <w:t xml:space="preserve">to a </w:t>
      </w:r>
      <w:r w:rsidR="0076774D" w:rsidRPr="00172E44">
        <w:rPr>
          <w:rFonts w:cstheme="minorHAnsi"/>
          <w:i/>
        </w:rPr>
        <w:t xml:space="preserve">patient </w:t>
      </w:r>
      <w:r w:rsidR="005B5922" w:rsidRPr="00172E44">
        <w:rPr>
          <w:rFonts w:cstheme="minorHAnsi"/>
          <w:i/>
        </w:rPr>
        <w:t>b</w:t>
      </w:r>
      <w:r w:rsidR="009D24B4" w:rsidRPr="00172E44">
        <w:rPr>
          <w:rFonts w:cstheme="minorHAnsi"/>
          <w:i/>
        </w:rPr>
        <w:t>reach of smoke-free policy</w:t>
      </w:r>
    </w:p>
    <w:p w14:paraId="4F72E34F" w14:textId="4A9A4ACA" w:rsidR="009D24B4" w:rsidRPr="00172E44" w:rsidRDefault="009D24B4" w:rsidP="00C15783">
      <w:pPr>
        <w:spacing w:line="480" w:lineRule="auto"/>
        <w:rPr>
          <w:rFonts w:cstheme="minorHAnsi"/>
        </w:rPr>
      </w:pPr>
      <w:r w:rsidRPr="00172E44">
        <w:rPr>
          <w:rFonts w:cstheme="minorHAnsi"/>
        </w:rPr>
        <w:t xml:space="preserve">Incidents were classified under this category when staff either observed </w:t>
      </w:r>
      <w:r w:rsidR="00601CB9" w:rsidRPr="00172E44">
        <w:rPr>
          <w:rFonts w:cstheme="minorHAnsi"/>
        </w:rPr>
        <w:t>or suspected a patient of smoking</w:t>
      </w:r>
      <w:r w:rsidR="005B5922" w:rsidRPr="00172E44">
        <w:rPr>
          <w:rFonts w:cstheme="minorHAnsi"/>
        </w:rPr>
        <w:t xml:space="preserve"> and responded in </w:t>
      </w:r>
      <w:r w:rsidRPr="00172E44">
        <w:rPr>
          <w:rFonts w:cstheme="minorHAnsi"/>
        </w:rPr>
        <w:t>several ways, e.g. asking the</w:t>
      </w:r>
      <w:r w:rsidR="00EE2932" w:rsidRPr="00172E44">
        <w:rPr>
          <w:rFonts w:cstheme="minorHAnsi"/>
        </w:rPr>
        <w:t>m</w:t>
      </w:r>
      <w:r w:rsidRPr="00172E44">
        <w:rPr>
          <w:rFonts w:cstheme="minorHAnsi"/>
        </w:rPr>
        <w:t xml:space="preserve"> to extinguish their cigarette or hand</w:t>
      </w:r>
      <w:r w:rsidR="00CD7679" w:rsidRPr="00172E44">
        <w:rPr>
          <w:rFonts w:cstheme="minorHAnsi"/>
        </w:rPr>
        <w:t xml:space="preserve"> </w:t>
      </w:r>
      <w:r w:rsidRPr="00172E44">
        <w:rPr>
          <w:rFonts w:cstheme="minorHAnsi"/>
        </w:rPr>
        <w:t>over smoking materials</w:t>
      </w:r>
      <w:r w:rsidR="00A3739F" w:rsidRPr="00172E44">
        <w:rPr>
          <w:rFonts w:cstheme="minorHAnsi"/>
        </w:rPr>
        <w:t xml:space="preserve">. </w:t>
      </w:r>
      <w:r w:rsidRPr="00172E44">
        <w:rPr>
          <w:rFonts w:cstheme="minorHAnsi"/>
        </w:rPr>
        <w:t xml:space="preserve">Incidents where staff physically intervened to remove smoking materials from the patient were also included; though this was contrary to the guidance in the smoke-free policy and staff training. </w:t>
      </w:r>
      <w:r w:rsidR="00582A2C" w:rsidRPr="00172E44">
        <w:rPr>
          <w:rFonts w:cstheme="minorHAnsi"/>
        </w:rPr>
        <w:t xml:space="preserve">All the incidents classified in this antecedent category occurred on </w:t>
      </w:r>
      <w:r w:rsidR="00AE5580" w:rsidRPr="00172E44">
        <w:rPr>
          <w:rFonts w:cstheme="minorHAnsi"/>
        </w:rPr>
        <w:t>a ward</w:t>
      </w:r>
      <w:r w:rsidR="005E0648" w:rsidRPr="00172E44">
        <w:rPr>
          <w:rFonts w:cstheme="minorHAnsi"/>
        </w:rPr>
        <w:t>.</w:t>
      </w:r>
      <w:r w:rsidR="008B4C8F" w:rsidRPr="00172E44">
        <w:rPr>
          <w:rFonts w:cstheme="minorHAnsi"/>
        </w:rPr>
        <w:t xml:space="preserve"> </w:t>
      </w:r>
      <w:r w:rsidR="006B3C4F" w:rsidRPr="00172E44">
        <w:rPr>
          <w:rFonts w:cstheme="minorHAnsi"/>
        </w:rPr>
        <w:t xml:space="preserve">During the indoor-only </w:t>
      </w:r>
      <w:r w:rsidR="00E546F5" w:rsidRPr="00172E44">
        <w:rPr>
          <w:rFonts w:cstheme="minorHAnsi"/>
        </w:rPr>
        <w:t xml:space="preserve">smoke-free </w:t>
      </w:r>
      <w:r w:rsidRPr="00172E44">
        <w:rPr>
          <w:rFonts w:cstheme="minorHAnsi"/>
        </w:rPr>
        <w:t>policy</w:t>
      </w:r>
      <w:r w:rsidR="006B3C4F" w:rsidRPr="00172E44">
        <w:rPr>
          <w:rFonts w:cstheme="minorHAnsi"/>
        </w:rPr>
        <w:t xml:space="preserve"> period</w:t>
      </w:r>
      <w:r w:rsidRPr="00172E44">
        <w:rPr>
          <w:rFonts w:cstheme="minorHAnsi"/>
        </w:rPr>
        <w:t xml:space="preserve">, there were seven incidents of violence-toward-staff and none towards other patients. </w:t>
      </w:r>
    </w:p>
    <w:p w14:paraId="05872478" w14:textId="6B5437DA" w:rsidR="009D24B4" w:rsidRPr="00172E44" w:rsidRDefault="009D24B4" w:rsidP="00C15783">
      <w:pPr>
        <w:spacing w:line="480" w:lineRule="auto"/>
        <w:rPr>
          <w:rFonts w:cstheme="minorHAnsi"/>
          <w:i/>
        </w:rPr>
      </w:pPr>
      <w:r w:rsidRPr="00172E44">
        <w:rPr>
          <w:rFonts w:cstheme="minorHAnsi"/>
          <w:i/>
        </w:rPr>
        <w:t xml:space="preserve">“Staff asked the patient not </w:t>
      </w:r>
      <w:r w:rsidR="000735B9" w:rsidRPr="00172E44">
        <w:rPr>
          <w:rFonts w:cstheme="minorHAnsi"/>
          <w:i/>
        </w:rPr>
        <w:t>to</w:t>
      </w:r>
      <w:r w:rsidR="00B8700C" w:rsidRPr="00172E44">
        <w:rPr>
          <w:rFonts w:cstheme="minorHAnsi"/>
          <w:i/>
        </w:rPr>
        <w:t xml:space="preserve"> </w:t>
      </w:r>
      <w:r w:rsidRPr="00172E44">
        <w:rPr>
          <w:rFonts w:cstheme="minorHAnsi"/>
          <w:i/>
        </w:rPr>
        <w:t xml:space="preserve">smoke in the building. As the staff member reached down to put out the patient’s cigarette, the patient punched the staff member in the head” (patient-toward-staff, </w:t>
      </w:r>
      <w:r w:rsidR="00A3739F" w:rsidRPr="00172E44">
        <w:rPr>
          <w:rFonts w:cstheme="minorHAnsi"/>
          <w:i/>
        </w:rPr>
        <w:t xml:space="preserve">indoor-only </w:t>
      </w:r>
      <w:r w:rsidR="00E546F5" w:rsidRPr="00172E44">
        <w:rPr>
          <w:rFonts w:cstheme="minorHAnsi"/>
          <w:i/>
        </w:rPr>
        <w:t xml:space="preserve">smoke-free </w:t>
      </w:r>
      <w:r w:rsidRPr="00172E44">
        <w:rPr>
          <w:rFonts w:cstheme="minorHAnsi"/>
          <w:i/>
        </w:rPr>
        <w:t xml:space="preserve">policy: </w:t>
      </w:r>
      <w:r w:rsidR="00440618" w:rsidRPr="00172E44">
        <w:rPr>
          <w:rFonts w:cstheme="minorHAnsi"/>
          <w:i/>
        </w:rPr>
        <w:t>patient,</w:t>
      </w:r>
      <w:r w:rsidRPr="00172E44">
        <w:rPr>
          <w:rFonts w:cstheme="minorHAnsi"/>
          <w:i/>
        </w:rPr>
        <w:t xml:space="preserve"> female, 5</w:t>
      </w:r>
      <w:r w:rsidR="00815198" w:rsidRPr="00172E44">
        <w:rPr>
          <w:rFonts w:cstheme="minorHAnsi"/>
          <w:i/>
        </w:rPr>
        <w:t>0-59</w:t>
      </w:r>
      <w:r w:rsidRPr="00172E44">
        <w:rPr>
          <w:rFonts w:cstheme="minorHAnsi"/>
          <w:i/>
        </w:rPr>
        <w:t>).</w:t>
      </w:r>
    </w:p>
    <w:p w14:paraId="2C8ED01C" w14:textId="18EF9CCF" w:rsidR="009D24B4" w:rsidRPr="00172E44" w:rsidRDefault="009D24B4" w:rsidP="00C15783">
      <w:pPr>
        <w:spacing w:line="480" w:lineRule="auto"/>
        <w:rPr>
          <w:rFonts w:cstheme="minorHAnsi"/>
        </w:rPr>
      </w:pPr>
      <w:r w:rsidRPr="00172E44">
        <w:rPr>
          <w:rFonts w:cstheme="minorHAnsi"/>
        </w:rPr>
        <w:t>Post-</w:t>
      </w:r>
      <w:r w:rsidR="006B3C4F" w:rsidRPr="00172E44">
        <w:rPr>
          <w:rFonts w:cstheme="minorHAnsi"/>
        </w:rPr>
        <w:t xml:space="preserve">comprehensive </w:t>
      </w:r>
      <w:r w:rsidR="00E546F5" w:rsidRPr="00172E44">
        <w:rPr>
          <w:rFonts w:cstheme="minorHAnsi"/>
        </w:rPr>
        <w:t xml:space="preserve">smoke-free </w:t>
      </w:r>
      <w:r w:rsidRPr="00172E44">
        <w:rPr>
          <w:rFonts w:cstheme="minorHAnsi"/>
        </w:rPr>
        <w:t xml:space="preserve">policy </w:t>
      </w:r>
      <w:r w:rsidR="002C2C22" w:rsidRPr="00172E44">
        <w:rPr>
          <w:rFonts w:cstheme="minorHAnsi"/>
        </w:rPr>
        <w:t>introduction</w:t>
      </w:r>
      <w:r w:rsidRPr="00172E44">
        <w:rPr>
          <w:rFonts w:cstheme="minorHAnsi"/>
        </w:rPr>
        <w:t xml:space="preserve"> there were eleven incidents of patient-toward-staff violence and none towards other patients.</w:t>
      </w:r>
    </w:p>
    <w:p w14:paraId="7DD284B4" w14:textId="430B7B87" w:rsidR="00590826" w:rsidRPr="00172E44" w:rsidRDefault="009D24B4" w:rsidP="00C15783">
      <w:pPr>
        <w:spacing w:line="480" w:lineRule="auto"/>
        <w:rPr>
          <w:rFonts w:cstheme="minorHAnsi"/>
          <w:i/>
        </w:rPr>
      </w:pPr>
      <w:r w:rsidRPr="00172E44">
        <w:rPr>
          <w:rFonts w:cstheme="minorHAnsi"/>
          <w:i/>
        </w:rPr>
        <w:t xml:space="preserve">“On approaching patient's bedroom, the smell of the tobacco became stronger. Patient was informed that she would need to be searched as well as her room, but she refused and said that she was going to </w:t>
      </w:r>
      <w:r w:rsidR="00C1463D" w:rsidRPr="00172E44">
        <w:rPr>
          <w:rFonts w:cstheme="minorHAnsi"/>
          <w:i/>
        </w:rPr>
        <w:t xml:space="preserve">contact </w:t>
      </w:r>
      <w:r w:rsidR="006B3C4F" w:rsidRPr="00172E44">
        <w:rPr>
          <w:rFonts w:cstheme="minorHAnsi"/>
          <w:i/>
        </w:rPr>
        <w:t>p</w:t>
      </w:r>
      <w:r w:rsidRPr="00172E44">
        <w:rPr>
          <w:rFonts w:cstheme="minorHAnsi"/>
          <w:i/>
        </w:rPr>
        <w:t>olice</w:t>
      </w:r>
      <w:r w:rsidR="00945CE2" w:rsidRPr="00172E44">
        <w:rPr>
          <w:rFonts w:cstheme="minorHAnsi"/>
          <w:i/>
        </w:rPr>
        <w:t>………</w:t>
      </w:r>
      <w:r w:rsidRPr="00172E44">
        <w:rPr>
          <w:rFonts w:cstheme="minorHAnsi"/>
          <w:i/>
        </w:rPr>
        <w:t xml:space="preserve"> she started hitting staff on the forehead” (patient-toward-staff; </w:t>
      </w:r>
      <w:r w:rsidR="006B3C4F" w:rsidRPr="00172E44">
        <w:rPr>
          <w:rFonts w:cstheme="minorHAnsi"/>
          <w:i/>
        </w:rPr>
        <w:t xml:space="preserve">comprehensive </w:t>
      </w:r>
      <w:r w:rsidR="00E546F5" w:rsidRPr="00172E44">
        <w:rPr>
          <w:rFonts w:cstheme="minorHAnsi"/>
          <w:i/>
        </w:rPr>
        <w:t xml:space="preserve">smoke-free </w:t>
      </w:r>
      <w:r w:rsidRPr="00172E44">
        <w:rPr>
          <w:rFonts w:cstheme="minorHAnsi"/>
          <w:i/>
        </w:rPr>
        <w:t xml:space="preserve">policy: </w:t>
      </w:r>
      <w:r w:rsidR="00440618" w:rsidRPr="00172E44">
        <w:rPr>
          <w:rFonts w:cstheme="minorHAnsi"/>
          <w:i/>
        </w:rPr>
        <w:t xml:space="preserve">patient, </w:t>
      </w:r>
      <w:r w:rsidRPr="00172E44">
        <w:rPr>
          <w:rFonts w:cstheme="minorHAnsi"/>
          <w:i/>
        </w:rPr>
        <w:t xml:space="preserve">female, </w:t>
      </w:r>
      <w:r w:rsidR="00815198" w:rsidRPr="00172E44">
        <w:rPr>
          <w:rFonts w:cstheme="minorHAnsi"/>
          <w:i/>
        </w:rPr>
        <w:t xml:space="preserve">age </w:t>
      </w:r>
      <w:r w:rsidRPr="00172E44">
        <w:rPr>
          <w:rFonts w:cstheme="minorHAnsi"/>
          <w:i/>
        </w:rPr>
        <w:t>3</w:t>
      </w:r>
      <w:r w:rsidR="00815198" w:rsidRPr="00172E44">
        <w:rPr>
          <w:rFonts w:cstheme="minorHAnsi"/>
          <w:i/>
        </w:rPr>
        <w:t>0-39</w:t>
      </w:r>
      <w:r w:rsidRPr="00172E44">
        <w:rPr>
          <w:rFonts w:cstheme="minorHAnsi"/>
          <w:i/>
        </w:rPr>
        <w:t>).</w:t>
      </w:r>
      <w:bookmarkEnd w:id="8"/>
    </w:p>
    <w:p w14:paraId="1039F8FC" w14:textId="77777777" w:rsidR="00F41E38" w:rsidRPr="00172E44" w:rsidRDefault="00F41E38" w:rsidP="00C15783">
      <w:pPr>
        <w:spacing w:line="480" w:lineRule="auto"/>
        <w:rPr>
          <w:rFonts w:cstheme="minorHAnsi"/>
          <w:i/>
        </w:rPr>
      </w:pPr>
    </w:p>
    <w:p w14:paraId="1B119E50" w14:textId="77777777" w:rsidR="00833A7A" w:rsidRPr="00172E44" w:rsidRDefault="00833A7A" w:rsidP="00C15783">
      <w:pPr>
        <w:pStyle w:val="ListParagraph"/>
        <w:numPr>
          <w:ilvl w:val="0"/>
          <w:numId w:val="5"/>
        </w:numPr>
        <w:spacing w:line="480" w:lineRule="auto"/>
        <w:rPr>
          <w:rFonts w:cstheme="minorHAnsi"/>
          <w:i/>
        </w:rPr>
      </w:pPr>
      <w:r w:rsidRPr="00172E44">
        <w:rPr>
          <w:rFonts w:cstheme="minorHAnsi"/>
          <w:i/>
        </w:rPr>
        <w:t>Asking for, trading or stealing smoking materials</w:t>
      </w:r>
    </w:p>
    <w:p w14:paraId="0DF31079" w14:textId="52A0A85C" w:rsidR="00590826" w:rsidRPr="00172E44" w:rsidRDefault="00590826" w:rsidP="00C15783">
      <w:pPr>
        <w:spacing w:line="480" w:lineRule="auto"/>
        <w:rPr>
          <w:rFonts w:cstheme="minorHAnsi"/>
          <w:b/>
          <w:i/>
        </w:rPr>
      </w:pPr>
      <w:r w:rsidRPr="00172E44">
        <w:rPr>
          <w:rFonts w:cstheme="minorHAnsi"/>
        </w:rPr>
        <w:t xml:space="preserve">Incidents were classified under this category when patients either attempted </w:t>
      </w:r>
      <w:r w:rsidR="00EE2932" w:rsidRPr="00172E44">
        <w:rPr>
          <w:rFonts w:cstheme="minorHAnsi"/>
        </w:rPr>
        <w:t>to or</w:t>
      </w:r>
      <w:r w:rsidRPr="00172E44">
        <w:rPr>
          <w:rFonts w:cstheme="minorHAnsi"/>
        </w:rPr>
        <w:t xml:space="preserve"> stole</w:t>
      </w:r>
      <w:r w:rsidR="008B4C8F" w:rsidRPr="00172E44">
        <w:rPr>
          <w:rFonts w:cstheme="minorHAnsi"/>
        </w:rPr>
        <w:t xml:space="preserve"> </w:t>
      </w:r>
      <w:r w:rsidRPr="00172E44">
        <w:rPr>
          <w:rFonts w:cstheme="minorHAnsi"/>
        </w:rPr>
        <w:t xml:space="preserve">smoking </w:t>
      </w:r>
      <w:r w:rsidR="00B05407" w:rsidRPr="00172E44">
        <w:rPr>
          <w:rFonts w:cstheme="minorHAnsi"/>
        </w:rPr>
        <w:t xml:space="preserve">materials </w:t>
      </w:r>
      <w:r w:rsidRPr="00172E44">
        <w:rPr>
          <w:rFonts w:cstheme="minorHAnsi"/>
        </w:rPr>
        <w:t>from staff or other patients</w:t>
      </w:r>
      <w:r w:rsidR="0076774D" w:rsidRPr="00172E44">
        <w:rPr>
          <w:rFonts w:cstheme="minorHAnsi"/>
        </w:rPr>
        <w:t>,</w:t>
      </w:r>
      <w:r w:rsidR="00B05407" w:rsidRPr="00172E44">
        <w:rPr>
          <w:rFonts w:cstheme="minorHAnsi"/>
        </w:rPr>
        <w:t xml:space="preserve"> and</w:t>
      </w:r>
      <w:r w:rsidRPr="00172E44">
        <w:rPr>
          <w:rFonts w:cstheme="minorHAnsi"/>
        </w:rPr>
        <w:t xml:space="preserve"> where patients either requested</w:t>
      </w:r>
      <w:r w:rsidR="0076774D" w:rsidRPr="00172E44">
        <w:rPr>
          <w:rFonts w:cstheme="minorHAnsi"/>
        </w:rPr>
        <w:t>,</w:t>
      </w:r>
      <w:r w:rsidRPr="00172E44">
        <w:rPr>
          <w:rFonts w:cstheme="minorHAnsi"/>
        </w:rPr>
        <w:t xml:space="preserve"> or traded</w:t>
      </w:r>
      <w:r w:rsidR="0076774D" w:rsidRPr="00172E44">
        <w:rPr>
          <w:rFonts w:cstheme="minorHAnsi"/>
        </w:rPr>
        <w:t>,</w:t>
      </w:r>
      <w:r w:rsidRPr="00172E44">
        <w:rPr>
          <w:rFonts w:cstheme="minorHAnsi"/>
        </w:rPr>
        <w:t xml:space="preserve"> smoking </w:t>
      </w:r>
      <w:r w:rsidR="00B05407" w:rsidRPr="00172E44">
        <w:rPr>
          <w:rFonts w:cstheme="minorHAnsi"/>
        </w:rPr>
        <w:t xml:space="preserve">materials </w:t>
      </w:r>
      <w:r w:rsidRPr="00172E44">
        <w:rPr>
          <w:rFonts w:cstheme="minorHAnsi"/>
        </w:rPr>
        <w:t>with each other</w:t>
      </w:r>
      <w:r w:rsidR="006A3ED4" w:rsidRPr="00172E44">
        <w:rPr>
          <w:rFonts w:cstheme="minorHAnsi"/>
        </w:rPr>
        <w:t>.</w:t>
      </w:r>
      <w:r w:rsidR="00004E21" w:rsidRPr="00172E44">
        <w:rPr>
          <w:rFonts w:cstheme="minorHAnsi"/>
        </w:rPr>
        <w:t xml:space="preserve"> </w:t>
      </w:r>
      <w:r w:rsidR="00340855" w:rsidRPr="00172E44">
        <w:rPr>
          <w:rFonts w:cstheme="minorHAnsi"/>
        </w:rPr>
        <w:t xml:space="preserve">This did not include </w:t>
      </w:r>
      <w:r w:rsidR="00601CB9" w:rsidRPr="00172E44">
        <w:rPr>
          <w:rFonts w:cstheme="minorHAnsi"/>
        </w:rPr>
        <w:t>requesting</w:t>
      </w:r>
      <w:r w:rsidR="00340855" w:rsidRPr="00172E44">
        <w:rPr>
          <w:rFonts w:cstheme="minorHAnsi"/>
        </w:rPr>
        <w:t xml:space="preserve"> smoking materials from staff</w:t>
      </w:r>
      <w:r w:rsidR="007632D0" w:rsidRPr="00172E44">
        <w:rPr>
          <w:rFonts w:cstheme="minorHAnsi"/>
        </w:rPr>
        <w:t xml:space="preserve"> (included in category one)</w:t>
      </w:r>
      <w:r w:rsidR="00340855" w:rsidRPr="00172E44">
        <w:rPr>
          <w:rFonts w:cstheme="minorHAnsi"/>
        </w:rPr>
        <w:t xml:space="preserve">. </w:t>
      </w:r>
      <w:r w:rsidR="006B3C4F" w:rsidRPr="00172E44">
        <w:rPr>
          <w:rFonts w:cstheme="minorHAnsi"/>
        </w:rPr>
        <w:t xml:space="preserve">During the indoor-only </w:t>
      </w:r>
      <w:r w:rsidR="00E546F5" w:rsidRPr="00172E44">
        <w:rPr>
          <w:rFonts w:cstheme="minorHAnsi"/>
        </w:rPr>
        <w:t xml:space="preserve">smoke-free </w:t>
      </w:r>
      <w:r w:rsidRPr="00172E44">
        <w:rPr>
          <w:rFonts w:cstheme="minorHAnsi"/>
        </w:rPr>
        <w:t>policy</w:t>
      </w:r>
      <w:r w:rsidR="006B3C4F" w:rsidRPr="00172E44">
        <w:rPr>
          <w:rFonts w:cstheme="minorHAnsi"/>
        </w:rPr>
        <w:t xml:space="preserve"> period</w:t>
      </w:r>
      <w:r w:rsidRPr="00172E44">
        <w:rPr>
          <w:rFonts w:cstheme="minorHAnsi"/>
        </w:rPr>
        <w:t xml:space="preserve">, there were </w:t>
      </w:r>
      <w:r w:rsidR="00A7396A" w:rsidRPr="00172E44">
        <w:rPr>
          <w:rFonts w:cstheme="minorHAnsi"/>
        </w:rPr>
        <w:t>two</w:t>
      </w:r>
      <w:r w:rsidRPr="00172E44">
        <w:rPr>
          <w:rFonts w:cstheme="minorHAnsi"/>
        </w:rPr>
        <w:t xml:space="preserve"> incidents of violence-toward-staff and </w:t>
      </w:r>
      <w:r w:rsidR="00DA54CD" w:rsidRPr="00172E44">
        <w:rPr>
          <w:rFonts w:cstheme="minorHAnsi"/>
        </w:rPr>
        <w:t>six</w:t>
      </w:r>
      <w:r w:rsidR="008B4C8F" w:rsidRPr="00172E44">
        <w:rPr>
          <w:rFonts w:cstheme="minorHAnsi"/>
        </w:rPr>
        <w:t xml:space="preserve"> </w:t>
      </w:r>
      <w:r w:rsidRPr="00172E44">
        <w:rPr>
          <w:rFonts w:cstheme="minorHAnsi"/>
        </w:rPr>
        <w:t xml:space="preserve">incidents of violence-toward-patients. </w:t>
      </w:r>
    </w:p>
    <w:p w14:paraId="40CBA848" w14:textId="7867C2A3" w:rsidR="00590826" w:rsidRPr="00172E44" w:rsidRDefault="00590826" w:rsidP="00C15783">
      <w:pPr>
        <w:spacing w:line="480" w:lineRule="auto"/>
        <w:rPr>
          <w:rFonts w:cstheme="minorHAnsi"/>
          <w:i/>
        </w:rPr>
      </w:pPr>
      <w:r w:rsidRPr="00172E44">
        <w:rPr>
          <w:rFonts w:cstheme="minorHAnsi"/>
          <w:i/>
        </w:rPr>
        <w:t xml:space="preserve">“Patient A was knocking on Patient B’s door demanding cigarettes. Patient B then came out demanding to be left alone and in the process </w:t>
      </w:r>
      <w:r w:rsidRPr="00172E44">
        <w:rPr>
          <w:rFonts w:cstheme="minorHAnsi"/>
          <w:i/>
          <w:noProof/>
        </w:rPr>
        <w:t>Patient</w:t>
      </w:r>
      <w:r w:rsidRPr="00172E44">
        <w:rPr>
          <w:rFonts w:cstheme="minorHAnsi"/>
          <w:i/>
        </w:rPr>
        <w:t xml:space="preserve"> A threw a punch at Patient B.” (Patient-toward-patient, </w:t>
      </w:r>
      <w:r w:rsidR="00F1344C" w:rsidRPr="00172E44">
        <w:rPr>
          <w:rFonts w:cstheme="minorHAnsi"/>
          <w:i/>
        </w:rPr>
        <w:t>indoor-only</w:t>
      </w:r>
      <w:r w:rsidR="00E546F5" w:rsidRPr="00172E44">
        <w:rPr>
          <w:rFonts w:cstheme="minorHAnsi"/>
          <w:i/>
        </w:rPr>
        <w:t xml:space="preserve"> smoke-free</w:t>
      </w:r>
      <w:r w:rsidR="008B4C8F" w:rsidRPr="00172E44">
        <w:rPr>
          <w:rFonts w:cstheme="minorHAnsi"/>
          <w:i/>
        </w:rPr>
        <w:t xml:space="preserve"> </w:t>
      </w:r>
      <w:r w:rsidRPr="00172E44">
        <w:rPr>
          <w:rFonts w:cstheme="minorHAnsi"/>
          <w:i/>
        </w:rPr>
        <w:t>policy:</w:t>
      </w:r>
      <w:r w:rsidR="00440618" w:rsidRPr="00172E44">
        <w:rPr>
          <w:rFonts w:cstheme="minorHAnsi"/>
          <w:i/>
        </w:rPr>
        <w:t xml:space="preserve"> patient, </w:t>
      </w:r>
      <w:r w:rsidRPr="00172E44">
        <w:rPr>
          <w:rFonts w:cstheme="minorHAnsi"/>
          <w:i/>
        </w:rPr>
        <w:t xml:space="preserve">male, </w:t>
      </w:r>
      <w:r w:rsidR="00165905" w:rsidRPr="00172E44">
        <w:rPr>
          <w:rFonts w:cstheme="minorHAnsi"/>
          <w:i/>
        </w:rPr>
        <w:t xml:space="preserve">age </w:t>
      </w:r>
      <w:r w:rsidRPr="00172E44">
        <w:rPr>
          <w:rFonts w:cstheme="minorHAnsi"/>
          <w:i/>
        </w:rPr>
        <w:t>18</w:t>
      </w:r>
      <w:r w:rsidR="00165905" w:rsidRPr="00172E44">
        <w:rPr>
          <w:rFonts w:cstheme="minorHAnsi"/>
          <w:i/>
        </w:rPr>
        <w:t>-29</w:t>
      </w:r>
      <w:r w:rsidRPr="00172E44">
        <w:rPr>
          <w:rFonts w:cstheme="minorHAnsi"/>
          <w:i/>
        </w:rPr>
        <w:t>)</w:t>
      </w:r>
      <w:r w:rsidR="007F5F91" w:rsidRPr="00172E44">
        <w:rPr>
          <w:rFonts w:cstheme="minorHAnsi"/>
          <w:i/>
        </w:rPr>
        <w:t>.</w:t>
      </w:r>
    </w:p>
    <w:p w14:paraId="6003A014" w14:textId="0FD833A3" w:rsidR="00590826" w:rsidRPr="00172E44" w:rsidRDefault="00590826" w:rsidP="00C15783">
      <w:pPr>
        <w:spacing w:line="480" w:lineRule="auto"/>
        <w:rPr>
          <w:rFonts w:cstheme="minorHAnsi"/>
        </w:rPr>
      </w:pPr>
      <w:r w:rsidRPr="00172E44">
        <w:rPr>
          <w:rFonts w:cstheme="minorHAnsi"/>
        </w:rPr>
        <w:t>Post</w:t>
      </w:r>
      <w:r w:rsidR="006B3C4F" w:rsidRPr="00172E44">
        <w:rPr>
          <w:rFonts w:cstheme="minorHAnsi"/>
        </w:rPr>
        <w:t>-comprehensive</w:t>
      </w:r>
      <w:r w:rsidR="008B4C8F" w:rsidRPr="00172E44">
        <w:rPr>
          <w:rFonts w:cstheme="minorHAnsi"/>
        </w:rPr>
        <w:t xml:space="preserve"> </w:t>
      </w:r>
      <w:r w:rsidR="00E546F5" w:rsidRPr="00172E44">
        <w:rPr>
          <w:rFonts w:cstheme="minorHAnsi"/>
        </w:rPr>
        <w:t xml:space="preserve">smoke-free </w:t>
      </w:r>
      <w:r w:rsidRPr="00172E44">
        <w:rPr>
          <w:rFonts w:cstheme="minorHAnsi"/>
        </w:rPr>
        <w:t>policy</w:t>
      </w:r>
      <w:r w:rsidR="008B4C8F" w:rsidRPr="00172E44">
        <w:rPr>
          <w:rFonts w:cstheme="minorHAnsi"/>
        </w:rPr>
        <w:t xml:space="preserve"> </w:t>
      </w:r>
      <w:r w:rsidR="002C2C22" w:rsidRPr="00172E44">
        <w:rPr>
          <w:rFonts w:cstheme="minorHAnsi"/>
        </w:rPr>
        <w:t>introduction</w:t>
      </w:r>
      <w:r w:rsidRPr="00172E44">
        <w:rPr>
          <w:rFonts w:cstheme="minorHAnsi"/>
        </w:rPr>
        <w:t>, there w</w:t>
      </w:r>
      <w:r w:rsidR="00A7396A" w:rsidRPr="00172E44">
        <w:rPr>
          <w:rFonts w:cstheme="minorHAnsi"/>
        </w:rPr>
        <w:t xml:space="preserve">as one </w:t>
      </w:r>
      <w:r w:rsidRPr="00172E44">
        <w:rPr>
          <w:rFonts w:cstheme="minorHAnsi"/>
        </w:rPr>
        <w:t>incident of patient toward-staff</w:t>
      </w:r>
      <w:r w:rsidR="00CD7679" w:rsidRPr="00172E44">
        <w:rPr>
          <w:rFonts w:cstheme="minorHAnsi"/>
        </w:rPr>
        <w:t xml:space="preserve"> </w:t>
      </w:r>
      <w:r w:rsidRPr="00172E44">
        <w:rPr>
          <w:rFonts w:cstheme="minorHAnsi"/>
        </w:rPr>
        <w:t xml:space="preserve">violence and </w:t>
      </w:r>
      <w:r w:rsidR="005F14FB" w:rsidRPr="00172E44">
        <w:rPr>
          <w:rFonts w:cstheme="minorHAnsi"/>
        </w:rPr>
        <w:t>s</w:t>
      </w:r>
      <w:r w:rsidR="00DA54CD" w:rsidRPr="00172E44">
        <w:rPr>
          <w:rFonts w:cstheme="minorHAnsi"/>
        </w:rPr>
        <w:t>ix</w:t>
      </w:r>
      <w:r w:rsidR="008B4C8F" w:rsidRPr="00172E44">
        <w:rPr>
          <w:rFonts w:cstheme="minorHAnsi"/>
        </w:rPr>
        <w:t xml:space="preserve"> </w:t>
      </w:r>
      <w:r w:rsidRPr="00172E44">
        <w:rPr>
          <w:rFonts w:cstheme="minorHAnsi"/>
        </w:rPr>
        <w:t xml:space="preserve">incidents of patient-toward-patient violence. </w:t>
      </w:r>
    </w:p>
    <w:p w14:paraId="06211BE0" w14:textId="24DEE153" w:rsidR="00A37EE8" w:rsidRPr="00172E44" w:rsidRDefault="00A37EE8" w:rsidP="00741EC5">
      <w:pPr>
        <w:spacing w:line="480" w:lineRule="auto"/>
      </w:pPr>
      <w:r w:rsidRPr="00172E44">
        <w:rPr>
          <w:i/>
        </w:rPr>
        <w:t>“Patient A reported that Patient B followed her into the bathroom believing she had cigarettes. Patient B asked Patient A for one and when Patient A reported she had none and she should get her own Patient B allegedly threw a cup of tea over her</w:t>
      </w:r>
      <w:r w:rsidR="00DE4589" w:rsidRPr="00172E44">
        <w:rPr>
          <w:i/>
        </w:rPr>
        <w:t>.</w:t>
      </w:r>
      <w:r w:rsidRPr="00172E44">
        <w:rPr>
          <w:i/>
        </w:rPr>
        <w:t>”</w:t>
      </w:r>
      <w:r w:rsidRPr="00172E44">
        <w:t xml:space="preserve"> (Patient</w:t>
      </w:r>
      <w:r w:rsidR="002F1E0A" w:rsidRPr="00172E44">
        <w:t>-</w:t>
      </w:r>
      <w:r w:rsidRPr="00172E44">
        <w:t>toward</w:t>
      </w:r>
      <w:r w:rsidR="002F1E0A" w:rsidRPr="00172E44">
        <w:t>-</w:t>
      </w:r>
      <w:r w:rsidRPr="00172E44">
        <w:t xml:space="preserve">patient, </w:t>
      </w:r>
      <w:r w:rsidR="006B3C4F" w:rsidRPr="00172E44">
        <w:t xml:space="preserve">comprehensive </w:t>
      </w:r>
      <w:r w:rsidR="00E546F5" w:rsidRPr="00172E44">
        <w:t xml:space="preserve">smoke-free </w:t>
      </w:r>
      <w:r w:rsidRPr="00172E44">
        <w:t xml:space="preserve">policy: </w:t>
      </w:r>
      <w:r w:rsidR="00440618" w:rsidRPr="00172E44">
        <w:rPr>
          <w:i/>
        </w:rPr>
        <w:t xml:space="preserve">patient, </w:t>
      </w:r>
      <w:r w:rsidRPr="00172E44">
        <w:rPr>
          <w:i/>
        </w:rPr>
        <w:t xml:space="preserve">female, </w:t>
      </w:r>
      <w:r w:rsidR="00165905" w:rsidRPr="00172E44">
        <w:rPr>
          <w:i/>
        </w:rPr>
        <w:t xml:space="preserve">age </w:t>
      </w:r>
      <w:r w:rsidRPr="00172E44">
        <w:rPr>
          <w:i/>
        </w:rPr>
        <w:t>4</w:t>
      </w:r>
      <w:r w:rsidR="00165905" w:rsidRPr="00172E44">
        <w:rPr>
          <w:i/>
        </w:rPr>
        <w:t>0-49</w:t>
      </w:r>
      <w:r w:rsidRPr="00172E44">
        <w:t>)</w:t>
      </w:r>
      <w:r w:rsidR="002F1E0A" w:rsidRPr="00172E44">
        <w:t>.</w:t>
      </w:r>
    </w:p>
    <w:p w14:paraId="3F371679" w14:textId="77777777" w:rsidR="003B7636" w:rsidRPr="00172E44" w:rsidRDefault="003B7636" w:rsidP="00741EC5">
      <w:pPr>
        <w:spacing w:line="480" w:lineRule="auto"/>
      </w:pPr>
    </w:p>
    <w:p w14:paraId="3F65FF57" w14:textId="77777777" w:rsidR="00BA361D" w:rsidRPr="00172E44" w:rsidRDefault="00B27F5B" w:rsidP="00741EC5">
      <w:pPr>
        <w:spacing w:line="480" w:lineRule="auto"/>
        <w:rPr>
          <w:i/>
        </w:rPr>
      </w:pPr>
      <w:r w:rsidRPr="00172E44">
        <w:rPr>
          <w:i/>
        </w:rPr>
        <w:t>Unspecified and c</w:t>
      </w:r>
      <w:r w:rsidR="00BA361D" w:rsidRPr="00172E44">
        <w:rPr>
          <w:i/>
        </w:rPr>
        <w:t>ombination of antecedent categories</w:t>
      </w:r>
    </w:p>
    <w:p w14:paraId="47018F36" w14:textId="1576F097" w:rsidR="00B27F5B" w:rsidRPr="00172E44" w:rsidRDefault="008A1EB9" w:rsidP="00741EC5">
      <w:pPr>
        <w:spacing w:line="480" w:lineRule="auto"/>
      </w:pPr>
      <w:r w:rsidRPr="00172E44">
        <w:rPr>
          <w:rFonts w:cstheme="minorHAnsi"/>
        </w:rPr>
        <w:t>There was no recorded antecedent in o</w:t>
      </w:r>
      <w:r w:rsidR="0023294F" w:rsidRPr="00172E44">
        <w:rPr>
          <w:rFonts w:cstheme="minorHAnsi"/>
        </w:rPr>
        <w:t xml:space="preserve">ne incident </w:t>
      </w:r>
      <w:r w:rsidRPr="00172E44">
        <w:rPr>
          <w:rFonts w:cstheme="minorHAnsi"/>
        </w:rPr>
        <w:t xml:space="preserve">and therefore it </w:t>
      </w:r>
      <w:r w:rsidR="0023294F" w:rsidRPr="00172E44">
        <w:rPr>
          <w:rFonts w:cstheme="minorHAnsi"/>
        </w:rPr>
        <w:t>did not fit into the above categories</w:t>
      </w:r>
      <w:r w:rsidR="005E25DF" w:rsidRPr="00172E44">
        <w:rPr>
          <w:rFonts w:cstheme="minorHAnsi"/>
        </w:rPr>
        <w:t xml:space="preserve"> (not included in Table 1)</w:t>
      </w:r>
      <w:r w:rsidR="0023294F" w:rsidRPr="00172E44">
        <w:rPr>
          <w:rFonts w:cstheme="minorHAnsi"/>
        </w:rPr>
        <w:t>. The patient was found smoking in their bedroom and became violent, no other information, including staff response to the breach was reported.</w:t>
      </w:r>
    </w:p>
    <w:p w14:paraId="2585AB97" w14:textId="7D6FC9C9" w:rsidR="00A66326" w:rsidRPr="00172E44" w:rsidRDefault="00E40062" w:rsidP="00C15783">
      <w:pPr>
        <w:spacing w:line="480" w:lineRule="auto"/>
        <w:rPr>
          <w:rFonts w:cstheme="minorHAnsi"/>
        </w:rPr>
      </w:pPr>
      <w:r w:rsidRPr="00172E44">
        <w:rPr>
          <w:rFonts w:cstheme="minorHAnsi"/>
        </w:rPr>
        <w:t>As shown in Table 1,</w:t>
      </w:r>
      <w:r w:rsidR="004E5BCD" w:rsidRPr="00172E44">
        <w:rPr>
          <w:rFonts w:cstheme="minorHAnsi"/>
        </w:rPr>
        <w:t xml:space="preserve"> e</w:t>
      </w:r>
      <w:r w:rsidR="00323438" w:rsidRPr="00172E44">
        <w:rPr>
          <w:rFonts w:cstheme="minorHAnsi"/>
        </w:rPr>
        <w:t>ight incidents could be classified into two categories</w:t>
      </w:r>
      <w:r w:rsidR="00EF4E9F" w:rsidRPr="00172E44">
        <w:rPr>
          <w:rFonts w:cstheme="minorHAnsi"/>
        </w:rPr>
        <w:t>, e</w:t>
      </w:r>
      <w:r w:rsidR="009D24B4" w:rsidRPr="00172E44">
        <w:rPr>
          <w:rFonts w:cstheme="minorHAnsi"/>
        </w:rPr>
        <w:t xml:space="preserve">.g. a patient </w:t>
      </w:r>
      <w:r w:rsidR="00AD13CD" w:rsidRPr="00172E44">
        <w:rPr>
          <w:rFonts w:cstheme="minorHAnsi"/>
        </w:rPr>
        <w:t xml:space="preserve">was </w:t>
      </w:r>
      <w:r w:rsidR="009D24B4" w:rsidRPr="00172E44">
        <w:rPr>
          <w:rFonts w:cstheme="minorHAnsi"/>
        </w:rPr>
        <w:t>in the garden during a smoking break and then brought a lit cigarette onto the ward</w:t>
      </w:r>
      <w:r w:rsidR="000F3502" w:rsidRPr="00172E44">
        <w:rPr>
          <w:rFonts w:cstheme="minorHAnsi"/>
        </w:rPr>
        <w:t>.</w:t>
      </w:r>
      <w:r w:rsidR="009A34EC" w:rsidRPr="00172E44">
        <w:rPr>
          <w:rFonts w:cstheme="minorHAnsi"/>
        </w:rPr>
        <w:t xml:space="preserve"> </w:t>
      </w:r>
      <w:r w:rsidR="00EF4E9F" w:rsidRPr="00172E44">
        <w:rPr>
          <w:rFonts w:cstheme="minorHAnsi"/>
        </w:rPr>
        <w:t>O</w:t>
      </w:r>
      <w:r w:rsidR="00323438" w:rsidRPr="00172E44">
        <w:rPr>
          <w:rFonts w:cstheme="minorHAnsi"/>
        </w:rPr>
        <w:t xml:space="preserve">ne incident </w:t>
      </w:r>
      <w:r w:rsidR="00EF4E9F" w:rsidRPr="00172E44">
        <w:rPr>
          <w:rFonts w:cstheme="minorHAnsi"/>
        </w:rPr>
        <w:t>was</w:t>
      </w:r>
      <w:r w:rsidR="00323438" w:rsidRPr="00172E44">
        <w:rPr>
          <w:rFonts w:cstheme="minorHAnsi"/>
        </w:rPr>
        <w:t xml:space="preserve"> classified into three categories</w:t>
      </w:r>
      <w:r w:rsidR="00EF4E9F" w:rsidRPr="00172E44">
        <w:rPr>
          <w:rFonts w:cstheme="minorHAnsi"/>
        </w:rPr>
        <w:t xml:space="preserve">, this </w:t>
      </w:r>
      <w:r w:rsidRPr="00172E44">
        <w:rPr>
          <w:rFonts w:cstheme="minorHAnsi"/>
        </w:rPr>
        <w:t>occurred during a smoking break, where a patient stole a lighter from the member of staff and refused to hand it back</w:t>
      </w:r>
      <w:r w:rsidR="000F3502" w:rsidRPr="00172E44">
        <w:rPr>
          <w:rFonts w:cstheme="minorHAnsi"/>
        </w:rPr>
        <w:t>.</w:t>
      </w:r>
    </w:p>
    <w:p w14:paraId="1414938E" w14:textId="77777777" w:rsidR="00073410" w:rsidRPr="00172E44" w:rsidRDefault="00073410" w:rsidP="00073410">
      <w:pPr>
        <w:spacing w:line="480" w:lineRule="auto"/>
        <w:rPr>
          <w:i/>
          <w:shd w:val="clear" w:color="auto" w:fill="FFFFFF"/>
        </w:rPr>
      </w:pPr>
      <w:r w:rsidRPr="00172E44">
        <w:rPr>
          <w:i/>
          <w:shd w:val="clear" w:color="auto" w:fill="FFFFFF"/>
        </w:rPr>
        <w:t>Nature of assault and injury</w:t>
      </w:r>
    </w:p>
    <w:p w14:paraId="746D5DF0" w14:textId="34AD9089" w:rsidR="00073410" w:rsidRPr="00172E44" w:rsidRDefault="00073410" w:rsidP="00073410">
      <w:pPr>
        <w:spacing w:line="480" w:lineRule="auto"/>
        <w:rPr>
          <w:rFonts w:cstheme="minorHAnsi"/>
        </w:rPr>
      </w:pPr>
      <w:r w:rsidRPr="00172E44">
        <w:rPr>
          <w:rFonts w:cstheme="minorHAnsi"/>
          <w:shd w:val="clear" w:color="auto" w:fill="FFFFFF"/>
        </w:rPr>
        <w:t>Several types of assaults occurred.</w:t>
      </w:r>
      <w:r w:rsidR="009A34EC" w:rsidRPr="00172E44">
        <w:rPr>
          <w:rFonts w:cstheme="minorHAnsi"/>
          <w:shd w:val="clear" w:color="auto" w:fill="FFFFFF"/>
        </w:rPr>
        <w:t xml:space="preserve"> </w:t>
      </w:r>
      <w:r w:rsidRPr="00172E44">
        <w:rPr>
          <w:rFonts w:cstheme="minorHAnsi"/>
          <w:shd w:val="clear" w:color="auto" w:fill="FFFFFF"/>
        </w:rPr>
        <w:t xml:space="preserve">During the indoor-only </w:t>
      </w:r>
      <w:r w:rsidR="003C5649" w:rsidRPr="00172E44">
        <w:rPr>
          <w:rFonts w:cstheme="minorHAnsi"/>
          <w:shd w:val="clear" w:color="auto" w:fill="FFFFFF"/>
        </w:rPr>
        <w:t xml:space="preserve">smoke-free </w:t>
      </w:r>
      <w:r w:rsidRPr="00172E44">
        <w:rPr>
          <w:rFonts w:cstheme="minorHAnsi"/>
          <w:shd w:val="clear" w:color="auto" w:fill="FFFFFF"/>
        </w:rPr>
        <w:t>policy period, 26 incidents of patient-toward-staff violence and 17 patient-toward-patient violen</w:t>
      </w:r>
      <w:r w:rsidR="002812E0" w:rsidRPr="00172E44">
        <w:rPr>
          <w:rFonts w:cstheme="minorHAnsi"/>
          <w:shd w:val="clear" w:color="auto" w:fill="FFFFFF"/>
        </w:rPr>
        <w:t>t</w:t>
      </w:r>
      <w:r w:rsidRPr="00172E44">
        <w:rPr>
          <w:rFonts w:cstheme="minorHAnsi"/>
          <w:shd w:val="clear" w:color="auto" w:fill="FFFFFF"/>
        </w:rPr>
        <w:t xml:space="preserve"> incidents </w:t>
      </w:r>
      <w:r w:rsidRPr="00172E44">
        <w:rPr>
          <w:rFonts w:cstheme="minorHAnsi"/>
        </w:rPr>
        <w:t xml:space="preserve">included acts of either pushing, kicking, spitting, punching, hitting, slapping, biting or scratching. Post-comprehensive </w:t>
      </w:r>
      <w:r w:rsidR="003360C4" w:rsidRPr="00172E44">
        <w:rPr>
          <w:rFonts w:cstheme="minorHAnsi"/>
        </w:rPr>
        <w:t xml:space="preserve">smoke-free </w:t>
      </w:r>
      <w:r w:rsidRPr="00172E44">
        <w:rPr>
          <w:rFonts w:cstheme="minorHAnsi"/>
        </w:rPr>
        <w:t>policy</w:t>
      </w:r>
      <w:r w:rsidR="009A34EC" w:rsidRPr="00172E44">
        <w:rPr>
          <w:rFonts w:cstheme="minorHAnsi"/>
        </w:rPr>
        <w:t xml:space="preserve"> </w:t>
      </w:r>
      <w:r w:rsidR="002C2C22" w:rsidRPr="00172E44">
        <w:rPr>
          <w:rFonts w:cstheme="minorHAnsi"/>
        </w:rPr>
        <w:t>introduction</w:t>
      </w:r>
      <w:r w:rsidRPr="00172E44">
        <w:rPr>
          <w:rFonts w:cstheme="minorHAnsi"/>
        </w:rPr>
        <w:t xml:space="preserve">, </w:t>
      </w:r>
      <w:r w:rsidRPr="00172E44">
        <w:rPr>
          <w:rFonts w:cstheme="minorHAnsi"/>
          <w:shd w:val="clear" w:color="auto" w:fill="FFFFFF"/>
        </w:rPr>
        <w:t>19 patient-toward-staff and two patient-toward-patient violen</w:t>
      </w:r>
      <w:r w:rsidR="000F3502" w:rsidRPr="00172E44">
        <w:rPr>
          <w:rFonts w:cstheme="minorHAnsi"/>
          <w:shd w:val="clear" w:color="auto" w:fill="FFFFFF"/>
        </w:rPr>
        <w:t>t incidents</w:t>
      </w:r>
      <w:r w:rsidRPr="00172E44">
        <w:rPr>
          <w:rFonts w:cstheme="minorHAnsi"/>
          <w:shd w:val="clear" w:color="auto" w:fill="FFFFFF"/>
        </w:rPr>
        <w:t xml:space="preserve"> included these acts of violence. </w:t>
      </w:r>
      <w:r w:rsidRPr="00172E44">
        <w:rPr>
          <w:rFonts w:cstheme="minorHAnsi"/>
        </w:rPr>
        <w:t xml:space="preserve">The remainder (n=29) either included a generic term (staff or patient was assaulted) or included throwing objects at the victim and stubbing out their cigarette on the staff member or patient. </w:t>
      </w:r>
      <w:r w:rsidR="00FE0160" w:rsidRPr="00172E44">
        <w:rPr>
          <w:rFonts w:cstheme="minorHAnsi"/>
          <w:shd w:val="clear" w:color="auto" w:fill="FFFFFF"/>
        </w:rPr>
        <w:t>Seventeen</w:t>
      </w:r>
      <w:r w:rsidR="009A34EC" w:rsidRPr="00172E44">
        <w:rPr>
          <w:rFonts w:cstheme="minorHAnsi"/>
          <w:shd w:val="clear" w:color="auto" w:fill="FFFFFF"/>
        </w:rPr>
        <w:t xml:space="preserve"> (25.4%) of all patient-toward-staff and 15 (57.7%) of all patient-toward-patient incidents did not </w:t>
      </w:r>
      <w:r w:rsidR="00AA3878" w:rsidRPr="00172E44">
        <w:rPr>
          <w:rFonts w:cstheme="minorHAnsi"/>
          <w:shd w:val="clear" w:color="auto" w:fill="FFFFFF"/>
        </w:rPr>
        <w:t>include a record of the body</w:t>
      </w:r>
      <w:r w:rsidR="009A34EC" w:rsidRPr="00172E44">
        <w:rPr>
          <w:rFonts w:cstheme="minorHAnsi"/>
          <w:shd w:val="clear" w:color="auto" w:fill="FFFFFF"/>
        </w:rPr>
        <w:t xml:space="preserve"> affected. Where reported, the most common site</w:t>
      </w:r>
      <w:r w:rsidR="00AA3878" w:rsidRPr="00172E44">
        <w:rPr>
          <w:rFonts w:cstheme="minorHAnsi"/>
          <w:shd w:val="clear" w:color="auto" w:fill="FFFFFF"/>
        </w:rPr>
        <w:t xml:space="preserve">s </w:t>
      </w:r>
      <w:r w:rsidR="009A34EC" w:rsidRPr="00172E44">
        <w:rPr>
          <w:rFonts w:cstheme="minorHAnsi"/>
          <w:shd w:val="clear" w:color="auto" w:fill="FFFFFF"/>
        </w:rPr>
        <w:t>were</w:t>
      </w:r>
      <w:r w:rsidR="00AA3878" w:rsidRPr="00172E44">
        <w:rPr>
          <w:rFonts w:cstheme="minorHAnsi"/>
          <w:shd w:val="clear" w:color="auto" w:fill="FFFFFF"/>
        </w:rPr>
        <w:t xml:space="preserve"> </w:t>
      </w:r>
      <w:r w:rsidR="009A34EC" w:rsidRPr="00172E44">
        <w:rPr>
          <w:rFonts w:cstheme="minorHAnsi"/>
          <w:shd w:val="clear" w:color="auto" w:fill="FFFFFF"/>
        </w:rPr>
        <w:t>the head and neck.</w:t>
      </w:r>
    </w:p>
    <w:p w14:paraId="22B9B899" w14:textId="2BD380D1" w:rsidR="00073410" w:rsidRPr="00172E44" w:rsidRDefault="00073410" w:rsidP="00073410">
      <w:pPr>
        <w:spacing w:line="480" w:lineRule="auto"/>
        <w:rPr>
          <w:rFonts w:cstheme="minorHAnsi"/>
          <w:shd w:val="clear" w:color="auto" w:fill="FFFFFF"/>
        </w:rPr>
      </w:pPr>
      <w:r w:rsidRPr="00172E44">
        <w:rPr>
          <w:rFonts w:cstheme="minorHAnsi"/>
          <w:shd w:val="clear" w:color="auto" w:fill="FFFFFF"/>
        </w:rPr>
        <w:t xml:space="preserve">The reporting of the type of injury sustained was poor (Table </w:t>
      </w:r>
      <w:r w:rsidR="003C5649" w:rsidRPr="00172E44">
        <w:rPr>
          <w:rFonts w:cstheme="minorHAnsi"/>
          <w:shd w:val="clear" w:color="auto" w:fill="FFFFFF"/>
        </w:rPr>
        <w:t>2</w:t>
      </w:r>
      <w:r w:rsidRPr="00172E44">
        <w:rPr>
          <w:rFonts w:cstheme="minorHAnsi"/>
          <w:shd w:val="clear" w:color="auto" w:fill="FFFFFF"/>
        </w:rPr>
        <w:t>): 45 (67.2%) of all patient-toward-staff and 14 (53.8%) of all patient-toward-patient violent</w:t>
      </w:r>
      <w:r w:rsidR="003360C4" w:rsidRPr="00172E44">
        <w:rPr>
          <w:rFonts w:cstheme="minorHAnsi"/>
          <w:shd w:val="clear" w:color="auto" w:fill="FFFFFF"/>
        </w:rPr>
        <w:t xml:space="preserve"> incidents</w:t>
      </w:r>
      <w:r w:rsidRPr="00172E44">
        <w:rPr>
          <w:rFonts w:cstheme="minorHAnsi"/>
          <w:shd w:val="clear" w:color="auto" w:fill="FFFFFF"/>
        </w:rPr>
        <w:t xml:space="preserve"> did not report </w:t>
      </w:r>
      <w:r w:rsidR="003B622B" w:rsidRPr="00172E44">
        <w:rPr>
          <w:rFonts w:cstheme="minorHAnsi"/>
          <w:shd w:val="clear" w:color="auto" w:fill="FFFFFF"/>
        </w:rPr>
        <w:t>if</w:t>
      </w:r>
      <w:r w:rsidRPr="00172E44">
        <w:rPr>
          <w:rFonts w:cstheme="minorHAnsi"/>
          <w:shd w:val="clear" w:color="auto" w:fill="FFFFFF"/>
        </w:rPr>
        <w:t xml:space="preserve"> the victim sustained any injuries. Where reported (n=3</w:t>
      </w:r>
      <w:r w:rsidR="00A66326" w:rsidRPr="00172E44">
        <w:rPr>
          <w:rFonts w:cstheme="minorHAnsi"/>
          <w:shd w:val="clear" w:color="auto" w:fill="FFFFFF"/>
        </w:rPr>
        <w:t>4</w:t>
      </w:r>
      <w:r w:rsidRPr="00172E44">
        <w:rPr>
          <w:rFonts w:cstheme="minorHAnsi"/>
          <w:shd w:val="clear" w:color="auto" w:fill="FFFFFF"/>
        </w:rPr>
        <w:t xml:space="preserve">), </w:t>
      </w:r>
      <w:r w:rsidR="000735B9" w:rsidRPr="00172E44">
        <w:rPr>
          <w:rFonts w:cstheme="minorHAnsi"/>
          <w:shd w:val="clear" w:color="auto" w:fill="FFFFFF"/>
        </w:rPr>
        <w:t>just over half</w:t>
      </w:r>
      <w:r w:rsidR="00AA3878" w:rsidRPr="00172E44">
        <w:rPr>
          <w:rFonts w:cstheme="minorHAnsi"/>
          <w:shd w:val="clear" w:color="auto" w:fill="FFFFFF"/>
        </w:rPr>
        <w:t xml:space="preserve"> </w:t>
      </w:r>
      <w:r w:rsidRPr="00172E44">
        <w:rPr>
          <w:rFonts w:cstheme="minorHAnsi"/>
          <w:shd w:val="clear" w:color="auto" w:fill="FFFFFF"/>
        </w:rPr>
        <w:t>(n=19) indicated that the victim sustained</w:t>
      </w:r>
      <w:r w:rsidR="009A34EC" w:rsidRPr="00172E44">
        <w:rPr>
          <w:rFonts w:cstheme="minorHAnsi"/>
          <w:shd w:val="clear" w:color="auto" w:fill="FFFFFF"/>
        </w:rPr>
        <w:t xml:space="preserve"> </w:t>
      </w:r>
      <w:r w:rsidRPr="00172E44">
        <w:rPr>
          <w:rFonts w:cstheme="minorHAnsi"/>
          <w:shd w:val="clear" w:color="auto" w:fill="FFFFFF"/>
        </w:rPr>
        <w:t xml:space="preserve">superficial injuries such as scratches, bruising and sprains, the remainder were reported to be uninjured. In an additional patient-toward-staff </w:t>
      </w:r>
      <w:r w:rsidR="0085763D" w:rsidRPr="00172E44">
        <w:rPr>
          <w:rFonts w:cstheme="minorHAnsi"/>
          <w:shd w:val="clear" w:color="auto" w:fill="FFFFFF"/>
        </w:rPr>
        <w:t>incident</w:t>
      </w:r>
      <w:r w:rsidRPr="00172E44">
        <w:rPr>
          <w:rFonts w:cstheme="minorHAnsi"/>
          <w:shd w:val="clear" w:color="auto" w:fill="FFFFFF"/>
        </w:rPr>
        <w:t xml:space="preserve"> a member of staff was burnt. </w:t>
      </w:r>
    </w:p>
    <w:p w14:paraId="49EB9B86" w14:textId="77777777" w:rsidR="00323EE5" w:rsidRPr="00172E44" w:rsidRDefault="00073410" w:rsidP="00741EC5">
      <w:pPr>
        <w:spacing w:line="480" w:lineRule="auto"/>
        <w:rPr>
          <w:rFonts w:cstheme="minorHAnsi"/>
          <w:b/>
          <w:shd w:val="clear" w:color="auto" w:fill="FFFFFF"/>
        </w:rPr>
      </w:pPr>
      <w:r w:rsidRPr="00172E44">
        <w:rPr>
          <w:rFonts w:cstheme="minorHAnsi"/>
          <w:b/>
          <w:shd w:val="clear" w:color="auto" w:fill="FFFFFF"/>
        </w:rPr>
        <w:t xml:space="preserve">Please insert table </w:t>
      </w:r>
      <w:r w:rsidR="003C5649" w:rsidRPr="00172E44">
        <w:rPr>
          <w:rFonts w:cstheme="minorHAnsi"/>
          <w:b/>
          <w:shd w:val="clear" w:color="auto" w:fill="FFFFFF"/>
        </w:rPr>
        <w:t>2</w:t>
      </w:r>
      <w:r w:rsidRPr="00172E44">
        <w:rPr>
          <w:rFonts w:cstheme="minorHAnsi"/>
          <w:b/>
          <w:shd w:val="clear" w:color="auto" w:fill="FFFFFF"/>
        </w:rPr>
        <w:t xml:space="preserve"> here </w:t>
      </w:r>
    </w:p>
    <w:p w14:paraId="6EBA4AA1" w14:textId="6C01A398" w:rsidR="00A92CF3" w:rsidRPr="00172E44" w:rsidRDefault="005869AF" w:rsidP="00741EC5">
      <w:pPr>
        <w:spacing w:line="480" w:lineRule="auto"/>
        <w:rPr>
          <w:i/>
        </w:rPr>
      </w:pPr>
      <w:r w:rsidRPr="00172E44">
        <w:rPr>
          <w:i/>
        </w:rPr>
        <w:t>Containment interventions</w:t>
      </w:r>
      <w:r w:rsidR="00B05407" w:rsidRPr="00172E44">
        <w:rPr>
          <w:i/>
        </w:rPr>
        <w:t xml:space="preserve"> to </w:t>
      </w:r>
      <w:r w:rsidRPr="00172E44">
        <w:rPr>
          <w:i/>
        </w:rPr>
        <w:t>manage</w:t>
      </w:r>
      <w:r w:rsidR="00A93B93" w:rsidRPr="00172E44">
        <w:rPr>
          <w:i/>
        </w:rPr>
        <w:t xml:space="preserve"> violence</w:t>
      </w:r>
    </w:p>
    <w:p w14:paraId="7BCDF25A" w14:textId="149D308E" w:rsidR="00F41E38" w:rsidRPr="00172E44" w:rsidRDefault="00491B12" w:rsidP="00C15783">
      <w:pPr>
        <w:spacing w:line="480" w:lineRule="auto"/>
        <w:rPr>
          <w:rFonts w:cstheme="minorHAnsi"/>
        </w:rPr>
      </w:pPr>
      <w:r w:rsidRPr="00172E44">
        <w:rPr>
          <w:rFonts w:cstheme="minorHAnsi"/>
        </w:rPr>
        <w:t xml:space="preserve">Table </w:t>
      </w:r>
      <w:r w:rsidR="003C5649" w:rsidRPr="00172E44">
        <w:rPr>
          <w:rFonts w:cstheme="minorHAnsi"/>
        </w:rPr>
        <w:t>3</w:t>
      </w:r>
      <w:r w:rsidRPr="00172E44">
        <w:rPr>
          <w:rFonts w:cstheme="minorHAnsi"/>
        </w:rPr>
        <w:t xml:space="preserve"> provides the frequency of the containment </w:t>
      </w:r>
      <w:r w:rsidR="00A91318" w:rsidRPr="00172E44">
        <w:rPr>
          <w:rFonts w:cstheme="minorHAnsi"/>
        </w:rPr>
        <w:t>interventions</w:t>
      </w:r>
      <w:r w:rsidR="00830DCD" w:rsidRPr="00172E44">
        <w:rPr>
          <w:rFonts w:cstheme="minorHAnsi"/>
        </w:rPr>
        <w:t xml:space="preserve"> used to manage violence</w:t>
      </w:r>
      <w:r w:rsidR="00AA3878" w:rsidRPr="00172E44">
        <w:rPr>
          <w:rFonts w:cstheme="minorHAnsi"/>
        </w:rPr>
        <w:t xml:space="preserve"> </w:t>
      </w:r>
      <w:r w:rsidR="003B0DB0" w:rsidRPr="00172E44">
        <w:rPr>
          <w:rFonts w:cstheme="minorHAnsi"/>
        </w:rPr>
        <w:t>during</w:t>
      </w:r>
      <w:r w:rsidR="002812E0" w:rsidRPr="00172E44">
        <w:rPr>
          <w:rFonts w:cstheme="minorHAnsi"/>
        </w:rPr>
        <w:t xml:space="preserve"> the two periods</w:t>
      </w:r>
      <w:r w:rsidR="00107390" w:rsidRPr="00172E44">
        <w:rPr>
          <w:rFonts w:cstheme="minorHAnsi"/>
        </w:rPr>
        <w:t>.</w:t>
      </w:r>
      <w:r w:rsidR="00AA3878" w:rsidRPr="00172E44">
        <w:rPr>
          <w:rFonts w:cstheme="minorHAnsi"/>
        </w:rPr>
        <w:t xml:space="preserve"> </w:t>
      </w:r>
      <w:r w:rsidR="00E54099" w:rsidRPr="00172E44">
        <w:rPr>
          <w:rFonts w:cstheme="minorHAnsi"/>
        </w:rPr>
        <w:t xml:space="preserve">Overall, </w:t>
      </w:r>
      <w:r w:rsidR="00F62EA1" w:rsidRPr="00172E44">
        <w:rPr>
          <w:rFonts w:cstheme="minorHAnsi"/>
        </w:rPr>
        <w:t>2</w:t>
      </w:r>
      <w:r w:rsidR="00D15A0A" w:rsidRPr="00172E44">
        <w:rPr>
          <w:rFonts w:cstheme="minorHAnsi"/>
        </w:rPr>
        <w:t>5</w:t>
      </w:r>
      <w:r w:rsidR="00E54099" w:rsidRPr="00172E44">
        <w:rPr>
          <w:rFonts w:cstheme="minorHAnsi"/>
        </w:rPr>
        <w:t xml:space="preserve"> incident reports </w:t>
      </w:r>
      <w:r w:rsidR="002F2DEE" w:rsidRPr="00172E44">
        <w:rPr>
          <w:rFonts w:cstheme="minorHAnsi"/>
        </w:rPr>
        <w:t>(</w:t>
      </w:r>
      <w:r w:rsidR="004E701F" w:rsidRPr="00172E44">
        <w:rPr>
          <w:rFonts w:cstheme="minorHAnsi"/>
        </w:rPr>
        <w:t>1</w:t>
      </w:r>
      <w:r w:rsidR="009C38C0" w:rsidRPr="00172E44">
        <w:rPr>
          <w:rFonts w:cstheme="minorHAnsi"/>
        </w:rPr>
        <w:t xml:space="preserve">4 </w:t>
      </w:r>
      <w:r w:rsidR="002F2DEE" w:rsidRPr="00172E44">
        <w:rPr>
          <w:rFonts w:cstheme="minorHAnsi"/>
        </w:rPr>
        <w:t xml:space="preserve">patient-toward-staff </w:t>
      </w:r>
      <w:r w:rsidR="000478F4" w:rsidRPr="00172E44">
        <w:rPr>
          <w:rFonts w:cstheme="minorHAnsi"/>
        </w:rPr>
        <w:t xml:space="preserve">and </w:t>
      </w:r>
      <w:r w:rsidR="00790F6E" w:rsidRPr="00172E44">
        <w:rPr>
          <w:rFonts w:cstheme="minorHAnsi"/>
        </w:rPr>
        <w:t>11</w:t>
      </w:r>
      <w:r w:rsidR="00AA3878" w:rsidRPr="00172E44">
        <w:rPr>
          <w:rFonts w:cstheme="minorHAnsi"/>
        </w:rPr>
        <w:t xml:space="preserve"> </w:t>
      </w:r>
      <w:r w:rsidR="002F2DEE" w:rsidRPr="00172E44">
        <w:rPr>
          <w:rFonts w:cstheme="minorHAnsi"/>
        </w:rPr>
        <w:t>patient-toward-patient</w:t>
      </w:r>
      <w:r w:rsidR="000478F4" w:rsidRPr="00172E44">
        <w:rPr>
          <w:rFonts w:cstheme="minorHAnsi"/>
        </w:rPr>
        <w:t xml:space="preserve"> incidents</w:t>
      </w:r>
      <w:r w:rsidR="002F2DEE" w:rsidRPr="00172E44">
        <w:rPr>
          <w:rFonts w:cstheme="minorHAnsi"/>
        </w:rPr>
        <w:t xml:space="preserve">) </w:t>
      </w:r>
      <w:r w:rsidR="00E54099" w:rsidRPr="00172E44">
        <w:rPr>
          <w:rFonts w:cstheme="minorHAnsi"/>
        </w:rPr>
        <w:t xml:space="preserve">included a description of one containment </w:t>
      </w:r>
      <w:r w:rsidR="00A91318" w:rsidRPr="00172E44">
        <w:rPr>
          <w:rFonts w:cstheme="minorHAnsi"/>
        </w:rPr>
        <w:t>intervention</w:t>
      </w:r>
      <w:r w:rsidR="007632D0" w:rsidRPr="00172E44">
        <w:rPr>
          <w:rFonts w:cstheme="minorHAnsi"/>
        </w:rPr>
        <w:t>. Forty-three</w:t>
      </w:r>
      <w:r w:rsidR="00770EF9" w:rsidRPr="00172E44">
        <w:rPr>
          <w:rFonts w:cstheme="minorHAnsi"/>
        </w:rPr>
        <w:t xml:space="preserve"> patient</w:t>
      </w:r>
      <w:r w:rsidR="008C7DAE" w:rsidRPr="00172E44">
        <w:rPr>
          <w:rFonts w:cstheme="minorHAnsi"/>
        </w:rPr>
        <w:t>-</w:t>
      </w:r>
      <w:r w:rsidR="00770EF9" w:rsidRPr="00172E44">
        <w:rPr>
          <w:rFonts w:cstheme="minorHAnsi"/>
        </w:rPr>
        <w:t>toward</w:t>
      </w:r>
      <w:r w:rsidR="008C7DAE" w:rsidRPr="00172E44">
        <w:rPr>
          <w:rFonts w:cstheme="minorHAnsi"/>
        </w:rPr>
        <w:t>-</w:t>
      </w:r>
      <w:r w:rsidR="00770EF9" w:rsidRPr="00172E44">
        <w:rPr>
          <w:rFonts w:cstheme="minorHAnsi"/>
        </w:rPr>
        <w:t>staff</w:t>
      </w:r>
      <w:r w:rsidR="002812E0" w:rsidRPr="00172E44">
        <w:rPr>
          <w:rFonts w:cstheme="minorHAnsi"/>
        </w:rPr>
        <w:t xml:space="preserve"> and 11 patient-toward-patient incidents </w:t>
      </w:r>
      <w:r w:rsidR="003213B1" w:rsidRPr="00172E44">
        <w:rPr>
          <w:rFonts w:cstheme="minorHAnsi"/>
        </w:rPr>
        <w:t>included more than one containment</w:t>
      </w:r>
      <w:r w:rsidR="00A91318" w:rsidRPr="00172E44">
        <w:rPr>
          <w:rFonts w:cstheme="minorHAnsi"/>
        </w:rPr>
        <w:t xml:space="preserve"> intervention</w:t>
      </w:r>
      <w:r w:rsidR="00D15A0A" w:rsidRPr="00172E44">
        <w:rPr>
          <w:rFonts w:cstheme="minorHAnsi"/>
        </w:rPr>
        <w:t xml:space="preserve">. </w:t>
      </w:r>
      <w:r w:rsidR="003B0DB0" w:rsidRPr="00172E44">
        <w:rPr>
          <w:rFonts w:cstheme="minorHAnsi"/>
        </w:rPr>
        <w:t>T</w:t>
      </w:r>
      <w:r w:rsidR="00130E99" w:rsidRPr="00172E44">
        <w:rPr>
          <w:rFonts w:cstheme="minorHAnsi"/>
        </w:rPr>
        <w:t xml:space="preserve">he numbers do not add up to the 93 separate incidents </w:t>
      </w:r>
      <w:r w:rsidR="003B0DB0" w:rsidRPr="00172E44">
        <w:rPr>
          <w:rFonts w:cstheme="minorHAnsi"/>
        </w:rPr>
        <w:t xml:space="preserve">therefore </w:t>
      </w:r>
      <w:r w:rsidR="00130E99" w:rsidRPr="00172E44">
        <w:rPr>
          <w:rFonts w:cstheme="minorHAnsi"/>
        </w:rPr>
        <w:t>percentages are not included.</w:t>
      </w:r>
      <w:r w:rsidR="00AA3878" w:rsidRPr="00172E44">
        <w:rPr>
          <w:rFonts w:cstheme="minorHAnsi"/>
        </w:rPr>
        <w:t xml:space="preserve"> </w:t>
      </w:r>
      <w:r w:rsidR="00887F8C" w:rsidRPr="00172E44">
        <w:rPr>
          <w:rFonts w:cstheme="minorHAnsi"/>
        </w:rPr>
        <w:t>There were also 10</w:t>
      </w:r>
      <w:r w:rsidR="000D2907" w:rsidRPr="00172E44">
        <w:rPr>
          <w:rFonts w:cstheme="minorHAnsi"/>
        </w:rPr>
        <w:t xml:space="preserve"> patient-toward</w:t>
      </w:r>
      <w:r w:rsidR="00CD7679" w:rsidRPr="00172E44">
        <w:rPr>
          <w:rFonts w:cstheme="minorHAnsi"/>
        </w:rPr>
        <w:t>-</w:t>
      </w:r>
      <w:r w:rsidR="000D2907" w:rsidRPr="00172E44">
        <w:rPr>
          <w:rFonts w:cstheme="minorHAnsi"/>
        </w:rPr>
        <w:t xml:space="preserve">staff and </w:t>
      </w:r>
      <w:r w:rsidR="00723B87" w:rsidRPr="00172E44">
        <w:rPr>
          <w:rFonts w:cstheme="minorHAnsi"/>
        </w:rPr>
        <w:t xml:space="preserve">four patient-toward-patient </w:t>
      </w:r>
      <w:r w:rsidR="00710D9C" w:rsidRPr="00172E44">
        <w:rPr>
          <w:rFonts w:cstheme="minorHAnsi"/>
        </w:rPr>
        <w:t xml:space="preserve">incident </w:t>
      </w:r>
      <w:r w:rsidR="00723B87" w:rsidRPr="00172E44">
        <w:rPr>
          <w:rFonts w:cstheme="minorHAnsi"/>
        </w:rPr>
        <w:t xml:space="preserve">reports </w:t>
      </w:r>
      <w:r w:rsidR="00887F8C" w:rsidRPr="00172E44">
        <w:rPr>
          <w:rFonts w:cstheme="minorHAnsi"/>
        </w:rPr>
        <w:t>which</w:t>
      </w:r>
      <w:r w:rsidR="00AA3878" w:rsidRPr="00172E44">
        <w:rPr>
          <w:rFonts w:cstheme="minorHAnsi"/>
        </w:rPr>
        <w:t xml:space="preserve"> </w:t>
      </w:r>
      <w:r w:rsidR="00723B87" w:rsidRPr="00172E44">
        <w:rPr>
          <w:rFonts w:cstheme="minorHAnsi"/>
        </w:rPr>
        <w:t>did not include a description of a containment intervention.</w:t>
      </w:r>
    </w:p>
    <w:p w14:paraId="26D76E3E" w14:textId="77777777" w:rsidR="00794332" w:rsidRPr="00172E44" w:rsidRDefault="000D12C2" w:rsidP="00C15783">
      <w:pPr>
        <w:spacing w:line="480" w:lineRule="auto"/>
        <w:rPr>
          <w:rFonts w:cstheme="minorHAnsi"/>
          <w:b/>
        </w:rPr>
      </w:pPr>
      <w:r w:rsidRPr="00172E44">
        <w:rPr>
          <w:rFonts w:cstheme="minorHAnsi"/>
          <w:b/>
        </w:rPr>
        <w:t xml:space="preserve">Please insert table </w:t>
      </w:r>
      <w:r w:rsidR="003C5649" w:rsidRPr="00172E44">
        <w:rPr>
          <w:rFonts w:cstheme="minorHAnsi"/>
          <w:b/>
        </w:rPr>
        <w:t>3</w:t>
      </w:r>
      <w:r w:rsidRPr="00172E44">
        <w:rPr>
          <w:rFonts w:cstheme="minorHAnsi"/>
          <w:b/>
        </w:rPr>
        <w:t xml:space="preserve"> here </w:t>
      </w:r>
    </w:p>
    <w:p w14:paraId="31AD0AA1" w14:textId="4088DF92" w:rsidR="00825FB8" w:rsidRPr="00172E44" w:rsidRDefault="00830DCD" w:rsidP="00AC6423">
      <w:pPr>
        <w:spacing w:line="480" w:lineRule="auto"/>
        <w:rPr>
          <w:rFonts w:cstheme="minorHAnsi"/>
        </w:rPr>
      </w:pPr>
      <w:r w:rsidRPr="00172E44">
        <w:rPr>
          <w:rFonts w:cstheme="minorHAnsi"/>
        </w:rPr>
        <w:t>T</w:t>
      </w:r>
      <w:r w:rsidR="008C7DAE" w:rsidRPr="00172E44">
        <w:rPr>
          <w:rFonts w:cstheme="minorHAnsi"/>
        </w:rPr>
        <w:t>ime-out</w:t>
      </w:r>
      <w:r w:rsidR="00004E21" w:rsidRPr="00172E44">
        <w:rPr>
          <w:rFonts w:cstheme="minorHAnsi"/>
        </w:rPr>
        <w:t xml:space="preserve"> </w:t>
      </w:r>
      <w:r w:rsidRPr="00172E44">
        <w:rPr>
          <w:rFonts w:cstheme="minorHAnsi"/>
        </w:rPr>
        <w:t xml:space="preserve">was the most frequently used containment </w:t>
      </w:r>
      <w:r w:rsidR="002C338C" w:rsidRPr="00172E44">
        <w:rPr>
          <w:rFonts w:cstheme="minorHAnsi"/>
        </w:rPr>
        <w:t>intervention</w:t>
      </w:r>
      <w:r w:rsidR="00710D9C" w:rsidRPr="00172E44">
        <w:rPr>
          <w:rFonts w:cstheme="minorHAnsi"/>
        </w:rPr>
        <w:t>, followed by</w:t>
      </w:r>
      <w:r w:rsidR="00624C8B" w:rsidRPr="00172E44">
        <w:rPr>
          <w:rFonts w:cstheme="minorHAnsi"/>
        </w:rPr>
        <w:t xml:space="preserve"> PRN medication</w:t>
      </w:r>
      <w:r w:rsidR="004E7971" w:rsidRPr="00172E44">
        <w:rPr>
          <w:rFonts w:cstheme="minorHAnsi"/>
        </w:rPr>
        <w:t xml:space="preserve">. </w:t>
      </w:r>
      <w:r w:rsidR="006018D9" w:rsidRPr="00172E44">
        <w:rPr>
          <w:rFonts w:cstheme="minorHAnsi"/>
        </w:rPr>
        <w:t xml:space="preserve">Half of </w:t>
      </w:r>
      <w:r w:rsidR="006018D9" w:rsidRPr="00172E44">
        <w:rPr>
          <w:rFonts w:cstheme="minorHAnsi"/>
          <w:noProof/>
        </w:rPr>
        <w:t>reports</w:t>
      </w:r>
      <w:r w:rsidR="006018D9" w:rsidRPr="00172E44">
        <w:rPr>
          <w:rFonts w:cstheme="minorHAnsi"/>
        </w:rPr>
        <w:t xml:space="preserve"> included the type of medication prescribed (mostly promethazine and lorazepam). </w:t>
      </w:r>
      <w:r w:rsidR="000A1DA2" w:rsidRPr="00172E44">
        <w:rPr>
          <w:rFonts w:cstheme="minorHAnsi"/>
        </w:rPr>
        <w:t>T</w:t>
      </w:r>
      <w:r w:rsidR="00C4223E" w:rsidRPr="00172E44">
        <w:rPr>
          <w:rFonts w:cstheme="minorHAnsi"/>
          <w:shd w:val="clear" w:color="auto" w:fill="FFFFFF"/>
        </w:rPr>
        <w:t>he use of NRT</w:t>
      </w:r>
      <w:r w:rsidR="000A1DA2" w:rsidRPr="00172E44">
        <w:rPr>
          <w:rFonts w:cstheme="minorHAnsi"/>
          <w:shd w:val="clear" w:color="auto" w:fill="FFFFFF"/>
        </w:rPr>
        <w:t xml:space="preserve"> was reported</w:t>
      </w:r>
      <w:r w:rsidR="00710D9C" w:rsidRPr="00172E44">
        <w:rPr>
          <w:rFonts w:cstheme="minorHAnsi"/>
          <w:shd w:val="clear" w:color="auto" w:fill="FFFFFF"/>
        </w:rPr>
        <w:t xml:space="preserve"> in one incident </w:t>
      </w:r>
      <w:r w:rsidR="00F15C71" w:rsidRPr="00172E44">
        <w:rPr>
          <w:rFonts w:cstheme="minorHAnsi"/>
          <w:shd w:val="clear" w:color="auto" w:fill="FFFFFF"/>
        </w:rPr>
        <w:t xml:space="preserve">(not </w:t>
      </w:r>
      <w:r w:rsidR="00710D9C" w:rsidRPr="00172E44">
        <w:rPr>
          <w:rFonts w:cstheme="minorHAnsi"/>
          <w:shd w:val="clear" w:color="auto" w:fill="FFFFFF"/>
        </w:rPr>
        <w:t>included</w:t>
      </w:r>
      <w:r w:rsidR="00F15C71" w:rsidRPr="00172E44">
        <w:rPr>
          <w:rFonts w:cstheme="minorHAnsi"/>
          <w:shd w:val="clear" w:color="auto" w:fill="FFFFFF"/>
        </w:rPr>
        <w:t xml:space="preserve"> in </w:t>
      </w:r>
      <w:r w:rsidR="00C06E65" w:rsidRPr="00172E44">
        <w:rPr>
          <w:rFonts w:cstheme="minorHAnsi"/>
          <w:shd w:val="clear" w:color="auto" w:fill="FFFFFF"/>
        </w:rPr>
        <w:t>T</w:t>
      </w:r>
      <w:r w:rsidR="00F15C71" w:rsidRPr="00172E44">
        <w:rPr>
          <w:rFonts w:cstheme="minorHAnsi"/>
          <w:shd w:val="clear" w:color="auto" w:fill="FFFFFF"/>
        </w:rPr>
        <w:t xml:space="preserve">able </w:t>
      </w:r>
      <w:r w:rsidR="00C06E65" w:rsidRPr="00172E44">
        <w:rPr>
          <w:rFonts w:cstheme="minorHAnsi"/>
          <w:shd w:val="clear" w:color="auto" w:fill="FFFFFF"/>
        </w:rPr>
        <w:t>3</w:t>
      </w:r>
      <w:r w:rsidR="00F15C71" w:rsidRPr="00172E44">
        <w:rPr>
          <w:rFonts w:cstheme="minorHAnsi"/>
          <w:shd w:val="clear" w:color="auto" w:fill="FFFFFF"/>
        </w:rPr>
        <w:t>).</w:t>
      </w:r>
      <w:r w:rsidR="00AA3878" w:rsidRPr="00172E44">
        <w:rPr>
          <w:rFonts w:cstheme="minorHAnsi"/>
          <w:shd w:val="clear" w:color="auto" w:fill="FFFFFF"/>
        </w:rPr>
        <w:t xml:space="preserve"> </w:t>
      </w:r>
      <w:r w:rsidR="002812E0" w:rsidRPr="00172E44">
        <w:rPr>
          <w:rFonts w:cstheme="minorHAnsi"/>
        </w:rPr>
        <w:t>D</w:t>
      </w:r>
      <w:r w:rsidR="00DF0062" w:rsidRPr="00172E44">
        <w:rPr>
          <w:rFonts w:cstheme="minorHAnsi"/>
        </w:rPr>
        <w:t>e-escalation</w:t>
      </w:r>
      <w:r w:rsidR="00C06E65" w:rsidRPr="00172E44">
        <w:rPr>
          <w:rFonts w:cstheme="minorHAnsi"/>
        </w:rPr>
        <w:t>,</w:t>
      </w:r>
      <w:r w:rsidR="00FD6C59" w:rsidRPr="00172E44">
        <w:rPr>
          <w:rFonts w:cstheme="minorHAnsi"/>
        </w:rPr>
        <w:t xml:space="preserve"> increased observation</w:t>
      </w:r>
      <w:r w:rsidR="00C06E65" w:rsidRPr="00172E44">
        <w:rPr>
          <w:rFonts w:cstheme="minorHAnsi"/>
        </w:rPr>
        <w:t xml:space="preserve"> and seclusion or confinement</w:t>
      </w:r>
      <w:r w:rsidR="00FD6C59" w:rsidRPr="00172E44">
        <w:rPr>
          <w:rFonts w:cstheme="minorHAnsi"/>
        </w:rPr>
        <w:t xml:space="preserve"> were</w:t>
      </w:r>
      <w:r w:rsidR="00AA3878" w:rsidRPr="00172E44">
        <w:rPr>
          <w:rFonts w:cstheme="minorHAnsi"/>
        </w:rPr>
        <w:t xml:space="preserve"> </w:t>
      </w:r>
      <w:r w:rsidR="003E3FE2" w:rsidRPr="00172E44">
        <w:rPr>
          <w:rFonts w:cstheme="minorHAnsi"/>
        </w:rPr>
        <w:t xml:space="preserve">reported </w:t>
      </w:r>
      <w:r w:rsidR="008C7DAE" w:rsidRPr="00172E44">
        <w:rPr>
          <w:rFonts w:cstheme="minorHAnsi"/>
        </w:rPr>
        <w:t xml:space="preserve">less frequently </w:t>
      </w:r>
      <w:r w:rsidR="00FD6C59" w:rsidRPr="00172E44">
        <w:rPr>
          <w:rFonts w:cstheme="minorHAnsi"/>
        </w:rPr>
        <w:t>compared with</w:t>
      </w:r>
      <w:r w:rsidR="00AA3878" w:rsidRPr="00172E44">
        <w:rPr>
          <w:rFonts w:cstheme="minorHAnsi"/>
        </w:rPr>
        <w:t xml:space="preserve"> </w:t>
      </w:r>
      <w:r w:rsidR="00F15C71" w:rsidRPr="00172E44">
        <w:rPr>
          <w:rFonts w:cstheme="minorHAnsi"/>
        </w:rPr>
        <w:t>the</w:t>
      </w:r>
      <w:r w:rsidR="00426C61" w:rsidRPr="00172E44">
        <w:rPr>
          <w:rFonts w:cstheme="minorHAnsi"/>
        </w:rPr>
        <w:t xml:space="preserve"> other interventions</w:t>
      </w:r>
      <w:r w:rsidR="008C7DAE" w:rsidRPr="00172E44">
        <w:rPr>
          <w:rFonts w:cstheme="minorHAnsi"/>
        </w:rPr>
        <w:t>.</w:t>
      </w:r>
    </w:p>
    <w:p w14:paraId="567D8E9D" w14:textId="77777777" w:rsidR="00F41E38" w:rsidRPr="00172E44" w:rsidRDefault="00F41E38" w:rsidP="00741EC5">
      <w:pPr>
        <w:spacing w:line="480" w:lineRule="auto"/>
        <w:rPr>
          <w:shd w:val="clear" w:color="auto" w:fill="FFFFFF"/>
        </w:rPr>
      </w:pPr>
      <w:bookmarkStart w:id="9" w:name="_Hlk5203573"/>
    </w:p>
    <w:p w14:paraId="29D50BDB" w14:textId="2E30D34A" w:rsidR="00846257" w:rsidRPr="00172E44" w:rsidRDefault="00846257" w:rsidP="00741EC5">
      <w:pPr>
        <w:spacing w:line="480" w:lineRule="auto"/>
        <w:rPr>
          <w:shd w:val="clear" w:color="auto" w:fill="FFFFFF"/>
        </w:rPr>
      </w:pPr>
      <w:r w:rsidRPr="00172E44">
        <w:rPr>
          <w:shd w:val="clear" w:color="auto" w:fill="FFFFFF"/>
        </w:rPr>
        <w:t>Discussion</w:t>
      </w:r>
    </w:p>
    <w:p w14:paraId="6D349CD5" w14:textId="020A8AD0" w:rsidR="0013101E" w:rsidRPr="00172E44" w:rsidRDefault="001827A6" w:rsidP="001827A6">
      <w:pPr>
        <w:spacing w:line="480" w:lineRule="auto"/>
      </w:pPr>
      <w:r w:rsidRPr="00172E44">
        <w:rPr>
          <w:shd w:val="clear" w:color="auto" w:fill="FFFFFF"/>
        </w:rPr>
        <w:t xml:space="preserve">To our knowledge, this is the first study to identify and compare the antecedents and containment methods of smoking-related </w:t>
      </w:r>
      <w:r w:rsidR="00AC2360" w:rsidRPr="00172E44">
        <w:rPr>
          <w:shd w:val="clear" w:color="auto" w:fill="FFFFFF"/>
        </w:rPr>
        <w:t xml:space="preserve">physical </w:t>
      </w:r>
      <w:r w:rsidRPr="00172E44">
        <w:rPr>
          <w:shd w:val="clear" w:color="auto" w:fill="FFFFFF"/>
        </w:rPr>
        <w:t>violence and how they change</w:t>
      </w:r>
      <w:r w:rsidR="00456B06" w:rsidRPr="00172E44">
        <w:rPr>
          <w:shd w:val="clear" w:color="auto" w:fill="FFFFFF"/>
        </w:rPr>
        <w:t>d over time</w:t>
      </w:r>
      <w:r w:rsidRPr="00172E44">
        <w:rPr>
          <w:shd w:val="clear" w:color="auto" w:fill="FFFFFF"/>
        </w:rPr>
        <w:t xml:space="preserve"> in a mental health setting</w:t>
      </w:r>
      <w:r w:rsidR="00456B06" w:rsidRPr="00172E44">
        <w:rPr>
          <w:shd w:val="clear" w:color="auto" w:fill="FFFFFF"/>
        </w:rPr>
        <w:t>,</w:t>
      </w:r>
      <w:r w:rsidR="00004E21" w:rsidRPr="00172E44">
        <w:rPr>
          <w:shd w:val="clear" w:color="auto" w:fill="FFFFFF"/>
        </w:rPr>
        <w:t xml:space="preserve"> </w:t>
      </w:r>
      <w:r w:rsidR="00E423A7" w:rsidRPr="00172E44">
        <w:rPr>
          <w:shd w:val="clear" w:color="auto" w:fill="FFFFFF"/>
        </w:rPr>
        <w:t xml:space="preserve">when </w:t>
      </w:r>
      <w:r w:rsidRPr="00172E44">
        <w:rPr>
          <w:shd w:val="clear" w:color="auto" w:fill="FFFFFF"/>
        </w:rPr>
        <w:t xml:space="preserve">an indoor-only smoke-free policy was in place, followed by a comprehensive smoke-free policy. </w:t>
      </w:r>
      <w:r w:rsidRPr="00172E44">
        <w:t>We identified fewer incidents of smoking</w:t>
      </w:r>
      <w:r w:rsidR="006835BF" w:rsidRPr="00172E44">
        <w:t>-</w:t>
      </w:r>
      <w:r w:rsidRPr="00172E44">
        <w:t>related violence following the</w:t>
      </w:r>
      <w:r w:rsidR="00AA3878" w:rsidRPr="00172E44">
        <w:t xml:space="preserve"> </w:t>
      </w:r>
      <w:r w:rsidR="00982DB7" w:rsidRPr="00172E44">
        <w:t>introduction</w:t>
      </w:r>
      <w:r w:rsidRPr="00172E44">
        <w:t xml:space="preserve"> of the comprehensive smoke-free policy</w:t>
      </w:r>
      <w:r w:rsidR="008B49BE" w:rsidRPr="00172E44">
        <w:t xml:space="preserve">. </w:t>
      </w:r>
      <w:r w:rsidR="004A3C69" w:rsidRPr="00172E44">
        <w:t>We have demonstrated that designated smoking breaks are a source of conflict</w:t>
      </w:r>
      <w:r w:rsidR="000776C4" w:rsidRPr="00172E44">
        <w:t>,</w:t>
      </w:r>
      <w:r w:rsidR="004A3C69" w:rsidRPr="00172E44">
        <w:t xml:space="preserve"> as </w:t>
      </w:r>
      <w:r w:rsidR="00AA3878" w:rsidRPr="00172E44">
        <w:t>reported</w:t>
      </w:r>
      <w:r w:rsidR="004A3C69" w:rsidRPr="00172E44">
        <w:t xml:space="preserve"> by </w:t>
      </w:r>
      <w:r w:rsidR="009802D9" w:rsidRPr="00172E44">
        <w:t>Ratschen et al (20</w:t>
      </w:r>
      <w:r w:rsidR="005B7AC0" w:rsidRPr="00172E44">
        <w:t>09), Sohal et al (2016) and Huddlestone et al (2018)</w:t>
      </w:r>
      <w:r w:rsidR="004A3C69" w:rsidRPr="00172E44">
        <w:t>, and, for the first time shown that eliminating breaks as part of a comprehensive smoke-free policy may remove this source of conflict.</w:t>
      </w:r>
      <w:r w:rsidR="00004E21" w:rsidRPr="00172E44">
        <w:t xml:space="preserve"> </w:t>
      </w:r>
      <w:r w:rsidR="001027E4" w:rsidRPr="00172E44">
        <w:rPr>
          <w:shd w:val="clear" w:color="auto" w:fill="FFFFFF"/>
        </w:rPr>
        <w:t xml:space="preserve">The most frequently reported containment interventions were time out and PRN medication. </w:t>
      </w:r>
      <w:r w:rsidR="00130A5C" w:rsidRPr="00172E44">
        <w:rPr>
          <w:shd w:val="clear" w:color="auto" w:fill="FFFFFF"/>
        </w:rPr>
        <w:t>Whilst the reporting of injuries was poor, of the incidents that included a description, the most frequently reported were scratches and bruising.</w:t>
      </w:r>
    </w:p>
    <w:p w14:paraId="16719423" w14:textId="5D2838E1" w:rsidR="0061018F" w:rsidRPr="00172E44" w:rsidRDefault="001827A6" w:rsidP="001827A6">
      <w:pPr>
        <w:spacing w:line="480" w:lineRule="auto"/>
        <w:rPr>
          <w:shd w:val="clear" w:color="auto" w:fill="FFFFFF"/>
        </w:rPr>
      </w:pPr>
      <w:r w:rsidRPr="00172E44">
        <w:rPr>
          <w:shd w:val="clear" w:color="auto" w:fill="FFFFFF"/>
        </w:rPr>
        <w:t xml:space="preserve">Throughout the study period, denying a patient’s request to smoke was the most common antecedent to smoking-related violence, although there were fewer incidents after </w:t>
      </w:r>
      <w:r w:rsidR="00F600D8" w:rsidRPr="00172E44">
        <w:rPr>
          <w:shd w:val="clear" w:color="auto" w:fill="FFFFFF"/>
        </w:rPr>
        <w:t>the introduction of the</w:t>
      </w:r>
      <w:r w:rsidR="00AA3878" w:rsidRPr="00172E44">
        <w:rPr>
          <w:shd w:val="clear" w:color="auto" w:fill="FFFFFF"/>
        </w:rPr>
        <w:t xml:space="preserve"> </w:t>
      </w:r>
      <w:r w:rsidRPr="00172E44">
        <w:rPr>
          <w:shd w:val="clear" w:color="auto" w:fill="FFFFFF"/>
        </w:rPr>
        <w:t>comprehensive smoke-free policy</w:t>
      </w:r>
      <w:r w:rsidR="00F600D8" w:rsidRPr="00172E44">
        <w:rPr>
          <w:shd w:val="clear" w:color="auto" w:fill="FFFFFF"/>
        </w:rPr>
        <w:t>.</w:t>
      </w:r>
      <w:r w:rsidR="00004E21" w:rsidRPr="00172E44">
        <w:rPr>
          <w:shd w:val="clear" w:color="auto" w:fill="FFFFFF"/>
        </w:rPr>
        <w:t xml:space="preserve"> </w:t>
      </w:r>
      <w:r w:rsidRPr="00172E44">
        <w:rPr>
          <w:shd w:val="clear" w:color="auto" w:fill="FFFFFF"/>
        </w:rPr>
        <w:t xml:space="preserve">Incidents of violence arising from staff responses to patients breaching the policy </w:t>
      </w:r>
      <w:r w:rsidR="00E636DD" w:rsidRPr="00172E44">
        <w:rPr>
          <w:shd w:val="clear" w:color="auto" w:fill="FFFFFF"/>
        </w:rPr>
        <w:t>slight</w:t>
      </w:r>
      <w:r w:rsidR="00710D9C" w:rsidRPr="00172E44">
        <w:rPr>
          <w:shd w:val="clear" w:color="auto" w:fill="FFFFFF"/>
        </w:rPr>
        <w:t>ly</w:t>
      </w:r>
      <w:r w:rsidR="00E636DD" w:rsidRPr="00172E44">
        <w:rPr>
          <w:shd w:val="clear" w:color="auto" w:fill="FFFFFF"/>
        </w:rPr>
        <w:t xml:space="preserve"> increase</w:t>
      </w:r>
      <w:r w:rsidR="00710D9C" w:rsidRPr="00172E44">
        <w:rPr>
          <w:shd w:val="clear" w:color="auto" w:fill="FFFFFF"/>
        </w:rPr>
        <w:t>d</w:t>
      </w:r>
      <w:r w:rsidR="00E636DD" w:rsidRPr="00172E44">
        <w:rPr>
          <w:shd w:val="clear" w:color="auto" w:fill="FFFFFF"/>
        </w:rPr>
        <w:t xml:space="preserve"> after the comprehensive policy was </w:t>
      </w:r>
      <w:r w:rsidR="00FD2327" w:rsidRPr="00172E44">
        <w:rPr>
          <w:shd w:val="clear" w:color="auto" w:fill="FFFFFF"/>
        </w:rPr>
        <w:t>introduced</w:t>
      </w:r>
      <w:r w:rsidR="00E636DD" w:rsidRPr="00172E44">
        <w:rPr>
          <w:shd w:val="clear" w:color="auto" w:fill="FFFFFF"/>
        </w:rPr>
        <w:t>, whereas asking for, trading or stealing smoking materials from other patients were relatively similar throughout.</w:t>
      </w:r>
      <w:r w:rsidR="00004E21" w:rsidRPr="00172E44">
        <w:rPr>
          <w:shd w:val="clear" w:color="auto" w:fill="FFFFFF"/>
        </w:rPr>
        <w:t xml:space="preserve"> </w:t>
      </w:r>
      <w:r w:rsidRPr="00172E44">
        <w:rPr>
          <w:shd w:val="clear" w:color="auto" w:fill="FFFFFF"/>
        </w:rPr>
        <w:t xml:space="preserve">Our findings </w:t>
      </w:r>
      <w:r w:rsidR="00AC2360" w:rsidRPr="00172E44">
        <w:rPr>
          <w:shd w:val="clear" w:color="auto" w:fill="FFFFFF"/>
        </w:rPr>
        <w:t xml:space="preserve">indicate </w:t>
      </w:r>
      <w:r w:rsidRPr="00172E44">
        <w:rPr>
          <w:shd w:val="clear" w:color="auto" w:fill="FFFFFF"/>
        </w:rPr>
        <w:t xml:space="preserve">that </w:t>
      </w:r>
      <w:r w:rsidR="00E636DD" w:rsidRPr="00172E44">
        <w:rPr>
          <w:shd w:val="clear" w:color="auto" w:fill="FFFFFF"/>
        </w:rPr>
        <w:t xml:space="preserve">within this organisation, </w:t>
      </w:r>
      <w:r w:rsidRPr="00172E44">
        <w:rPr>
          <w:shd w:val="clear" w:color="auto" w:fill="FFFFFF"/>
        </w:rPr>
        <w:t>the patterns of antecedents to violence change</w:t>
      </w:r>
      <w:r w:rsidR="00E636DD" w:rsidRPr="00172E44">
        <w:rPr>
          <w:shd w:val="clear" w:color="auto" w:fill="FFFFFF"/>
        </w:rPr>
        <w:t>d</w:t>
      </w:r>
      <w:r w:rsidRPr="00172E44">
        <w:rPr>
          <w:shd w:val="clear" w:color="auto" w:fill="FFFFFF"/>
        </w:rPr>
        <w:t xml:space="preserve"> according to </w:t>
      </w:r>
      <w:r w:rsidR="009B15AF" w:rsidRPr="00172E44">
        <w:rPr>
          <w:shd w:val="clear" w:color="auto" w:fill="FFFFFF"/>
        </w:rPr>
        <w:t xml:space="preserve">the </w:t>
      </w:r>
      <w:r w:rsidRPr="00172E44">
        <w:rPr>
          <w:shd w:val="clear" w:color="auto" w:fill="FFFFFF"/>
        </w:rPr>
        <w:t xml:space="preserve">policy environment.  </w:t>
      </w:r>
    </w:p>
    <w:p w14:paraId="1E4CC6D4" w14:textId="600E9DB3" w:rsidR="0061018F" w:rsidRPr="00172E44" w:rsidRDefault="0061018F" w:rsidP="001827A6">
      <w:pPr>
        <w:spacing w:line="480" w:lineRule="auto"/>
        <w:rPr>
          <w:shd w:val="clear" w:color="auto" w:fill="FFFFFF"/>
        </w:rPr>
      </w:pPr>
      <w:r w:rsidRPr="00172E44">
        <w:rPr>
          <w:noProof/>
          <w:shd w:val="clear" w:color="auto" w:fill="FFFFFF"/>
        </w:rPr>
        <w:t>In relation to the wider literature, r</w:t>
      </w:r>
      <w:r w:rsidR="001827A6" w:rsidRPr="00172E44">
        <w:rPr>
          <w:noProof/>
          <w:shd w:val="clear" w:color="auto" w:fill="FFFFFF"/>
        </w:rPr>
        <w:t>estricting</w:t>
      </w:r>
      <w:r w:rsidR="001827A6" w:rsidRPr="00172E44">
        <w:rPr>
          <w:shd w:val="clear" w:color="auto" w:fill="FFFFFF"/>
        </w:rPr>
        <w:t xml:space="preserve"> patient’s freedom and denying their requests are frequent antecedents of violence across in-patient settings (Papadopolous et al. 2012). </w:t>
      </w:r>
      <w:r w:rsidR="008E70F7" w:rsidRPr="00172E44">
        <w:rPr>
          <w:shd w:val="clear" w:color="auto" w:fill="FFFFFF"/>
        </w:rPr>
        <w:t>Previously</w:t>
      </w:r>
      <w:r w:rsidR="00A07BB4" w:rsidRPr="00172E44">
        <w:rPr>
          <w:shd w:val="clear" w:color="auto" w:fill="FFFFFF"/>
        </w:rPr>
        <w:t>,</w:t>
      </w:r>
      <w:r w:rsidR="001827A6" w:rsidRPr="00172E44">
        <w:rPr>
          <w:shd w:val="clear" w:color="auto" w:fill="FFFFFF"/>
        </w:rPr>
        <w:t xml:space="preserve"> restricting freedom to </w:t>
      </w:r>
      <w:r w:rsidR="001827A6" w:rsidRPr="00172E44">
        <w:rPr>
          <w:noProof/>
          <w:shd w:val="clear" w:color="auto" w:fill="FFFFFF"/>
        </w:rPr>
        <w:t>smoke</w:t>
      </w:r>
      <w:r w:rsidR="001827A6" w:rsidRPr="00172E44">
        <w:rPr>
          <w:shd w:val="clear" w:color="auto" w:fill="FFFFFF"/>
        </w:rPr>
        <w:t xml:space="preserve"> has been identified as an antecedent to violence. Across 11 acute psychiatric wards in Taiwan, Chou et al. (2001 &amp; 2002) found in their earlier study that 68 of 595 (11%) incidents of patient-toward-staff </w:t>
      </w:r>
      <w:r w:rsidR="00536FF5" w:rsidRPr="00172E44">
        <w:rPr>
          <w:shd w:val="clear" w:color="auto" w:fill="FFFFFF"/>
        </w:rPr>
        <w:t xml:space="preserve">physical and verbal </w:t>
      </w:r>
      <w:r w:rsidR="001827A6" w:rsidRPr="00172E44">
        <w:rPr>
          <w:shd w:val="clear" w:color="auto" w:fill="FFFFFF"/>
        </w:rPr>
        <w:t>violence and in their later study 111 of 529 (21%) incidents of patient-toward-staff</w:t>
      </w:r>
      <w:r w:rsidR="00370942" w:rsidRPr="00172E44">
        <w:rPr>
          <w:shd w:val="clear" w:color="auto" w:fill="FFFFFF"/>
        </w:rPr>
        <w:t xml:space="preserve"> physical and verbal</w:t>
      </w:r>
      <w:r w:rsidR="001827A6" w:rsidRPr="00172E44">
        <w:rPr>
          <w:shd w:val="clear" w:color="auto" w:fill="FFFFFF"/>
        </w:rPr>
        <w:t xml:space="preserve"> violence, occurred because of placing </w:t>
      </w:r>
      <w:r w:rsidR="001827A6" w:rsidRPr="00172E44">
        <w:rPr>
          <w:noProof/>
          <w:shd w:val="clear" w:color="auto" w:fill="FFFFFF"/>
        </w:rPr>
        <w:t>restrictions</w:t>
      </w:r>
      <w:r w:rsidR="001827A6" w:rsidRPr="00172E44">
        <w:rPr>
          <w:shd w:val="clear" w:color="auto" w:fill="FFFFFF"/>
        </w:rPr>
        <w:t xml:space="preserve"> on smoking. Smoking in areas where it is prohibited and the trading of cigarettes among patients have also been cited as reasons for</w:t>
      </w:r>
      <w:r w:rsidR="00370942" w:rsidRPr="00172E44">
        <w:rPr>
          <w:shd w:val="clear" w:color="auto" w:fill="FFFFFF"/>
        </w:rPr>
        <w:t xml:space="preserve"> verbal and physical</w:t>
      </w:r>
      <w:r w:rsidR="00AA3878" w:rsidRPr="00172E44">
        <w:rPr>
          <w:shd w:val="clear" w:color="auto" w:fill="FFFFFF"/>
        </w:rPr>
        <w:t xml:space="preserve"> </w:t>
      </w:r>
      <w:r w:rsidR="001827A6" w:rsidRPr="00172E44">
        <w:rPr>
          <w:shd w:val="clear" w:color="auto" w:fill="FFFFFF"/>
        </w:rPr>
        <w:t xml:space="preserve">violence in relation to smoke-free policies (Sohal et al. 2016). </w:t>
      </w:r>
    </w:p>
    <w:p w14:paraId="02746AC4" w14:textId="17C7DA02" w:rsidR="003222C1" w:rsidRPr="00172E44" w:rsidRDefault="001827A6" w:rsidP="00F949EA">
      <w:pPr>
        <w:spacing w:line="480" w:lineRule="auto"/>
      </w:pPr>
      <w:r w:rsidRPr="00172E44">
        <w:rPr>
          <w:shd w:val="clear" w:color="auto" w:fill="FFFFFF"/>
        </w:rPr>
        <w:t xml:space="preserve">Designated smoking breaks were routine in this organisation </w:t>
      </w:r>
      <w:r w:rsidR="00492BDD" w:rsidRPr="00172E44">
        <w:rPr>
          <w:shd w:val="clear" w:color="auto" w:fill="FFFFFF"/>
        </w:rPr>
        <w:t xml:space="preserve">during the indoor-only smoke-free policy period </w:t>
      </w:r>
      <w:r w:rsidR="00C1463D" w:rsidRPr="00172E44">
        <w:rPr>
          <w:shd w:val="clear" w:color="auto" w:fill="FFFFFF"/>
        </w:rPr>
        <w:t>where</w:t>
      </w:r>
      <w:r w:rsidRPr="00172E44">
        <w:rPr>
          <w:shd w:val="clear" w:color="auto" w:fill="FFFFFF"/>
        </w:rPr>
        <w:t xml:space="preserve"> patients congregated in confined outdoor spaces</w:t>
      </w:r>
      <w:r w:rsidRPr="00172E44">
        <w:rPr>
          <w:color w:val="000000"/>
          <w:shd w:val="clear" w:color="auto" w:fill="FFFFFF"/>
        </w:rPr>
        <w:t xml:space="preserve"> every 1-2 hours for an average of 19 minutes at a time to smoke (Robson et al. 2016)</w:t>
      </w:r>
      <w:r w:rsidRPr="00172E44">
        <w:t xml:space="preserve">. </w:t>
      </w:r>
      <w:r w:rsidR="003222C1" w:rsidRPr="00172E44">
        <w:t>Environments associated with smoking or visual imagery of smoking materials can be a cue to smoke or elicit cravings to smoke (Wray et al</w:t>
      </w:r>
      <w:r w:rsidR="0006204B" w:rsidRPr="00172E44">
        <w:t>.</w:t>
      </w:r>
      <w:r w:rsidR="009E194B" w:rsidRPr="00172E44">
        <w:t xml:space="preserve"> </w:t>
      </w:r>
      <w:r w:rsidR="0006204B" w:rsidRPr="00172E44">
        <w:t>2011</w:t>
      </w:r>
      <w:r w:rsidR="00B478B9" w:rsidRPr="00172E44">
        <w:t xml:space="preserve">; </w:t>
      </w:r>
      <w:r w:rsidR="003222C1" w:rsidRPr="00172E44">
        <w:t>Conklin et al</w:t>
      </w:r>
      <w:r w:rsidR="0006204B" w:rsidRPr="00172E44">
        <w:t>.</w:t>
      </w:r>
      <w:r w:rsidR="003222C1" w:rsidRPr="00172E44">
        <w:t xml:space="preserve"> 2008). </w:t>
      </w:r>
      <w:r w:rsidR="002C3453" w:rsidRPr="00172E44">
        <w:t>S</w:t>
      </w:r>
      <w:r w:rsidR="00AC2360" w:rsidRPr="00172E44">
        <w:t xml:space="preserve">moking breaks in </w:t>
      </w:r>
      <w:r w:rsidR="003222C1" w:rsidRPr="00172E44">
        <w:t xml:space="preserve">ward gardens </w:t>
      </w:r>
      <w:r w:rsidR="002C3453" w:rsidRPr="00172E44">
        <w:t xml:space="preserve">can </w:t>
      </w:r>
      <w:r w:rsidR="003222C1" w:rsidRPr="00172E44">
        <w:t xml:space="preserve">act as </w:t>
      </w:r>
      <w:r w:rsidR="00204BD9" w:rsidRPr="00172E44">
        <w:t>cues to smoke or evoke craving</w:t>
      </w:r>
      <w:r w:rsidR="00AC2360" w:rsidRPr="00172E44">
        <w:t>s</w:t>
      </w:r>
      <w:r w:rsidR="00204BD9" w:rsidRPr="00172E44">
        <w:t xml:space="preserve">, </w:t>
      </w:r>
      <w:r w:rsidR="003222C1" w:rsidRPr="00172E44">
        <w:t xml:space="preserve">in that smokers and ex-smokers </w:t>
      </w:r>
      <w:r w:rsidR="00AC2360" w:rsidRPr="00172E44">
        <w:t xml:space="preserve">anticipate </w:t>
      </w:r>
      <w:r w:rsidR="00456B06" w:rsidRPr="00172E44">
        <w:t xml:space="preserve">or </w:t>
      </w:r>
      <w:r w:rsidR="0040432A" w:rsidRPr="00172E44">
        <w:t xml:space="preserve">remember </w:t>
      </w:r>
      <w:r w:rsidR="003222C1" w:rsidRPr="00172E44">
        <w:t>smok</w:t>
      </w:r>
      <w:r w:rsidR="00AC2360" w:rsidRPr="00172E44">
        <w:t>ing</w:t>
      </w:r>
      <w:r w:rsidR="003222C1" w:rsidRPr="00172E44">
        <w:t xml:space="preserve"> in these settings at certain times. </w:t>
      </w:r>
      <w:r w:rsidR="001C63B4" w:rsidRPr="00172E44">
        <w:t>R</w:t>
      </w:r>
      <w:r w:rsidR="00204BD9" w:rsidRPr="00172E44">
        <w:t xml:space="preserve">emoving visual cues such as smoking shelters and ashtrays from grounds may </w:t>
      </w:r>
      <w:r w:rsidR="0040432A" w:rsidRPr="00172E44">
        <w:t xml:space="preserve">also </w:t>
      </w:r>
      <w:r w:rsidR="00204BD9" w:rsidRPr="00172E44">
        <w:t xml:space="preserve">have </w:t>
      </w:r>
      <w:r w:rsidR="0040432A" w:rsidRPr="00172E44">
        <w:t xml:space="preserve">removed triggers to smoke, and hence contributed to </w:t>
      </w:r>
      <w:r w:rsidR="00204BD9" w:rsidRPr="00172E44">
        <w:t xml:space="preserve">changes in the antecedents to smoking-related violence. </w:t>
      </w:r>
      <w:r w:rsidR="007D5907" w:rsidRPr="00172E44">
        <w:t xml:space="preserve">Cue reactivity about smoking has been extensively researched </w:t>
      </w:r>
      <w:r w:rsidR="00456B06" w:rsidRPr="00172E44">
        <w:t xml:space="preserve">(Wray et al. 2011, Conklin et al. 2008) </w:t>
      </w:r>
      <w:r w:rsidR="007D5907" w:rsidRPr="00172E44">
        <w:t xml:space="preserve">but not in the context of mental health hospitals and a smoke-free </w:t>
      </w:r>
      <w:r w:rsidR="00004E21" w:rsidRPr="00172E44">
        <w:t>policy and</w:t>
      </w:r>
      <w:r w:rsidR="007D5907" w:rsidRPr="00172E44">
        <w:t xml:space="preserve"> is worthy of investigation. </w:t>
      </w:r>
    </w:p>
    <w:p w14:paraId="47309A13" w14:textId="3B3C5FF8" w:rsidR="00191B86" w:rsidRPr="00172E44" w:rsidRDefault="001827A6" w:rsidP="001827A6">
      <w:pPr>
        <w:spacing w:line="480" w:lineRule="auto"/>
        <w:rPr>
          <w:shd w:val="clear" w:color="auto" w:fill="FFFFFF"/>
        </w:rPr>
      </w:pPr>
      <w:r w:rsidRPr="00172E44">
        <w:rPr>
          <w:shd w:val="clear" w:color="auto" w:fill="FFFFFF"/>
        </w:rPr>
        <w:t xml:space="preserve">A comprehensive smoke-free policy on its own is not </w:t>
      </w:r>
      <w:r w:rsidR="001C63B4" w:rsidRPr="00172E44">
        <w:rPr>
          <w:shd w:val="clear" w:color="auto" w:fill="FFFFFF"/>
        </w:rPr>
        <w:t>enough</w:t>
      </w:r>
      <w:r w:rsidR="002839AD" w:rsidRPr="00172E44">
        <w:rPr>
          <w:shd w:val="clear" w:color="auto" w:fill="FFFFFF"/>
        </w:rPr>
        <w:t xml:space="preserve"> </w:t>
      </w:r>
      <w:r w:rsidRPr="00172E44">
        <w:rPr>
          <w:shd w:val="clear" w:color="auto" w:fill="FFFFFF"/>
        </w:rPr>
        <w:t>to prevent violence related to smoking, though in our study a comprehensive policy appears to be more effective than an indoor</w:t>
      </w:r>
      <w:r w:rsidR="000052C1" w:rsidRPr="00172E44">
        <w:rPr>
          <w:shd w:val="clear" w:color="auto" w:fill="FFFFFF"/>
        </w:rPr>
        <w:t>-</w:t>
      </w:r>
      <w:r w:rsidRPr="00172E44">
        <w:rPr>
          <w:shd w:val="clear" w:color="auto" w:fill="FFFFFF"/>
        </w:rPr>
        <w:t xml:space="preserve">only policy at doing so, a finding supported </w:t>
      </w:r>
      <w:r w:rsidR="00710D9C" w:rsidRPr="00172E44">
        <w:rPr>
          <w:shd w:val="clear" w:color="auto" w:fill="FFFFFF"/>
        </w:rPr>
        <w:t>previously</w:t>
      </w:r>
      <w:r w:rsidRPr="00172E44">
        <w:rPr>
          <w:shd w:val="clear" w:color="auto" w:fill="FFFFFF"/>
        </w:rPr>
        <w:t xml:space="preserve"> (Lawn &amp; Pols 2005).</w:t>
      </w:r>
    </w:p>
    <w:p w14:paraId="2E939F93" w14:textId="163A7421" w:rsidR="0006204B" w:rsidRPr="00172E44" w:rsidRDefault="001827A6" w:rsidP="0006204B">
      <w:pPr>
        <w:spacing w:after="0" w:line="480" w:lineRule="auto"/>
        <w:rPr>
          <w:rFonts w:cstheme="minorHAnsi"/>
        </w:rPr>
      </w:pPr>
      <w:r w:rsidRPr="00172E44">
        <w:rPr>
          <w:rFonts w:cstheme="minorHAnsi"/>
          <w:shd w:val="clear" w:color="auto" w:fill="FFFFFF"/>
        </w:rPr>
        <w:t xml:space="preserve">The reporting of injuries sustained by victims of violence was poor. It is plausible that where there were no reports, there were no obvious injuries sustained.  Our findings about the type and site of injury are </w:t>
      </w:r>
      <w:r w:rsidR="00B54FD3" w:rsidRPr="00172E44">
        <w:rPr>
          <w:rFonts w:cstheme="minorHAnsi"/>
        </w:rPr>
        <w:t>similar to</w:t>
      </w:r>
      <w:r w:rsidR="002839AD" w:rsidRPr="00172E44">
        <w:rPr>
          <w:rFonts w:cstheme="minorHAnsi"/>
        </w:rPr>
        <w:t xml:space="preserve"> </w:t>
      </w:r>
      <w:r w:rsidRPr="00172E44">
        <w:rPr>
          <w:rFonts w:cstheme="minorHAnsi"/>
        </w:rPr>
        <w:t xml:space="preserve">a previous study which evaluated 553 incident reports of injuries at work resulting in formal sick leave from 25 mental health organisations in the UK (Renwick et al. 2016). The authors found that more than half of the injuries consisted of bruising, strains and sprains. Additionally, the most commonly affected part of the body was the head and neck. </w:t>
      </w:r>
    </w:p>
    <w:p w14:paraId="705D9E9E" w14:textId="77777777" w:rsidR="00F949EA" w:rsidRPr="00172E44" w:rsidRDefault="00F949EA" w:rsidP="0006204B">
      <w:pPr>
        <w:spacing w:after="0" w:line="480" w:lineRule="auto"/>
        <w:rPr>
          <w:rFonts w:cstheme="minorHAnsi"/>
        </w:rPr>
      </w:pPr>
    </w:p>
    <w:p w14:paraId="529B19E5" w14:textId="4908EB16" w:rsidR="001827A6" w:rsidRPr="00172E44" w:rsidRDefault="001827A6" w:rsidP="0006204B">
      <w:pPr>
        <w:spacing w:after="0" w:line="480" w:lineRule="auto"/>
        <w:rPr>
          <w:rFonts w:cstheme="minorHAnsi"/>
        </w:rPr>
      </w:pPr>
      <w:r w:rsidRPr="00172E44">
        <w:rPr>
          <w:rFonts w:cstheme="minorHAnsi"/>
          <w:shd w:val="clear" w:color="auto" w:fill="FFFFFF"/>
        </w:rPr>
        <w:t xml:space="preserve">In our study, </w:t>
      </w:r>
      <w:r w:rsidR="0040432A" w:rsidRPr="00172E44">
        <w:rPr>
          <w:rFonts w:cstheme="minorHAnsi"/>
          <w:shd w:val="clear" w:color="auto" w:fill="FFFFFF"/>
        </w:rPr>
        <w:t xml:space="preserve">more than one </w:t>
      </w:r>
      <w:r w:rsidRPr="00172E44">
        <w:rPr>
          <w:rFonts w:cstheme="minorHAnsi"/>
          <w:shd w:val="clear" w:color="auto" w:fill="FFFFFF"/>
        </w:rPr>
        <w:t>containment method w</w:t>
      </w:r>
      <w:r w:rsidR="0040432A" w:rsidRPr="00172E44">
        <w:rPr>
          <w:rFonts w:cstheme="minorHAnsi"/>
          <w:shd w:val="clear" w:color="auto" w:fill="FFFFFF"/>
        </w:rPr>
        <w:t xml:space="preserve">as </w:t>
      </w:r>
      <w:r w:rsidRPr="00172E44">
        <w:rPr>
          <w:rFonts w:cstheme="minorHAnsi"/>
          <w:shd w:val="clear" w:color="auto" w:fill="FFFFFF"/>
        </w:rPr>
        <w:t>used</w:t>
      </w:r>
      <w:r w:rsidR="002839AD" w:rsidRPr="00172E44">
        <w:rPr>
          <w:rFonts w:cstheme="minorHAnsi"/>
          <w:shd w:val="clear" w:color="auto" w:fill="FFFFFF"/>
        </w:rPr>
        <w:t xml:space="preserve"> </w:t>
      </w:r>
      <w:r w:rsidR="001C63B4" w:rsidRPr="00172E44">
        <w:rPr>
          <w:rFonts w:cstheme="minorHAnsi"/>
          <w:shd w:val="clear" w:color="auto" w:fill="FFFFFF"/>
        </w:rPr>
        <w:t>in response to most of the incidents</w:t>
      </w:r>
      <w:r w:rsidRPr="00172E44">
        <w:rPr>
          <w:rFonts w:cstheme="minorHAnsi"/>
          <w:shd w:val="clear" w:color="auto" w:fill="FFFFFF"/>
        </w:rPr>
        <w:t xml:space="preserve">, </w:t>
      </w:r>
      <w:r w:rsidR="0040432A" w:rsidRPr="00172E44">
        <w:rPr>
          <w:rFonts w:cstheme="minorHAnsi"/>
          <w:shd w:val="clear" w:color="auto" w:fill="FFFFFF"/>
        </w:rPr>
        <w:t>al</w:t>
      </w:r>
      <w:r w:rsidRPr="00172E44">
        <w:rPr>
          <w:rFonts w:cstheme="minorHAnsi"/>
          <w:shd w:val="clear" w:color="auto" w:fill="FFFFFF"/>
        </w:rPr>
        <w:t xml:space="preserve">though we were unable to identify their sequence and their contribution to resolution.  The use of sedative PRN medication was frequently used to contain smoking-related violence, though </w:t>
      </w:r>
      <w:r w:rsidR="0040432A" w:rsidRPr="00172E44">
        <w:rPr>
          <w:rFonts w:cstheme="minorHAnsi"/>
          <w:shd w:val="clear" w:color="auto" w:fill="FFFFFF"/>
        </w:rPr>
        <w:t xml:space="preserve">this </w:t>
      </w:r>
      <w:r w:rsidRPr="00172E44">
        <w:rPr>
          <w:rFonts w:cstheme="minorHAnsi"/>
          <w:shd w:val="clear" w:color="auto" w:fill="FFFFFF"/>
        </w:rPr>
        <w:t>appeared to reduce post comprehensive smoke-free policy.</w:t>
      </w:r>
      <w:r w:rsidR="009E194B" w:rsidRPr="00172E44">
        <w:rPr>
          <w:rFonts w:cstheme="minorHAnsi"/>
          <w:shd w:val="clear" w:color="auto" w:fill="FFFFFF"/>
        </w:rPr>
        <w:t xml:space="preserve"> </w:t>
      </w:r>
      <w:r w:rsidR="001C63B4" w:rsidRPr="00172E44">
        <w:rPr>
          <w:rFonts w:cstheme="minorHAnsi"/>
          <w:shd w:val="clear" w:color="auto" w:fill="FFFFFF"/>
        </w:rPr>
        <w:t>T</w:t>
      </w:r>
      <w:r w:rsidRPr="00172E44">
        <w:rPr>
          <w:rFonts w:cstheme="minorHAnsi"/>
          <w:shd w:val="clear" w:color="auto" w:fill="FFFFFF"/>
        </w:rPr>
        <w:t xml:space="preserve">his is a common containment method in inpatient mental health settings </w:t>
      </w:r>
      <w:r w:rsidRPr="00172E44">
        <w:rPr>
          <w:rFonts w:cstheme="minorHAnsi"/>
        </w:rPr>
        <w:t xml:space="preserve">(Ross et al. 2012). Previous </w:t>
      </w:r>
      <w:r w:rsidR="008E70F7" w:rsidRPr="00172E44">
        <w:rPr>
          <w:rFonts w:cstheme="minorHAnsi"/>
        </w:rPr>
        <w:t xml:space="preserve">evaluations of </w:t>
      </w:r>
      <w:r w:rsidRPr="00172E44">
        <w:rPr>
          <w:rFonts w:cstheme="minorHAnsi"/>
        </w:rPr>
        <w:t xml:space="preserve">PRN use before and after </w:t>
      </w:r>
      <w:r w:rsidR="00E237DF" w:rsidRPr="00172E44">
        <w:rPr>
          <w:rFonts w:cstheme="minorHAnsi"/>
        </w:rPr>
        <w:t>implementation</w:t>
      </w:r>
      <w:r w:rsidRPr="00172E44">
        <w:rPr>
          <w:rFonts w:cstheme="minorHAnsi"/>
        </w:rPr>
        <w:t xml:space="preserve"> of a smoke-free policy found either an increase or no change in the use of PRN. Velasco et al</w:t>
      </w:r>
      <w:r w:rsidR="009E194B" w:rsidRPr="00172E44">
        <w:rPr>
          <w:rFonts w:cstheme="minorHAnsi"/>
        </w:rPr>
        <w:t>.</w:t>
      </w:r>
      <w:r w:rsidRPr="00172E44">
        <w:rPr>
          <w:rFonts w:cstheme="minorHAnsi"/>
        </w:rPr>
        <w:t xml:space="preserve"> </w:t>
      </w:r>
      <w:r w:rsidR="009E194B" w:rsidRPr="00172E44">
        <w:rPr>
          <w:rFonts w:cstheme="minorHAnsi"/>
        </w:rPr>
        <w:t>(</w:t>
      </w:r>
      <w:r w:rsidRPr="00172E44">
        <w:rPr>
          <w:rFonts w:cstheme="minorHAnsi"/>
        </w:rPr>
        <w:t>1996</w:t>
      </w:r>
      <w:r w:rsidR="009E194B" w:rsidRPr="00172E44">
        <w:rPr>
          <w:rFonts w:cstheme="minorHAnsi"/>
        </w:rPr>
        <w:t>)</w:t>
      </w:r>
      <w:r w:rsidRPr="00172E44">
        <w:rPr>
          <w:rFonts w:cstheme="minorHAnsi"/>
        </w:rPr>
        <w:t xml:space="preserve">, </w:t>
      </w:r>
      <w:r w:rsidR="00D84E65" w:rsidRPr="00172E44">
        <w:rPr>
          <w:rFonts w:cstheme="minorHAnsi"/>
        </w:rPr>
        <w:t xml:space="preserve">reported </w:t>
      </w:r>
      <w:r w:rsidRPr="00172E44">
        <w:rPr>
          <w:rFonts w:cstheme="minorHAnsi"/>
        </w:rPr>
        <w:t>a</w:t>
      </w:r>
      <w:r w:rsidR="001B73DB" w:rsidRPr="00172E44">
        <w:rPr>
          <w:rFonts w:cstheme="minorHAnsi"/>
        </w:rPr>
        <w:t xml:space="preserve"> significant</w:t>
      </w:r>
      <w:r w:rsidRPr="00172E44">
        <w:rPr>
          <w:rFonts w:cstheme="minorHAnsi"/>
        </w:rPr>
        <w:t xml:space="preserve"> increase in PRN </w:t>
      </w:r>
      <w:r w:rsidR="0040432A" w:rsidRPr="00172E44">
        <w:rPr>
          <w:rFonts w:cstheme="minorHAnsi"/>
        </w:rPr>
        <w:t xml:space="preserve">immediately </w:t>
      </w:r>
      <w:r w:rsidRPr="00172E44">
        <w:rPr>
          <w:rFonts w:cstheme="minorHAnsi"/>
        </w:rPr>
        <w:t>following the</w:t>
      </w:r>
      <w:r w:rsidR="00D84E65" w:rsidRPr="00172E44">
        <w:rPr>
          <w:rFonts w:cstheme="minorHAnsi"/>
        </w:rPr>
        <w:t xml:space="preserve"> introduction of </w:t>
      </w:r>
      <w:r w:rsidR="009E194B" w:rsidRPr="00172E44">
        <w:rPr>
          <w:rFonts w:cstheme="minorHAnsi"/>
        </w:rPr>
        <w:t>a comprehensive</w:t>
      </w:r>
      <w:r w:rsidRPr="00172E44">
        <w:rPr>
          <w:rFonts w:cstheme="minorHAnsi"/>
        </w:rPr>
        <w:t xml:space="preserve"> smoke-free </w:t>
      </w:r>
      <w:r w:rsidR="009E194B" w:rsidRPr="00172E44">
        <w:rPr>
          <w:rFonts w:cstheme="minorHAnsi"/>
        </w:rPr>
        <w:t>policy but</w:t>
      </w:r>
      <w:r w:rsidR="001B73DB" w:rsidRPr="00172E44">
        <w:rPr>
          <w:rFonts w:cstheme="minorHAnsi"/>
        </w:rPr>
        <w:t xml:space="preserve"> no significant difference was identified two years post-policy </w:t>
      </w:r>
      <w:r w:rsidR="00D84E65" w:rsidRPr="00172E44">
        <w:rPr>
          <w:rFonts w:cstheme="minorHAnsi"/>
        </w:rPr>
        <w:t>introduction</w:t>
      </w:r>
      <w:r w:rsidRPr="00172E44">
        <w:rPr>
          <w:rFonts w:cstheme="minorHAnsi"/>
        </w:rPr>
        <w:t xml:space="preserve">. However, Cormac et al. </w:t>
      </w:r>
      <w:r w:rsidR="009E194B" w:rsidRPr="00172E44">
        <w:rPr>
          <w:rFonts w:cstheme="minorHAnsi"/>
        </w:rPr>
        <w:t>(</w:t>
      </w:r>
      <w:r w:rsidRPr="00172E44">
        <w:rPr>
          <w:rFonts w:cstheme="minorHAnsi"/>
        </w:rPr>
        <w:t>2010</w:t>
      </w:r>
      <w:r w:rsidR="009E194B" w:rsidRPr="00172E44">
        <w:rPr>
          <w:rFonts w:cstheme="minorHAnsi"/>
        </w:rPr>
        <w:t>)</w:t>
      </w:r>
      <w:r w:rsidRPr="00172E44">
        <w:rPr>
          <w:rFonts w:cstheme="minorHAnsi"/>
        </w:rPr>
        <w:t xml:space="preserve">, </w:t>
      </w:r>
      <w:r w:rsidR="00D84E65" w:rsidRPr="00172E44">
        <w:rPr>
          <w:rFonts w:cstheme="minorHAnsi"/>
        </w:rPr>
        <w:t xml:space="preserve">reported </w:t>
      </w:r>
      <w:r w:rsidRPr="00172E44">
        <w:rPr>
          <w:rFonts w:cstheme="minorHAnsi"/>
        </w:rPr>
        <w:t>the use of PRN did not change one and three months following comprehensive smoke-free policy</w:t>
      </w:r>
      <w:r w:rsidR="0040432A" w:rsidRPr="00172E44">
        <w:rPr>
          <w:rFonts w:cstheme="minorHAnsi"/>
        </w:rPr>
        <w:t xml:space="preserve"> implementation</w:t>
      </w:r>
      <w:r w:rsidR="00D84E65" w:rsidRPr="00172E44">
        <w:rPr>
          <w:rFonts w:cstheme="minorHAnsi"/>
        </w:rPr>
        <w:t xml:space="preserve"> in a secure hospital setting</w:t>
      </w:r>
      <w:r w:rsidRPr="00172E44">
        <w:rPr>
          <w:rFonts w:cstheme="minorHAnsi"/>
        </w:rPr>
        <w:t>. It is possible that staff misattribute</w:t>
      </w:r>
      <w:r w:rsidR="002839AD" w:rsidRPr="00172E44">
        <w:rPr>
          <w:rFonts w:cstheme="minorHAnsi"/>
        </w:rPr>
        <w:t xml:space="preserve"> </w:t>
      </w:r>
      <w:r w:rsidRPr="00172E44">
        <w:rPr>
          <w:rFonts w:cstheme="minorHAnsi"/>
        </w:rPr>
        <w:t xml:space="preserve">signs and symptoms of tobacco withdrawal for a </w:t>
      </w:r>
      <w:r w:rsidR="00304456" w:rsidRPr="00172E44">
        <w:rPr>
          <w:rFonts w:cstheme="minorHAnsi"/>
        </w:rPr>
        <w:t>deterioration</w:t>
      </w:r>
      <w:r w:rsidRPr="00172E44">
        <w:rPr>
          <w:rFonts w:cstheme="minorHAnsi"/>
        </w:rPr>
        <w:t xml:space="preserve"> of mental health symptoms</w:t>
      </w:r>
      <w:r w:rsidR="002839AD" w:rsidRPr="00172E44">
        <w:rPr>
          <w:rFonts w:cstheme="minorHAnsi"/>
        </w:rPr>
        <w:t xml:space="preserve"> </w:t>
      </w:r>
      <w:r w:rsidRPr="00172E44">
        <w:rPr>
          <w:rFonts w:cstheme="minorHAnsi"/>
        </w:rPr>
        <w:t>(</w:t>
      </w:r>
      <w:r w:rsidRPr="00172E44">
        <w:rPr>
          <w:rFonts w:cstheme="minorHAnsi"/>
          <w:color w:val="1C1D1E"/>
          <w:shd w:val="clear" w:color="auto" w:fill="FFFFFF"/>
        </w:rPr>
        <w:t>Lawn &amp; Campion, </w:t>
      </w:r>
      <w:r w:rsidRPr="00172E44">
        <w:rPr>
          <w:rStyle w:val="Hyperlink"/>
          <w:rFonts w:cstheme="minorHAnsi"/>
          <w:color w:val="auto"/>
          <w:u w:val="none"/>
        </w:rPr>
        <w:t>2013</w:t>
      </w:r>
      <w:r w:rsidRPr="00172E44">
        <w:rPr>
          <w:rFonts w:cstheme="minorHAnsi"/>
        </w:rPr>
        <w:t xml:space="preserve">). This is plausible in the early stages of </w:t>
      </w:r>
      <w:r w:rsidR="00982DB7" w:rsidRPr="00172E44">
        <w:rPr>
          <w:rFonts w:cstheme="minorHAnsi"/>
        </w:rPr>
        <w:t>introduci</w:t>
      </w:r>
      <w:r w:rsidRPr="00172E44">
        <w:rPr>
          <w:rFonts w:cstheme="minorHAnsi"/>
        </w:rPr>
        <w:t>ng</w:t>
      </w:r>
      <w:r w:rsidR="009E194B" w:rsidRPr="00172E44">
        <w:rPr>
          <w:rFonts w:cstheme="minorHAnsi"/>
        </w:rPr>
        <w:t xml:space="preserve"> </w:t>
      </w:r>
      <w:r w:rsidRPr="00172E44">
        <w:rPr>
          <w:rFonts w:cstheme="minorHAnsi"/>
        </w:rPr>
        <w:t>a comprehensive smoke-free policy whilst staff are trying to acquire new knowledge and skills to treat tobacco dependence. We identified only one incident report which contained information about offering the patient NRT. It is</w:t>
      </w:r>
      <w:r w:rsidR="00D84E65" w:rsidRPr="00172E44">
        <w:rPr>
          <w:rFonts w:cstheme="minorHAnsi"/>
        </w:rPr>
        <w:t xml:space="preserve"> likely</w:t>
      </w:r>
      <w:r w:rsidRPr="00172E44">
        <w:rPr>
          <w:rFonts w:cstheme="minorHAnsi"/>
        </w:rPr>
        <w:t xml:space="preserve"> that this was recorded on the patient’s drug chart and not in Datixweb, </w:t>
      </w:r>
      <w:r w:rsidRPr="00172E44">
        <w:rPr>
          <w:rFonts w:cstheme="minorHAnsi"/>
          <w:noProof/>
        </w:rPr>
        <w:t>however,</w:t>
      </w:r>
      <w:r w:rsidRPr="00172E44">
        <w:rPr>
          <w:rFonts w:cstheme="minorHAnsi"/>
        </w:rPr>
        <w:t xml:space="preserve"> we did not have access to drug charts for this study.  </w:t>
      </w:r>
      <w:r w:rsidR="006B0B27" w:rsidRPr="00172E44">
        <w:rPr>
          <w:rFonts w:cstheme="minorHAnsi"/>
        </w:rPr>
        <w:t>F</w:t>
      </w:r>
      <w:r w:rsidRPr="00172E44">
        <w:rPr>
          <w:rFonts w:cstheme="minorHAnsi"/>
        </w:rPr>
        <w:t xml:space="preserve">uture research could test the associations between prescribing stop smoking medication, mental health symptoms and violent behaviour. </w:t>
      </w:r>
      <w:r w:rsidR="006343AB" w:rsidRPr="00172E44">
        <w:rPr>
          <w:rFonts w:cstheme="minorHAnsi"/>
        </w:rPr>
        <w:tab/>
      </w:r>
    </w:p>
    <w:p w14:paraId="233D41D5" w14:textId="77777777" w:rsidR="001827A6" w:rsidRPr="00172E44" w:rsidRDefault="001827A6" w:rsidP="001827A6">
      <w:pPr>
        <w:spacing w:line="480" w:lineRule="auto"/>
        <w:rPr>
          <w:rFonts w:cstheme="minorHAnsi"/>
          <w:shd w:val="clear" w:color="auto" w:fill="FFFFFF"/>
        </w:rPr>
      </w:pPr>
      <w:r w:rsidRPr="00172E44">
        <w:rPr>
          <w:rFonts w:cstheme="minorHAnsi"/>
          <w:shd w:val="clear" w:color="auto" w:fill="FFFFFF"/>
        </w:rPr>
        <w:t>We also found that time-out was frequently used to contain</w:t>
      </w:r>
      <w:r w:rsidR="009E194B" w:rsidRPr="00172E44">
        <w:rPr>
          <w:rFonts w:cstheme="minorHAnsi"/>
          <w:shd w:val="clear" w:color="auto" w:fill="FFFFFF"/>
        </w:rPr>
        <w:t xml:space="preserve"> </w:t>
      </w:r>
      <w:r w:rsidRPr="00172E44">
        <w:rPr>
          <w:rFonts w:cstheme="minorHAnsi"/>
          <w:shd w:val="clear" w:color="auto" w:fill="FFFFFF"/>
        </w:rPr>
        <w:t>violent incidents and seclusion was used in a small number of incidents. Time out is a less restrictive intervention, can be just as effective in containing violence compared with seclusion (Bowers et al. 2012</w:t>
      </w:r>
      <w:r w:rsidRPr="00172E44">
        <w:rPr>
          <w:rFonts w:cstheme="minorHAnsi"/>
          <w:shd w:val="clear" w:color="auto" w:fill="FFFFFF"/>
          <w:vertAlign w:val="superscript"/>
        </w:rPr>
        <w:t>b</w:t>
      </w:r>
      <w:r w:rsidRPr="00172E44">
        <w:rPr>
          <w:rFonts w:cstheme="minorHAnsi"/>
          <w:shd w:val="clear" w:color="auto" w:fill="FFFFFF"/>
        </w:rPr>
        <w:t xml:space="preserve">) and more acceptable to patients than more coercive and restrictive methods (Whittington et al. 2009). However, as an intervention on its own it may not be suitable if a patient is experiencing tobacco withdrawal. </w:t>
      </w:r>
    </w:p>
    <w:p w14:paraId="0013417A" w14:textId="7051E9F1" w:rsidR="001827A6" w:rsidRPr="00172E44" w:rsidRDefault="001827A6" w:rsidP="001827A6">
      <w:pPr>
        <w:spacing w:line="480" w:lineRule="auto"/>
        <w:rPr>
          <w:rFonts w:cstheme="minorHAnsi"/>
          <w:shd w:val="clear" w:color="auto" w:fill="FFFFFF"/>
        </w:rPr>
      </w:pPr>
      <w:r w:rsidRPr="00172E44">
        <w:rPr>
          <w:rFonts w:cstheme="minorHAnsi"/>
          <w:shd w:val="clear" w:color="auto" w:fill="FFFFFF"/>
        </w:rPr>
        <w:t xml:space="preserve">Preventing a situation deteriorating into </w:t>
      </w:r>
      <w:r w:rsidR="00DA6F14" w:rsidRPr="00172E44">
        <w:rPr>
          <w:rFonts w:cstheme="minorHAnsi"/>
          <w:shd w:val="clear" w:color="auto" w:fill="FFFFFF"/>
        </w:rPr>
        <w:t>violence</w:t>
      </w:r>
      <w:r w:rsidRPr="00172E44">
        <w:rPr>
          <w:rFonts w:cstheme="minorHAnsi"/>
          <w:shd w:val="clear" w:color="auto" w:fill="FFFFFF"/>
        </w:rPr>
        <w:t xml:space="preserve"> requires a competent workforce. Negotiation skills and giving autonomy to patients in other areas </w:t>
      </w:r>
      <w:r w:rsidR="00D84E65" w:rsidRPr="00172E44">
        <w:rPr>
          <w:rFonts w:cstheme="minorHAnsi"/>
          <w:shd w:val="clear" w:color="auto" w:fill="FFFFFF"/>
        </w:rPr>
        <w:t xml:space="preserve">during an inpatient stay </w:t>
      </w:r>
      <w:r w:rsidRPr="00172E44">
        <w:rPr>
          <w:rFonts w:cstheme="minorHAnsi"/>
          <w:shd w:val="clear" w:color="auto" w:fill="FFFFFF"/>
        </w:rPr>
        <w:t>might help reduce conflict or compensate for the restrictions arising from policy implementation (Bowers, 2014).  This includes ensuring that patients who smoke have access to</w:t>
      </w:r>
      <w:r w:rsidR="00656171" w:rsidRPr="00172E44">
        <w:rPr>
          <w:rFonts w:cstheme="minorHAnsi"/>
          <w:shd w:val="clear" w:color="auto" w:fill="FFFFFF"/>
        </w:rPr>
        <w:t>,</w:t>
      </w:r>
      <w:r w:rsidRPr="00172E44">
        <w:rPr>
          <w:rFonts w:cstheme="minorHAnsi"/>
          <w:shd w:val="clear" w:color="auto" w:fill="FFFFFF"/>
        </w:rPr>
        <w:t xml:space="preserve"> and fingertip control of NRT or other less harmful nicotine delivery systems such as e-cigarettes (Robson &amp; McEwen 2018). </w:t>
      </w:r>
    </w:p>
    <w:p w14:paraId="7DC3A887" w14:textId="08957C82" w:rsidR="001827A6" w:rsidRPr="00172E44" w:rsidRDefault="001827A6" w:rsidP="00F41E38">
      <w:pPr>
        <w:spacing w:line="480" w:lineRule="auto"/>
        <w:rPr>
          <w:rFonts w:cstheme="minorHAnsi"/>
        </w:rPr>
      </w:pPr>
      <w:r w:rsidRPr="00172E44">
        <w:rPr>
          <w:rFonts w:cstheme="minorHAnsi"/>
          <w:shd w:val="clear" w:color="auto" w:fill="FFFFFF"/>
        </w:rPr>
        <w:t xml:space="preserve">Our study is limited by our reliance on the </w:t>
      </w:r>
      <w:r w:rsidR="00111B1C" w:rsidRPr="00172E44">
        <w:rPr>
          <w:rFonts w:cstheme="minorHAnsi"/>
          <w:shd w:val="clear" w:color="auto" w:fill="FFFFFF"/>
        </w:rPr>
        <w:t xml:space="preserve">content and </w:t>
      </w:r>
      <w:r w:rsidRPr="00172E44">
        <w:rPr>
          <w:rFonts w:cstheme="minorHAnsi"/>
          <w:shd w:val="clear" w:color="auto" w:fill="FFFFFF"/>
        </w:rPr>
        <w:t>quality of staff reports and lack of access to clinical notes</w:t>
      </w:r>
      <w:r w:rsidR="00440618" w:rsidRPr="00172E44">
        <w:rPr>
          <w:rFonts w:cstheme="minorHAnsi"/>
          <w:shd w:val="clear" w:color="auto" w:fill="FFFFFF"/>
        </w:rPr>
        <w:t xml:space="preserve"> and drug charts</w:t>
      </w:r>
      <w:r w:rsidRPr="00172E44">
        <w:rPr>
          <w:rFonts w:cstheme="minorHAnsi"/>
          <w:shd w:val="clear" w:color="auto" w:fill="FFFFFF"/>
        </w:rPr>
        <w:t>.</w:t>
      </w:r>
      <w:r w:rsidRPr="00172E44">
        <w:rPr>
          <w:rFonts w:cstheme="minorHAnsi"/>
        </w:rPr>
        <w:t xml:space="preserve"> Additionally, other factors which are known to moderate the risk of violence such as staff behaviour (e.g. teamwork, consistency in applying the policy and role modelling) (Bowers, 2014) were not available </w:t>
      </w:r>
      <w:r w:rsidR="003B3BD9" w:rsidRPr="00172E44">
        <w:rPr>
          <w:rFonts w:cstheme="minorHAnsi"/>
        </w:rPr>
        <w:t xml:space="preserve">to us. </w:t>
      </w:r>
      <w:r w:rsidRPr="00172E44">
        <w:rPr>
          <w:rFonts w:cstheme="minorHAnsi"/>
        </w:rPr>
        <w:t>Future research would need to ascertain this information.</w:t>
      </w:r>
      <w:r w:rsidR="009E194B" w:rsidRPr="00172E44">
        <w:rPr>
          <w:rFonts w:cstheme="minorHAnsi"/>
        </w:rPr>
        <w:t xml:space="preserve"> </w:t>
      </w:r>
      <w:r w:rsidRPr="00172E44">
        <w:rPr>
          <w:rFonts w:cstheme="minorHAnsi"/>
        </w:rPr>
        <w:t>The sample are taken from one organisation during the early phase of comprehensive policy</w:t>
      </w:r>
      <w:r w:rsidR="002839AD" w:rsidRPr="00172E44">
        <w:rPr>
          <w:rFonts w:cstheme="minorHAnsi"/>
        </w:rPr>
        <w:t xml:space="preserve"> </w:t>
      </w:r>
      <w:r w:rsidR="00C52A2E" w:rsidRPr="00172E44">
        <w:rPr>
          <w:rFonts w:cstheme="minorHAnsi"/>
        </w:rPr>
        <w:t>introduction</w:t>
      </w:r>
      <w:r w:rsidRPr="00172E44">
        <w:rPr>
          <w:rFonts w:cstheme="minorHAnsi"/>
        </w:rPr>
        <w:t>, we have therefore only captured early experiences of smoking</w:t>
      </w:r>
      <w:r w:rsidR="006835BF" w:rsidRPr="00172E44">
        <w:rPr>
          <w:rFonts w:cstheme="minorHAnsi"/>
        </w:rPr>
        <w:t>-</w:t>
      </w:r>
      <w:r w:rsidRPr="00172E44">
        <w:rPr>
          <w:rFonts w:cstheme="minorHAnsi"/>
        </w:rPr>
        <w:t xml:space="preserve">related violence and its </w:t>
      </w:r>
      <w:r w:rsidR="005869AF" w:rsidRPr="00172E44">
        <w:rPr>
          <w:rFonts w:cstheme="minorHAnsi"/>
        </w:rPr>
        <w:t>containment</w:t>
      </w:r>
      <w:r w:rsidRPr="00172E44">
        <w:rPr>
          <w:rFonts w:cstheme="minorHAnsi"/>
        </w:rPr>
        <w:t xml:space="preserve"> for comprehensive smoke-free policies. </w:t>
      </w:r>
      <w:bookmarkStart w:id="10" w:name="_Hlk14768354"/>
      <w:r w:rsidR="000735B9" w:rsidRPr="00172E44">
        <w:rPr>
          <w:rFonts w:cstheme="minorHAnsi"/>
        </w:rPr>
        <w:t>Anecdotal reports from patients and staff reveal that there were inconsistencies with adherence to the comprehensive smoke-free policy in the early stages of</w:t>
      </w:r>
      <w:r w:rsidR="009E194B" w:rsidRPr="00172E44">
        <w:rPr>
          <w:rFonts w:cstheme="minorHAnsi"/>
        </w:rPr>
        <w:t xml:space="preserve"> </w:t>
      </w:r>
      <w:r w:rsidR="009928F5" w:rsidRPr="00172E44">
        <w:rPr>
          <w:rFonts w:cstheme="minorHAnsi"/>
        </w:rPr>
        <w:t>introduction</w:t>
      </w:r>
      <w:bookmarkEnd w:id="10"/>
      <w:r w:rsidR="006B0B27" w:rsidRPr="00172E44">
        <w:rPr>
          <w:rFonts w:cstheme="minorHAnsi"/>
        </w:rPr>
        <w:t xml:space="preserve">.  </w:t>
      </w:r>
      <w:r w:rsidR="00376AAE" w:rsidRPr="00172E44">
        <w:rPr>
          <w:rFonts w:cstheme="minorHAnsi"/>
        </w:rPr>
        <w:t>We know from our clinical experience within this organisation that staff have developed more confidence and competence over time to manage tobacco dependence and consistently apply the policy</w:t>
      </w:r>
      <w:r w:rsidR="009928F5" w:rsidRPr="00172E44">
        <w:rPr>
          <w:rFonts w:cstheme="minorHAnsi"/>
        </w:rPr>
        <w:t xml:space="preserve">. </w:t>
      </w:r>
    </w:p>
    <w:p w14:paraId="562540A0" w14:textId="3A80C738" w:rsidR="00F949EA" w:rsidRPr="00172E44" w:rsidRDefault="00770947" w:rsidP="00F41E38">
      <w:pPr>
        <w:spacing w:before="100" w:beforeAutospacing="1" w:after="100" w:afterAutospacing="1" w:line="480" w:lineRule="auto"/>
        <w:rPr>
          <w:rFonts w:cstheme="minorHAnsi"/>
        </w:rPr>
      </w:pPr>
      <w:r w:rsidRPr="00172E44">
        <w:rPr>
          <w:rFonts w:cstheme="minorHAnsi"/>
        </w:rPr>
        <w:t>Researchers were not blinded to pre-post categorisation of inciden</w:t>
      </w:r>
      <w:r w:rsidR="003B3BD9" w:rsidRPr="00172E44">
        <w:rPr>
          <w:rFonts w:cstheme="minorHAnsi"/>
        </w:rPr>
        <w:t>t</w:t>
      </w:r>
      <w:r w:rsidRPr="00172E44">
        <w:rPr>
          <w:rFonts w:cstheme="minorHAnsi"/>
        </w:rPr>
        <w:t xml:space="preserve"> reports because these data had already been extracted by one of the two coders from our previous study (Robson et al</w:t>
      </w:r>
      <w:r w:rsidR="009E194B" w:rsidRPr="00172E44">
        <w:rPr>
          <w:rFonts w:cstheme="minorHAnsi"/>
        </w:rPr>
        <w:t>.</w:t>
      </w:r>
      <w:r w:rsidRPr="00172E44">
        <w:rPr>
          <w:rFonts w:cstheme="minorHAnsi"/>
        </w:rPr>
        <w:t xml:space="preserve"> 2017).</w:t>
      </w:r>
      <w:r w:rsidR="002839AD" w:rsidRPr="00172E44">
        <w:rPr>
          <w:rFonts w:cstheme="minorHAnsi"/>
        </w:rPr>
        <w:t xml:space="preserve"> </w:t>
      </w:r>
      <w:r w:rsidR="00163173" w:rsidRPr="00172E44">
        <w:rPr>
          <w:rFonts w:cstheme="minorHAnsi"/>
        </w:rPr>
        <w:t>However</w:t>
      </w:r>
      <w:r w:rsidR="00E41691" w:rsidRPr="00172E44">
        <w:rPr>
          <w:rFonts w:cstheme="minorHAnsi"/>
        </w:rPr>
        <w:t xml:space="preserve">, </w:t>
      </w:r>
      <w:r w:rsidR="00533C8F" w:rsidRPr="00172E44">
        <w:rPr>
          <w:rFonts w:cstheme="minorHAnsi"/>
        </w:rPr>
        <w:t xml:space="preserve">as previously stated, two researchers coded the data </w:t>
      </w:r>
      <w:r w:rsidR="00163173" w:rsidRPr="00172E44">
        <w:rPr>
          <w:rFonts w:cstheme="minorHAnsi"/>
        </w:rPr>
        <w:t>independently</w:t>
      </w:r>
      <w:r w:rsidR="00533C8F" w:rsidRPr="00172E44">
        <w:rPr>
          <w:rFonts w:cstheme="minorHAnsi"/>
        </w:rPr>
        <w:t xml:space="preserve"> and quality checks were carried </w:t>
      </w:r>
      <w:r w:rsidR="00163173" w:rsidRPr="00172E44">
        <w:rPr>
          <w:rFonts w:cstheme="minorHAnsi"/>
        </w:rPr>
        <w:t>out.</w:t>
      </w:r>
      <w:r w:rsidR="009E194B" w:rsidRPr="00172E44">
        <w:rPr>
          <w:rFonts w:cstheme="minorHAnsi"/>
        </w:rPr>
        <w:t xml:space="preserve"> </w:t>
      </w:r>
      <w:r w:rsidR="001827A6" w:rsidRPr="00172E44">
        <w:rPr>
          <w:rFonts w:cstheme="minorHAnsi"/>
          <w:shd w:val="clear" w:color="auto" w:fill="FFFFFF"/>
        </w:rPr>
        <w:t>We found fewer incidents</w:t>
      </w:r>
      <w:r w:rsidR="002839AD" w:rsidRPr="00172E44">
        <w:rPr>
          <w:rFonts w:cstheme="minorHAnsi"/>
          <w:shd w:val="clear" w:color="auto" w:fill="FFFFFF"/>
        </w:rPr>
        <w:t xml:space="preserve"> </w:t>
      </w:r>
      <w:r w:rsidR="001827A6" w:rsidRPr="00172E44">
        <w:rPr>
          <w:rFonts w:cstheme="minorHAnsi"/>
          <w:shd w:val="clear" w:color="auto" w:fill="FFFFFF"/>
        </w:rPr>
        <w:t>of smoking-related violence during the comprehensive</w:t>
      </w:r>
      <w:r w:rsidR="00B65AFA" w:rsidRPr="00172E44">
        <w:rPr>
          <w:rFonts w:cstheme="minorHAnsi"/>
          <w:shd w:val="clear" w:color="auto" w:fill="FFFFFF"/>
        </w:rPr>
        <w:t>-</w:t>
      </w:r>
      <w:r w:rsidR="001827A6" w:rsidRPr="00172E44">
        <w:rPr>
          <w:rFonts w:cstheme="minorHAnsi"/>
          <w:shd w:val="clear" w:color="auto" w:fill="FFFFFF"/>
        </w:rPr>
        <w:t>policy period than the indoor</w:t>
      </w:r>
      <w:r w:rsidR="00B65AFA" w:rsidRPr="00172E44">
        <w:rPr>
          <w:rFonts w:cstheme="minorHAnsi"/>
          <w:shd w:val="clear" w:color="auto" w:fill="FFFFFF"/>
        </w:rPr>
        <w:t>-</w:t>
      </w:r>
      <w:r w:rsidR="001827A6" w:rsidRPr="00172E44">
        <w:rPr>
          <w:rFonts w:cstheme="minorHAnsi"/>
          <w:shd w:val="clear" w:color="auto" w:fill="FFFFFF"/>
        </w:rPr>
        <w:t>only</w:t>
      </w:r>
      <w:r w:rsidR="002839AD" w:rsidRPr="00172E44">
        <w:rPr>
          <w:rFonts w:cstheme="minorHAnsi"/>
          <w:shd w:val="clear" w:color="auto" w:fill="FFFFFF"/>
        </w:rPr>
        <w:t xml:space="preserve"> </w:t>
      </w:r>
      <w:r w:rsidR="001827A6" w:rsidRPr="00172E44">
        <w:rPr>
          <w:rFonts w:cstheme="minorHAnsi"/>
          <w:shd w:val="clear" w:color="auto" w:fill="FFFFFF"/>
        </w:rPr>
        <w:t xml:space="preserve">policy period, </w:t>
      </w:r>
      <w:r w:rsidR="003B3BD9" w:rsidRPr="00172E44">
        <w:rPr>
          <w:rFonts w:cstheme="minorHAnsi"/>
          <w:shd w:val="clear" w:color="auto" w:fill="FFFFFF"/>
        </w:rPr>
        <w:t>but</w:t>
      </w:r>
      <w:r w:rsidR="001827A6" w:rsidRPr="00172E44">
        <w:rPr>
          <w:rFonts w:cstheme="minorHAnsi"/>
          <w:shd w:val="clear" w:color="auto" w:fill="FFFFFF"/>
        </w:rPr>
        <w:t xml:space="preserve"> cannot infer causality because we have not adjusted for the </w:t>
      </w:r>
      <w:r w:rsidR="003B3BD9" w:rsidRPr="00172E44">
        <w:rPr>
          <w:rFonts w:cstheme="minorHAnsi"/>
          <w:shd w:val="clear" w:color="auto" w:fill="FFFFFF"/>
        </w:rPr>
        <w:t xml:space="preserve">inpatient </w:t>
      </w:r>
      <w:r w:rsidR="001827A6" w:rsidRPr="00172E44">
        <w:rPr>
          <w:rFonts w:cstheme="minorHAnsi"/>
          <w:shd w:val="clear" w:color="auto" w:fill="FFFFFF"/>
        </w:rPr>
        <w:t>clinical population during these two periods (Robson et al. 2017</w:t>
      </w:r>
      <w:r w:rsidR="00B478B9" w:rsidRPr="00172E44">
        <w:rPr>
          <w:rFonts w:cstheme="minorHAnsi"/>
          <w:shd w:val="clear" w:color="auto" w:fill="FFFFFF"/>
        </w:rPr>
        <w:t xml:space="preserve">; </w:t>
      </w:r>
      <w:r w:rsidR="001827A6" w:rsidRPr="00172E44">
        <w:rPr>
          <w:rFonts w:cstheme="minorHAnsi"/>
          <w:shd w:val="clear" w:color="auto" w:fill="FFFFFF"/>
        </w:rPr>
        <w:t>Spaducci et al. 201</w:t>
      </w:r>
      <w:r w:rsidR="002A76FE" w:rsidRPr="00172E44">
        <w:rPr>
          <w:rFonts w:cstheme="minorHAnsi"/>
          <w:shd w:val="clear" w:color="auto" w:fill="FFFFFF"/>
        </w:rPr>
        <w:t>8</w:t>
      </w:r>
      <w:r w:rsidR="001827A6" w:rsidRPr="00172E44">
        <w:rPr>
          <w:rFonts w:cstheme="minorHAnsi"/>
          <w:shd w:val="clear" w:color="auto" w:fill="FFFFFF"/>
        </w:rPr>
        <w:t>). Whilst this study identified the frequency of the antecedents of smoking</w:t>
      </w:r>
      <w:r w:rsidR="006835BF" w:rsidRPr="00172E44">
        <w:rPr>
          <w:rFonts w:cstheme="minorHAnsi"/>
          <w:shd w:val="clear" w:color="auto" w:fill="FFFFFF"/>
        </w:rPr>
        <w:t>-</w:t>
      </w:r>
      <w:r w:rsidR="001827A6" w:rsidRPr="00172E44">
        <w:rPr>
          <w:rFonts w:cstheme="minorHAnsi"/>
          <w:shd w:val="clear" w:color="auto" w:fill="FFFFFF"/>
        </w:rPr>
        <w:t xml:space="preserve">related violence including staff response to breaches of smoke-free policy and staff denying a patient request to smoke, we </w:t>
      </w:r>
      <w:r w:rsidR="00656171" w:rsidRPr="00172E44">
        <w:rPr>
          <w:rFonts w:cstheme="minorHAnsi"/>
          <w:shd w:val="clear" w:color="auto" w:fill="FFFFFF"/>
        </w:rPr>
        <w:t xml:space="preserve">could </w:t>
      </w:r>
      <w:r w:rsidR="001827A6" w:rsidRPr="00172E44">
        <w:rPr>
          <w:rFonts w:cstheme="minorHAnsi"/>
          <w:shd w:val="clear" w:color="auto" w:fill="FFFFFF"/>
        </w:rPr>
        <w:t>not include the number of incidents occurring within such categories that did not lead to violence</w:t>
      </w:r>
      <w:r w:rsidR="007D5907" w:rsidRPr="00172E44">
        <w:rPr>
          <w:rFonts w:cstheme="minorHAnsi"/>
          <w:shd w:val="clear" w:color="auto" w:fill="FFFFFF"/>
        </w:rPr>
        <w:t xml:space="preserve">. </w:t>
      </w:r>
      <w:r w:rsidR="002B6672" w:rsidRPr="00172E44">
        <w:rPr>
          <w:rFonts w:cstheme="minorHAnsi"/>
          <w:shd w:val="clear" w:color="auto" w:fill="FFFFFF"/>
        </w:rPr>
        <w:t>A</w:t>
      </w:r>
      <w:r w:rsidR="001827A6" w:rsidRPr="00172E44">
        <w:rPr>
          <w:rFonts w:cstheme="minorHAnsi"/>
          <w:shd w:val="clear" w:color="auto" w:fill="FFFFFF"/>
        </w:rPr>
        <w:t xml:space="preserve"> previous study by Huddlestone et al</w:t>
      </w:r>
      <w:r w:rsidR="00A25FED" w:rsidRPr="00172E44">
        <w:rPr>
          <w:rFonts w:cstheme="minorHAnsi"/>
          <w:shd w:val="clear" w:color="auto" w:fill="FFFFFF"/>
        </w:rPr>
        <w:t>.</w:t>
      </w:r>
      <w:r w:rsidR="001827A6" w:rsidRPr="00172E44">
        <w:rPr>
          <w:rFonts w:cstheme="minorHAnsi"/>
          <w:shd w:val="clear" w:color="auto" w:fill="FFFFFF"/>
        </w:rPr>
        <w:t xml:space="preserve"> (2018) compared all incidents of policy breaches separately to incidents of smoking-related violence arising </w:t>
      </w:r>
      <w:r w:rsidR="007D5907" w:rsidRPr="00172E44">
        <w:rPr>
          <w:rFonts w:cstheme="minorHAnsi"/>
          <w:shd w:val="clear" w:color="auto" w:fill="FFFFFF"/>
        </w:rPr>
        <w:t xml:space="preserve">after the </w:t>
      </w:r>
      <w:r w:rsidR="00B65AFA" w:rsidRPr="00172E44">
        <w:rPr>
          <w:rFonts w:cstheme="minorHAnsi"/>
          <w:shd w:val="clear" w:color="auto" w:fill="FFFFFF"/>
        </w:rPr>
        <w:t xml:space="preserve">comprehensive </w:t>
      </w:r>
      <w:r w:rsidR="007D5907" w:rsidRPr="00172E44">
        <w:rPr>
          <w:rFonts w:cstheme="minorHAnsi"/>
          <w:shd w:val="clear" w:color="auto" w:fill="FFFFFF"/>
        </w:rPr>
        <w:t>policy w</w:t>
      </w:r>
      <w:r w:rsidR="00F949EA" w:rsidRPr="00172E44">
        <w:rPr>
          <w:rFonts w:cstheme="minorHAnsi"/>
          <w:shd w:val="clear" w:color="auto" w:fill="FFFFFF"/>
        </w:rPr>
        <w:t>a</w:t>
      </w:r>
      <w:r w:rsidR="007D5907" w:rsidRPr="00172E44">
        <w:rPr>
          <w:rFonts w:cstheme="minorHAnsi"/>
          <w:shd w:val="clear" w:color="auto" w:fill="FFFFFF"/>
        </w:rPr>
        <w:t xml:space="preserve">s </w:t>
      </w:r>
      <w:r w:rsidR="00F949EA" w:rsidRPr="00172E44">
        <w:rPr>
          <w:rFonts w:cstheme="minorHAnsi"/>
          <w:shd w:val="clear" w:color="auto" w:fill="FFFFFF"/>
        </w:rPr>
        <w:t>implemented</w:t>
      </w:r>
      <w:r w:rsidR="00B65AFA" w:rsidRPr="00172E44">
        <w:rPr>
          <w:rFonts w:cstheme="minorHAnsi"/>
          <w:shd w:val="clear" w:color="auto" w:fill="FFFFFF"/>
        </w:rPr>
        <w:t>. They found that</w:t>
      </w:r>
      <w:r w:rsidR="001827A6" w:rsidRPr="00172E44">
        <w:rPr>
          <w:rFonts w:cstheme="minorHAnsi"/>
          <w:shd w:val="clear" w:color="auto" w:fill="FFFFFF"/>
        </w:rPr>
        <w:t xml:space="preserve"> breaches occurred at a much higher frequency in the period of a comprehensive smoke-free policy compared to the indoor-only smoke-free policy period. </w:t>
      </w:r>
      <w:r w:rsidR="00CA755F" w:rsidRPr="00172E44">
        <w:rPr>
          <w:rFonts w:cstheme="minorHAnsi"/>
          <w:shd w:val="clear" w:color="auto" w:fill="FFFFFF"/>
        </w:rPr>
        <w:t xml:space="preserve">Future research could look at comparing why some breaches lead to violence and </w:t>
      </w:r>
      <w:r w:rsidR="002B6672" w:rsidRPr="00172E44">
        <w:rPr>
          <w:rFonts w:cstheme="minorHAnsi"/>
          <w:shd w:val="clear" w:color="auto" w:fill="FFFFFF"/>
        </w:rPr>
        <w:t>others</w:t>
      </w:r>
      <w:r w:rsidR="00CA755F" w:rsidRPr="00172E44">
        <w:rPr>
          <w:rFonts w:cstheme="minorHAnsi"/>
          <w:shd w:val="clear" w:color="auto" w:fill="FFFFFF"/>
        </w:rPr>
        <w:t xml:space="preserve"> do not.</w:t>
      </w:r>
      <w:r w:rsidR="009E194B" w:rsidRPr="00172E44">
        <w:rPr>
          <w:rFonts w:cstheme="minorHAnsi"/>
          <w:shd w:val="clear" w:color="auto" w:fill="FFFFFF"/>
        </w:rPr>
        <w:t xml:space="preserve"> </w:t>
      </w:r>
      <w:r w:rsidR="0069765D" w:rsidRPr="00172E44">
        <w:rPr>
          <w:rFonts w:cstheme="minorHAnsi"/>
        </w:rPr>
        <w:t>Finally, t</w:t>
      </w:r>
      <w:r w:rsidR="001827A6" w:rsidRPr="00172E44">
        <w:rPr>
          <w:rFonts w:cstheme="minorHAnsi"/>
        </w:rPr>
        <w:t xml:space="preserve">his study was undertaken from the </w:t>
      </w:r>
      <w:r w:rsidR="00CD6236" w:rsidRPr="00172E44">
        <w:rPr>
          <w:rFonts w:cstheme="minorHAnsi"/>
        </w:rPr>
        <w:t xml:space="preserve">staff’s </w:t>
      </w:r>
      <w:r w:rsidR="001827A6" w:rsidRPr="00172E44">
        <w:rPr>
          <w:rFonts w:cstheme="minorHAnsi"/>
        </w:rPr>
        <w:t>perspective of understanding the nature of smoking-related violence. The patient’s perspective of why smoking</w:t>
      </w:r>
      <w:r w:rsidR="006835BF" w:rsidRPr="00172E44">
        <w:rPr>
          <w:rFonts w:cstheme="minorHAnsi"/>
        </w:rPr>
        <w:t>-</w:t>
      </w:r>
      <w:r w:rsidR="001827A6" w:rsidRPr="00172E44">
        <w:rPr>
          <w:rFonts w:cstheme="minorHAnsi"/>
        </w:rPr>
        <w:t>related violence occurs</w:t>
      </w:r>
      <w:r w:rsidR="00B65AFA" w:rsidRPr="00172E44">
        <w:rPr>
          <w:rFonts w:cstheme="minorHAnsi"/>
        </w:rPr>
        <w:t>,</w:t>
      </w:r>
      <w:r w:rsidR="001827A6" w:rsidRPr="00172E44">
        <w:rPr>
          <w:rFonts w:cstheme="minorHAnsi"/>
        </w:rPr>
        <w:t xml:space="preserve"> their experience of interacting with staff about </w:t>
      </w:r>
      <w:r w:rsidR="00B65AFA" w:rsidRPr="00172E44">
        <w:rPr>
          <w:rFonts w:cstheme="minorHAnsi"/>
        </w:rPr>
        <w:t xml:space="preserve">smoking </w:t>
      </w:r>
      <w:r w:rsidR="001827A6" w:rsidRPr="00172E44">
        <w:rPr>
          <w:rFonts w:cstheme="minorHAnsi"/>
        </w:rPr>
        <w:t>and their experience of the containment measures used to manage violence was not examined and is an area that could be explored in future research.</w:t>
      </w:r>
    </w:p>
    <w:p w14:paraId="6E2D0BDF" w14:textId="77777777" w:rsidR="008E20D3" w:rsidRPr="00172E44" w:rsidRDefault="008E20D3" w:rsidP="00F41E38">
      <w:pPr>
        <w:spacing w:before="100" w:beforeAutospacing="1" w:after="100" w:afterAutospacing="1" w:line="480" w:lineRule="auto"/>
        <w:rPr>
          <w:rFonts w:cstheme="minorHAnsi"/>
          <w:shd w:val="clear" w:color="auto" w:fill="FFFFFF"/>
        </w:rPr>
      </w:pPr>
    </w:p>
    <w:p w14:paraId="512D4A5E" w14:textId="77777777" w:rsidR="001827A6" w:rsidRPr="00172E44" w:rsidRDefault="001827A6" w:rsidP="00F41E38">
      <w:pPr>
        <w:spacing w:before="100" w:beforeAutospacing="1" w:after="100" w:afterAutospacing="1" w:line="480" w:lineRule="auto"/>
        <w:rPr>
          <w:rFonts w:cstheme="minorHAnsi"/>
        </w:rPr>
      </w:pPr>
      <w:r w:rsidRPr="00172E44">
        <w:rPr>
          <w:rFonts w:cstheme="minorHAnsi"/>
          <w:shd w:val="clear" w:color="auto" w:fill="FFFFFF"/>
        </w:rPr>
        <w:t>Conclusion</w:t>
      </w:r>
    </w:p>
    <w:p w14:paraId="518AE8C4" w14:textId="14377F8D" w:rsidR="001827A6" w:rsidRPr="00172E44" w:rsidRDefault="001827A6" w:rsidP="00F41E38">
      <w:pPr>
        <w:spacing w:line="480" w:lineRule="auto"/>
        <w:rPr>
          <w:rFonts w:cstheme="minorHAnsi"/>
        </w:rPr>
      </w:pPr>
      <w:r w:rsidRPr="00172E44">
        <w:rPr>
          <w:rFonts w:cstheme="minorHAnsi"/>
          <w:shd w:val="clear" w:color="auto" w:fill="FFFFFF"/>
        </w:rPr>
        <w:t>Transitioning from an indoor smoke-free policy to a comprehensive</w:t>
      </w:r>
      <w:r w:rsidR="002839AD" w:rsidRPr="00172E44">
        <w:rPr>
          <w:rFonts w:cstheme="minorHAnsi"/>
          <w:shd w:val="clear" w:color="auto" w:fill="FFFFFF"/>
        </w:rPr>
        <w:t xml:space="preserve"> </w:t>
      </w:r>
      <w:r w:rsidRPr="00172E44">
        <w:rPr>
          <w:rFonts w:cstheme="minorHAnsi"/>
          <w:shd w:val="clear" w:color="auto" w:fill="FFFFFF"/>
        </w:rPr>
        <w:t xml:space="preserve">policy in </w:t>
      </w:r>
      <w:r w:rsidR="00111B1C" w:rsidRPr="00172E44">
        <w:rPr>
          <w:rFonts w:cstheme="minorHAnsi"/>
          <w:shd w:val="clear" w:color="auto" w:fill="FFFFFF"/>
        </w:rPr>
        <w:t>one</w:t>
      </w:r>
      <w:r w:rsidR="002839AD" w:rsidRPr="00172E44">
        <w:rPr>
          <w:rFonts w:cstheme="minorHAnsi"/>
          <w:shd w:val="clear" w:color="auto" w:fill="FFFFFF"/>
        </w:rPr>
        <w:t xml:space="preserve"> </w:t>
      </w:r>
      <w:r w:rsidRPr="00172E44">
        <w:rPr>
          <w:rFonts w:cstheme="minorHAnsi"/>
          <w:shd w:val="clear" w:color="auto" w:fill="FFFFFF"/>
        </w:rPr>
        <w:t xml:space="preserve">mental health </w:t>
      </w:r>
      <w:r w:rsidR="00111B1C" w:rsidRPr="00172E44">
        <w:rPr>
          <w:rFonts w:cstheme="minorHAnsi"/>
          <w:shd w:val="clear" w:color="auto" w:fill="FFFFFF"/>
        </w:rPr>
        <w:t>organisation</w:t>
      </w:r>
      <w:r w:rsidR="002839AD" w:rsidRPr="00172E44">
        <w:rPr>
          <w:rFonts w:cstheme="minorHAnsi"/>
          <w:shd w:val="clear" w:color="auto" w:fill="FFFFFF"/>
        </w:rPr>
        <w:t xml:space="preserve"> </w:t>
      </w:r>
      <w:r w:rsidRPr="00172E44">
        <w:rPr>
          <w:rFonts w:cstheme="minorHAnsi"/>
          <w:shd w:val="clear" w:color="auto" w:fill="FFFFFF"/>
        </w:rPr>
        <w:t>change</w:t>
      </w:r>
      <w:r w:rsidR="00656171" w:rsidRPr="00172E44">
        <w:rPr>
          <w:rFonts w:cstheme="minorHAnsi"/>
          <w:shd w:val="clear" w:color="auto" w:fill="FFFFFF"/>
        </w:rPr>
        <w:t>d</w:t>
      </w:r>
      <w:r w:rsidRPr="00172E44">
        <w:rPr>
          <w:rFonts w:cstheme="minorHAnsi"/>
          <w:shd w:val="clear" w:color="auto" w:fill="FFFFFF"/>
        </w:rPr>
        <w:t xml:space="preserve"> the pattern of the antecedents of physical violence related to smoking</w:t>
      </w:r>
      <w:r w:rsidR="00686133" w:rsidRPr="00172E44">
        <w:rPr>
          <w:rFonts w:cstheme="minorHAnsi"/>
          <w:shd w:val="clear" w:color="auto" w:fill="FFFFFF"/>
        </w:rPr>
        <w:t xml:space="preserve">, </w:t>
      </w:r>
      <w:r w:rsidR="009719C3" w:rsidRPr="00172E44">
        <w:rPr>
          <w:rFonts w:cstheme="minorHAnsi"/>
          <w:shd w:val="clear" w:color="auto" w:fill="FFFFFF"/>
        </w:rPr>
        <w:t xml:space="preserve">with fewer incidents of denying a patient’s request to smoke and a greater number of incidents involving staff responding to breaches occurring after the </w:t>
      </w:r>
      <w:r w:rsidR="00CF7C3B" w:rsidRPr="00172E44">
        <w:rPr>
          <w:rFonts w:cstheme="minorHAnsi"/>
          <w:shd w:val="clear" w:color="auto" w:fill="FFFFFF"/>
        </w:rPr>
        <w:t>introduction</w:t>
      </w:r>
      <w:r w:rsidR="009719C3" w:rsidRPr="00172E44">
        <w:rPr>
          <w:rFonts w:cstheme="minorHAnsi"/>
          <w:shd w:val="clear" w:color="auto" w:fill="FFFFFF"/>
        </w:rPr>
        <w:t xml:space="preserve"> of the comprehensive smoke-free policy. T</w:t>
      </w:r>
      <w:r w:rsidR="00686133" w:rsidRPr="00172E44">
        <w:rPr>
          <w:rFonts w:cstheme="minorHAnsi"/>
          <w:shd w:val="clear" w:color="auto" w:fill="FFFFFF"/>
        </w:rPr>
        <w:t xml:space="preserve">he prohibition of smoking breaks </w:t>
      </w:r>
      <w:r w:rsidR="009719C3" w:rsidRPr="00172E44">
        <w:rPr>
          <w:rFonts w:cstheme="minorHAnsi"/>
          <w:shd w:val="clear" w:color="auto" w:fill="FFFFFF"/>
        </w:rPr>
        <w:t xml:space="preserve">also </w:t>
      </w:r>
      <w:r w:rsidR="00686133" w:rsidRPr="00172E44">
        <w:rPr>
          <w:rFonts w:cstheme="minorHAnsi"/>
          <w:shd w:val="clear" w:color="auto" w:fill="FFFFFF"/>
        </w:rPr>
        <w:t>potentially remov</w:t>
      </w:r>
      <w:r w:rsidR="009719C3" w:rsidRPr="00172E44">
        <w:rPr>
          <w:rFonts w:cstheme="minorHAnsi"/>
          <w:shd w:val="clear" w:color="auto" w:fill="FFFFFF"/>
        </w:rPr>
        <w:t>ed</w:t>
      </w:r>
      <w:r w:rsidR="00686133" w:rsidRPr="00172E44">
        <w:rPr>
          <w:rFonts w:cstheme="minorHAnsi"/>
          <w:shd w:val="clear" w:color="auto" w:fill="FFFFFF"/>
        </w:rPr>
        <w:t xml:space="preserve"> a source of violence</w:t>
      </w:r>
      <w:r w:rsidRPr="00172E44">
        <w:rPr>
          <w:rFonts w:cstheme="minorHAnsi"/>
          <w:shd w:val="clear" w:color="auto" w:fill="FFFFFF"/>
        </w:rPr>
        <w:t>.</w:t>
      </w:r>
      <w:r w:rsidR="009E194B" w:rsidRPr="00172E44">
        <w:rPr>
          <w:rFonts w:cstheme="minorHAnsi"/>
          <w:shd w:val="clear" w:color="auto" w:fill="FFFFFF"/>
        </w:rPr>
        <w:t xml:space="preserve"> </w:t>
      </w:r>
      <w:r w:rsidRPr="00172E44">
        <w:rPr>
          <w:rFonts w:cstheme="minorHAnsi"/>
          <w:shd w:val="clear" w:color="auto" w:fill="FFFFFF"/>
        </w:rPr>
        <w:t xml:space="preserve">Recognising the triggers to smoking-related violence is an essential first step to prevent and manage potential violence without recourse to containment interventions. </w:t>
      </w:r>
    </w:p>
    <w:p w14:paraId="59108144" w14:textId="77777777" w:rsidR="00F41E38" w:rsidRPr="00172E44" w:rsidRDefault="00F41E38" w:rsidP="00F41E38">
      <w:pPr>
        <w:spacing w:line="480" w:lineRule="auto"/>
        <w:rPr>
          <w:shd w:val="clear" w:color="auto" w:fill="FFFFFF"/>
        </w:rPr>
      </w:pPr>
    </w:p>
    <w:p w14:paraId="693BF447" w14:textId="77777777" w:rsidR="001827A6" w:rsidRPr="00172E44" w:rsidRDefault="001827A6" w:rsidP="00F41E38">
      <w:pPr>
        <w:spacing w:line="480" w:lineRule="auto"/>
        <w:rPr>
          <w:shd w:val="clear" w:color="auto" w:fill="FFFFFF"/>
        </w:rPr>
      </w:pPr>
      <w:r w:rsidRPr="00172E44">
        <w:rPr>
          <w:shd w:val="clear" w:color="auto" w:fill="FFFFFF"/>
        </w:rPr>
        <w:t>Relevance for clinical practice</w:t>
      </w:r>
    </w:p>
    <w:p w14:paraId="3C173B2F" w14:textId="1F7EB5B4" w:rsidR="00457439" w:rsidRPr="00172E44" w:rsidRDefault="00B65AFA">
      <w:pPr>
        <w:spacing w:line="480" w:lineRule="auto"/>
        <w:rPr>
          <w:shd w:val="clear" w:color="auto" w:fill="FFFFFF"/>
        </w:rPr>
      </w:pPr>
      <w:r w:rsidRPr="00172E44">
        <w:rPr>
          <w:shd w:val="clear" w:color="auto" w:fill="FFFFFF"/>
        </w:rPr>
        <w:t>D</w:t>
      </w:r>
      <w:r w:rsidR="002E55E0" w:rsidRPr="00172E44">
        <w:rPr>
          <w:shd w:val="clear" w:color="auto" w:fill="FFFFFF"/>
        </w:rPr>
        <w:t xml:space="preserve">etailed guidance for staff about how to </w:t>
      </w:r>
      <w:r w:rsidR="003B3BD9" w:rsidRPr="00172E44">
        <w:rPr>
          <w:shd w:val="clear" w:color="auto" w:fill="FFFFFF"/>
        </w:rPr>
        <w:t xml:space="preserve">prevent </w:t>
      </w:r>
      <w:r w:rsidR="0075631A" w:rsidRPr="00172E44">
        <w:rPr>
          <w:shd w:val="clear" w:color="auto" w:fill="FFFFFF"/>
        </w:rPr>
        <w:t xml:space="preserve">or contain </w:t>
      </w:r>
      <w:r w:rsidR="002E55E0" w:rsidRPr="00172E44">
        <w:rPr>
          <w:shd w:val="clear" w:color="auto" w:fill="FFFFFF"/>
        </w:rPr>
        <w:t xml:space="preserve">smoking-related </w:t>
      </w:r>
      <w:r w:rsidR="0075631A" w:rsidRPr="00172E44">
        <w:rPr>
          <w:shd w:val="clear" w:color="auto" w:fill="FFFFFF"/>
        </w:rPr>
        <w:t>violence</w:t>
      </w:r>
      <w:r w:rsidR="002E55E0" w:rsidRPr="00172E44">
        <w:rPr>
          <w:shd w:val="clear" w:color="auto" w:fill="FFFFFF"/>
        </w:rPr>
        <w:t xml:space="preserve"> should be included in </w:t>
      </w:r>
      <w:r w:rsidRPr="00172E44">
        <w:rPr>
          <w:shd w:val="clear" w:color="auto" w:fill="FFFFFF"/>
        </w:rPr>
        <w:t>hospital</w:t>
      </w:r>
      <w:r w:rsidR="0075631A" w:rsidRPr="00172E44">
        <w:rPr>
          <w:shd w:val="clear" w:color="auto" w:fill="FFFFFF"/>
        </w:rPr>
        <w:t xml:space="preserve"> s</w:t>
      </w:r>
      <w:r w:rsidR="001827A6" w:rsidRPr="00172E44">
        <w:rPr>
          <w:shd w:val="clear" w:color="auto" w:fill="FFFFFF"/>
        </w:rPr>
        <w:t>moke-free policies</w:t>
      </w:r>
      <w:r w:rsidR="002839AD" w:rsidRPr="00172E44">
        <w:rPr>
          <w:shd w:val="clear" w:color="auto" w:fill="FFFFFF"/>
        </w:rPr>
        <w:t xml:space="preserve"> </w:t>
      </w:r>
      <w:r w:rsidR="004E701F" w:rsidRPr="00172E44">
        <w:rPr>
          <w:shd w:val="clear" w:color="auto" w:fill="FFFFFF"/>
        </w:rPr>
        <w:t xml:space="preserve">and in </w:t>
      </w:r>
      <w:r w:rsidR="0075631A" w:rsidRPr="00172E44">
        <w:rPr>
          <w:shd w:val="clear" w:color="auto" w:fill="FFFFFF"/>
        </w:rPr>
        <w:t>prevention and management of violence polices.</w:t>
      </w:r>
      <w:r w:rsidR="009E194B" w:rsidRPr="00172E44">
        <w:rPr>
          <w:shd w:val="clear" w:color="auto" w:fill="FFFFFF"/>
        </w:rPr>
        <w:t xml:space="preserve"> </w:t>
      </w:r>
      <w:r w:rsidR="0075631A" w:rsidRPr="00172E44">
        <w:rPr>
          <w:shd w:val="clear" w:color="auto" w:fill="FFFFFF"/>
        </w:rPr>
        <w:t>This</w:t>
      </w:r>
      <w:r w:rsidR="001827A6" w:rsidRPr="00172E44">
        <w:rPr>
          <w:shd w:val="clear" w:color="auto" w:fill="FFFFFF"/>
        </w:rPr>
        <w:t xml:space="preserve"> should include guidance for staff about how to respond </w:t>
      </w:r>
      <w:r w:rsidR="0075631A" w:rsidRPr="00172E44">
        <w:rPr>
          <w:shd w:val="clear" w:color="auto" w:fill="FFFFFF"/>
        </w:rPr>
        <w:t xml:space="preserve">therapeutically and compassionately </w:t>
      </w:r>
      <w:r w:rsidR="001827A6" w:rsidRPr="00172E44">
        <w:rPr>
          <w:shd w:val="clear" w:color="auto" w:fill="FFFFFF"/>
        </w:rPr>
        <w:t>to patient requests to smoke</w:t>
      </w:r>
      <w:r w:rsidR="0075631A" w:rsidRPr="00172E44">
        <w:rPr>
          <w:shd w:val="clear" w:color="auto" w:fill="FFFFFF"/>
        </w:rPr>
        <w:t xml:space="preserve"> or when a policy breach occurs. C</w:t>
      </w:r>
      <w:r w:rsidR="001827A6" w:rsidRPr="00172E44">
        <w:rPr>
          <w:shd w:val="clear" w:color="auto" w:fill="FFFFFF"/>
        </w:rPr>
        <w:t>ompensa</w:t>
      </w:r>
      <w:r w:rsidR="0075631A" w:rsidRPr="00172E44">
        <w:rPr>
          <w:shd w:val="clear" w:color="auto" w:fill="FFFFFF"/>
        </w:rPr>
        <w:t>ting</w:t>
      </w:r>
      <w:r w:rsidR="001827A6" w:rsidRPr="00172E44">
        <w:rPr>
          <w:shd w:val="clear" w:color="auto" w:fill="FFFFFF"/>
        </w:rPr>
        <w:t xml:space="preserve"> for the restrictions on smoking</w:t>
      </w:r>
      <w:r w:rsidR="0075631A" w:rsidRPr="00172E44">
        <w:rPr>
          <w:shd w:val="clear" w:color="auto" w:fill="FFFFFF"/>
        </w:rPr>
        <w:t xml:space="preserve"> such as giving patients</w:t>
      </w:r>
      <w:r w:rsidR="001827A6" w:rsidRPr="00172E44">
        <w:rPr>
          <w:shd w:val="clear" w:color="auto" w:fill="FFFFFF"/>
        </w:rPr>
        <w:t xml:space="preserve"> more </w:t>
      </w:r>
      <w:r w:rsidR="0075631A" w:rsidRPr="00172E44">
        <w:rPr>
          <w:shd w:val="clear" w:color="auto" w:fill="FFFFFF"/>
        </w:rPr>
        <w:t xml:space="preserve">autonomy </w:t>
      </w:r>
      <w:r w:rsidR="001827A6" w:rsidRPr="00172E44">
        <w:rPr>
          <w:shd w:val="clear" w:color="auto" w:fill="FFFFFF"/>
        </w:rPr>
        <w:t>in other areas of their care (Bowers et al</w:t>
      </w:r>
      <w:r w:rsidR="003C0731" w:rsidRPr="00172E44">
        <w:rPr>
          <w:shd w:val="clear" w:color="auto" w:fill="FFFFFF"/>
        </w:rPr>
        <w:t>.</w:t>
      </w:r>
      <w:r w:rsidR="001827A6" w:rsidRPr="00172E44">
        <w:rPr>
          <w:shd w:val="clear" w:color="auto" w:fill="FFFFFF"/>
        </w:rPr>
        <w:t xml:space="preserve"> 2014)</w:t>
      </w:r>
      <w:r w:rsidR="0075631A" w:rsidRPr="00172E44">
        <w:rPr>
          <w:shd w:val="clear" w:color="auto" w:fill="FFFFFF"/>
        </w:rPr>
        <w:t xml:space="preserve"> may also minimise conflict</w:t>
      </w:r>
      <w:r w:rsidR="001827A6" w:rsidRPr="00172E44">
        <w:rPr>
          <w:shd w:val="clear" w:color="auto" w:fill="FFFFFF"/>
        </w:rPr>
        <w:t xml:space="preserve">. Education and training </w:t>
      </w:r>
      <w:r w:rsidR="0075631A" w:rsidRPr="00172E44">
        <w:rPr>
          <w:shd w:val="clear" w:color="auto" w:fill="FFFFFF"/>
        </w:rPr>
        <w:t xml:space="preserve">to enable </w:t>
      </w:r>
      <w:r w:rsidR="001827A6" w:rsidRPr="00172E44">
        <w:rPr>
          <w:shd w:val="clear" w:color="auto" w:fill="FFFFFF"/>
        </w:rPr>
        <w:t xml:space="preserve">staff </w:t>
      </w:r>
      <w:r w:rsidR="0075631A" w:rsidRPr="00172E44">
        <w:rPr>
          <w:shd w:val="clear" w:color="auto" w:fill="FFFFFF"/>
        </w:rPr>
        <w:t xml:space="preserve">to </w:t>
      </w:r>
      <w:r w:rsidR="001827A6" w:rsidRPr="00172E44">
        <w:rPr>
          <w:shd w:val="clear" w:color="auto" w:fill="FFFFFF"/>
        </w:rPr>
        <w:t>routinely and repeatedly offer NRT or ensure e-cigarettes are accessible and used correctly is also necessary, so that staff prevent and treat tobacco withdrawal rather than use sedating medication</w:t>
      </w:r>
      <w:r w:rsidR="00F949EA" w:rsidRPr="00172E44">
        <w:rPr>
          <w:shd w:val="clear" w:color="auto" w:fill="FFFFFF"/>
        </w:rPr>
        <w:t>.</w:t>
      </w:r>
    </w:p>
    <w:p w14:paraId="6246496C" w14:textId="77777777" w:rsidR="00425E64" w:rsidRPr="00172E44" w:rsidRDefault="00457439" w:rsidP="00457439">
      <w:pPr>
        <w:rPr>
          <w:shd w:val="clear" w:color="auto" w:fill="FFFFFF"/>
        </w:rPr>
      </w:pPr>
      <w:r w:rsidRPr="00172E44">
        <w:rPr>
          <w:shd w:val="clear" w:color="auto" w:fill="FFFFFF"/>
        </w:rPr>
        <w:br w:type="page"/>
      </w:r>
      <w:bookmarkEnd w:id="9"/>
      <w:r w:rsidR="00425E64" w:rsidRPr="00172E44">
        <w:t>References</w:t>
      </w:r>
    </w:p>
    <w:p w14:paraId="3D7B9BC9" w14:textId="232181BD" w:rsidR="008A3C9B" w:rsidRPr="00172E44" w:rsidRDefault="008A3C9B" w:rsidP="00F06C3B">
      <w:pPr>
        <w:spacing w:line="480" w:lineRule="auto"/>
        <w:ind w:left="720" w:hanging="720"/>
      </w:pPr>
      <w:r w:rsidRPr="00172E44">
        <w:t xml:space="preserve">Arnott, D., Wessely, S. and Fitzpatrick, M. (2015). Should psychiatric hospitals completely ban smoking? </w:t>
      </w:r>
      <w:r w:rsidR="00447AB6" w:rsidRPr="00172E44">
        <w:rPr>
          <w:i/>
        </w:rPr>
        <w:t xml:space="preserve">The BMJ, </w:t>
      </w:r>
      <w:r w:rsidR="00447AB6" w:rsidRPr="00172E44">
        <w:t xml:space="preserve">351, h5654.  </w:t>
      </w:r>
    </w:p>
    <w:p w14:paraId="4A1448E8" w14:textId="77777777" w:rsidR="00D07D96" w:rsidRPr="00172E44" w:rsidRDefault="00425E64" w:rsidP="00D07D96">
      <w:pPr>
        <w:spacing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Bowers, L. </w:t>
      </w:r>
      <w:r w:rsidR="00E55E44" w:rsidRPr="00172E44">
        <w:rPr>
          <w:rFonts w:cstheme="minorHAnsi"/>
          <w:color w:val="222222"/>
          <w:shd w:val="clear" w:color="auto" w:fill="FFFFFF"/>
        </w:rPr>
        <w:t>(</w:t>
      </w:r>
      <w:r w:rsidRPr="00172E44">
        <w:rPr>
          <w:rFonts w:cstheme="minorHAnsi"/>
          <w:color w:val="222222"/>
          <w:shd w:val="clear" w:color="auto" w:fill="FFFFFF"/>
        </w:rPr>
        <w:t>2014</w:t>
      </w:r>
      <w:r w:rsidR="00E55E44" w:rsidRPr="00172E44">
        <w:rPr>
          <w:rFonts w:cstheme="minorHAnsi"/>
          <w:color w:val="222222"/>
          <w:shd w:val="clear" w:color="auto" w:fill="FFFFFF"/>
        </w:rPr>
        <w:t>)</w:t>
      </w:r>
      <w:r w:rsidRPr="00172E44">
        <w:rPr>
          <w:rFonts w:cstheme="minorHAnsi"/>
          <w:color w:val="222222"/>
          <w:shd w:val="clear" w:color="auto" w:fill="FFFFFF"/>
        </w:rPr>
        <w:t>. Safewards: a new model of conflict and containment on psychiatric wards. </w:t>
      </w:r>
      <w:r w:rsidRPr="00172E44">
        <w:rPr>
          <w:rFonts w:cstheme="minorHAnsi"/>
          <w:i/>
          <w:iCs/>
          <w:color w:val="222222"/>
          <w:shd w:val="clear" w:color="auto" w:fill="FFFFFF"/>
        </w:rPr>
        <w:t>Journal of psychiatric and mental health nursing</w:t>
      </w:r>
      <w:r w:rsidRPr="00172E44">
        <w:rPr>
          <w:rFonts w:cstheme="minorHAnsi"/>
          <w:color w:val="222222"/>
          <w:shd w:val="clear" w:color="auto" w:fill="FFFFFF"/>
        </w:rPr>
        <w:t>, </w:t>
      </w:r>
      <w:r w:rsidRPr="00172E44">
        <w:rPr>
          <w:rFonts w:cstheme="minorHAnsi"/>
          <w:i/>
          <w:iCs/>
          <w:color w:val="222222"/>
          <w:shd w:val="clear" w:color="auto" w:fill="FFFFFF"/>
        </w:rPr>
        <w:t>21</w:t>
      </w:r>
      <w:r w:rsidRPr="00172E44">
        <w:rPr>
          <w:rFonts w:cstheme="minorHAnsi"/>
          <w:color w:val="222222"/>
          <w:shd w:val="clear" w:color="auto" w:fill="FFFFFF"/>
        </w:rPr>
        <w:t>(6), 499-508.</w:t>
      </w:r>
    </w:p>
    <w:p w14:paraId="073DD2C9" w14:textId="77777777" w:rsidR="00425E64" w:rsidRPr="00172E44" w:rsidRDefault="00425E64" w:rsidP="00D07D96">
      <w:pPr>
        <w:spacing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Bowers, L., Alexander, J., Simpson, A., Ryan, C. and Carr-Walker, P. </w:t>
      </w:r>
      <w:r w:rsidR="00105BDD" w:rsidRPr="00172E44">
        <w:rPr>
          <w:rFonts w:cstheme="minorHAnsi"/>
          <w:color w:val="222222"/>
          <w:shd w:val="clear" w:color="auto" w:fill="FFFFFF"/>
        </w:rPr>
        <w:t>(</w:t>
      </w:r>
      <w:r w:rsidRPr="00172E44">
        <w:rPr>
          <w:rFonts w:cstheme="minorHAnsi"/>
          <w:color w:val="222222"/>
          <w:shd w:val="clear" w:color="auto" w:fill="FFFFFF"/>
        </w:rPr>
        <w:t>2004</w:t>
      </w:r>
      <w:r w:rsidR="00105BDD" w:rsidRPr="00172E44">
        <w:rPr>
          <w:rFonts w:cstheme="minorHAnsi"/>
          <w:color w:val="222222"/>
          <w:shd w:val="clear" w:color="auto" w:fill="FFFFFF"/>
        </w:rPr>
        <w:t>)</w:t>
      </w:r>
      <w:r w:rsidRPr="00172E44">
        <w:rPr>
          <w:rFonts w:cstheme="minorHAnsi"/>
          <w:color w:val="222222"/>
          <w:shd w:val="clear" w:color="auto" w:fill="FFFFFF"/>
        </w:rPr>
        <w:t>. Cultures of psychiatry and the professional socialization process: the case of containment methods for disturbed patients. </w:t>
      </w:r>
      <w:r w:rsidRPr="00172E44">
        <w:rPr>
          <w:rFonts w:cstheme="minorHAnsi"/>
          <w:i/>
          <w:iCs/>
          <w:color w:val="222222"/>
          <w:shd w:val="clear" w:color="auto" w:fill="FFFFFF"/>
        </w:rPr>
        <w:t>Nurse Education Today</w:t>
      </w:r>
      <w:r w:rsidRPr="00172E44">
        <w:rPr>
          <w:rFonts w:cstheme="minorHAnsi"/>
          <w:color w:val="222222"/>
          <w:shd w:val="clear" w:color="auto" w:fill="FFFFFF"/>
        </w:rPr>
        <w:t>, </w:t>
      </w:r>
      <w:r w:rsidRPr="00172E44">
        <w:rPr>
          <w:rFonts w:cstheme="minorHAnsi"/>
          <w:i/>
          <w:iCs/>
          <w:color w:val="222222"/>
          <w:shd w:val="clear" w:color="auto" w:fill="FFFFFF"/>
        </w:rPr>
        <w:t>24</w:t>
      </w:r>
      <w:r w:rsidRPr="00172E44">
        <w:rPr>
          <w:rFonts w:cstheme="minorHAnsi"/>
          <w:color w:val="222222"/>
          <w:shd w:val="clear" w:color="auto" w:fill="FFFFFF"/>
        </w:rPr>
        <w:t>(6), 435-442.</w:t>
      </w:r>
    </w:p>
    <w:p w14:paraId="69CC2F13" w14:textId="77777777" w:rsidR="00C33E8B" w:rsidRPr="00172E44" w:rsidRDefault="00C33E8B"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Bowers, L., Van Der Merwe, M., Paterson, B. &amp; Stewart, D. </w:t>
      </w:r>
      <w:r w:rsidR="00105BDD" w:rsidRPr="00172E44">
        <w:rPr>
          <w:rFonts w:asciiTheme="minorHAnsi" w:hAnsiTheme="minorHAnsi" w:cstheme="minorHAnsi"/>
        </w:rPr>
        <w:t>(</w:t>
      </w:r>
      <w:r w:rsidRPr="00172E44">
        <w:rPr>
          <w:rFonts w:asciiTheme="minorHAnsi" w:hAnsiTheme="minorHAnsi" w:cstheme="minorHAnsi"/>
        </w:rPr>
        <w:t>2012</w:t>
      </w:r>
      <w:r w:rsidR="00105BDD" w:rsidRPr="00172E44">
        <w:rPr>
          <w:rFonts w:asciiTheme="minorHAnsi" w:hAnsiTheme="minorHAnsi" w:cstheme="minorHAnsi"/>
        </w:rPr>
        <w:t>)</w:t>
      </w:r>
      <w:r w:rsidR="00D07D96" w:rsidRPr="00172E44">
        <w:rPr>
          <w:rFonts w:asciiTheme="minorHAnsi" w:hAnsiTheme="minorHAnsi" w:cstheme="minorHAnsi"/>
          <w:vertAlign w:val="superscript"/>
        </w:rPr>
        <w:t>a</w:t>
      </w:r>
      <w:r w:rsidRPr="00172E44">
        <w:rPr>
          <w:rFonts w:asciiTheme="minorHAnsi" w:hAnsiTheme="minorHAnsi" w:cstheme="minorHAnsi"/>
        </w:rPr>
        <w:t xml:space="preserve">. Manual restraint and shows of force: The City‐128 study. </w:t>
      </w:r>
      <w:r w:rsidRPr="00172E44">
        <w:rPr>
          <w:rFonts w:asciiTheme="minorHAnsi" w:hAnsiTheme="minorHAnsi" w:cstheme="minorHAnsi"/>
          <w:i/>
        </w:rPr>
        <w:t>International Journal of Mental Health Nursing,</w:t>
      </w:r>
      <w:r w:rsidRPr="00172E44">
        <w:rPr>
          <w:rFonts w:asciiTheme="minorHAnsi" w:hAnsiTheme="minorHAnsi" w:cstheme="minorHAnsi"/>
        </w:rPr>
        <w:t xml:space="preserve"> 21, 30-40.</w:t>
      </w:r>
    </w:p>
    <w:p w14:paraId="5936E5BC" w14:textId="77777777" w:rsidR="00D07D96" w:rsidRPr="00172E44" w:rsidRDefault="00D07D96" w:rsidP="00D07D96">
      <w:pPr>
        <w:spacing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Bowers, L., Ross, J., Nijman, H., Muir‐Cochrane, E., Noorthoorn, E. and Stewart, D. </w:t>
      </w:r>
      <w:r w:rsidR="00105BDD" w:rsidRPr="00172E44">
        <w:rPr>
          <w:rFonts w:cstheme="minorHAnsi"/>
          <w:color w:val="222222"/>
          <w:shd w:val="clear" w:color="auto" w:fill="FFFFFF"/>
        </w:rPr>
        <w:t>(</w:t>
      </w:r>
      <w:r w:rsidRPr="00172E44">
        <w:rPr>
          <w:rFonts w:cstheme="minorHAnsi"/>
          <w:color w:val="222222"/>
          <w:shd w:val="clear" w:color="auto" w:fill="FFFFFF"/>
        </w:rPr>
        <w:t>2012</w:t>
      </w:r>
      <w:r w:rsidR="00105BDD" w:rsidRPr="00172E44">
        <w:rPr>
          <w:rFonts w:cstheme="minorHAnsi"/>
          <w:color w:val="222222"/>
          <w:shd w:val="clear" w:color="auto" w:fill="FFFFFF"/>
        </w:rPr>
        <w:t>)</w:t>
      </w:r>
      <w:r w:rsidRPr="00172E44">
        <w:rPr>
          <w:rFonts w:cstheme="minorHAnsi"/>
          <w:color w:val="222222"/>
          <w:shd w:val="clear" w:color="auto" w:fill="FFFFFF"/>
          <w:vertAlign w:val="superscript"/>
        </w:rPr>
        <w:t>b</w:t>
      </w:r>
      <w:r w:rsidRPr="00172E44">
        <w:rPr>
          <w:rFonts w:cstheme="minorHAnsi"/>
          <w:color w:val="222222"/>
          <w:shd w:val="clear" w:color="auto" w:fill="FFFFFF"/>
        </w:rPr>
        <w:t>. The scope for replacing seclusion with time out in acute inpatient psychiatry in England. </w:t>
      </w:r>
      <w:r w:rsidRPr="00172E44">
        <w:rPr>
          <w:rFonts w:cstheme="minorHAnsi"/>
          <w:i/>
          <w:iCs/>
          <w:color w:val="222222"/>
          <w:shd w:val="clear" w:color="auto" w:fill="FFFFFF"/>
        </w:rPr>
        <w:t>Journal of advanced nursing</w:t>
      </w:r>
      <w:r w:rsidRPr="00172E44">
        <w:rPr>
          <w:rFonts w:cstheme="minorHAnsi"/>
          <w:color w:val="222222"/>
          <w:shd w:val="clear" w:color="auto" w:fill="FFFFFF"/>
        </w:rPr>
        <w:t>, </w:t>
      </w:r>
      <w:r w:rsidRPr="00172E44">
        <w:rPr>
          <w:rFonts w:cstheme="minorHAnsi"/>
          <w:i/>
          <w:iCs/>
          <w:color w:val="222222"/>
          <w:shd w:val="clear" w:color="auto" w:fill="FFFFFF"/>
        </w:rPr>
        <w:t>68</w:t>
      </w:r>
      <w:r w:rsidRPr="00172E44">
        <w:rPr>
          <w:rFonts w:cstheme="minorHAnsi"/>
          <w:color w:val="222222"/>
          <w:shd w:val="clear" w:color="auto" w:fill="FFFFFF"/>
        </w:rPr>
        <w:t>(4), 826-835.</w:t>
      </w:r>
    </w:p>
    <w:p w14:paraId="2A18447A" w14:textId="77777777" w:rsidR="0032492C" w:rsidRPr="00172E44" w:rsidRDefault="00F73AFB"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Campion, J., Lawn, S., Brownlie, A., Hunter, E., Gynther, B. &amp; Pols, R. </w:t>
      </w:r>
      <w:r w:rsidR="00105BDD" w:rsidRPr="00172E44">
        <w:rPr>
          <w:rFonts w:asciiTheme="minorHAnsi" w:hAnsiTheme="minorHAnsi" w:cstheme="minorHAnsi"/>
        </w:rPr>
        <w:t>(</w:t>
      </w:r>
      <w:r w:rsidRPr="00172E44">
        <w:rPr>
          <w:rFonts w:asciiTheme="minorHAnsi" w:hAnsiTheme="minorHAnsi" w:cstheme="minorHAnsi"/>
        </w:rPr>
        <w:t>2008</w:t>
      </w:r>
      <w:r w:rsidR="00105BDD" w:rsidRPr="00172E44">
        <w:rPr>
          <w:rFonts w:asciiTheme="minorHAnsi" w:hAnsiTheme="minorHAnsi" w:cstheme="minorHAnsi"/>
        </w:rPr>
        <w:t>)</w:t>
      </w:r>
      <w:r w:rsidRPr="00172E44">
        <w:rPr>
          <w:rFonts w:asciiTheme="minorHAnsi" w:hAnsiTheme="minorHAnsi" w:cstheme="minorHAnsi"/>
        </w:rPr>
        <w:t xml:space="preserve">. Implementing smoke-free policies in mental health inpatient units: learning from unsuccessful experience. </w:t>
      </w:r>
      <w:r w:rsidRPr="00172E44">
        <w:rPr>
          <w:rFonts w:asciiTheme="minorHAnsi" w:hAnsiTheme="minorHAnsi" w:cstheme="minorHAnsi"/>
          <w:i/>
        </w:rPr>
        <w:t>Australasian Psychiatry,</w:t>
      </w:r>
      <w:r w:rsidRPr="00172E44">
        <w:rPr>
          <w:rFonts w:asciiTheme="minorHAnsi" w:hAnsiTheme="minorHAnsi" w:cstheme="minorHAnsi"/>
        </w:rPr>
        <w:t xml:space="preserve"> 16, 92-97.</w:t>
      </w:r>
    </w:p>
    <w:p w14:paraId="0007B45F" w14:textId="77777777" w:rsidR="00E55E44" w:rsidRPr="00172E44" w:rsidRDefault="00E55E44"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Campion, J., McNeill, A. &amp; Checinski, K. (2006). Exempting mental health units from smoke-free laws. </w:t>
      </w:r>
      <w:r w:rsidRPr="00172E44">
        <w:rPr>
          <w:rFonts w:asciiTheme="minorHAnsi" w:hAnsiTheme="minorHAnsi" w:cstheme="minorHAnsi"/>
          <w:i/>
        </w:rPr>
        <w:t xml:space="preserve">The BMJ, </w:t>
      </w:r>
      <w:r w:rsidRPr="00172E44">
        <w:rPr>
          <w:rFonts w:asciiTheme="minorHAnsi" w:hAnsiTheme="minorHAnsi" w:cstheme="minorHAnsi"/>
        </w:rPr>
        <w:t>333</w:t>
      </w:r>
      <w:r w:rsidRPr="00172E44">
        <w:rPr>
          <w:rFonts w:asciiTheme="minorHAnsi" w:hAnsiTheme="minorHAnsi" w:cstheme="minorHAnsi"/>
          <w:i/>
        </w:rPr>
        <w:t xml:space="preserve">, </w:t>
      </w:r>
      <w:r w:rsidRPr="00172E44">
        <w:rPr>
          <w:rFonts w:asciiTheme="minorHAnsi" w:hAnsiTheme="minorHAnsi" w:cstheme="minorHAnsi"/>
        </w:rPr>
        <w:t>407</w:t>
      </w:r>
      <w:r w:rsidR="00B703E2" w:rsidRPr="00172E44">
        <w:rPr>
          <w:rFonts w:asciiTheme="minorHAnsi" w:hAnsiTheme="minorHAnsi" w:cstheme="minorHAnsi"/>
        </w:rPr>
        <w:t>-408</w:t>
      </w:r>
      <w:r w:rsidRPr="00172E44">
        <w:rPr>
          <w:rFonts w:asciiTheme="minorHAnsi" w:hAnsiTheme="minorHAnsi" w:cstheme="minorHAnsi"/>
        </w:rPr>
        <w:t xml:space="preserve">. </w:t>
      </w:r>
    </w:p>
    <w:p w14:paraId="429F4EE4" w14:textId="77777777" w:rsidR="00AA3A45" w:rsidRPr="00172E44" w:rsidRDefault="00AA3A45" w:rsidP="00D07D96">
      <w:pPr>
        <w:pStyle w:val="EndNoteBibliography"/>
        <w:spacing w:after="0" w:line="480" w:lineRule="auto"/>
        <w:ind w:left="720" w:hanging="720"/>
        <w:rPr>
          <w:rFonts w:asciiTheme="minorHAnsi" w:hAnsiTheme="minorHAnsi" w:cstheme="minorHAnsi"/>
        </w:rPr>
      </w:pPr>
      <w:r w:rsidRPr="00172E44">
        <w:rPr>
          <w:rFonts w:asciiTheme="minorHAnsi" w:hAnsiTheme="minorHAnsi" w:cstheme="minorHAnsi"/>
        </w:rPr>
        <w:t xml:space="preserve">Chou, K.-R., Lu, R.-B. &amp; Chang, M. </w:t>
      </w:r>
      <w:r w:rsidR="00105BDD" w:rsidRPr="00172E44">
        <w:rPr>
          <w:rFonts w:asciiTheme="minorHAnsi" w:hAnsiTheme="minorHAnsi" w:cstheme="minorHAnsi"/>
        </w:rPr>
        <w:t>(</w:t>
      </w:r>
      <w:r w:rsidRPr="00172E44">
        <w:rPr>
          <w:rFonts w:asciiTheme="minorHAnsi" w:hAnsiTheme="minorHAnsi" w:cstheme="minorHAnsi"/>
        </w:rPr>
        <w:t>2001</w:t>
      </w:r>
      <w:r w:rsidR="00105BDD" w:rsidRPr="00172E44">
        <w:rPr>
          <w:rFonts w:asciiTheme="minorHAnsi" w:hAnsiTheme="minorHAnsi" w:cstheme="minorHAnsi"/>
        </w:rPr>
        <w:t>)</w:t>
      </w:r>
      <w:r w:rsidRPr="00172E44">
        <w:rPr>
          <w:rFonts w:asciiTheme="minorHAnsi" w:hAnsiTheme="minorHAnsi" w:cstheme="minorHAnsi"/>
        </w:rPr>
        <w:t xml:space="preserve">. Assaultive behavior by psychiatric in-patients and its related factors. </w:t>
      </w:r>
      <w:r w:rsidRPr="00172E44">
        <w:rPr>
          <w:rFonts w:asciiTheme="minorHAnsi" w:hAnsiTheme="minorHAnsi" w:cstheme="minorHAnsi"/>
          <w:i/>
        </w:rPr>
        <w:t>The journal of nursing research: JNR,</w:t>
      </w:r>
      <w:r w:rsidRPr="00172E44">
        <w:rPr>
          <w:rFonts w:asciiTheme="minorHAnsi" w:hAnsiTheme="minorHAnsi" w:cstheme="minorHAnsi"/>
        </w:rPr>
        <w:t xml:space="preserve"> 9, 139-151.</w:t>
      </w:r>
    </w:p>
    <w:p w14:paraId="74A26B60" w14:textId="77777777" w:rsidR="0032492C" w:rsidRPr="00172E44" w:rsidRDefault="0032492C"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Chou, K.-R., Lu, R.-B. &amp; Mao, W.-C. </w:t>
      </w:r>
      <w:r w:rsidR="00105BDD" w:rsidRPr="00172E44">
        <w:rPr>
          <w:rFonts w:asciiTheme="minorHAnsi" w:hAnsiTheme="minorHAnsi" w:cstheme="minorHAnsi"/>
        </w:rPr>
        <w:t>(</w:t>
      </w:r>
      <w:r w:rsidRPr="00172E44">
        <w:rPr>
          <w:rFonts w:asciiTheme="minorHAnsi" w:hAnsiTheme="minorHAnsi" w:cstheme="minorHAnsi"/>
        </w:rPr>
        <w:t>2002</w:t>
      </w:r>
      <w:r w:rsidR="00105BDD" w:rsidRPr="00172E44">
        <w:rPr>
          <w:rFonts w:asciiTheme="minorHAnsi" w:hAnsiTheme="minorHAnsi" w:cstheme="minorHAnsi"/>
        </w:rPr>
        <w:t>)</w:t>
      </w:r>
      <w:r w:rsidRPr="00172E44">
        <w:rPr>
          <w:rFonts w:asciiTheme="minorHAnsi" w:hAnsiTheme="minorHAnsi" w:cstheme="minorHAnsi"/>
        </w:rPr>
        <w:t xml:space="preserve">. Factors relevant to patient assaultive behavior and assault in acute inpatient psychiatric units in Taiwan. </w:t>
      </w:r>
      <w:r w:rsidRPr="00172E44">
        <w:rPr>
          <w:rFonts w:asciiTheme="minorHAnsi" w:hAnsiTheme="minorHAnsi" w:cstheme="minorHAnsi"/>
          <w:i/>
        </w:rPr>
        <w:t>Archives of psychiatric nursing,</w:t>
      </w:r>
      <w:r w:rsidRPr="00172E44">
        <w:rPr>
          <w:rFonts w:asciiTheme="minorHAnsi" w:hAnsiTheme="minorHAnsi" w:cstheme="minorHAnsi"/>
        </w:rPr>
        <w:t xml:space="preserve"> 16, 187-195.</w:t>
      </w:r>
    </w:p>
    <w:p w14:paraId="15FE3498" w14:textId="77777777" w:rsidR="00492BDD" w:rsidRPr="00172E44" w:rsidRDefault="00492BDD"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Conklin, C., Robin, N., Perkins, K., Salkeld, R &amp; mcClernon, F. (2008). Proximal versus distal cues to smoke: the effects of environments on smokers’ cue reactivity. </w:t>
      </w:r>
      <w:r w:rsidRPr="00172E44">
        <w:rPr>
          <w:rFonts w:asciiTheme="minorHAnsi" w:hAnsiTheme="minorHAnsi" w:cstheme="minorHAnsi"/>
          <w:i/>
        </w:rPr>
        <w:t xml:space="preserve">Exp Clin Psychopharmacol, </w:t>
      </w:r>
      <w:r w:rsidRPr="00172E44">
        <w:rPr>
          <w:rFonts w:asciiTheme="minorHAnsi" w:hAnsiTheme="minorHAnsi" w:cstheme="minorHAnsi"/>
        </w:rPr>
        <w:t>16</w:t>
      </w:r>
      <w:r w:rsidRPr="00172E44">
        <w:rPr>
          <w:rFonts w:asciiTheme="minorHAnsi" w:hAnsiTheme="minorHAnsi" w:cstheme="minorHAnsi"/>
          <w:i/>
        </w:rPr>
        <w:t>,</w:t>
      </w:r>
      <w:r w:rsidRPr="00172E44">
        <w:rPr>
          <w:rFonts w:asciiTheme="minorHAnsi" w:hAnsiTheme="minorHAnsi" w:cstheme="minorHAnsi"/>
        </w:rPr>
        <w:t xml:space="preserve"> 207-14</w:t>
      </w:r>
    </w:p>
    <w:p w14:paraId="5434624A" w14:textId="2EFFFB04" w:rsidR="00F06C3B" w:rsidRPr="00172E44" w:rsidRDefault="00F06C3B" w:rsidP="00111F99">
      <w:pPr>
        <w:pStyle w:val="EndNoteBibliography"/>
        <w:spacing w:line="480" w:lineRule="auto"/>
        <w:ind w:left="720" w:hanging="720"/>
        <w:rPr>
          <w:rFonts w:cstheme="minorHAnsi"/>
          <w:lang w:val="en-GB"/>
        </w:rPr>
      </w:pPr>
      <w:r w:rsidRPr="00172E44">
        <w:rPr>
          <w:rFonts w:cstheme="minorHAnsi"/>
          <w:lang w:val="en-GB"/>
        </w:rPr>
        <w:t>Cormac, I.</w:t>
      </w:r>
      <w:r w:rsidR="00492BDD" w:rsidRPr="00172E44">
        <w:rPr>
          <w:rFonts w:cstheme="minorHAnsi"/>
          <w:lang w:val="en-GB"/>
        </w:rPr>
        <w:t>,</w:t>
      </w:r>
      <w:r w:rsidRPr="00172E44">
        <w:rPr>
          <w:rFonts w:cstheme="minorHAnsi"/>
          <w:lang w:val="en-GB"/>
        </w:rPr>
        <w:t xml:space="preserve"> Creasey, S. McNeill, A. Ferriter, M. Huckstep, B. </w:t>
      </w:r>
      <w:r w:rsidR="00D76A8F" w:rsidRPr="00172E44">
        <w:rPr>
          <w:rFonts w:cstheme="minorHAnsi"/>
          <w:lang w:val="en-GB"/>
        </w:rPr>
        <w:t>&amp;</w:t>
      </w:r>
      <w:r w:rsidRPr="00172E44">
        <w:rPr>
          <w:rFonts w:cstheme="minorHAnsi"/>
          <w:lang w:val="en-GB"/>
        </w:rPr>
        <w:t xml:space="preserve"> D’Silva, K. </w:t>
      </w:r>
      <w:r w:rsidR="00105BDD" w:rsidRPr="00172E44">
        <w:rPr>
          <w:rFonts w:cstheme="minorHAnsi"/>
          <w:lang w:val="en-GB"/>
        </w:rPr>
        <w:t>(</w:t>
      </w:r>
      <w:r w:rsidRPr="00172E44">
        <w:rPr>
          <w:rFonts w:cstheme="minorHAnsi"/>
          <w:lang w:val="en-GB"/>
        </w:rPr>
        <w:t>2010</w:t>
      </w:r>
      <w:r w:rsidR="00105BDD" w:rsidRPr="00172E44">
        <w:rPr>
          <w:rFonts w:cstheme="minorHAnsi"/>
          <w:lang w:val="en-GB"/>
        </w:rPr>
        <w:t>)</w:t>
      </w:r>
      <w:r w:rsidRPr="00172E44">
        <w:rPr>
          <w:rFonts w:cstheme="minorHAnsi"/>
          <w:lang w:val="en-GB"/>
        </w:rPr>
        <w:t>.</w:t>
      </w:r>
      <w:r w:rsidR="00733DFB" w:rsidRPr="00172E44">
        <w:rPr>
          <w:rFonts w:cstheme="minorHAnsi"/>
          <w:lang w:val="en-GB"/>
        </w:rPr>
        <w:t xml:space="preserve"> </w:t>
      </w:r>
      <w:r w:rsidRPr="00172E44">
        <w:rPr>
          <w:rFonts w:cstheme="minorHAnsi"/>
          <w:lang w:val="en-GB"/>
        </w:rPr>
        <w:t>Impact of a total smoking ban in a high secure hospital. </w:t>
      </w:r>
      <w:r w:rsidRPr="00172E44">
        <w:rPr>
          <w:rFonts w:cstheme="minorHAnsi"/>
          <w:i/>
          <w:iCs/>
          <w:lang w:val="en-GB"/>
        </w:rPr>
        <w:t>The Psychiatrist</w:t>
      </w:r>
      <w:r w:rsidRPr="00172E44">
        <w:rPr>
          <w:rFonts w:cstheme="minorHAnsi"/>
          <w:lang w:val="en-GB"/>
        </w:rPr>
        <w:t>, </w:t>
      </w:r>
      <w:r w:rsidRPr="00172E44">
        <w:rPr>
          <w:rFonts w:cstheme="minorHAnsi"/>
          <w:iCs/>
          <w:lang w:val="en-GB"/>
        </w:rPr>
        <w:t>34</w:t>
      </w:r>
      <w:r w:rsidRPr="00172E44">
        <w:rPr>
          <w:rFonts w:cstheme="minorHAnsi"/>
          <w:lang w:val="en-GB"/>
        </w:rPr>
        <w:t>, 413-417.</w:t>
      </w:r>
    </w:p>
    <w:p w14:paraId="78AB9E20" w14:textId="340EF647" w:rsidR="00425E64" w:rsidRPr="00172E44" w:rsidRDefault="00425E64" w:rsidP="00943491">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Dack, C., Ross, J., Papadopoulos, C., Stewart, D. </w:t>
      </w:r>
      <w:r w:rsidR="006C4A8E" w:rsidRPr="00172E44">
        <w:rPr>
          <w:rFonts w:cstheme="minorHAnsi"/>
          <w:color w:val="222222"/>
          <w:shd w:val="clear" w:color="auto" w:fill="FFFFFF"/>
        </w:rPr>
        <w:t>&amp;</w:t>
      </w:r>
      <w:r w:rsidRPr="00172E44">
        <w:rPr>
          <w:rFonts w:cstheme="minorHAnsi"/>
          <w:color w:val="222222"/>
          <w:shd w:val="clear" w:color="auto" w:fill="FFFFFF"/>
        </w:rPr>
        <w:t xml:space="preserve"> Bowers, L. </w:t>
      </w:r>
      <w:r w:rsidR="00105BDD" w:rsidRPr="00172E44">
        <w:rPr>
          <w:rFonts w:cstheme="minorHAnsi"/>
          <w:color w:val="222222"/>
          <w:shd w:val="clear" w:color="auto" w:fill="FFFFFF"/>
        </w:rPr>
        <w:t>(</w:t>
      </w:r>
      <w:r w:rsidRPr="00172E44">
        <w:rPr>
          <w:rFonts w:cstheme="minorHAnsi"/>
          <w:color w:val="222222"/>
          <w:shd w:val="clear" w:color="auto" w:fill="FFFFFF"/>
        </w:rPr>
        <w:t>2013</w:t>
      </w:r>
      <w:r w:rsidR="00105BDD" w:rsidRPr="00172E44">
        <w:rPr>
          <w:rFonts w:cstheme="minorHAnsi"/>
          <w:color w:val="222222"/>
          <w:shd w:val="clear" w:color="auto" w:fill="FFFFFF"/>
        </w:rPr>
        <w:t>)</w:t>
      </w:r>
      <w:r w:rsidRPr="00172E44">
        <w:rPr>
          <w:rFonts w:cstheme="minorHAnsi"/>
          <w:color w:val="222222"/>
          <w:shd w:val="clear" w:color="auto" w:fill="FFFFFF"/>
        </w:rPr>
        <w:t>. A review and meta‐analysis of the patient factors associated with psychiatric in‐patient aggression. </w:t>
      </w:r>
      <w:r w:rsidRPr="00172E44">
        <w:rPr>
          <w:rFonts w:cstheme="minorHAnsi"/>
          <w:i/>
          <w:iCs/>
          <w:color w:val="222222"/>
          <w:shd w:val="clear" w:color="auto" w:fill="FFFFFF"/>
        </w:rPr>
        <w:t>Acta Psychiatrica Scandinavica</w:t>
      </w:r>
      <w:r w:rsidRPr="00172E44">
        <w:rPr>
          <w:rFonts w:cstheme="minorHAnsi"/>
          <w:color w:val="222222"/>
          <w:shd w:val="clear" w:color="auto" w:fill="FFFFFF"/>
        </w:rPr>
        <w:t>, </w:t>
      </w:r>
      <w:r w:rsidRPr="00172E44">
        <w:rPr>
          <w:rFonts w:cstheme="minorHAnsi"/>
          <w:iCs/>
          <w:color w:val="222222"/>
          <w:shd w:val="clear" w:color="auto" w:fill="FFFFFF"/>
        </w:rPr>
        <w:t>127</w:t>
      </w:r>
      <w:r w:rsidRPr="00172E44">
        <w:rPr>
          <w:rFonts w:cstheme="minorHAnsi"/>
          <w:color w:val="222222"/>
          <w:shd w:val="clear" w:color="auto" w:fill="FFFFFF"/>
        </w:rPr>
        <w:t>, 255-268.</w:t>
      </w:r>
    </w:p>
    <w:p w14:paraId="6ADE2B62" w14:textId="77777777" w:rsidR="00425E64" w:rsidRPr="00172E44" w:rsidRDefault="00425E64" w:rsidP="00D07D96">
      <w:pPr>
        <w:spacing w:after="0" w:line="480" w:lineRule="auto"/>
        <w:ind w:left="720" w:hanging="720"/>
        <w:rPr>
          <w:rFonts w:eastAsia="Times New Roman" w:cstheme="minorHAnsi"/>
          <w:color w:val="505050"/>
          <w:lang w:eastAsia="en-GB"/>
        </w:rPr>
      </w:pPr>
      <w:r w:rsidRPr="00172E44">
        <w:rPr>
          <w:rFonts w:cstheme="minorHAnsi"/>
          <w:color w:val="222222"/>
          <w:shd w:val="clear" w:color="auto" w:fill="FFFFFF"/>
        </w:rPr>
        <w:t xml:space="preserve">Dean, T.D., Cross, W. </w:t>
      </w:r>
      <w:r w:rsidR="006C4A8E" w:rsidRPr="00172E44">
        <w:rPr>
          <w:rFonts w:cstheme="minorHAnsi"/>
          <w:color w:val="222222"/>
          <w:shd w:val="clear" w:color="auto" w:fill="FFFFFF"/>
        </w:rPr>
        <w:t>&amp;</w:t>
      </w:r>
      <w:r w:rsidRPr="00172E44">
        <w:rPr>
          <w:rFonts w:cstheme="minorHAnsi"/>
          <w:color w:val="222222"/>
          <w:shd w:val="clear" w:color="auto" w:fill="FFFFFF"/>
        </w:rPr>
        <w:t xml:space="preserve"> Munro, I. </w:t>
      </w:r>
      <w:r w:rsidR="00105BDD" w:rsidRPr="00172E44">
        <w:rPr>
          <w:rFonts w:cstheme="minorHAnsi"/>
          <w:color w:val="222222"/>
          <w:shd w:val="clear" w:color="auto" w:fill="FFFFFF"/>
        </w:rPr>
        <w:t>(</w:t>
      </w:r>
      <w:r w:rsidRPr="00172E44">
        <w:rPr>
          <w:rFonts w:cstheme="minorHAnsi"/>
          <w:color w:val="222222"/>
          <w:shd w:val="clear" w:color="auto" w:fill="FFFFFF"/>
        </w:rPr>
        <w:t>2018</w:t>
      </w:r>
      <w:r w:rsidR="00105BDD" w:rsidRPr="00172E44">
        <w:rPr>
          <w:rFonts w:cstheme="minorHAnsi"/>
          <w:color w:val="222222"/>
          <w:shd w:val="clear" w:color="auto" w:fill="FFFFFF"/>
        </w:rPr>
        <w:t>)</w:t>
      </w:r>
      <w:r w:rsidRPr="00172E44">
        <w:rPr>
          <w:rFonts w:cstheme="minorHAnsi"/>
          <w:color w:val="222222"/>
          <w:shd w:val="clear" w:color="auto" w:fill="FFFFFF"/>
        </w:rPr>
        <w:t>. An Exploration of the Perspectives of Associate Nurse Unit Managers Regarding the Implementation of Smoke-free Policies in Adult Mental Health Inpatient Units. </w:t>
      </w:r>
      <w:r w:rsidRPr="00172E44">
        <w:rPr>
          <w:rFonts w:cstheme="minorHAnsi"/>
          <w:i/>
          <w:iCs/>
          <w:color w:val="222222"/>
          <w:shd w:val="clear" w:color="auto" w:fill="FFFFFF"/>
        </w:rPr>
        <w:t>Issues in mental health nursing</w:t>
      </w:r>
      <w:r w:rsidRPr="00172E44">
        <w:rPr>
          <w:rFonts w:cstheme="minorHAnsi"/>
          <w:color w:val="222222"/>
          <w:shd w:val="clear" w:color="auto" w:fill="FFFFFF"/>
        </w:rPr>
        <w:t>, </w:t>
      </w:r>
      <w:r w:rsidRPr="00172E44">
        <w:rPr>
          <w:rFonts w:cstheme="minorHAnsi"/>
          <w:iCs/>
          <w:color w:val="222222"/>
          <w:shd w:val="clear" w:color="auto" w:fill="FFFFFF"/>
        </w:rPr>
        <w:t>39</w:t>
      </w:r>
      <w:r w:rsidRPr="00172E44">
        <w:rPr>
          <w:rFonts w:cstheme="minorHAnsi"/>
          <w:color w:val="222222"/>
          <w:shd w:val="clear" w:color="auto" w:fill="FFFFFF"/>
        </w:rPr>
        <w:t>, 328-336.</w:t>
      </w:r>
    </w:p>
    <w:p w14:paraId="68332EE2" w14:textId="77777777" w:rsidR="00425E64" w:rsidRPr="00172E44" w:rsidRDefault="00425E64" w:rsidP="00D07D96">
      <w:pPr>
        <w:spacing w:after="0" w:line="480" w:lineRule="auto"/>
        <w:ind w:left="720" w:hanging="720"/>
        <w:rPr>
          <w:rFonts w:cstheme="minorHAnsi"/>
          <w:color w:val="1C1D1E"/>
          <w:shd w:val="clear" w:color="auto" w:fill="FFFFFF"/>
        </w:rPr>
      </w:pPr>
      <w:r w:rsidRPr="00172E44">
        <w:rPr>
          <w:rFonts w:cstheme="minorHAnsi"/>
          <w:color w:val="333333"/>
          <w:shd w:val="clear" w:color="auto" w:fill="FFFFFF"/>
        </w:rPr>
        <w:t xml:space="preserve">Downe-Wamboldt B. </w:t>
      </w:r>
      <w:r w:rsidR="00105BDD" w:rsidRPr="00172E44">
        <w:rPr>
          <w:rFonts w:cstheme="minorHAnsi"/>
          <w:color w:val="333333"/>
          <w:shd w:val="clear" w:color="auto" w:fill="FFFFFF"/>
        </w:rPr>
        <w:t>(</w:t>
      </w:r>
      <w:r w:rsidRPr="00172E44">
        <w:rPr>
          <w:rFonts w:cstheme="minorHAnsi"/>
          <w:color w:val="333333"/>
          <w:shd w:val="clear" w:color="auto" w:fill="FFFFFF"/>
        </w:rPr>
        <w:t>1992</w:t>
      </w:r>
      <w:r w:rsidR="00105BDD" w:rsidRPr="00172E44">
        <w:rPr>
          <w:rFonts w:cstheme="minorHAnsi"/>
          <w:color w:val="333333"/>
          <w:shd w:val="clear" w:color="auto" w:fill="FFFFFF"/>
        </w:rPr>
        <w:t>).</w:t>
      </w:r>
      <w:r w:rsidRPr="00172E44">
        <w:rPr>
          <w:rFonts w:cstheme="minorHAnsi"/>
          <w:color w:val="333333"/>
          <w:shd w:val="clear" w:color="auto" w:fill="FFFFFF"/>
        </w:rPr>
        <w:t xml:space="preserve"> Content analysis: method, applications, and issues. Health Care Women Int</w:t>
      </w:r>
      <w:r w:rsidR="00D76A8F" w:rsidRPr="00172E44">
        <w:rPr>
          <w:rFonts w:cstheme="minorHAnsi"/>
          <w:color w:val="333333"/>
          <w:shd w:val="clear" w:color="auto" w:fill="FFFFFF"/>
        </w:rPr>
        <w:t xml:space="preserve">, </w:t>
      </w:r>
      <w:r w:rsidRPr="00172E44">
        <w:rPr>
          <w:rFonts w:cstheme="minorHAnsi"/>
          <w:color w:val="333333"/>
          <w:shd w:val="clear" w:color="auto" w:fill="FFFFFF"/>
        </w:rPr>
        <w:t>13</w:t>
      </w:r>
      <w:r w:rsidR="00D76A8F" w:rsidRPr="00172E44">
        <w:rPr>
          <w:rFonts w:cstheme="minorHAnsi"/>
          <w:color w:val="333333"/>
          <w:shd w:val="clear" w:color="auto" w:fill="FFFFFF"/>
        </w:rPr>
        <w:t xml:space="preserve">, </w:t>
      </w:r>
      <w:r w:rsidRPr="00172E44">
        <w:rPr>
          <w:rFonts w:cstheme="minorHAnsi"/>
          <w:color w:val="333333"/>
          <w:shd w:val="clear" w:color="auto" w:fill="FFFFFF"/>
        </w:rPr>
        <w:t>313–21.</w:t>
      </w:r>
    </w:p>
    <w:p w14:paraId="0E9A7DAE" w14:textId="1C278A29"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Hehir, A.M., Indig, D., Prosser, S. </w:t>
      </w:r>
      <w:r w:rsidR="006C4A8E" w:rsidRPr="00172E44">
        <w:rPr>
          <w:rFonts w:cstheme="minorHAnsi"/>
          <w:color w:val="222222"/>
          <w:shd w:val="clear" w:color="auto" w:fill="FFFFFF"/>
        </w:rPr>
        <w:t>&amp;</w:t>
      </w:r>
      <w:r w:rsidR="00BC1019" w:rsidRPr="00172E44">
        <w:rPr>
          <w:rFonts w:cstheme="minorHAnsi"/>
          <w:color w:val="222222"/>
          <w:shd w:val="clear" w:color="auto" w:fill="FFFFFF"/>
        </w:rPr>
        <w:t xml:space="preserve"> </w:t>
      </w:r>
      <w:r w:rsidRPr="00172E44">
        <w:rPr>
          <w:rFonts w:cstheme="minorHAnsi"/>
          <w:color w:val="222222"/>
          <w:shd w:val="clear" w:color="auto" w:fill="FFFFFF"/>
        </w:rPr>
        <w:t>Archer, V.A.</w:t>
      </w:r>
      <w:r w:rsidR="00105BDD" w:rsidRPr="00172E44">
        <w:rPr>
          <w:rFonts w:cstheme="minorHAnsi"/>
          <w:color w:val="222222"/>
          <w:shd w:val="clear" w:color="auto" w:fill="FFFFFF"/>
        </w:rPr>
        <w:t xml:space="preserve"> (</w:t>
      </w:r>
      <w:r w:rsidRPr="00172E44">
        <w:rPr>
          <w:rFonts w:cstheme="minorHAnsi"/>
          <w:color w:val="222222"/>
          <w:shd w:val="clear" w:color="auto" w:fill="FFFFFF"/>
        </w:rPr>
        <w:t>2013</w:t>
      </w:r>
      <w:r w:rsidR="00105BDD" w:rsidRPr="00172E44">
        <w:rPr>
          <w:rFonts w:cstheme="minorHAnsi"/>
          <w:color w:val="222222"/>
          <w:shd w:val="clear" w:color="auto" w:fill="FFFFFF"/>
        </w:rPr>
        <w:t>)</w:t>
      </w:r>
      <w:r w:rsidRPr="00172E44">
        <w:rPr>
          <w:rFonts w:cstheme="minorHAnsi"/>
          <w:color w:val="222222"/>
          <w:shd w:val="clear" w:color="auto" w:fill="FFFFFF"/>
        </w:rPr>
        <w:t>. Implementation of a smoke-free policy in a high secure mental health inpatient facility: staff survey to describe experience and attitudes. </w:t>
      </w:r>
      <w:r w:rsidRPr="00172E44">
        <w:rPr>
          <w:rFonts w:cstheme="minorHAnsi"/>
          <w:i/>
          <w:iCs/>
          <w:color w:val="222222"/>
          <w:shd w:val="clear" w:color="auto" w:fill="FFFFFF"/>
        </w:rPr>
        <w:t>BMC Public Health</w:t>
      </w:r>
      <w:r w:rsidRPr="00172E44">
        <w:rPr>
          <w:rFonts w:cstheme="minorHAnsi"/>
          <w:color w:val="222222"/>
          <w:shd w:val="clear" w:color="auto" w:fill="FFFFFF"/>
        </w:rPr>
        <w:t>, </w:t>
      </w:r>
      <w:r w:rsidRPr="00172E44">
        <w:rPr>
          <w:rFonts w:cstheme="minorHAnsi"/>
          <w:iCs/>
          <w:color w:val="222222"/>
          <w:shd w:val="clear" w:color="auto" w:fill="FFFFFF"/>
        </w:rPr>
        <w:t>13</w:t>
      </w:r>
      <w:r w:rsidR="00BC1019" w:rsidRPr="00172E44">
        <w:rPr>
          <w:rFonts w:cstheme="minorHAnsi"/>
          <w:color w:val="222222"/>
          <w:shd w:val="clear" w:color="auto" w:fill="FFFFFF"/>
        </w:rPr>
        <w:t>-</w:t>
      </w:r>
      <w:r w:rsidRPr="00172E44">
        <w:rPr>
          <w:rFonts w:cstheme="minorHAnsi"/>
          <w:color w:val="222222"/>
          <w:shd w:val="clear" w:color="auto" w:fill="FFFFFF"/>
        </w:rPr>
        <w:t>315.</w:t>
      </w:r>
    </w:p>
    <w:p w14:paraId="57D42D10" w14:textId="77777777"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Huddlestone, L.J., Sohal, H., Paul, C. </w:t>
      </w:r>
      <w:r w:rsidR="006C4A8E" w:rsidRPr="00172E44">
        <w:rPr>
          <w:rFonts w:cstheme="minorHAnsi"/>
          <w:color w:val="222222"/>
          <w:shd w:val="clear" w:color="auto" w:fill="FFFFFF"/>
        </w:rPr>
        <w:t>&amp;</w:t>
      </w:r>
      <w:r w:rsidRPr="00172E44">
        <w:rPr>
          <w:rFonts w:cstheme="minorHAnsi"/>
          <w:color w:val="222222"/>
          <w:shd w:val="clear" w:color="auto" w:fill="FFFFFF"/>
        </w:rPr>
        <w:t xml:space="preserve"> Ratschen, E.</w:t>
      </w:r>
      <w:r w:rsidR="00105BDD" w:rsidRPr="00172E44">
        <w:rPr>
          <w:rFonts w:cstheme="minorHAnsi"/>
          <w:color w:val="222222"/>
          <w:shd w:val="clear" w:color="auto" w:fill="FFFFFF"/>
        </w:rPr>
        <w:t xml:space="preserve"> (</w:t>
      </w:r>
      <w:r w:rsidRPr="00172E44">
        <w:rPr>
          <w:rFonts w:cstheme="minorHAnsi"/>
          <w:color w:val="222222"/>
          <w:shd w:val="clear" w:color="auto" w:fill="FFFFFF"/>
        </w:rPr>
        <w:t>2018</w:t>
      </w:r>
      <w:r w:rsidR="00105BDD" w:rsidRPr="00172E44">
        <w:rPr>
          <w:rFonts w:cstheme="minorHAnsi"/>
          <w:color w:val="222222"/>
          <w:shd w:val="clear" w:color="auto" w:fill="FFFFFF"/>
        </w:rPr>
        <w:t>)</w:t>
      </w:r>
      <w:r w:rsidRPr="00172E44">
        <w:rPr>
          <w:rFonts w:cstheme="minorHAnsi"/>
          <w:color w:val="222222"/>
          <w:shd w:val="clear" w:color="auto" w:fill="FFFFFF"/>
        </w:rPr>
        <w:t>. Implementing complete smokefree policies in mental health inpatient settings: results from a before and after mixed-methods evaluation. </w:t>
      </w:r>
      <w:r w:rsidRPr="00172E44">
        <w:rPr>
          <w:rFonts w:cstheme="minorHAnsi"/>
          <w:i/>
          <w:iCs/>
          <w:color w:val="222222"/>
          <w:shd w:val="clear" w:color="auto" w:fill="FFFFFF"/>
        </w:rPr>
        <w:t>BMC Health Services Research</w:t>
      </w:r>
      <w:r w:rsidR="006C4A8E" w:rsidRPr="00172E44">
        <w:rPr>
          <w:rFonts w:cstheme="minorHAnsi"/>
          <w:iCs/>
          <w:color w:val="222222"/>
          <w:shd w:val="clear" w:color="auto" w:fill="FFFFFF"/>
        </w:rPr>
        <w:t>, 18, 542</w:t>
      </w:r>
      <w:r w:rsidRPr="00172E44">
        <w:rPr>
          <w:rFonts w:cstheme="minorHAnsi"/>
          <w:color w:val="222222"/>
          <w:shd w:val="clear" w:color="auto" w:fill="FFFFFF"/>
        </w:rPr>
        <w:t>.</w:t>
      </w:r>
    </w:p>
    <w:p w14:paraId="01D1A924" w14:textId="7F49FC2C" w:rsidR="00981089" w:rsidRPr="00172E44" w:rsidRDefault="00981089"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Ilkiw-Lavalle, O. &amp;</w:t>
      </w:r>
      <w:r w:rsidR="00BC1019" w:rsidRPr="00172E44">
        <w:rPr>
          <w:rFonts w:cstheme="minorHAnsi"/>
          <w:color w:val="222222"/>
          <w:shd w:val="clear" w:color="auto" w:fill="FFFFFF"/>
        </w:rPr>
        <w:t xml:space="preserve"> </w:t>
      </w:r>
      <w:r w:rsidRPr="00172E44">
        <w:rPr>
          <w:rFonts w:cstheme="minorHAnsi"/>
          <w:color w:val="222222"/>
          <w:shd w:val="clear" w:color="auto" w:fill="FFFFFF"/>
        </w:rPr>
        <w:t xml:space="preserve">Grenyer, B. (2003). Differences between patient and staff perceptions of aggression in mental health units. </w:t>
      </w:r>
      <w:r w:rsidRPr="00172E44">
        <w:rPr>
          <w:rFonts w:cstheme="minorHAnsi"/>
          <w:i/>
          <w:color w:val="222222"/>
          <w:shd w:val="clear" w:color="auto" w:fill="FFFFFF"/>
        </w:rPr>
        <w:t xml:space="preserve">Psychiatric Services, </w:t>
      </w:r>
      <w:r w:rsidRPr="00172E44">
        <w:rPr>
          <w:rFonts w:cstheme="minorHAnsi"/>
          <w:color w:val="222222"/>
          <w:shd w:val="clear" w:color="auto" w:fill="FFFFFF"/>
        </w:rPr>
        <w:t>54, 389-393.</w:t>
      </w:r>
    </w:p>
    <w:p w14:paraId="635273E3" w14:textId="77777777"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Iozzino, L., Ferrari, C., Large, M., Nielssen, O. </w:t>
      </w:r>
      <w:r w:rsidR="006C4A8E" w:rsidRPr="00172E44">
        <w:rPr>
          <w:rFonts w:cstheme="minorHAnsi"/>
          <w:color w:val="222222"/>
          <w:shd w:val="clear" w:color="auto" w:fill="FFFFFF"/>
        </w:rPr>
        <w:t>&amp;</w:t>
      </w:r>
      <w:r w:rsidRPr="00172E44">
        <w:rPr>
          <w:rFonts w:cstheme="minorHAnsi"/>
          <w:color w:val="222222"/>
          <w:shd w:val="clear" w:color="auto" w:fill="FFFFFF"/>
        </w:rPr>
        <w:t xml:space="preserve"> De Girolamo, G. </w:t>
      </w:r>
      <w:r w:rsidR="00105BDD" w:rsidRPr="00172E44">
        <w:rPr>
          <w:rFonts w:cstheme="minorHAnsi"/>
          <w:color w:val="222222"/>
          <w:shd w:val="clear" w:color="auto" w:fill="FFFFFF"/>
        </w:rPr>
        <w:t>(</w:t>
      </w:r>
      <w:r w:rsidRPr="00172E44">
        <w:rPr>
          <w:rFonts w:cstheme="minorHAnsi"/>
          <w:color w:val="222222"/>
          <w:shd w:val="clear" w:color="auto" w:fill="FFFFFF"/>
        </w:rPr>
        <w:t>2015</w:t>
      </w:r>
      <w:r w:rsidR="00105BDD" w:rsidRPr="00172E44">
        <w:rPr>
          <w:rFonts w:cstheme="minorHAnsi"/>
          <w:color w:val="222222"/>
          <w:shd w:val="clear" w:color="auto" w:fill="FFFFFF"/>
        </w:rPr>
        <w:t>)</w:t>
      </w:r>
      <w:r w:rsidRPr="00172E44">
        <w:rPr>
          <w:rFonts w:cstheme="minorHAnsi"/>
          <w:color w:val="222222"/>
          <w:shd w:val="clear" w:color="auto" w:fill="FFFFFF"/>
        </w:rPr>
        <w:t>. Prevalence and risk factors of violence by psychiatric acute inpatients: a systematic review and meta-analysis. </w:t>
      </w:r>
      <w:r w:rsidRPr="00172E44">
        <w:rPr>
          <w:rFonts w:cstheme="minorHAnsi"/>
          <w:i/>
          <w:iCs/>
          <w:color w:val="222222"/>
          <w:shd w:val="clear" w:color="auto" w:fill="FFFFFF"/>
        </w:rPr>
        <w:t>PloS one</w:t>
      </w:r>
      <w:r w:rsidRPr="00172E44">
        <w:rPr>
          <w:rFonts w:cstheme="minorHAnsi"/>
          <w:color w:val="222222"/>
          <w:shd w:val="clear" w:color="auto" w:fill="FFFFFF"/>
        </w:rPr>
        <w:t>, </w:t>
      </w:r>
      <w:r w:rsidR="006C4A8E" w:rsidRPr="00172E44">
        <w:rPr>
          <w:rFonts w:cstheme="minorHAnsi"/>
          <w:iCs/>
          <w:color w:val="222222"/>
          <w:shd w:val="clear" w:color="auto" w:fill="FFFFFF"/>
        </w:rPr>
        <w:t>10</w:t>
      </w:r>
      <w:r w:rsidRPr="00172E44">
        <w:rPr>
          <w:rFonts w:cstheme="minorHAnsi"/>
          <w:color w:val="222222"/>
          <w:shd w:val="clear" w:color="auto" w:fill="FFFFFF"/>
        </w:rPr>
        <w:t>, p.e0128536.</w:t>
      </w:r>
    </w:p>
    <w:p w14:paraId="6D34B2F1" w14:textId="6BEE0DBD"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Lawn, S. </w:t>
      </w:r>
      <w:r w:rsidR="006C4A8E" w:rsidRPr="00172E44">
        <w:rPr>
          <w:rFonts w:cstheme="minorHAnsi"/>
          <w:color w:val="222222"/>
          <w:shd w:val="clear" w:color="auto" w:fill="FFFFFF"/>
        </w:rPr>
        <w:t>&amp;</w:t>
      </w:r>
      <w:r w:rsidR="00BC1019" w:rsidRPr="00172E44">
        <w:rPr>
          <w:rFonts w:cstheme="minorHAnsi"/>
          <w:color w:val="222222"/>
          <w:shd w:val="clear" w:color="auto" w:fill="FFFFFF"/>
        </w:rPr>
        <w:t xml:space="preserve"> </w:t>
      </w:r>
      <w:r w:rsidRPr="00172E44">
        <w:rPr>
          <w:rFonts w:cstheme="minorHAnsi"/>
          <w:color w:val="222222"/>
          <w:shd w:val="clear" w:color="auto" w:fill="FFFFFF"/>
        </w:rPr>
        <w:t xml:space="preserve">Campion, J. </w:t>
      </w:r>
      <w:r w:rsidR="00105BDD" w:rsidRPr="00172E44">
        <w:rPr>
          <w:rFonts w:cstheme="minorHAnsi"/>
          <w:color w:val="222222"/>
          <w:shd w:val="clear" w:color="auto" w:fill="FFFFFF"/>
        </w:rPr>
        <w:t>(</w:t>
      </w:r>
      <w:r w:rsidRPr="00172E44">
        <w:rPr>
          <w:rFonts w:cstheme="minorHAnsi"/>
          <w:color w:val="222222"/>
          <w:shd w:val="clear" w:color="auto" w:fill="FFFFFF"/>
        </w:rPr>
        <w:t>2013</w:t>
      </w:r>
      <w:r w:rsidR="00105BDD" w:rsidRPr="00172E44">
        <w:rPr>
          <w:rFonts w:cstheme="minorHAnsi"/>
          <w:color w:val="222222"/>
          <w:shd w:val="clear" w:color="auto" w:fill="FFFFFF"/>
        </w:rPr>
        <w:t>)</w:t>
      </w:r>
      <w:r w:rsidRPr="00172E44">
        <w:rPr>
          <w:rFonts w:cstheme="minorHAnsi"/>
          <w:color w:val="222222"/>
          <w:shd w:val="clear" w:color="auto" w:fill="FFFFFF"/>
        </w:rPr>
        <w:t>. Achieving smoke-free mental health services: lessons from the past decade of implementation research. </w:t>
      </w:r>
      <w:r w:rsidRPr="00172E44">
        <w:rPr>
          <w:rFonts w:cstheme="minorHAnsi"/>
          <w:i/>
          <w:iCs/>
          <w:color w:val="222222"/>
          <w:shd w:val="clear" w:color="auto" w:fill="FFFFFF"/>
        </w:rPr>
        <w:t>International journal of environmental research and public health</w:t>
      </w:r>
      <w:r w:rsidRPr="00172E44">
        <w:rPr>
          <w:rFonts w:cstheme="minorHAnsi"/>
          <w:color w:val="222222"/>
          <w:shd w:val="clear" w:color="auto" w:fill="FFFFFF"/>
        </w:rPr>
        <w:t>, </w:t>
      </w:r>
      <w:r w:rsidRPr="00172E44">
        <w:rPr>
          <w:rFonts w:cstheme="minorHAnsi"/>
          <w:iCs/>
          <w:color w:val="222222"/>
          <w:shd w:val="clear" w:color="auto" w:fill="FFFFFF"/>
        </w:rPr>
        <w:t>1</w:t>
      </w:r>
      <w:r w:rsidR="006C4A8E" w:rsidRPr="00172E44">
        <w:rPr>
          <w:rFonts w:cstheme="minorHAnsi"/>
          <w:iCs/>
          <w:color w:val="222222"/>
          <w:shd w:val="clear" w:color="auto" w:fill="FFFFFF"/>
        </w:rPr>
        <w:t>0</w:t>
      </w:r>
      <w:r w:rsidRPr="00172E44">
        <w:rPr>
          <w:rFonts w:cstheme="minorHAnsi"/>
          <w:color w:val="222222"/>
          <w:shd w:val="clear" w:color="auto" w:fill="FFFFFF"/>
        </w:rPr>
        <w:t>, 4224-4244.</w:t>
      </w:r>
    </w:p>
    <w:p w14:paraId="19C1B27A" w14:textId="77777777" w:rsidR="00B06363"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Lawn, S. and Pols, R. </w:t>
      </w:r>
      <w:r w:rsidR="00105BDD" w:rsidRPr="00172E44">
        <w:rPr>
          <w:rFonts w:cstheme="minorHAnsi"/>
          <w:color w:val="222222"/>
          <w:shd w:val="clear" w:color="auto" w:fill="FFFFFF"/>
        </w:rPr>
        <w:t>(</w:t>
      </w:r>
      <w:r w:rsidRPr="00172E44">
        <w:rPr>
          <w:rFonts w:cstheme="minorHAnsi"/>
          <w:color w:val="222222"/>
          <w:shd w:val="clear" w:color="auto" w:fill="FFFFFF"/>
        </w:rPr>
        <w:t>2005</w:t>
      </w:r>
      <w:r w:rsidR="00105BDD" w:rsidRPr="00172E44">
        <w:rPr>
          <w:rFonts w:cstheme="minorHAnsi"/>
          <w:color w:val="222222"/>
          <w:shd w:val="clear" w:color="auto" w:fill="FFFFFF"/>
        </w:rPr>
        <w:t>)</w:t>
      </w:r>
      <w:r w:rsidRPr="00172E44">
        <w:rPr>
          <w:rFonts w:cstheme="minorHAnsi"/>
          <w:color w:val="222222"/>
          <w:shd w:val="clear" w:color="auto" w:fill="FFFFFF"/>
        </w:rPr>
        <w:t>. Smoking bans in psychiatric inpatient settings? A review of the research. </w:t>
      </w:r>
      <w:r w:rsidRPr="00172E44">
        <w:rPr>
          <w:rFonts w:cstheme="minorHAnsi"/>
          <w:i/>
          <w:iCs/>
          <w:color w:val="222222"/>
          <w:shd w:val="clear" w:color="auto" w:fill="FFFFFF"/>
        </w:rPr>
        <w:t>Australian and New Zealand Journal of Psychiatry</w:t>
      </w:r>
      <w:r w:rsidRPr="00172E44">
        <w:rPr>
          <w:rFonts w:cstheme="minorHAnsi"/>
          <w:color w:val="222222"/>
          <w:shd w:val="clear" w:color="auto" w:fill="FFFFFF"/>
        </w:rPr>
        <w:t>, </w:t>
      </w:r>
      <w:r w:rsidRPr="00172E44">
        <w:rPr>
          <w:rFonts w:cstheme="minorHAnsi"/>
          <w:iCs/>
          <w:color w:val="222222"/>
          <w:shd w:val="clear" w:color="auto" w:fill="FFFFFF"/>
        </w:rPr>
        <w:t>39</w:t>
      </w:r>
      <w:r w:rsidRPr="00172E44">
        <w:rPr>
          <w:rFonts w:cstheme="minorHAnsi"/>
          <w:color w:val="222222"/>
          <w:shd w:val="clear" w:color="auto" w:fill="FFFFFF"/>
        </w:rPr>
        <w:t>, 866-885.</w:t>
      </w:r>
    </w:p>
    <w:p w14:paraId="36E8AD97" w14:textId="77777777"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Needham, I., Abderhalden, C., Halfens, R.J., Fischer, J.E. and Dassen, T. </w:t>
      </w:r>
      <w:r w:rsidR="00105BDD" w:rsidRPr="00172E44">
        <w:rPr>
          <w:rFonts w:cstheme="minorHAnsi"/>
          <w:color w:val="222222"/>
          <w:shd w:val="clear" w:color="auto" w:fill="FFFFFF"/>
        </w:rPr>
        <w:t>(</w:t>
      </w:r>
      <w:r w:rsidRPr="00172E44">
        <w:rPr>
          <w:rFonts w:cstheme="minorHAnsi"/>
          <w:color w:val="222222"/>
          <w:shd w:val="clear" w:color="auto" w:fill="FFFFFF"/>
        </w:rPr>
        <w:t>2005</w:t>
      </w:r>
      <w:r w:rsidR="00105BDD" w:rsidRPr="00172E44">
        <w:rPr>
          <w:rFonts w:cstheme="minorHAnsi"/>
          <w:color w:val="222222"/>
          <w:shd w:val="clear" w:color="auto" w:fill="FFFFFF"/>
        </w:rPr>
        <w:t>)</w:t>
      </w:r>
      <w:r w:rsidRPr="00172E44">
        <w:rPr>
          <w:rFonts w:cstheme="minorHAnsi"/>
          <w:color w:val="222222"/>
          <w:shd w:val="clear" w:color="auto" w:fill="FFFFFF"/>
        </w:rPr>
        <w:t>. Non‐somatic effects of patient aggression on nurses: a systematic review. </w:t>
      </w:r>
      <w:r w:rsidRPr="00172E44">
        <w:rPr>
          <w:rFonts w:cstheme="minorHAnsi"/>
          <w:i/>
          <w:iCs/>
          <w:color w:val="222222"/>
          <w:shd w:val="clear" w:color="auto" w:fill="FFFFFF"/>
        </w:rPr>
        <w:t>Journal of advanced nursing</w:t>
      </w:r>
      <w:r w:rsidRPr="00172E44">
        <w:rPr>
          <w:rFonts w:cstheme="minorHAnsi"/>
          <w:color w:val="222222"/>
          <w:shd w:val="clear" w:color="auto" w:fill="FFFFFF"/>
        </w:rPr>
        <w:t>, </w:t>
      </w:r>
      <w:r w:rsidRPr="00172E44">
        <w:rPr>
          <w:rFonts w:cstheme="minorHAnsi"/>
          <w:iCs/>
          <w:color w:val="222222"/>
          <w:shd w:val="clear" w:color="auto" w:fill="FFFFFF"/>
        </w:rPr>
        <w:t>49</w:t>
      </w:r>
      <w:r w:rsidRPr="00172E44">
        <w:rPr>
          <w:rFonts w:cstheme="minorHAnsi"/>
          <w:color w:val="222222"/>
          <w:shd w:val="clear" w:color="auto" w:fill="FFFFFF"/>
        </w:rPr>
        <w:t>, 283-296.</w:t>
      </w:r>
    </w:p>
    <w:p w14:paraId="17584756" w14:textId="1B59832D" w:rsidR="004F18A7" w:rsidRPr="00172E44" w:rsidRDefault="004F18A7" w:rsidP="00257FA7">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NHS Protect Publications</w:t>
      </w:r>
      <w:r w:rsidR="00257FA7" w:rsidRPr="00172E44">
        <w:rPr>
          <w:rFonts w:cstheme="minorHAnsi"/>
          <w:color w:val="222222"/>
          <w:shd w:val="clear" w:color="auto" w:fill="FFFFFF"/>
        </w:rPr>
        <w:t>,</w:t>
      </w:r>
      <w:r w:rsidR="00BC1019" w:rsidRPr="00172E44">
        <w:rPr>
          <w:rFonts w:cstheme="minorHAnsi"/>
          <w:color w:val="222222"/>
          <w:shd w:val="clear" w:color="auto" w:fill="FFFFFF"/>
        </w:rPr>
        <w:t xml:space="preserve"> </w:t>
      </w:r>
      <w:r w:rsidRPr="00172E44">
        <w:rPr>
          <w:rFonts w:cstheme="minorHAnsi"/>
          <w:color w:val="222222"/>
          <w:shd w:val="clear" w:color="auto" w:fill="FFFFFF"/>
        </w:rPr>
        <w:t>NHS Business Services Authority</w:t>
      </w:r>
      <w:r w:rsidR="00257FA7" w:rsidRPr="00172E44">
        <w:rPr>
          <w:rFonts w:cstheme="minorHAnsi"/>
          <w:color w:val="222222"/>
          <w:shd w:val="clear" w:color="auto" w:fill="FFFFFF"/>
        </w:rPr>
        <w:t xml:space="preserve"> (2016)</w:t>
      </w:r>
      <w:r w:rsidRPr="00172E44">
        <w:rPr>
          <w:rFonts w:cstheme="minorHAnsi"/>
          <w:color w:val="222222"/>
          <w:shd w:val="clear" w:color="auto" w:fill="FFFFFF"/>
        </w:rPr>
        <w:t xml:space="preserve">. </w:t>
      </w:r>
      <w:r w:rsidRPr="00172E44">
        <w:rPr>
          <w:rFonts w:cstheme="minorHAnsi"/>
          <w:i/>
          <w:iCs/>
          <w:color w:val="222222"/>
          <w:shd w:val="clear" w:color="auto" w:fill="FFFFFF"/>
        </w:rPr>
        <w:t>Reported physical assaults on NHS staff figures</w:t>
      </w:r>
      <w:r w:rsidRPr="00172E44">
        <w:rPr>
          <w:rFonts w:cstheme="minorHAnsi"/>
          <w:color w:val="222222"/>
          <w:shd w:val="clear" w:color="auto" w:fill="FFFFFF"/>
        </w:rPr>
        <w:t>.</w:t>
      </w:r>
      <w:r w:rsidR="00BC1019" w:rsidRPr="00172E44">
        <w:rPr>
          <w:rFonts w:cstheme="minorHAnsi"/>
          <w:color w:val="222222"/>
          <w:shd w:val="clear" w:color="auto" w:fill="FFFFFF"/>
        </w:rPr>
        <w:t xml:space="preserve"> </w:t>
      </w:r>
      <w:hyperlink r:id="rId9" w:history="1">
        <w:r w:rsidR="00BC1019" w:rsidRPr="00172E44">
          <w:rPr>
            <w:rStyle w:val="Hyperlink"/>
            <w:rFonts w:cstheme="minorHAnsi"/>
            <w:shd w:val="clear" w:color="auto" w:fill="FFFFFF"/>
          </w:rPr>
          <w:t>http://www.nhsbsa.nhs.uk/3645.aspx</w:t>
        </w:r>
      </w:hyperlink>
      <w:r w:rsidRPr="00172E44">
        <w:rPr>
          <w:rFonts w:cstheme="minorHAnsi"/>
          <w:color w:val="222222"/>
          <w:shd w:val="clear" w:color="auto" w:fill="FFFFFF"/>
        </w:rPr>
        <w:t>(</w:t>
      </w:r>
      <w:r w:rsidR="00257FA7" w:rsidRPr="00172E44">
        <w:rPr>
          <w:rFonts w:cstheme="minorHAnsi"/>
          <w:color w:val="222222"/>
          <w:shd w:val="clear" w:color="auto" w:fill="FFFFFF"/>
        </w:rPr>
        <w:t>A</w:t>
      </w:r>
      <w:r w:rsidRPr="00172E44">
        <w:rPr>
          <w:rFonts w:cstheme="minorHAnsi"/>
          <w:color w:val="222222"/>
          <w:shd w:val="clear" w:color="auto" w:fill="FFFFFF"/>
        </w:rPr>
        <w:t>ccessed Oct 16, 2016)</w:t>
      </w:r>
      <w:r w:rsidR="00257FA7" w:rsidRPr="00172E44">
        <w:rPr>
          <w:rFonts w:cstheme="minorHAnsi"/>
          <w:color w:val="222222"/>
          <w:shd w:val="clear" w:color="auto" w:fill="FFFFFF"/>
        </w:rPr>
        <w:t>.</w:t>
      </w:r>
    </w:p>
    <w:p w14:paraId="30B55AAD" w14:textId="4A0EB2B9"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Papadopoulos, C., Ross, J., Stewart, D., Dack, C., James, K.</w:t>
      </w:r>
      <w:r w:rsidR="00BC1019" w:rsidRPr="00172E44">
        <w:rPr>
          <w:rFonts w:cstheme="minorHAnsi"/>
          <w:color w:val="222222"/>
          <w:shd w:val="clear" w:color="auto" w:fill="FFFFFF"/>
        </w:rPr>
        <w:t xml:space="preserve"> </w:t>
      </w:r>
      <w:r w:rsidR="006C4A8E" w:rsidRPr="00172E44">
        <w:rPr>
          <w:rFonts w:cstheme="minorHAnsi"/>
          <w:color w:val="222222"/>
          <w:shd w:val="clear" w:color="auto" w:fill="FFFFFF"/>
        </w:rPr>
        <w:t>&amp;</w:t>
      </w:r>
      <w:r w:rsidRPr="00172E44">
        <w:rPr>
          <w:rFonts w:cstheme="minorHAnsi"/>
          <w:color w:val="222222"/>
          <w:shd w:val="clear" w:color="auto" w:fill="FFFFFF"/>
        </w:rPr>
        <w:t xml:space="preserve"> Bowers, L. </w:t>
      </w:r>
      <w:r w:rsidR="00105BDD" w:rsidRPr="00172E44">
        <w:rPr>
          <w:rFonts w:cstheme="minorHAnsi"/>
          <w:color w:val="222222"/>
          <w:shd w:val="clear" w:color="auto" w:fill="FFFFFF"/>
        </w:rPr>
        <w:t>(</w:t>
      </w:r>
      <w:r w:rsidRPr="00172E44">
        <w:rPr>
          <w:rFonts w:cstheme="minorHAnsi"/>
          <w:color w:val="222222"/>
          <w:shd w:val="clear" w:color="auto" w:fill="FFFFFF"/>
        </w:rPr>
        <w:t>2012</w:t>
      </w:r>
      <w:r w:rsidR="00105BDD" w:rsidRPr="00172E44">
        <w:rPr>
          <w:rFonts w:cstheme="minorHAnsi"/>
          <w:color w:val="222222"/>
          <w:shd w:val="clear" w:color="auto" w:fill="FFFFFF"/>
        </w:rPr>
        <w:t>)</w:t>
      </w:r>
      <w:r w:rsidRPr="00172E44">
        <w:rPr>
          <w:rFonts w:cstheme="minorHAnsi"/>
          <w:color w:val="222222"/>
          <w:shd w:val="clear" w:color="auto" w:fill="FFFFFF"/>
        </w:rPr>
        <w:t>. The antecedents of violence and aggression within psychiatric in‐patient settings. </w:t>
      </w:r>
      <w:r w:rsidRPr="00172E44">
        <w:rPr>
          <w:rFonts w:cstheme="minorHAnsi"/>
          <w:i/>
          <w:iCs/>
          <w:color w:val="222222"/>
          <w:shd w:val="clear" w:color="auto" w:fill="FFFFFF"/>
        </w:rPr>
        <w:t>Acta Psychiatrica</w:t>
      </w:r>
      <w:r w:rsidR="00BC1019" w:rsidRPr="00172E44">
        <w:rPr>
          <w:rFonts w:cstheme="minorHAnsi"/>
          <w:i/>
          <w:iCs/>
          <w:color w:val="222222"/>
          <w:shd w:val="clear" w:color="auto" w:fill="FFFFFF"/>
        </w:rPr>
        <w:t xml:space="preserve"> </w:t>
      </w:r>
      <w:r w:rsidRPr="00172E44">
        <w:rPr>
          <w:rFonts w:cstheme="minorHAnsi"/>
          <w:i/>
          <w:iCs/>
          <w:color w:val="222222"/>
          <w:shd w:val="clear" w:color="auto" w:fill="FFFFFF"/>
        </w:rPr>
        <w:t>Scandinavica</w:t>
      </w:r>
      <w:r w:rsidRPr="00172E44">
        <w:rPr>
          <w:rFonts w:cstheme="minorHAnsi"/>
          <w:color w:val="222222"/>
          <w:shd w:val="clear" w:color="auto" w:fill="FFFFFF"/>
        </w:rPr>
        <w:t>, </w:t>
      </w:r>
      <w:r w:rsidRPr="00172E44">
        <w:rPr>
          <w:rFonts w:cstheme="minorHAnsi"/>
          <w:iCs/>
          <w:color w:val="222222"/>
          <w:shd w:val="clear" w:color="auto" w:fill="FFFFFF"/>
        </w:rPr>
        <w:t>125</w:t>
      </w:r>
      <w:r w:rsidRPr="00172E44">
        <w:rPr>
          <w:rFonts w:cstheme="minorHAnsi"/>
          <w:color w:val="222222"/>
          <w:shd w:val="clear" w:color="auto" w:fill="FFFFFF"/>
        </w:rPr>
        <w:t>, 425-439.</w:t>
      </w:r>
    </w:p>
    <w:p w14:paraId="38646DAC" w14:textId="77777777" w:rsidR="005E53AA" w:rsidRPr="00172E44" w:rsidRDefault="005E53AA"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Ratschen, E., Britton, J. &amp; McNeill. (2009). Implementation of smoke-free policies in mental health settings in England. </w:t>
      </w:r>
      <w:r w:rsidRPr="00172E44">
        <w:rPr>
          <w:rFonts w:cstheme="minorHAnsi"/>
          <w:i/>
          <w:color w:val="222222"/>
          <w:shd w:val="clear" w:color="auto" w:fill="FFFFFF"/>
        </w:rPr>
        <w:t xml:space="preserve">The British Journal of Psychiatry, </w:t>
      </w:r>
      <w:r w:rsidRPr="00172E44">
        <w:rPr>
          <w:rFonts w:cstheme="minorHAnsi"/>
          <w:color w:val="222222"/>
          <w:shd w:val="clear" w:color="auto" w:fill="FFFFFF"/>
        </w:rPr>
        <w:t xml:space="preserve">194, 547-551. </w:t>
      </w:r>
    </w:p>
    <w:p w14:paraId="7FD03C9E" w14:textId="77777777"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Renwick, L., Lavelle, M., Brennan, G., Stewart, D., James, K., Richardson, M., Williams, H., Price, O. </w:t>
      </w:r>
      <w:r w:rsidR="006C4A8E" w:rsidRPr="00172E44">
        <w:rPr>
          <w:rFonts w:cstheme="minorHAnsi"/>
          <w:color w:val="222222"/>
          <w:shd w:val="clear" w:color="auto" w:fill="FFFFFF"/>
        </w:rPr>
        <w:t>&amp;</w:t>
      </w:r>
      <w:r w:rsidRPr="00172E44">
        <w:rPr>
          <w:rFonts w:cstheme="minorHAnsi"/>
          <w:color w:val="222222"/>
          <w:shd w:val="clear" w:color="auto" w:fill="FFFFFF"/>
        </w:rPr>
        <w:t xml:space="preserve"> Bowers, L. </w:t>
      </w:r>
      <w:r w:rsidR="00105BDD" w:rsidRPr="00172E44">
        <w:rPr>
          <w:rFonts w:cstheme="minorHAnsi"/>
          <w:color w:val="222222"/>
          <w:shd w:val="clear" w:color="auto" w:fill="FFFFFF"/>
        </w:rPr>
        <w:t>(</w:t>
      </w:r>
      <w:r w:rsidRPr="00172E44">
        <w:rPr>
          <w:rFonts w:cstheme="minorHAnsi"/>
          <w:color w:val="222222"/>
          <w:shd w:val="clear" w:color="auto" w:fill="FFFFFF"/>
        </w:rPr>
        <w:t>2016</w:t>
      </w:r>
      <w:r w:rsidR="00105BDD" w:rsidRPr="00172E44">
        <w:rPr>
          <w:rFonts w:cstheme="minorHAnsi"/>
          <w:color w:val="222222"/>
          <w:shd w:val="clear" w:color="auto" w:fill="FFFFFF"/>
        </w:rPr>
        <w:t>)</w:t>
      </w:r>
      <w:r w:rsidRPr="00172E44">
        <w:rPr>
          <w:rFonts w:cstheme="minorHAnsi"/>
          <w:color w:val="222222"/>
          <w:shd w:val="clear" w:color="auto" w:fill="FFFFFF"/>
        </w:rPr>
        <w:t>. Physical injury and workplace assault in UK mental health trusts: An analysis of formal reports. </w:t>
      </w:r>
      <w:r w:rsidRPr="00172E44">
        <w:rPr>
          <w:rFonts w:cstheme="minorHAnsi"/>
          <w:i/>
          <w:iCs/>
          <w:color w:val="222222"/>
          <w:shd w:val="clear" w:color="auto" w:fill="FFFFFF"/>
        </w:rPr>
        <w:t>International journal of mental health nursing</w:t>
      </w:r>
      <w:r w:rsidRPr="00172E44">
        <w:rPr>
          <w:rFonts w:cstheme="minorHAnsi"/>
          <w:color w:val="222222"/>
          <w:shd w:val="clear" w:color="auto" w:fill="FFFFFF"/>
        </w:rPr>
        <w:t>, </w:t>
      </w:r>
      <w:r w:rsidRPr="00172E44">
        <w:rPr>
          <w:rFonts w:cstheme="minorHAnsi"/>
          <w:iCs/>
          <w:color w:val="222222"/>
          <w:shd w:val="clear" w:color="auto" w:fill="FFFFFF"/>
        </w:rPr>
        <w:t>25</w:t>
      </w:r>
      <w:r w:rsidRPr="00172E44">
        <w:rPr>
          <w:rFonts w:cstheme="minorHAnsi"/>
          <w:color w:val="222222"/>
          <w:shd w:val="clear" w:color="auto" w:fill="FFFFFF"/>
        </w:rPr>
        <w:t>, 355-366.</w:t>
      </w:r>
    </w:p>
    <w:p w14:paraId="72B27122" w14:textId="77777777" w:rsidR="00EC141F" w:rsidRPr="00172E44" w:rsidRDefault="00425E64" w:rsidP="00EC141F">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Richter, D. and Berger, K. </w:t>
      </w:r>
      <w:r w:rsidR="00105BDD" w:rsidRPr="00172E44">
        <w:rPr>
          <w:rFonts w:cstheme="minorHAnsi"/>
          <w:color w:val="222222"/>
          <w:shd w:val="clear" w:color="auto" w:fill="FFFFFF"/>
        </w:rPr>
        <w:t>(</w:t>
      </w:r>
      <w:r w:rsidRPr="00172E44">
        <w:rPr>
          <w:rFonts w:cstheme="minorHAnsi"/>
          <w:color w:val="222222"/>
          <w:shd w:val="clear" w:color="auto" w:fill="FFFFFF"/>
        </w:rPr>
        <w:t>2006</w:t>
      </w:r>
      <w:r w:rsidR="00105BDD" w:rsidRPr="00172E44">
        <w:rPr>
          <w:rFonts w:cstheme="minorHAnsi"/>
          <w:color w:val="222222"/>
          <w:shd w:val="clear" w:color="auto" w:fill="FFFFFF"/>
        </w:rPr>
        <w:t>)</w:t>
      </w:r>
      <w:r w:rsidRPr="00172E44">
        <w:rPr>
          <w:rFonts w:cstheme="minorHAnsi"/>
          <w:color w:val="222222"/>
          <w:shd w:val="clear" w:color="auto" w:fill="FFFFFF"/>
        </w:rPr>
        <w:t>. Post-traumatic stress disorder following patient assaults among staff members of mental health hospitals: a prospective longitudinal study. </w:t>
      </w:r>
      <w:r w:rsidRPr="00172E44">
        <w:rPr>
          <w:rFonts w:cstheme="minorHAnsi"/>
          <w:i/>
          <w:iCs/>
          <w:color w:val="222222"/>
          <w:shd w:val="clear" w:color="auto" w:fill="FFFFFF"/>
        </w:rPr>
        <w:t>BMC psychiatry</w:t>
      </w:r>
      <w:r w:rsidRPr="00172E44">
        <w:rPr>
          <w:rFonts w:cstheme="minorHAnsi"/>
          <w:color w:val="222222"/>
          <w:shd w:val="clear" w:color="auto" w:fill="FFFFFF"/>
        </w:rPr>
        <w:t>, </w:t>
      </w:r>
      <w:r w:rsidRPr="00172E44">
        <w:rPr>
          <w:rFonts w:cstheme="minorHAnsi"/>
          <w:iCs/>
          <w:color w:val="222222"/>
          <w:shd w:val="clear" w:color="auto" w:fill="FFFFFF"/>
        </w:rPr>
        <w:t>6</w:t>
      </w:r>
      <w:r w:rsidRPr="00172E44">
        <w:rPr>
          <w:rFonts w:cstheme="minorHAnsi"/>
          <w:color w:val="222222"/>
          <w:shd w:val="clear" w:color="auto" w:fill="FFFFFF"/>
        </w:rPr>
        <w:t>, 15.</w:t>
      </w:r>
    </w:p>
    <w:p w14:paraId="42AB0962" w14:textId="77777777" w:rsidR="00111F99" w:rsidRPr="00172E44" w:rsidRDefault="00111F99" w:rsidP="00EC141F">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Robson, D. &amp; McEwen, A. (2018). Smoking cessation and smokefree policies: Good practice for mental health services. </w:t>
      </w:r>
      <w:r w:rsidR="00F34959" w:rsidRPr="00172E44">
        <w:rPr>
          <w:rFonts w:cstheme="minorHAnsi"/>
          <w:color w:val="222222"/>
          <w:shd w:val="clear" w:color="auto" w:fill="FFFFFF"/>
        </w:rPr>
        <w:t xml:space="preserve">National Centre for smoking cessation and training (NCSCT). </w:t>
      </w:r>
      <w:hyperlink r:id="rId10" w:history="1">
        <w:r w:rsidR="00CC3C07" w:rsidRPr="00172E44">
          <w:rPr>
            <w:rStyle w:val="Hyperlink"/>
          </w:rPr>
          <w:t>http://www.ncsct.co.uk/usr/pub/Smoking%20cessation%20and%20smokefree%20policies%20-%20Good%20practice%20for%20mental%20health%20services.pdf</w:t>
        </w:r>
      </w:hyperlink>
      <w:r w:rsidR="00CC3C07" w:rsidRPr="00172E44">
        <w:t xml:space="preserve">. </w:t>
      </w:r>
    </w:p>
    <w:p w14:paraId="3693BAF6" w14:textId="77777777" w:rsidR="00425E64"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Robson, D., Spaducci, G., McNeill, A., Stewart, D., Craig, T.J., Yates, M. </w:t>
      </w:r>
      <w:r w:rsidR="006C4A8E" w:rsidRPr="00172E44">
        <w:rPr>
          <w:rFonts w:cstheme="minorHAnsi"/>
          <w:color w:val="222222"/>
          <w:shd w:val="clear" w:color="auto" w:fill="FFFFFF"/>
        </w:rPr>
        <w:t>&amp;</w:t>
      </w:r>
      <w:r w:rsidRPr="00172E44">
        <w:rPr>
          <w:rFonts w:cstheme="minorHAnsi"/>
          <w:color w:val="222222"/>
          <w:shd w:val="clear" w:color="auto" w:fill="FFFFFF"/>
        </w:rPr>
        <w:t xml:space="preserve"> Szatkowski, L.</w:t>
      </w:r>
      <w:r w:rsidR="00105BDD" w:rsidRPr="00172E44">
        <w:rPr>
          <w:rFonts w:cstheme="minorHAnsi"/>
          <w:color w:val="222222"/>
          <w:shd w:val="clear" w:color="auto" w:fill="FFFFFF"/>
        </w:rPr>
        <w:t xml:space="preserve"> (</w:t>
      </w:r>
      <w:r w:rsidRPr="00172E44">
        <w:rPr>
          <w:rFonts w:cstheme="minorHAnsi"/>
          <w:color w:val="222222"/>
          <w:shd w:val="clear" w:color="auto" w:fill="FFFFFF"/>
        </w:rPr>
        <w:t>2017</w:t>
      </w:r>
      <w:r w:rsidR="00105BDD" w:rsidRPr="00172E44">
        <w:rPr>
          <w:rFonts w:cstheme="minorHAnsi"/>
          <w:color w:val="222222"/>
          <w:shd w:val="clear" w:color="auto" w:fill="FFFFFF"/>
        </w:rPr>
        <w:t>)</w:t>
      </w:r>
      <w:r w:rsidRPr="00172E44">
        <w:rPr>
          <w:rFonts w:cstheme="minorHAnsi"/>
          <w:color w:val="222222"/>
          <w:shd w:val="clear" w:color="auto" w:fill="FFFFFF"/>
        </w:rPr>
        <w:t>. Effect of implementation of a smoke-free policy on physical violence in a psychiatric inpatient setting: an interrupted time series analysis. </w:t>
      </w:r>
      <w:r w:rsidRPr="00172E44">
        <w:rPr>
          <w:rFonts w:cstheme="minorHAnsi"/>
          <w:i/>
          <w:iCs/>
          <w:color w:val="222222"/>
          <w:shd w:val="clear" w:color="auto" w:fill="FFFFFF"/>
        </w:rPr>
        <w:t>The Lancet Psychiatry</w:t>
      </w:r>
      <w:r w:rsidRPr="00172E44">
        <w:rPr>
          <w:rFonts w:cstheme="minorHAnsi"/>
          <w:color w:val="222222"/>
          <w:shd w:val="clear" w:color="auto" w:fill="FFFFFF"/>
        </w:rPr>
        <w:t>, </w:t>
      </w:r>
      <w:r w:rsidRPr="00172E44">
        <w:rPr>
          <w:rFonts w:cstheme="minorHAnsi"/>
          <w:iCs/>
          <w:color w:val="222222"/>
          <w:shd w:val="clear" w:color="auto" w:fill="FFFFFF"/>
        </w:rPr>
        <w:t>4</w:t>
      </w:r>
      <w:r w:rsidRPr="00172E44">
        <w:rPr>
          <w:rFonts w:cstheme="minorHAnsi"/>
          <w:color w:val="222222"/>
          <w:shd w:val="clear" w:color="auto" w:fill="FFFFFF"/>
        </w:rPr>
        <w:t>, 540-546.</w:t>
      </w:r>
    </w:p>
    <w:p w14:paraId="5C783859" w14:textId="77777777" w:rsidR="00EC141F" w:rsidRPr="00172E44" w:rsidRDefault="00425E64" w:rsidP="00EC141F">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Robson, D., Yates, M., Craig, T.J., Healey, A. </w:t>
      </w:r>
      <w:r w:rsidR="006C4A8E" w:rsidRPr="00172E44">
        <w:rPr>
          <w:rFonts w:cstheme="minorHAnsi"/>
          <w:color w:val="222222"/>
          <w:shd w:val="clear" w:color="auto" w:fill="FFFFFF"/>
        </w:rPr>
        <w:t>&amp;</w:t>
      </w:r>
      <w:r w:rsidRPr="00172E44">
        <w:rPr>
          <w:rFonts w:cstheme="minorHAnsi"/>
          <w:color w:val="222222"/>
          <w:shd w:val="clear" w:color="auto" w:fill="FFFFFF"/>
        </w:rPr>
        <w:t xml:space="preserve"> McNeill, A.</w:t>
      </w:r>
      <w:r w:rsidR="00105BDD" w:rsidRPr="00172E44">
        <w:rPr>
          <w:rFonts w:cstheme="minorHAnsi"/>
          <w:color w:val="222222"/>
          <w:shd w:val="clear" w:color="auto" w:fill="FFFFFF"/>
        </w:rPr>
        <w:t xml:space="preserve"> (</w:t>
      </w:r>
      <w:r w:rsidRPr="00172E44">
        <w:rPr>
          <w:rFonts w:cstheme="minorHAnsi"/>
          <w:color w:val="222222"/>
          <w:shd w:val="clear" w:color="auto" w:fill="FFFFFF"/>
        </w:rPr>
        <w:t>2016</w:t>
      </w:r>
      <w:r w:rsidR="00105BDD" w:rsidRPr="00172E44">
        <w:rPr>
          <w:rFonts w:cstheme="minorHAnsi"/>
          <w:color w:val="222222"/>
          <w:shd w:val="clear" w:color="auto" w:fill="FFFFFF"/>
        </w:rPr>
        <w:t>)</w:t>
      </w:r>
      <w:r w:rsidRPr="00172E44">
        <w:rPr>
          <w:rFonts w:cstheme="minorHAnsi"/>
          <w:color w:val="222222"/>
          <w:shd w:val="clear" w:color="auto" w:fill="FFFFFF"/>
        </w:rPr>
        <w:t>. Time to smoke: Facilitating smoking breaks in mental health inpatient settings. </w:t>
      </w:r>
      <w:r w:rsidRPr="00172E44">
        <w:rPr>
          <w:rFonts w:cstheme="minorHAnsi"/>
          <w:i/>
          <w:iCs/>
          <w:color w:val="222222"/>
          <w:shd w:val="clear" w:color="auto" w:fill="FFFFFF"/>
        </w:rPr>
        <w:t>Nicotine &amp; Tobacco Research</w:t>
      </w:r>
      <w:r w:rsidRPr="00172E44">
        <w:rPr>
          <w:rFonts w:cstheme="minorHAnsi"/>
          <w:color w:val="222222"/>
          <w:shd w:val="clear" w:color="auto" w:fill="FFFFFF"/>
        </w:rPr>
        <w:t>, </w:t>
      </w:r>
      <w:r w:rsidRPr="00172E44">
        <w:rPr>
          <w:rFonts w:cstheme="minorHAnsi"/>
          <w:iCs/>
          <w:color w:val="222222"/>
          <w:shd w:val="clear" w:color="auto" w:fill="FFFFFF"/>
        </w:rPr>
        <w:t>18</w:t>
      </w:r>
      <w:r w:rsidRPr="00172E44">
        <w:rPr>
          <w:rFonts w:cstheme="minorHAnsi"/>
          <w:color w:val="222222"/>
          <w:shd w:val="clear" w:color="auto" w:fill="FFFFFF"/>
        </w:rPr>
        <w:t>, 1794-1797.</w:t>
      </w:r>
    </w:p>
    <w:p w14:paraId="0B168507" w14:textId="77777777" w:rsidR="002F66B7"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Ross, J., Bowers, L. </w:t>
      </w:r>
      <w:r w:rsidR="006C4A8E" w:rsidRPr="00172E44">
        <w:rPr>
          <w:rFonts w:cstheme="minorHAnsi"/>
          <w:color w:val="222222"/>
          <w:shd w:val="clear" w:color="auto" w:fill="FFFFFF"/>
        </w:rPr>
        <w:t>&amp;</w:t>
      </w:r>
      <w:r w:rsidRPr="00172E44">
        <w:rPr>
          <w:rFonts w:cstheme="minorHAnsi"/>
          <w:color w:val="222222"/>
          <w:shd w:val="clear" w:color="auto" w:fill="FFFFFF"/>
        </w:rPr>
        <w:t xml:space="preserve"> Stewart, D. </w:t>
      </w:r>
      <w:r w:rsidR="00105BDD" w:rsidRPr="00172E44">
        <w:rPr>
          <w:rFonts w:cstheme="minorHAnsi"/>
          <w:color w:val="222222"/>
          <w:shd w:val="clear" w:color="auto" w:fill="FFFFFF"/>
        </w:rPr>
        <w:t>(</w:t>
      </w:r>
      <w:r w:rsidRPr="00172E44">
        <w:rPr>
          <w:rFonts w:cstheme="minorHAnsi"/>
          <w:color w:val="222222"/>
          <w:shd w:val="clear" w:color="auto" w:fill="FFFFFF"/>
        </w:rPr>
        <w:t>2012</w:t>
      </w:r>
      <w:r w:rsidR="00105BDD" w:rsidRPr="00172E44">
        <w:rPr>
          <w:rFonts w:cstheme="minorHAnsi"/>
          <w:color w:val="222222"/>
          <w:shd w:val="clear" w:color="auto" w:fill="FFFFFF"/>
        </w:rPr>
        <w:t>)</w:t>
      </w:r>
      <w:r w:rsidRPr="00172E44">
        <w:rPr>
          <w:rFonts w:cstheme="minorHAnsi"/>
          <w:color w:val="222222"/>
          <w:shd w:val="clear" w:color="auto" w:fill="FFFFFF"/>
        </w:rPr>
        <w:t>. Conflict and containment events in inpatient psychiatric units. </w:t>
      </w:r>
      <w:r w:rsidRPr="00172E44">
        <w:rPr>
          <w:rFonts w:cstheme="minorHAnsi"/>
          <w:i/>
          <w:iCs/>
          <w:color w:val="222222"/>
          <w:shd w:val="clear" w:color="auto" w:fill="FFFFFF"/>
        </w:rPr>
        <w:t>Journal of clinical nursing</w:t>
      </w:r>
      <w:r w:rsidRPr="00172E44">
        <w:rPr>
          <w:rFonts w:cstheme="minorHAnsi"/>
          <w:color w:val="222222"/>
          <w:shd w:val="clear" w:color="auto" w:fill="FFFFFF"/>
        </w:rPr>
        <w:t>, </w:t>
      </w:r>
      <w:r w:rsidRPr="00172E44">
        <w:rPr>
          <w:rFonts w:cstheme="minorHAnsi"/>
          <w:iCs/>
          <w:color w:val="222222"/>
          <w:shd w:val="clear" w:color="auto" w:fill="FFFFFF"/>
        </w:rPr>
        <w:t>21</w:t>
      </w:r>
      <w:r w:rsidRPr="00172E44">
        <w:rPr>
          <w:rFonts w:cstheme="minorHAnsi"/>
          <w:color w:val="222222"/>
          <w:shd w:val="clear" w:color="auto" w:fill="FFFFFF"/>
        </w:rPr>
        <w:t>, 2306-2315.</w:t>
      </w:r>
    </w:p>
    <w:p w14:paraId="79FA1716" w14:textId="77777777" w:rsidR="00066083" w:rsidRPr="00172E44" w:rsidRDefault="0009657A"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Royal College of Physicians, </w:t>
      </w:r>
      <w:r w:rsidR="00105BDD" w:rsidRPr="00172E44">
        <w:rPr>
          <w:rFonts w:cstheme="minorHAnsi"/>
          <w:color w:val="222222"/>
          <w:shd w:val="clear" w:color="auto" w:fill="FFFFFF"/>
        </w:rPr>
        <w:t>(</w:t>
      </w:r>
      <w:r w:rsidRPr="00172E44">
        <w:rPr>
          <w:rFonts w:cstheme="minorHAnsi"/>
          <w:color w:val="222222"/>
          <w:shd w:val="clear" w:color="auto" w:fill="FFFFFF"/>
        </w:rPr>
        <w:t>2018</w:t>
      </w:r>
      <w:r w:rsidR="00105BDD" w:rsidRPr="00172E44">
        <w:rPr>
          <w:rFonts w:cstheme="minorHAnsi"/>
          <w:color w:val="222222"/>
          <w:shd w:val="clear" w:color="auto" w:fill="FFFFFF"/>
        </w:rPr>
        <w:t>)</w:t>
      </w:r>
      <w:r w:rsidRPr="00172E44">
        <w:rPr>
          <w:rFonts w:cstheme="minorHAnsi"/>
          <w:color w:val="222222"/>
          <w:shd w:val="clear" w:color="auto" w:fill="FFFFFF"/>
        </w:rPr>
        <w:t xml:space="preserve">. Hiding in plain sight. </w:t>
      </w:r>
      <w:r w:rsidRPr="00172E44">
        <w:rPr>
          <w:rFonts w:cstheme="minorHAnsi"/>
          <w:i/>
          <w:color w:val="222222"/>
          <w:shd w:val="clear" w:color="auto" w:fill="FFFFFF"/>
        </w:rPr>
        <w:t>Treating tobacco dependence in the NHS</w:t>
      </w:r>
      <w:r w:rsidRPr="00172E44">
        <w:rPr>
          <w:rFonts w:cstheme="minorHAnsi"/>
          <w:color w:val="222222"/>
          <w:shd w:val="clear" w:color="auto" w:fill="FFFFFF"/>
        </w:rPr>
        <w:t>. Suffolk: Lavenham Press.</w:t>
      </w:r>
    </w:p>
    <w:p w14:paraId="0A549404" w14:textId="77777777" w:rsidR="00D07D96" w:rsidRPr="00172E44" w:rsidRDefault="000B2894"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Sohal, H., Huddlestone, L. &amp; Ratschen, E. </w:t>
      </w:r>
      <w:r w:rsidR="00105BDD" w:rsidRPr="00172E44">
        <w:rPr>
          <w:rFonts w:asciiTheme="minorHAnsi" w:hAnsiTheme="minorHAnsi" w:cstheme="minorHAnsi"/>
        </w:rPr>
        <w:t>(</w:t>
      </w:r>
      <w:r w:rsidRPr="00172E44">
        <w:rPr>
          <w:rFonts w:asciiTheme="minorHAnsi" w:hAnsiTheme="minorHAnsi" w:cstheme="minorHAnsi"/>
        </w:rPr>
        <w:t>2016</w:t>
      </w:r>
      <w:r w:rsidR="00105BDD" w:rsidRPr="00172E44">
        <w:rPr>
          <w:rFonts w:asciiTheme="minorHAnsi" w:hAnsiTheme="minorHAnsi" w:cstheme="minorHAnsi"/>
        </w:rPr>
        <w:t>)</w:t>
      </w:r>
      <w:r w:rsidRPr="00172E44">
        <w:rPr>
          <w:rFonts w:asciiTheme="minorHAnsi" w:hAnsiTheme="minorHAnsi" w:cstheme="minorHAnsi"/>
        </w:rPr>
        <w:t xml:space="preserve">. Preparing for completely smoke-free mental health settings: findings on patient smoking, resources spent facilitating smoking breaks, and the role of smoking in reported incidents from a large mental health Trust in England. </w:t>
      </w:r>
      <w:r w:rsidRPr="00172E44">
        <w:rPr>
          <w:rFonts w:asciiTheme="minorHAnsi" w:hAnsiTheme="minorHAnsi" w:cstheme="minorHAnsi"/>
          <w:i/>
        </w:rPr>
        <w:t>International journal of environmental research and public health,</w:t>
      </w:r>
      <w:r w:rsidRPr="00172E44">
        <w:rPr>
          <w:rFonts w:asciiTheme="minorHAnsi" w:hAnsiTheme="minorHAnsi" w:cstheme="minorHAnsi"/>
        </w:rPr>
        <w:t xml:space="preserve"> 13, 256.</w:t>
      </w:r>
    </w:p>
    <w:p w14:paraId="69BF1C04" w14:textId="3B31DACE" w:rsidR="00D07D96" w:rsidRPr="00172E44" w:rsidRDefault="00425E64" w:rsidP="00D07D96">
      <w:pPr>
        <w:spacing w:after="0" w:line="480" w:lineRule="auto"/>
        <w:ind w:left="720" w:hanging="720"/>
        <w:rPr>
          <w:rFonts w:cstheme="minorHAnsi"/>
          <w:color w:val="222222"/>
          <w:shd w:val="clear" w:color="auto" w:fill="FFFFFF"/>
        </w:rPr>
      </w:pPr>
      <w:r w:rsidRPr="00172E44">
        <w:rPr>
          <w:rFonts w:cstheme="minorHAnsi"/>
          <w:color w:val="222222"/>
          <w:shd w:val="clear" w:color="auto" w:fill="FFFFFF"/>
        </w:rPr>
        <w:t xml:space="preserve">Spaducci, G., Stubbs, B., McNeill, A., Stewart, D. </w:t>
      </w:r>
      <w:r w:rsidR="006C4A8E" w:rsidRPr="00172E44">
        <w:rPr>
          <w:rFonts w:cstheme="minorHAnsi"/>
          <w:color w:val="222222"/>
          <w:shd w:val="clear" w:color="auto" w:fill="FFFFFF"/>
        </w:rPr>
        <w:t>&amp;</w:t>
      </w:r>
      <w:r w:rsidR="00BC1019" w:rsidRPr="00172E44">
        <w:rPr>
          <w:rFonts w:cstheme="minorHAnsi"/>
          <w:color w:val="222222"/>
          <w:shd w:val="clear" w:color="auto" w:fill="FFFFFF"/>
        </w:rPr>
        <w:t xml:space="preserve"> </w:t>
      </w:r>
      <w:r w:rsidRPr="00172E44">
        <w:rPr>
          <w:rFonts w:cstheme="minorHAnsi"/>
          <w:color w:val="222222"/>
          <w:shd w:val="clear" w:color="auto" w:fill="FFFFFF"/>
        </w:rPr>
        <w:t xml:space="preserve">Robson, D. </w:t>
      </w:r>
      <w:r w:rsidR="00105BDD" w:rsidRPr="00172E44">
        <w:rPr>
          <w:rFonts w:cstheme="minorHAnsi"/>
          <w:color w:val="222222"/>
          <w:shd w:val="clear" w:color="auto" w:fill="FFFFFF"/>
        </w:rPr>
        <w:t>(</w:t>
      </w:r>
      <w:r w:rsidRPr="00172E44">
        <w:rPr>
          <w:rFonts w:cstheme="minorHAnsi"/>
          <w:color w:val="222222"/>
          <w:shd w:val="clear" w:color="auto" w:fill="FFFFFF"/>
        </w:rPr>
        <w:t>2018</w:t>
      </w:r>
      <w:r w:rsidR="00105BDD" w:rsidRPr="00172E44">
        <w:rPr>
          <w:rFonts w:cstheme="minorHAnsi"/>
          <w:color w:val="222222"/>
          <w:shd w:val="clear" w:color="auto" w:fill="FFFFFF"/>
        </w:rPr>
        <w:t>)</w:t>
      </w:r>
      <w:r w:rsidRPr="00172E44">
        <w:rPr>
          <w:rFonts w:cstheme="minorHAnsi"/>
          <w:color w:val="222222"/>
          <w:shd w:val="clear" w:color="auto" w:fill="FFFFFF"/>
        </w:rPr>
        <w:t>. Violence in mental health settings: A systematic review. </w:t>
      </w:r>
      <w:r w:rsidRPr="00172E44">
        <w:rPr>
          <w:rFonts w:cstheme="minorHAnsi"/>
          <w:i/>
          <w:iCs/>
          <w:color w:val="222222"/>
          <w:shd w:val="clear" w:color="auto" w:fill="FFFFFF"/>
        </w:rPr>
        <w:t>International journal of mental health nursing</w:t>
      </w:r>
      <w:r w:rsidRPr="00172E44">
        <w:rPr>
          <w:rFonts w:cstheme="minorHAnsi"/>
          <w:color w:val="222222"/>
          <w:shd w:val="clear" w:color="auto" w:fill="FFFFFF"/>
        </w:rPr>
        <w:t>, </w:t>
      </w:r>
      <w:r w:rsidRPr="00172E44">
        <w:rPr>
          <w:rFonts w:cstheme="minorHAnsi"/>
          <w:iCs/>
          <w:color w:val="222222"/>
          <w:shd w:val="clear" w:color="auto" w:fill="FFFFFF"/>
        </w:rPr>
        <w:t>27</w:t>
      </w:r>
      <w:r w:rsidRPr="00172E44">
        <w:rPr>
          <w:rFonts w:cstheme="minorHAnsi"/>
          <w:color w:val="222222"/>
          <w:shd w:val="clear" w:color="auto" w:fill="FFFFFF"/>
        </w:rPr>
        <w:t>, 33-45.</w:t>
      </w:r>
    </w:p>
    <w:p w14:paraId="63A2B8FE" w14:textId="77777777" w:rsidR="00425E64" w:rsidRPr="00172E44" w:rsidRDefault="00C3086F" w:rsidP="00D07D96">
      <w:pPr>
        <w:pStyle w:val="EndNoteBibliography"/>
        <w:spacing w:line="480" w:lineRule="auto"/>
        <w:ind w:left="720" w:hanging="720"/>
        <w:rPr>
          <w:rFonts w:asciiTheme="minorHAnsi" w:hAnsiTheme="minorHAnsi" w:cstheme="minorHAnsi"/>
        </w:rPr>
      </w:pPr>
      <w:r w:rsidRPr="00172E44">
        <w:rPr>
          <w:rFonts w:asciiTheme="minorHAnsi" w:hAnsiTheme="minorHAnsi" w:cstheme="minorHAnsi"/>
        </w:rPr>
        <w:t xml:space="preserve">Stewart, D., Bowers, L., Simpson, A., Ryan, C. &amp; Tziggili, M. </w:t>
      </w:r>
      <w:r w:rsidR="00105BDD" w:rsidRPr="00172E44">
        <w:rPr>
          <w:rFonts w:asciiTheme="minorHAnsi" w:hAnsiTheme="minorHAnsi" w:cstheme="minorHAnsi"/>
        </w:rPr>
        <w:t>(</w:t>
      </w:r>
      <w:r w:rsidRPr="00172E44">
        <w:rPr>
          <w:rFonts w:asciiTheme="minorHAnsi" w:hAnsiTheme="minorHAnsi" w:cstheme="minorHAnsi"/>
        </w:rPr>
        <w:t>2009</w:t>
      </w:r>
      <w:r w:rsidR="00105BDD" w:rsidRPr="00172E44">
        <w:rPr>
          <w:rFonts w:asciiTheme="minorHAnsi" w:hAnsiTheme="minorHAnsi" w:cstheme="minorHAnsi"/>
        </w:rPr>
        <w:t>)</w:t>
      </w:r>
      <w:r w:rsidRPr="00172E44">
        <w:rPr>
          <w:rFonts w:asciiTheme="minorHAnsi" w:hAnsiTheme="minorHAnsi" w:cstheme="minorHAnsi"/>
        </w:rPr>
        <w:t xml:space="preserve">. Manual restraint of adult psychiatric inpatients: a literature review. </w:t>
      </w:r>
      <w:r w:rsidRPr="00172E44">
        <w:rPr>
          <w:rFonts w:asciiTheme="minorHAnsi" w:hAnsiTheme="minorHAnsi" w:cstheme="minorHAnsi"/>
          <w:i/>
        </w:rPr>
        <w:t>Journal of Psychiatric and Mental Health Nursing,</w:t>
      </w:r>
      <w:r w:rsidRPr="00172E44">
        <w:rPr>
          <w:rFonts w:asciiTheme="minorHAnsi" w:hAnsiTheme="minorHAnsi" w:cstheme="minorHAnsi"/>
        </w:rPr>
        <w:t xml:space="preserve"> 16, 749-757.</w:t>
      </w:r>
    </w:p>
    <w:p w14:paraId="749FC58E" w14:textId="77777777" w:rsidR="00425E64" w:rsidRPr="00172E44" w:rsidRDefault="00425E64" w:rsidP="00D07D96">
      <w:pPr>
        <w:spacing w:after="0" w:line="480" w:lineRule="auto"/>
        <w:ind w:left="720" w:hanging="720"/>
        <w:rPr>
          <w:rFonts w:eastAsia="Times New Roman" w:cstheme="minorHAnsi"/>
          <w:color w:val="505050"/>
          <w:lang w:eastAsia="en-GB"/>
        </w:rPr>
      </w:pPr>
      <w:r w:rsidRPr="00172E44">
        <w:rPr>
          <w:rFonts w:cstheme="minorHAnsi"/>
          <w:color w:val="222222"/>
          <w:shd w:val="clear" w:color="auto" w:fill="FFFFFF"/>
        </w:rPr>
        <w:t xml:space="preserve">Stewart, D., Robson, D., Chaplin, R., Quirk, A. </w:t>
      </w:r>
      <w:r w:rsidR="006C4A8E" w:rsidRPr="00172E44">
        <w:rPr>
          <w:rFonts w:cstheme="minorHAnsi"/>
          <w:color w:val="222222"/>
          <w:shd w:val="clear" w:color="auto" w:fill="FFFFFF"/>
        </w:rPr>
        <w:t>&amp;</w:t>
      </w:r>
      <w:r w:rsidRPr="00172E44">
        <w:rPr>
          <w:rFonts w:cstheme="minorHAnsi"/>
          <w:color w:val="222222"/>
          <w:shd w:val="clear" w:color="auto" w:fill="FFFFFF"/>
        </w:rPr>
        <w:t xml:space="preserve"> Bowers, L. </w:t>
      </w:r>
      <w:r w:rsidR="00105BDD" w:rsidRPr="00172E44">
        <w:rPr>
          <w:rFonts w:cstheme="minorHAnsi"/>
          <w:color w:val="222222"/>
          <w:shd w:val="clear" w:color="auto" w:fill="FFFFFF"/>
        </w:rPr>
        <w:t>(</w:t>
      </w:r>
      <w:r w:rsidRPr="00172E44">
        <w:rPr>
          <w:rFonts w:cstheme="minorHAnsi"/>
          <w:color w:val="222222"/>
          <w:shd w:val="clear" w:color="auto" w:fill="FFFFFF"/>
        </w:rPr>
        <w:t>2012</w:t>
      </w:r>
      <w:r w:rsidR="00105BDD" w:rsidRPr="00172E44">
        <w:rPr>
          <w:rFonts w:cstheme="minorHAnsi"/>
          <w:color w:val="222222"/>
          <w:shd w:val="clear" w:color="auto" w:fill="FFFFFF"/>
        </w:rPr>
        <w:t>)</w:t>
      </w:r>
      <w:r w:rsidRPr="00172E44">
        <w:rPr>
          <w:rFonts w:cstheme="minorHAnsi"/>
          <w:color w:val="222222"/>
          <w:shd w:val="clear" w:color="auto" w:fill="FFFFFF"/>
        </w:rPr>
        <w:t>. Behavioural antecedents to pro re nata psychotropic medication administration on acute psychiatric wards. </w:t>
      </w:r>
      <w:r w:rsidRPr="00172E44">
        <w:rPr>
          <w:rFonts w:cstheme="minorHAnsi"/>
          <w:i/>
          <w:iCs/>
          <w:color w:val="222222"/>
          <w:shd w:val="clear" w:color="auto" w:fill="FFFFFF"/>
        </w:rPr>
        <w:t>International Journal of Mental Health Nursing</w:t>
      </w:r>
      <w:r w:rsidRPr="00172E44">
        <w:rPr>
          <w:rFonts w:cstheme="minorHAnsi"/>
          <w:color w:val="222222"/>
          <w:shd w:val="clear" w:color="auto" w:fill="FFFFFF"/>
        </w:rPr>
        <w:t>, </w:t>
      </w:r>
      <w:r w:rsidRPr="00172E44">
        <w:rPr>
          <w:rFonts w:cstheme="minorHAnsi"/>
          <w:iCs/>
          <w:color w:val="222222"/>
          <w:shd w:val="clear" w:color="auto" w:fill="FFFFFF"/>
        </w:rPr>
        <w:t>21</w:t>
      </w:r>
      <w:r w:rsidRPr="00172E44">
        <w:rPr>
          <w:rFonts w:cstheme="minorHAnsi"/>
          <w:color w:val="222222"/>
          <w:shd w:val="clear" w:color="auto" w:fill="FFFFFF"/>
        </w:rPr>
        <w:t>, 540-549.</w:t>
      </w:r>
    </w:p>
    <w:p w14:paraId="306ADE42" w14:textId="65ADFDAC" w:rsidR="00425E64" w:rsidRPr="00172E44" w:rsidRDefault="00425E64" w:rsidP="00D07D96">
      <w:pPr>
        <w:spacing w:after="0" w:line="480" w:lineRule="auto"/>
        <w:ind w:left="720" w:hanging="720"/>
        <w:rPr>
          <w:rFonts w:eastAsia="Times New Roman" w:cstheme="minorHAnsi"/>
          <w:lang w:eastAsia="en-GB"/>
        </w:rPr>
      </w:pPr>
      <w:r w:rsidRPr="00172E44">
        <w:rPr>
          <w:rFonts w:eastAsia="Times New Roman" w:cstheme="minorHAnsi"/>
          <w:lang w:eastAsia="en-GB"/>
        </w:rPr>
        <w:t>The National Institute for Health and Care Excellence</w:t>
      </w:r>
      <w:r w:rsidR="00105BDD" w:rsidRPr="00172E44">
        <w:rPr>
          <w:rFonts w:eastAsia="Times New Roman" w:cstheme="minorHAnsi"/>
          <w:lang w:eastAsia="en-GB"/>
        </w:rPr>
        <w:t>. (</w:t>
      </w:r>
      <w:r w:rsidRPr="00172E44">
        <w:rPr>
          <w:rFonts w:eastAsia="Times New Roman" w:cstheme="minorHAnsi"/>
          <w:lang w:eastAsia="en-GB"/>
        </w:rPr>
        <w:t>2013</w:t>
      </w:r>
      <w:r w:rsidR="00105BDD" w:rsidRPr="00172E44">
        <w:rPr>
          <w:rFonts w:eastAsia="Times New Roman" w:cstheme="minorHAnsi"/>
          <w:lang w:eastAsia="en-GB"/>
        </w:rPr>
        <w:t>)</w:t>
      </w:r>
      <w:r w:rsidRPr="00172E44">
        <w:rPr>
          <w:rFonts w:eastAsia="Times New Roman" w:cstheme="minorHAnsi"/>
          <w:lang w:eastAsia="en-GB"/>
        </w:rPr>
        <w:t>. Smoking</w:t>
      </w:r>
      <w:r w:rsidR="002E55E0" w:rsidRPr="00172E44">
        <w:rPr>
          <w:rFonts w:eastAsia="Times New Roman" w:cstheme="minorHAnsi"/>
          <w:lang w:eastAsia="en-GB"/>
        </w:rPr>
        <w:t>:</w:t>
      </w:r>
      <w:r w:rsidR="00BC1019" w:rsidRPr="00172E44">
        <w:rPr>
          <w:rFonts w:eastAsia="Times New Roman" w:cstheme="minorHAnsi"/>
          <w:lang w:eastAsia="en-GB"/>
        </w:rPr>
        <w:t xml:space="preserve"> </w:t>
      </w:r>
      <w:r w:rsidR="002E55E0" w:rsidRPr="00172E44">
        <w:rPr>
          <w:rFonts w:eastAsia="Times New Roman" w:cstheme="minorHAnsi"/>
          <w:lang w:eastAsia="en-GB"/>
        </w:rPr>
        <w:t>A</w:t>
      </w:r>
      <w:r w:rsidRPr="00172E44">
        <w:rPr>
          <w:rFonts w:eastAsia="Times New Roman" w:cstheme="minorHAnsi"/>
          <w:lang w:eastAsia="en-GB"/>
        </w:rPr>
        <w:t>cute, maternity, and mental health services, National Institute for Health and Care Excellence, London.</w:t>
      </w:r>
    </w:p>
    <w:p w14:paraId="0EDD659E" w14:textId="1CF42679" w:rsidR="00425E64" w:rsidRPr="00172E44" w:rsidRDefault="00425E64" w:rsidP="00D07D96">
      <w:pPr>
        <w:spacing w:after="0" w:line="480" w:lineRule="auto"/>
        <w:ind w:left="720" w:hanging="720"/>
        <w:rPr>
          <w:rFonts w:eastAsia="Times New Roman" w:cstheme="minorHAnsi"/>
          <w:lang w:eastAsia="en-GB"/>
        </w:rPr>
      </w:pPr>
      <w:r w:rsidRPr="00172E44">
        <w:rPr>
          <w:rFonts w:eastAsia="Times New Roman" w:cstheme="minorHAnsi"/>
          <w:lang w:eastAsia="en-GB"/>
        </w:rPr>
        <w:t>The National Institute for Health and Care Excellence</w:t>
      </w:r>
      <w:r w:rsidR="00BC1019" w:rsidRPr="00172E44">
        <w:rPr>
          <w:rFonts w:eastAsia="Times New Roman" w:cstheme="minorHAnsi"/>
          <w:lang w:eastAsia="en-GB"/>
        </w:rPr>
        <w:t xml:space="preserve">. </w:t>
      </w:r>
      <w:r w:rsidR="00105BDD" w:rsidRPr="00172E44">
        <w:rPr>
          <w:rFonts w:eastAsia="Times New Roman" w:cstheme="minorHAnsi"/>
          <w:lang w:eastAsia="en-GB"/>
        </w:rPr>
        <w:t>(</w:t>
      </w:r>
      <w:r w:rsidRPr="00172E44">
        <w:rPr>
          <w:rFonts w:eastAsia="Times New Roman" w:cstheme="minorHAnsi"/>
          <w:lang w:eastAsia="en-GB"/>
        </w:rPr>
        <w:t>2015</w:t>
      </w:r>
      <w:r w:rsidR="00105BDD" w:rsidRPr="00172E44">
        <w:rPr>
          <w:rFonts w:eastAsia="Times New Roman" w:cstheme="minorHAnsi"/>
          <w:lang w:eastAsia="en-GB"/>
        </w:rPr>
        <w:t>)</w:t>
      </w:r>
      <w:r w:rsidRPr="00172E44">
        <w:rPr>
          <w:rFonts w:eastAsia="Times New Roman" w:cstheme="minorHAnsi"/>
          <w:lang w:eastAsia="en-GB"/>
        </w:rPr>
        <w:t xml:space="preserve">. </w:t>
      </w:r>
      <w:r w:rsidRPr="00172E44">
        <w:rPr>
          <w:rFonts w:cstheme="minorHAnsi"/>
        </w:rPr>
        <w:t xml:space="preserve">Violence and aggression: short-term management in mental health, health and community settings, </w:t>
      </w:r>
      <w:r w:rsidRPr="00172E44">
        <w:rPr>
          <w:rFonts w:eastAsia="Times New Roman" w:cstheme="minorHAnsi"/>
          <w:lang w:eastAsia="en-GB"/>
        </w:rPr>
        <w:t>National Institute for Health and Care Excellence, London.</w:t>
      </w:r>
    </w:p>
    <w:p w14:paraId="5E90177E" w14:textId="5ABD7B7F" w:rsidR="00FC786A" w:rsidRPr="00172E44" w:rsidRDefault="00FC786A" w:rsidP="00FC786A">
      <w:pPr>
        <w:spacing w:after="0" w:line="480" w:lineRule="auto"/>
        <w:ind w:left="720" w:hanging="720"/>
        <w:rPr>
          <w:rFonts w:eastAsia="Times New Roman" w:cstheme="minorHAnsi"/>
          <w:lang w:eastAsia="en-GB"/>
        </w:rPr>
      </w:pPr>
      <w:r w:rsidRPr="00172E44">
        <w:rPr>
          <w:rFonts w:eastAsia="Times New Roman" w:cstheme="minorHAnsi"/>
          <w:lang w:eastAsia="en-GB"/>
        </w:rPr>
        <w:t xml:space="preserve">Velasco, J. Eells, T. D. </w:t>
      </w:r>
      <w:r w:rsidR="006C4A8E" w:rsidRPr="00172E44">
        <w:rPr>
          <w:rFonts w:eastAsia="Times New Roman" w:cstheme="minorHAnsi"/>
          <w:lang w:eastAsia="en-GB"/>
        </w:rPr>
        <w:t>&amp;</w:t>
      </w:r>
      <w:r w:rsidRPr="00172E44">
        <w:rPr>
          <w:rFonts w:eastAsia="Times New Roman" w:cstheme="minorHAnsi"/>
          <w:lang w:eastAsia="en-GB"/>
        </w:rPr>
        <w:t xml:space="preserve"> Anderson, R. et al.</w:t>
      </w:r>
      <w:r w:rsidR="00BC1019" w:rsidRPr="00172E44">
        <w:rPr>
          <w:rFonts w:eastAsia="Times New Roman" w:cstheme="minorHAnsi"/>
          <w:lang w:eastAsia="en-GB"/>
        </w:rPr>
        <w:t xml:space="preserve"> </w:t>
      </w:r>
      <w:r w:rsidR="00105BDD" w:rsidRPr="00172E44">
        <w:rPr>
          <w:rFonts w:eastAsia="Times New Roman" w:cstheme="minorHAnsi"/>
          <w:lang w:eastAsia="en-GB"/>
        </w:rPr>
        <w:t>(</w:t>
      </w:r>
      <w:r w:rsidRPr="00172E44">
        <w:rPr>
          <w:rFonts w:eastAsia="Times New Roman" w:cstheme="minorHAnsi"/>
          <w:lang w:eastAsia="en-GB"/>
        </w:rPr>
        <w:t>1996</w:t>
      </w:r>
      <w:r w:rsidR="00105BDD" w:rsidRPr="00172E44">
        <w:rPr>
          <w:rFonts w:eastAsia="Times New Roman" w:cstheme="minorHAnsi"/>
          <w:lang w:eastAsia="en-GB"/>
        </w:rPr>
        <w:t>)</w:t>
      </w:r>
      <w:r w:rsidRPr="00172E44">
        <w:rPr>
          <w:rFonts w:eastAsia="Times New Roman" w:cstheme="minorHAnsi"/>
          <w:lang w:eastAsia="en-GB"/>
        </w:rPr>
        <w:t xml:space="preserve">. A two-year follow-up on the effects of a smoking ban in an inpatient psychiatric service. </w:t>
      </w:r>
      <w:r w:rsidRPr="00172E44">
        <w:rPr>
          <w:rFonts w:eastAsia="Times New Roman" w:cstheme="minorHAnsi"/>
          <w:i/>
          <w:iCs/>
          <w:lang w:eastAsia="en-GB"/>
        </w:rPr>
        <w:t>Psychiatr</w:t>
      </w:r>
      <w:r w:rsidR="00BC1019" w:rsidRPr="00172E44">
        <w:rPr>
          <w:rFonts w:eastAsia="Times New Roman" w:cstheme="minorHAnsi"/>
          <w:i/>
          <w:iCs/>
          <w:lang w:eastAsia="en-GB"/>
        </w:rPr>
        <w:t>ic s</w:t>
      </w:r>
      <w:r w:rsidRPr="00172E44">
        <w:rPr>
          <w:rFonts w:eastAsia="Times New Roman" w:cstheme="minorHAnsi"/>
          <w:i/>
          <w:iCs/>
          <w:lang w:eastAsia="en-GB"/>
        </w:rPr>
        <w:t>erv</w:t>
      </w:r>
      <w:r w:rsidR="00BC1019" w:rsidRPr="00172E44">
        <w:rPr>
          <w:rFonts w:eastAsia="Times New Roman" w:cstheme="minorHAnsi"/>
          <w:i/>
          <w:iCs/>
          <w:lang w:eastAsia="en-GB"/>
        </w:rPr>
        <w:t>ices</w:t>
      </w:r>
      <w:r w:rsidRPr="00172E44">
        <w:rPr>
          <w:rFonts w:eastAsia="Times New Roman" w:cstheme="minorHAnsi"/>
          <w:i/>
          <w:iCs/>
          <w:lang w:eastAsia="en-GB"/>
        </w:rPr>
        <w:t>,</w:t>
      </w:r>
      <w:r w:rsidRPr="00172E44">
        <w:rPr>
          <w:rFonts w:eastAsia="Times New Roman" w:cstheme="minorHAnsi"/>
          <w:lang w:eastAsia="en-GB"/>
        </w:rPr>
        <w:t>47</w:t>
      </w:r>
      <w:r w:rsidRPr="00172E44">
        <w:rPr>
          <w:rFonts w:eastAsia="Times New Roman" w:cstheme="minorHAnsi"/>
          <w:b/>
          <w:bCs/>
          <w:lang w:eastAsia="en-GB"/>
        </w:rPr>
        <w:t>,</w:t>
      </w:r>
      <w:r w:rsidRPr="00172E44">
        <w:rPr>
          <w:rFonts w:eastAsia="Times New Roman" w:cstheme="minorHAnsi"/>
          <w:lang w:eastAsia="en-GB"/>
        </w:rPr>
        <w:t xml:space="preserve"> 869-71.</w:t>
      </w:r>
    </w:p>
    <w:p w14:paraId="58E22659" w14:textId="77777777" w:rsidR="007A40B1" w:rsidRPr="00172E44" w:rsidRDefault="007A40B1" w:rsidP="00D07D96">
      <w:pPr>
        <w:spacing w:after="0" w:line="480" w:lineRule="auto"/>
        <w:ind w:left="720" w:hanging="720"/>
        <w:rPr>
          <w:rFonts w:cstheme="minorHAnsi"/>
          <w:i/>
          <w:color w:val="222222"/>
          <w:shd w:val="clear" w:color="auto" w:fill="FFFFFF"/>
        </w:rPr>
      </w:pPr>
      <w:r w:rsidRPr="00172E44">
        <w:rPr>
          <w:rFonts w:cstheme="minorHAnsi"/>
          <w:color w:val="222222"/>
          <w:shd w:val="clear" w:color="auto" w:fill="FFFFFF"/>
        </w:rPr>
        <w:t xml:space="preserve">Whittington, R., Bowers, L., Nolan, P., Simpson, A. </w:t>
      </w:r>
      <w:r w:rsidR="006C4A8E" w:rsidRPr="00172E44">
        <w:rPr>
          <w:rFonts w:cstheme="minorHAnsi"/>
          <w:color w:val="222222"/>
          <w:shd w:val="clear" w:color="auto" w:fill="FFFFFF"/>
        </w:rPr>
        <w:t>&amp;</w:t>
      </w:r>
      <w:r w:rsidRPr="00172E44">
        <w:rPr>
          <w:rFonts w:cstheme="minorHAnsi"/>
          <w:color w:val="222222"/>
          <w:shd w:val="clear" w:color="auto" w:fill="FFFFFF"/>
        </w:rPr>
        <w:t xml:space="preserve"> Neil, L. </w:t>
      </w:r>
      <w:r w:rsidR="00105BDD" w:rsidRPr="00172E44">
        <w:rPr>
          <w:rFonts w:cstheme="minorHAnsi"/>
          <w:color w:val="222222"/>
          <w:shd w:val="clear" w:color="auto" w:fill="FFFFFF"/>
        </w:rPr>
        <w:t>(</w:t>
      </w:r>
      <w:r w:rsidRPr="00172E44">
        <w:rPr>
          <w:rFonts w:cstheme="minorHAnsi"/>
          <w:color w:val="222222"/>
          <w:shd w:val="clear" w:color="auto" w:fill="FFFFFF"/>
        </w:rPr>
        <w:t>2009</w:t>
      </w:r>
      <w:r w:rsidR="00105BDD" w:rsidRPr="00172E44">
        <w:rPr>
          <w:rFonts w:cstheme="minorHAnsi"/>
          <w:color w:val="222222"/>
          <w:shd w:val="clear" w:color="auto" w:fill="FFFFFF"/>
        </w:rPr>
        <w:t>)</w:t>
      </w:r>
      <w:r w:rsidRPr="00172E44">
        <w:rPr>
          <w:rFonts w:cstheme="minorHAnsi"/>
          <w:color w:val="222222"/>
          <w:shd w:val="clear" w:color="auto" w:fill="FFFFFF"/>
        </w:rPr>
        <w:t xml:space="preserve">. Approval ratings of inpatient coervice interventions in a national sample of mental health service users and staff in England. </w:t>
      </w:r>
      <w:r w:rsidR="007B206B" w:rsidRPr="00172E44">
        <w:rPr>
          <w:rFonts w:cstheme="minorHAnsi"/>
          <w:i/>
          <w:color w:val="222222"/>
          <w:shd w:val="clear" w:color="auto" w:fill="FFFFFF"/>
        </w:rPr>
        <w:t xml:space="preserve">Psychiatric services, </w:t>
      </w:r>
      <w:r w:rsidR="007B206B" w:rsidRPr="00172E44">
        <w:rPr>
          <w:rFonts w:cstheme="minorHAnsi"/>
          <w:color w:val="222222"/>
          <w:shd w:val="clear" w:color="auto" w:fill="FFFFFF"/>
        </w:rPr>
        <w:t>60</w:t>
      </w:r>
      <w:r w:rsidR="007B206B" w:rsidRPr="00172E44">
        <w:rPr>
          <w:rFonts w:cstheme="minorHAnsi"/>
          <w:i/>
          <w:color w:val="222222"/>
          <w:shd w:val="clear" w:color="auto" w:fill="FFFFFF"/>
        </w:rPr>
        <w:t>, 792-798.</w:t>
      </w:r>
    </w:p>
    <w:p w14:paraId="76E5FB8C" w14:textId="1BD5350F" w:rsidR="00FB5718" w:rsidRPr="00172E44" w:rsidRDefault="00FB5718" w:rsidP="00D07D96">
      <w:pPr>
        <w:spacing w:after="0" w:line="480" w:lineRule="auto"/>
        <w:ind w:left="720" w:hanging="720"/>
        <w:rPr>
          <w:rFonts w:cstheme="minorHAnsi"/>
          <w:i/>
          <w:color w:val="222222"/>
          <w:shd w:val="clear" w:color="auto" w:fill="FFFFFF"/>
        </w:rPr>
      </w:pPr>
      <w:r w:rsidRPr="00172E44">
        <w:rPr>
          <w:rFonts w:cstheme="minorHAnsi"/>
          <w:color w:val="222222"/>
          <w:shd w:val="clear" w:color="auto" w:fill="FFFFFF"/>
        </w:rPr>
        <w:t xml:space="preserve">Wray, </w:t>
      </w:r>
      <w:r w:rsidR="007D4991" w:rsidRPr="00172E44">
        <w:rPr>
          <w:rFonts w:cstheme="minorHAnsi"/>
          <w:color w:val="222222"/>
          <w:shd w:val="clear" w:color="auto" w:fill="FFFFFF"/>
        </w:rPr>
        <w:t>J.M.,</w:t>
      </w:r>
      <w:r w:rsidR="00BC1019" w:rsidRPr="00172E44">
        <w:rPr>
          <w:rFonts w:cstheme="minorHAnsi"/>
          <w:color w:val="222222"/>
          <w:shd w:val="clear" w:color="auto" w:fill="FFFFFF"/>
        </w:rPr>
        <w:t xml:space="preserve"> </w:t>
      </w:r>
      <w:r w:rsidR="007D4991" w:rsidRPr="00172E44">
        <w:rPr>
          <w:rFonts w:cstheme="minorHAnsi"/>
          <w:color w:val="222222"/>
          <w:shd w:val="clear" w:color="auto" w:fill="FFFFFF"/>
        </w:rPr>
        <w:t xml:space="preserve">Godleski, S.A. &amp; Tiffany, S.T. (2011). Cue-reactivity in the natural environment of cigarette smokers: The impact of photographic and in vivo smoking. </w:t>
      </w:r>
      <w:r w:rsidR="007D4991" w:rsidRPr="00172E44">
        <w:rPr>
          <w:rFonts w:cstheme="minorHAnsi"/>
          <w:i/>
          <w:color w:val="222222"/>
          <w:shd w:val="clear" w:color="auto" w:fill="FFFFFF"/>
        </w:rPr>
        <w:t xml:space="preserve">Psychology of addictive behaviours. </w:t>
      </w:r>
      <w:r w:rsidR="007D4991" w:rsidRPr="00172E44">
        <w:rPr>
          <w:rFonts w:cstheme="minorHAnsi"/>
          <w:color w:val="222222"/>
          <w:shd w:val="clear" w:color="auto" w:fill="FFFFFF"/>
        </w:rPr>
        <w:t>25</w:t>
      </w:r>
      <w:r w:rsidR="007D4991" w:rsidRPr="00172E44">
        <w:rPr>
          <w:rFonts w:cstheme="minorHAnsi"/>
          <w:i/>
          <w:color w:val="222222"/>
          <w:shd w:val="clear" w:color="auto" w:fill="FFFFFF"/>
        </w:rPr>
        <w:t xml:space="preserve">, </w:t>
      </w:r>
      <w:r w:rsidR="007D4991" w:rsidRPr="00172E44">
        <w:rPr>
          <w:rFonts w:cstheme="minorHAnsi"/>
          <w:color w:val="222222"/>
          <w:shd w:val="clear" w:color="auto" w:fill="FFFFFF"/>
        </w:rPr>
        <w:t>733-737.</w:t>
      </w:r>
    </w:p>
    <w:p w14:paraId="6FF0142E" w14:textId="77777777" w:rsidR="00457439" w:rsidRPr="00172E44" w:rsidRDefault="008E20D3" w:rsidP="00457439">
      <w:pPr>
        <w:rPr>
          <w:rFonts w:cstheme="minorHAnsi"/>
          <w:color w:val="222222"/>
          <w:shd w:val="clear" w:color="auto" w:fill="FFFFFF"/>
        </w:rPr>
      </w:pPr>
      <w:r w:rsidRPr="00172E44">
        <w:rPr>
          <w:rFonts w:cstheme="minorHAnsi"/>
          <w:color w:val="222222"/>
          <w:shd w:val="clear" w:color="auto" w:fill="FFFFFF"/>
        </w:rPr>
        <w:br w:type="page"/>
      </w:r>
      <w:bookmarkStart w:id="11" w:name="_Hlk4407622"/>
    </w:p>
    <w:p w14:paraId="68431F52" w14:textId="77777777" w:rsidR="000D12C2" w:rsidRPr="00172E44" w:rsidRDefault="000D12C2" w:rsidP="00457439">
      <w:pPr>
        <w:spacing w:line="480" w:lineRule="auto"/>
        <w:rPr>
          <w:rFonts w:cstheme="minorHAnsi"/>
        </w:rPr>
      </w:pPr>
      <w:r w:rsidRPr="00172E44">
        <w:rPr>
          <w:b/>
        </w:rPr>
        <w:t xml:space="preserve">Table 1: Number </w:t>
      </w:r>
      <w:r w:rsidR="00E97D60" w:rsidRPr="00172E44">
        <w:rPr>
          <w:b/>
        </w:rPr>
        <w:t xml:space="preserve">and percentage </w:t>
      </w:r>
      <w:r w:rsidRPr="00172E44">
        <w:rPr>
          <w:b/>
        </w:rPr>
        <w:t>of incidents in each antecedent category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99"/>
        <w:gridCol w:w="1086"/>
        <w:gridCol w:w="1641"/>
        <w:gridCol w:w="1078"/>
      </w:tblGrid>
      <w:tr w:rsidR="000D12C2" w:rsidRPr="00172E44" w14:paraId="26AEB864" w14:textId="77777777" w:rsidTr="00B27F5B">
        <w:tc>
          <w:tcPr>
            <w:tcW w:w="4699" w:type="dxa"/>
            <w:tcBorders>
              <w:bottom w:val="single" w:sz="4" w:space="0" w:color="auto"/>
              <w:right w:val="nil"/>
            </w:tcBorders>
          </w:tcPr>
          <w:p w14:paraId="72157B4E" w14:textId="77777777" w:rsidR="000D12C2" w:rsidRPr="00172E44" w:rsidRDefault="000D12C2" w:rsidP="005560FB">
            <w:pPr>
              <w:spacing w:line="480" w:lineRule="auto"/>
              <w:rPr>
                <w:b/>
              </w:rPr>
            </w:pPr>
            <w:bookmarkStart w:id="12" w:name="_Hlk5278873"/>
            <w:bookmarkStart w:id="13" w:name="_Hlk1551195"/>
            <w:r w:rsidRPr="00172E44">
              <w:rPr>
                <w:b/>
              </w:rPr>
              <w:t>Categories of antecedents</w:t>
            </w:r>
          </w:p>
        </w:tc>
        <w:tc>
          <w:tcPr>
            <w:tcW w:w="1086" w:type="dxa"/>
            <w:tcBorders>
              <w:left w:val="nil"/>
              <w:bottom w:val="single" w:sz="4" w:space="0" w:color="auto"/>
              <w:right w:val="nil"/>
            </w:tcBorders>
          </w:tcPr>
          <w:p w14:paraId="3D285C77" w14:textId="77777777" w:rsidR="000D12C2" w:rsidRPr="00172E44" w:rsidRDefault="007B6B96" w:rsidP="005560FB">
            <w:pPr>
              <w:spacing w:line="480" w:lineRule="auto"/>
              <w:jc w:val="center"/>
              <w:rPr>
                <w:b/>
              </w:rPr>
            </w:pPr>
            <w:r w:rsidRPr="00172E44">
              <w:rPr>
                <w:b/>
              </w:rPr>
              <w:t xml:space="preserve">Indoor </w:t>
            </w:r>
            <w:r w:rsidR="000D12C2" w:rsidRPr="00172E44">
              <w:rPr>
                <w:b/>
              </w:rPr>
              <w:t>policy</w:t>
            </w:r>
          </w:p>
          <w:p w14:paraId="50702842" w14:textId="77777777" w:rsidR="000D12C2" w:rsidRPr="00172E44" w:rsidRDefault="000D12C2" w:rsidP="005560FB">
            <w:pPr>
              <w:spacing w:line="480" w:lineRule="auto"/>
              <w:jc w:val="center"/>
            </w:pPr>
            <w:r w:rsidRPr="00172E44">
              <w:t xml:space="preserve">(n=60) </w:t>
            </w:r>
          </w:p>
        </w:tc>
        <w:tc>
          <w:tcPr>
            <w:tcW w:w="1641" w:type="dxa"/>
            <w:tcBorders>
              <w:left w:val="nil"/>
              <w:bottom w:val="single" w:sz="4" w:space="0" w:color="auto"/>
              <w:right w:val="nil"/>
            </w:tcBorders>
          </w:tcPr>
          <w:p w14:paraId="79C53C72" w14:textId="77777777" w:rsidR="000D12C2" w:rsidRPr="00172E44" w:rsidRDefault="007B6B96" w:rsidP="005560FB">
            <w:pPr>
              <w:spacing w:line="480" w:lineRule="auto"/>
              <w:jc w:val="center"/>
              <w:rPr>
                <w:b/>
              </w:rPr>
            </w:pPr>
            <w:r w:rsidRPr="00172E44">
              <w:rPr>
                <w:b/>
              </w:rPr>
              <w:t xml:space="preserve">Comprehensive </w:t>
            </w:r>
            <w:r w:rsidR="000D12C2" w:rsidRPr="00172E44">
              <w:rPr>
                <w:b/>
              </w:rPr>
              <w:t>policy</w:t>
            </w:r>
          </w:p>
          <w:p w14:paraId="1EACE4C4" w14:textId="77777777" w:rsidR="000D12C2" w:rsidRPr="00172E44" w:rsidRDefault="000D12C2" w:rsidP="005560FB">
            <w:pPr>
              <w:spacing w:line="480" w:lineRule="auto"/>
              <w:jc w:val="center"/>
            </w:pPr>
            <w:r w:rsidRPr="00172E44">
              <w:t xml:space="preserve">(n=32) </w:t>
            </w:r>
          </w:p>
        </w:tc>
        <w:tc>
          <w:tcPr>
            <w:tcW w:w="1078" w:type="dxa"/>
            <w:tcBorders>
              <w:left w:val="nil"/>
              <w:bottom w:val="single" w:sz="4" w:space="0" w:color="auto"/>
            </w:tcBorders>
          </w:tcPr>
          <w:p w14:paraId="69D0F6B6" w14:textId="77777777" w:rsidR="000D12C2" w:rsidRPr="00172E44" w:rsidRDefault="000D12C2" w:rsidP="005560FB">
            <w:pPr>
              <w:spacing w:line="480" w:lineRule="auto"/>
              <w:rPr>
                <w:b/>
              </w:rPr>
            </w:pPr>
            <w:r w:rsidRPr="00172E44">
              <w:rPr>
                <w:b/>
              </w:rPr>
              <w:t xml:space="preserve">Total </w:t>
            </w:r>
          </w:p>
          <w:p w14:paraId="10959736" w14:textId="77777777" w:rsidR="004E5BCD" w:rsidRPr="00172E44" w:rsidRDefault="004E5BCD" w:rsidP="005560FB">
            <w:pPr>
              <w:spacing w:line="480" w:lineRule="auto"/>
              <w:rPr>
                <w:b/>
              </w:rPr>
            </w:pPr>
          </w:p>
          <w:p w14:paraId="55D6A618" w14:textId="77777777" w:rsidR="005560FB" w:rsidRPr="00172E44" w:rsidRDefault="000D12C2" w:rsidP="005560FB">
            <w:pPr>
              <w:spacing w:line="480" w:lineRule="auto"/>
            </w:pPr>
            <w:r w:rsidRPr="00172E44">
              <w:t>(n=92)</w:t>
            </w:r>
          </w:p>
        </w:tc>
      </w:tr>
      <w:tr w:rsidR="000D12C2" w:rsidRPr="00172E44" w14:paraId="5F34C096" w14:textId="77777777" w:rsidTr="00B27F5B">
        <w:tc>
          <w:tcPr>
            <w:tcW w:w="4699" w:type="dxa"/>
            <w:tcBorders>
              <w:bottom w:val="single" w:sz="4" w:space="0" w:color="auto"/>
              <w:right w:val="nil"/>
            </w:tcBorders>
          </w:tcPr>
          <w:p w14:paraId="17E4ADB8" w14:textId="77777777" w:rsidR="000D12C2" w:rsidRPr="00172E44" w:rsidRDefault="000D12C2" w:rsidP="005560FB">
            <w:pPr>
              <w:spacing w:line="480" w:lineRule="auto"/>
              <w:rPr>
                <w:b/>
              </w:rPr>
            </w:pPr>
            <w:r w:rsidRPr="00172E44">
              <w:rPr>
                <w:b/>
              </w:rPr>
              <w:t>Single Antecedent category</w:t>
            </w:r>
          </w:p>
        </w:tc>
        <w:tc>
          <w:tcPr>
            <w:tcW w:w="1086" w:type="dxa"/>
            <w:tcBorders>
              <w:left w:val="nil"/>
              <w:bottom w:val="single" w:sz="4" w:space="0" w:color="auto"/>
              <w:right w:val="nil"/>
            </w:tcBorders>
          </w:tcPr>
          <w:p w14:paraId="3AE93A12" w14:textId="77777777" w:rsidR="000D12C2" w:rsidRPr="00172E44" w:rsidRDefault="000D12C2" w:rsidP="005560FB">
            <w:pPr>
              <w:spacing w:line="480" w:lineRule="auto"/>
              <w:jc w:val="center"/>
              <w:rPr>
                <w:b/>
              </w:rPr>
            </w:pPr>
          </w:p>
        </w:tc>
        <w:tc>
          <w:tcPr>
            <w:tcW w:w="1641" w:type="dxa"/>
            <w:tcBorders>
              <w:left w:val="nil"/>
              <w:bottom w:val="single" w:sz="4" w:space="0" w:color="auto"/>
              <w:right w:val="nil"/>
            </w:tcBorders>
          </w:tcPr>
          <w:p w14:paraId="2065904B" w14:textId="77777777" w:rsidR="000D12C2" w:rsidRPr="00172E44" w:rsidRDefault="000D12C2" w:rsidP="005560FB">
            <w:pPr>
              <w:spacing w:line="480" w:lineRule="auto"/>
              <w:jc w:val="center"/>
              <w:rPr>
                <w:b/>
              </w:rPr>
            </w:pPr>
          </w:p>
        </w:tc>
        <w:tc>
          <w:tcPr>
            <w:tcW w:w="1078" w:type="dxa"/>
            <w:tcBorders>
              <w:left w:val="nil"/>
              <w:bottom w:val="single" w:sz="4" w:space="0" w:color="auto"/>
            </w:tcBorders>
          </w:tcPr>
          <w:p w14:paraId="735D5938" w14:textId="77777777" w:rsidR="000D12C2" w:rsidRPr="00172E44" w:rsidRDefault="000D12C2" w:rsidP="005560FB">
            <w:pPr>
              <w:spacing w:line="480" w:lineRule="auto"/>
              <w:rPr>
                <w:b/>
              </w:rPr>
            </w:pPr>
          </w:p>
        </w:tc>
      </w:tr>
      <w:tr w:rsidR="000D12C2" w:rsidRPr="00172E44" w14:paraId="7EC3F42F" w14:textId="77777777" w:rsidTr="00B27F5B">
        <w:tc>
          <w:tcPr>
            <w:tcW w:w="4699" w:type="dxa"/>
            <w:tcBorders>
              <w:bottom w:val="single" w:sz="4" w:space="0" w:color="auto"/>
              <w:right w:val="nil"/>
            </w:tcBorders>
          </w:tcPr>
          <w:p w14:paraId="05CD3574" w14:textId="7842380A" w:rsidR="000D12C2" w:rsidRPr="00172E44" w:rsidRDefault="000D12C2" w:rsidP="005560FB">
            <w:pPr>
              <w:spacing w:line="480" w:lineRule="auto"/>
            </w:pPr>
            <w:r w:rsidRPr="00172E44">
              <w:t>1. Patient request to smoke denied by staff, n (%)</w:t>
            </w:r>
          </w:p>
        </w:tc>
        <w:tc>
          <w:tcPr>
            <w:tcW w:w="1086" w:type="dxa"/>
            <w:tcBorders>
              <w:left w:val="nil"/>
              <w:bottom w:val="single" w:sz="4" w:space="0" w:color="auto"/>
              <w:right w:val="nil"/>
            </w:tcBorders>
          </w:tcPr>
          <w:p w14:paraId="2C885964" w14:textId="77777777" w:rsidR="000D12C2" w:rsidRPr="00172E44" w:rsidRDefault="000D12C2" w:rsidP="00A02C30">
            <w:pPr>
              <w:spacing w:line="480" w:lineRule="auto"/>
              <w:jc w:val="center"/>
            </w:pPr>
            <w:r w:rsidRPr="00172E44">
              <w:t>18 (30.0)</w:t>
            </w:r>
          </w:p>
        </w:tc>
        <w:tc>
          <w:tcPr>
            <w:tcW w:w="1641" w:type="dxa"/>
            <w:tcBorders>
              <w:left w:val="nil"/>
              <w:bottom w:val="single" w:sz="4" w:space="0" w:color="auto"/>
              <w:right w:val="nil"/>
            </w:tcBorders>
          </w:tcPr>
          <w:p w14:paraId="05DA184A" w14:textId="77777777" w:rsidR="000D12C2" w:rsidRPr="00172E44" w:rsidRDefault="000D12C2" w:rsidP="00A02C30">
            <w:pPr>
              <w:spacing w:line="480" w:lineRule="auto"/>
              <w:jc w:val="center"/>
            </w:pPr>
            <w:r w:rsidRPr="00172E44">
              <w:t>10 (31.3)</w:t>
            </w:r>
          </w:p>
        </w:tc>
        <w:tc>
          <w:tcPr>
            <w:tcW w:w="1078" w:type="dxa"/>
            <w:tcBorders>
              <w:left w:val="nil"/>
              <w:bottom w:val="single" w:sz="4" w:space="0" w:color="auto"/>
            </w:tcBorders>
          </w:tcPr>
          <w:p w14:paraId="1AE282E3" w14:textId="77777777" w:rsidR="000D12C2" w:rsidRPr="00172E44" w:rsidRDefault="000D12C2" w:rsidP="00A02C30">
            <w:pPr>
              <w:spacing w:line="480" w:lineRule="auto"/>
              <w:jc w:val="center"/>
            </w:pPr>
            <w:r w:rsidRPr="00172E44">
              <w:t>28 (30.4)</w:t>
            </w:r>
          </w:p>
        </w:tc>
      </w:tr>
      <w:tr w:rsidR="000D12C2" w:rsidRPr="00172E44" w14:paraId="3D39C463" w14:textId="77777777" w:rsidTr="00B27F5B">
        <w:tc>
          <w:tcPr>
            <w:tcW w:w="4699" w:type="dxa"/>
            <w:tcBorders>
              <w:bottom w:val="single" w:sz="4" w:space="0" w:color="auto"/>
              <w:right w:val="nil"/>
            </w:tcBorders>
          </w:tcPr>
          <w:p w14:paraId="3E7BB858" w14:textId="77777777" w:rsidR="000D12C2" w:rsidRPr="00172E44" w:rsidRDefault="000D12C2" w:rsidP="005560FB">
            <w:pPr>
              <w:spacing w:line="480" w:lineRule="auto"/>
            </w:pPr>
            <w:r w:rsidRPr="00172E44">
              <w:t xml:space="preserve">2. During </w:t>
            </w:r>
            <w:bookmarkStart w:id="14" w:name="_Hlk1560040"/>
            <w:r w:rsidRPr="00172E44">
              <w:t>supervised smoking break</w:t>
            </w:r>
            <w:bookmarkEnd w:id="14"/>
            <w:r w:rsidR="00416C54" w:rsidRPr="00172E44">
              <w:t>, n (%)</w:t>
            </w:r>
          </w:p>
        </w:tc>
        <w:tc>
          <w:tcPr>
            <w:tcW w:w="1086" w:type="dxa"/>
            <w:tcBorders>
              <w:left w:val="nil"/>
              <w:bottom w:val="single" w:sz="4" w:space="0" w:color="auto"/>
              <w:right w:val="nil"/>
            </w:tcBorders>
          </w:tcPr>
          <w:p w14:paraId="2B5BD8D1" w14:textId="77777777" w:rsidR="000D12C2" w:rsidRPr="00172E44" w:rsidRDefault="000D12C2" w:rsidP="00A02C30">
            <w:pPr>
              <w:spacing w:line="480" w:lineRule="auto"/>
              <w:jc w:val="center"/>
            </w:pPr>
            <w:r w:rsidRPr="00172E44">
              <w:t>22 (36.7)</w:t>
            </w:r>
          </w:p>
        </w:tc>
        <w:tc>
          <w:tcPr>
            <w:tcW w:w="1641" w:type="dxa"/>
            <w:tcBorders>
              <w:left w:val="nil"/>
              <w:bottom w:val="single" w:sz="4" w:space="0" w:color="auto"/>
              <w:right w:val="nil"/>
            </w:tcBorders>
          </w:tcPr>
          <w:p w14:paraId="7D99A363" w14:textId="77777777" w:rsidR="000D12C2" w:rsidRPr="00172E44" w:rsidRDefault="000D12C2" w:rsidP="00A02C30">
            <w:pPr>
              <w:spacing w:line="480" w:lineRule="auto"/>
              <w:jc w:val="center"/>
            </w:pPr>
            <w:r w:rsidRPr="00172E44">
              <w:t>0</w:t>
            </w:r>
          </w:p>
        </w:tc>
        <w:tc>
          <w:tcPr>
            <w:tcW w:w="1078" w:type="dxa"/>
            <w:tcBorders>
              <w:left w:val="nil"/>
              <w:bottom w:val="single" w:sz="4" w:space="0" w:color="auto"/>
            </w:tcBorders>
          </w:tcPr>
          <w:p w14:paraId="0A1E0886" w14:textId="77777777" w:rsidR="000D12C2" w:rsidRPr="00172E44" w:rsidRDefault="000D12C2" w:rsidP="00A02C30">
            <w:pPr>
              <w:spacing w:line="480" w:lineRule="auto"/>
              <w:jc w:val="center"/>
            </w:pPr>
            <w:r w:rsidRPr="00172E44">
              <w:t>22 (23.9)</w:t>
            </w:r>
          </w:p>
        </w:tc>
      </w:tr>
      <w:tr w:rsidR="000D12C2" w:rsidRPr="00172E44" w14:paraId="16727BAC" w14:textId="77777777" w:rsidTr="00B27F5B">
        <w:tc>
          <w:tcPr>
            <w:tcW w:w="4699" w:type="dxa"/>
            <w:tcBorders>
              <w:bottom w:val="single" w:sz="4" w:space="0" w:color="auto"/>
              <w:right w:val="nil"/>
            </w:tcBorders>
          </w:tcPr>
          <w:p w14:paraId="7F25DAD9" w14:textId="77777777" w:rsidR="00BC1019" w:rsidRPr="00172E44" w:rsidRDefault="000D12C2" w:rsidP="005560FB">
            <w:pPr>
              <w:spacing w:line="480" w:lineRule="auto"/>
            </w:pPr>
            <w:r w:rsidRPr="00172E44">
              <w:t xml:space="preserve">3. </w:t>
            </w:r>
            <w:r w:rsidR="00481993" w:rsidRPr="00172E44">
              <w:t>Staff response to b</w:t>
            </w:r>
            <w:r w:rsidRPr="00172E44">
              <w:t>reach of smoke-free policy</w:t>
            </w:r>
            <w:r w:rsidR="00416C54" w:rsidRPr="00172E44">
              <w:t>,</w:t>
            </w:r>
          </w:p>
          <w:p w14:paraId="6C2FDD48" w14:textId="0EF8969E" w:rsidR="000D12C2" w:rsidRPr="00172E44" w:rsidRDefault="00416C54" w:rsidP="005560FB">
            <w:pPr>
              <w:spacing w:line="480" w:lineRule="auto"/>
            </w:pPr>
            <w:r w:rsidRPr="00172E44">
              <w:t>n (%)</w:t>
            </w:r>
          </w:p>
        </w:tc>
        <w:tc>
          <w:tcPr>
            <w:tcW w:w="1086" w:type="dxa"/>
            <w:tcBorders>
              <w:left w:val="nil"/>
              <w:bottom w:val="single" w:sz="4" w:space="0" w:color="auto"/>
              <w:right w:val="nil"/>
            </w:tcBorders>
          </w:tcPr>
          <w:p w14:paraId="034912C3" w14:textId="77777777" w:rsidR="000D12C2" w:rsidRPr="00172E44" w:rsidRDefault="000D12C2" w:rsidP="00A02C30">
            <w:pPr>
              <w:spacing w:line="480" w:lineRule="auto"/>
              <w:jc w:val="center"/>
            </w:pPr>
            <w:r w:rsidRPr="00172E44">
              <w:t>7 (11.7)</w:t>
            </w:r>
          </w:p>
        </w:tc>
        <w:tc>
          <w:tcPr>
            <w:tcW w:w="1641" w:type="dxa"/>
            <w:tcBorders>
              <w:left w:val="nil"/>
              <w:bottom w:val="single" w:sz="4" w:space="0" w:color="auto"/>
              <w:right w:val="nil"/>
            </w:tcBorders>
          </w:tcPr>
          <w:p w14:paraId="25618335" w14:textId="77777777" w:rsidR="000D12C2" w:rsidRPr="00172E44" w:rsidRDefault="000D12C2" w:rsidP="00A02C30">
            <w:pPr>
              <w:spacing w:line="480" w:lineRule="auto"/>
              <w:jc w:val="center"/>
            </w:pPr>
            <w:r w:rsidRPr="00172E44">
              <w:t>11 (34.4)</w:t>
            </w:r>
          </w:p>
        </w:tc>
        <w:tc>
          <w:tcPr>
            <w:tcW w:w="1078" w:type="dxa"/>
            <w:tcBorders>
              <w:left w:val="nil"/>
              <w:bottom w:val="single" w:sz="4" w:space="0" w:color="auto"/>
            </w:tcBorders>
          </w:tcPr>
          <w:p w14:paraId="28F33CDC" w14:textId="77777777" w:rsidR="000D12C2" w:rsidRPr="00172E44" w:rsidRDefault="000D12C2" w:rsidP="00A02C30">
            <w:pPr>
              <w:spacing w:line="480" w:lineRule="auto"/>
              <w:jc w:val="center"/>
            </w:pPr>
            <w:r w:rsidRPr="00172E44">
              <w:t>18 (19.6)</w:t>
            </w:r>
          </w:p>
        </w:tc>
      </w:tr>
      <w:tr w:rsidR="000D12C2" w:rsidRPr="00172E44" w14:paraId="611C4C1A" w14:textId="77777777" w:rsidTr="00B27F5B">
        <w:tc>
          <w:tcPr>
            <w:tcW w:w="4699" w:type="dxa"/>
            <w:tcBorders>
              <w:bottom w:val="single" w:sz="4" w:space="0" w:color="auto"/>
              <w:right w:val="nil"/>
            </w:tcBorders>
          </w:tcPr>
          <w:p w14:paraId="40FF2E5B" w14:textId="28F42689" w:rsidR="000D12C2" w:rsidRPr="00172E44" w:rsidRDefault="000D12C2" w:rsidP="005560FB">
            <w:pPr>
              <w:spacing w:line="480" w:lineRule="auto"/>
            </w:pPr>
            <w:r w:rsidRPr="00172E44">
              <w:t>4. Asking for, trading or stealing smoking materials</w:t>
            </w:r>
            <w:r w:rsidR="00416C54" w:rsidRPr="00172E44">
              <w:t>, n (%)</w:t>
            </w:r>
          </w:p>
        </w:tc>
        <w:tc>
          <w:tcPr>
            <w:tcW w:w="1086" w:type="dxa"/>
            <w:tcBorders>
              <w:left w:val="nil"/>
              <w:bottom w:val="single" w:sz="4" w:space="0" w:color="auto"/>
              <w:right w:val="nil"/>
            </w:tcBorders>
          </w:tcPr>
          <w:p w14:paraId="18A22DBB" w14:textId="77777777" w:rsidR="000D12C2" w:rsidRPr="00172E44" w:rsidRDefault="000D12C2" w:rsidP="00A02C30">
            <w:pPr>
              <w:spacing w:line="480" w:lineRule="auto"/>
              <w:jc w:val="center"/>
            </w:pPr>
            <w:r w:rsidRPr="00172E44">
              <w:t>8 (13.3)</w:t>
            </w:r>
          </w:p>
        </w:tc>
        <w:tc>
          <w:tcPr>
            <w:tcW w:w="1641" w:type="dxa"/>
            <w:tcBorders>
              <w:left w:val="nil"/>
              <w:bottom w:val="single" w:sz="4" w:space="0" w:color="auto"/>
              <w:right w:val="nil"/>
            </w:tcBorders>
          </w:tcPr>
          <w:p w14:paraId="20C11C27" w14:textId="77777777" w:rsidR="000D12C2" w:rsidRPr="00172E44" w:rsidRDefault="000D12C2" w:rsidP="00A02C30">
            <w:pPr>
              <w:spacing w:line="480" w:lineRule="auto"/>
              <w:jc w:val="center"/>
            </w:pPr>
            <w:r w:rsidRPr="00172E44">
              <w:t>7 (21.9)</w:t>
            </w:r>
          </w:p>
        </w:tc>
        <w:tc>
          <w:tcPr>
            <w:tcW w:w="1078" w:type="dxa"/>
            <w:tcBorders>
              <w:left w:val="nil"/>
              <w:bottom w:val="single" w:sz="4" w:space="0" w:color="auto"/>
            </w:tcBorders>
          </w:tcPr>
          <w:p w14:paraId="2B61C701" w14:textId="77777777" w:rsidR="000D12C2" w:rsidRPr="00172E44" w:rsidRDefault="000D12C2" w:rsidP="00A02C30">
            <w:pPr>
              <w:spacing w:line="480" w:lineRule="auto"/>
              <w:jc w:val="center"/>
            </w:pPr>
            <w:r w:rsidRPr="00172E44">
              <w:t>15 (16.3)</w:t>
            </w:r>
          </w:p>
        </w:tc>
      </w:tr>
      <w:bookmarkEnd w:id="12"/>
      <w:tr w:rsidR="00B27F5B" w:rsidRPr="00172E44" w:rsidDel="00D32C26" w14:paraId="43A9F364" w14:textId="77777777" w:rsidTr="007F4332">
        <w:tc>
          <w:tcPr>
            <w:tcW w:w="8504" w:type="dxa"/>
            <w:gridSpan w:val="4"/>
          </w:tcPr>
          <w:p w14:paraId="15A05A03" w14:textId="39772040" w:rsidR="00B27F5B" w:rsidRPr="00172E44" w:rsidRDefault="00B27F5B" w:rsidP="005560FB">
            <w:pPr>
              <w:spacing w:line="480" w:lineRule="auto"/>
            </w:pPr>
            <w:r w:rsidRPr="00172E44">
              <w:rPr>
                <w:b/>
              </w:rPr>
              <w:t>Number of combinations antecedent categories</w:t>
            </w:r>
          </w:p>
        </w:tc>
      </w:tr>
      <w:tr w:rsidR="000D12C2" w:rsidRPr="00172E44" w:rsidDel="00D32C26" w14:paraId="7F393F7D" w14:textId="77777777" w:rsidTr="00B27F5B">
        <w:tc>
          <w:tcPr>
            <w:tcW w:w="4699" w:type="dxa"/>
            <w:tcBorders>
              <w:bottom w:val="single" w:sz="4" w:space="0" w:color="auto"/>
              <w:right w:val="nil"/>
            </w:tcBorders>
          </w:tcPr>
          <w:p w14:paraId="69EB160C" w14:textId="2A1CFFDB" w:rsidR="000D12C2" w:rsidRPr="00172E44" w:rsidRDefault="000D12C2" w:rsidP="005560FB">
            <w:pPr>
              <w:spacing w:line="480" w:lineRule="auto"/>
            </w:pPr>
            <w:r w:rsidRPr="00172E44">
              <w:t>1 &amp; 2</w:t>
            </w:r>
          </w:p>
        </w:tc>
        <w:tc>
          <w:tcPr>
            <w:tcW w:w="1086" w:type="dxa"/>
            <w:tcBorders>
              <w:left w:val="nil"/>
              <w:bottom w:val="single" w:sz="4" w:space="0" w:color="auto"/>
              <w:right w:val="nil"/>
            </w:tcBorders>
          </w:tcPr>
          <w:p w14:paraId="7AB9B893" w14:textId="77777777" w:rsidR="000D12C2" w:rsidRPr="00172E44" w:rsidRDefault="000D12C2" w:rsidP="00A02C30">
            <w:pPr>
              <w:spacing w:line="480" w:lineRule="auto"/>
              <w:jc w:val="center"/>
            </w:pPr>
            <w:r w:rsidRPr="00172E44">
              <w:t>1</w:t>
            </w:r>
          </w:p>
        </w:tc>
        <w:tc>
          <w:tcPr>
            <w:tcW w:w="1641" w:type="dxa"/>
            <w:tcBorders>
              <w:left w:val="nil"/>
              <w:bottom w:val="single" w:sz="4" w:space="0" w:color="auto"/>
              <w:right w:val="nil"/>
            </w:tcBorders>
          </w:tcPr>
          <w:p w14:paraId="41EAE706" w14:textId="77777777" w:rsidR="000D12C2" w:rsidRPr="00172E44" w:rsidRDefault="000D12C2" w:rsidP="00A02C30">
            <w:pPr>
              <w:spacing w:line="480" w:lineRule="auto"/>
              <w:jc w:val="center"/>
            </w:pPr>
            <w:r w:rsidRPr="00172E44">
              <w:t>0</w:t>
            </w:r>
          </w:p>
        </w:tc>
        <w:tc>
          <w:tcPr>
            <w:tcW w:w="1078" w:type="dxa"/>
            <w:tcBorders>
              <w:left w:val="nil"/>
              <w:bottom w:val="single" w:sz="4" w:space="0" w:color="auto"/>
            </w:tcBorders>
          </w:tcPr>
          <w:p w14:paraId="6BADA253" w14:textId="77777777" w:rsidR="000D12C2" w:rsidRPr="00172E44" w:rsidRDefault="000D12C2" w:rsidP="00A02C30">
            <w:pPr>
              <w:spacing w:line="480" w:lineRule="auto"/>
              <w:jc w:val="center"/>
            </w:pPr>
            <w:r w:rsidRPr="00172E44">
              <w:t>1</w:t>
            </w:r>
          </w:p>
        </w:tc>
      </w:tr>
      <w:tr w:rsidR="000D12C2" w:rsidRPr="00172E44" w:rsidDel="00D32C26" w14:paraId="6B7CB8C1" w14:textId="77777777" w:rsidTr="00B27F5B">
        <w:tc>
          <w:tcPr>
            <w:tcW w:w="4699" w:type="dxa"/>
            <w:tcBorders>
              <w:bottom w:val="single" w:sz="4" w:space="0" w:color="auto"/>
              <w:right w:val="nil"/>
            </w:tcBorders>
          </w:tcPr>
          <w:p w14:paraId="524589A2" w14:textId="1C30B832" w:rsidR="000D12C2" w:rsidRPr="00172E44" w:rsidRDefault="000D12C2" w:rsidP="005560FB">
            <w:pPr>
              <w:spacing w:line="480" w:lineRule="auto"/>
            </w:pPr>
            <w:r w:rsidRPr="00172E44">
              <w:t xml:space="preserve">1 &amp; </w:t>
            </w:r>
            <w:r w:rsidR="00B27F5B" w:rsidRPr="00172E44">
              <w:t>3</w:t>
            </w:r>
          </w:p>
        </w:tc>
        <w:tc>
          <w:tcPr>
            <w:tcW w:w="1086" w:type="dxa"/>
            <w:tcBorders>
              <w:left w:val="nil"/>
              <w:bottom w:val="single" w:sz="4" w:space="0" w:color="auto"/>
              <w:right w:val="nil"/>
            </w:tcBorders>
          </w:tcPr>
          <w:p w14:paraId="50BDE2FE" w14:textId="77777777" w:rsidR="000D12C2" w:rsidRPr="00172E44" w:rsidRDefault="000D12C2" w:rsidP="00A02C30">
            <w:pPr>
              <w:spacing w:line="480" w:lineRule="auto"/>
              <w:jc w:val="center"/>
            </w:pPr>
            <w:r w:rsidRPr="00172E44">
              <w:t>0</w:t>
            </w:r>
          </w:p>
        </w:tc>
        <w:tc>
          <w:tcPr>
            <w:tcW w:w="1641" w:type="dxa"/>
            <w:tcBorders>
              <w:left w:val="nil"/>
              <w:bottom w:val="single" w:sz="4" w:space="0" w:color="auto"/>
              <w:right w:val="nil"/>
            </w:tcBorders>
          </w:tcPr>
          <w:p w14:paraId="1FBA0DA1" w14:textId="77777777" w:rsidR="000D12C2" w:rsidRPr="00172E44" w:rsidRDefault="000D12C2" w:rsidP="00A02C30">
            <w:pPr>
              <w:spacing w:line="480" w:lineRule="auto"/>
              <w:jc w:val="center"/>
            </w:pPr>
            <w:r w:rsidRPr="00172E44">
              <w:t>1</w:t>
            </w:r>
          </w:p>
        </w:tc>
        <w:tc>
          <w:tcPr>
            <w:tcW w:w="1078" w:type="dxa"/>
            <w:tcBorders>
              <w:left w:val="nil"/>
              <w:bottom w:val="single" w:sz="4" w:space="0" w:color="auto"/>
            </w:tcBorders>
          </w:tcPr>
          <w:p w14:paraId="3FA9ADC8" w14:textId="77777777" w:rsidR="000D12C2" w:rsidRPr="00172E44" w:rsidRDefault="000D12C2" w:rsidP="00A02C30">
            <w:pPr>
              <w:spacing w:line="480" w:lineRule="auto"/>
              <w:jc w:val="center"/>
            </w:pPr>
            <w:r w:rsidRPr="00172E44">
              <w:t>1</w:t>
            </w:r>
          </w:p>
        </w:tc>
      </w:tr>
      <w:tr w:rsidR="000D12C2" w:rsidRPr="00172E44" w:rsidDel="00D32C26" w14:paraId="4F10500A" w14:textId="77777777" w:rsidTr="00B27F5B">
        <w:tc>
          <w:tcPr>
            <w:tcW w:w="4699" w:type="dxa"/>
            <w:tcBorders>
              <w:bottom w:val="single" w:sz="4" w:space="0" w:color="auto"/>
              <w:right w:val="nil"/>
            </w:tcBorders>
          </w:tcPr>
          <w:p w14:paraId="2AC8C1EB" w14:textId="14171A0D" w:rsidR="000D12C2" w:rsidRPr="00172E44" w:rsidRDefault="000D12C2" w:rsidP="005560FB">
            <w:pPr>
              <w:spacing w:line="480" w:lineRule="auto"/>
            </w:pPr>
            <w:r w:rsidRPr="00172E44">
              <w:t>1 &amp; 4</w:t>
            </w:r>
          </w:p>
        </w:tc>
        <w:tc>
          <w:tcPr>
            <w:tcW w:w="1086" w:type="dxa"/>
            <w:tcBorders>
              <w:left w:val="nil"/>
              <w:bottom w:val="single" w:sz="4" w:space="0" w:color="auto"/>
              <w:right w:val="nil"/>
            </w:tcBorders>
          </w:tcPr>
          <w:p w14:paraId="72C42D4F" w14:textId="77777777" w:rsidR="000D12C2" w:rsidRPr="00172E44" w:rsidRDefault="000D12C2" w:rsidP="00A02C30">
            <w:pPr>
              <w:spacing w:line="480" w:lineRule="auto"/>
              <w:jc w:val="center"/>
            </w:pPr>
            <w:r w:rsidRPr="00172E44">
              <w:t>0</w:t>
            </w:r>
          </w:p>
        </w:tc>
        <w:tc>
          <w:tcPr>
            <w:tcW w:w="1641" w:type="dxa"/>
            <w:tcBorders>
              <w:left w:val="nil"/>
              <w:bottom w:val="single" w:sz="4" w:space="0" w:color="auto"/>
              <w:right w:val="nil"/>
            </w:tcBorders>
          </w:tcPr>
          <w:p w14:paraId="6B0B20D7" w14:textId="77777777" w:rsidR="000D12C2" w:rsidRPr="00172E44" w:rsidRDefault="000D12C2" w:rsidP="00A02C30">
            <w:pPr>
              <w:spacing w:line="480" w:lineRule="auto"/>
              <w:jc w:val="center"/>
            </w:pPr>
            <w:r w:rsidRPr="00172E44">
              <w:t>1</w:t>
            </w:r>
          </w:p>
        </w:tc>
        <w:tc>
          <w:tcPr>
            <w:tcW w:w="1078" w:type="dxa"/>
            <w:tcBorders>
              <w:left w:val="nil"/>
              <w:bottom w:val="single" w:sz="4" w:space="0" w:color="auto"/>
            </w:tcBorders>
          </w:tcPr>
          <w:p w14:paraId="24F7BCBC" w14:textId="77777777" w:rsidR="000D12C2" w:rsidRPr="00172E44" w:rsidRDefault="000D12C2" w:rsidP="00A02C30">
            <w:pPr>
              <w:spacing w:line="480" w:lineRule="auto"/>
              <w:jc w:val="center"/>
            </w:pPr>
            <w:r w:rsidRPr="00172E44">
              <w:t>1</w:t>
            </w:r>
          </w:p>
        </w:tc>
      </w:tr>
      <w:tr w:rsidR="000D12C2" w:rsidRPr="00172E44" w:rsidDel="00D32C26" w14:paraId="57646207" w14:textId="77777777" w:rsidTr="00B27F5B">
        <w:tc>
          <w:tcPr>
            <w:tcW w:w="4699" w:type="dxa"/>
            <w:tcBorders>
              <w:bottom w:val="single" w:sz="4" w:space="0" w:color="auto"/>
              <w:right w:val="nil"/>
            </w:tcBorders>
          </w:tcPr>
          <w:p w14:paraId="3FDB5E02" w14:textId="554F2DED" w:rsidR="000D12C2" w:rsidRPr="00172E44" w:rsidRDefault="000D12C2" w:rsidP="005560FB">
            <w:pPr>
              <w:spacing w:line="480" w:lineRule="auto"/>
            </w:pPr>
            <w:r w:rsidRPr="00172E44">
              <w:t>2 &amp; 3</w:t>
            </w:r>
          </w:p>
        </w:tc>
        <w:tc>
          <w:tcPr>
            <w:tcW w:w="1086" w:type="dxa"/>
            <w:tcBorders>
              <w:left w:val="nil"/>
              <w:bottom w:val="single" w:sz="4" w:space="0" w:color="auto"/>
              <w:right w:val="nil"/>
            </w:tcBorders>
          </w:tcPr>
          <w:p w14:paraId="5DB24C6A" w14:textId="77777777" w:rsidR="000D12C2" w:rsidRPr="00172E44" w:rsidRDefault="000D12C2" w:rsidP="00A02C30">
            <w:pPr>
              <w:spacing w:line="480" w:lineRule="auto"/>
              <w:jc w:val="center"/>
            </w:pPr>
            <w:r w:rsidRPr="00172E44">
              <w:t>3</w:t>
            </w:r>
          </w:p>
        </w:tc>
        <w:tc>
          <w:tcPr>
            <w:tcW w:w="1641" w:type="dxa"/>
            <w:tcBorders>
              <w:left w:val="nil"/>
              <w:bottom w:val="single" w:sz="4" w:space="0" w:color="auto"/>
              <w:right w:val="nil"/>
            </w:tcBorders>
          </w:tcPr>
          <w:p w14:paraId="1C2A689C" w14:textId="77777777" w:rsidR="000D12C2" w:rsidRPr="00172E44" w:rsidRDefault="000D12C2" w:rsidP="00A02C30">
            <w:pPr>
              <w:spacing w:line="480" w:lineRule="auto"/>
              <w:jc w:val="center"/>
            </w:pPr>
            <w:r w:rsidRPr="00172E44">
              <w:t>0</w:t>
            </w:r>
          </w:p>
        </w:tc>
        <w:tc>
          <w:tcPr>
            <w:tcW w:w="1078" w:type="dxa"/>
            <w:tcBorders>
              <w:left w:val="nil"/>
              <w:bottom w:val="single" w:sz="4" w:space="0" w:color="auto"/>
            </w:tcBorders>
          </w:tcPr>
          <w:p w14:paraId="21FBE3F1" w14:textId="77777777" w:rsidR="000D12C2" w:rsidRPr="00172E44" w:rsidRDefault="000D12C2" w:rsidP="00A02C30">
            <w:pPr>
              <w:spacing w:line="480" w:lineRule="auto"/>
              <w:jc w:val="center"/>
            </w:pPr>
            <w:r w:rsidRPr="00172E44">
              <w:t>3</w:t>
            </w:r>
          </w:p>
        </w:tc>
      </w:tr>
      <w:tr w:rsidR="000D12C2" w:rsidRPr="00172E44" w:rsidDel="00D32C26" w14:paraId="48767805" w14:textId="77777777" w:rsidTr="00B27F5B">
        <w:tc>
          <w:tcPr>
            <w:tcW w:w="4699" w:type="dxa"/>
            <w:tcBorders>
              <w:bottom w:val="single" w:sz="4" w:space="0" w:color="auto"/>
              <w:right w:val="nil"/>
            </w:tcBorders>
          </w:tcPr>
          <w:p w14:paraId="41117957" w14:textId="59A1C8B2" w:rsidR="000D12C2" w:rsidRPr="00172E44" w:rsidRDefault="000D12C2" w:rsidP="005560FB">
            <w:pPr>
              <w:spacing w:line="480" w:lineRule="auto"/>
            </w:pPr>
            <w:r w:rsidRPr="00172E44">
              <w:t>2 &amp; 4</w:t>
            </w:r>
          </w:p>
        </w:tc>
        <w:tc>
          <w:tcPr>
            <w:tcW w:w="1086" w:type="dxa"/>
            <w:tcBorders>
              <w:left w:val="nil"/>
              <w:bottom w:val="single" w:sz="4" w:space="0" w:color="auto"/>
              <w:right w:val="nil"/>
            </w:tcBorders>
          </w:tcPr>
          <w:p w14:paraId="5668CD6E" w14:textId="77777777" w:rsidR="000D12C2" w:rsidRPr="00172E44" w:rsidRDefault="000D12C2" w:rsidP="00A02C30">
            <w:pPr>
              <w:spacing w:line="480" w:lineRule="auto"/>
              <w:jc w:val="center"/>
            </w:pPr>
            <w:r w:rsidRPr="00172E44">
              <w:t>1</w:t>
            </w:r>
          </w:p>
        </w:tc>
        <w:tc>
          <w:tcPr>
            <w:tcW w:w="1641" w:type="dxa"/>
            <w:tcBorders>
              <w:left w:val="nil"/>
              <w:bottom w:val="single" w:sz="4" w:space="0" w:color="auto"/>
              <w:right w:val="nil"/>
            </w:tcBorders>
          </w:tcPr>
          <w:p w14:paraId="0D9DD21A" w14:textId="77777777" w:rsidR="000D12C2" w:rsidRPr="00172E44" w:rsidRDefault="000D12C2" w:rsidP="00A02C30">
            <w:pPr>
              <w:spacing w:line="480" w:lineRule="auto"/>
              <w:jc w:val="center"/>
            </w:pPr>
            <w:r w:rsidRPr="00172E44">
              <w:t>0</w:t>
            </w:r>
          </w:p>
        </w:tc>
        <w:tc>
          <w:tcPr>
            <w:tcW w:w="1078" w:type="dxa"/>
            <w:tcBorders>
              <w:left w:val="nil"/>
              <w:bottom w:val="single" w:sz="4" w:space="0" w:color="auto"/>
            </w:tcBorders>
          </w:tcPr>
          <w:p w14:paraId="7A91DA73" w14:textId="77777777" w:rsidR="000D12C2" w:rsidRPr="00172E44" w:rsidRDefault="000D12C2" w:rsidP="00A02C30">
            <w:pPr>
              <w:spacing w:line="480" w:lineRule="auto"/>
              <w:jc w:val="center"/>
            </w:pPr>
            <w:r w:rsidRPr="00172E44">
              <w:t>1</w:t>
            </w:r>
          </w:p>
        </w:tc>
      </w:tr>
      <w:tr w:rsidR="000D12C2" w:rsidRPr="00172E44" w:rsidDel="00D32C26" w14:paraId="5385F735" w14:textId="77777777" w:rsidTr="00B27F5B">
        <w:tc>
          <w:tcPr>
            <w:tcW w:w="4699" w:type="dxa"/>
            <w:tcBorders>
              <w:bottom w:val="single" w:sz="4" w:space="0" w:color="auto"/>
              <w:right w:val="nil"/>
            </w:tcBorders>
          </w:tcPr>
          <w:p w14:paraId="03E7369B" w14:textId="77777777" w:rsidR="000D12C2" w:rsidRPr="00172E44" w:rsidRDefault="000D12C2" w:rsidP="005560FB">
            <w:pPr>
              <w:spacing w:line="480" w:lineRule="auto"/>
            </w:pPr>
            <w:r w:rsidRPr="00172E44">
              <w:t>3 &amp; 4</w:t>
            </w:r>
          </w:p>
        </w:tc>
        <w:tc>
          <w:tcPr>
            <w:tcW w:w="1086" w:type="dxa"/>
            <w:tcBorders>
              <w:left w:val="nil"/>
              <w:bottom w:val="single" w:sz="4" w:space="0" w:color="auto"/>
              <w:right w:val="nil"/>
            </w:tcBorders>
          </w:tcPr>
          <w:p w14:paraId="5826832B" w14:textId="77777777" w:rsidR="000D12C2" w:rsidRPr="00172E44" w:rsidRDefault="000D12C2" w:rsidP="00A02C30">
            <w:pPr>
              <w:spacing w:line="480" w:lineRule="auto"/>
              <w:jc w:val="center"/>
            </w:pPr>
            <w:r w:rsidRPr="00172E44">
              <w:t>0</w:t>
            </w:r>
          </w:p>
        </w:tc>
        <w:tc>
          <w:tcPr>
            <w:tcW w:w="1641" w:type="dxa"/>
            <w:tcBorders>
              <w:left w:val="nil"/>
              <w:bottom w:val="single" w:sz="4" w:space="0" w:color="auto"/>
              <w:right w:val="nil"/>
            </w:tcBorders>
          </w:tcPr>
          <w:p w14:paraId="5882DE90" w14:textId="77777777" w:rsidR="000D12C2" w:rsidRPr="00172E44" w:rsidRDefault="000D12C2" w:rsidP="00A02C30">
            <w:pPr>
              <w:spacing w:line="480" w:lineRule="auto"/>
              <w:jc w:val="center"/>
            </w:pPr>
            <w:r w:rsidRPr="00172E44">
              <w:t>1</w:t>
            </w:r>
          </w:p>
        </w:tc>
        <w:tc>
          <w:tcPr>
            <w:tcW w:w="1078" w:type="dxa"/>
            <w:tcBorders>
              <w:left w:val="nil"/>
              <w:bottom w:val="single" w:sz="4" w:space="0" w:color="auto"/>
            </w:tcBorders>
          </w:tcPr>
          <w:p w14:paraId="2FA12144" w14:textId="77777777" w:rsidR="000D12C2" w:rsidRPr="00172E44" w:rsidRDefault="000D12C2" w:rsidP="00A02C30">
            <w:pPr>
              <w:spacing w:line="480" w:lineRule="auto"/>
              <w:jc w:val="center"/>
            </w:pPr>
            <w:r w:rsidRPr="00172E44">
              <w:t>1</w:t>
            </w:r>
          </w:p>
        </w:tc>
      </w:tr>
      <w:tr w:rsidR="000D12C2" w:rsidRPr="00172E44" w:rsidDel="00D32C26" w14:paraId="62600B15" w14:textId="77777777" w:rsidTr="00B27F5B">
        <w:tc>
          <w:tcPr>
            <w:tcW w:w="4699" w:type="dxa"/>
            <w:tcBorders>
              <w:bottom w:val="single" w:sz="4" w:space="0" w:color="auto"/>
              <w:right w:val="nil"/>
            </w:tcBorders>
          </w:tcPr>
          <w:p w14:paraId="55698D5C" w14:textId="77777777" w:rsidR="000D12C2" w:rsidRPr="00172E44" w:rsidRDefault="000D12C2" w:rsidP="005560FB">
            <w:pPr>
              <w:spacing w:line="480" w:lineRule="auto"/>
            </w:pPr>
            <w:r w:rsidRPr="00172E44">
              <w:t>2 &amp; 3 &amp; 4</w:t>
            </w:r>
          </w:p>
        </w:tc>
        <w:tc>
          <w:tcPr>
            <w:tcW w:w="1086" w:type="dxa"/>
            <w:tcBorders>
              <w:left w:val="nil"/>
              <w:bottom w:val="single" w:sz="4" w:space="0" w:color="auto"/>
              <w:right w:val="nil"/>
            </w:tcBorders>
          </w:tcPr>
          <w:p w14:paraId="4D60EBD8" w14:textId="77777777" w:rsidR="000D12C2" w:rsidRPr="00172E44" w:rsidRDefault="000D12C2" w:rsidP="00A02C30">
            <w:pPr>
              <w:spacing w:line="480" w:lineRule="auto"/>
              <w:jc w:val="center"/>
            </w:pPr>
            <w:r w:rsidRPr="00172E44">
              <w:t>0</w:t>
            </w:r>
          </w:p>
        </w:tc>
        <w:tc>
          <w:tcPr>
            <w:tcW w:w="1641" w:type="dxa"/>
            <w:tcBorders>
              <w:left w:val="nil"/>
              <w:bottom w:val="single" w:sz="4" w:space="0" w:color="auto"/>
              <w:right w:val="nil"/>
            </w:tcBorders>
          </w:tcPr>
          <w:p w14:paraId="1A44AD1D" w14:textId="77777777" w:rsidR="000D12C2" w:rsidRPr="00172E44" w:rsidRDefault="000D12C2" w:rsidP="00A02C30">
            <w:pPr>
              <w:spacing w:line="480" w:lineRule="auto"/>
              <w:jc w:val="center"/>
            </w:pPr>
            <w:r w:rsidRPr="00172E44">
              <w:t>1</w:t>
            </w:r>
          </w:p>
        </w:tc>
        <w:tc>
          <w:tcPr>
            <w:tcW w:w="1078" w:type="dxa"/>
            <w:tcBorders>
              <w:left w:val="nil"/>
              <w:bottom w:val="single" w:sz="4" w:space="0" w:color="auto"/>
            </w:tcBorders>
          </w:tcPr>
          <w:p w14:paraId="57B1FDBC" w14:textId="77777777" w:rsidR="000D12C2" w:rsidRPr="00172E44" w:rsidRDefault="000D12C2" w:rsidP="00A02C30">
            <w:pPr>
              <w:spacing w:line="480" w:lineRule="auto"/>
              <w:jc w:val="center"/>
            </w:pPr>
            <w:r w:rsidRPr="00172E44">
              <w:t>1</w:t>
            </w:r>
          </w:p>
        </w:tc>
      </w:tr>
    </w:tbl>
    <w:bookmarkEnd w:id="13"/>
    <w:p w14:paraId="19961327" w14:textId="77777777" w:rsidR="000D12C2" w:rsidRPr="00172E44" w:rsidRDefault="00711B87" w:rsidP="000D12C2">
      <w:pPr>
        <w:rPr>
          <w:rFonts w:cs="Arial"/>
          <w:shd w:val="clear" w:color="auto" w:fill="FFFFFF"/>
        </w:rPr>
      </w:pPr>
      <w:r w:rsidRPr="00172E44">
        <w:rPr>
          <w:rFonts w:cstheme="minorHAnsi"/>
          <w:shd w:val="clear" w:color="auto" w:fill="FFFFFF"/>
        </w:rPr>
        <w:t>†</w:t>
      </w:r>
      <w:r w:rsidR="000D12C2" w:rsidRPr="00172E44">
        <w:rPr>
          <w:rFonts w:cs="Arial"/>
          <w:shd w:val="clear" w:color="auto" w:fill="FFFFFF"/>
        </w:rPr>
        <w:t>As the incidents were only counted once per category, percentages were</w:t>
      </w:r>
      <w:r w:rsidR="00E97D60" w:rsidRPr="00172E44">
        <w:rPr>
          <w:rFonts w:cs="Arial"/>
          <w:shd w:val="clear" w:color="auto" w:fill="FFFFFF"/>
        </w:rPr>
        <w:t xml:space="preserve"> for antecedent categories 1-4 were</w:t>
      </w:r>
      <w:r w:rsidR="000D12C2" w:rsidRPr="00172E44">
        <w:rPr>
          <w:rFonts w:cs="Arial"/>
          <w:shd w:val="clear" w:color="auto" w:fill="FFFFFF"/>
        </w:rPr>
        <w:t xml:space="preserve"> included</w:t>
      </w:r>
    </w:p>
    <w:p w14:paraId="2D696F93" w14:textId="77777777" w:rsidR="000D12C2" w:rsidRPr="00172E44" w:rsidRDefault="000D12C2" w:rsidP="00203EA0">
      <w:pPr>
        <w:rPr>
          <w:rFonts w:cs="Arial"/>
          <w:shd w:val="clear" w:color="auto" w:fill="FFFFFF"/>
        </w:rPr>
      </w:pPr>
    </w:p>
    <w:p w14:paraId="40EA1AEA" w14:textId="77777777" w:rsidR="00D938FF" w:rsidRPr="00172E44" w:rsidRDefault="00D938FF" w:rsidP="00203EA0">
      <w:pPr>
        <w:rPr>
          <w:rFonts w:cs="Arial"/>
          <w:shd w:val="clear" w:color="auto" w:fill="FFFFFF"/>
        </w:rPr>
      </w:pPr>
    </w:p>
    <w:p w14:paraId="70176BE8" w14:textId="77777777" w:rsidR="00D938FF" w:rsidRPr="00172E44" w:rsidRDefault="00D938FF" w:rsidP="00203EA0">
      <w:pPr>
        <w:rPr>
          <w:rFonts w:cs="Arial"/>
          <w:shd w:val="clear" w:color="auto" w:fill="FFFFFF"/>
        </w:rPr>
      </w:pPr>
    </w:p>
    <w:p w14:paraId="4D938882" w14:textId="77777777" w:rsidR="000D12C2" w:rsidRPr="00172E44" w:rsidRDefault="00741EC5" w:rsidP="00203EA0">
      <w:pPr>
        <w:rPr>
          <w:rFonts w:cs="Arial"/>
          <w:shd w:val="clear" w:color="auto" w:fill="FFFFFF"/>
        </w:rPr>
      </w:pPr>
      <w:r w:rsidRPr="00172E44">
        <w:rPr>
          <w:rFonts w:cs="Arial"/>
          <w:shd w:val="clear" w:color="auto" w:fill="FFFFFF"/>
        </w:rPr>
        <w:br w:type="page"/>
      </w:r>
    </w:p>
    <w:p w14:paraId="2FE8CC5A" w14:textId="179BF163" w:rsidR="000D12C2" w:rsidRPr="00172E44" w:rsidRDefault="000D12C2" w:rsidP="0035199B">
      <w:pPr>
        <w:spacing w:line="480" w:lineRule="auto"/>
        <w:rPr>
          <w:b/>
        </w:rPr>
      </w:pPr>
      <w:r w:rsidRPr="00172E44">
        <w:rPr>
          <w:b/>
        </w:rPr>
        <w:t xml:space="preserve">Table </w:t>
      </w:r>
      <w:r w:rsidR="003C5649" w:rsidRPr="00172E44">
        <w:rPr>
          <w:b/>
        </w:rPr>
        <w:t>2</w:t>
      </w:r>
      <w:r w:rsidRPr="00172E44">
        <w:rPr>
          <w:b/>
        </w:rPr>
        <w:t>.</w:t>
      </w:r>
      <w:r w:rsidR="00A02C30" w:rsidRPr="00172E44">
        <w:rPr>
          <w:b/>
        </w:rPr>
        <w:t xml:space="preserve"> Number and percentage of</w:t>
      </w:r>
      <w:r w:rsidRPr="00172E44">
        <w:rPr>
          <w:b/>
        </w:rPr>
        <w:t xml:space="preserve"> </w:t>
      </w:r>
      <w:r w:rsidR="00A02C30" w:rsidRPr="00172E44">
        <w:rPr>
          <w:b/>
        </w:rPr>
        <w:t>i</w:t>
      </w:r>
      <w:r w:rsidRPr="00172E44">
        <w:rPr>
          <w:b/>
        </w:rPr>
        <w:t>njuries sustained and body site</w:t>
      </w:r>
    </w:p>
    <w:tbl>
      <w:tblPr>
        <w:tblStyle w:val="TableGrid"/>
        <w:tblW w:w="9016"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134"/>
        <w:gridCol w:w="1559"/>
        <w:gridCol w:w="1434"/>
        <w:gridCol w:w="1826"/>
        <w:gridCol w:w="1078"/>
      </w:tblGrid>
      <w:tr w:rsidR="000D12C2" w:rsidRPr="00172E44" w14:paraId="2C637ADB" w14:textId="77777777" w:rsidTr="00A02C30">
        <w:tc>
          <w:tcPr>
            <w:tcW w:w="1985" w:type="dxa"/>
          </w:tcPr>
          <w:p w14:paraId="10F46C78" w14:textId="77777777" w:rsidR="000D12C2" w:rsidRPr="00172E44" w:rsidRDefault="000D12C2" w:rsidP="005560FB">
            <w:pPr>
              <w:spacing w:line="480" w:lineRule="auto"/>
            </w:pPr>
          </w:p>
        </w:tc>
        <w:tc>
          <w:tcPr>
            <w:tcW w:w="2693" w:type="dxa"/>
            <w:gridSpan w:val="2"/>
          </w:tcPr>
          <w:p w14:paraId="0BF1EDEC" w14:textId="77777777" w:rsidR="004245A6" w:rsidRPr="00172E44" w:rsidRDefault="004245A6" w:rsidP="00A02C30">
            <w:pPr>
              <w:spacing w:line="480" w:lineRule="auto"/>
              <w:jc w:val="center"/>
              <w:rPr>
                <w:b/>
              </w:rPr>
            </w:pPr>
            <w:r w:rsidRPr="00172E44">
              <w:rPr>
                <w:b/>
              </w:rPr>
              <w:t>Indoor</w:t>
            </w:r>
          </w:p>
          <w:p w14:paraId="5B411E4C" w14:textId="77777777" w:rsidR="000D12C2" w:rsidRPr="00172E44" w:rsidRDefault="004245A6" w:rsidP="00A02C30">
            <w:pPr>
              <w:spacing w:line="480" w:lineRule="auto"/>
              <w:jc w:val="center"/>
              <w:rPr>
                <w:b/>
              </w:rPr>
            </w:pPr>
            <w:r w:rsidRPr="00172E44">
              <w:rPr>
                <w:b/>
              </w:rPr>
              <w:t>p</w:t>
            </w:r>
            <w:r w:rsidR="000D12C2" w:rsidRPr="00172E44">
              <w:rPr>
                <w:b/>
              </w:rPr>
              <w:t>olicy</w:t>
            </w:r>
          </w:p>
        </w:tc>
        <w:tc>
          <w:tcPr>
            <w:tcW w:w="3260" w:type="dxa"/>
            <w:gridSpan w:val="2"/>
          </w:tcPr>
          <w:p w14:paraId="6C341FD9" w14:textId="77777777" w:rsidR="004245A6" w:rsidRPr="00172E44" w:rsidRDefault="004245A6" w:rsidP="00A02C30">
            <w:pPr>
              <w:spacing w:line="480" w:lineRule="auto"/>
              <w:jc w:val="center"/>
              <w:rPr>
                <w:b/>
              </w:rPr>
            </w:pPr>
            <w:r w:rsidRPr="00172E44">
              <w:rPr>
                <w:b/>
              </w:rPr>
              <w:t>Comprehensive</w:t>
            </w:r>
          </w:p>
          <w:p w14:paraId="26B6CAA9" w14:textId="77777777" w:rsidR="000D12C2" w:rsidRPr="00172E44" w:rsidRDefault="004245A6" w:rsidP="00A02C30">
            <w:pPr>
              <w:spacing w:line="480" w:lineRule="auto"/>
              <w:jc w:val="center"/>
              <w:rPr>
                <w:b/>
              </w:rPr>
            </w:pPr>
            <w:r w:rsidRPr="00172E44">
              <w:rPr>
                <w:b/>
              </w:rPr>
              <w:t>p</w:t>
            </w:r>
            <w:r w:rsidR="000D12C2" w:rsidRPr="00172E44">
              <w:rPr>
                <w:b/>
              </w:rPr>
              <w:t>olicy</w:t>
            </w:r>
          </w:p>
        </w:tc>
        <w:tc>
          <w:tcPr>
            <w:tcW w:w="1078" w:type="dxa"/>
          </w:tcPr>
          <w:p w14:paraId="4D896E90" w14:textId="77777777" w:rsidR="000D12C2" w:rsidRPr="00172E44" w:rsidRDefault="000D12C2" w:rsidP="00A02C30">
            <w:pPr>
              <w:spacing w:line="480" w:lineRule="auto"/>
              <w:jc w:val="center"/>
              <w:rPr>
                <w:b/>
              </w:rPr>
            </w:pPr>
            <w:r w:rsidRPr="00172E44">
              <w:rPr>
                <w:b/>
              </w:rPr>
              <w:t>Total</w:t>
            </w:r>
          </w:p>
        </w:tc>
      </w:tr>
      <w:tr w:rsidR="000D12C2" w:rsidRPr="00172E44" w14:paraId="540FF92D" w14:textId="77777777" w:rsidTr="00A02C30">
        <w:tc>
          <w:tcPr>
            <w:tcW w:w="1985" w:type="dxa"/>
          </w:tcPr>
          <w:p w14:paraId="7F6CF6A7" w14:textId="77777777" w:rsidR="000D12C2" w:rsidRPr="00172E44" w:rsidRDefault="000D12C2" w:rsidP="005560FB">
            <w:pPr>
              <w:spacing w:line="480" w:lineRule="auto"/>
            </w:pPr>
          </w:p>
        </w:tc>
        <w:tc>
          <w:tcPr>
            <w:tcW w:w="1134" w:type="dxa"/>
          </w:tcPr>
          <w:p w14:paraId="123F4F5E" w14:textId="77777777" w:rsidR="000D12C2" w:rsidRPr="00172E44" w:rsidRDefault="000D12C2" w:rsidP="00A02C30">
            <w:pPr>
              <w:spacing w:line="480" w:lineRule="auto"/>
              <w:jc w:val="center"/>
            </w:pPr>
            <w:r w:rsidRPr="00172E44">
              <w:t>Patient toward staff (n=42)</w:t>
            </w:r>
          </w:p>
        </w:tc>
        <w:tc>
          <w:tcPr>
            <w:tcW w:w="1559" w:type="dxa"/>
          </w:tcPr>
          <w:p w14:paraId="21D495CD" w14:textId="77777777" w:rsidR="000D12C2" w:rsidRPr="00172E44" w:rsidRDefault="000D12C2" w:rsidP="00A02C30">
            <w:pPr>
              <w:spacing w:line="480" w:lineRule="auto"/>
              <w:jc w:val="center"/>
            </w:pPr>
            <w:r w:rsidRPr="00172E44">
              <w:t>Patient toward patient (n=19)</w:t>
            </w:r>
          </w:p>
        </w:tc>
        <w:tc>
          <w:tcPr>
            <w:tcW w:w="1434" w:type="dxa"/>
          </w:tcPr>
          <w:p w14:paraId="7383AC57" w14:textId="77777777" w:rsidR="000D12C2" w:rsidRPr="00172E44" w:rsidRDefault="000D12C2" w:rsidP="00A02C30">
            <w:pPr>
              <w:spacing w:line="480" w:lineRule="auto"/>
              <w:jc w:val="center"/>
            </w:pPr>
            <w:r w:rsidRPr="00172E44">
              <w:t>Patient toward staff (n=25)</w:t>
            </w:r>
          </w:p>
        </w:tc>
        <w:tc>
          <w:tcPr>
            <w:tcW w:w="1826" w:type="dxa"/>
          </w:tcPr>
          <w:p w14:paraId="1D7781C4" w14:textId="77777777" w:rsidR="000D12C2" w:rsidRPr="00172E44" w:rsidRDefault="000D12C2" w:rsidP="00A02C30">
            <w:pPr>
              <w:spacing w:line="480" w:lineRule="auto"/>
              <w:jc w:val="center"/>
            </w:pPr>
            <w:r w:rsidRPr="00172E44">
              <w:t>Patient toward patient (n=7)</w:t>
            </w:r>
          </w:p>
        </w:tc>
        <w:tc>
          <w:tcPr>
            <w:tcW w:w="1078" w:type="dxa"/>
          </w:tcPr>
          <w:p w14:paraId="0CB9EEEF" w14:textId="77777777" w:rsidR="000D12C2" w:rsidRPr="00172E44" w:rsidRDefault="00A02C30" w:rsidP="00A02C30">
            <w:pPr>
              <w:spacing w:line="480" w:lineRule="auto"/>
              <w:jc w:val="center"/>
            </w:pPr>
            <w:r w:rsidRPr="00172E44">
              <w:t>n</w:t>
            </w:r>
            <w:r w:rsidR="000D12C2" w:rsidRPr="00172E44">
              <w:t>=93</w:t>
            </w:r>
          </w:p>
        </w:tc>
      </w:tr>
      <w:tr w:rsidR="000D12C2" w:rsidRPr="00172E44" w14:paraId="1A21063A" w14:textId="77777777" w:rsidTr="00D40D4E">
        <w:tc>
          <w:tcPr>
            <w:tcW w:w="9016" w:type="dxa"/>
            <w:gridSpan w:val="6"/>
          </w:tcPr>
          <w:p w14:paraId="28CFC0EF" w14:textId="77777777" w:rsidR="000D12C2" w:rsidRPr="00172E44" w:rsidRDefault="000D12C2" w:rsidP="005560FB">
            <w:pPr>
              <w:spacing w:line="480" w:lineRule="auto"/>
              <w:rPr>
                <w:b/>
              </w:rPr>
            </w:pPr>
          </w:p>
          <w:p w14:paraId="45296545" w14:textId="77777777" w:rsidR="000D12C2" w:rsidRPr="00172E44" w:rsidRDefault="000D12C2" w:rsidP="005560FB">
            <w:pPr>
              <w:spacing w:line="480" w:lineRule="auto"/>
              <w:rPr>
                <w:b/>
              </w:rPr>
            </w:pPr>
            <w:r w:rsidRPr="00172E44">
              <w:rPr>
                <w:b/>
              </w:rPr>
              <w:t>Body site</w:t>
            </w:r>
          </w:p>
          <w:p w14:paraId="601ED6BD" w14:textId="77777777" w:rsidR="000D12C2" w:rsidRPr="00172E44" w:rsidRDefault="000D12C2" w:rsidP="005560FB">
            <w:pPr>
              <w:spacing w:line="480" w:lineRule="auto"/>
            </w:pPr>
          </w:p>
        </w:tc>
      </w:tr>
      <w:tr w:rsidR="000D12C2" w:rsidRPr="00172E44" w14:paraId="2E657A66" w14:textId="77777777" w:rsidTr="00A02C30">
        <w:tc>
          <w:tcPr>
            <w:tcW w:w="1985" w:type="dxa"/>
          </w:tcPr>
          <w:p w14:paraId="7FF89251" w14:textId="77777777" w:rsidR="00CC3C07" w:rsidRPr="00172E44" w:rsidRDefault="000D12C2" w:rsidP="005560FB">
            <w:pPr>
              <w:spacing w:line="480" w:lineRule="auto"/>
            </w:pPr>
            <w:r w:rsidRPr="00172E44">
              <w:t xml:space="preserve">Head and neck, </w:t>
            </w:r>
          </w:p>
          <w:p w14:paraId="7E1236EA" w14:textId="77777777" w:rsidR="000D12C2" w:rsidRPr="00172E44" w:rsidRDefault="000D12C2" w:rsidP="005560FB">
            <w:pPr>
              <w:spacing w:line="480" w:lineRule="auto"/>
            </w:pPr>
            <w:r w:rsidRPr="00172E44">
              <w:t>n (%)</w:t>
            </w:r>
          </w:p>
        </w:tc>
        <w:tc>
          <w:tcPr>
            <w:tcW w:w="1134" w:type="dxa"/>
          </w:tcPr>
          <w:p w14:paraId="1BD1BB34" w14:textId="77777777" w:rsidR="000D12C2" w:rsidRPr="00172E44" w:rsidRDefault="000D12C2" w:rsidP="00A02C30">
            <w:pPr>
              <w:spacing w:line="480" w:lineRule="auto"/>
              <w:jc w:val="center"/>
            </w:pPr>
            <w:r w:rsidRPr="00172E44">
              <w:t>12 (28.6)</w:t>
            </w:r>
          </w:p>
        </w:tc>
        <w:tc>
          <w:tcPr>
            <w:tcW w:w="1559" w:type="dxa"/>
          </w:tcPr>
          <w:p w14:paraId="580767AC" w14:textId="77777777" w:rsidR="000D12C2" w:rsidRPr="00172E44" w:rsidRDefault="000D12C2" w:rsidP="00A02C30">
            <w:pPr>
              <w:spacing w:line="480" w:lineRule="auto"/>
              <w:jc w:val="center"/>
            </w:pPr>
            <w:r w:rsidRPr="00172E44">
              <w:t>3 (15.8)</w:t>
            </w:r>
          </w:p>
        </w:tc>
        <w:tc>
          <w:tcPr>
            <w:tcW w:w="1434" w:type="dxa"/>
          </w:tcPr>
          <w:p w14:paraId="2F210AA7" w14:textId="77777777" w:rsidR="000D12C2" w:rsidRPr="00172E44" w:rsidRDefault="000D12C2" w:rsidP="00A02C30">
            <w:pPr>
              <w:spacing w:line="480" w:lineRule="auto"/>
              <w:jc w:val="center"/>
            </w:pPr>
            <w:r w:rsidRPr="00172E44">
              <w:t>4 (16.0)</w:t>
            </w:r>
          </w:p>
        </w:tc>
        <w:tc>
          <w:tcPr>
            <w:tcW w:w="1826" w:type="dxa"/>
          </w:tcPr>
          <w:p w14:paraId="21A261FE" w14:textId="77777777" w:rsidR="000D12C2" w:rsidRPr="00172E44" w:rsidRDefault="000D12C2" w:rsidP="00A02C30">
            <w:pPr>
              <w:spacing w:line="480" w:lineRule="auto"/>
              <w:jc w:val="center"/>
            </w:pPr>
            <w:r w:rsidRPr="00172E44">
              <w:t>2 (28.6)</w:t>
            </w:r>
          </w:p>
        </w:tc>
        <w:tc>
          <w:tcPr>
            <w:tcW w:w="1078" w:type="dxa"/>
          </w:tcPr>
          <w:p w14:paraId="6D95FF06" w14:textId="77777777" w:rsidR="000D12C2" w:rsidRPr="00172E44" w:rsidRDefault="000D12C2" w:rsidP="00A02C30">
            <w:pPr>
              <w:spacing w:line="480" w:lineRule="auto"/>
              <w:jc w:val="center"/>
            </w:pPr>
            <w:r w:rsidRPr="00172E44">
              <w:t>21 (22.6)</w:t>
            </w:r>
          </w:p>
        </w:tc>
      </w:tr>
      <w:tr w:rsidR="000D12C2" w:rsidRPr="00172E44" w14:paraId="3ACBA82F" w14:textId="77777777" w:rsidTr="00A02C30">
        <w:tc>
          <w:tcPr>
            <w:tcW w:w="1985" w:type="dxa"/>
          </w:tcPr>
          <w:p w14:paraId="06156038" w14:textId="77777777" w:rsidR="000D12C2" w:rsidRPr="00172E44" w:rsidRDefault="000D12C2" w:rsidP="005560FB">
            <w:pPr>
              <w:spacing w:line="480" w:lineRule="auto"/>
            </w:pPr>
            <w:r w:rsidRPr="00172E44">
              <w:t>Arms and shoulder, n (%)</w:t>
            </w:r>
          </w:p>
        </w:tc>
        <w:tc>
          <w:tcPr>
            <w:tcW w:w="1134" w:type="dxa"/>
          </w:tcPr>
          <w:p w14:paraId="7D18EA8E" w14:textId="77777777" w:rsidR="000D12C2" w:rsidRPr="00172E44" w:rsidRDefault="000D12C2" w:rsidP="00A02C30">
            <w:pPr>
              <w:spacing w:line="480" w:lineRule="auto"/>
              <w:jc w:val="center"/>
            </w:pPr>
            <w:r w:rsidRPr="00172E44">
              <w:t>8 (19.0)</w:t>
            </w:r>
          </w:p>
        </w:tc>
        <w:tc>
          <w:tcPr>
            <w:tcW w:w="1559" w:type="dxa"/>
          </w:tcPr>
          <w:p w14:paraId="3FEB3BDA" w14:textId="77777777" w:rsidR="000D12C2" w:rsidRPr="00172E44" w:rsidRDefault="000D12C2" w:rsidP="00A02C30">
            <w:pPr>
              <w:spacing w:line="480" w:lineRule="auto"/>
              <w:jc w:val="center"/>
            </w:pPr>
            <w:r w:rsidRPr="00172E44">
              <w:t>2 (10.5)</w:t>
            </w:r>
          </w:p>
        </w:tc>
        <w:tc>
          <w:tcPr>
            <w:tcW w:w="1434" w:type="dxa"/>
          </w:tcPr>
          <w:p w14:paraId="3E63F42F" w14:textId="77777777" w:rsidR="000D12C2" w:rsidRPr="00172E44" w:rsidRDefault="000D12C2" w:rsidP="00A02C30">
            <w:pPr>
              <w:spacing w:line="480" w:lineRule="auto"/>
              <w:jc w:val="center"/>
            </w:pPr>
            <w:r w:rsidRPr="00172E44">
              <w:t>4 (16.0)</w:t>
            </w:r>
          </w:p>
        </w:tc>
        <w:tc>
          <w:tcPr>
            <w:tcW w:w="1826" w:type="dxa"/>
          </w:tcPr>
          <w:p w14:paraId="1B9B8EAF" w14:textId="77777777" w:rsidR="000D12C2" w:rsidRPr="00172E44" w:rsidRDefault="000D12C2" w:rsidP="00A02C30">
            <w:pPr>
              <w:spacing w:line="480" w:lineRule="auto"/>
              <w:jc w:val="center"/>
            </w:pPr>
            <w:r w:rsidRPr="00172E44">
              <w:t>2 (28.6)</w:t>
            </w:r>
          </w:p>
        </w:tc>
        <w:tc>
          <w:tcPr>
            <w:tcW w:w="1078" w:type="dxa"/>
          </w:tcPr>
          <w:p w14:paraId="39BDA0B9" w14:textId="77777777" w:rsidR="000D12C2" w:rsidRPr="00172E44" w:rsidRDefault="000D12C2" w:rsidP="00A02C30">
            <w:pPr>
              <w:spacing w:line="480" w:lineRule="auto"/>
              <w:jc w:val="center"/>
            </w:pPr>
            <w:r w:rsidRPr="00172E44">
              <w:t>16 (17.2)</w:t>
            </w:r>
          </w:p>
        </w:tc>
      </w:tr>
      <w:tr w:rsidR="000D12C2" w:rsidRPr="00172E44" w14:paraId="77059F8A" w14:textId="77777777" w:rsidTr="00A02C30">
        <w:tc>
          <w:tcPr>
            <w:tcW w:w="1985" w:type="dxa"/>
          </w:tcPr>
          <w:p w14:paraId="31FFD7C9" w14:textId="77777777" w:rsidR="000D12C2" w:rsidRPr="00172E44" w:rsidRDefault="000D12C2" w:rsidP="005560FB">
            <w:pPr>
              <w:spacing w:line="480" w:lineRule="auto"/>
            </w:pPr>
            <w:r w:rsidRPr="00172E44">
              <w:t>Trunk, n (%)</w:t>
            </w:r>
          </w:p>
        </w:tc>
        <w:tc>
          <w:tcPr>
            <w:tcW w:w="1134" w:type="dxa"/>
          </w:tcPr>
          <w:p w14:paraId="3F060326" w14:textId="77777777" w:rsidR="000D12C2" w:rsidRPr="00172E44" w:rsidRDefault="000D12C2" w:rsidP="00A02C30">
            <w:pPr>
              <w:spacing w:line="480" w:lineRule="auto"/>
              <w:jc w:val="center"/>
            </w:pPr>
            <w:r w:rsidRPr="00172E44">
              <w:t>3 (7.1)</w:t>
            </w:r>
          </w:p>
        </w:tc>
        <w:tc>
          <w:tcPr>
            <w:tcW w:w="1559" w:type="dxa"/>
          </w:tcPr>
          <w:p w14:paraId="64B3AD6E" w14:textId="77777777" w:rsidR="000D12C2" w:rsidRPr="00172E44" w:rsidRDefault="000D12C2" w:rsidP="00A02C30">
            <w:pPr>
              <w:spacing w:line="480" w:lineRule="auto"/>
              <w:jc w:val="center"/>
            </w:pPr>
            <w:r w:rsidRPr="00172E44">
              <w:t>1 (5.3)</w:t>
            </w:r>
          </w:p>
        </w:tc>
        <w:tc>
          <w:tcPr>
            <w:tcW w:w="1434" w:type="dxa"/>
          </w:tcPr>
          <w:p w14:paraId="5C1152FD" w14:textId="77777777" w:rsidR="000D12C2" w:rsidRPr="00172E44" w:rsidRDefault="000D12C2" w:rsidP="00A02C30">
            <w:pPr>
              <w:spacing w:line="480" w:lineRule="auto"/>
              <w:jc w:val="center"/>
            </w:pPr>
            <w:r w:rsidRPr="00172E44">
              <w:t xml:space="preserve">0 </w:t>
            </w:r>
          </w:p>
        </w:tc>
        <w:tc>
          <w:tcPr>
            <w:tcW w:w="1826" w:type="dxa"/>
          </w:tcPr>
          <w:p w14:paraId="1FA9A1AF" w14:textId="77777777" w:rsidR="00A02C30" w:rsidRPr="00172E44" w:rsidRDefault="000D12C2" w:rsidP="00A02C30">
            <w:pPr>
              <w:spacing w:line="480" w:lineRule="auto"/>
              <w:jc w:val="center"/>
            </w:pPr>
            <w:r w:rsidRPr="00172E44">
              <w:t xml:space="preserve">0 </w:t>
            </w:r>
          </w:p>
        </w:tc>
        <w:tc>
          <w:tcPr>
            <w:tcW w:w="1078" w:type="dxa"/>
          </w:tcPr>
          <w:p w14:paraId="49AC6E05" w14:textId="77777777" w:rsidR="000D12C2" w:rsidRPr="00172E44" w:rsidRDefault="000D12C2" w:rsidP="00A02C30">
            <w:pPr>
              <w:spacing w:line="480" w:lineRule="auto"/>
              <w:jc w:val="center"/>
            </w:pPr>
            <w:r w:rsidRPr="00172E44">
              <w:t>4 (4.3)</w:t>
            </w:r>
          </w:p>
        </w:tc>
      </w:tr>
      <w:tr w:rsidR="000D12C2" w:rsidRPr="00172E44" w14:paraId="4A8187B3" w14:textId="77777777" w:rsidTr="00A02C30">
        <w:tc>
          <w:tcPr>
            <w:tcW w:w="1985" w:type="dxa"/>
          </w:tcPr>
          <w:p w14:paraId="2DC6564A" w14:textId="77777777" w:rsidR="000D12C2" w:rsidRPr="00172E44" w:rsidRDefault="000D12C2" w:rsidP="005560FB">
            <w:pPr>
              <w:spacing w:line="480" w:lineRule="auto"/>
              <w:rPr>
                <w:b/>
              </w:rPr>
            </w:pPr>
            <w:r w:rsidRPr="00172E44">
              <w:t>Legs and feet, n (%)</w:t>
            </w:r>
          </w:p>
        </w:tc>
        <w:tc>
          <w:tcPr>
            <w:tcW w:w="1134" w:type="dxa"/>
          </w:tcPr>
          <w:p w14:paraId="2CE910C1" w14:textId="77777777" w:rsidR="000D12C2" w:rsidRPr="00172E44" w:rsidRDefault="000D12C2" w:rsidP="00A02C30">
            <w:pPr>
              <w:spacing w:line="480" w:lineRule="auto"/>
              <w:jc w:val="center"/>
            </w:pPr>
            <w:r w:rsidRPr="00172E44">
              <w:t>2 (4.8)</w:t>
            </w:r>
          </w:p>
        </w:tc>
        <w:tc>
          <w:tcPr>
            <w:tcW w:w="1559" w:type="dxa"/>
          </w:tcPr>
          <w:p w14:paraId="0434749D" w14:textId="77777777" w:rsidR="000D12C2" w:rsidRPr="00172E44" w:rsidRDefault="000D12C2" w:rsidP="00A02C30">
            <w:pPr>
              <w:spacing w:line="480" w:lineRule="auto"/>
              <w:jc w:val="center"/>
            </w:pPr>
            <w:r w:rsidRPr="00172E44">
              <w:t xml:space="preserve">0 </w:t>
            </w:r>
          </w:p>
        </w:tc>
        <w:tc>
          <w:tcPr>
            <w:tcW w:w="1434" w:type="dxa"/>
          </w:tcPr>
          <w:p w14:paraId="6B6A5CDC" w14:textId="77777777" w:rsidR="000D12C2" w:rsidRPr="00172E44" w:rsidRDefault="000D12C2" w:rsidP="00A02C30">
            <w:pPr>
              <w:spacing w:line="480" w:lineRule="auto"/>
              <w:jc w:val="center"/>
            </w:pPr>
            <w:r w:rsidRPr="00172E44">
              <w:t>1 (4)</w:t>
            </w:r>
          </w:p>
        </w:tc>
        <w:tc>
          <w:tcPr>
            <w:tcW w:w="1826" w:type="dxa"/>
          </w:tcPr>
          <w:p w14:paraId="6A795C1B" w14:textId="77777777" w:rsidR="000D12C2" w:rsidRPr="00172E44" w:rsidRDefault="000D12C2" w:rsidP="00A02C30">
            <w:pPr>
              <w:spacing w:line="480" w:lineRule="auto"/>
              <w:jc w:val="center"/>
            </w:pPr>
            <w:r w:rsidRPr="00172E44">
              <w:t xml:space="preserve">0 </w:t>
            </w:r>
          </w:p>
        </w:tc>
        <w:tc>
          <w:tcPr>
            <w:tcW w:w="1078" w:type="dxa"/>
          </w:tcPr>
          <w:p w14:paraId="4CCF5F22" w14:textId="77777777" w:rsidR="000D12C2" w:rsidRPr="00172E44" w:rsidRDefault="000D12C2" w:rsidP="00A02C30">
            <w:pPr>
              <w:spacing w:line="480" w:lineRule="auto"/>
              <w:jc w:val="center"/>
            </w:pPr>
            <w:r w:rsidRPr="00172E44">
              <w:t>3 (3.2)</w:t>
            </w:r>
          </w:p>
        </w:tc>
      </w:tr>
      <w:tr w:rsidR="000D12C2" w:rsidRPr="00172E44" w14:paraId="4980A89A" w14:textId="77777777" w:rsidTr="00A02C30">
        <w:tc>
          <w:tcPr>
            <w:tcW w:w="1985" w:type="dxa"/>
          </w:tcPr>
          <w:p w14:paraId="663FAA87" w14:textId="77777777" w:rsidR="000D12C2" w:rsidRPr="00172E44" w:rsidRDefault="000D12C2" w:rsidP="005560FB">
            <w:pPr>
              <w:spacing w:line="480" w:lineRule="auto"/>
            </w:pPr>
            <w:r w:rsidRPr="00172E44">
              <w:t>Several sites, n (%)</w:t>
            </w:r>
          </w:p>
        </w:tc>
        <w:tc>
          <w:tcPr>
            <w:tcW w:w="1134" w:type="dxa"/>
          </w:tcPr>
          <w:p w14:paraId="337DE857" w14:textId="77777777" w:rsidR="000D12C2" w:rsidRPr="00172E44" w:rsidRDefault="000D12C2" w:rsidP="005560FB">
            <w:pPr>
              <w:spacing w:line="480" w:lineRule="auto"/>
            </w:pPr>
            <w:r w:rsidRPr="00172E44">
              <w:t>5 (11.9)</w:t>
            </w:r>
          </w:p>
        </w:tc>
        <w:tc>
          <w:tcPr>
            <w:tcW w:w="1559" w:type="dxa"/>
          </w:tcPr>
          <w:p w14:paraId="00472FA5" w14:textId="77777777" w:rsidR="000D12C2" w:rsidRPr="00172E44" w:rsidRDefault="000D12C2" w:rsidP="005560FB">
            <w:pPr>
              <w:spacing w:line="480" w:lineRule="auto"/>
            </w:pPr>
            <w:r w:rsidRPr="00172E44">
              <w:t>0 (0)</w:t>
            </w:r>
          </w:p>
        </w:tc>
        <w:tc>
          <w:tcPr>
            <w:tcW w:w="1434" w:type="dxa"/>
          </w:tcPr>
          <w:p w14:paraId="45FB7ED8" w14:textId="77777777" w:rsidR="000D12C2" w:rsidRPr="00172E44" w:rsidRDefault="000D12C2" w:rsidP="005560FB">
            <w:pPr>
              <w:spacing w:line="480" w:lineRule="auto"/>
            </w:pPr>
            <w:r w:rsidRPr="00172E44">
              <w:t>11 (44.0)</w:t>
            </w:r>
          </w:p>
        </w:tc>
        <w:tc>
          <w:tcPr>
            <w:tcW w:w="1826" w:type="dxa"/>
          </w:tcPr>
          <w:p w14:paraId="5C3DFD42" w14:textId="77777777" w:rsidR="000D12C2" w:rsidRPr="00172E44" w:rsidRDefault="000D12C2" w:rsidP="005560FB">
            <w:pPr>
              <w:spacing w:line="480" w:lineRule="auto"/>
            </w:pPr>
            <w:r w:rsidRPr="00172E44">
              <w:t>1 (14.3)</w:t>
            </w:r>
          </w:p>
        </w:tc>
        <w:tc>
          <w:tcPr>
            <w:tcW w:w="1078" w:type="dxa"/>
          </w:tcPr>
          <w:p w14:paraId="5129BE91" w14:textId="77777777" w:rsidR="000D12C2" w:rsidRPr="00172E44" w:rsidRDefault="000D12C2" w:rsidP="005560FB">
            <w:pPr>
              <w:spacing w:line="480" w:lineRule="auto"/>
            </w:pPr>
            <w:r w:rsidRPr="00172E44">
              <w:t>17 (18.3)</w:t>
            </w:r>
          </w:p>
        </w:tc>
      </w:tr>
      <w:tr w:rsidR="000D12C2" w:rsidRPr="00172E44" w14:paraId="16AE93C8" w14:textId="77777777" w:rsidTr="00A02C30">
        <w:tc>
          <w:tcPr>
            <w:tcW w:w="1985" w:type="dxa"/>
          </w:tcPr>
          <w:p w14:paraId="67D0F34F" w14:textId="77777777" w:rsidR="000D12C2" w:rsidRPr="00172E44" w:rsidRDefault="000D12C2" w:rsidP="005560FB">
            <w:pPr>
              <w:spacing w:line="480" w:lineRule="auto"/>
            </w:pPr>
            <w:r w:rsidRPr="00172E44">
              <w:t>Not reported, n (%)</w:t>
            </w:r>
          </w:p>
        </w:tc>
        <w:tc>
          <w:tcPr>
            <w:tcW w:w="1134" w:type="dxa"/>
          </w:tcPr>
          <w:p w14:paraId="561315F5" w14:textId="77777777" w:rsidR="000D12C2" w:rsidRPr="00172E44" w:rsidRDefault="000D12C2" w:rsidP="005560FB">
            <w:pPr>
              <w:spacing w:line="480" w:lineRule="auto"/>
            </w:pPr>
            <w:r w:rsidRPr="00172E44">
              <w:t>12 (28.6)</w:t>
            </w:r>
          </w:p>
        </w:tc>
        <w:tc>
          <w:tcPr>
            <w:tcW w:w="1559" w:type="dxa"/>
          </w:tcPr>
          <w:p w14:paraId="353E464D" w14:textId="77777777" w:rsidR="000D12C2" w:rsidRPr="00172E44" w:rsidRDefault="000D12C2" w:rsidP="005560FB">
            <w:pPr>
              <w:spacing w:line="480" w:lineRule="auto"/>
            </w:pPr>
            <w:r w:rsidRPr="00172E44">
              <w:t>13 (68.4)</w:t>
            </w:r>
          </w:p>
        </w:tc>
        <w:tc>
          <w:tcPr>
            <w:tcW w:w="1434" w:type="dxa"/>
          </w:tcPr>
          <w:p w14:paraId="311BB9D6" w14:textId="77777777" w:rsidR="000D12C2" w:rsidRPr="00172E44" w:rsidRDefault="000D12C2" w:rsidP="005560FB">
            <w:pPr>
              <w:spacing w:line="480" w:lineRule="auto"/>
            </w:pPr>
            <w:r w:rsidRPr="00172E44">
              <w:t>5 (20.0)</w:t>
            </w:r>
          </w:p>
        </w:tc>
        <w:tc>
          <w:tcPr>
            <w:tcW w:w="1826" w:type="dxa"/>
          </w:tcPr>
          <w:p w14:paraId="0FB5139F" w14:textId="77777777" w:rsidR="000D12C2" w:rsidRPr="00172E44" w:rsidRDefault="000D12C2" w:rsidP="005560FB">
            <w:pPr>
              <w:spacing w:line="480" w:lineRule="auto"/>
            </w:pPr>
            <w:r w:rsidRPr="00172E44">
              <w:t>2 (28.6)</w:t>
            </w:r>
          </w:p>
        </w:tc>
        <w:tc>
          <w:tcPr>
            <w:tcW w:w="1078" w:type="dxa"/>
          </w:tcPr>
          <w:p w14:paraId="30BE7C2D" w14:textId="77777777" w:rsidR="000D12C2" w:rsidRPr="00172E44" w:rsidRDefault="000D12C2" w:rsidP="005560FB">
            <w:pPr>
              <w:spacing w:line="480" w:lineRule="auto"/>
            </w:pPr>
            <w:r w:rsidRPr="00172E44">
              <w:t>32 (34.4)</w:t>
            </w:r>
          </w:p>
        </w:tc>
      </w:tr>
      <w:tr w:rsidR="005F6473" w:rsidRPr="00172E44" w14:paraId="5CEB329B" w14:textId="77777777" w:rsidTr="00A02C30">
        <w:tc>
          <w:tcPr>
            <w:tcW w:w="1985" w:type="dxa"/>
          </w:tcPr>
          <w:p w14:paraId="65A13979" w14:textId="77777777" w:rsidR="005F6473" w:rsidRPr="00172E44" w:rsidRDefault="005F6473" w:rsidP="005F6473">
            <w:pPr>
              <w:spacing w:line="480" w:lineRule="auto"/>
              <w:rPr>
                <w:b/>
              </w:rPr>
            </w:pPr>
          </w:p>
          <w:p w14:paraId="7526B7B0" w14:textId="77777777" w:rsidR="005F6473" w:rsidRPr="00172E44" w:rsidRDefault="005F6473" w:rsidP="005F6473">
            <w:pPr>
              <w:spacing w:line="480" w:lineRule="auto"/>
              <w:rPr>
                <w:b/>
              </w:rPr>
            </w:pPr>
            <w:r w:rsidRPr="00172E44">
              <w:rPr>
                <w:b/>
              </w:rPr>
              <w:t>Injuries</w:t>
            </w:r>
          </w:p>
          <w:p w14:paraId="1E78BAC5" w14:textId="77777777" w:rsidR="005F6473" w:rsidRPr="00172E44" w:rsidRDefault="005F6473" w:rsidP="005F6473">
            <w:pPr>
              <w:spacing w:line="480" w:lineRule="auto"/>
            </w:pPr>
          </w:p>
        </w:tc>
        <w:tc>
          <w:tcPr>
            <w:tcW w:w="1134" w:type="dxa"/>
          </w:tcPr>
          <w:p w14:paraId="18A1E858" w14:textId="77777777" w:rsidR="005F6473" w:rsidRPr="00172E44" w:rsidRDefault="005F6473" w:rsidP="005F6473">
            <w:pPr>
              <w:spacing w:line="480" w:lineRule="auto"/>
            </w:pPr>
          </w:p>
        </w:tc>
        <w:tc>
          <w:tcPr>
            <w:tcW w:w="1559" w:type="dxa"/>
          </w:tcPr>
          <w:p w14:paraId="165B241B" w14:textId="77777777" w:rsidR="005F6473" w:rsidRPr="00172E44" w:rsidRDefault="005F6473" w:rsidP="005F6473">
            <w:pPr>
              <w:spacing w:line="480" w:lineRule="auto"/>
            </w:pPr>
          </w:p>
        </w:tc>
        <w:tc>
          <w:tcPr>
            <w:tcW w:w="1434" w:type="dxa"/>
          </w:tcPr>
          <w:p w14:paraId="4184D2C3" w14:textId="77777777" w:rsidR="005F6473" w:rsidRPr="00172E44" w:rsidRDefault="005F6473" w:rsidP="005F6473">
            <w:pPr>
              <w:spacing w:line="480" w:lineRule="auto"/>
            </w:pPr>
          </w:p>
        </w:tc>
        <w:tc>
          <w:tcPr>
            <w:tcW w:w="1826" w:type="dxa"/>
          </w:tcPr>
          <w:p w14:paraId="1F964A19" w14:textId="77777777" w:rsidR="005F6473" w:rsidRPr="00172E44" w:rsidRDefault="005F6473" w:rsidP="005F6473">
            <w:pPr>
              <w:spacing w:line="480" w:lineRule="auto"/>
            </w:pPr>
          </w:p>
        </w:tc>
        <w:tc>
          <w:tcPr>
            <w:tcW w:w="1078" w:type="dxa"/>
          </w:tcPr>
          <w:p w14:paraId="63A570F4" w14:textId="77777777" w:rsidR="005F6473" w:rsidRPr="00172E44" w:rsidRDefault="005F6473" w:rsidP="005F6473">
            <w:pPr>
              <w:spacing w:line="480" w:lineRule="auto"/>
            </w:pPr>
          </w:p>
        </w:tc>
      </w:tr>
      <w:tr w:rsidR="005F6473" w:rsidRPr="00172E44" w14:paraId="01B1E57D" w14:textId="77777777" w:rsidTr="00A02C30">
        <w:tc>
          <w:tcPr>
            <w:tcW w:w="1985" w:type="dxa"/>
          </w:tcPr>
          <w:p w14:paraId="609CCFBC" w14:textId="6961C7E2" w:rsidR="005F6473" w:rsidRPr="00172E44" w:rsidRDefault="005F6473" w:rsidP="005F6473">
            <w:pPr>
              <w:spacing w:line="480" w:lineRule="auto"/>
            </w:pPr>
            <w:r w:rsidRPr="00172E44">
              <w:t>Superficial injuries, n (%)</w:t>
            </w:r>
          </w:p>
        </w:tc>
        <w:tc>
          <w:tcPr>
            <w:tcW w:w="1134" w:type="dxa"/>
          </w:tcPr>
          <w:p w14:paraId="7ADA3EAD" w14:textId="673E0722" w:rsidR="005F6473" w:rsidRPr="00172E44" w:rsidRDefault="005F6473" w:rsidP="005F6473">
            <w:pPr>
              <w:spacing w:line="480" w:lineRule="auto"/>
            </w:pPr>
            <w:r w:rsidRPr="00172E44">
              <w:t>9 (21.4)</w:t>
            </w:r>
          </w:p>
        </w:tc>
        <w:tc>
          <w:tcPr>
            <w:tcW w:w="1559" w:type="dxa"/>
          </w:tcPr>
          <w:p w14:paraId="21A37BD2" w14:textId="51A4A1FB" w:rsidR="005F6473" w:rsidRPr="00172E44" w:rsidRDefault="005F6473" w:rsidP="005F6473">
            <w:pPr>
              <w:spacing w:line="480" w:lineRule="auto"/>
            </w:pPr>
            <w:r w:rsidRPr="00172E44">
              <w:t>3 (15.8)</w:t>
            </w:r>
          </w:p>
        </w:tc>
        <w:tc>
          <w:tcPr>
            <w:tcW w:w="1434" w:type="dxa"/>
          </w:tcPr>
          <w:p w14:paraId="17D1DC44" w14:textId="33E6F2FA" w:rsidR="005F6473" w:rsidRPr="00172E44" w:rsidRDefault="005F6473" w:rsidP="005F6473">
            <w:pPr>
              <w:spacing w:line="480" w:lineRule="auto"/>
            </w:pPr>
            <w:r w:rsidRPr="00172E44">
              <w:t>5 (20.0)</w:t>
            </w:r>
          </w:p>
        </w:tc>
        <w:tc>
          <w:tcPr>
            <w:tcW w:w="1826" w:type="dxa"/>
          </w:tcPr>
          <w:p w14:paraId="68FBE049" w14:textId="3E041DAA" w:rsidR="005F6473" w:rsidRPr="00172E44" w:rsidRDefault="005F6473" w:rsidP="005F6473">
            <w:pPr>
              <w:spacing w:line="480" w:lineRule="auto"/>
            </w:pPr>
            <w:r w:rsidRPr="00172E44">
              <w:t>2 (28.6)</w:t>
            </w:r>
          </w:p>
        </w:tc>
        <w:tc>
          <w:tcPr>
            <w:tcW w:w="1078" w:type="dxa"/>
          </w:tcPr>
          <w:p w14:paraId="21D84A94" w14:textId="3EF2C91E" w:rsidR="005F6473" w:rsidRPr="00172E44" w:rsidRDefault="005F6473" w:rsidP="005F6473">
            <w:pPr>
              <w:spacing w:line="480" w:lineRule="auto"/>
            </w:pPr>
            <w:r w:rsidRPr="00172E44">
              <w:t>19 (20.4)</w:t>
            </w:r>
          </w:p>
        </w:tc>
      </w:tr>
      <w:tr w:rsidR="005F6473" w:rsidRPr="00172E44" w14:paraId="3A92B3E3" w14:textId="77777777" w:rsidTr="00A02C30">
        <w:tc>
          <w:tcPr>
            <w:tcW w:w="1985" w:type="dxa"/>
          </w:tcPr>
          <w:p w14:paraId="45E9B586" w14:textId="031A4CE2" w:rsidR="005F6473" w:rsidRPr="00172E44" w:rsidRDefault="005F6473" w:rsidP="005F6473">
            <w:pPr>
              <w:spacing w:line="480" w:lineRule="auto"/>
            </w:pPr>
            <w:r w:rsidRPr="00172E44">
              <w:t>Burns, n (%)</w:t>
            </w:r>
          </w:p>
        </w:tc>
        <w:tc>
          <w:tcPr>
            <w:tcW w:w="1134" w:type="dxa"/>
          </w:tcPr>
          <w:p w14:paraId="31E5A481" w14:textId="23042A6F" w:rsidR="005F6473" w:rsidRPr="00172E44" w:rsidRDefault="005F6473" w:rsidP="005F6473">
            <w:pPr>
              <w:spacing w:line="480" w:lineRule="auto"/>
            </w:pPr>
            <w:r w:rsidRPr="00172E44">
              <w:t>1 (2.4)</w:t>
            </w:r>
          </w:p>
        </w:tc>
        <w:tc>
          <w:tcPr>
            <w:tcW w:w="1559" w:type="dxa"/>
          </w:tcPr>
          <w:p w14:paraId="51E4C600" w14:textId="71DC9DDE" w:rsidR="005F6473" w:rsidRPr="00172E44" w:rsidRDefault="005F6473" w:rsidP="005F6473">
            <w:pPr>
              <w:spacing w:line="480" w:lineRule="auto"/>
            </w:pPr>
            <w:r w:rsidRPr="00172E44">
              <w:t>0</w:t>
            </w:r>
          </w:p>
        </w:tc>
        <w:tc>
          <w:tcPr>
            <w:tcW w:w="1434" w:type="dxa"/>
          </w:tcPr>
          <w:p w14:paraId="508CBF5F" w14:textId="37A151AC" w:rsidR="005F6473" w:rsidRPr="00172E44" w:rsidRDefault="005F6473" w:rsidP="005F6473">
            <w:pPr>
              <w:spacing w:line="480" w:lineRule="auto"/>
            </w:pPr>
            <w:r w:rsidRPr="00172E44">
              <w:t>0</w:t>
            </w:r>
          </w:p>
        </w:tc>
        <w:tc>
          <w:tcPr>
            <w:tcW w:w="1826" w:type="dxa"/>
          </w:tcPr>
          <w:p w14:paraId="42968364" w14:textId="42C70F6C" w:rsidR="005F6473" w:rsidRPr="00172E44" w:rsidRDefault="005F6473" w:rsidP="005F6473">
            <w:pPr>
              <w:spacing w:line="480" w:lineRule="auto"/>
            </w:pPr>
            <w:r w:rsidRPr="00172E44">
              <w:t>0</w:t>
            </w:r>
          </w:p>
        </w:tc>
        <w:tc>
          <w:tcPr>
            <w:tcW w:w="1078" w:type="dxa"/>
          </w:tcPr>
          <w:p w14:paraId="233B720A" w14:textId="69A77733" w:rsidR="005F6473" w:rsidRPr="00172E44" w:rsidRDefault="005F6473" w:rsidP="005F6473">
            <w:pPr>
              <w:spacing w:line="480" w:lineRule="auto"/>
            </w:pPr>
            <w:r w:rsidRPr="00172E44">
              <w:t>1 (1.1)</w:t>
            </w:r>
          </w:p>
        </w:tc>
      </w:tr>
      <w:tr w:rsidR="005F6473" w:rsidRPr="00172E44" w14:paraId="19F212F4" w14:textId="77777777" w:rsidTr="00A02C30">
        <w:tc>
          <w:tcPr>
            <w:tcW w:w="1985" w:type="dxa"/>
          </w:tcPr>
          <w:p w14:paraId="13100D54" w14:textId="5894DEFB" w:rsidR="005F6473" w:rsidRPr="00172E44" w:rsidRDefault="005F6473" w:rsidP="005F6473">
            <w:pPr>
              <w:spacing w:line="480" w:lineRule="auto"/>
            </w:pPr>
            <w:r w:rsidRPr="00172E44">
              <w:t>Uninjured, n (%)</w:t>
            </w:r>
          </w:p>
        </w:tc>
        <w:tc>
          <w:tcPr>
            <w:tcW w:w="1134" w:type="dxa"/>
          </w:tcPr>
          <w:p w14:paraId="69DC1592" w14:textId="623B1BE6" w:rsidR="005F6473" w:rsidRPr="00172E44" w:rsidRDefault="005F6473" w:rsidP="005F6473">
            <w:pPr>
              <w:spacing w:line="480" w:lineRule="auto"/>
            </w:pPr>
            <w:r w:rsidRPr="00172E44">
              <w:t>5 (11.9)</w:t>
            </w:r>
          </w:p>
        </w:tc>
        <w:tc>
          <w:tcPr>
            <w:tcW w:w="1559" w:type="dxa"/>
          </w:tcPr>
          <w:p w14:paraId="3B347BE0" w14:textId="10AA22CB" w:rsidR="005F6473" w:rsidRPr="00172E44" w:rsidRDefault="005F6473" w:rsidP="005F6473">
            <w:pPr>
              <w:spacing w:line="480" w:lineRule="auto"/>
            </w:pPr>
            <w:r w:rsidRPr="00172E44">
              <w:t>4 (21.0)</w:t>
            </w:r>
          </w:p>
        </w:tc>
        <w:tc>
          <w:tcPr>
            <w:tcW w:w="1434" w:type="dxa"/>
          </w:tcPr>
          <w:p w14:paraId="67810130" w14:textId="6A059039" w:rsidR="005F6473" w:rsidRPr="00172E44" w:rsidRDefault="005F6473" w:rsidP="005F6473">
            <w:pPr>
              <w:spacing w:line="480" w:lineRule="auto"/>
            </w:pPr>
            <w:r w:rsidRPr="00172E44">
              <w:t>2 (8.0)</w:t>
            </w:r>
          </w:p>
        </w:tc>
        <w:tc>
          <w:tcPr>
            <w:tcW w:w="1826" w:type="dxa"/>
          </w:tcPr>
          <w:p w14:paraId="5B176CD9" w14:textId="727AC9AC" w:rsidR="005F6473" w:rsidRPr="00172E44" w:rsidRDefault="005F6473" w:rsidP="005F6473">
            <w:pPr>
              <w:spacing w:line="480" w:lineRule="auto"/>
            </w:pPr>
            <w:r w:rsidRPr="00172E44">
              <w:t>3 (42.9)</w:t>
            </w:r>
          </w:p>
        </w:tc>
        <w:tc>
          <w:tcPr>
            <w:tcW w:w="1078" w:type="dxa"/>
          </w:tcPr>
          <w:p w14:paraId="2CB79594" w14:textId="6B97CC0F" w:rsidR="005F6473" w:rsidRPr="00172E44" w:rsidRDefault="005F6473" w:rsidP="005F6473">
            <w:pPr>
              <w:spacing w:line="480" w:lineRule="auto"/>
            </w:pPr>
            <w:r w:rsidRPr="00172E44">
              <w:t>14 (15.1)</w:t>
            </w:r>
          </w:p>
        </w:tc>
      </w:tr>
      <w:tr w:rsidR="005F6473" w:rsidRPr="00172E44" w14:paraId="41281341" w14:textId="77777777" w:rsidTr="00A02C30">
        <w:tc>
          <w:tcPr>
            <w:tcW w:w="1985" w:type="dxa"/>
          </w:tcPr>
          <w:p w14:paraId="538C76C5" w14:textId="397778FC" w:rsidR="005F6473" w:rsidRPr="00172E44" w:rsidRDefault="005F6473" w:rsidP="005F6473">
            <w:pPr>
              <w:spacing w:line="480" w:lineRule="auto"/>
            </w:pPr>
            <w:r w:rsidRPr="00172E44">
              <w:t>Not reported, n (%)</w:t>
            </w:r>
          </w:p>
        </w:tc>
        <w:tc>
          <w:tcPr>
            <w:tcW w:w="1134" w:type="dxa"/>
          </w:tcPr>
          <w:p w14:paraId="4EB55575" w14:textId="37692341" w:rsidR="005F6473" w:rsidRPr="00172E44" w:rsidRDefault="005F6473" w:rsidP="005F6473">
            <w:pPr>
              <w:spacing w:line="480" w:lineRule="auto"/>
            </w:pPr>
            <w:r w:rsidRPr="00172E44">
              <w:t>27 (64.3)</w:t>
            </w:r>
          </w:p>
        </w:tc>
        <w:tc>
          <w:tcPr>
            <w:tcW w:w="1559" w:type="dxa"/>
          </w:tcPr>
          <w:p w14:paraId="1D9C46F1" w14:textId="577A47EF" w:rsidR="005F6473" w:rsidRPr="00172E44" w:rsidRDefault="005F6473" w:rsidP="005F6473">
            <w:pPr>
              <w:spacing w:line="480" w:lineRule="auto"/>
            </w:pPr>
            <w:r w:rsidRPr="00172E44">
              <w:t>12 (63.2)</w:t>
            </w:r>
          </w:p>
        </w:tc>
        <w:tc>
          <w:tcPr>
            <w:tcW w:w="1434" w:type="dxa"/>
          </w:tcPr>
          <w:p w14:paraId="0F5A5270" w14:textId="09267511" w:rsidR="005F6473" w:rsidRPr="00172E44" w:rsidRDefault="005F6473" w:rsidP="005F6473">
            <w:pPr>
              <w:spacing w:line="480" w:lineRule="auto"/>
            </w:pPr>
            <w:r w:rsidRPr="00172E44">
              <w:t>18 (72.0)</w:t>
            </w:r>
          </w:p>
        </w:tc>
        <w:tc>
          <w:tcPr>
            <w:tcW w:w="1826" w:type="dxa"/>
          </w:tcPr>
          <w:p w14:paraId="17193FB9" w14:textId="2365CD77" w:rsidR="005F6473" w:rsidRPr="00172E44" w:rsidRDefault="005F6473" w:rsidP="005F6473">
            <w:pPr>
              <w:spacing w:line="480" w:lineRule="auto"/>
            </w:pPr>
            <w:r w:rsidRPr="00172E44">
              <w:t>2 (28.6)</w:t>
            </w:r>
          </w:p>
        </w:tc>
        <w:tc>
          <w:tcPr>
            <w:tcW w:w="1078" w:type="dxa"/>
          </w:tcPr>
          <w:p w14:paraId="3EAE560D" w14:textId="1388223A" w:rsidR="005F6473" w:rsidRPr="00172E44" w:rsidRDefault="005F6473" w:rsidP="005F6473">
            <w:pPr>
              <w:spacing w:line="480" w:lineRule="auto"/>
            </w:pPr>
            <w:r w:rsidRPr="00172E44">
              <w:t>59 (63.4)</w:t>
            </w:r>
          </w:p>
        </w:tc>
      </w:tr>
    </w:tbl>
    <w:p w14:paraId="4268136F" w14:textId="77777777" w:rsidR="000D12C2" w:rsidRPr="00172E44" w:rsidRDefault="00711B87" w:rsidP="000D12C2">
      <w:pPr>
        <w:rPr>
          <w:rFonts w:cs="Arial"/>
          <w:shd w:val="clear" w:color="auto" w:fill="FFFFFF"/>
        </w:rPr>
      </w:pPr>
      <w:r w:rsidRPr="00172E44">
        <w:rPr>
          <w:rFonts w:cstheme="minorHAnsi"/>
          <w:shd w:val="clear" w:color="auto" w:fill="FFFFFF"/>
        </w:rPr>
        <w:t>†</w:t>
      </w:r>
      <w:r w:rsidR="000D12C2" w:rsidRPr="00172E44">
        <w:rPr>
          <w:rFonts w:cs="Arial"/>
          <w:shd w:val="clear" w:color="auto" w:fill="FFFFFF"/>
        </w:rPr>
        <w:t xml:space="preserve">As the incidents were only counted once per category in Table </w:t>
      </w:r>
      <w:r w:rsidR="00D82DDF" w:rsidRPr="00172E44">
        <w:rPr>
          <w:rFonts w:cs="Arial"/>
          <w:shd w:val="clear" w:color="auto" w:fill="FFFFFF"/>
        </w:rPr>
        <w:t>2</w:t>
      </w:r>
      <w:r w:rsidR="000D12C2" w:rsidRPr="00172E44">
        <w:rPr>
          <w:rFonts w:cs="Arial"/>
          <w:shd w:val="clear" w:color="auto" w:fill="FFFFFF"/>
        </w:rPr>
        <w:t>, percentages were included</w:t>
      </w:r>
    </w:p>
    <w:bookmarkEnd w:id="11"/>
    <w:p w14:paraId="2DBE5082" w14:textId="77777777" w:rsidR="003C5649" w:rsidRPr="00172E44" w:rsidRDefault="003C5649">
      <w:pPr>
        <w:rPr>
          <w:rFonts w:cs="Arial"/>
          <w:shd w:val="clear" w:color="auto" w:fill="FFFFFF"/>
        </w:rPr>
      </w:pPr>
      <w:r w:rsidRPr="00172E44">
        <w:rPr>
          <w:rFonts w:cs="Arial"/>
          <w:shd w:val="clear" w:color="auto" w:fill="FFFFFF"/>
        </w:rPr>
        <w:br w:type="page"/>
      </w:r>
    </w:p>
    <w:p w14:paraId="79235421" w14:textId="77777777" w:rsidR="003C5649" w:rsidRPr="00172E44" w:rsidRDefault="003C5649" w:rsidP="003C5649">
      <w:pPr>
        <w:spacing w:line="480" w:lineRule="auto"/>
        <w:rPr>
          <w:b/>
        </w:rPr>
      </w:pPr>
      <w:r w:rsidRPr="00172E44">
        <w:rPr>
          <w:b/>
        </w:rPr>
        <w:t xml:space="preserve">Table 3. </w:t>
      </w:r>
      <w:r w:rsidR="00B27F5B" w:rsidRPr="00172E44">
        <w:rPr>
          <w:b/>
        </w:rPr>
        <w:t>Number of c</w:t>
      </w:r>
      <w:r w:rsidRPr="00172E44">
        <w:rPr>
          <w:b/>
        </w:rPr>
        <w:t>ontainment interventions used to manage the smoking-related violent incidents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70"/>
        <w:gridCol w:w="1087"/>
        <w:gridCol w:w="968"/>
        <w:gridCol w:w="967"/>
        <w:gridCol w:w="967"/>
        <w:gridCol w:w="1345"/>
      </w:tblGrid>
      <w:tr w:rsidR="003C5649" w:rsidRPr="00172E44" w14:paraId="2903CEBB" w14:textId="77777777" w:rsidTr="003360C4">
        <w:tc>
          <w:tcPr>
            <w:tcW w:w="3397" w:type="dxa"/>
          </w:tcPr>
          <w:p w14:paraId="5B5F6C13" w14:textId="77777777" w:rsidR="003C5649" w:rsidRPr="00172E44" w:rsidRDefault="003C5649" w:rsidP="003360C4">
            <w:pPr>
              <w:spacing w:line="480" w:lineRule="auto"/>
            </w:pPr>
          </w:p>
        </w:tc>
        <w:tc>
          <w:tcPr>
            <w:tcW w:w="2132" w:type="dxa"/>
            <w:gridSpan w:val="2"/>
          </w:tcPr>
          <w:p w14:paraId="76C1F8EE" w14:textId="77777777" w:rsidR="003C5649" w:rsidRPr="00172E44" w:rsidRDefault="003C5649" w:rsidP="00D82DDF">
            <w:pPr>
              <w:spacing w:line="480" w:lineRule="auto"/>
              <w:jc w:val="center"/>
              <w:rPr>
                <w:b/>
              </w:rPr>
            </w:pPr>
            <w:r w:rsidRPr="00172E44">
              <w:rPr>
                <w:b/>
              </w:rPr>
              <w:t>Indoor</w:t>
            </w:r>
          </w:p>
          <w:p w14:paraId="0A77AF1C" w14:textId="77777777" w:rsidR="003C5649" w:rsidRPr="00172E44" w:rsidRDefault="003C5649" w:rsidP="00D82DDF">
            <w:pPr>
              <w:spacing w:line="480" w:lineRule="auto"/>
              <w:jc w:val="center"/>
              <w:rPr>
                <w:b/>
              </w:rPr>
            </w:pPr>
            <w:r w:rsidRPr="00172E44">
              <w:rPr>
                <w:b/>
              </w:rPr>
              <w:t>policy</w:t>
            </w:r>
          </w:p>
          <w:p w14:paraId="2C858756" w14:textId="77777777" w:rsidR="003C5649" w:rsidRPr="00172E44" w:rsidRDefault="003C5649" w:rsidP="00D82DDF">
            <w:pPr>
              <w:spacing w:line="480" w:lineRule="auto"/>
              <w:jc w:val="center"/>
              <w:rPr>
                <w:b/>
              </w:rPr>
            </w:pPr>
          </w:p>
        </w:tc>
        <w:tc>
          <w:tcPr>
            <w:tcW w:w="1984" w:type="dxa"/>
            <w:gridSpan w:val="2"/>
          </w:tcPr>
          <w:p w14:paraId="19A5B0A2" w14:textId="77777777" w:rsidR="003C5649" w:rsidRPr="00172E44" w:rsidRDefault="003C5649" w:rsidP="00D82DDF">
            <w:pPr>
              <w:spacing w:line="480" w:lineRule="auto"/>
              <w:jc w:val="center"/>
              <w:rPr>
                <w:b/>
              </w:rPr>
            </w:pPr>
            <w:r w:rsidRPr="00172E44">
              <w:rPr>
                <w:b/>
              </w:rPr>
              <w:t>Comprehensive</w:t>
            </w:r>
          </w:p>
          <w:p w14:paraId="0475E7C9" w14:textId="77777777" w:rsidR="003C5649" w:rsidRPr="00172E44" w:rsidRDefault="003C5649" w:rsidP="00D82DDF">
            <w:pPr>
              <w:spacing w:line="480" w:lineRule="auto"/>
              <w:jc w:val="center"/>
              <w:rPr>
                <w:b/>
              </w:rPr>
            </w:pPr>
            <w:r w:rsidRPr="00172E44">
              <w:rPr>
                <w:b/>
              </w:rPr>
              <w:t>policy</w:t>
            </w:r>
          </w:p>
          <w:p w14:paraId="3A49AE96" w14:textId="77777777" w:rsidR="003C5649" w:rsidRPr="00172E44" w:rsidRDefault="003C5649" w:rsidP="003360C4">
            <w:pPr>
              <w:spacing w:line="480" w:lineRule="auto"/>
              <w:rPr>
                <w:b/>
              </w:rPr>
            </w:pPr>
          </w:p>
        </w:tc>
        <w:tc>
          <w:tcPr>
            <w:tcW w:w="1418" w:type="dxa"/>
          </w:tcPr>
          <w:p w14:paraId="37BB7C8C" w14:textId="77777777" w:rsidR="003C5649" w:rsidRPr="00172E44" w:rsidRDefault="003C5649" w:rsidP="00D82DDF">
            <w:pPr>
              <w:spacing w:line="480" w:lineRule="auto"/>
              <w:jc w:val="center"/>
              <w:rPr>
                <w:b/>
              </w:rPr>
            </w:pPr>
            <w:r w:rsidRPr="00172E44">
              <w:rPr>
                <w:b/>
              </w:rPr>
              <w:t>Total</w:t>
            </w:r>
          </w:p>
          <w:p w14:paraId="2EA5C859" w14:textId="77777777" w:rsidR="003C5649" w:rsidRPr="00172E44" w:rsidRDefault="003C5649" w:rsidP="003360C4">
            <w:pPr>
              <w:spacing w:line="480" w:lineRule="auto"/>
            </w:pPr>
          </w:p>
        </w:tc>
      </w:tr>
      <w:tr w:rsidR="003C5649" w:rsidRPr="00172E44" w14:paraId="173F60B5" w14:textId="77777777" w:rsidTr="003360C4">
        <w:tc>
          <w:tcPr>
            <w:tcW w:w="3397" w:type="dxa"/>
          </w:tcPr>
          <w:p w14:paraId="121EB1F4" w14:textId="77777777" w:rsidR="003C5649" w:rsidRPr="00172E44" w:rsidRDefault="003C5649" w:rsidP="003360C4">
            <w:pPr>
              <w:spacing w:line="480" w:lineRule="auto"/>
            </w:pPr>
          </w:p>
        </w:tc>
        <w:tc>
          <w:tcPr>
            <w:tcW w:w="1139" w:type="dxa"/>
          </w:tcPr>
          <w:p w14:paraId="3E9DA533" w14:textId="77777777" w:rsidR="003C5649" w:rsidRPr="00172E44" w:rsidRDefault="003C5649" w:rsidP="00D82DDF">
            <w:pPr>
              <w:spacing w:line="480" w:lineRule="auto"/>
              <w:jc w:val="center"/>
            </w:pPr>
            <w:r w:rsidRPr="00172E44">
              <w:t>Patient toward staff</w:t>
            </w:r>
          </w:p>
        </w:tc>
        <w:tc>
          <w:tcPr>
            <w:tcW w:w="993" w:type="dxa"/>
          </w:tcPr>
          <w:p w14:paraId="40D75AE9" w14:textId="77777777" w:rsidR="003C5649" w:rsidRPr="00172E44" w:rsidRDefault="003C5649" w:rsidP="00D82DDF">
            <w:pPr>
              <w:spacing w:line="480" w:lineRule="auto"/>
              <w:jc w:val="center"/>
            </w:pPr>
            <w:r w:rsidRPr="00172E44">
              <w:t>Patient toward patient</w:t>
            </w:r>
          </w:p>
        </w:tc>
        <w:tc>
          <w:tcPr>
            <w:tcW w:w="992" w:type="dxa"/>
          </w:tcPr>
          <w:p w14:paraId="20C77E21" w14:textId="77777777" w:rsidR="003C5649" w:rsidRPr="00172E44" w:rsidRDefault="003C5649" w:rsidP="00D82DDF">
            <w:pPr>
              <w:spacing w:line="480" w:lineRule="auto"/>
              <w:jc w:val="center"/>
            </w:pPr>
            <w:r w:rsidRPr="00172E44">
              <w:t>Patient toward staff</w:t>
            </w:r>
          </w:p>
        </w:tc>
        <w:tc>
          <w:tcPr>
            <w:tcW w:w="992" w:type="dxa"/>
          </w:tcPr>
          <w:p w14:paraId="203E7788" w14:textId="77777777" w:rsidR="003C5649" w:rsidRPr="00172E44" w:rsidRDefault="003C5649" w:rsidP="00D82DDF">
            <w:pPr>
              <w:spacing w:line="480" w:lineRule="auto"/>
              <w:jc w:val="center"/>
            </w:pPr>
            <w:r w:rsidRPr="00172E44">
              <w:t>Patient toward patient</w:t>
            </w:r>
          </w:p>
        </w:tc>
        <w:tc>
          <w:tcPr>
            <w:tcW w:w="1418" w:type="dxa"/>
          </w:tcPr>
          <w:p w14:paraId="177C5115" w14:textId="77777777" w:rsidR="003C5649" w:rsidRPr="00172E44" w:rsidRDefault="003C5649" w:rsidP="00D82DDF">
            <w:pPr>
              <w:spacing w:line="480" w:lineRule="auto"/>
              <w:jc w:val="center"/>
            </w:pPr>
            <w:r w:rsidRPr="00172E44">
              <w:t>All incidents</w:t>
            </w:r>
          </w:p>
        </w:tc>
      </w:tr>
      <w:tr w:rsidR="003C5649" w:rsidRPr="00172E44" w14:paraId="40000E53" w14:textId="77777777" w:rsidTr="003360C4">
        <w:tc>
          <w:tcPr>
            <w:tcW w:w="3397" w:type="dxa"/>
            <w:tcBorders>
              <w:bottom w:val="single" w:sz="4" w:space="0" w:color="auto"/>
            </w:tcBorders>
          </w:tcPr>
          <w:p w14:paraId="756DBD91" w14:textId="77777777" w:rsidR="003C5649" w:rsidRPr="00172E44" w:rsidRDefault="003C5649" w:rsidP="003360C4">
            <w:pPr>
              <w:spacing w:line="480" w:lineRule="auto"/>
              <w:rPr>
                <w:b/>
              </w:rPr>
            </w:pPr>
            <w:r w:rsidRPr="00172E44">
              <w:rPr>
                <w:b/>
              </w:rPr>
              <w:t>Time out</w:t>
            </w:r>
          </w:p>
        </w:tc>
        <w:tc>
          <w:tcPr>
            <w:tcW w:w="1139" w:type="dxa"/>
            <w:tcBorders>
              <w:bottom w:val="single" w:sz="4" w:space="0" w:color="auto"/>
            </w:tcBorders>
          </w:tcPr>
          <w:p w14:paraId="0E0E5E43" w14:textId="77777777" w:rsidR="003C5649" w:rsidRPr="00172E44" w:rsidRDefault="003C5649" w:rsidP="003360C4">
            <w:pPr>
              <w:spacing w:line="480" w:lineRule="auto"/>
              <w:jc w:val="center"/>
              <w:rPr>
                <w:b/>
              </w:rPr>
            </w:pPr>
            <w:r w:rsidRPr="00172E44">
              <w:rPr>
                <w:b/>
              </w:rPr>
              <w:t>26</w:t>
            </w:r>
          </w:p>
        </w:tc>
        <w:tc>
          <w:tcPr>
            <w:tcW w:w="993" w:type="dxa"/>
            <w:tcBorders>
              <w:bottom w:val="single" w:sz="4" w:space="0" w:color="auto"/>
            </w:tcBorders>
          </w:tcPr>
          <w:p w14:paraId="5842EA1C" w14:textId="77777777" w:rsidR="003C5649" w:rsidRPr="00172E44" w:rsidRDefault="003C5649" w:rsidP="003360C4">
            <w:pPr>
              <w:spacing w:line="480" w:lineRule="auto"/>
              <w:jc w:val="center"/>
              <w:rPr>
                <w:b/>
              </w:rPr>
            </w:pPr>
            <w:r w:rsidRPr="00172E44">
              <w:rPr>
                <w:b/>
              </w:rPr>
              <w:t>12</w:t>
            </w:r>
          </w:p>
        </w:tc>
        <w:tc>
          <w:tcPr>
            <w:tcW w:w="992" w:type="dxa"/>
            <w:tcBorders>
              <w:bottom w:val="single" w:sz="4" w:space="0" w:color="auto"/>
            </w:tcBorders>
          </w:tcPr>
          <w:p w14:paraId="1A1C0FBD" w14:textId="77777777" w:rsidR="003C5649" w:rsidRPr="00172E44" w:rsidRDefault="003C5649" w:rsidP="003360C4">
            <w:pPr>
              <w:spacing w:line="480" w:lineRule="auto"/>
              <w:jc w:val="center"/>
              <w:rPr>
                <w:b/>
              </w:rPr>
            </w:pPr>
            <w:r w:rsidRPr="00172E44">
              <w:rPr>
                <w:b/>
              </w:rPr>
              <w:t>15</w:t>
            </w:r>
          </w:p>
        </w:tc>
        <w:tc>
          <w:tcPr>
            <w:tcW w:w="992" w:type="dxa"/>
            <w:tcBorders>
              <w:bottom w:val="single" w:sz="4" w:space="0" w:color="auto"/>
            </w:tcBorders>
          </w:tcPr>
          <w:p w14:paraId="419477CA" w14:textId="77777777" w:rsidR="003C5649" w:rsidRPr="00172E44" w:rsidRDefault="003C5649" w:rsidP="003360C4">
            <w:pPr>
              <w:spacing w:line="480" w:lineRule="auto"/>
              <w:jc w:val="center"/>
              <w:rPr>
                <w:b/>
              </w:rPr>
            </w:pPr>
            <w:r w:rsidRPr="00172E44">
              <w:rPr>
                <w:b/>
              </w:rPr>
              <w:t>4</w:t>
            </w:r>
          </w:p>
        </w:tc>
        <w:tc>
          <w:tcPr>
            <w:tcW w:w="1418" w:type="dxa"/>
            <w:tcBorders>
              <w:bottom w:val="single" w:sz="4" w:space="0" w:color="auto"/>
            </w:tcBorders>
          </w:tcPr>
          <w:p w14:paraId="77C447B6" w14:textId="77777777" w:rsidR="003C5649" w:rsidRPr="00172E44" w:rsidRDefault="003C5649" w:rsidP="003360C4">
            <w:pPr>
              <w:spacing w:line="480" w:lineRule="auto"/>
              <w:jc w:val="center"/>
              <w:rPr>
                <w:b/>
              </w:rPr>
            </w:pPr>
            <w:r w:rsidRPr="00172E44">
              <w:rPr>
                <w:b/>
              </w:rPr>
              <w:t>57</w:t>
            </w:r>
          </w:p>
        </w:tc>
      </w:tr>
      <w:tr w:rsidR="003C5649" w:rsidRPr="00172E44" w14:paraId="2E37F2A4" w14:textId="77777777" w:rsidTr="003360C4">
        <w:tc>
          <w:tcPr>
            <w:tcW w:w="3397" w:type="dxa"/>
            <w:tcBorders>
              <w:bottom w:val="nil"/>
            </w:tcBorders>
          </w:tcPr>
          <w:p w14:paraId="5D324DB5" w14:textId="77777777" w:rsidR="003C5649" w:rsidRPr="00172E44" w:rsidRDefault="003C5649" w:rsidP="003360C4">
            <w:pPr>
              <w:spacing w:line="480" w:lineRule="auto"/>
              <w:rPr>
                <w:b/>
              </w:rPr>
            </w:pPr>
            <w:r w:rsidRPr="00172E44">
              <w:rPr>
                <w:b/>
              </w:rPr>
              <w:t>PRN medication:</w:t>
            </w:r>
          </w:p>
        </w:tc>
        <w:tc>
          <w:tcPr>
            <w:tcW w:w="1139" w:type="dxa"/>
            <w:tcBorders>
              <w:bottom w:val="nil"/>
            </w:tcBorders>
          </w:tcPr>
          <w:p w14:paraId="6DDC0480" w14:textId="77777777" w:rsidR="003C5649" w:rsidRPr="00172E44" w:rsidRDefault="003C5649" w:rsidP="003360C4">
            <w:pPr>
              <w:spacing w:line="480" w:lineRule="auto"/>
              <w:jc w:val="center"/>
              <w:rPr>
                <w:b/>
              </w:rPr>
            </w:pPr>
            <w:r w:rsidRPr="00172E44">
              <w:rPr>
                <w:b/>
              </w:rPr>
              <w:t>16</w:t>
            </w:r>
          </w:p>
        </w:tc>
        <w:tc>
          <w:tcPr>
            <w:tcW w:w="993" w:type="dxa"/>
            <w:tcBorders>
              <w:bottom w:val="nil"/>
            </w:tcBorders>
          </w:tcPr>
          <w:p w14:paraId="2CA583FC" w14:textId="77777777" w:rsidR="003C5649" w:rsidRPr="00172E44" w:rsidRDefault="003C5649" w:rsidP="003360C4">
            <w:pPr>
              <w:spacing w:line="480" w:lineRule="auto"/>
              <w:jc w:val="center"/>
              <w:rPr>
                <w:b/>
              </w:rPr>
            </w:pPr>
            <w:r w:rsidRPr="00172E44">
              <w:rPr>
                <w:b/>
              </w:rPr>
              <w:t>11</w:t>
            </w:r>
          </w:p>
        </w:tc>
        <w:tc>
          <w:tcPr>
            <w:tcW w:w="992" w:type="dxa"/>
            <w:tcBorders>
              <w:bottom w:val="nil"/>
            </w:tcBorders>
          </w:tcPr>
          <w:p w14:paraId="64C51A29" w14:textId="77777777" w:rsidR="003C5649" w:rsidRPr="00172E44" w:rsidRDefault="003C5649" w:rsidP="003360C4">
            <w:pPr>
              <w:spacing w:line="480" w:lineRule="auto"/>
              <w:jc w:val="center"/>
              <w:rPr>
                <w:b/>
              </w:rPr>
            </w:pPr>
            <w:r w:rsidRPr="00172E44">
              <w:rPr>
                <w:b/>
              </w:rPr>
              <w:t>13</w:t>
            </w:r>
          </w:p>
        </w:tc>
        <w:tc>
          <w:tcPr>
            <w:tcW w:w="992" w:type="dxa"/>
            <w:tcBorders>
              <w:bottom w:val="nil"/>
            </w:tcBorders>
          </w:tcPr>
          <w:p w14:paraId="788978E6" w14:textId="77777777" w:rsidR="003C5649" w:rsidRPr="00172E44" w:rsidRDefault="003C5649" w:rsidP="003360C4">
            <w:pPr>
              <w:spacing w:line="480" w:lineRule="auto"/>
              <w:jc w:val="center"/>
              <w:rPr>
                <w:b/>
              </w:rPr>
            </w:pPr>
            <w:r w:rsidRPr="00172E44">
              <w:rPr>
                <w:b/>
              </w:rPr>
              <w:t>0</w:t>
            </w:r>
          </w:p>
        </w:tc>
        <w:tc>
          <w:tcPr>
            <w:tcW w:w="1418" w:type="dxa"/>
            <w:tcBorders>
              <w:bottom w:val="nil"/>
            </w:tcBorders>
          </w:tcPr>
          <w:p w14:paraId="4CEFFFDF" w14:textId="77777777" w:rsidR="003C5649" w:rsidRPr="00172E44" w:rsidRDefault="003C5649" w:rsidP="003360C4">
            <w:pPr>
              <w:spacing w:line="480" w:lineRule="auto"/>
              <w:jc w:val="center"/>
              <w:rPr>
                <w:b/>
              </w:rPr>
            </w:pPr>
            <w:r w:rsidRPr="00172E44">
              <w:rPr>
                <w:b/>
              </w:rPr>
              <w:t>40</w:t>
            </w:r>
          </w:p>
        </w:tc>
      </w:tr>
      <w:tr w:rsidR="003C5649" w:rsidRPr="00172E44" w14:paraId="74E97CF4" w14:textId="77777777" w:rsidTr="003360C4">
        <w:tc>
          <w:tcPr>
            <w:tcW w:w="3397" w:type="dxa"/>
            <w:tcBorders>
              <w:top w:val="nil"/>
              <w:bottom w:val="nil"/>
            </w:tcBorders>
          </w:tcPr>
          <w:p w14:paraId="3364553F" w14:textId="77777777" w:rsidR="003C5649" w:rsidRPr="00172E44" w:rsidRDefault="003C5649" w:rsidP="003360C4">
            <w:pPr>
              <w:pStyle w:val="ListParagraph"/>
              <w:numPr>
                <w:ilvl w:val="0"/>
                <w:numId w:val="7"/>
              </w:numPr>
              <w:spacing w:line="480" w:lineRule="auto"/>
            </w:pPr>
            <w:r w:rsidRPr="00172E44">
              <w:t>Oral only</w:t>
            </w:r>
          </w:p>
        </w:tc>
        <w:tc>
          <w:tcPr>
            <w:tcW w:w="1139" w:type="dxa"/>
            <w:tcBorders>
              <w:top w:val="nil"/>
              <w:bottom w:val="nil"/>
            </w:tcBorders>
          </w:tcPr>
          <w:p w14:paraId="2B27194C" w14:textId="77777777" w:rsidR="003C5649" w:rsidRPr="00172E44" w:rsidRDefault="003C5649" w:rsidP="003360C4">
            <w:pPr>
              <w:spacing w:line="480" w:lineRule="auto"/>
              <w:jc w:val="center"/>
            </w:pPr>
            <w:r w:rsidRPr="00172E44">
              <w:t>2</w:t>
            </w:r>
          </w:p>
        </w:tc>
        <w:tc>
          <w:tcPr>
            <w:tcW w:w="993" w:type="dxa"/>
            <w:tcBorders>
              <w:top w:val="nil"/>
              <w:bottom w:val="nil"/>
            </w:tcBorders>
          </w:tcPr>
          <w:p w14:paraId="1602300F" w14:textId="77777777" w:rsidR="003C5649" w:rsidRPr="00172E44" w:rsidRDefault="003C5649" w:rsidP="003360C4">
            <w:pPr>
              <w:spacing w:line="480" w:lineRule="auto"/>
              <w:jc w:val="center"/>
            </w:pPr>
            <w:r w:rsidRPr="00172E44">
              <w:t>4</w:t>
            </w:r>
          </w:p>
        </w:tc>
        <w:tc>
          <w:tcPr>
            <w:tcW w:w="992" w:type="dxa"/>
            <w:tcBorders>
              <w:top w:val="nil"/>
              <w:bottom w:val="nil"/>
            </w:tcBorders>
          </w:tcPr>
          <w:p w14:paraId="6CFA72CF" w14:textId="77777777" w:rsidR="003C5649" w:rsidRPr="00172E44" w:rsidRDefault="003C5649" w:rsidP="003360C4">
            <w:pPr>
              <w:spacing w:line="480" w:lineRule="auto"/>
              <w:jc w:val="center"/>
            </w:pPr>
            <w:r w:rsidRPr="00172E44">
              <w:t>2</w:t>
            </w:r>
          </w:p>
        </w:tc>
        <w:tc>
          <w:tcPr>
            <w:tcW w:w="992" w:type="dxa"/>
            <w:tcBorders>
              <w:top w:val="nil"/>
              <w:bottom w:val="nil"/>
            </w:tcBorders>
          </w:tcPr>
          <w:p w14:paraId="5F13545A"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0397E2EE" w14:textId="77777777" w:rsidR="003C5649" w:rsidRPr="00172E44" w:rsidRDefault="003C5649" w:rsidP="003360C4">
            <w:pPr>
              <w:spacing w:line="480" w:lineRule="auto"/>
              <w:jc w:val="center"/>
            </w:pPr>
            <w:r w:rsidRPr="00172E44">
              <w:t>8</w:t>
            </w:r>
          </w:p>
        </w:tc>
      </w:tr>
      <w:tr w:rsidR="003C5649" w:rsidRPr="00172E44" w14:paraId="40E102E3" w14:textId="77777777" w:rsidTr="003360C4">
        <w:tc>
          <w:tcPr>
            <w:tcW w:w="3397" w:type="dxa"/>
            <w:tcBorders>
              <w:top w:val="nil"/>
              <w:bottom w:val="nil"/>
            </w:tcBorders>
          </w:tcPr>
          <w:p w14:paraId="3C6B9B32" w14:textId="77777777" w:rsidR="003C5649" w:rsidRPr="00172E44" w:rsidRDefault="003C5649" w:rsidP="003360C4">
            <w:pPr>
              <w:pStyle w:val="ListParagraph"/>
              <w:numPr>
                <w:ilvl w:val="0"/>
                <w:numId w:val="7"/>
              </w:numPr>
              <w:spacing w:line="480" w:lineRule="auto"/>
            </w:pPr>
            <w:r w:rsidRPr="00172E44">
              <w:t>Intramuscular (IM) only</w:t>
            </w:r>
          </w:p>
        </w:tc>
        <w:tc>
          <w:tcPr>
            <w:tcW w:w="1139" w:type="dxa"/>
            <w:tcBorders>
              <w:top w:val="nil"/>
              <w:bottom w:val="nil"/>
            </w:tcBorders>
          </w:tcPr>
          <w:p w14:paraId="072D9F11" w14:textId="77777777" w:rsidR="003C5649" w:rsidRPr="00172E44" w:rsidRDefault="003C5649" w:rsidP="003360C4">
            <w:pPr>
              <w:spacing w:line="480" w:lineRule="auto"/>
              <w:jc w:val="center"/>
            </w:pPr>
            <w:r w:rsidRPr="00172E44">
              <w:t>2</w:t>
            </w:r>
          </w:p>
        </w:tc>
        <w:tc>
          <w:tcPr>
            <w:tcW w:w="993" w:type="dxa"/>
            <w:tcBorders>
              <w:top w:val="nil"/>
              <w:bottom w:val="nil"/>
            </w:tcBorders>
          </w:tcPr>
          <w:p w14:paraId="7C3BF0BE" w14:textId="77777777" w:rsidR="003C5649" w:rsidRPr="00172E44" w:rsidRDefault="003C5649" w:rsidP="003360C4">
            <w:pPr>
              <w:spacing w:line="480" w:lineRule="auto"/>
              <w:jc w:val="center"/>
            </w:pPr>
            <w:r w:rsidRPr="00172E44">
              <w:t>1</w:t>
            </w:r>
          </w:p>
        </w:tc>
        <w:tc>
          <w:tcPr>
            <w:tcW w:w="992" w:type="dxa"/>
            <w:tcBorders>
              <w:top w:val="nil"/>
              <w:bottom w:val="nil"/>
            </w:tcBorders>
          </w:tcPr>
          <w:p w14:paraId="228F9140" w14:textId="77777777" w:rsidR="003C5649" w:rsidRPr="00172E44" w:rsidRDefault="003C5649" w:rsidP="003360C4">
            <w:pPr>
              <w:spacing w:line="480" w:lineRule="auto"/>
              <w:jc w:val="center"/>
            </w:pPr>
            <w:r w:rsidRPr="00172E44">
              <w:t>3</w:t>
            </w:r>
          </w:p>
        </w:tc>
        <w:tc>
          <w:tcPr>
            <w:tcW w:w="992" w:type="dxa"/>
            <w:tcBorders>
              <w:top w:val="nil"/>
              <w:bottom w:val="nil"/>
            </w:tcBorders>
          </w:tcPr>
          <w:p w14:paraId="78C41133"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14D4C046" w14:textId="77777777" w:rsidR="003C5649" w:rsidRPr="00172E44" w:rsidRDefault="003C5649" w:rsidP="003360C4">
            <w:pPr>
              <w:spacing w:line="480" w:lineRule="auto"/>
              <w:jc w:val="center"/>
            </w:pPr>
            <w:r w:rsidRPr="00172E44">
              <w:t>6</w:t>
            </w:r>
          </w:p>
        </w:tc>
      </w:tr>
      <w:tr w:rsidR="003C5649" w:rsidRPr="00172E44" w14:paraId="116DA5FC" w14:textId="77777777" w:rsidTr="003360C4">
        <w:tc>
          <w:tcPr>
            <w:tcW w:w="3397" w:type="dxa"/>
            <w:tcBorders>
              <w:top w:val="nil"/>
              <w:bottom w:val="nil"/>
            </w:tcBorders>
          </w:tcPr>
          <w:p w14:paraId="1338A6EB" w14:textId="77777777" w:rsidR="003C5649" w:rsidRPr="00172E44" w:rsidRDefault="003C5649" w:rsidP="003360C4">
            <w:pPr>
              <w:pStyle w:val="ListParagraph"/>
              <w:numPr>
                <w:ilvl w:val="0"/>
                <w:numId w:val="7"/>
              </w:numPr>
              <w:spacing w:line="480" w:lineRule="auto"/>
            </w:pPr>
            <w:r w:rsidRPr="00172E44">
              <w:t>Combination of both</w:t>
            </w:r>
          </w:p>
        </w:tc>
        <w:tc>
          <w:tcPr>
            <w:tcW w:w="1139" w:type="dxa"/>
            <w:tcBorders>
              <w:top w:val="nil"/>
              <w:bottom w:val="nil"/>
            </w:tcBorders>
          </w:tcPr>
          <w:p w14:paraId="7F6840C9" w14:textId="77777777" w:rsidR="003C5649" w:rsidRPr="00172E44" w:rsidRDefault="003C5649" w:rsidP="003360C4">
            <w:pPr>
              <w:spacing w:line="480" w:lineRule="auto"/>
              <w:jc w:val="center"/>
            </w:pPr>
            <w:r w:rsidRPr="00172E44">
              <w:t>1</w:t>
            </w:r>
          </w:p>
        </w:tc>
        <w:tc>
          <w:tcPr>
            <w:tcW w:w="993" w:type="dxa"/>
            <w:tcBorders>
              <w:top w:val="nil"/>
              <w:bottom w:val="nil"/>
            </w:tcBorders>
          </w:tcPr>
          <w:p w14:paraId="5D8A60CB" w14:textId="77777777" w:rsidR="003C5649" w:rsidRPr="00172E44" w:rsidRDefault="003C5649" w:rsidP="003360C4">
            <w:pPr>
              <w:spacing w:line="480" w:lineRule="auto"/>
              <w:jc w:val="center"/>
            </w:pPr>
            <w:r w:rsidRPr="00172E44">
              <w:t>1</w:t>
            </w:r>
          </w:p>
        </w:tc>
        <w:tc>
          <w:tcPr>
            <w:tcW w:w="992" w:type="dxa"/>
            <w:tcBorders>
              <w:top w:val="nil"/>
              <w:bottom w:val="nil"/>
            </w:tcBorders>
          </w:tcPr>
          <w:p w14:paraId="20B03CAA" w14:textId="77777777" w:rsidR="003C5649" w:rsidRPr="00172E44" w:rsidRDefault="003C5649" w:rsidP="003360C4">
            <w:pPr>
              <w:spacing w:line="480" w:lineRule="auto"/>
              <w:jc w:val="center"/>
            </w:pPr>
            <w:r w:rsidRPr="00172E44">
              <w:t>3</w:t>
            </w:r>
          </w:p>
        </w:tc>
        <w:tc>
          <w:tcPr>
            <w:tcW w:w="992" w:type="dxa"/>
            <w:tcBorders>
              <w:top w:val="nil"/>
              <w:bottom w:val="nil"/>
            </w:tcBorders>
          </w:tcPr>
          <w:p w14:paraId="24141555"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318333F9" w14:textId="77777777" w:rsidR="003C5649" w:rsidRPr="00172E44" w:rsidRDefault="003C5649" w:rsidP="003360C4">
            <w:pPr>
              <w:spacing w:line="480" w:lineRule="auto"/>
              <w:jc w:val="center"/>
            </w:pPr>
            <w:r w:rsidRPr="00172E44">
              <w:t>5</w:t>
            </w:r>
          </w:p>
        </w:tc>
      </w:tr>
      <w:tr w:rsidR="003C5649" w:rsidRPr="00172E44" w14:paraId="2D672D41" w14:textId="77777777" w:rsidTr="003360C4">
        <w:tc>
          <w:tcPr>
            <w:tcW w:w="3397" w:type="dxa"/>
            <w:tcBorders>
              <w:top w:val="nil"/>
              <w:bottom w:val="single" w:sz="4" w:space="0" w:color="auto"/>
            </w:tcBorders>
          </w:tcPr>
          <w:p w14:paraId="368575CF" w14:textId="77777777" w:rsidR="003C5649" w:rsidRPr="00172E44" w:rsidRDefault="003C5649" w:rsidP="003360C4">
            <w:pPr>
              <w:pStyle w:val="ListParagraph"/>
              <w:numPr>
                <w:ilvl w:val="0"/>
                <w:numId w:val="7"/>
              </w:numPr>
              <w:spacing w:line="480" w:lineRule="auto"/>
            </w:pPr>
            <w:r w:rsidRPr="00172E44">
              <w:t>Unspecified</w:t>
            </w:r>
          </w:p>
        </w:tc>
        <w:tc>
          <w:tcPr>
            <w:tcW w:w="1139" w:type="dxa"/>
            <w:tcBorders>
              <w:top w:val="nil"/>
              <w:bottom w:val="single" w:sz="4" w:space="0" w:color="auto"/>
            </w:tcBorders>
          </w:tcPr>
          <w:p w14:paraId="3905680E" w14:textId="77777777" w:rsidR="003C5649" w:rsidRPr="00172E44" w:rsidRDefault="003C5649" w:rsidP="003360C4">
            <w:pPr>
              <w:spacing w:line="480" w:lineRule="auto"/>
              <w:jc w:val="center"/>
            </w:pPr>
            <w:r w:rsidRPr="00172E44">
              <w:t>11</w:t>
            </w:r>
          </w:p>
        </w:tc>
        <w:tc>
          <w:tcPr>
            <w:tcW w:w="993" w:type="dxa"/>
            <w:tcBorders>
              <w:top w:val="nil"/>
              <w:bottom w:val="single" w:sz="4" w:space="0" w:color="auto"/>
            </w:tcBorders>
          </w:tcPr>
          <w:p w14:paraId="1F75C378" w14:textId="77777777" w:rsidR="003C5649" w:rsidRPr="00172E44" w:rsidRDefault="003C5649" w:rsidP="003360C4">
            <w:pPr>
              <w:spacing w:line="480" w:lineRule="auto"/>
              <w:jc w:val="center"/>
            </w:pPr>
            <w:r w:rsidRPr="00172E44">
              <w:t>5</w:t>
            </w:r>
          </w:p>
        </w:tc>
        <w:tc>
          <w:tcPr>
            <w:tcW w:w="992" w:type="dxa"/>
            <w:tcBorders>
              <w:top w:val="nil"/>
              <w:bottom w:val="single" w:sz="4" w:space="0" w:color="auto"/>
            </w:tcBorders>
          </w:tcPr>
          <w:p w14:paraId="03D89908" w14:textId="77777777" w:rsidR="003C5649" w:rsidRPr="00172E44" w:rsidRDefault="003C5649" w:rsidP="003360C4">
            <w:pPr>
              <w:spacing w:line="480" w:lineRule="auto"/>
              <w:jc w:val="center"/>
            </w:pPr>
            <w:r w:rsidRPr="00172E44">
              <w:t>5</w:t>
            </w:r>
          </w:p>
        </w:tc>
        <w:tc>
          <w:tcPr>
            <w:tcW w:w="992" w:type="dxa"/>
            <w:tcBorders>
              <w:top w:val="nil"/>
              <w:bottom w:val="single" w:sz="4" w:space="0" w:color="auto"/>
            </w:tcBorders>
          </w:tcPr>
          <w:p w14:paraId="2773717E" w14:textId="77777777" w:rsidR="003C5649" w:rsidRPr="00172E44" w:rsidRDefault="003C5649" w:rsidP="003360C4">
            <w:pPr>
              <w:spacing w:line="480" w:lineRule="auto"/>
              <w:jc w:val="center"/>
            </w:pPr>
            <w:r w:rsidRPr="00172E44">
              <w:t>0</w:t>
            </w:r>
          </w:p>
        </w:tc>
        <w:tc>
          <w:tcPr>
            <w:tcW w:w="1418" w:type="dxa"/>
            <w:tcBorders>
              <w:top w:val="nil"/>
              <w:bottom w:val="single" w:sz="4" w:space="0" w:color="auto"/>
            </w:tcBorders>
          </w:tcPr>
          <w:p w14:paraId="12D5C159" w14:textId="77777777" w:rsidR="003C5649" w:rsidRPr="00172E44" w:rsidRDefault="003C5649" w:rsidP="003360C4">
            <w:pPr>
              <w:spacing w:line="480" w:lineRule="auto"/>
              <w:jc w:val="center"/>
            </w:pPr>
            <w:r w:rsidRPr="00172E44">
              <w:t>21</w:t>
            </w:r>
          </w:p>
        </w:tc>
      </w:tr>
      <w:tr w:rsidR="003C5649" w:rsidRPr="00172E44" w14:paraId="2E2454C6" w14:textId="77777777" w:rsidTr="003360C4">
        <w:tc>
          <w:tcPr>
            <w:tcW w:w="3397" w:type="dxa"/>
            <w:tcBorders>
              <w:bottom w:val="nil"/>
            </w:tcBorders>
          </w:tcPr>
          <w:p w14:paraId="6A3FD9BF" w14:textId="77777777" w:rsidR="003C5649" w:rsidRPr="00172E44" w:rsidRDefault="003C5649" w:rsidP="003360C4">
            <w:pPr>
              <w:spacing w:line="480" w:lineRule="auto"/>
              <w:rPr>
                <w:b/>
              </w:rPr>
            </w:pPr>
            <w:r w:rsidRPr="00172E44">
              <w:rPr>
                <w:b/>
              </w:rPr>
              <w:t>Restraint:</w:t>
            </w:r>
          </w:p>
        </w:tc>
        <w:tc>
          <w:tcPr>
            <w:tcW w:w="1139" w:type="dxa"/>
            <w:tcBorders>
              <w:bottom w:val="nil"/>
            </w:tcBorders>
          </w:tcPr>
          <w:p w14:paraId="2E916B00" w14:textId="77777777" w:rsidR="003C5649" w:rsidRPr="00172E44" w:rsidRDefault="003C5649" w:rsidP="003360C4">
            <w:pPr>
              <w:spacing w:line="480" w:lineRule="auto"/>
              <w:jc w:val="center"/>
              <w:rPr>
                <w:b/>
              </w:rPr>
            </w:pPr>
            <w:r w:rsidRPr="00172E44">
              <w:rPr>
                <w:b/>
              </w:rPr>
              <w:t>17</w:t>
            </w:r>
          </w:p>
        </w:tc>
        <w:tc>
          <w:tcPr>
            <w:tcW w:w="993" w:type="dxa"/>
            <w:tcBorders>
              <w:bottom w:val="nil"/>
            </w:tcBorders>
          </w:tcPr>
          <w:p w14:paraId="1BC2A715" w14:textId="77777777" w:rsidR="003C5649" w:rsidRPr="00172E44" w:rsidRDefault="003C5649" w:rsidP="003360C4">
            <w:pPr>
              <w:spacing w:line="480" w:lineRule="auto"/>
              <w:jc w:val="center"/>
              <w:rPr>
                <w:b/>
              </w:rPr>
            </w:pPr>
            <w:r w:rsidRPr="00172E44">
              <w:rPr>
                <w:b/>
              </w:rPr>
              <w:t>3</w:t>
            </w:r>
          </w:p>
        </w:tc>
        <w:tc>
          <w:tcPr>
            <w:tcW w:w="992" w:type="dxa"/>
            <w:tcBorders>
              <w:bottom w:val="nil"/>
            </w:tcBorders>
          </w:tcPr>
          <w:p w14:paraId="1590A06E" w14:textId="77777777" w:rsidR="003C5649" w:rsidRPr="00172E44" w:rsidRDefault="003C5649" w:rsidP="003360C4">
            <w:pPr>
              <w:spacing w:line="480" w:lineRule="auto"/>
              <w:jc w:val="center"/>
              <w:rPr>
                <w:b/>
              </w:rPr>
            </w:pPr>
            <w:r w:rsidRPr="00172E44">
              <w:rPr>
                <w:b/>
              </w:rPr>
              <w:t>16</w:t>
            </w:r>
          </w:p>
        </w:tc>
        <w:tc>
          <w:tcPr>
            <w:tcW w:w="992" w:type="dxa"/>
            <w:tcBorders>
              <w:bottom w:val="nil"/>
            </w:tcBorders>
          </w:tcPr>
          <w:p w14:paraId="68676098" w14:textId="77777777" w:rsidR="003C5649" w:rsidRPr="00172E44" w:rsidRDefault="003C5649" w:rsidP="003360C4">
            <w:pPr>
              <w:spacing w:line="480" w:lineRule="auto"/>
              <w:jc w:val="center"/>
              <w:rPr>
                <w:b/>
              </w:rPr>
            </w:pPr>
            <w:r w:rsidRPr="00172E44">
              <w:rPr>
                <w:b/>
              </w:rPr>
              <w:t>0</w:t>
            </w:r>
          </w:p>
        </w:tc>
        <w:tc>
          <w:tcPr>
            <w:tcW w:w="1418" w:type="dxa"/>
            <w:tcBorders>
              <w:bottom w:val="nil"/>
            </w:tcBorders>
          </w:tcPr>
          <w:p w14:paraId="60F18FBE" w14:textId="77777777" w:rsidR="003C5649" w:rsidRPr="00172E44" w:rsidRDefault="003C5649" w:rsidP="003360C4">
            <w:pPr>
              <w:spacing w:line="480" w:lineRule="auto"/>
              <w:jc w:val="center"/>
              <w:rPr>
                <w:b/>
              </w:rPr>
            </w:pPr>
            <w:r w:rsidRPr="00172E44">
              <w:rPr>
                <w:b/>
              </w:rPr>
              <w:t>36</w:t>
            </w:r>
          </w:p>
        </w:tc>
      </w:tr>
      <w:tr w:rsidR="003C5649" w:rsidRPr="00172E44" w14:paraId="20655542" w14:textId="77777777" w:rsidTr="003360C4">
        <w:tc>
          <w:tcPr>
            <w:tcW w:w="3397" w:type="dxa"/>
            <w:tcBorders>
              <w:top w:val="nil"/>
              <w:bottom w:val="nil"/>
            </w:tcBorders>
          </w:tcPr>
          <w:p w14:paraId="42D50739" w14:textId="77777777" w:rsidR="003C5649" w:rsidRPr="00172E44" w:rsidRDefault="003C5649" w:rsidP="003360C4">
            <w:pPr>
              <w:pStyle w:val="ListParagraph"/>
              <w:numPr>
                <w:ilvl w:val="0"/>
                <w:numId w:val="8"/>
              </w:numPr>
              <w:spacing w:line="480" w:lineRule="auto"/>
            </w:pPr>
            <w:r w:rsidRPr="00172E44">
              <w:t>Arm hold only</w:t>
            </w:r>
          </w:p>
        </w:tc>
        <w:tc>
          <w:tcPr>
            <w:tcW w:w="1139" w:type="dxa"/>
            <w:tcBorders>
              <w:top w:val="nil"/>
              <w:bottom w:val="nil"/>
            </w:tcBorders>
          </w:tcPr>
          <w:p w14:paraId="0182E0A4" w14:textId="77777777" w:rsidR="003C5649" w:rsidRPr="00172E44" w:rsidRDefault="003C5649" w:rsidP="003360C4">
            <w:pPr>
              <w:spacing w:line="480" w:lineRule="auto"/>
              <w:jc w:val="center"/>
            </w:pPr>
            <w:r w:rsidRPr="00172E44">
              <w:t>7</w:t>
            </w:r>
          </w:p>
        </w:tc>
        <w:tc>
          <w:tcPr>
            <w:tcW w:w="993" w:type="dxa"/>
            <w:tcBorders>
              <w:top w:val="nil"/>
              <w:bottom w:val="nil"/>
            </w:tcBorders>
          </w:tcPr>
          <w:p w14:paraId="14F09945" w14:textId="77777777" w:rsidR="003C5649" w:rsidRPr="00172E44" w:rsidRDefault="003C5649" w:rsidP="003360C4">
            <w:pPr>
              <w:spacing w:line="480" w:lineRule="auto"/>
              <w:jc w:val="center"/>
            </w:pPr>
            <w:r w:rsidRPr="00172E44">
              <w:t>2</w:t>
            </w:r>
          </w:p>
        </w:tc>
        <w:tc>
          <w:tcPr>
            <w:tcW w:w="992" w:type="dxa"/>
            <w:tcBorders>
              <w:top w:val="nil"/>
              <w:bottom w:val="nil"/>
            </w:tcBorders>
          </w:tcPr>
          <w:p w14:paraId="6D34AD8D" w14:textId="77777777" w:rsidR="003C5649" w:rsidRPr="00172E44" w:rsidRDefault="003C5649" w:rsidP="003360C4">
            <w:pPr>
              <w:spacing w:line="480" w:lineRule="auto"/>
              <w:jc w:val="center"/>
            </w:pPr>
            <w:r w:rsidRPr="00172E44">
              <w:t>6</w:t>
            </w:r>
          </w:p>
        </w:tc>
        <w:tc>
          <w:tcPr>
            <w:tcW w:w="992" w:type="dxa"/>
            <w:tcBorders>
              <w:top w:val="nil"/>
              <w:bottom w:val="nil"/>
            </w:tcBorders>
          </w:tcPr>
          <w:p w14:paraId="18F2FC7D"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3CCD05D3" w14:textId="77777777" w:rsidR="003C5649" w:rsidRPr="00172E44" w:rsidRDefault="003C5649" w:rsidP="003360C4">
            <w:pPr>
              <w:spacing w:line="480" w:lineRule="auto"/>
              <w:jc w:val="center"/>
            </w:pPr>
            <w:r w:rsidRPr="00172E44">
              <w:t>15</w:t>
            </w:r>
          </w:p>
        </w:tc>
      </w:tr>
      <w:tr w:rsidR="003C5649" w:rsidRPr="00172E44" w14:paraId="3CD673DF" w14:textId="77777777" w:rsidTr="003360C4">
        <w:tc>
          <w:tcPr>
            <w:tcW w:w="3397" w:type="dxa"/>
            <w:tcBorders>
              <w:top w:val="nil"/>
              <w:bottom w:val="nil"/>
            </w:tcBorders>
          </w:tcPr>
          <w:p w14:paraId="6A848424" w14:textId="77777777" w:rsidR="003C5649" w:rsidRPr="00172E44" w:rsidRDefault="003C5649" w:rsidP="003360C4">
            <w:pPr>
              <w:pStyle w:val="ListParagraph"/>
              <w:numPr>
                <w:ilvl w:val="0"/>
                <w:numId w:val="8"/>
              </w:numPr>
              <w:spacing w:line="480" w:lineRule="auto"/>
            </w:pPr>
            <w:r w:rsidRPr="00172E44">
              <w:t>Supine/prone position only</w:t>
            </w:r>
          </w:p>
        </w:tc>
        <w:tc>
          <w:tcPr>
            <w:tcW w:w="1139" w:type="dxa"/>
            <w:tcBorders>
              <w:top w:val="nil"/>
              <w:bottom w:val="nil"/>
            </w:tcBorders>
          </w:tcPr>
          <w:p w14:paraId="78CE37A2" w14:textId="77777777" w:rsidR="003C5649" w:rsidRPr="00172E44" w:rsidRDefault="003C5649" w:rsidP="003360C4">
            <w:pPr>
              <w:spacing w:line="480" w:lineRule="auto"/>
              <w:jc w:val="center"/>
            </w:pPr>
            <w:r w:rsidRPr="00172E44">
              <w:t>2</w:t>
            </w:r>
          </w:p>
        </w:tc>
        <w:tc>
          <w:tcPr>
            <w:tcW w:w="993" w:type="dxa"/>
            <w:tcBorders>
              <w:top w:val="nil"/>
              <w:bottom w:val="nil"/>
            </w:tcBorders>
          </w:tcPr>
          <w:p w14:paraId="1A394AE6" w14:textId="77777777" w:rsidR="003C5649" w:rsidRPr="00172E44" w:rsidRDefault="003C5649" w:rsidP="003360C4">
            <w:pPr>
              <w:spacing w:line="480" w:lineRule="auto"/>
              <w:jc w:val="center"/>
            </w:pPr>
            <w:r w:rsidRPr="00172E44">
              <w:t>0</w:t>
            </w:r>
          </w:p>
        </w:tc>
        <w:tc>
          <w:tcPr>
            <w:tcW w:w="992" w:type="dxa"/>
            <w:tcBorders>
              <w:top w:val="nil"/>
              <w:bottom w:val="nil"/>
            </w:tcBorders>
          </w:tcPr>
          <w:p w14:paraId="22FB1593" w14:textId="77777777" w:rsidR="003C5649" w:rsidRPr="00172E44" w:rsidRDefault="003C5649" w:rsidP="003360C4">
            <w:pPr>
              <w:spacing w:line="480" w:lineRule="auto"/>
              <w:jc w:val="center"/>
            </w:pPr>
            <w:r w:rsidRPr="00172E44">
              <w:t>5</w:t>
            </w:r>
          </w:p>
        </w:tc>
        <w:tc>
          <w:tcPr>
            <w:tcW w:w="992" w:type="dxa"/>
            <w:tcBorders>
              <w:top w:val="nil"/>
              <w:bottom w:val="nil"/>
            </w:tcBorders>
          </w:tcPr>
          <w:p w14:paraId="15776ED6"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21E3D7B1" w14:textId="77777777" w:rsidR="003C5649" w:rsidRPr="00172E44" w:rsidRDefault="003C5649" w:rsidP="003360C4">
            <w:pPr>
              <w:spacing w:line="480" w:lineRule="auto"/>
              <w:jc w:val="center"/>
            </w:pPr>
            <w:r w:rsidRPr="00172E44">
              <w:t>7</w:t>
            </w:r>
          </w:p>
        </w:tc>
      </w:tr>
      <w:tr w:rsidR="003C5649" w:rsidRPr="00172E44" w14:paraId="6C97DDD1" w14:textId="77777777" w:rsidTr="003360C4">
        <w:tc>
          <w:tcPr>
            <w:tcW w:w="3397" w:type="dxa"/>
            <w:tcBorders>
              <w:top w:val="nil"/>
              <w:bottom w:val="nil"/>
            </w:tcBorders>
          </w:tcPr>
          <w:p w14:paraId="0A28124C" w14:textId="77777777" w:rsidR="003C5649" w:rsidRPr="00172E44" w:rsidRDefault="003C5649" w:rsidP="003360C4">
            <w:pPr>
              <w:pStyle w:val="ListParagraph"/>
              <w:numPr>
                <w:ilvl w:val="0"/>
                <w:numId w:val="8"/>
              </w:numPr>
              <w:spacing w:line="480" w:lineRule="auto"/>
            </w:pPr>
            <w:r w:rsidRPr="00172E44">
              <w:t>Combination of both arm and supine/prone</w:t>
            </w:r>
          </w:p>
        </w:tc>
        <w:tc>
          <w:tcPr>
            <w:tcW w:w="1139" w:type="dxa"/>
            <w:tcBorders>
              <w:top w:val="nil"/>
              <w:bottom w:val="nil"/>
            </w:tcBorders>
          </w:tcPr>
          <w:p w14:paraId="3E52B0BF" w14:textId="77777777" w:rsidR="003C5649" w:rsidRPr="00172E44" w:rsidRDefault="003C5649" w:rsidP="003360C4">
            <w:pPr>
              <w:spacing w:line="480" w:lineRule="auto"/>
              <w:jc w:val="center"/>
            </w:pPr>
            <w:r w:rsidRPr="00172E44">
              <w:t>5</w:t>
            </w:r>
          </w:p>
        </w:tc>
        <w:tc>
          <w:tcPr>
            <w:tcW w:w="993" w:type="dxa"/>
            <w:tcBorders>
              <w:top w:val="nil"/>
              <w:bottom w:val="nil"/>
            </w:tcBorders>
          </w:tcPr>
          <w:p w14:paraId="05535FA4" w14:textId="77777777" w:rsidR="003C5649" w:rsidRPr="00172E44" w:rsidRDefault="003C5649" w:rsidP="003360C4">
            <w:pPr>
              <w:spacing w:line="480" w:lineRule="auto"/>
              <w:jc w:val="center"/>
            </w:pPr>
            <w:r w:rsidRPr="00172E44">
              <w:t>1</w:t>
            </w:r>
          </w:p>
        </w:tc>
        <w:tc>
          <w:tcPr>
            <w:tcW w:w="992" w:type="dxa"/>
            <w:tcBorders>
              <w:top w:val="nil"/>
              <w:bottom w:val="nil"/>
            </w:tcBorders>
          </w:tcPr>
          <w:p w14:paraId="6A88B84B" w14:textId="77777777" w:rsidR="003C5649" w:rsidRPr="00172E44" w:rsidRDefault="003C5649" w:rsidP="003360C4">
            <w:pPr>
              <w:spacing w:line="480" w:lineRule="auto"/>
              <w:jc w:val="center"/>
            </w:pPr>
            <w:r w:rsidRPr="00172E44">
              <w:t>2</w:t>
            </w:r>
          </w:p>
        </w:tc>
        <w:tc>
          <w:tcPr>
            <w:tcW w:w="992" w:type="dxa"/>
            <w:tcBorders>
              <w:top w:val="nil"/>
              <w:bottom w:val="nil"/>
            </w:tcBorders>
          </w:tcPr>
          <w:p w14:paraId="1A130B69" w14:textId="77777777" w:rsidR="003C5649" w:rsidRPr="00172E44" w:rsidRDefault="003C5649" w:rsidP="003360C4">
            <w:pPr>
              <w:spacing w:line="480" w:lineRule="auto"/>
              <w:jc w:val="center"/>
            </w:pPr>
            <w:r w:rsidRPr="00172E44">
              <w:t>0</w:t>
            </w:r>
          </w:p>
        </w:tc>
        <w:tc>
          <w:tcPr>
            <w:tcW w:w="1418" w:type="dxa"/>
            <w:tcBorders>
              <w:top w:val="nil"/>
              <w:bottom w:val="nil"/>
            </w:tcBorders>
          </w:tcPr>
          <w:p w14:paraId="67A97FC7" w14:textId="77777777" w:rsidR="003C5649" w:rsidRPr="00172E44" w:rsidRDefault="003C5649" w:rsidP="003360C4">
            <w:pPr>
              <w:spacing w:line="480" w:lineRule="auto"/>
              <w:jc w:val="center"/>
            </w:pPr>
            <w:r w:rsidRPr="00172E44">
              <w:t>8</w:t>
            </w:r>
          </w:p>
        </w:tc>
      </w:tr>
      <w:tr w:rsidR="003C5649" w:rsidRPr="00172E44" w14:paraId="271C93F0" w14:textId="77777777" w:rsidTr="003360C4">
        <w:tc>
          <w:tcPr>
            <w:tcW w:w="3397" w:type="dxa"/>
            <w:tcBorders>
              <w:top w:val="nil"/>
            </w:tcBorders>
          </w:tcPr>
          <w:p w14:paraId="192583AE" w14:textId="77777777" w:rsidR="003C5649" w:rsidRPr="00172E44" w:rsidRDefault="003C5649" w:rsidP="003360C4">
            <w:pPr>
              <w:pStyle w:val="ListParagraph"/>
              <w:numPr>
                <w:ilvl w:val="0"/>
                <w:numId w:val="8"/>
              </w:numPr>
              <w:spacing w:line="480" w:lineRule="auto"/>
            </w:pPr>
            <w:r w:rsidRPr="00172E44">
              <w:t>Unspecified</w:t>
            </w:r>
          </w:p>
        </w:tc>
        <w:tc>
          <w:tcPr>
            <w:tcW w:w="1139" w:type="dxa"/>
            <w:tcBorders>
              <w:top w:val="nil"/>
            </w:tcBorders>
          </w:tcPr>
          <w:p w14:paraId="4F395B4A" w14:textId="77777777" w:rsidR="003C5649" w:rsidRPr="00172E44" w:rsidRDefault="003C5649" w:rsidP="003360C4">
            <w:pPr>
              <w:spacing w:line="480" w:lineRule="auto"/>
              <w:jc w:val="center"/>
            </w:pPr>
            <w:r w:rsidRPr="00172E44">
              <w:t>3</w:t>
            </w:r>
          </w:p>
        </w:tc>
        <w:tc>
          <w:tcPr>
            <w:tcW w:w="993" w:type="dxa"/>
            <w:tcBorders>
              <w:top w:val="nil"/>
            </w:tcBorders>
          </w:tcPr>
          <w:p w14:paraId="666FFEBF" w14:textId="77777777" w:rsidR="003C5649" w:rsidRPr="00172E44" w:rsidRDefault="003C5649" w:rsidP="003360C4">
            <w:pPr>
              <w:spacing w:line="480" w:lineRule="auto"/>
              <w:jc w:val="center"/>
            </w:pPr>
            <w:r w:rsidRPr="00172E44">
              <w:t>0</w:t>
            </w:r>
          </w:p>
        </w:tc>
        <w:tc>
          <w:tcPr>
            <w:tcW w:w="992" w:type="dxa"/>
            <w:tcBorders>
              <w:top w:val="nil"/>
            </w:tcBorders>
          </w:tcPr>
          <w:p w14:paraId="718CCF8F" w14:textId="77777777" w:rsidR="003C5649" w:rsidRPr="00172E44" w:rsidRDefault="003C5649" w:rsidP="003360C4">
            <w:pPr>
              <w:spacing w:line="480" w:lineRule="auto"/>
              <w:jc w:val="center"/>
            </w:pPr>
            <w:r w:rsidRPr="00172E44">
              <w:t>3</w:t>
            </w:r>
          </w:p>
        </w:tc>
        <w:tc>
          <w:tcPr>
            <w:tcW w:w="992" w:type="dxa"/>
            <w:tcBorders>
              <w:top w:val="nil"/>
            </w:tcBorders>
          </w:tcPr>
          <w:p w14:paraId="4203898D" w14:textId="77777777" w:rsidR="003C5649" w:rsidRPr="00172E44" w:rsidRDefault="003C5649" w:rsidP="003360C4">
            <w:pPr>
              <w:spacing w:line="480" w:lineRule="auto"/>
              <w:jc w:val="center"/>
            </w:pPr>
            <w:r w:rsidRPr="00172E44">
              <w:t>0</w:t>
            </w:r>
          </w:p>
        </w:tc>
        <w:tc>
          <w:tcPr>
            <w:tcW w:w="1418" w:type="dxa"/>
            <w:tcBorders>
              <w:top w:val="nil"/>
            </w:tcBorders>
          </w:tcPr>
          <w:p w14:paraId="1CC0AF94" w14:textId="77777777" w:rsidR="003C5649" w:rsidRPr="00172E44" w:rsidRDefault="003C5649" w:rsidP="003360C4">
            <w:pPr>
              <w:spacing w:line="480" w:lineRule="auto"/>
              <w:jc w:val="center"/>
            </w:pPr>
            <w:r w:rsidRPr="00172E44">
              <w:t>6</w:t>
            </w:r>
          </w:p>
        </w:tc>
      </w:tr>
      <w:tr w:rsidR="003C5649" w:rsidRPr="00172E44" w14:paraId="479B469E" w14:textId="77777777" w:rsidTr="003360C4">
        <w:tc>
          <w:tcPr>
            <w:tcW w:w="3397" w:type="dxa"/>
          </w:tcPr>
          <w:p w14:paraId="0E64297E" w14:textId="77777777" w:rsidR="003C5649" w:rsidRPr="00172E44" w:rsidRDefault="003C5649" w:rsidP="003360C4">
            <w:pPr>
              <w:spacing w:line="480" w:lineRule="auto"/>
              <w:rPr>
                <w:b/>
              </w:rPr>
            </w:pPr>
            <w:r w:rsidRPr="00172E44">
              <w:rPr>
                <w:b/>
              </w:rPr>
              <w:t>De-escalation</w:t>
            </w:r>
          </w:p>
        </w:tc>
        <w:tc>
          <w:tcPr>
            <w:tcW w:w="1139" w:type="dxa"/>
          </w:tcPr>
          <w:p w14:paraId="33988F4E" w14:textId="77777777" w:rsidR="003C5649" w:rsidRPr="00172E44" w:rsidRDefault="003C5649" w:rsidP="003360C4">
            <w:pPr>
              <w:spacing w:line="480" w:lineRule="auto"/>
              <w:jc w:val="center"/>
              <w:rPr>
                <w:b/>
              </w:rPr>
            </w:pPr>
            <w:r w:rsidRPr="00172E44">
              <w:rPr>
                <w:b/>
              </w:rPr>
              <w:t>15</w:t>
            </w:r>
          </w:p>
        </w:tc>
        <w:tc>
          <w:tcPr>
            <w:tcW w:w="993" w:type="dxa"/>
          </w:tcPr>
          <w:p w14:paraId="7EBE7694" w14:textId="77777777" w:rsidR="003C5649" w:rsidRPr="00172E44" w:rsidRDefault="003C5649" w:rsidP="003360C4">
            <w:pPr>
              <w:spacing w:line="480" w:lineRule="auto"/>
              <w:jc w:val="center"/>
              <w:rPr>
                <w:b/>
              </w:rPr>
            </w:pPr>
            <w:r w:rsidRPr="00172E44">
              <w:rPr>
                <w:b/>
              </w:rPr>
              <w:t>9</w:t>
            </w:r>
          </w:p>
        </w:tc>
        <w:tc>
          <w:tcPr>
            <w:tcW w:w="992" w:type="dxa"/>
          </w:tcPr>
          <w:p w14:paraId="6BD80466" w14:textId="77777777" w:rsidR="003C5649" w:rsidRPr="00172E44" w:rsidRDefault="003C5649" w:rsidP="003360C4">
            <w:pPr>
              <w:spacing w:line="480" w:lineRule="auto"/>
              <w:jc w:val="center"/>
              <w:rPr>
                <w:b/>
              </w:rPr>
            </w:pPr>
            <w:r w:rsidRPr="00172E44">
              <w:rPr>
                <w:b/>
              </w:rPr>
              <w:t>9</w:t>
            </w:r>
          </w:p>
        </w:tc>
        <w:tc>
          <w:tcPr>
            <w:tcW w:w="992" w:type="dxa"/>
          </w:tcPr>
          <w:p w14:paraId="592DA7FA" w14:textId="77777777" w:rsidR="003C5649" w:rsidRPr="00172E44" w:rsidRDefault="003C5649" w:rsidP="003360C4">
            <w:pPr>
              <w:spacing w:line="480" w:lineRule="auto"/>
              <w:jc w:val="center"/>
              <w:rPr>
                <w:b/>
              </w:rPr>
            </w:pPr>
            <w:r w:rsidRPr="00172E44">
              <w:rPr>
                <w:b/>
              </w:rPr>
              <w:t>1</w:t>
            </w:r>
          </w:p>
        </w:tc>
        <w:tc>
          <w:tcPr>
            <w:tcW w:w="1418" w:type="dxa"/>
          </w:tcPr>
          <w:p w14:paraId="47920374" w14:textId="77777777" w:rsidR="003C5649" w:rsidRPr="00172E44" w:rsidRDefault="003C5649" w:rsidP="003360C4">
            <w:pPr>
              <w:spacing w:line="480" w:lineRule="auto"/>
              <w:jc w:val="center"/>
              <w:rPr>
                <w:b/>
              </w:rPr>
            </w:pPr>
            <w:r w:rsidRPr="00172E44">
              <w:rPr>
                <w:b/>
              </w:rPr>
              <w:t>34</w:t>
            </w:r>
          </w:p>
        </w:tc>
      </w:tr>
      <w:tr w:rsidR="003C5649" w:rsidRPr="00172E44" w14:paraId="7AFB4CE2" w14:textId="77777777" w:rsidTr="003360C4">
        <w:tc>
          <w:tcPr>
            <w:tcW w:w="3397" w:type="dxa"/>
          </w:tcPr>
          <w:p w14:paraId="2AF0EE32" w14:textId="77777777" w:rsidR="003C5649" w:rsidRPr="00172E44" w:rsidRDefault="003C5649" w:rsidP="003360C4">
            <w:pPr>
              <w:spacing w:line="480" w:lineRule="auto"/>
              <w:rPr>
                <w:b/>
              </w:rPr>
            </w:pPr>
            <w:r w:rsidRPr="00172E44">
              <w:rPr>
                <w:b/>
              </w:rPr>
              <w:t>Observations</w:t>
            </w:r>
          </w:p>
        </w:tc>
        <w:tc>
          <w:tcPr>
            <w:tcW w:w="1139" w:type="dxa"/>
          </w:tcPr>
          <w:p w14:paraId="77EEC2FC" w14:textId="77777777" w:rsidR="003C5649" w:rsidRPr="00172E44" w:rsidRDefault="003C5649" w:rsidP="003360C4">
            <w:pPr>
              <w:spacing w:line="480" w:lineRule="auto"/>
              <w:jc w:val="center"/>
              <w:rPr>
                <w:b/>
              </w:rPr>
            </w:pPr>
            <w:r w:rsidRPr="00172E44">
              <w:rPr>
                <w:b/>
              </w:rPr>
              <w:t>4</w:t>
            </w:r>
          </w:p>
        </w:tc>
        <w:tc>
          <w:tcPr>
            <w:tcW w:w="993" w:type="dxa"/>
          </w:tcPr>
          <w:p w14:paraId="1DBB410C" w14:textId="77777777" w:rsidR="003C5649" w:rsidRPr="00172E44" w:rsidRDefault="003C5649" w:rsidP="003360C4">
            <w:pPr>
              <w:spacing w:line="480" w:lineRule="auto"/>
              <w:jc w:val="center"/>
              <w:rPr>
                <w:b/>
              </w:rPr>
            </w:pPr>
            <w:r w:rsidRPr="00172E44">
              <w:rPr>
                <w:b/>
              </w:rPr>
              <w:t>2</w:t>
            </w:r>
          </w:p>
        </w:tc>
        <w:tc>
          <w:tcPr>
            <w:tcW w:w="992" w:type="dxa"/>
          </w:tcPr>
          <w:p w14:paraId="33BB3ACF" w14:textId="77777777" w:rsidR="003C5649" w:rsidRPr="00172E44" w:rsidRDefault="003C5649" w:rsidP="003360C4">
            <w:pPr>
              <w:spacing w:line="480" w:lineRule="auto"/>
              <w:jc w:val="center"/>
              <w:rPr>
                <w:b/>
              </w:rPr>
            </w:pPr>
            <w:r w:rsidRPr="00172E44">
              <w:rPr>
                <w:b/>
              </w:rPr>
              <w:t>6</w:t>
            </w:r>
          </w:p>
        </w:tc>
        <w:tc>
          <w:tcPr>
            <w:tcW w:w="992" w:type="dxa"/>
          </w:tcPr>
          <w:p w14:paraId="30CBDBAF" w14:textId="77777777" w:rsidR="003C5649" w:rsidRPr="00172E44" w:rsidRDefault="003C5649" w:rsidP="003360C4">
            <w:pPr>
              <w:spacing w:line="480" w:lineRule="auto"/>
              <w:jc w:val="center"/>
              <w:rPr>
                <w:b/>
              </w:rPr>
            </w:pPr>
            <w:r w:rsidRPr="00172E44">
              <w:rPr>
                <w:b/>
              </w:rPr>
              <w:t>0</w:t>
            </w:r>
          </w:p>
        </w:tc>
        <w:tc>
          <w:tcPr>
            <w:tcW w:w="1418" w:type="dxa"/>
          </w:tcPr>
          <w:p w14:paraId="17B7A32A" w14:textId="77777777" w:rsidR="003C5649" w:rsidRPr="00172E44" w:rsidRDefault="003C5649" w:rsidP="003360C4">
            <w:pPr>
              <w:spacing w:line="480" w:lineRule="auto"/>
              <w:jc w:val="center"/>
              <w:rPr>
                <w:b/>
              </w:rPr>
            </w:pPr>
            <w:r w:rsidRPr="00172E44">
              <w:rPr>
                <w:b/>
              </w:rPr>
              <w:t>12</w:t>
            </w:r>
          </w:p>
        </w:tc>
      </w:tr>
      <w:tr w:rsidR="003C5649" w14:paraId="527295F9" w14:textId="77777777" w:rsidTr="003360C4">
        <w:tc>
          <w:tcPr>
            <w:tcW w:w="3397" w:type="dxa"/>
          </w:tcPr>
          <w:p w14:paraId="15C17703" w14:textId="77777777" w:rsidR="003C5649" w:rsidRPr="00172E44" w:rsidRDefault="003C5649" w:rsidP="003360C4">
            <w:pPr>
              <w:spacing w:line="480" w:lineRule="auto"/>
              <w:rPr>
                <w:b/>
              </w:rPr>
            </w:pPr>
            <w:r w:rsidRPr="00172E44">
              <w:rPr>
                <w:b/>
              </w:rPr>
              <w:t>Seclusion or confinement</w:t>
            </w:r>
          </w:p>
        </w:tc>
        <w:tc>
          <w:tcPr>
            <w:tcW w:w="1139" w:type="dxa"/>
          </w:tcPr>
          <w:p w14:paraId="39FF59C6" w14:textId="77777777" w:rsidR="003C5649" w:rsidRPr="00172E44" w:rsidRDefault="003C5649" w:rsidP="003360C4">
            <w:pPr>
              <w:spacing w:line="480" w:lineRule="auto"/>
              <w:jc w:val="center"/>
              <w:rPr>
                <w:b/>
              </w:rPr>
            </w:pPr>
            <w:r w:rsidRPr="00172E44">
              <w:rPr>
                <w:b/>
              </w:rPr>
              <w:t>2</w:t>
            </w:r>
          </w:p>
        </w:tc>
        <w:tc>
          <w:tcPr>
            <w:tcW w:w="993" w:type="dxa"/>
          </w:tcPr>
          <w:p w14:paraId="1423D6CD" w14:textId="77777777" w:rsidR="003C5649" w:rsidRPr="00172E44" w:rsidRDefault="003C5649" w:rsidP="003360C4">
            <w:pPr>
              <w:spacing w:line="480" w:lineRule="auto"/>
              <w:jc w:val="center"/>
              <w:rPr>
                <w:b/>
              </w:rPr>
            </w:pPr>
            <w:r w:rsidRPr="00172E44">
              <w:rPr>
                <w:b/>
              </w:rPr>
              <w:t>0</w:t>
            </w:r>
          </w:p>
        </w:tc>
        <w:tc>
          <w:tcPr>
            <w:tcW w:w="992" w:type="dxa"/>
          </w:tcPr>
          <w:p w14:paraId="3DF43018" w14:textId="77777777" w:rsidR="003C5649" w:rsidRPr="00172E44" w:rsidRDefault="003C5649" w:rsidP="003360C4">
            <w:pPr>
              <w:spacing w:line="480" w:lineRule="auto"/>
              <w:jc w:val="center"/>
              <w:rPr>
                <w:b/>
              </w:rPr>
            </w:pPr>
            <w:r w:rsidRPr="00172E44">
              <w:rPr>
                <w:b/>
              </w:rPr>
              <w:t>5</w:t>
            </w:r>
          </w:p>
        </w:tc>
        <w:tc>
          <w:tcPr>
            <w:tcW w:w="992" w:type="dxa"/>
          </w:tcPr>
          <w:p w14:paraId="5BE5D658" w14:textId="77777777" w:rsidR="003C5649" w:rsidRPr="00172E44" w:rsidRDefault="003C5649" w:rsidP="003360C4">
            <w:pPr>
              <w:spacing w:line="480" w:lineRule="auto"/>
              <w:jc w:val="center"/>
              <w:rPr>
                <w:b/>
              </w:rPr>
            </w:pPr>
            <w:r w:rsidRPr="00172E44">
              <w:rPr>
                <w:b/>
              </w:rPr>
              <w:t>0</w:t>
            </w:r>
          </w:p>
        </w:tc>
        <w:tc>
          <w:tcPr>
            <w:tcW w:w="1418" w:type="dxa"/>
          </w:tcPr>
          <w:p w14:paraId="1B5CCEB4" w14:textId="77777777" w:rsidR="003C5649" w:rsidRPr="00624C8B" w:rsidRDefault="003C5649" w:rsidP="003360C4">
            <w:pPr>
              <w:spacing w:line="480" w:lineRule="auto"/>
              <w:jc w:val="center"/>
              <w:rPr>
                <w:b/>
              </w:rPr>
            </w:pPr>
            <w:r w:rsidRPr="00172E44">
              <w:rPr>
                <w:b/>
              </w:rPr>
              <w:t>7</w:t>
            </w:r>
          </w:p>
        </w:tc>
      </w:tr>
    </w:tbl>
    <w:p w14:paraId="10F04F58" w14:textId="77777777" w:rsidR="003C5649" w:rsidRDefault="003C5649" w:rsidP="003C5649">
      <w:pPr>
        <w:rPr>
          <w:i/>
        </w:rPr>
      </w:pPr>
    </w:p>
    <w:sectPr w:rsidR="003C5649" w:rsidSect="005A692D">
      <w:headerReference w:type="default" r:id="rId11"/>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7010" w14:textId="77777777" w:rsidR="001D5ACB" w:rsidRDefault="001D5ACB" w:rsidP="00BC46E8">
      <w:pPr>
        <w:spacing w:after="0" w:line="240" w:lineRule="auto"/>
      </w:pPr>
      <w:r>
        <w:separator/>
      </w:r>
    </w:p>
  </w:endnote>
  <w:endnote w:type="continuationSeparator" w:id="0">
    <w:p w14:paraId="15445D85" w14:textId="77777777" w:rsidR="001D5ACB" w:rsidRDefault="001D5ACB" w:rsidP="00BC46E8">
      <w:pPr>
        <w:spacing w:after="0" w:line="240" w:lineRule="auto"/>
      </w:pPr>
      <w:r>
        <w:continuationSeparator/>
      </w:r>
    </w:p>
  </w:endnote>
  <w:endnote w:type="continuationNotice" w:id="1">
    <w:p w14:paraId="6018D330" w14:textId="77777777" w:rsidR="001D5ACB" w:rsidRDefault="001D5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61455"/>
      <w:docPartObj>
        <w:docPartGallery w:val="Page Numbers (Bottom of Page)"/>
        <w:docPartUnique/>
      </w:docPartObj>
    </w:sdtPr>
    <w:sdtEndPr>
      <w:rPr>
        <w:noProof/>
      </w:rPr>
    </w:sdtEndPr>
    <w:sdtContent>
      <w:p w14:paraId="20B60EEA" w14:textId="71ED50FC" w:rsidR="001D5ACB" w:rsidRDefault="001D5ACB">
        <w:pPr>
          <w:pStyle w:val="Footer"/>
          <w:jc w:val="center"/>
        </w:pPr>
        <w:r>
          <w:fldChar w:fldCharType="begin"/>
        </w:r>
        <w:r>
          <w:instrText xml:space="preserve"> PAGE   \* MERGEFORMAT </w:instrText>
        </w:r>
        <w:r>
          <w:fldChar w:fldCharType="separate"/>
        </w:r>
        <w:r w:rsidR="00EC1DDD">
          <w:rPr>
            <w:noProof/>
          </w:rPr>
          <w:t>3</w:t>
        </w:r>
        <w:r>
          <w:rPr>
            <w:noProof/>
          </w:rPr>
          <w:fldChar w:fldCharType="end"/>
        </w:r>
      </w:p>
    </w:sdtContent>
  </w:sdt>
  <w:p w14:paraId="0366E3A1" w14:textId="77777777" w:rsidR="001D5ACB" w:rsidRDefault="001D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AD4C" w14:textId="77777777" w:rsidR="001D5ACB" w:rsidRDefault="001D5ACB" w:rsidP="00BC46E8">
      <w:pPr>
        <w:spacing w:after="0" w:line="240" w:lineRule="auto"/>
      </w:pPr>
      <w:r>
        <w:separator/>
      </w:r>
    </w:p>
  </w:footnote>
  <w:footnote w:type="continuationSeparator" w:id="0">
    <w:p w14:paraId="376EFF1C" w14:textId="77777777" w:rsidR="001D5ACB" w:rsidRDefault="001D5ACB" w:rsidP="00BC46E8">
      <w:pPr>
        <w:spacing w:after="0" w:line="240" w:lineRule="auto"/>
      </w:pPr>
      <w:r>
        <w:continuationSeparator/>
      </w:r>
    </w:p>
  </w:footnote>
  <w:footnote w:type="continuationNotice" w:id="1">
    <w:p w14:paraId="30A0E113" w14:textId="77777777" w:rsidR="001D5ACB" w:rsidRDefault="001D5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D004" w14:textId="77777777" w:rsidR="001D5ACB" w:rsidRDefault="001D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82"/>
    <w:multiLevelType w:val="hybridMultilevel"/>
    <w:tmpl w:val="1272F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72BA1"/>
    <w:multiLevelType w:val="hybridMultilevel"/>
    <w:tmpl w:val="E6747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704A2"/>
    <w:multiLevelType w:val="hybridMultilevel"/>
    <w:tmpl w:val="C90A2EF8"/>
    <w:lvl w:ilvl="0" w:tplc="7AE62DE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60A17"/>
    <w:multiLevelType w:val="hybridMultilevel"/>
    <w:tmpl w:val="ADC4D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10409"/>
    <w:multiLevelType w:val="hybridMultilevel"/>
    <w:tmpl w:val="E05844B2"/>
    <w:lvl w:ilvl="0" w:tplc="7AE62DE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66D0"/>
    <w:multiLevelType w:val="hybridMultilevel"/>
    <w:tmpl w:val="27F8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C165C"/>
    <w:multiLevelType w:val="hybridMultilevel"/>
    <w:tmpl w:val="F58C8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27220"/>
    <w:multiLevelType w:val="hybridMultilevel"/>
    <w:tmpl w:val="F02C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103A4"/>
    <w:multiLevelType w:val="hybridMultilevel"/>
    <w:tmpl w:val="533A53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6444A"/>
    <w:multiLevelType w:val="hybridMultilevel"/>
    <w:tmpl w:val="D57CA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3139B"/>
    <w:multiLevelType w:val="hybridMultilevel"/>
    <w:tmpl w:val="9218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6"/>
  </w:num>
  <w:num w:numId="6">
    <w:abstractNumId w:val="1"/>
  </w:num>
  <w:num w:numId="7">
    <w:abstractNumId w:val="4"/>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yMDIyMzAxszAzNzNV0lEKTi0uzszPAymwqAUAycWJmS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vfsv2pq5sx2se59dexd50r2rvdrstrf02w&quot;&gt;violence papers&lt;record-ids&gt;&lt;item&gt;9&lt;/item&gt;&lt;/record-ids&gt;&lt;/item&gt;&lt;/Libraries&gt;"/>
  </w:docVars>
  <w:rsids>
    <w:rsidRoot w:val="00E301CC"/>
    <w:rsid w:val="00000FAB"/>
    <w:rsid w:val="000014CC"/>
    <w:rsid w:val="00001AC7"/>
    <w:rsid w:val="0000254D"/>
    <w:rsid w:val="0000491D"/>
    <w:rsid w:val="00004E21"/>
    <w:rsid w:val="00004E35"/>
    <w:rsid w:val="000052C1"/>
    <w:rsid w:val="00007F3F"/>
    <w:rsid w:val="00010059"/>
    <w:rsid w:val="000117C9"/>
    <w:rsid w:val="00013A31"/>
    <w:rsid w:val="00014559"/>
    <w:rsid w:val="0001748E"/>
    <w:rsid w:val="00017C29"/>
    <w:rsid w:val="0002623A"/>
    <w:rsid w:val="000271D1"/>
    <w:rsid w:val="00031E85"/>
    <w:rsid w:val="0003287A"/>
    <w:rsid w:val="00033263"/>
    <w:rsid w:val="00033566"/>
    <w:rsid w:val="0003356D"/>
    <w:rsid w:val="00041D26"/>
    <w:rsid w:val="00042A9A"/>
    <w:rsid w:val="00042CBE"/>
    <w:rsid w:val="00042F43"/>
    <w:rsid w:val="000445C0"/>
    <w:rsid w:val="00044681"/>
    <w:rsid w:val="00045086"/>
    <w:rsid w:val="000453BE"/>
    <w:rsid w:val="0004645D"/>
    <w:rsid w:val="000478F4"/>
    <w:rsid w:val="00047D80"/>
    <w:rsid w:val="0005409A"/>
    <w:rsid w:val="000541D4"/>
    <w:rsid w:val="0005529D"/>
    <w:rsid w:val="00061A46"/>
    <w:rsid w:val="00061F50"/>
    <w:rsid w:val="0006204B"/>
    <w:rsid w:val="00065045"/>
    <w:rsid w:val="00066083"/>
    <w:rsid w:val="00066975"/>
    <w:rsid w:val="00066FC7"/>
    <w:rsid w:val="00072CCE"/>
    <w:rsid w:val="00073410"/>
    <w:rsid w:val="000735B9"/>
    <w:rsid w:val="00077116"/>
    <w:rsid w:val="000776C4"/>
    <w:rsid w:val="000800EF"/>
    <w:rsid w:val="00080C38"/>
    <w:rsid w:val="00081FBB"/>
    <w:rsid w:val="000820F6"/>
    <w:rsid w:val="000854C1"/>
    <w:rsid w:val="0009211C"/>
    <w:rsid w:val="00096320"/>
    <w:rsid w:val="0009657A"/>
    <w:rsid w:val="000A082F"/>
    <w:rsid w:val="000A0869"/>
    <w:rsid w:val="000A1133"/>
    <w:rsid w:val="000A1DA2"/>
    <w:rsid w:val="000A2483"/>
    <w:rsid w:val="000A3BBC"/>
    <w:rsid w:val="000A71F5"/>
    <w:rsid w:val="000B0835"/>
    <w:rsid w:val="000B2894"/>
    <w:rsid w:val="000B2B08"/>
    <w:rsid w:val="000B35D4"/>
    <w:rsid w:val="000B6BAC"/>
    <w:rsid w:val="000B6ED5"/>
    <w:rsid w:val="000C0E43"/>
    <w:rsid w:val="000C22EB"/>
    <w:rsid w:val="000C4161"/>
    <w:rsid w:val="000C43E5"/>
    <w:rsid w:val="000C51E9"/>
    <w:rsid w:val="000C68CF"/>
    <w:rsid w:val="000C7123"/>
    <w:rsid w:val="000D00F0"/>
    <w:rsid w:val="000D05DB"/>
    <w:rsid w:val="000D12C2"/>
    <w:rsid w:val="000D2907"/>
    <w:rsid w:val="000D2AE3"/>
    <w:rsid w:val="000D39C3"/>
    <w:rsid w:val="000D3E47"/>
    <w:rsid w:val="000D40A1"/>
    <w:rsid w:val="000D4181"/>
    <w:rsid w:val="000D5F63"/>
    <w:rsid w:val="000D61B1"/>
    <w:rsid w:val="000E017D"/>
    <w:rsid w:val="000E117A"/>
    <w:rsid w:val="000E2FBC"/>
    <w:rsid w:val="000E4E26"/>
    <w:rsid w:val="000E6576"/>
    <w:rsid w:val="000E6A5F"/>
    <w:rsid w:val="000F2488"/>
    <w:rsid w:val="000F2662"/>
    <w:rsid w:val="000F3502"/>
    <w:rsid w:val="000F3FC4"/>
    <w:rsid w:val="000F4028"/>
    <w:rsid w:val="000F46C0"/>
    <w:rsid w:val="000F4B0E"/>
    <w:rsid w:val="000F5915"/>
    <w:rsid w:val="000F662C"/>
    <w:rsid w:val="000F788B"/>
    <w:rsid w:val="000F7BBE"/>
    <w:rsid w:val="0010023D"/>
    <w:rsid w:val="001014B5"/>
    <w:rsid w:val="001019EF"/>
    <w:rsid w:val="00101CE0"/>
    <w:rsid w:val="001027E4"/>
    <w:rsid w:val="00102AEB"/>
    <w:rsid w:val="00105BDD"/>
    <w:rsid w:val="00107390"/>
    <w:rsid w:val="00107784"/>
    <w:rsid w:val="001101B0"/>
    <w:rsid w:val="00110E83"/>
    <w:rsid w:val="00111B1C"/>
    <w:rsid w:val="00111F8C"/>
    <w:rsid w:val="00111F99"/>
    <w:rsid w:val="00113DDF"/>
    <w:rsid w:val="0011714D"/>
    <w:rsid w:val="0012121C"/>
    <w:rsid w:val="0012228B"/>
    <w:rsid w:val="001252EA"/>
    <w:rsid w:val="001267F5"/>
    <w:rsid w:val="00130A5C"/>
    <w:rsid w:val="00130E99"/>
    <w:rsid w:val="0013101E"/>
    <w:rsid w:val="00131768"/>
    <w:rsid w:val="00134CA6"/>
    <w:rsid w:val="0013520B"/>
    <w:rsid w:val="00136F76"/>
    <w:rsid w:val="0013705A"/>
    <w:rsid w:val="001405D5"/>
    <w:rsid w:val="001426DA"/>
    <w:rsid w:val="001520AF"/>
    <w:rsid w:val="001551C1"/>
    <w:rsid w:val="00157214"/>
    <w:rsid w:val="001572C5"/>
    <w:rsid w:val="001575E8"/>
    <w:rsid w:val="00157809"/>
    <w:rsid w:val="00157986"/>
    <w:rsid w:val="0016003B"/>
    <w:rsid w:val="00163173"/>
    <w:rsid w:val="0016506E"/>
    <w:rsid w:val="00165905"/>
    <w:rsid w:val="00165A12"/>
    <w:rsid w:val="00166897"/>
    <w:rsid w:val="001678DA"/>
    <w:rsid w:val="00170A9F"/>
    <w:rsid w:val="00172E44"/>
    <w:rsid w:val="0017363E"/>
    <w:rsid w:val="0017436D"/>
    <w:rsid w:val="001756DB"/>
    <w:rsid w:val="00175A5D"/>
    <w:rsid w:val="00176A7C"/>
    <w:rsid w:val="00176DCB"/>
    <w:rsid w:val="00181E71"/>
    <w:rsid w:val="00182091"/>
    <w:rsid w:val="001822AD"/>
    <w:rsid w:val="001827A6"/>
    <w:rsid w:val="00183FB7"/>
    <w:rsid w:val="00184784"/>
    <w:rsid w:val="0018606B"/>
    <w:rsid w:val="001861D2"/>
    <w:rsid w:val="00186427"/>
    <w:rsid w:val="00187BEF"/>
    <w:rsid w:val="0019069F"/>
    <w:rsid w:val="00190A4F"/>
    <w:rsid w:val="00190F35"/>
    <w:rsid w:val="00191484"/>
    <w:rsid w:val="00191B86"/>
    <w:rsid w:val="0019200E"/>
    <w:rsid w:val="00192BB2"/>
    <w:rsid w:val="001936C6"/>
    <w:rsid w:val="00194403"/>
    <w:rsid w:val="00194DB6"/>
    <w:rsid w:val="00196032"/>
    <w:rsid w:val="001A06C2"/>
    <w:rsid w:val="001A08B2"/>
    <w:rsid w:val="001A1FF1"/>
    <w:rsid w:val="001A3C8F"/>
    <w:rsid w:val="001A4023"/>
    <w:rsid w:val="001A4938"/>
    <w:rsid w:val="001A50C3"/>
    <w:rsid w:val="001A6B32"/>
    <w:rsid w:val="001A76D7"/>
    <w:rsid w:val="001B0435"/>
    <w:rsid w:val="001B06CF"/>
    <w:rsid w:val="001B0A37"/>
    <w:rsid w:val="001B2254"/>
    <w:rsid w:val="001B3826"/>
    <w:rsid w:val="001B3979"/>
    <w:rsid w:val="001B4033"/>
    <w:rsid w:val="001B43F9"/>
    <w:rsid w:val="001B47BA"/>
    <w:rsid w:val="001B4E10"/>
    <w:rsid w:val="001B693C"/>
    <w:rsid w:val="001B73DB"/>
    <w:rsid w:val="001C017F"/>
    <w:rsid w:val="001C34D9"/>
    <w:rsid w:val="001C5469"/>
    <w:rsid w:val="001C5902"/>
    <w:rsid w:val="001C63B4"/>
    <w:rsid w:val="001D1504"/>
    <w:rsid w:val="001D2D10"/>
    <w:rsid w:val="001D35DC"/>
    <w:rsid w:val="001D38E7"/>
    <w:rsid w:val="001D3B08"/>
    <w:rsid w:val="001D472D"/>
    <w:rsid w:val="001D510A"/>
    <w:rsid w:val="001D515A"/>
    <w:rsid w:val="001D5ACB"/>
    <w:rsid w:val="001D6643"/>
    <w:rsid w:val="001E0EEE"/>
    <w:rsid w:val="001E5F6A"/>
    <w:rsid w:val="001F2E42"/>
    <w:rsid w:val="001F5F88"/>
    <w:rsid w:val="001F7907"/>
    <w:rsid w:val="002039F7"/>
    <w:rsid w:val="00203EA0"/>
    <w:rsid w:val="00204BD9"/>
    <w:rsid w:val="002056FA"/>
    <w:rsid w:val="00205BD6"/>
    <w:rsid w:val="002118B8"/>
    <w:rsid w:val="00211BB4"/>
    <w:rsid w:val="00212DA7"/>
    <w:rsid w:val="00213504"/>
    <w:rsid w:val="00215B81"/>
    <w:rsid w:val="00216F9E"/>
    <w:rsid w:val="00217A64"/>
    <w:rsid w:val="00217F7F"/>
    <w:rsid w:val="0022065B"/>
    <w:rsid w:val="002230E5"/>
    <w:rsid w:val="0023294F"/>
    <w:rsid w:val="00233422"/>
    <w:rsid w:val="0023369E"/>
    <w:rsid w:val="002358BA"/>
    <w:rsid w:val="00236C6B"/>
    <w:rsid w:val="0024162A"/>
    <w:rsid w:val="00241C41"/>
    <w:rsid w:val="002447C7"/>
    <w:rsid w:val="00245712"/>
    <w:rsid w:val="00250317"/>
    <w:rsid w:val="00253FED"/>
    <w:rsid w:val="002545A6"/>
    <w:rsid w:val="00255071"/>
    <w:rsid w:val="00257FA7"/>
    <w:rsid w:val="00262D70"/>
    <w:rsid w:val="0026302D"/>
    <w:rsid w:val="002649E1"/>
    <w:rsid w:val="00264F99"/>
    <w:rsid w:val="00266703"/>
    <w:rsid w:val="00266D8E"/>
    <w:rsid w:val="0026796E"/>
    <w:rsid w:val="00270560"/>
    <w:rsid w:val="00271582"/>
    <w:rsid w:val="00274437"/>
    <w:rsid w:val="00274D28"/>
    <w:rsid w:val="002753E6"/>
    <w:rsid w:val="00280671"/>
    <w:rsid w:val="00280C34"/>
    <w:rsid w:val="002812E0"/>
    <w:rsid w:val="002820AF"/>
    <w:rsid w:val="0028292E"/>
    <w:rsid w:val="002839AD"/>
    <w:rsid w:val="00283B09"/>
    <w:rsid w:val="00286249"/>
    <w:rsid w:val="00286C57"/>
    <w:rsid w:val="00287E61"/>
    <w:rsid w:val="00290871"/>
    <w:rsid w:val="00292F5B"/>
    <w:rsid w:val="002933AB"/>
    <w:rsid w:val="00293ED9"/>
    <w:rsid w:val="0029485A"/>
    <w:rsid w:val="002956AA"/>
    <w:rsid w:val="002A05BC"/>
    <w:rsid w:val="002A418B"/>
    <w:rsid w:val="002A44BC"/>
    <w:rsid w:val="002A576F"/>
    <w:rsid w:val="002A5CD1"/>
    <w:rsid w:val="002A76FE"/>
    <w:rsid w:val="002B172C"/>
    <w:rsid w:val="002B5B23"/>
    <w:rsid w:val="002B6672"/>
    <w:rsid w:val="002C1587"/>
    <w:rsid w:val="002C2585"/>
    <w:rsid w:val="002C2C22"/>
    <w:rsid w:val="002C338C"/>
    <w:rsid w:val="002C3453"/>
    <w:rsid w:val="002C6197"/>
    <w:rsid w:val="002D01B1"/>
    <w:rsid w:val="002D0674"/>
    <w:rsid w:val="002D215F"/>
    <w:rsid w:val="002D29E2"/>
    <w:rsid w:val="002D2E3D"/>
    <w:rsid w:val="002D6139"/>
    <w:rsid w:val="002D67AC"/>
    <w:rsid w:val="002E0CAC"/>
    <w:rsid w:val="002E10A0"/>
    <w:rsid w:val="002E2B7C"/>
    <w:rsid w:val="002E3BAA"/>
    <w:rsid w:val="002E50C2"/>
    <w:rsid w:val="002E55E0"/>
    <w:rsid w:val="002E5B8F"/>
    <w:rsid w:val="002E7991"/>
    <w:rsid w:val="002E7F99"/>
    <w:rsid w:val="002F0303"/>
    <w:rsid w:val="002F0758"/>
    <w:rsid w:val="002F11B0"/>
    <w:rsid w:val="002F1E0A"/>
    <w:rsid w:val="002F2DEE"/>
    <w:rsid w:val="002F3D56"/>
    <w:rsid w:val="002F4F03"/>
    <w:rsid w:val="002F66B7"/>
    <w:rsid w:val="00300089"/>
    <w:rsid w:val="00301411"/>
    <w:rsid w:val="003017F1"/>
    <w:rsid w:val="00304353"/>
    <w:rsid w:val="00304456"/>
    <w:rsid w:val="00310A7C"/>
    <w:rsid w:val="00313BC0"/>
    <w:rsid w:val="00314687"/>
    <w:rsid w:val="00314966"/>
    <w:rsid w:val="00315A73"/>
    <w:rsid w:val="00316B1B"/>
    <w:rsid w:val="00317464"/>
    <w:rsid w:val="0031748F"/>
    <w:rsid w:val="00320C92"/>
    <w:rsid w:val="003213B1"/>
    <w:rsid w:val="003222C1"/>
    <w:rsid w:val="00322F6D"/>
    <w:rsid w:val="00323438"/>
    <w:rsid w:val="00323EE5"/>
    <w:rsid w:val="003242FE"/>
    <w:rsid w:val="0032492C"/>
    <w:rsid w:val="0032757A"/>
    <w:rsid w:val="00330754"/>
    <w:rsid w:val="003308D7"/>
    <w:rsid w:val="00332EE2"/>
    <w:rsid w:val="00334873"/>
    <w:rsid w:val="0033551E"/>
    <w:rsid w:val="003360C4"/>
    <w:rsid w:val="0033729A"/>
    <w:rsid w:val="00340855"/>
    <w:rsid w:val="00341091"/>
    <w:rsid w:val="0034471D"/>
    <w:rsid w:val="003449B7"/>
    <w:rsid w:val="003454E6"/>
    <w:rsid w:val="00345764"/>
    <w:rsid w:val="00346472"/>
    <w:rsid w:val="00350F9F"/>
    <w:rsid w:val="0035199B"/>
    <w:rsid w:val="00353981"/>
    <w:rsid w:val="003545BD"/>
    <w:rsid w:val="003603BC"/>
    <w:rsid w:val="00360ECA"/>
    <w:rsid w:val="0036411C"/>
    <w:rsid w:val="003659D6"/>
    <w:rsid w:val="00366903"/>
    <w:rsid w:val="00370942"/>
    <w:rsid w:val="003720D4"/>
    <w:rsid w:val="0037227C"/>
    <w:rsid w:val="003748AE"/>
    <w:rsid w:val="00375542"/>
    <w:rsid w:val="00376AAE"/>
    <w:rsid w:val="00376C2E"/>
    <w:rsid w:val="00380627"/>
    <w:rsid w:val="003817C6"/>
    <w:rsid w:val="00382334"/>
    <w:rsid w:val="003825B5"/>
    <w:rsid w:val="00382A1D"/>
    <w:rsid w:val="003835F9"/>
    <w:rsid w:val="00387C38"/>
    <w:rsid w:val="003905D2"/>
    <w:rsid w:val="00392446"/>
    <w:rsid w:val="00396C49"/>
    <w:rsid w:val="00397317"/>
    <w:rsid w:val="00397CB5"/>
    <w:rsid w:val="003A0AD9"/>
    <w:rsid w:val="003A234F"/>
    <w:rsid w:val="003A41BF"/>
    <w:rsid w:val="003A4ADF"/>
    <w:rsid w:val="003A51CD"/>
    <w:rsid w:val="003A753D"/>
    <w:rsid w:val="003A7908"/>
    <w:rsid w:val="003B0DB0"/>
    <w:rsid w:val="003B2BEC"/>
    <w:rsid w:val="003B3BD9"/>
    <w:rsid w:val="003B4E4A"/>
    <w:rsid w:val="003B501B"/>
    <w:rsid w:val="003B622B"/>
    <w:rsid w:val="003B74E8"/>
    <w:rsid w:val="003B7636"/>
    <w:rsid w:val="003C0731"/>
    <w:rsid w:val="003C1EF5"/>
    <w:rsid w:val="003C4E23"/>
    <w:rsid w:val="003C5185"/>
    <w:rsid w:val="003C5649"/>
    <w:rsid w:val="003C6ABC"/>
    <w:rsid w:val="003C70DD"/>
    <w:rsid w:val="003C7DEE"/>
    <w:rsid w:val="003D0717"/>
    <w:rsid w:val="003D1391"/>
    <w:rsid w:val="003D1763"/>
    <w:rsid w:val="003D1EF4"/>
    <w:rsid w:val="003D2E15"/>
    <w:rsid w:val="003D2FB7"/>
    <w:rsid w:val="003D3128"/>
    <w:rsid w:val="003D50B7"/>
    <w:rsid w:val="003D5727"/>
    <w:rsid w:val="003D6452"/>
    <w:rsid w:val="003D64D3"/>
    <w:rsid w:val="003D7025"/>
    <w:rsid w:val="003E202F"/>
    <w:rsid w:val="003E3FE2"/>
    <w:rsid w:val="003E4C84"/>
    <w:rsid w:val="003E4F3C"/>
    <w:rsid w:val="003E71B5"/>
    <w:rsid w:val="003F12DA"/>
    <w:rsid w:val="003F138E"/>
    <w:rsid w:val="003F171F"/>
    <w:rsid w:val="003F1ADA"/>
    <w:rsid w:val="003F1E91"/>
    <w:rsid w:val="003F438C"/>
    <w:rsid w:val="003F45AA"/>
    <w:rsid w:val="003F48F5"/>
    <w:rsid w:val="003F4DBF"/>
    <w:rsid w:val="003F6A52"/>
    <w:rsid w:val="00402E6D"/>
    <w:rsid w:val="0040432A"/>
    <w:rsid w:val="00404407"/>
    <w:rsid w:val="00405E18"/>
    <w:rsid w:val="00406142"/>
    <w:rsid w:val="004066CD"/>
    <w:rsid w:val="0041038A"/>
    <w:rsid w:val="0041534F"/>
    <w:rsid w:val="00416C54"/>
    <w:rsid w:val="004202ED"/>
    <w:rsid w:val="0042305A"/>
    <w:rsid w:val="004238CC"/>
    <w:rsid w:val="00424486"/>
    <w:rsid w:val="004245A6"/>
    <w:rsid w:val="00425E64"/>
    <w:rsid w:val="00426937"/>
    <w:rsid w:val="00426C61"/>
    <w:rsid w:val="0043108E"/>
    <w:rsid w:val="004344BB"/>
    <w:rsid w:val="00436A91"/>
    <w:rsid w:val="0043718D"/>
    <w:rsid w:val="00440618"/>
    <w:rsid w:val="00441220"/>
    <w:rsid w:val="004430E2"/>
    <w:rsid w:val="00445344"/>
    <w:rsid w:val="00445CEA"/>
    <w:rsid w:val="00447255"/>
    <w:rsid w:val="00447A35"/>
    <w:rsid w:val="00447AB6"/>
    <w:rsid w:val="00447C14"/>
    <w:rsid w:val="004509F9"/>
    <w:rsid w:val="00452605"/>
    <w:rsid w:val="00453276"/>
    <w:rsid w:val="00454552"/>
    <w:rsid w:val="00454EB9"/>
    <w:rsid w:val="00456B06"/>
    <w:rsid w:val="00456EFF"/>
    <w:rsid w:val="004572E5"/>
    <w:rsid w:val="00457439"/>
    <w:rsid w:val="00461F71"/>
    <w:rsid w:val="0046297B"/>
    <w:rsid w:val="00463DB9"/>
    <w:rsid w:val="00464717"/>
    <w:rsid w:val="004648A4"/>
    <w:rsid w:val="004649F9"/>
    <w:rsid w:val="00465F39"/>
    <w:rsid w:val="004666ED"/>
    <w:rsid w:val="00466DBE"/>
    <w:rsid w:val="00470DE0"/>
    <w:rsid w:val="004715EB"/>
    <w:rsid w:val="00471C23"/>
    <w:rsid w:val="004739C0"/>
    <w:rsid w:val="004805A8"/>
    <w:rsid w:val="00481993"/>
    <w:rsid w:val="00486846"/>
    <w:rsid w:val="00486A6E"/>
    <w:rsid w:val="00486A76"/>
    <w:rsid w:val="00490D1F"/>
    <w:rsid w:val="00490E54"/>
    <w:rsid w:val="00491B12"/>
    <w:rsid w:val="00492BDD"/>
    <w:rsid w:val="00496BF4"/>
    <w:rsid w:val="00496E8C"/>
    <w:rsid w:val="004A1F68"/>
    <w:rsid w:val="004A2199"/>
    <w:rsid w:val="004A3C69"/>
    <w:rsid w:val="004A6A95"/>
    <w:rsid w:val="004B375F"/>
    <w:rsid w:val="004B5551"/>
    <w:rsid w:val="004B6305"/>
    <w:rsid w:val="004C0054"/>
    <w:rsid w:val="004C37B6"/>
    <w:rsid w:val="004C7655"/>
    <w:rsid w:val="004D05D1"/>
    <w:rsid w:val="004D1E44"/>
    <w:rsid w:val="004D221A"/>
    <w:rsid w:val="004D39CB"/>
    <w:rsid w:val="004D484E"/>
    <w:rsid w:val="004D4B3D"/>
    <w:rsid w:val="004D5A26"/>
    <w:rsid w:val="004D5CA6"/>
    <w:rsid w:val="004D62FF"/>
    <w:rsid w:val="004E0C4A"/>
    <w:rsid w:val="004E169F"/>
    <w:rsid w:val="004E2F17"/>
    <w:rsid w:val="004E4E2F"/>
    <w:rsid w:val="004E5BCD"/>
    <w:rsid w:val="004E6737"/>
    <w:rsid w:val="004E701F"/>
    <w:rsid w:val="004E7971"/>
    <w:rsid w:val="004E7B70"/>
    <w:rsid w:val="004E7FCA"/>
    <w:rsid w:val="004F18A7"/>
    <w:rsid w:val="004F1BE0"/>
    <w:rsid w:val="004F3ADB"/>
    <w:rsid w:val="004F4F08"/>
    <w:rsid w:val="004F5B67"/>
    <w:rsid w:val="004F5FBC"/>
    <w:rsid w:val="004F64E7"/>
    <w:rsid w:val="004F6605"/>
    <w:rsid w:val="004F6A05"/>
    <w:rsid w:val="005007FA"/>
    <w:rsid w:val="00500D2A"/>
    <w:rsid w:val="005023A2"/>
    <w:rsid w:val="00502788"/>
    <w:rsid w:val="00502ADE"/>
    <w:rsid w:val="005049F6"/>
    <w:rsid w:val="00505DAB"/>
    <w:rsid w:val="005076FB"/>
    <w:rsid w:val="00507A7F"/>
    <w:rsid w:val="00507ACB"/>
    <w:rsid w:val="00510A5A"/>
    <w:rsid w:val="00511744"/>
    <w:rsid w:val="005127D7"/>
    <w:rsid w:val="00514E93"/>
    <w:rsid w:val="00516F03"/>
    <w:rsid w:val="005171E8"/>
    <w:rsid w:val="005175C2"/>
    <w:rsid w:val="0052036E"/>
    <w:rsid w:val="005207BD"/>
    <w:rsid w:val="00521018"/>
    <w:rsid w:val="00521326"/>
    <w:rsid w:val="005233EE"/>
    <w:rsid w:val="00523F44"/>
    <w:rsid w:val="0052488A"/>
    <w:rsid w:val="00525E64"/>
    <w:rsid w:val="00526B06"/>
    <w:rsid w:val="0053026A"/>
    <w:rsid w:val="00530ECA"/>
    <w:rsid w:val="00531964"/>
    <w:rsid w:val="005331F9"/>
    <w:rsid w:val="00533C8F"/>
    <w:rsid w:val="0053434B"/>
    <w:rsid w:val="005348C5"/>
    <w:rsid w:val="00535187"/>
    <w:rsid w:val="00536BBE"/>
    <w:rsid w:val="00536FF5"/>
    <w:rsid w:val="00537E9C"/>
    <w:rsid w:val="0054105E"/>
    <w:rsid w:val="005416D8"/>
    <w:rsid w:val="00544A5B"/>
    <w:rsid w:val="00545C61"/>
    <w:rsid w:val="005471F2"/>
    <w:rsid w:val="00547A53"/>
    <w:rsid w:val="005507C1"/>
    <w:rsid w:val="005511C0"/>
    <w:rsid w:val="005512B8"/>
    <w:rsid w:val="0055597A"/>
    <w:rsid w:val="00555CC4"/>
    <w:rsid w:val="0055602C"/>
    <w:rsid w:val="005560FB"/>
    <w:rsid w:val="00556F9D"/>
    <w:rsid w:val="00561835"/>
    <w:rsid w:val="00562756"/>
    <w:rsid w:val="00563A59"/>
    <w:rsid w:val="00563EFD"/>
    <w:rsid w:val="00563F57"/>
    <w:rsid w:val="005659C6"/>
    <w:rsid w:val="00565B4E"/>
    <w:rsid w:val="00565D7F"/>
    <w:rsid w:val="00567829"/>
    <w:rsid w:val="00572EC4"/>
    <w:rsid w:val="00574336"/>
    <w:rsid w:val="00576EC0"/>
    <w:rsid w:val="005801B5"/>
    <w:rsid w:val="00582A2C"/>
    <w:rsid w:val="00584CE9"/>
    <w:rsid w:val="00585447"/>
    <w:rsid w:val="005869AF"/>
    <w:rsid w:val="00587EC8"/>
    <w:rsid w:val="005903D9"/>
    <w:rsid w:val="00590826"/>
    <w:rsid w:val="005916F2"/>
    <w:rsid w:val="00591DAE"/>
    <w:rsid w:val="00593A4B"/>
    <w:rsid w:val="00594DCA"/>
    <w:rsid w:val="00595525"/>
    <w:rsid w:val="005A045F"/>
    <w:rsid w:val="005A0D1E"/>
    <w:rsid w:val="005A0EE3"/>
    <w:rsid w:val="005A12AB"/>
    <w:rsid w:val="005A2DA7"/>
    <w:rsid w:val="005A34D8"/>
    <w:rsid w:val="005A3BCF"/>
    <w:rsid w:val="005A4203"/>
    <w:rsid w:val="005A692D"/>
    <w:rsid w:val="005B0F80"/>
    <w:rsid w:val="005B177E"/>
    <w:rsid w:val="005B2FA0"/>
    <w:rsid w:val="005B311F"/>
    <w:rsid w:val="005B5922"/>
    <w:rsid w:val="005B7AC0"/>
    <w:rsid w:val="005C1417"/>
    <w:rsid w:val="005C62FF"/>
    <w:rsid w:val="005D067C"/>
    <w:rsid w:val="005D0724"/>
    <w:rsid w:val="005D0BE0"/>
    <w:rsid w:val="005D160F"/>
    <w:rsid w:val="005D242D"/>
    <w:rsid w:val="005D45DC"/>
    <w:rsid w:val="005D60BD"/>
    <w:rsid w:val="005D67BC"/>
    <w:rsid w:val="005D760C"/>
    <w:rsid w:val="005D778E"/>
    <w:rsid w:val="005E0648"/>
    <w:rsid w:val="005E1475"/>
    <w:rsid w:val="005E25DF"/>
    <w:rsid w:val="005E3339"/>
    <w:rsid w:val="005E4402"/>
    <w:rsid w:val="005E53AA"/>
    <w:rsid w:val="005E5C36"/>
    <w:rsid w:val="005E6BD7"/>
    <w:rsid w:val="005F14FB"/>
    <w:rsid w:val="005F1E4A"/>
    <w:rsid w:val="005F31BE"/>
    <w:rsid w:val="005F3515"/>
    <w:rsid w:val="005F3797"/>
    <w:rsid w:val="005F3EC5"/>
    <w:rsid w:val="005F59FF"/>
    <w:rsid w:val="005F6473"/>
    <w:rsid w:val="005F7D5C"/>
    <w:rsid w:val="0060009A"/>
    <w:rsid w:val="00600BB3"/>
    <w:rsid w:val="00601843"/>
    <w:rsid w:val="006018D9"/>
    <w:rsid w:val="00601CB9"/>
    <w:rsid w:val="00601DFA"/>
    <w:rsid w:val="006043B3"/>
    <w:rsid w:val="0060681E"/>
    <w:rsid w:val="0061018F"/>
    <w:rsid w:val="00611D76"/>
    <w:rsid w:val="0061316E"/>
    <w:rsid w:val="006154AA"/>
    <w:rsid w:val="00616631"/>
    <w:rsid w:val="00617934"/>
    <w:rsid w:val="00620531"/>
    <w:rsid w:val="00620DD7"/>
    <w:rsid w:val="0062173B"/>
    <w:rsid w:val="00621F07"/>
    <w:rsid w:val="006231DE"/>
    <w:rsid w:val="00624C8B"/>
    <w:rsid w:val="006257E8"/>
    <w:rsid w:val="006302B0"/>
    <w:rsid w:val="00631ABC"/>
    <w:rsid w:val="0063227B"/>
    <w:rsid w:val="00633D7E"/>
    <w:rsid w:val="006343AB"/>
    <w:rsid w:val="00635667"/>
    <w:rsid w:val="006358AD"/>
    <w:rsid w:val="00635B82"/>
    <w:rsid w:val="00636F10"/>
    <w:rsid w:val="00636FCF"/>
    <w:rsid w:val="0064132E"/>
    <w:rsid w:val="006413DB"/>
    <w:rsid w:val="00641807"/>
    <w:rsid w:val="00644F66"/>
    <w:rsid w:val="0064612C"/>
    <w:rsid w:val="00647DFD"/>
    <w:rsid w:val="00650FF8"/>
    <w:rsid w:val="00655FC6"/>
    <w:rsid w:val="00656171"/>
    <w:rsid w:val="006602CE"/>
    <w:rsid w:val="00662405"/>
    <w:rsid w:val="00663C27"/>
    <w:rsid w:val="00664A78"/>
    <w:rsid w:val="00673485"/>
    <w:rsid w:val="00673540"/>
    <w:rsid w:val="00674B40"/>
    <w:rsid w:val="006760A6"/>
    <w:rsid w:val="00681522"/>
    <w:rsid w:val="006815F3"/>
    <w:rsid w:val="0068323A"/>
    <w:rsid w:val="006835BF"/>
    <w:rsid w:val="006839AB"/>
    <w:rsid w:val="0068580B"/>
    <w:rsid w:val="00685925"/>
    <w:rsid w:val="00685C16"/>
    <w:rsid w:val="00686133"/>
    <w:rsid w:val="006865F1"/>
    <w:rsid w:val="00690290"/>
    <w:rsid w:val="0069200C"/>
    <w:rsid w:val="00695118"/>
    <w:rsid w:val="00695374"/>
    <w:rsid w:val="0069765D"/>
    <w:rsid w:val="00697B3D"/>
    <w:rsid w:val="006A08D3"/>
    <w:rsid w:val="006A1C95"/>
    <w:rsid w:val="006A3ED4"/>
    <w:rsid w:val="006A6C02"/>
    <w:rsid w:val="006A7966"/>
    <w:rsid w:val="006B0B27"/>
    <w:rsid w:val="006B168B"/>
    <w:rsid w:val="006B1ABF"/>
    <w:rsid w:val="006B2A8E"/>
    <w:rsid w:val="006B2BDD"/>
    <w:rsid w:val="006B3C4F"/>
    <w:rsid w:val="006B40F9"/>
    <w:rsid w:val="006C4A8E"/>
    <w:rsid w:val="006C5026"/>
    <w:rsid w:val="006C5374"/>
    <w:rsid w:val="006C644F"/>
    <w:rsid w:val="006C7936"/>
    <w:rsid w:val="006D09D2"/>
    <w:rsid w:val="006D1311"/>
    <w:rsid w:val="006D1ECB"/>
    <w:rsid w:val="006D23C7"/>
    <w:rsid w:val="006D28F7"/>
    <w:rsid w:val="006D43DB"/>
    <w:rsid w:val="006D50D0"/>
    <w:rsid w:val="006D5A92"/>
    <w:rsid w:val="006E028A"/>
    <w:rsid w:val="006E2E1D"/>
    <w:rsid w:val="006E2E1F"/>
    <w:rsid w:val="006E627C"/>
    <w:rsid w:val="006E760A"/>
    <w:rsid w:val="006F058B"/>
    <w:rsid w:val="006F09D6"/>
    <w:rsid w:val="006F292F"/>
    <w:rsid w:val="006F2CF4"/>
    <w:rsid w:val="006F4C6D"/>
    <w:rsid w:val="00703C46"/>
    <w:rsid w:val="00704424"/>
    <w:rsid w:val="0070691B"/>
    <w:rsid w:val="00707084"/>
    <w:rsid w:val="007075FF"/>
    <w:rsid w:val="00710736"/>
    <w:rsid w:val="00710D9C"/>
    <w:rsid w:val="00711B87"/>
    <w:rsid w:val="00711BE1"/>
    <w:rsid w:val="00714C87"/>
    <w:rsid w:val="0071505E"/>
    <w:rsid w:val="00715F9C"/>
    <w:rsid w:val="00717949"/>
    <w:rsid w:val="00717D71"/>
    <w:rsid w:val="00720C7E"/>
    <w:rsid w:val="00721399"/>
    <w:rsid w:val="007215D0"/>
    <w:rsid w:val="0072240B"/>
    <w:rsid w:val="007226DE"/>
    <w:rsid w:val="007230CC"/>
    <w:rsid w:val="00723B87"/>
    <w:rsid w:val="007249D0"/>
    <w:rsid w:val="007303D1"/>
    <w:rsid w:val="0073154B"/>
    <w:rsid w:val="00732B07"/>
    <w:rsid w:val="00732EAF"/>
    <w:rsid w:val="00733380"/>
    <w:rsid w:val="00733467"/>
    <w:rsid w:val="00733DFB"/>
    <w:rsid w:val="00733E8D"/>
    <w:rsid w:val="007366E8"/>
    <w:rsid w:val="00737E9C"/>
    <w:rsid w:val="00740817"/>
    <w:rsid w:val="00741EC5"/>
    <w:rsid w:val="00743F36"/>
    <w:rsid w:val="00744927"/>
    <w:rsid w:val="00745D95"/>
    <w:rsid w:val="007465CB"/>
    <w:rsid w:val="00746A3B"/>
    <w:rsid w:val="0075033F"/>
    <w:rsid w:val="007509FC"/>
    <w:rsid w:val="00751567"/>
    <w:rsid w:val="00751B5B"/>
    <w:rsid w:val="00751DB9"/>
    <w:rsid w:val="0075256E"/>
    <w:rsid w:val="007547DC"/>
    <w:rsid w:val="007560F6"/>
    <w:rsid w:val="0075631A"/>
    <w:rsid w:val="007613F4"/>
    <w:rsid w:val="00761DB5"/>
    <w:rsid w:val="007632D0"/>
    <w:rsid w:val="00764360"/>
    <w:rsid w:val="00764488"/>
    <w:rsid w:val="00765731"/>
    <w:rsid w:val="0076585D"/>
    <w:rsid w:val="0076774D"/>
    <w:rsid w:val="00770947"/>
    <w:rsid w:val="00770EF9"/>
    <w:rsid w:val="00772A0E"/>
    <w:rsid w:val="00776B61"/>
    <w:rsid w:val="00777E48"/>
    <w:rsid w:val="0078120B"/>
    <w:rsid w:val="00781753"/>
    <w:rsid w:val="00782306"/>
    <w:rsid w:val="00782900"/>
    <w:rsid w:val="007848BA"/>
    <w:rsid w:val="007854E4"/>
    <w:rsid w:val="007865ED"/>
    <w:rsid w:val="00787F7A"/>
    <w:rsid w:val="00790F6E"/>
    <w:rsid w:val="00790FCA"/>
    <w:rsid w:val="007916C2"/>
    <w:rsid w:val="0079192A"/>
    <w:rsid w:val="00792A75"/>
    <w:rsid w:val="00794332"/>
    <w:rsid w:val="00794FC4"/>
    <w:rsid w:val="007A0B3D"/>
    <w:rsid w:val="007A0C4F"/>
    <w:rsid w:val="007A118D"/>
    <w:rsid w:val="007A2A27"/>
    <w:rsid w:val="007A40B1"/>
    <w:rsid w:val="007A49E0"/>
    <w:rsid w:val="007A58F0"/>
    <w:rsid w:val="007A7E12"/>
    <w:rsid w:val="007B00B1"/>
    <w:rsid w:val="007B10CE"/>
    <w:rsid w:val="007B206B"/>
    <w:rsid w:val="007B44B5"/>
    <w:rsid w:val="007B6A92"/>
    <w:rsid w:val="007B6B96"/>
    <w:rsid w:val="007C0589"/>
    <w:rsid w:val="007C3ABE"/>
    <w:rsid w:val="007C5A83"/>
    <w:rsid w:val="007C6E17"/>
    <w:rsid w:val="007C6E8B"/>
    <w:rsid w:val="007C755E"/>
    <w:rsid w:val="007C7697"/>
    <w:rsid w:val="007C7B28"/>
    <w:rsid w:val="007D4991"/>
    <w:rsid w:val="007D5907"/>
    <w:rsid w:val="007D6035"/>
    <w:rsid w:val="007D6124"/>
    <w:rsid w:val="007E14FD"/>
    <w:rsid w:val="007E4578"/>
    <w:rsid w:val="007E5131"/>
    <w:rsid w:val="007E5D33"/>
    <w:rsid w:val="007E6C36"/>
    <w:rsid w:val="007E6ECF"/>
    <w:rsid w:val="007F0433"/>
    <w:rsid w:val="007F0933"/>
    <w:rsid w:val="007F4332"/>
    <w:rsid w:val="007F56C7"/>
    <w:rsid w:val="007F5F91"/>
    <w:rsid w:val="007F6830"/>
    <w:rsid w:val="007F755A"/>
    <w:rsid w:val="008005D2"/>
    <w:rsid w:val="00800AD7"/>
    <w:rsid w:val="00801283"/>
    <w:rsid w:val="0080205B"/>
    <w:rsid w:val="008052A0"/>
    <w:rsid w:val="00805F63"/>
    <w:rsid w:val="00806EBC"/>
    <w:rsid w:val="00807EAD"/>
    <w:rsid w:val="0081183E"/>
    <w:rsid w:val="00812738"/>
    <w:rsid w:val="00812C9B"/>
    <w:rsid w:val="00813079"/>
    <w:rsid w:val="0081312F"/>
    <w:rsid w:val="00813348"/>
    <w:rsid w:val="008139F0"/>
    <w:rsid w:val="00813F32"/>
    <w:rsid w:val="00815198"/>
    <w:rsid w:val="00815934"/>
    <w:rsid w:val="00816D98"/>
    <w:rsid w:val="008228DC"/>
    <w:rsid w:val="0082304D"/>
    <w:rsid w:val="008256F1"/>
    <w:rsid w:val="00825FB8"/>
    <w:rsid w:val="00827415"/>
    <w:rsid w:val="00830DCD"/>
    <w:rsid w:val="00832993"/>
    <w:rsid w:val="00833A7A"/>
    <w:rsid w:val="008350FF"/>
    <w:rsid w:val="00835B3F"/>
    <w:rsid w:val="00836F10"/>
    <w:rsid w:val="00840596"/>
    <w:rsid w:val="0084198C"/>
    <w:rsid w:val="00843483"/>
    <w:rsid w:val="00845516"/>
    <w:rsid w:val="00846257"/>
    <w:rsid w:val="008469B9"/>
    <w:rsid w:val="008470B0"/>
    <w:rsid w:val="0085143E"/>
    <w:rsid w:val="00851C27"/>
    <w:rsid w:val="00853D32"/>
    <w:rsid w:val="0085425F"/>
    <w:rsid w:val="00854D14"/>
    <w:rsid w:val="0085763D"/>
    <w:rsid w:val="00862F80"/>
    <w:rsid w:val="008635CD"/>
    <w:rsid w:val="00863E0D"/>
    <w:rsid w:val="008647BC"/>
    <w:rsid w:val="00865964"/>
    <w:rsid w:val="00865C6B"/>
    <w:rsid w:val="00865E13"/>
    <w:rsid w:val="00866DC7"/>
    <w:rsid w:val="0086714C"/>
    <w:rsid w:val="00870943"/>
    <w:rsid w:val="008729CA"/>
    <w:rsid w:val="00873028"/>
    <w:rsid w:val="00876142"/>
    <w:rsid w:val="008769F1"/>
    <w:rsid w:val="0087770D"/>
    <w:rsid w:val="00881371"/>
    <w:rsid w:val="00884008"/>
    <w:rsid w:val="0088509A"/>
    <w:rsid w:val="00885BCE"/>
    <w:rsid w:val="008872D4"/>
    <w:rsid w:val="00887C35"/>
    <w:rsid w:val="00887F8C"/>
    <w:rsid w:val="00892AF0"/>
    <w:rsid w:val="00894EF4"/>
    <w:rsid w:val="008966E1"/>
    <w:rsid w:val="008A0DF0"/>
    <w:rsid w:val="008A12C9"/>
    <w:rsid w:val="008A13F5"/>
    <w:rsid w:val="008A1EB9"/>
    <w:rsid w:val="008A3C9B"/>
    <w:rsid w:val="008A3D30"/>
    <w:rsid w:val="008A4A87"/>
    <w:rsid w:val="008A4B51"/>
    <w:rsid w:val="008A57F0"/>
    <w:rsid w:val="008A6A01"/>
    <w:rsid w:val="008A7FC4"/>
    <w:rsid w:val="008B02F4"/>
    <w:rsid w:val="008B187B"/>
    <w:rsid w:val="008B34D3"/>
    <w:rsid w:val="008B49BE"/>
    <w:rsid w:val="008B4C8F"/>
    <w:rsid w:val="008B4D36"/>
    <w:rsid w:val="008B5286"/>
    <w:rsid w:val="008B67A1"/>
    <w:rsid w:val="008C124B"/>
    <w:rsid w:val="008C239C"/>
    <w:rsid w:val="008C25C0"/>
    <w:rsid w:val="008C4E94"/>
    <w:rsid w:val="008C536C"/>
    <w:rsid w:val="008C7DAE"/>
    <w:rsid w:val="008D118F"/>
    <w:rsid w:val="008D38AF"/>
    <w:rsid w:val="008D4DA0"/>
    <w:rsid w:val="008D605F"/>
    <w:rsid w:val="008D7240"/>
    <w:rsid w:val="008E1A9A"/>
    <w:rsid w:val="008E20D3"/>
    <w:rsid w:val="008E29A4"/>
    <w:rsid w:val="008E360C"/>
    <w:rsid w:val="008E3C30"/>
    <w:rsid w:val="008E5B95"/>
    <w:rsid w:val="008E6F0C"/>
    <w:rsid w:val="008E70F7"/>
    <w:rsid w:val="008F0173"/>
    <w:rsid w:val="008F26E9"/>
    <w:rsid w:val="008F28AC"/>
    <w:rsid w:val="008F361D"/>
    <w:rsid w:val="008F5ED3"/>
    <w:rsid w:val="008F7B52"/>
    <w:rsid w:val="009014F8"/>
    <w:rsid w:val="00901B86"/>
    <w:rsid w:val="00902727"/>
    <w:rsid w:val="0090277A"/>
    <w:rsid w:val="00902B72"/>
    <w:rsid w:val="00902FD3"/>
    <w:rsid w:val="00904506"/>
    <w:rsid w:val="00905A41"/>
    <w:rsid w:val="009074D6"/>
    <w:rsid w:val="00907AAD"/>
    <w:rsid w:val="0091092A"/>
    <w:rsid w:val="00911B97"/>
    <w:rsid w:val="00913546"/>
    <w:rsid w:val="00913846"/>
    <w:rsid w:val="00914368"/>
    <w:rsid w:val="00914580"/>
    <w:rsid w:val="00915872"/>
    <w:rsid w:val="009204A2"/>
    <w:rsid w:val="00921DE6"/>
    <w:rsid w:val="00925F23"/>
    <w:rsid w:val="00930FE6"/>
    <w:rsid w:val="009315BB"/>
    <w:rsid w:val="009319E9"/>
    <w:rsid w:val="0093252A"/>
    <w:rsid w:val="00932ECE"/>
    <w:rsid w:val="00934A15"/>
    <w:rsid w:val="00937A58"/>
    <w:rsid w:val="00937EF1"/>
    <w:rsid w:val="00941336"/>
    <w:rsid w:val="00942333"/>
    <w:rsid w:val="00943491"/>
    <w:rsid w:val="00943F02"/>
    <w:rsid w:val="00944B50"/>
    <w:rsid w:val="00944B7C"/>
    <w:rsid w:val="00944F2F"/>
    <w:rsid w:val="00945CE2"/>
    <w:rsid w:val="0094755A"/>
    <w:rsid w:val="009503A5"/>
    <w:rsid w:val="00950CA3"/>
    <w:rsid w:val="00951474"/>
    <w:rsid w:val="009519BC"/>
    <w:rsid w:val="00952831"/>
    <w:rsid w:val="00953F4F"/>
    <w:rsid w:val="00954B61"/>
    <w:rsid w:val="009569CD"/>
    <w:rsid w:val="00960EBD"/>
    <w:rsid w:val="00961372"/>
    <w:rsid w:val="00962619"/>
    <w:rsid w:val="009630E2"/>
    <w:rsid w:val="00964339"/>
    <w:rsid w:val="00965797"/>
    <w:rsid w:val="009719C3"/>
    <w:rsid w:val="00971ABC"/>
    <w:rsid w:val="009733D7"/>
    <w:rsid w:val="00974F89"/>
    <w:rsid w:val="00975C73"/>
    <w:rsid w:val="00976AE4"/>
    <w:rsid w:val="00980069"/>
    <w:rsid w:val="009802D9"/>
    <w:rsid w:val="00981089"/>
    <w:rsid w:val="00981EBB"/>
    <w:rsid w:val="00982DB7"/>
    <w:rsid w:val="00984241"/>
    <w:rsid w:val="0098579D"/>
    <w:rsid w:val="00986C18"/>
    <w:rsid w:val="00987FA7"/>
    <w:rsid w:val="009918E3"/>
    <w:rsid w:val="00991EA6"/>
    <w:rsid w:val="00992170"/>
    <w:rsid w:val="009928F5"/>
    <w:rsid w:val="009934FF"/>
    <w:rsid w:val="00993C03"/>
    <w:rsid w:val="009966E6"/>
    <w:rsid w:val="009968E1"/>
    <w:rsid w:val="009974FB"/>
    <w:rsid w:val="00997BB6"/>
    <w:rsid w:val="009A34EC"/>
    <w:rsid w:val="009A38BB"/>
    <w:rsid w:val="009A6035"/>
    <w:rsid w:val="009A63D9"/>
    <w:rsid w:val="009B03C3"/>
    <w:rsid w:val="009B15AF"/>
    <w:rsid w:val="009B1822"/>
    <w:rsid w:val="009B188F"/>
    <w:rsid w:val="009B58B7"/>
    <w:rsid w:val="009C0CD9"/>
    <w:rsid w:val="009C0DFA"/>
    <w:rsid w:val="009C1DB0"/>
    <w:rsid w:val="009C2299"/>
    <w:rsid w:val="009C36D5"/>
    <w:rsid w:val="009C38C0"/>
    <w:rsid w:val="009C5555"/>
    <w:rsid w:val="009C7DA7"/>
    <w:rsid w:val="009D0323"/>
    <w:rsid w:val="009D19B0"/>
    <w:rsid w:val="009D24B4"/>
    <w:rsid w:val="009D3B23"/>
    <w:rsid w:val="009D5550"/>
    <w:rsid w:val="009E15F5"/>
    <w:rsid w:val="009E194B"/>
    <w:rsid w:val="009E2114"/>
    <w:rsid w:val="009E2810"/>
    <w:rsid w:val="009E2FFC"/>
    <w:rsid w:val="009E3A9B"/>
    <w:rsid w:val="009F256F"/>
    <w:rsid w:val="00A02C30"/>
    <w:rsid w:val="00A068D2"/>
    <w:rsid w:val="00A07BB4"/>
    <w:rsid w:val="00A07F3F"/>
    <w:rsid w:val="00A1009D"/>
    <w:rsid w:val="00A127BC"/>
    <w:rsid w:val="00A1312B"/>
    <w:rsid w:val="00A135B0"/>
    <w:rsid w:val="00A140E5"/>
    <w:rsid w:val="00A146FE"/>
    <w:rsid w:val="00A1613A"/>
    <w:rsid w:val="00A171A9"/>
    <w:rsid w:val="00A17CCD"/>
    <w:rsid w:val="00A22F92"/>
    <w:rsid w:val="00A247F3"/>
    <w:rsid w:val="00A249F6"/>
    <w:rsid w:val="00A24C4B"/>
    <w:rsid w:val="00A25FED"/>
    <w:rsid w:val="00A2669A"/>
    <w:rsid w:val="00A26F37"/>
    <w:rsid w:val="00A27F67"/>
    <w:rsid w:val="00A332B1"/>
    <w:rsid w:val="00A3470B"/>
    <w:rsid w:val="00A34EC9"/>
    <w:rsid w:val="00A362F7"/>
    <w:rsid w:val="00A36F8F"/>
    <w:rsid w:val="00A3739F"/>
    <w:rsid w:val="00A37EE8"/>
    <w:rsid w:val="00A40A04"/>
    <w:rsid w:val="00A43E1A"/>
    <w:rsid w:val="00A47432"/>
    <w:rsid w:val="00A5093F"/>
    <w:rsid w:val="00A51FFE"/>
    <w:rsid w:val="00A52671"/>
    <w:rsid w:val="00A529FA"/>
    <w:rsid w:val="00A530C4"/>
    <w:rsid w:val="00A54489"/>
    <w:rsid w:val="00A557D4"/>
    <w:rsid w:val="00A56117"/>
    <w:rsid w:val="00A568A2"/>
    <w:rsid w:val="00A56F1B"/>
    <w:rsid w:val="00A60BB1"/>
    <w:rsid w:val="00A62D9B"/>
    <w:rsid w:val="00A63A52"/>
    <w:rsid w:val="00A65AB9"/>
    <w:rsid w:val="00A65B07"/>
    <w:rsid w:val="00A65F92"/>
    <w:rsid w:val="00A66326"/>
    <w:rsid w:val="00A667BF"/>
    <w:rsid w:val="00A668C6"/>
    <w:rsid w:val="00A71364"/>
    <w:rsid w:val="00A727AD"/>
    <w:rsid w:val="00A73761"/>
    <w:rsid w:val="00A7396A"/>
    <w:rsid w:val="00A73DC5"/>
    <w:rsid w:val="00A747E3"/>
    <w:rsid w:val="00A765BC"/>
    <w:rsid w:val="00A76B49"/>
    <w:rsid w:val="00A777EE"/>
    <w:rsid w:val="00A81B38"/>
    <w:rsid w:val="00A825B3"/>
    <w:rsid w:val="00A83FF3"/>
    <w:rsid w:val="00A85530"/>
    <w:rsid w:val="00A90F58"/>
    <w:rsid w:val="00A90F65"/>
    <w:rsid w:val="00A91318"/>
    <w:rsid w:val="00A92CF3"/>
    <w:rsid w:val="00A93A88"/>
    <w:rsid w:val="00A93AA1"/>
    <w:rsid w:val="00A93B3C"/>
    <w:rsid w:val="00A93B93"/>
    <w:rsid w:val="00A940CA"/>
    <w:rsid w:val="00A957B9"/>
    <w:rsid w:val="00A95F5A"/>
    <w:rsid w:val="00A96C30"/>
    <w:rsid w:val="00A96C6E"/>
    <w:rsid w:val="00A96E26"/>
    <w:rsid w:val="00AA1BD0"/>
    <w:rsid w:val="00AA30BB"/>
    <w:rsid w:val="00AA3878"/>
    <w:rsid w:val="00AA3A45"/>
    <w:rsid w:val="00AA48F7"/>
    <w:rsid w:val="00AA4FDF"/>
    <w:rsid w:val="00AA5F67"/>
    <w:rsid w:val="00AA67AF"/>
    <w:rsid w:val="00AA7188"/>
    <w:rsid w:val="00AB040E"/>
    <w:rsid w:val="00AB081C"/>
    <w:rsid w:val="00AB2743"/>
    <w:rsid w:val="00AB2914"/>
    <w:rsid w:val="00AB3126"/>
    <w:rsid w:val="00AB34C4"/>
    <w:rsid w:val="00AB5D3B"/>
    <w:rsid w:val="00AB695C"/>
    <w:rsid w:val="00AC077E"/>
    <w:rsid w:val="00AC1C34"/>
    <w:rsid w:val="00AC2360"/>
    <w:rsid w:val="00AC6423"/>
    <w:rsid w:val="00AC64E1"/>
    <w:rsid w:val="00AC6C67"/>
    <w:rsid w:val="00AD13CD"/>
    <w:rsid w:val="00AD59E9"/>
    <w:rsid w:val="00AE0EAD"/>
    <w:rsid w:val="00AE17B5"/>
    <w:rsid w:val="00AE1AED"/>
    <w:rsid w:val="00AE1B30"/>
    <w:rsid w:val="00AE1C13"/>
    <w:rsid w:val="00AE4427"/>
    <w:rsid w:val="00AE522B"/>
    <w:rsid w:val="00AE5580"/>
    <w:rsid w:val="00AE7D7C"/>
    <w:rsid w:val="00AF0912"/>
    <w:rsid w:val="00AF0FAC"/>
    <w:rsid w:val="00AF306C"/>
    <w:rsid w:val="00AF309F"/>
    <w:rsid w:val="00AF32F2"/>
    <w:rsid w:val="00AF5643"/>
    <w:rsid w:val="00AF7B32"/>
    <w:rsid w:val="00B00467"/>
    <w:rsid w:val="00B03F32"/>
    <w:rsid w:val="00B042B0"/>
    <w:rsid w:val="00B044A0"/>
    <w:rsid w:val="00B05407"/>
    <w:rsid w:val="00B05B19"/>
    <w:rsid w:val="00B06363"/>
    <w:rsid w:val="00B07CC8"/>
    <w:rsid w:val="00B07DEB"/>
    <w:rsid w:val="00B12C66"/>
    <w:rsid w:val="00B164AE"/>
    <w:rsid w:val="00B1663C"/>
    <w:rsid w:val="00B22D42"/>
    <w:rsid w:val="00B2711C"/>
    <w:rsid w:val="00B273A9"/>
    <w:rsid w:val="00B27F5B"/>
    <w:rsid w:val="00B30845"/>
    <w:rsid w:val="00B32DB6"/>
    <w:rsid w:val="00B34292"/>
    <w:rsid w:val="00B34585"/>
    <w:rsid w:val="00B37B1E"/>
    <w:rsid w:val="00B400FA"/>
    <w:rsid w:val="00B406AD"/>
    <w:rsid w:val="00B4090F"/>
    <w:rsid w:val="00B424D9"/>
    <w:rsid w:val="00B424E1"/>
    <w:rsid w:val="00B43001"/>
    <w:rsid w:val="00B47358"/>
    <w:rsid w:val="00B478B9"/>
    <w:rsid w:val="00B52882"/>
    <w:rsid w:val="00B54CC6"/>
    <w:rsid w:val="00B54FD3"/>
    <w:rsid w:val="00B563F6"/>
    <w:rsid w:val="00B60690"/>
    <w:rsid w:val="00B6175F"/>
    <w:rsid w:val="00B61F20"/>
    <w:rsid w:val="00B62AE6"/>
    <w:rsid w:val="00B63624"/>
    <w:rsid w:val="00B65AFA"/>
    <w:rsid w:val="00B66D76"/>
    <w:rsid w:val="00B703E2"/>
    <w:rsid w:val="00B705FF"/>
    <w:rsid w:val="00B7757E"/>
    <w:rsid w:val="00B810DA"/>
    <w:rsid w:val="00B81E8F"/>
    <w:rsid w:val="00B84575"/>
    <w:rsid w:val="00B8466C"/>
    <w:rsid w:val="00B84F5D"/>
    <w:rsid w:val="00B86400"/>
    <w:rsid w:val="00B8700C"/>
    <w:rsid w:val="00B875DA"/>
    <w:rsid w:val="00B91C94"/>
    <w:rsid w:val="00B91CCB"/>
    <w:rsid w:val="00B93B72"/>
    <w:rsid w:val="00BA09BB"/>
    <w:rsid w:val="00BA0E0F"/>
    <w:rsid w:val="00BA31DD"/>
    <w:rsid w:val="00BA361D"/>
    <w:rsid w:val="00BA3819"/>
    <w:rsid w:val="00BB2614"/>
    <w:rsid w:val="00BB2DE0"/>
    <w:rsid w:val="00BB48D3"/>
    <w:rsid w:val="00BB509B"/>
    <w:rsid w:val="00BB74F7"/>
    <w:rsid w:val="00BC1019"/>
    <w:rsid w:val="00BC3E08"/>
    <w:rsid w:val="00BC3F72"/>
    <w:rsid w:val="00BC46E8"/>
    <w:rsid w:val="00BC55B6"/>
    <w:rsid w:val="00BC5686"/>
    <w:rsid w:val="00BC5E35"/>
    <w:rsid w:val="00BC601B"/>
    <w:rsid w:val="00BC647E"/>
    <w:rsid w:val="00BC65FE"/>
    <w:rsid w:val="00BC6CBE"/>
    <w:rsid w:val="00BC6F48"/>
    <w:rsid w:val="00BC725F"/>
    <w:rsid w:val="00BD1159"/>
    <w:rsid w:val="00BD1B41"/>
    <w:rsid w:val="00BD24B7"/>
    <w:rsid w:val="00BD3709"/>
    <w:rsid w:val="00BD37EA"/>
    <w:rsid w:val="00BD3814"/>
    <w:rsid w:val="00BD4605"/>
    <w:rsid w:val="00BD5681"/>
    <w:rsid w:val="00BD6F4A"/>
    <w:rsid w:val="00BE1504"/>
    <w:rsid w:val="00BE18FF"/>
    <w:rsid w:val="00BE50E4"/>
    <w:rsid w:val="00BE6231"/>
    <w:rsid w:val="00BE7802"/>
    <w:rsid w:val="00BF0A2F"/>
    <w:rsid w:val="00BF14F8"/>
    <w:rsid w:val="00BF21AB"/>
    <w:rsid w:val="00BF28C0"/>
    <w:rsid w:val="00BF2A33"/>
    <w:rsid w:val="00BF40F4"/>
    <w:rsid w:val="00C004A5"/>
    <w:rsid w:val="00C00BA0"/>
    <w:rsid w:val="00C05628"/>
    <w:rsid w:val="00C06601"/>
    <w:rsid w:val="00C06E65"/>
    <w:rsid w:val="00C132EE"/>
    <w:rsid w:val="00C13DD3"/>
    <w:rsid w:val="00C1463D"/>
    <w:rsid w:val="00C1565C"/>
    <w:rsid w:val="00C15783"/>
    <w:rsid w:val="00C2249C"/>
    <w:rsid w:val="00C22879"/>
    <w:rsid w:val="00C249AB"/>
    <w:rsid w:val="00C249F4"/>
    <w:rsid w:val="00C24F6F"/>
    <w:rsid w:val="00C25261"/>
    <w:rsid w:val="00C2535F"/>
    <w:rsid w:val="00C265F9"/>
    <w:rsid w:val="00C2665A"/>
    <w:rsid w:val="00C3086F"/>
    <w:rsid w:val="00C30D0B"/>
    <w:rsid w:val="00C32771"/>
    <w:rsid w:val="00C33910"/>
    <w:rsid w:val="00C33E8B"/>
    <w:rsid w:val="00C34746"/>
    <w:rsid w:val="00C35693"/>
    <w:rsid w:val="00C379B7"/>
    <w:rsid w:val="00C40BB3"/>
    <w:rsid w:val="00C41B80"/>
    <w:rsid w:val="00C4223E"/>
    <w:rsid w:val="00C4253C"/>
    <w:rsid w:val="00C42C48"/>
    <w:rsid w:val="00C4438E"/>
    <w:rsid w:val="00C44711"/>
    <w:rsid w:val="00C45EF4"/>
    <w:rsid w:val="00C45F47"/>
    <w:rsid w:val="00C47C68"/>
    <w:rsid w:val="00C50521"/>
    <w:rsid w:val="00C507A4"/>
    <w:rsid w:val="00C50E19"/>
    <w:rsid w:val="00C51393"/>
    <w:rsid w:val="00C514F5"/>
    <w:rsid w:val="00C5292C"/>
    <w:rsid w:val="00C52A2E"/>
    <w:rsid w:val="00C53509"/>
    <w:rsid w:val="00C53EDA"/>
    <w:rsid w:val="00C54470"/>
    <w:rsid w:val="00C54F25"/>
    <w:rsid w:val="00C5604A"/>
    <w:rsid w:val="00C56087"/>
    <w:rsid w:val="00C6008B"/>
    <w:rsid w:val="00C64204"/>
    <w:rsid w:val="00C64710"/>
    <w:rsid w:val="00C65A36"/>
    <w:rsid w:val="00C65F2A"/>
    <w:rsid w:val="00C67236"/>
    <w:rsid w:val="00C7063E"/>
    <w:rsid w:val="00C77E94"/>
    <w:rsid w:val="00C77E95"/>
    <w:rsid w:val="00C80FD4"/>
    <w:rsid w:val="00C8182D"/>
    <w:rsid w:val="00C81D37"/>
    <w:rsid w:val="00C829D9"/>
    <w:rsid w:val="00C82E45"/>
    <w:rsid w:val="00C84E39"/>
    <w:rsid w:val="00C9069D"/>
    <w:rsid w:val="00C90F9D"/>
    <w:rsid w:val="00C91166"/>
    <w:rsid w:val="00C9423D"/>
    <w:rsid w:val="00C94627"/>
    <w:rsid w:val="00C9524D"/>
    <w:rsid w:val="00C96126"/>
    <w:rsid w:val="00C971DB"/>
    <w:rsid w:val="00C972F6"/>
    <w:rsid w:val="00CA3911"/>
    <w:rsid w:val="00CA3E89"/>
    <w:rsid w:val="00CA51F9"/>
    <w:rsid w:val="00CA6529"/>
    <w:rsid w:val="00CA755F"/>
    <w:rsid w:val="00CA7E70"/>
    <w:rsid w:val="00CB01BB"/>
    <w:rsid w:val="00CB1200"/>
    <w:rsid w:val="00CB1B0E"/>
    <w:rsid w:val="00CB1EAE"/>
    <w:rsid w:val="00CB1F36"/>
    <w:rsid w:val="00CB2D16"/>
    <w:rsid w:val="00CB307C"/>
    <w:rsid w:val="00CB3728"/>
    <w:rsid w:val="00CB44F7"/>
    <w:rsid w:val="00CC1798"/>
    <w:rsid w:val="00CC1D3A"/>
    <w:rsid w:val="00CC3C07"/>
    <w:rsid w:val="00CC4CC5"/>
    <w:rsid w:val="00CC585D"/>
    <w:rsid w:val="00CC6C3B"/>
    <w:rsid w:val="00CC75E7"/>
    <w:rsid w:val="00CD54FD"/>
    <w:rsid w:val="00CD6236"/>
    <w:rsid w:val="00CD6BD1"/>
    <w:rsid w:val="00CD7679"/>
    <w:rsid w:val="00CE26F4"/>
    <w:rsid w:val="00CE2B0F"/>
    <w:rsid w:val="00CE46BF"/>
    <w:rsid w:val="00CE49D5"/>
    <w:rsid w:val="00CE680C"/>
    <w:rsid w:val="00CF2CC2"/>
    <w:rsid w:val="00CF4DEA"/>
    <w:rsid w:val="00CF7A86"/>
    <w:rsid w:val="00CF7C3B"/>
    <w:rsid w:val="00CF7D4C"/>
    <w:rsid w:val="00D01E7B"/>
    <w:rsid w:val="00D03110"/>
    <w:rsid w:val="00D06F99"/>
    <w:rsid w:val="00D0740E"/>
    <w:rsid w:val="00D07550"/>
    <w:rsid w:val="00D07D96"/>
    <w:rsid w:val="00D134C7"/>
    <w:rsid w:val="00D13950"/>
    <w:rsid w:val="00D15A0A"/>
    <w:rsid w:val="00D16610"/>
    <w:rsid w:val="00D1699A"/>
    <w:rsid w:val="00D16D9A"/>
    <w:rsid w:val="00D16FFE"/>
    <w:rsid w:val="00D2261D"/>
    <w:rsid w:val="00D23B0B"/>
    <w:rsid w:val="00D254DC"/>
    <w:rsid w:val="00D2693D"/>
    <w:rsid w:val="00D26DE9"/>
    <w:rsid w:val="00D27677"/>
    <w:rsid w:val="00D30383"/>
    <w:rsid w:val="00D31B6A"/>
    <w:rsid w:val="00D32C26"/>
    <w:rsid w:val="00D3302D"/>
    <w:rsid w:val="00D36825"/>
    <w:rsid w:val="00D36B3D"/>
    <w:rsid w:val="00D40D4E"/>
    <w:rsid w:val="00D44572"/>
    <w:rsid w:val="00D44A81"/>
    <w:rsid w:val="00D453B7"/>
    <w:rsid w:val="00D46314"/>
    <w:rsid w:val="00D51930"/>
    <w:rsid w:val="00D53C7B"/>
    <w:rsid w:val="00D53E28"/>
    <w:rsid w:val="00D56FEE"/>
    <w:rsid w:val="00D578BE"/>
    <w:rsid w:val="00D57F89"/>
    <w:rsid w:val="00D70D90"/>
    <w:rsid w:val="00D72E20"/>
    <w:rsid w:val="00D7504C"/>
    <w:rsid w:val="00D754BC"/>
    <w:rsid w:val="00D7560E"/>
    <w:rsid w:val="00D76996"/>
    <w:rsid w:val="00D76A8F"/>
    <w:rsid w:val="00D80CC9"/>
    <w:rsid w:val="00D82DDF"/>
    <w:rsid w:val="00D844D0"/>
    <w:rsid w:val="00D84E65"/>
    <w:rsid w:val="00D85BCE"/>
    <w:rsid w:val="00D87089"/>
    <w:rsid w:val="00D90018"/>
    <w:rsid w:val="00D92B1F"/>
    <w:rsid w:val="00D938FF"/>
    <w:rsid w:val="00D967BB"/>
    <w:rsid w:val="00D9790F"/>
    <w:rsid w:val="00DA0C4C"/>
    <w:rsid w:val="00DA0C83"/>
    <w:rsid w:val="00DA3150"/>
    <w:rsid w:val="00DA3E19"/>
    <w:rsid w:val="00DA52C8"/>
    <w:rsid w:val="00DA54CD"/>
    <w:rsid w:val="00DA6933"/>
    <w:rsid w:val="00DA6F14"/>
    <w:rsid w:val="00DA796A"/>
    <w:rsid w:val="00DB106F"/>
    <w:rsid w:val="00DB1B6D"/>
    <w:rsid w:val="00DB35BF"/>
    <w:rsid w:val="00DB3ACC"/>
    <w:rsid w:val="00DB51F8"/>
    <w:rsid w:val="00DB58F6"/>
    <w:rsid w:val="00DB609D"/>
    <w:rsid w:val="00DB7CDB"/>
    <w:rsid w:val="00DC1A7B"/>
    <w:rsid w:val="00DC1D7F"/>
    <w:rsid w:val="00DC338B"/>
    <w:rsid w:val="00DC68FC"/>
    <w:rsid w:val="00DC6C74"/>
    <w:rsid w:val="00DD1E3D"/>
    <w:rsid w:val="00DD2196"/>
    <w:rsid w:val="00DD7E1B"/>
    <w:rsid w:val="00DE3281"/>
    <w:rsid w:val="00DE4589"/>
    <w:rsid w:val="00DE593F"/>
    <w:rsid w:val="00DE5ECF"/>
    <w:rsid w:val="00DE60DB"/>
    <w:rsid w:val="00DF002E"/>
    <w:rsid w:val="00DF0062"/>
    <w:rsid w:val="00DF0BE1"/>
    <w:rsid w:val="00DF1058"/>
    <w:rsid w:val="00DF1C10"/>
    <w:rsid w:val="00DF2C02"/>
    <w:rsid w:val="00DF45FA"/>
    <w:rsid w:val="00DF4726"/>
    <w:rsid w:val="00E00B6A"/>
    <w:rsid w:val="00E03F76"/>
    <w:rsid w:val="00E07719"/>
    <w:rsid w:val="00E1005C"/>
    <w:rsid w:val="00E10230"/>
    <w:rsid w:val="00E1184C"/>
    <w:rsid w:val="00E13C03"/>
    <w:rsid w:val="00E143B5"/>
    <w:rsid w:val="00E144EE"/>
    <w:rsid w:val="00E14EB6"/>
    <w:rsid w:val="00E17290"/>
    <w:rsid w:val="00E17F3D"/>
    <w:rsid w:val="00E237DF"/>
    <w:rsid w:val="00E23A84"/>
    <w:rsid w:val="00E25052"/>
    <w:rsid w:val="00E26D44"/>
    <w:rsid w:val="00E27610"/>
    <w:rsid w:val="00E301CC"/>
    <w:rsid w:val="00E3172D"/>
    <w:rsid w:val="00E32BA4"/>
    <w:rsid w:val="00E34606"/>
    <w:rsid w:val="00E40062"/>
    <w:rsid w:val="00E40BDD"/>
    <w:rsid w:val="00E41691"/>
    <w:rsid w:val="00E41F75"/>
    <w:rsid w:val="00E4210A"/>
    <w:rsid w:val="00E423A7"/>
    <w:rsid w:val="00E42637"/>
    <w:rsid w:val="00E4576F"/>
    <w:rsid w:val="00E4590A"/>
    <w:rsid w:val="00E463DD"/>
    <w:rsid w:val="00E4655A"/>
    <w:rsid w:val="00E54099"/>
    <w:rsid w:val="00E546F5"/>
    <w:rsid w:val="00E55875"/>
    <w:rsid w:val="00E55E44"/>
    <w:rsid w:val="00E571F9"/>
    <w:rsid w:val="00E57A9E"/>
    <w:rsid w:val="00E636DD"/>
    <w:rsid w:val="00E63B0C"/>
    <w:rsid w:val="00E63BDB"/>
    <w:rsid w:val="00E65244"/>
    <w:rsid w:val="00E663CC"/>
    <w:rsid w:val="00E67A6A"/>
    <w:rsid w:val="00E71687"/>
    <w:rsid w:val="00E71914"/>
    <w:rsid w:val="00E7247D"/>
    <w:rsid w:val="00E72BF7"/>
    <w:rsid w:val="00E75CFE"/>
    <w:rsid w:val="00E81370"/>
    <w:rsid w:val="00E8139E"/>
    <w:rsid w:val="00E81DCC"/>
    <w:rsid w:val="00E8224C"/>
    <w:rsid w:val="00E8270F"/>
    <w:rsid w:val="00E85A6B"/>
    <w:rsid w:val="00E8788C"/>
    <w:rsid w:val="00E9326D"/>
    <w:rsid w:val="00E94244"/>
    <w:rsid w:val="00E9521A"/>
    <w:rsid w:val="00E95328"/>
    <w:rsid w:val="00E975BD"/>
    <w:rsid w:val="00E97D60"/>
    <w:rsid w:val="00EA0BA6"/>
    <w:rsid w:val="00EA6989"/>
    <w:rsid w:val="00EB0251"/>
    <w:rsid w:val="00EB1F61"/>
    <w:rsid w:val="00EB22A7"/>
    <w:rsid w:val="00EB2532"/>
    <w:rsid w:val="00EB394E"/>
    <w:rsid w:val="00EB4D92"/>
    <w:rsid w:val="00EB56D5"/>
    <w:rsid w:val="00EB5BCD"/>
    <w:rsid w:val="00EB7098"/>
    <w:rsid w:val="00EC141F"/>
    <w:rsid w:val="00EC18AC"/>
    <w:rsid w:val="00EC1DDD"/>
    <w:rsid w:val="00EC6EDB"/>
    <w:rsid w:val="00EC7D75"/>
    <w:rsid w:val="00ED031B"/>
    <w:rsid w:val="00ED1E01"/>
    <w:rsid w:val="00ED228A"/>
    <w:rsid w:val="00ED4845"/>
    <w:rsid w:val="00EE017D"/>
    <w:rsid w:val="00EE1349"/>
    <w:rsid w:val="00EE17B9"/>
    <w:rsid w:val="00EE2932"/>
    <w:rsid w:val="00EE3620"/>
    <w:rsid w:val="00EE63D6"/>
    <w:rsid w:val="00EE63D8"/>
    <w:rsid w:val="00EE6627"/>
    <w:rsid w:val="00EF091A"/>
    <w:rsid w:val="00EF1C32"/>
    <w:rsid w:val="00EF3D6B"/>
    <w:rsid w:val="00EF456C"/>
    <w:rsid w:val="00EF4B30"/>
    <w:rsid w:val="00EF4E9F"/>
    <w:rsid w:val="00EF6073"/>
    <w:rsid w:val="00EF6222"/>
    <w:rsid w:val="00F01072"/>
    <w:rsid w:val="00F02B05"/>
    <w:rsid w:val="00F04017"/>
    <w:rsid w:val="00F0418C"/>
    <w:rsid w:val="00F05982"/>
    <w:rsid w:val="00F05FB1"/>
    <w:rsid w:val="00F06C3B"/>
    <w:rsid w:val="00F07B9E"/>
    <w:rsid w:val="00F07F3F"/>
    <w:rsid w:val="00F11CA4"/>
    <w:rsid w:val="00F12B1E"/>
    <w:rsid w:val="00F1344C"/>
    <w:rsid w:val="00F13540"/>
    <w:rsid w:val="00F136E2"/>
    <w:rsid w:val="00F13CAF"/>
    <w:rsid w:val="00F15007"/>
    <w:rsid w:val="00F152CD"/>
    <w:rsid w:val="00F15C71"/>
    <w:rsid w:val="00F16744"/>
    <w:rsid w:val="00F17C7A"/>
    <w:rsid w:val="00F20748"/>
    <w:rsid w:val="00F22450"/>
    <w:rsid w:val="00F22BA8"/>
    <w:rsid w:val="00F23372"/>
    <w:rsid w:val="00F2411D"/>
    <w:rsid w:val="00F273C7"/>
    <w:rsid w:val="00F30547"/>
    <w:rsid w:val="00F307F4"/>
    <w:rsid w:val="00F324FF"/>
    <w:rsid w:val="00F32CBC"/>
    <w:rsid w:val="00F32E79"/>
    <w:rsid w:val="00F34959"/>
    <w:rsid w:val="00F34E40"/>
    <w:rsid w:val="00F35A06"/>
    <w:rsid w:val="00F36CFA"/>
    <w:rsid w:val="00F37E17"/>
    <w:rsid w:val="00F40BAA"/>
    <w:rsid w:val="00F415F8"/>
    <w:rsid w:val="00F41E38"/>
    <w:rsid w:val="00F42C40"/>
    <w:rsid w:val="00F43A38"/>
    <w:rsid w:val="00F448E9"/>
    <w:rsid w:val="00F522C8"/>
    <w:rsid w:val="00F55F2C"/>
    <w:rsid w:val="00F57A72"/>
    <w:rsid w:val="00F600D8"/>
    <w:rsid w:val="00F6185F"/>
    <w:rsid w:val="00F619AA"/>
    <w:rsid w:val="00F62503"/>
    <w:rsid w:val="00F62892"/>
    <w:rsid w:val="00F62EA1"/>
    <w:rsid w:val="00F64AF9"/>
    <w:rsid w:val="00F65B0C"/>
    <w:rsid w:val="00F6765B"/>
    <w:rsid w:val="00F67B42"/>
    <w:rsid w:val="00F67BFF"/>
    <w:rsid w:val="00F71718"/>
    <w:rsid w:val="00F73AFB"/>
    <w:rsid w:val="00F7433A"/>
    <w:rsid w:val="00F7562F"/>
    <w:rsid w:val="00F75A72"/>
    <w:rsid w:val="00F77F82"/>
    <w:rsid w:val="00F77FCA"/>
    <w:rsid w:val="00F813AD"/>
    <w:rsid w:val="00F820A7"/>
    <w:rsid w:val="00F82BBE"/>
    <w:rsid w:val="00F8321D"/>
    <w:rsid w:val="00F83E06"/>
    <w:rsid w:val="00F8654E"/>
    <w:rsid w:val="00F8669B"/>
    <w:rsid w:val="00F8687F"/>
    <w:rsid w:val="00F91DD1"/>
    <w:rsid w:val="00F939B8"/>
    <w:rsid w:val="00F943A1"/>
    <w:rsid w:val="00F949EA"/>
    <w:rsid w:val="00F952ED"/>
    <w:rsid w:val="00F95758"/>
    <w:rsid w:val="00F97C16"/>
    <w:rsid w:val="00F97EE8"/>
    <w:rsid w:val="00FA6780"/>
    <w:rsid w:val="00FB25F9"/>
    <w:rsid w:val="00FB5718"/>
    <w:rsid w:val="00FB5927"/>
    <w:rsid w:val="00FB62E8"/>
    <w:rsid w:val="00FB6756"/>
    <w:rsid w:val="00FC184A"/>
    <w:rsid w:val="00FC432D"/>
    <w:rsid w:val="00FC5F04"/>
    <w:rsid w:val="00FC75CA"/>
    <w:rsid w:val="00FC786A"/>
    <w:rsid w:val="00FD12E0"/>
    <w:rsid w:val="00FD2327"/>
    <w:rsid w:val="00FD3494"/>
    <w:rsid w:val="00FD4355"/>
    <w:rsid w:val="00FD4B44"/>
    <w:rsid w:val="00FD6C59"/>
    <w:rsid w:val="00FD7BDC"/>
    <w:rsid w:val="00FE0160"/>
    <w:rsid w:val="00FE13D1"/>
    <w:rsid w:val="00FE16BF"/>
    <w:rsid w:val="00FE1FC2"/>
    <w:rsid w:val="00FE409F"/>
    <w:rsid w:val="00FE4ADB"/>
    <w:rsid w:val="00FE50D2"/>
    <w:rsid w:val="00FE5840"/>
    <w:rsid w:val="00FF4688"/>
    <w:rsid w:val="00FF56E6"/>
    <w:rsid w:val="00FF5E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351A"/>
  <w15:docId w15:val="{161D9325-0258-4DE0-821C-12B7BA33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F9"/>
  </w:style>
  <w:style w:type="paragraph" w:styleId="Heading2">
    <w:name w:val="heading 2"/>
    <w:basedOn w:val="Normal"/>
    <w:link w:val="Heading2Char"/>
    <w:uiPriority w:val="9"/>
    <w:qFormat/>
    <w:rsid w:val="008C53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81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003B"/>
    <w:rPr>
      <w:sz w:val="16"/>
      <w:szCs w:val="16"/>
    </w:rPr>
  </w:style>
  <w:style w:type="paragraph" w:styleId="CommentText">
    <w:name w:val="annotation text"/>
    <w:basedOn w:val="Normal"/>
    <w:link w:val="CommentTextChar"/>
    <w:uiPriority w:val="99"/>
    <w:unhideWhenUsed/>
    <w:rsid w:val="0016003B"/>
    <w:pPr>
      <w:spacing w:after="200" w:line="240" w:lineRule="auto"/>
    </w:pPr>
    <w:rPr>
      <w:sz w:val="20"/>
      <w:szCs w:val="20"/>
    </w:rPr>
  </w:style>
  <w:style w:type="character" w:customStyle="1" w:styleId="CommentTextChar">
    <w:name w:val="Comment Text Char"/>
    <w:basedOn w:val="DefaultParagraphFont"/>
    <w:link w:val="CommentText"/>
    <w:uiPriority w:val="99"/>
    <w:rsid w:val="0016003B"/>
    <w:rPr>
      <w:sz w:val="20"/>
      <w:szCs w:val="20"/>
    </w:rPr>
  </w:style>
  <w:style w:type="paragraph" w:styleId="BalloonText">
    <w:name w:val="Balloon Text"/>
    <w:basedOn w:val="Normal"/>
    <w:link w:val="BalloonTextChar"/>
    <w:uiPriority w:val="99"/>
    <w:semiHidden/>
    <w:unhideWhenUsed/>
    <w:rsid w:val="0016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03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7F3D"/>
    <w:pPr>
      <w:spacing w:after="160"/>
    </w:pPr>
    <w:rPr>
      <w:b/>
      <w:bCs/>
    </w:rPr>
  </w:style>
  <w:style w:type="character" w:customStyle="1" w:styleId="CommentSubjectChar">
    <w:name w:val="Comment Subject Char"/>
    <w:basedOn w:val="CommentTextChar"/>
    <w:link w:val="CommentSubject"/>
    <w:uiPriority w:val="99"/>
    <w:semiHidden/>
    <w:rsid w:val="00E17F3D"/>
    <w:rPr>
      <w:b/>
      <w:bCs/>
      <w:sz w:val="20"/>
      <w:szCs w:val="20"/>
    </w:rPr>
  </w:style>
  <w:style w:type="table" w:styleId="TableGrid">
    <w:name w:val="Table Grid"/>
    <w:basedOn w:val="TableNormal"/>
    <w:uiPriority w:val="39"/>
    <w:rsid w:val="0028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BE1"/>
    <w:rPr>
      <w:color w:val="0000FF"/>
      <w:u w:val="single"/>
    </w:rPr>
  </w:style>
  <w:style w:type="character" w:styleId="FollowedHyperlink">
    <w:name w:val="FollowedHyperlink"/>
    <w:basedOn w:val="DefaultParagraphFont"/>
    <w:uiPriority w:val="99"/>
    <w:semiHidden/>
    <w:unhideWhenUsed/>
    <w:rsid w:val="00187BEF"/>
    <w:rPr>
      <w:color w:val="954F72" w:themeColor="followedHyperlink"/>
      <w:u w:val="single"/>
    </w:rPr>
  </w:style>
  <w:style w:type="paragraph" w:styleId="Revision">
    <w:name w:val="Revision"/>
    <w:hidden/>
    <w:uiPriority w:val="99"/>
    <w:semiHidden/>
    <w:rsid w:val="006A1C95"/>
    <w:pPr>
      <w:spacing w:after="0" w:line="240" w:lineRule="auto"/>
    </w:pPr>
  </w:style>
  <w:style w:type="paragraph" w:styleId="ListParagraph">
    <w:name w:val="List Paragraph"/>
    <w:basedOn w:val="Normal"/>
    <w:uiPriority w:val="34"/>
    <w:qFormat/>
    <w:rsid w:val="00B563F6"/>
    <w:pPr>
      <w:ind w:left="720"/>
      <w:contextualSpacing/>
    </w:pPr>
  </w:style>
  <w:style w:type="character" w:customStyle="1" w:styleId="pubyear">
    <w:name w:val="pubyear"/>
    <w:basedOn w:val="DefaultParagraphFont"/>
    <w:rsid w:val="00425E64"/>
  </w:style>
  <w:style w:type="character" w:customStyle="1" w:styleId="booktitle">
    <w:name w:val="booktitle"/>
    <w:basedOn w:val="DefaultParagraphFont"/>
    <w:rsid w:val="00425E64"/>
  </w:style>
  <w:style w:type="character" w:customStyle="1" w:styleId="Heading2Char">
    <w:name w:val="Heading 2 Char"/>
    <w:basedOn w:val="DefaultParagraphFont"/>
    <w:link w:val="Heading2"/>
    <w:uiPriority w:val="9"/>
    <w:rsid w:val="008C536C"/>
    <w:rPr>
      <w:rFonts w:ascii="Times New Roman" w:eastAsia="Times New Roman" w:hAnsi="Times New Roman" w:cs="Times New Roman"/>
      <w:b/>
      <w:bCs/>
      <w:sz w:val="36"/>
      <w:szCs w:val="36"/>
      <w:lang w:eastAsia="en-GB"/>
    </w:rPr>
  </w:style>
  <w:style w:type="paragraph" w:customStyle="1" w:styleId="EndNoteBibliographyTitle">
    <w:name w:val="EndNote Bibliography Title"/>
    <w:basedOn w:val="Normal"/>
    <w:link w:val="EndNoteBibliographyTitleChar"/>
    <w:rsid w:val="00C308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086F"/>
    <w:rPr>
      <w:rFonts w:ascii="Calibri" w:hAnsi="Calibri" w:cs="Calibri"/>
      <w:noProof/>
      <w:lang w:val="en-US"/>
    </w:rPr>
  </w:style>
  <w:style w:type="paragraph" w:customStyle="1" w:styleId="EndNoteBibliography">
    <w:name w:val="EndNote Bibliography"/>
    <w:basedOn w:val="Normal"/>
    <w:link w:val="EndNoteBibliographyChar"/>
    <w:rsid w:val="00C308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086F"/>
    <w:rPr>
      <w:rFonts w:ascii="Calibri" w:hAnsi="Calibri" w:cs="Calibri"/>
      <w:noProof/>
      <w:lang w:val="en-US"/>
    </w:rPr>
  </w:style>
  <w:style w:type="character" w:customStyle="1" w:styleId="Heading3Char">
    <w:name w:val="Heading 3 Char"/>
    <w:basedOn w:val="DefaultParagraphFont"/>
    <w:link w:val="Heading3"/>
    <w:uiPriority w:val="9"/>
    <w:semiHidden/>
    <w:rsid w:val="00081FB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C4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E8"/>
  </w:style>
  <w:style w:type="paragraph" w:styleId="Footer">
    <w:name w:val="footer"/>
    <w:basedOn w:val="Normal"/>
    <w:link w:val="FooterChar"/>
    <w:uiPriority w:val="99"/>
    <w:unhideWhenUsed/>
    <w:rsid w:val="00BC4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E8"/>
  </w:style>
  <w:style w:type="character" w:customStyle="1" w:styleId="UnresolvedMention1">
    <w:name w:val="Unresolved Mention1"/>
    <w:basedOn w:val="DefaultParagraphFont"/>
    <w:uiPriority w:val="99"/>
    <w:semiHidden/>
    <w:unhideWhenUsed/>
    <w:rsid w:val="003D5727"/>
    <w:rPr>
      <w:color w:val="605E5C"/>
      <w:shd w:val="clear" w:color="auto" w:fill="E1DFDD"/>
    </w:rPr>
  </w:style>
  <w:style w:type="character" w:customStyle="1" w:styleId="UnresolvedMention">
    <w:name w:val="Unresolved Mention"/>
    <w:basedOn w:val="DefaultParagraphFont"/>
    <w:uiPriority w:val="99"/>
    <w:semiHidden/>
    <w:unhideWhenUsed/>
    <w:rsid w:val="001D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895">
      <w:bodyDiv w:val="1"/>
      <w:marLeft w:val="0"/>
      <w:marRight w:val="0"/>
      <w:marTop w:val="0"/>
      <w:marBottom w:val="0"/>
      <w:divBdr>
        <w:top w:val="none" w:sz="0" w:space="0" w:color="auto"/>
        <w:left w:val="none" w:sz="0" w:space="0" w:color="auto"/>
        <w:bottom w:val="none" w:sz="0" w:space="0" w:color="auto"/>
        <w:right w:val="none" w:sz="0" w:space="0" w:color="auto"/>
      </w:divBdr>
    </w:div>
    <w:div w:id="311448080">
      <w:bodyDiv w:val="1"/>
      <w:marLeft w:val="0"/>
      <w:marRight w:val="0"/>
      <w:marTop w:val="0"/>
      <w:marBottom w:val="0"/>
      <w:divBdr>
        <w:top w:val="none" w:sz="0" w:space="0" w:color="auto"/>
        <w:left w:val="none" w:sz="0" w:space="0" w:color="auto"/>
        <w:bottom w:val="none" w:sz="0" w:space="0" w:color="auto"/>
        <w:right w:val="none" w:sz="0" w:space="0" w:color="auto"/>
      </w:divBdr>
    </w:div>
    <w:div w:id="461845088">
      <w:bodyDiv w:val="1"/>
      <w:marLeft w:val="0"/>
      <w:marRight w:val="0"/>
      <w:marTop w:val="0"/>
      <w:marBottom w:val="0"/>
      <w:divBdr>
        <w:top w:val="none" w:sz="0" w:space="0" w:color="auto"/>
        <w:left w:val="none" w:sz="0" w:space="0" w:color="auto"/>
        <w:bottom w:val="none" w:sz="0" w:space="0" w:color="auto"/>
        <w:right w:val="none" w:sz="0" w:space="0" w:color="auto"/>
      </w:divBdr>
    </w:div>
    <w:div w:id="546070452">
      <w:bodyDiv w:val="1"/>
      <w:marLeft w:val="0"/>
      <w:marRight w:val="0"/>
      <w:marTop w:val="0"/>
      <w:marBottom w:val="0"/>
      <w:divBdr>
        <w:top w:val="none" w:sz="0" w:space="0" w:color="auto"/>
        <w:left w:val="none" w:sz="0" w:space="0" w:color="auto"/>
        <w:bottom w:val="none" w:sz="0" w:space="0" w:color="auto"/>
        <w:right w:val="none" w:sz="0" w:space="0" w:color="auto"/>
      </w:divBdr>
    </w:div>
    <w:div w:id="596911241">
      <w:bodyDiv w:val="1"/>
      <w:marLeft w:val="0"/>
      <w:marRight w:val="0"/>
      <w:marTop w:val="0"/>
      <w:marBottom w:val="0"/>
      <w:divBdr>
        <w:top w:val="none" w:sz="0" w:space="0" w:color="auto"/>
        <w:left w:val="none" w:sz="0" w:space="0" w:color="auto"/>
        <w:bottom w:val="none" w:sz="0" w:space="0" w:color="auto"/>
        <w:right w:val="none" w:sz="0" w:space="0" w:color="auto"/>
      </w:divBdr>
    </w:div>
    <w:div w:id="710348850">
      <w:bodyDiv w:val="1"/>
      <w:marLeft w:val="0"/>
      <w:marRight w:val="0"/>
      <w:marTop w:val="0"/>
      <w:marBottom w:val="0"/>
      <w:divBdr>
        <w:top w:val="none" w:sz="0" w:space="0" w:color="auto"/>
        <w:left w:val="none" w:sz="0" w:space="0" w:color="auto"/>
        <w:bottom w:val="none" w:sz="0" w:space="0" w:color="auto"/>
        <w:right w:val="none" w:sz="0" w:space="0" w:color="auto"/>
      </w:divBdr>
    </w:div>
    <w:div w:id="847870142">
      <w:bodyDiv w:val="1"/>
      <w:marLeft w:val="0"/>
      <w:marRight w:val="0"/>
      <w:marTop w:val="0"/>
      <w:marBottom w:val="0"/>
      <w:divBdr>
        <w:top w:val="none" w:sz="0" w:space="0" w:color="auto"/>
        <w:left w:val="none" w:sz="0" w:space="0" w:color="auto"/>
        <w:bottom w:val="none" w:sz="0" w:space="0" w:color="auto"/>
        <w:right w:val="none" w:sz="0" w:space="0" w:color="auto"/>
      </w:divBdr>
    </w:div>
    <w:div w:id="1438326948">
      <w:bodyDiv w:val="1"/>
      <w:marLeft w:val="0"/>
      <w:marRight w:val="0"/>
      <w:marTop w:val="0"/>
      <w:marBottom w:val="0"/>
      <w:divBdr>
        <w:top w:val="none" w:sz="0" w:space="0" w:color="auto"/>
        <w:left w:val="none" w:sz="0" w:space="0" w:color="auto"/>
        <w:bottom w:val="none" w:sz="0" w:space="0" w:color="auto"/>
        <w:right w:val="none" w:sz="0" w:space="0" w:color="auto"/>
      </w:divBdr>
    </w:div>
    <w:div w:id="1563328304">
      <w:bodyDiv w:val="1"/>
      <w:marLeft w:val="0"/>
      <w:marRight w:val="0"/>
      <w:marTop w:val="0"/>
      <w:marBottom w:val="0"/>
      <w:divBdr>
        <w:top w:val="none" w:sz="0" w:space="0" w:color="auto"/>
        <w:left w:val="none" w:sz="0" w:space="0" w:color="auto"/>
        <w:bottom w:val="none" w:sz="0" w:space="0" w:color="auto"/>
        <w:right w:val="none" w:sz="0" w:space="0" w:color="auto"/>
      </w:divBdr>
    </w:div>
    <w:div w:id="1953783626">
      <w:bodyDiv w:val="1"/>
      <w:marLeft w:val="0"/>
      <w:marRight w:val="0"/>
      <w:marTop w:val="0"/>
      <w:marBottom w:val="0"/>
      <w:divBdr>
        <w:top w:val="none" w:sz="0" w:space="0" w:color="auto"/>
        <w:left w:val="none" w:sz="0" w:space="0" w:color="auto"/>
        <w:bottom w:val="none" w:sz="0" w:space="0" w:color="auto"/>
        <w:right w:val="none" w:sz="0" w:space="0" w:color="auto"/>
      </w:divBdr>
    </w:div>
    <w:div w:id="2002846976">
      <w:bodyDiv w:val="1"/>
      <w:marLeft w:val="0"/>
      <w:marRight w:val="0"/>
      <w:marTop w:val="0"/>
      <w:marBottom w:val="0"/>
      <w:divBdr>
        <w:top w:val="none" w:sz="0" w:space="0" w:color="auto"/>
        <w:left w:val="none" w:sz="0" w:space="0" w:color="auto"/>
        <w:bottom w:val="none" w:sz="0" w:space="0" w:color="auto"/>
        <w:right w:val="none" w:sz="0" w:space="0" w:color="auto"/>
      </w:divBdr>
    </w:div>
    <w:div w:id="2074110395">
      <w:bodyDiv w:val="1"/>
      <w:marLeft w:val="0"/>
      <w:marRight w:val="0"/>
      <w:marTop w:val="0"/>
      <w:marBottom w:val="0"/>
      <w:divBdr>
        <w:top w:val="none" w:sz="0" w:space="0" w:color="auto"/>
        <w:left w:val="none" w:sz="0" w:space="0" w:color="auto"/>
        <w:bottom w:val="none" w:sz="0" w:space="0" w:color="auto"/>
        <w:right w:val="none" w:sz="0" w:space="0" w:color="auto"/>
      </w:divBdr>
    </w:div>
    <w:div w:id="21207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j.robson@k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sct.co.uk/usr/pub/Smoking%20cessation%20and%20smokefree%20policies%20-%20Good%20practice%20for%20mental%20health%20services.pdf" TargetMode="External"/><Relationship Id="rId4" Type="http://schemas.openxmlformats.org/officeDocument/2006/relationships/settings" Target="settings.xml"/><Relationship Id="rId9" Type="http://schemas.openxmlformats.org/officeDocument/2006/relationships/hyperlink" Target="http://www.nhsbsa.nhs.uk/364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7E5B-DFE6-4EE5-84C9-8E3CEC59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6963</Words>
  <Characters>39690</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Spaducci, Gilda</dc:creator>
  <cp:lastModifiedBy>Stewart, D.</cp:lastModifiedBy>
  <cp:revision>2</cp:revision>
  <cp:lastPrinted>2019-08-09T10:19:00Z</cp:lastPrinted>
  <dcterms:created xsi:type="dcterms:W3CDTF">2019-08-29T15:05:00Z</dcterms:created>
  <dcterms:modified xsi:type="dcterms:W3CDTF">2019-08-29T15:05:00Z</dcterms:modified>
</cp:coreProperties>
</file>