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C520B" w14:textId="77777777" w:rsidR="001A6F9A" w:rsidRPr="009D48E1" w:rsidRDefault="001A6F9A" w:rsidP="00852993">
      <w:pPr>
        <w:spacing w:line="480" w:lineRule="auto"/>
        <w:jc w:val="center"/>
      </w:pPr>
    </w:p>
    <w:p w14:paraId="393430E2" w14:textId="77777777" w:rsidR="00852993" w:rsidRPr="009D48E1" w:rsidRDefault="00852993" w:rsidP="00852993">
      <w:pPr>
        <w:spacing w:line="480" w:lineRule="auto"/>
        <w:jc w:val="center"/>
      </w:pPr>
    </w:p>
    <w:p w14:paraId="2244337B" w14:textId="4D091CBA" w:rsidR="00852993" w:rsidRPr="00664BC8" w:rsidRDefault="00CD2C95" w:rsidP="00852993">
      <w:pPr>
        <w:spacing w:line="480" w:lineRule="auto"/>
        <w:jc w:val="center"/>
      </w:pPr>
      <w:r>
        <w:t>Does telephone testing</w:t>
      </w:r>
      <w:r w:rsidR="00825D9C">
        <w:t xml:space="preserve"> of long-term memory retention and forgetting</w:t>
      </w:r>
      <w:r>
        <w:t xml:space="preserve"> </w:t>
      </w:r>
      <w:r w:rsidR="007D4320">
        <w:t xml:space="preserve">influence </w:t>
      </w:r>
      <w:r>
        <w:t>performance in young and older adults?</w:t>
      </w:r>
      <w:r w:rsidR="00825D9C">
        <w:t xml:space="preserve"> An examination using the Crimes Test.</w:t>
      </w:r>
    </w:p>
    <w:p w14:paraId="66FF8942" w14:textId="77777777" w:rsidR="00852993" w:rsidRDefault="00852993" w:rsidP="00852993">
      <w:pPr>
        <w:spacing w:line="480" w:lineRule="auto"/>
        <w:jc w:val="center"/>
      </w:pPr>
    </w:p>
    <w:p w14:paraId="31602616" w14:textId="30D3C24B" w:rsidR="00542466" w:rsidRDefault="00542466" w:rsidP="00852993">
      <w:pPr>
        <w:spacing w:line="480" w:lineRule="auto"/>
        <w:jc w:val="center"/>
      </w:pPr>
    </w:p>
    <w:p w14:paraId="46D176B6" w14:textId="6CC3F82F" w:rsidR="001A4BBB" w:rsidRDefault="001A4BBB" w:rsidP="00852993">
      <w:pPr>
        <w:spacing w:line="480" w:lineRule="auto"/>
        <w:jc w:val="center"/>
      </w:pPr>
    </w:p>
    <w:p w14:paraId="35151BA3" w14:textId="77777777" w:rsidR="001A4BBB" w:rsidRDefault="001A4BBB" w:rsidP="00852993">
      <w:pPr>
        <w:spacing w:line="480" w:lineRule="auto"/>
        <w:jc w:val="center"/>
      </w:pPr>
    </w:p>
    <w:p w14:paraId="30C0A351" w14:textId="77777777" w:rsidR="006B2F27" w:rsidRDefault="006B2F27" w:rsidP="006B2F27">
      <w:pPr>
        <w:spacing w:line="480" w:lineRule="auto"/>
        <w:jc w:val="center"/>
      </w:pPr>
      <w:r>
        <w:t>Richard J. Allen</w:t>
      </w:r>
      <w:r>
        <w:rPr>
          <w:vertAlign w:val="superscript"/>
        </w:rPr>
        <w:t>1</w:t>
      </w:r>
      <w:r>
        <w:t>, Stephen Kemp</w:t>
      </w:r>
      <w:r>
        <w:rPr>
          <w:vertAlign w:val="superscript"/>
        </w:rPr>
        <w:t>2</w:t>
      </w:r>
      <w:r>
        <w:t>, Suzannah Morson</w:t>
      </w:r>
      <w:r>
        <w:rPr>
          <w:vertAlign w:val="superscript"/>
        </w:rPr>
        <w:t>3</w:t>
      </w:r>
      <w:r>
        <w:t>, Christine Wells</w:t>
      </w:r>
      <w:r>
        <w:rPr>
          <w:vertAlign w:val="superscript"/>
        </w:rPr>
        <w:t>4</w:t>
      </w:r>
      <w:r>
        <w:t>, Katherine Sissons</w:t>
      </w:r>
      <w:r>
        <w:rPr>
          <w:vertAlign w:val="superscript"/>
        </w:rPr>
        <w:t>1</w:t>
      </w:r>
      <w:r>
        <w:t>, &amp; Alan D. Baddeley</w:t>
      </w:r>
      <w:r>
        <w:rPr>
          <w:vertAlign w:val="superscript"/>
        </w:rPr>
        <w:t>5</w:t>
      </w:r>
    </w:p>
    <w:p w14:paraId="694617B7" w14:textId="77777777" w:rsidR="006B2F27" w:rsidRDefault="006B2F27" w:rsidP="006B2F27">
      <w:pPr>
        <w:spacing w:line="480" w:lineRule="auto"/>
        <w:jc w:val="center"/>
      </w:pPr>
    </w:p>
    <w:p w14:paraId="4108B7A6" w14:textId="77777777" w:rsidR="006B2F27" w:rsidRDefault="006B2F27" w:rsidP="006B2F27">
      <w:pPr>
        <w:spacing w:line="480" w:lineRule="auto"/>
        <w:jc w:val="center"/>
      </w:pPr>
    </w:p>
    <w:p w14:paraId="067A31ED" w14:textId="77777777" w:rsidR="006B2F27" w:rsidRDefault="006B2F27" w:rsidP="006B2F27">
      <w:pPr>
        <w:spacing w:line="480" w:lineRule="auto"/>
        <w:jc w:val="center"/>
      </w:pPr>
      <w:r>
        <w:rPr>
          <w:vertAlign w:val="superscript"/>
        </w:rPr>
        <w:t>1</w:t>
      </w:r>
      <w:r>
        <w:t xml:space="preserve"> School of Psychology, University of Leeds</w:t>
      </w:r>
    </w:p>
    <w:p w14:paraId="18DA03AD" w14:textId="77777777" w:rsidR="006B2F27" w:rsidRDefault="006B2F27" w:rsidP="006B2F27">
      <w:pPr>
        <w:spacing w:line="480" w:lineRule="auto"/>
        <w:jc w:val="center"/>
      </w:pPr>
      <w:r>
        <w:rPr>
          <w:vertAlign w:val="superscript"/>
        </w:rPr>
        <w:t>2</w:t>
      </w:r>
      <w:r>
        <w:t xml:space="preserve"> St James’ University Hospital, Leeds</w:t>
      </w:r>
    </w:p>
    <w:p w14:paraId="7ECBCE9F" w14:textId="77777777" w:rsidR="006B2F27" w:rsidRDefault="006B2F27" w:rsidP="006B2F27">
      <w:pPr>
        <w:spacing w:line="480" w:lineRule="auto"/>
        <w:jc w:val="center"/>
      </w:pPr>
      <w:r>
        <w:rPr>
          <w:vertAlign w:val="superscript"/>
        </w:rPr>
        <w:t xml:space="preserve">3 </w:t>
      </w:r>
      <w:r>
        <w:t>School of Psychology, University of Aberdeen</w:t>
      </w:r>
    </w:p>
    <w:p w14:paraId="6BC2B49A" w14:textId="77777777" w:rsidR="006B2F27" w:rsidRDefault="006B2F27" w:rsidP="006B2F27">
      <w:pPr>
        <w:spacing w:line="480" w:lineRule="auto"/>
        <w:jc w:val="center"/>
      </w:pPr>
      <w:r>
        <w:rPr>
          <w:vertAlign w:val="superscript"/>
        </w:rPr>
        <w:t>4</w:t>
      </w:r>
      <w:r>
        <w:t xml:space="preserve"> Leeds Trinity</w:t>
      </w:r>
    </w:p>
    <w:p w14:paraId="2797681D" w14:textId="77777777" w:rsidR="006B2F27" w:rsidRPr="00664BC8" w:rsidRDefault="006B2F27" w:rsidP="006B2F27">
      <w:pPr>
        <w:spacing w:line="480" w:lineRule="auto"/>
        <w:jc w:val="center"/>
      </w:pPr>
      <w:r>
        <w:rPr>
          <w:vertAlign w:val="superscript"/>
        </w:rPr>
        <w:t>5</w:t>
      </w:r>
      <w:r>
        <w:t xml:space="preserve"> Department of Psychology, University of York</w:t>
      </w:r>
    </w:p>
    <w:p w14:paraId="5746A56A" w14:textId="77777777" w:rsidR="00C80BE4" w:rsidRDefault="00C80BE4"/>
    <w:p w14:paraId="01BB1F1F" w14:textId="77777777" w:rsidR="00C80BE4" w:rsidRDefault="00C80BE4"/>
    <w:p w14:paraId="02A5A9D4" w14:textId="05D1F9BC" w:rsidR="00C80BE4" w:rsidRDefault="00C80BE4"/>
    <w:p w14:paraId="636659A4" w14:textId="6889D931" w:rsidR="001A4BBB" w:rsidRDefault="001A4BBB"/>
    <w:p w14:paraId="0B5E2D3B" w14:textId="36F9F0A6" w:rsidR="001A4BBB" w:rsidRDefault="001A4BBB"/>
    <w:p w14:paraId="2D91DD55" w14:textId="77777777" w:rsidR="001A4BBB" w:rsidRDefault="001A4BBB"/>
    <w:p w14:paraId="116C7048" w14:textId="6AA61D33" w:rsidR="00852993" w:rsidRPr="009D48E1" w:rsidRDefault="00C80BE4">
      <w:r>
        <w:t xml:space="preserve">Correspondence should be addressed </w:t>
      </w:r>
      <w:proofErr w:type="gramStart"/>
      <w:r>
        <w:t>to:</w:t>
      </w:r>
      <w:proofErr w:type="gramEnd"/>
      <w:r>
        <w:t xml:space="preserve"> Dr Richard Allen, School of Psychology, University of Leeds, Leeds, UK. LS2 9JT. Email: r.allen@leeds.ac.uk</w:t>
      </w:r>
      <w:r w:rsidR="00852993" w:rsidRPr="009D48E1">
        <w:br w:type="page"/>
      </w:r>
    </w:p>
    <w:p w14:paraId="081C2ACA" w14:textId="77777777" w:rsidR="00852993" w:rsidRPr="009D48E1" w:rsidRDefault="00852993" w:rsidP="00852993">
      <w:pPr>
        <w:spacing w:line="480" w:lineRule="auto"/>
        <w:jc w:val="center"/>
      </w:pPr>
    </w:p>
    <w:p w14:paraId="6CBCE867" w14:textId="77777777" w:rsidR="007C76E6" w:rsidRPr="00494FF7" w:rsidRDefault="007C76E6" w:rsidP="007C76E6">
      <w:pPr>
        <w:spacing w:line="480" w:lineRule="auto"/>
        <w:jc w:val="center"/>
      </w:pPr>
      <w:r w:rsidRPr="00494FF7">
        <w:t>Abstract</w:t>
      </w:r>
    </w:p>
    <w:p w14:paraId="7E49D804" w14:textId="61C5A402" w:rsidR="007C76E6" w:rsidRDefault="009B2E51" w:rsidP="007C76E6">
      <w:pPr>
        <w:spacing w:line="480" w:lineRule="auto"/>
      </w:pPr>
      <w:r>
        <w:t>Measuring memory over long delays</w:t>
      </w:r>
      <w:r w:rsidR="00FA7EE7">
        <w:t xml:space="preserve"> requires </w:t>
      </w:r>
      <w:r w:rsidR="00724C50">
        <w:t xml:space="preserve">multiple sessions, often </w:t>
      </w:r>
      <w:r w:rsidR="007C76E6" w:rsidRPr="0046402A">
        <w:t>administ</w:t>
      </w:r>
      <w:r>
        <w:t>ered remotely</w:t>
      </w:r>
      <w:r w:rsidR="007C76E6" w:rsidRPr="0046402A">
        <w:t xml:space="preserve"> </w:t>
      </w:r>
      <w:r w:rsidR="0046402A">
        <w:t>(e.g. by</w:t>
      </w:r>
      <w:r w:rsidR="007C76E6" w:rsidRPr="0046402A">
        <w:t xml:space="preserve"> telephone</w:t>
      </w:r>
      <w:r w:rsidR="0046402A">
        <w:t>)</w:t>
      </w:r>
      <w:r w:rsidR="007C76E6" w:rsidRPr="0046402A">
        <w:t xml:space="preserve"> to m</w:t>
      </w:r>
      <w:r w:rsidR="00FA7EE7">
        <w:t>aximise</w:t>
      </w:r>
      <w:r w:rsidR="007C76E6" w:rsidRPr="0046402A">
        <w:t xml:space="preserve"> convenience and pa</w:t>
      </w:r>
      <w:r w:rsidR="00724C50">
        <w:t>rticipant</w:t>
      </w:r>
      <w:r w:rsidR="007C76E6" w:rsidRPr="0046402A">
        <w:t xml:space="preserve"> access. However, the efficacy of testing </w:t>
      </w:r>
      <w:r>
        <w:t xml:space="preserve">delayed </w:t>
      </w:r>
      <w:r w:rsidR="007C76E6" w:rsidRPr="0046402A">
        <w:t xml:space="preserve">memory via telephone has not previously been examined. </w:t>
      </w:r>
      <w:r>
        <w:t>We</w:t>
      </w:r>
      <w:r w:rsidR="007C76E6" w:rsidRPr="0046402A">
        <w:t xml:space="preserve"> administ</w:t>
      </w:r>
      <w:r w:rsidR="00FA7EE7">
        <w:t>ered</w:t>
      </w:r>
      <w:r w:rsidR="007C76E6" w:rsidRPr="0046402A">
        <w:t xml:space="preserve"> the Crimes Test to young and older adults, </w:t>
      </w:r>
      <w:r>
        <w:t>with</w:t>
      </w:r>
      <w:r w:rsidR="007C76E6" w:rsidRPr="0046402A">
        <w:t xml:space="preserve"> a one-week delay </w:t>
      </w:r>
      <w:r>
        <w:t xml:space="preserve">test </w:t>
      </w:r>
      <w:r w:rsidR="007C76E6" w:rsidRPr="0046402A">
        <w:t xml:space="preserve">either in person or over the telephone. </w:t>
      </w:r>
      <w:r>
        <w:t>T</w:t>
      </w:r>
      <w:r w:rsidR="00724C50">
        <w:t>esting via telephone</w:t>
      </w:r>
      <w:r>
        <w:t xml:space="preserve"> had no detrimental effect</w:t>
      </w:r>
      <w:r w:rsidR="00FA7EE7">
        <w:t>,</w:t>
      </w:r>
      <w:r w:rsidR="00724C50">
        <w:t xml:space="preserve"> indicat</w:t>
      </w:r>
      <w:r w:rsidR="00FA7EE7">
        <w:t>ing</w:t>
      </w:r>
      <w:r w:rsidR="00724C50">
        <w:t xml:space="preserve"> </w:t>
      </w:r>
      <w:r>
        <w:t>this</w:t>
      </w:r>
      <w:r w:rsidR="007C76E6" w:rsidRPr="0046402A">
        <w:t xml:space="preserve"> </w:t>
      </w:r>
      <w:r w:rsidR="00FA7EE7">
        <w:t>to be</w:t>
      </w:r>
      <w:r w:rsidR="007C76E6" w:rsidRPr="0046402A">
        <w:t xml:space="preserve"> an appropriate method of examining delayed episodic memory.</w:t>
      </w:r>
      <w:r w:rsidR="007C76E6">
        <w:t xml:space="preserve"> </w:t>
      </w:r>
    </w:p>
    <w:p w14:paraId="3CF27C84" w14:textId="77777777" w:rsidR="002A0566" w:rsidRDefault="002A0566" w:rsidP="00AC2693">
      <w:pPr>
        <w:spacing w:line="480" w:lineRule="auto"/>
      </w:pPr>
    </w:p>
    <w:p w14:paraId="6AC8BFE0" w14:textId="60D58E87" w:rsidR="00A0320B" w:rsidRDefault="002A0566" w:rsidP="00AC2693">
      <w:pPr>
        <w:spacing w:line="480" w:lineRule="auto"/>
      </w:pPr>
      <w:r>
        <w:t>Keywords: Telephone testing; Long-term forgetting; Episodic memory; Ag</w:t>
      </w:r>
      <w:r w:rsidR="009B2E51">
        <w:t>e</w:t>
      </w:r>
      <w:r>
        <w:t>ing; Crimes Test.</w:t>
      </w:r>
    </w:p>
    <w:p w14:paraId="590F4339" w14:textId="42C8E674" w:rsidR="00852993" w:rsidRPr="009D48E1" w:rsidRDefault="00852993" w:rsidP="00AC2693">
      <w:pPr>
        <w:spacing w:line="480" w:lineRule="auto"/>
      </w:pPr>
      <w:r w:rsidRPr="009D48E1">
        <w:br w:type="page"/>
      </w:r>
    </w:p>
    <w:p w14:paraId="2B44ADDA" w14:textId="77777777" w:rsidR="00825D9C" w:rsidRPr="00825D9C" w:rsidRDefault="00825D9C" w:rsidP="00825D9C">
      <w:pPr>
        <w:spacing w:line="480" w:lineRule="auto"/>
        <w:jc w:val="center"/>
        <w:rPr>
          <w:u w:val="single"/>
        </w:rPr>
      </w:pPr>
      <w:r w:rsidRPr="00825D9C">
        <w:rPr>
          <w:u w:val="single"/>
        </w:rPr>
        <w:lastRenderedPageBreak/>
        <w:t>Does telephone testing of long-term memory retention and forgetting influence performance in young and older adults? An examination using the Crimes Test.</w:t>
      </w:r>
    </w:p>
    <w:p w14:paraId="0D50349E" w14:textId="584EFB08" w:rsidR="00AE2335" w:rsidRPr="00A839F9" w:rsidRDefault="00C3782C" w:rsidP="00AE2335">
      <w:pPr>
        <w:spacing w:line="480" w:lineRule="auto"/>
      </w:pPr>
      <w:r>
        <w:t xml:space="preserve">While most patient groups who show impaired learning show normal rates of forgetting, </w:t>
      </w:r>
      <w:r w:rsidR="00AE2335">
        <w:t xml:space="preserve">certain groups of individuals may display relatively intact performance on measures of memory administered within single testing sessions but show greater forgetting over longer delays of days or weeks. </w:t>
      </w:r>
      <w:r w:rsidR="00AE2335" w:rsidRPr="00A839F9">
        <w:t>This phenomenon, known as ‘accelerated long-term forgetting’ or ALF (</w:t>
      </w:r>
      <w:r w:rsidR="00AE2335" w:rsidRPr="00A839F9">
        <w:rPr>
          <w:lang w:val="en-US"/>
        </w:rPr>
        <w:t xml:space="preserve">Blake, Wroe, Breen, &amp; McCarthy, 2000), was first described by De Renzi and </w:t>
      </w:r>
      <w:proofErr w:type="spellStart"/>
      <w:r w:rsidR="00AE2335" w:rsidRPr="00A839F9">
        <w:rPr>
          <w:lang w:val="en-US"/>
        </w:rPr>
        <w:t>Lucchelli</w:t>
      </w:r>
      <w:proofErr w:type="spellEnd"/>
      <w:r w:rsidR="00AE2335" w:rsidRPr="00A839F9">
        <w:rPr>
          <w:lang w:val="en-US"/>
        </w:rPr>
        <w:t xml:space="preserve"> (1993) and has since been observed in a number of case and group studies, particularly in relation to individuals with temporal lobe epilepsy (</w:t>
      </w:r>
      <w:r w:rsidR="00AE2335">
        <w:rPr>
          <w:lang w:val="en-US"/>
        </w:rPr>
        <w:t xml:space="preserve">TLE; </w:t>
      </w:r>
      <w:r w:rsidR="00AE2335" w:rsidRPr="00A839F9">
        <w:rPr>
          <w:lang w:val="en-US"/>
        </w:rPr>
        <w:t xml:space="preserve">see Elliott, Isaac, &amp; </w:t>
      </w:r>
      <w:proofErr w:type="spellStart"/>
      <w:r w:rsidR="00AE2335" w:rsidRPr="00A839F9">
        <w:rPr>
          <w:lang w:val="en-US"/>
        </w:rPr>
        <w:t>Mulhert</w:t>
      </w:r>
      <w:proofErr w:type="spellEnd"/>
      <w:r w:rsidR="00AE2335" w:rsidRPr="00A839F9">
        <w:rPr>
          <w:lang w:val="en-US"/>
        </w:rPr>
        <w:t xml:space="preserve">, 2014, and Butler &amp; Zeman, 2008). ALF </w:t>
      </w:r>
      <w:r w:rsidR="00722C8F">
        <w:rPr>
          <w:lang w:val="en-US"/>
        </w:rPr>
        <w:t xml:space="preserve">may also be apparent </w:t>
      </w:r>
      <w:r w:rsidR="00AE2335" w:rsidRPr="00A839F9">
        <w:rPr>
          <w:lang w:val="en-US"/>
        </w:rPr>
        <w:t xml:space="preserve">in </w:t>
      </w:r>
      <w:r w:rsidR="00722C8F">
        <w:rPr>
          <w:lang w:val="en-US"/>
        </w:rPr>
        <w:t xml:space="preserve">some </w:t>
      </w:r>
      <w:r w:rsidR="00AE2335" w:rsidRPr="00A839F9">
        <w:rPr>
          <w:lang w:val="en-US"/>
        </w:rPr>
        <w:t xml:space="preserve">patients with mild cognitive impairment (MCI) and raises the possibility of memory consolidation being a risk factor for conversion to dementia (Walsh, Wilkins, </w:t>
      </w:r>
      <w:proofErr w:type="spellStart"/>
      <w:r w:rsidR="00AE2335" w:rsidRPr="00A839F9">
        <w:rPr>
          <w:lang w:val="en-US"/>
        </w:rPr>
        <w:t>Bettcher</w:t>
      </w:r>
      <w:proofErr w:type="spellEnd"/>
      <w:r w:rsidR="00AE2335" w:rsidRPr="00A839F9">
        <w:rPr>
          <w:lang w:val="en-US"/>
        </w:rPr>
        <w:t xml:space="preserve"> et al, 2013</w:t>
      </w:r>
      <w:r w:rsidR="00AE2335">
        <w:rPr>
          <w:lang w:val="en-US"/>
        </w:rPr>
        <w:t>; Manes, Serrano, Calcagno et al, 2008</w:t>
      </w:r>
      <w:r w:rsidR="00AE2335" w:rsidRPr="00A839F9">
        <w:rPr>
          <w:lang w:val="en-US"/>
        </w:rPr>
        <w:t>).</w:t>
      </w:r>
    </w:p>
    <w:p w14:paraId="4F11C5EF" w14:textId="68E82C4F" w:rsidR="00852993" w:rsidRPr="00A839F9" w:rsidRDefault="00722C8F" w:rsidP="00722C8F">
      <w:pPr>
        <w:spacing w:line="480" w:lineRule="auto"/>
        <w:ind w:firstLine="720"/>
      </w:pPr>
      <w:r w:rsidRPr="00A839F9">
        <w:t>These findings clearly underline the need for development and validation of testing materials and methodologies able to detect forgetting over the longer term.</w:t>
      </w:r>
      <w:r>
        <w:t xml:space="preserve"> </w:t>
      </w:r>
      <w:r w:rsidR="00852993" w:rsidRPr="009D48E1">
        <w:t xml:space="preserve">A </w:t>
      </w:r>
      <w:r w:rsidR="00B57A98">
        <w:t xml:space="preserve">range </w:t>
      </w:r>
      <w:r w:rsidR="00852993" w:rsidRPr="009D48E1">
        <w:t xml:space="preserve">of </w:t>
      </w:r>
      <w:r>
        <w:t>clinical tests of memory exist that are</w:t>
      </w:r>
      <w:r w:rsidR="00DB724A">
        <w:t xml:space="preserve"> designed to measure different </w:t>
      </w:r>
      <w:r w:rsidR="00DB724A" w:rsidRPr="00A839F9">
        <w:t xml:space="preserve">aspects of memory functioning and detect specific and generalized problems. </w:t>
      </w:r>
      <w:r w:rsidR="00E57886" w:rsidRPr="00A839F9">
        <w:t xml:space="preserve">Such tests are typically administered in the clinic and </w:t>
      </w:r>
      <w:r w:rsidR="00DB724A" w:rsidRPr="00A839F9">
        <w:t xml:space="preserve">assess memory performance over </w:t>
      </w:r>
      <w:r w:rsidR="00EB3117" w:rsidRPr="00A839F9">
        <w:t xml:space="preserve">periods </w:t>
      </w:r>
      <w:r w:rsidR="00E57886" w:rsidRPr="00A839F9">
        <w:t>of</w:t>
      </w:r>
      <w:r w:rsidR="00DB724A" w:rsidRPr="00A839F9">
        <w:t xml:space="preserve"> 30-45 minutes. While this is sufficient to detect many forms of memory problem, they do not provide measures of forgetting over longer </w:t>
      </w:r>
      <w:r w:rsidR="00E57886" w:rsidRPr="00A839F9">
        <w:t>intervals</w:t>
      </w:r>
      <w:r w:rsidR="0043046B" w:rsidRPr="00A839F9">
        <w:t xml:space="preserve"> (i.e. days, weeks, or months). This is potentially problematic</w:t>
      </w:r>
      <w:r>
        <w:t xml:space="preserve"> for detecting ALF and may be one reason why the subjective memory complaints of TLE patients</w:t>
      </w:r>
      <w:r w:rsidR="0096307D">
        <w:t xml:space="preserve"> </w:t>
      </w:r>
      <w:r>
        <w:t>sometimes appear to be overestima</w:t>
      </w:r>
      <w:r w:rsidR="00FD2E59">
        <w:t>ted based on clinical tests (</w:t>
      </w:r>
      <w:proofErr w:type="spellStart"/>
      <w:r w:rsidR="00FD2E59">
        <w:t>Piazzini</w:t>
      </w:r>
      <w:proofErr w:type="spellEnd"/>
      <w:r w:rsidR="00FD2E59">
        <w:t xml:space="preserve">, </w:t>
      </w:r>
      <w:proofErr w:type="spellStart"/>
      <w:r w:rsidR="00FD2E59">
        <w:t>Canevini</w:t>
      </w:r>
      <w:proofErr w:type="spellEnd"/>
      <w:r w:rsidR="00FD2E59">
        <w:t xml:space="preserve">, </w:t>
      </w:r>
      <w:proofErr w:type="spellStart"/>
      <w:r w:rsidR="00FD2E59">
        <w:t>Maggiori</w:t>
      </w:r>
      <w:proofErr w:type="spellEnd"/>
      <w:r w:rsidR="00FD2E59">
        <w:t xml:space="preserve">, &amp; </w:t>
      </w:r>
      <w:proofErr w:type="spellStart"/>
      <w:r w:rsidR="00FD2E59">
        <w:t>Canger</w:t>
      </w:r>
      <w:proofErr w:type="spellEnd"/>
      <w:r w:rsidR="00FD2E59">
        <w:t>, 2001</w:t>
      </w:r>
      <w:r>
        <w:t>)</w:t>
      </w:r>
      <w:r w:rsidR="00DE1410" w:rsidRPr="00A839F9">
        <w:t>.</w:t>
      </w:r>
      <w:r w:rsidR="00791AE4" w:rsidRPr="00A839F9">
        <w:t xml:space="preserve"> </w:t>
      </w:r>
    </w:p>
    <w:p w14:paraId="52C21C99" w14:textId="0CCB0521" w:rsidR="00036B98" w:rsidRPr="00CF7024" w:rsidRDefault="006D1272" w:rsidP="001907AD">
      <w:pPr>
        <w:shd w:val="clear" w:color="auto" w:fill="FFFFFF"/>
        <w:spacing w:line="480" w:lineRule="auto"/>
        <w:rPr>
          <w:i/>
          <w:color w:val="FF0000"/>
        </w:rPr>
      </w:pPr>
      <w:r w:rsidRPr="00A839F9">
        <w:tab/>
        <w:t xml:space="preserve">One practical issue that arises when assessing memory for materials over </w:t>
      </w:r>
      <w:r w:rsidR="0096307D">
        <w:t xml:space="preserve">longer </w:t>
      </w:r>
      <w:r w:rsidRPr="00A839F9">
        <w:t xml:space="preserve">retention intervals is the </w:t>
      </w:r>
      <w:r w:rsidR="00D86C98">
        <w:t>requirement for</w:t>
      </w:r>
      <w:r w:rsidR="00BB035A">
        <w:t xml:space="preserve"> participants</w:t>
      </w:r>
      <w:r w:rsidR="00D86C98">
        <w:t xml:space="preserve">, </w:t>
      </w:r>
      <w:r w:rsidR="00BB035A">
        <w:t>researchers</w:t>
      </w:r>
      <w:r w:rsidR="00D86C98">
        <w:t>, or clinicians</w:t>
      </w:r>
      <w:r w:rsidRPr="00A839F9">
        <w:t xml:space="preserve"> </w:t>
      </w:r>
      <w:r w:rsidR="00D86C98">
        <w:t xml:space="preserve">to </w:t>
      </w:r>
      <w:r w:rsidRPr="00A839F9">
        <w:t xml:space="preserve">travel for each testing session. This can </w:t>
      </w:r>
      <w:r w:rsidR="00D86C98" w:rsidRPr="00A839F9">
        <w:t>increase cost and inconvenience</w:t>
      </w:r>
      <w:r w:rsidR="00D86C98">
        <w:t xml:space="preserve">, and </w:t>
      </w:r>
      <w:r w:rsidR="00182912" w:rsidRPr="00A839F9">
        <w:t>hinder recruitment</w:t>
      </w:r>
      <w:r w:rsidR="00D86C98">
        <w:t xml:space="preserve"> and assessment,</w:t>
      </w:r>
      <w:r w:rsidR="00182912" w:rsidRPr="00A839F9">
        <w:t xml:space="preserve"> particularly for population groups </w:t>
      </w:r>
      <w:r w:rsidR="0096307D">
        <w:t>with</w:t>
      </w:r>
      <w:r w:rsidR="00182912" w:rsidRPr="00A839F9">
        <w:t xml:space="preserve"> difficulties </w:t>
      </w:r>
      <w:r w:rsidR="00A658A1">
        <w:t>in</w:t>
      </w:r>
      <w:r w:rsidR="00182912" w:rsidRPr="00A839F9">
        <w:t xml:space="preserve"> mobility and independence.</w:t>
      </w:r>
      <w:r w:rsidR="00E5446E" w:rsidRPr="00A839F9">
        <w:t xml:space="preserve"> One </w:t>
      </w:r>
      <w:r w:rsidR="00E5446E">
        <w:t xml:space="preserve">solution often adapted in studies of long-term retention and ALF is the use of telephone testing. Thus, </w:t>
      </w:r>
      <w:r w:rsidR="00E5446E">
        <w:lastRenderedPageBreak/>
        <w:t xml:space="preserve">participants are presented with and tested on materials in an initial ‘in person’ session, with follow-up </w:t>
      </w:r>
      <w:r w:rsidR="005D359C">
        <w:t xml:space="preserve">long-term </w:t>
      </w:r>
      <w:r w:rsidR="00E5446E">
        <w:t>tests</w:t>
      </w:r>
      <w:r w:rsidR="005D359C">
        <w:t xml:space="preserve"> for these materials</w:t>
      </w:r>
      <w:r w:rsidR="00E5446E">
        <w:t xml:space="preserve"> then administered over the telephone. </w:t>
      </w:r>
      <w:r w:rsidR="00621834">
        <w:t>For example, Kemp, et al. (2012) observed ALF for story and picture recall using telephone testing over delays up to 30 days</w:t>
      </w:r>
      <w:r w:rsidR="00BC30C2">
        <w:t xml:space="preserve">, while Ricci, Wong, </w:t>
      </w:r>
      <w:proofErr w:type="spellStart"/>
      <w:r w:rsidR="00BC30C2">
        <w:t>Nikpour</w:t>
      </w:r>
      <w:proofErr w:type="spellEnd"/>
      <w:r w:rsidR="00BC30C2">
        <w:t>, and Miller (2018) used telephone testing to examine impacts of rehearsal and retesting on patients with established ALF across delays of up to 4 weeks</w:t>
      </w:r>
      <w:r w:rsidR="00621834">
        <w:t xml:space="preserve">. Similarly, </w:t>
      </w:r>
      <w:r w:rsidR="005D359C">
        <w:t>Gascoigne and colleagues have observed ALF on word recall at 7-day delays</w:t>
      </w:r>
      <w:r w:rsidR="00AA2CC2">
        <w:t xml:space="preserve"> in children with idiopathic generalized epilepsy (Gascoigne, Barton, Webster, Gill, Antony, &amp; </w:t>
      </w:r>
      <w:proofErr w:type="spellStart"/>
      <w:r w:rsidR="00AA2CC2">
        <w:t>Lah</w:t>
      </w:r>
      <w:proofErr w:type="spellEnd"/>
      <w:r w:rsidR="00AA2CC2">
        <w:t xml:space="preserve">, 2012) and temporal lobe epilepsy (Gascoigne, Smith, Barton, Webster, Gill, &amp; </w:t>
      </w:r>
      <w:proofErr w:type="spellStart"/>
      <w:r w:rsidR="00AA2CC2">
        <w:t>Lah</w:t>
      </w:r>
      <w:proofErr w:type="spellEnd"/>
      <w:r w:rsidR="00AA2CC2">
        <w:t>, 2014).</w:t>
      </w:r>
      <w:r w:rsidR="00CD498E">
        <w:t xml:space="preserve"> </w:t>
      </w:r>
    </w:p>
    <w:p w14:paraId="7E040C75" w14:textId="28C46F02" w:rsidR="00DB724A" w:rsidRDefault="00CD498E" w:rsidP="00036B98">
      <w:pPr>
        <w:spacing w:line="480" w:lineRule="auto"/>
        <w:ind w:firstLine="720"/>
      </w:pPr>
      <w:r>
        <w:t>This approach has also been applied in healthy populations. Baddeley</w:t>
      </w:r>
      <w:r w:rsidR="00715E54">
        <w:t xml:space="preserve"> and colleagues (Baddeley, </w:t>
      </w:r>
      <w:r>
        <w:t>Rawlings, and Hayes (2014</w:t>
      </w:r>
      <w:r w:rsidR="00722C8F">
        <w:t>; Baddeley, Allen, Atkinson, &amp; Kemp, 201</w:t>
      </w:r>
      <w:r w:rsidR="00715E54">
        <w:t>9</w:t>
      </w:r>
      <w:r>
        <w:t xml:space="preserve">) </w:t>
      </w:r>
      <w:r w:rsidR="00715E54">
        <w:t>developed</w:t>
      </w:r>
      <w:r>
        <w:t xml:space="preserve"> the ‘Crimes Test’, a novel test of long-term forgetting involving four short fictional prose descriptions of relatively minor crimes. </w:t>
      </w:r>
      <w:r w:rsidR="00715E54">
        <w:t>Baddeley et al. (2014)</w:t>
      </w:r>
      <w:r>
        <w:t xml:space="preserve"> presented these materials to g</w:t>
      </w:r>
      <w:r w:rsidR="007F0D8A">
        <w:t>roups of young and older adults</w:t>
      </w:r>
      <w:r>
        <w:t xml:space="preserve"> and assessed</w:t>
      </w:r>
      <w:r w:rsidR="00036B98">
        <w:t xml:space="preserve"> immediate and delayed memory using cued recall. Initial presentation and immediate recall </w:t>
      </w:r>
      <w:r w:rsidR="00C73B8E">
        <w:t xml:space="preserve">were </w:t>
      </w:r>
      <w:r w:rsidR="00036B98">
        <w:t>carried out in person, before further telephone-based testing at an intermediate point (between 24 hours and 24 days) and 6-weeks after initial presentation.</w:t>
      </w:r>
      <w:r w:rsidR="00487DE9">
        <w:t xml:space="preserve"> Both age groups showed forgetting over time, with the older adults demonstrating an accelerated loss relative to the younger group.</w:t>
      </w:r>
      <w:r w:rsidR="00F50E5E">
        <w:t xml:space="preserve"> </w:t>
      </w:r>
      <w:r w:rsidR="007458CF">
        <w:t xml:space="preserve">While </w:t>
      </w:r>
      <w:r w:rsidR="00F50E5E">
        <w:t xml:space="preserve">Baddeley et al. </w:t>
      </w:r>
      <w:r w:rsidR="007458CF">
        <w:t xml:space="preserve">suggested </w:t>
      </w:r>
      <w:r w:rsidR="00F50E5E">
        <w:t xml:space="preserve">that participants </w:t>
      </w:r>
      <w:r w:rsidR="00722C8F">
        <w:t>appeared to cope with testing by telephone</w:t>
      </w:r>
      <w:r w:rsidR="007458CF">
        <w:t>,</w:t>
      </w:r>
      <w:r w:rsidR="00F50E5E">
        <w:t xml:space="preserve"> </w:t>
      </w:r>
      <w:r w:rsidR="00722C8F">
        <w:t xml:space="preserve">this could only be indirectly inferred as the impact of telephone </w:t>
      </w:r>
      <w:r w:rsidR="007458CF">
        <w:t xml:space="preserve">vs. in person </w:t>
      </w:r>
      <w:r w:rsidR="00722C8F">
        <w:t>testing was not di</w:t>
      </w:r>
      <w:r w:rsidR="007458CF">
        <w:t>rectly examined at the same time</w:t>
      </w:r>
      <w:r w:rsidR="00722C8F">
        <w:t xml:space="preserve"> point. </w:t>
      </w:r>
      <w:r w:rsidR="00AD638B">
        <w:t xml:space="preserve">Baddeley et al. (2019) followed this up using both the Crimes test and Four-Doors test (a test of </w:t>
      </w:r>
      <w:r w:rsidR="00877406">
        <w:t xml:space="preserve">memory for </w:t>
      </w:r>
      <w:r w:rsidR="00AD638B">
        <w:t xml:space="preserve">visual information), running all follow-up sessions (at delays of </w:t>
      </w:r>
      <w:r w:rsidR="00877406">
        <w:t>24-hours, one week, and one month</w:t>
      </w:r>
      <w:r w:rsidR="00AD638B">
        <w:t xml:space="preserve">) over the telephone. </w:t>
      </w:r>
      <w:r w:rsidR="00722C8F">
        <w:t>For th</w:t>
      </w:r>
      <w:r w:rsidR="00AD638B">
        <w:t>ese</w:t>
      </w:r>
      <w:r w:rsidR="00722C8F">
        <w:t xml:space="preserve"> stud</w:t>
      </w:r>
      <w:r w:rsidR="00AD638B">
        <w:t>ies</w:t>
      </w:r>
      <w:r w:rsidR="00722C8F">
        <w:t xml:space="preserve"> and f</w:t>
      </w:r>
      <w:r w:rsidR="004A5D0D">
        <w:t>or work with</w:t>
      </w:r>
      <w:r w:rsidR="00322A65">
        <w:t xml:space="preserve"> clinical populations (e.g. Gascoigne et al., 2012, 2014; Kemp et al., 2012) it is still not clear what effect this variation in test method might have, particularly when comparing immediate and short delays (typically administered in person) with telephone-based long-term tests. </w:t>
      </w:r>
      <w:r w:rsidR="009D1C86">
        <w:t>The present study was designed to test this key practical issue.</w:t>
      </w:r>
    </w:p>
    <w:p w14:paraId="0AAEEC8E" w14:textId="77777777" w:rsidR="0021592E" w:rsidRDefault="004A5D0D" w:rsidP="00B46ECA">
      <w:pPr>
        <w:shd w:val="clear" w:color="auto" w:fill="FFFFFF"/>
        <w:spacing w:line="480" w:lineRule="auto"/>
        <w:rPr>
          <w:i/>
          <w:color w:val="FF0000"/>
        </w:rPr>
      </w:pPr>
      <w:r>
        <w:lastRenderedPageBreak/>
        <w:tab/>
      </w:r>
      <w:r w:rsidR="004544B0">
        <w:t xml:space="preserve">The utility of telephone-based cognitive test administration has </w:t>
      </w:r>
      <w:r w:rsidR="00AD638B">
        <w:t xml:space="preserve">previously </w:t>
      </w:r>
      <w:r w:rsidR="004544B0">
        <w:t>been examined</w:t>
      </w:r>
      <w:r w:rsidR="00AD5FB4">
        <w:t xml:space="preserve">, particular in relation to dementia screening, </w:t>
      </w:r>
      <w:r w:rsidR="00AD638B">
        <w:t>with findings</w:t>
      </w:r>
      <w:r w:rsidR="00AD5FB4">
        <w:t xml:space="preserve"> generally illustrat</w:t>
      </w:r>
      <w:r w:rsidR="00AD638B">
        <w:t>ing</w:t>
      </w:r>
      <w:r w:rsidR="00AD5FB4">
        <w:t xml:space="preserve"> this to be an appropriate approach</w:t>
      </w:r>
      <w:r>
        <w:t xml:space="preserve"> </w:t>
      </w:r>
      <w:r w:rsidR="00F56CA5">
        <w:t>(</w:t>
      </w:r>
      <w:r w:rsidR="004544B0">
        <w:t xml:space="preserve">Brandt, Spencer, &amp; </w:t>
      </w:r>
      <w:proofErr w:type="spellStart"/>
      <w:r w:rsidR="004544B0">
        <w:t>Folstein</w:t>
      </w:r>
      <w:proofErr w:type="spellEnd"/>
      <w:r w:rsidR="004544B0">
        <w:t xml:space="preserve">, 1988; Duff, </w:t>
      </w:r>
      <w:proofErr w:type="spellStart"/>
      <w:r w:rsidR="004544B0">
        <w:t>Tometich</w:t>
      </w:r>
      <w:proofErr w:type="spellEnd"/>
      <w:r w:rsidR="004544B0">
        <w:t xml:space="preserve">, &amp; Dennett, 2015; Lipton et al., 2003; see </w:t>
      </w:r>
      <w:proofErr w:type="spellStart"/>
      <w:r w:rsidR="004544B0">
        <w:t>Castanho</w:t>
      </w:r>
      <w:proofErr w:type="spellEnd"/>
      <w:r w:rsidR="004544B0">
        <w:t xml:space="preserve">, Amorim, </w:t>
      </w:r>
      <w:proofErr w:type="spellStart"/>
      <w:r w:rsidR="004544B0">
        <w:t>Zihl</w:t>
      </w:r>
      <w:proofErr w:type="spellEnd"/>
      <w:r w:rsidR="004544B0">
        <w:t xml:space="preserve">, </w:t>
      </w:r>
      <w:proofErr w:type="spellStart"/>
      <w:r w:rsidR="004544B0">
        <w:t>Palha</w:t>
      </w:r>
      <w:proofErr w:type="spellEnd"/>
      <w:r w:rsidR="004544B0">
        <w:t>, Sousa, &amp; Santos, 2014, for review)</w:t>
      </w:r>
      <w:r w:rsidR="00AD5FB4">
        <w:t xml:space="preserve">. </w:t>
      </w:r>
      <w:r w:rsidR="00F56CA5" w:rsidRPr="00F56CA5">
        <w:t>Quality of data gathered in semi-structured interviews also appears to be comparable for over the telephone versus face-to-face administration (</w:t>
      </w:r>
      <w:proofErr w:type="spellStart"/>
      <w:r w:rsidR="00F56CA5" w:rsidRPr="00F56CA5">
        <w:t>Sturgess</w:t>
      </w:r>
      <w:proofErr w:type="spellEnd"/>
      <w:r w:rsidR="00F56CA5" w:rsidRPr="00F56CA5">
        <w:t xml:space="preserve"> &amp; Hanrahan, 2004)</w:t>
      </w:r>
      <w:r w:rsidR="00F56CA5">
        <w:t>.</w:t>
      </w:r>
      <w:r w:rsidR="00F927BD">
        <w:rPr>
          <w:i/>
          <w:color w:val="FF0000"/>
        </w:rPr>
        <w:t xml:space="preserve"> </w:t>
      </w:r>
      <w:r w:rsidR="00F927BD">
        <w:t>Similarly</w:t>
      </w:r>
      <w:r w:rsidR="00D14937">
        <w:t xml:space="preserve">, cognitive </w:t>
      </w:r>
      <w:proofErr w:type="spellStart"/>
      <w:r w:rsidR="00D14937">
        <w:t>behav</w:t>
      </w:r>
      <w:r w:rsidR="00BB035A">
        <w:t>i</w:t>
      </w:r>
      <w:r w:rsidR="00D14937">
        <w:t>oral</w:t>
      </w:r>
      <w:proofErr w:type="spellEnd"/>
      <w:r w:rsidR="00D14937">
        <w:t xml:space="preserve"> therapy for the treatment of depression has been demonstrated to have comparable efficacy (at least over the short-term) when carried out over the telephone versus face-to-face, </w:t>
      </w:r>
      <w:r w:rsidR="00D86C98">
        <w:t>while also</w:t>
      </w:r>
      <w:r w:rsidR="00D14937">
        <w:t xml:space="preserve"> reducing attrition rates</w:t>
      </w:r>
      <w:r w:rsidR="00520B6A">
        <w:t xml:space="preserve"> (Mohr et al., 2012)</w:t>
      </w:r>
      <w:r w:rsidR="00D14937">
        <w:t>.</w:t>
      </w:r>
      <w:r w:rsidR="00B46ECA">
        <w:rPr>
          <w:i/>
          <w:color w:val="FF0000"/>
        </w:rPr>
        <w:t xml:space="preserve"> </w:t>
      </w:r>
    </w:p>
    <w:p w14:paraId="1364B4D1" w14:textId="77777777" w:rsidR="008A0A75" w:rsidRDefault="00D86C98" w:rsidP="008A0A75">
      <w:pPr>
        <w:shd w:val="clear" w:color="auto" w:fill="FFFFFF"/>
        <w:spacing w:line="480" w:lineRule="auto"/>
        <w:ind w:firstLine="720"/>
      </w:pPr>
      <w:r>
        <w:t>Crucially however</w:t>
      </w:r>
      <w:r w:rsidR="005D6346" w:rsidRPr="005D6346">
        <w:t xml:space="preserve">, </w:t>
      </w:r>
      <w:r w:rsidR="0073500D" w:rsidRPr="005D6346">
        <w:t>these studies all focus on administration of screening and</w:t>
      </w:r>
      <w:r w:rsidR="0073500D">
        <w:t xml:space="preserve"> interview procedures carried out within individual sessions</w:t>
      </w:r>
      <w:r w:rsidR="00DE0C48">
        <w:t>; no</w:t>
      </w:r>
      <w:r w:rsidR="001907AD">
        <w:t xml:space="preserve"> previous studies</w:t>
      </w:r>
      <w:r w:rsidR="0073500D">
        <w:t xml:space="preserve"> (to our knowledge)</w:t>
      </w:r>
      <w:r w:rsidR="001907AD">
        <w:t xml:space="preserve"> have</w:t>
      </w:r>
      <w:r w:rsidR="00DB5282">
        <w:t xml:space="preserve"> explored </w:t>
      </w:r>
      <w:r w:rsidR="001907AD">
        <w:t>the efficacy of telephone-based testing</w:t>
      </w:r>
      <w:r w:rsidR="00DB5282">
        <w:t xml:space="preserve"> of long-term memory and forgetting over multiple sessions administered across delays of days or</w:t>
      </w:r>
      <w:r w:rsidR="0073500D">
        <w:t xml:space="preserve"> more. </w:t>
      </w:r>
      <w:r w:rsidR="008A0A75">
        <w:t xml:space="preserve">The present study is therefore the first to directly compare delayed recall accuracy in face-to-face vs. telephone testing of materials. This should have important implications both for experimental work examining the mechanisms of forgetting in general, and for development of measures for use with individuals with TLE (Butler &amp; Zeman, 2008; Elliott et al., 2014), MCI (Walsh et al., 2013; Manes et al., 2008), and other cognitive impairments. </w:t>
      </w:r>
      <w:r w:rsidR="00DE0C48">
        <w:t xml:space="preserve">This is </w:t>
      </w:r>
      <w:r w:rsidR="0021592E">
        <w:t>an</w:t>
      </w:r>
      <w:r w:rsidR="00DE0C48">
        <w:t xml:space="preserve"> important issue to address </w:t>
      </w:r>
      <w:r w:rsidR="0031171B">
        <w:t>for</w:t>
      </w:r>
      <w:r w:rsidR="00DE0C48">
        <w:t xml:space="preserve"> the development </w:t>
      </w:r>
      <w:r w:rsidR="0031171B">
        <w:t xml:space="preserve">and administration </w:t>
      </w:r>
      <w:r w:rsidR="00DE0C48">
        <w:t xml:space="preserve">of </w:t>
      </w:r>
      <w:r w:rsidR="0021592E">
        <w:t xml:space="preserve">ALF </w:t>
      </w:r>
      <w:r w:rsidR="0031171B">
        <w:t>tests</w:t>
      </w:r>
      <w:r w:rsidR="0083027D">
        <w:t>.</w:t>
      </w:r>
      <w:r w:rsidR="0021592E">
        <w:t xml:space="preserve"> </w:t>
      </w:r>
    </w:p>
    <w:p w14:paraId="4BF81054" w14:textId="22F7B197" w:rsidR="006476BE" w:rsidRDefault="006476BE" w:rsidP="008A0A75">
      <w:pPr>
        <w:shd w:val="clear" w:color="auto" w:fill="FFFFFF"/>
        <w:spacing w:line="480" w:lineRule="auto"/>
        <w:ind w:firstLine="720"/>
      </w:pPr>
      <w:r>
        <w:t xml:space="preserve">It cannot necessarily be assumed that in-person vs. telephone-based testing </w:t>
      </w:r>
      <w:r w:rsidR="0021592E">
        <w:t xml:space="preserve">of memory retention will </w:t>
      </w:r>
      <w:r>
        <w:t xml:space="preserve">produce equivalent performance levels. Telephone-based assessment is likely to reduce availability of nonverbal or environmental cues, as well as affecting the quality of the auditory-verbal input. This may also influence memory performance over multiple sessions if </w:t>
      </w:r>
      <w:r w:rsidR="0021592E">
        <w:t>telephone testing follows an initial</w:t>
      </w:r>
      <w:r>
        <w:t xml:space="preserve"> </w:t>
      </w:r>
      <w:r w:rsidR="0021592E">
        <w:t>in-person encoding phase, as a number of studies have shown environmental-context dependent memory effects (e.g. Smith &amp; Vela, 2001).</w:t>
      </w:r>
      <w:r w:rsidR="008A0A75" w:rsidRPr="008A0A75">
        <w:t xml:space="preserve"> </w:t>
      </w:r>
      <w:r w:rsidR="008A0A75">
        <w:t xml:space="preserve">However, while this may provide some a priori justification for the prediction of a performance decrement associated </w:t>
      </w:r>
      <w:r w:rsidR="008A0A75">
        <w:lastRenderedPageBreak/>
        <w:t xml:space="preserve">with telephone testing, the successful use of this method by Baddeley et al. (2014, 2019) means that we predicted minimal difference at the final test between the in-person and telephone tested groups.  </w:t>
      </w:r>
    </w:p>
    <w:p w14:paraId="51C14F43" w14:textId="197969EE" w:rsidR="00075411" w:rsidRDefault="008C592C" w:rsidP="008A0A75">
      <w:pPr>
        <w:shd w:val="clear" w:color="auto" w:fill="FFFFFF"/>
        <w:spacing w:line="480" w:lineRule="auto"/>
      </w:pPr>
      <w:r>
        <w:tab/>
      </w:r>
    </w:p>
    <w:p w14:paraId="18D40B92" w14:textId="20B16D78" w:rsidR="00852993" w:rsidRPr="009D48E1" w:rsidRDefault="00852993" w:rsidP="00852993">
      <w:pPr>
        <w:spacing w:line="480" w:lineRule="auto"/>
        <w:jc w:val="center"/>
      </w:pPr>
      <w:r w:rsidRPr="009D48E1">
        <w:t>Method</w:t>
      </w:r>
    </w:p>
    <w:p w14:paraId="19CC9863" w14:textId="77777777" w:rsidR="00852993" w:rsidRPr="009D48E1" w:rsidRDefault="00852993" w:rsidP="00852993">
      <w:pPr>
        <w:spacing w:line="480" w:lineRule="auto"/>
        <w:rPr>
          <w:i/>
        </w:rPr>
      </w:pPr>
      <w:r w:rsidRPr="009D48E1">
        <w:rPr>
          <w:i/>
        </w:rPr>
        <w:t>Participants</w:t>
      </w:r>
    </w:p>
    <w:p w14:paraId="7B4AEA39" w14:textId="7CB1EEED" w:rsidR="001A7A32" w:rsidRDefault="001A7A32" w:rsidP="00852993">
      <w:pPr>
        <w:spacing w:line="480" w:lineRule="auto"/>
      </w:pPr>
      <w:r w:rsidRPr="009D48E1">
        <w:t>Eighty participants took part in this experiment</w:t>
      </w:r>
      <w:r w:rsidR="0037468E" w:rsidRPr="009D48E1">
        <w:t xml:space="preserve">, all drawn from School of Psychology participant databases.  </w:t>
      </w:r>
      <w:r w:rsidRPr="009D48E1">
        <w:t xml:space="preserve">This </w:t>
      </w:r>
      <w:r w:rsidR="0037468E" w:rsidRPr="009D48E1">
        <w:t xml:space="preserve">sample </w:t>
      </w:r>
      <w:r w:rsidRPr="009D48E1">
        <w:t xml:space="preserve">consisted of forty younger adults (7 male, 33 female) aged 18-23 years (mean 19.45, SD = 1.06), and forty older adults (9 male, 31 female) aged 55-86 years (mean 73.03, SD = 7.67). </w:t>
      </w:r>
      <w:r w:rsidR="00D56358" w:rsidRPr="009D48E1">
        <w:t>All older adults scored 27</w:t>
      </w:r>
      <w:r w:rsidR="0037468E" w:rsidRPr="009D48E1">
        <w:t xml:space="preserve"> or above on the Mini-Mental State Examination</w:t>
      </w:r>
      <w:r w:rsidR="00D56358" w:rsidRPr="009D48E1">
        <w:t xml:space="preserve"> (</w:t>
      </w:r>
      <w:proofErr w:type="spellStart"/>
      <w:r w:rsidR="00D56358" w:rsidRPr="009D48E1">
        <w:t>Folstein</w:t>
      </w:r>
      <w:proofErr w:type="spellEnd"/>
      <w:r w:rsidR="00D56358" w:rsidRPr="009D48E1">
        <w:t xml:space="preserve"> et al., 1975</w:t>
      </w:r>
      <w:r w:rsidR="0037468E" w:rsidRPr="009D48E1">
        <w:t>).</w:t>
      </w:r>
    </w:p>
    <w:p w14:paraId="5127E817" w14:textId="2F8192E7" w:rsidR="0017320A" w:rsidRPr="009D48E1" w:rsidRDefault="0017320A" w:rsidP="00852993">
      <w:pPr>
        <w:spacing w:line="480" w:lineRule="auto"/>
      </w:pPr>
      <w:r>
        <w:tab/>
        <w:t>This study was approved by the School of Psychology, University of Leeds ethics committee (</w:t>
      </w:r>
      <w:r w:rsidR="00276E6E">
        <w:t xml:space="preserve">reference no. </w:t>
      </w:r>
      <w:bookmarkStart w:id="0" w:name="_GoBack"/>
      <w:bookmarkEnd w:id="0"/>
      <w:r>
        <w:t>12-0176).</w:t>
      </w:r>
    </w:p>
    <w:p w14:paraId="43B9B668" w14:textId="77777777" w:rsidR="00852993" w:rsidRPr="009D48E1" w:rsidRDefault="00852993" w:rsidP="00852993">
      <w:pPr>
        <w:spacing w:line="480" w:lineRule="auto"/>
        <w:rPr>
          <w:i/>
        </w:rPr>
      </w:pPr>
      <w:r w:rsidRPr="009D48E1">
        <w:rPr>
          <w:i/>
        </w:rPr>
        <w:t>Materials</w:t>
      </w:r>
    </w:p>
    <w:p w14:paraId="41098873" w14:textId="12DBF53F" w:rsidR="004677B3" w:rsidRPr="0053441E" w:rsidRDefault="00852993" w:rsidP="007D4320">
      <w:pPr>
        <w:spacing w:line="480" w:lineRule="auto"/>
        <w:rPr>
          <w:iCs/>
        </w:rPr>
      </w:pPr>
      <w:r w:rsidRPr="009D48E1">
        <w:t>We used</w:t>
      </w:r>
      <w:r w:rsidR="007D4320">
        <w:t xml:space="preserve"> </w:t>
      </w:r>
      <w:r w:rsidR="003D1669">
        <w:t>the</w:t>
      </w:r>
      <w:r w:rsidR="00327FE0">
        <w:t xml:space="preserve"> version of the Crimes test </w:t>
      </w:r>
      <w:r w:rsidR="003D1669">
        <w:t xml:space="preserve">as described by </w:t>
      </w:r>
      <w:r w:rsidR="00327FE0">
        <w:t>Baddeley et al.</w:t>
      </w:r>
      <w:r w:rsidR="003D1669">
        <w:t xml:space="preserve"> (</w:t>
      </w:r>
      <w:r w:rsidR="00327FE0">
        <w:t>201</w:t>
      </w:r>
      <w:r w:rsidR="003D1669">
        <w:t>9</w:t>
      </w:r>
      <w:r w:rsidR="00327FE0">
        <w:t xml:space="preserve">). This involves four short descriptions of fictional, relatively minor crimes, each involving a different </w:t>
      </w:r>
      <w:r w:rsidR="00841E80">
        <w:t>perpetrator;</w:t>
      </w:r>
      <w:r w:rsidR="00327FE0">
        <w:t xml:space="preserve"> victim, crime, and location. Memory for these items is then tested via sets of cued recall questions</w:t>
      </w:r>
      <w:r w:rsidR="006A1A71">
        <w:t>, with the current version of the task allowing 80 possible questions</w:t>
      </w:r>
      <w:r w:rsidR="00327FE0">
        <w:t xml:space="preserve">; we </w:t>
      </w:r>
      <w:r w:rsidR="007D4320">
        <w:t xml:space="preserve">used </w:t>
      </w:r>
      <w:r w:rsidR="00327FE0">
        <w:t>three sets of 20 questions from the materials used by Baddeley et al. (2014</w:t>
      </w:r>
      <w:r w:rsidR="00EA6ABF">
        <w:t>, 2019</w:t>
      </w:r>
      <w:r w:rsidR="00327FE0">
        <w:t xml:space="preserve">). Each set of questions differs, and is designed to assess </w:t>
      </w:r>
      <w:r w:rsidR="008349E0">
        <w:t>various aspects of</w:t>
      </w:r>
      <w:r w:rsidR="00327FE0">
        <w:t xml:space="preserve"> each of the </w:t>
      </w:r>
      <w:r w:rsidR="008349E0">
        <w:t>vignettes</w:t>
      </w:r>
      <w:r w:rsidR="00327FE0">
        <w:t xml:space="preserve"> (e.g. </w:t>
      </w:r>
      <w:r w:rsidR="00327FE0">
        <w:rPr>
          <w:i/>
        </w:rPr>
        <w:t xml:space="preserve">Who committed the hit and run crime? </w:t>
      </w:r>
      <w:r w:rsidR="00803F83">
        <w:rPr>
          <w:i/>
        </w:rPr>
        <w:t xml:space="preserve">What was the nationality of the victim in the pub? What was the location of the crime </w:t>
      </w:r>
      <w:r w:rsidR="00EA6ABF">
        <w:rPr>
          <w:i/>
        </w:rPr>
        <w:t xml:space="preserve">committed </w:t>
      </w:r>
      <w:r w:rsidR="003913FB">
        <w:rPr>
          <w:i/>
        </w:rPr>
        <w:t>against the young man</w:t>
      </w:r>
      <w:r w:rsidR="0053441E">
        <w:rPr>
          <w:i/>
        </w:rPr>
        <w:t>?</w:t>
      </w:r>
      <w:r w:rsidR="0053441E">
        <w:rPr>
          <w:iCs/>
        </w:rPr>
        <w:t>).</w:t>
      </w:r>
    </w:p>
    <w:p w14:paraId="25C47321" w14:textId="77777777" w:rsidR="00852993" w:rsidRPr="009D48E1" w:rsidRDefault="004677B3" w:rsidP="00852993">
      <w:pPr>
        <w:spacing w:line="480" w:lineRule="auto"/>
        <w:rPr>
          <w:i/>
        </w:rPr>
      </w:pPr>
      <w:r w:rsidRPr="009D48E1">
        <w:rPr>
          <w:i/>
        </w:rPr>
        <w:t>Design and Procedure</w:t>
      </w:r>
      <w:r w:rsidR="00852993" w:rsidRPr="009D48E1">
        <w:rPr>
          <w:i/>
        </w:rPr>
        <w:t xml:space="preserve"> </w:t>
      </w:r>
    </w:p>
    <w:p w14:paraId="4C819746" w14:textId="6663647D" w:rsidR="00326D74" w:rsidRPr="005C4978" w:rsidRDefault="00863D4D" w:rsidP="00852993">
      <w:pPr>
        <w:spacing w:line="480" w:lineRule="auto"/>
      </w:pPr>
      <w:r w:rsidRPr="009D48E1">
        <w:t>A 3x2</w:t>
      </w:r>
      <w:r w:rsidR="002B3E74">
        <w:t>x2</w:t>
      </w:r>
      <w:r w:rsidR="00C847BC" w:rsidRPr="009D48E1">
        <w:t xml:space="preserve"> mixed design was implemented, </w:t>
      </w:r>
      <w:r w:rsidR="0012679F" w:rsidRPr="009D48E1">
        <w:t>examining</w:t>
      </w:r>
      <w:r w:rsidR="00C847BC" w:rsidRPr="009D48E1">
        <w:t xml:space="preserve"> test session as a within-subjects factor (Immediate, 20-minute, and 1-week delay tests), </w:t>
      </w:r>
      <w:r w:rsidR="0012679F" w:rsidRPr="009D48E1">
        <w:t>along with</w:t>
      </w:r>
      <w:r w:rsidR="00C847BC" w:rsidRPr="009D48E1">
        <w:t xml:space="preserve"> </w:t>
      </w:r>
      <w:r w:rsidR="0012679F" w:rsidRPr="009D48E1">
        <w:t>age group (young vs. older adults)</w:t>
      </w:r>
      <w:r w:rsidR="001C6BBF">
        <w:t xml:space="preserve">, </w:t>
      </w:r>
      <w:r w:rsidR="00DB2F2F">
        <w:t>and final session (in person vs. telephone-based)</w:t>
      </w:r>
      <w:r w:rsidR="001C6BBF">
        <w:t xml:space="preserve"> as between-</w:t>
      </w:r>
      <w:proofErr w:type="gramStart"/>
      <w:r w:rsidR="001C6BBF">
        <w:t>subjects</w:t>
      </w:r>
      <w:proofErr w:type="gramEnd"/>
      <w:r w:rsidR="001C6BBF">
        <w:t xml:space="preserve"> factors. </w:t>
      </w:r>
      <w:r w:rsidR="007D4320">
        <w:t>There were</w:t>
      </w:r>
      <w:r w:rsidR="00326D74" w:rsidRPr="009D48E1">
        <w:t xml:space="preserve"> 20 younger adults in each of the </w:t>
      </w:r>
      <w:r w:rsidR="000D62C9">
        <w:t>two final session</w:t>
      </w:r>
      <w:r w:rsidR="00326D74" w:rsidRPr="009D48E1">
        <w:t xml:space="preserve"> conditions, while 17 older adults performed the ‘in person’ </w:t>
      </w:r>
      <w:r w:rsidR="00326D74" w:rsidRPr="009D48E1">
        <w:lastRenderedPageBreak/>
        <w:t xml:space="preserve">final session and 23 older adults the ‘telephone’ condition. </w:t>
      </w:r>
      <w:r w:rsidR="005C4978">
        <w:t xml:space="preserve">Based on the age group effect of </w:t>
      </w:r>
      <w:r w:rsidR="005C4978">
        <w:rPr>
          <w:i/>
          <w:iCs/>
        </w:rPr>
        <w:t>d</w:t>
      </w:r>
      <w:r w:rsidR="005C4978">
        <w:t xml:space="preserve"> = .86 in Baddeley et al. (2014), power analysis (calculated using G*Power 3</w:t>
      </w:r>
      <w:r w:rsidR="00A801F9">
        <w:t>.1.9.3</w:t>
      </w:r>
      <w:r w:rsidR="005C4978">
        <w:t xml:space="preserve">; </w:t>
      </w:r>
      <w:proofErr w:type="spellStart"/>
      <w:r w:rsidR="00A801F9">
        <w:t>Faul</w:t>
      </w:r>
      <w:proofErr w:type="spellEnd"/>
      <w:r w:rsidR="00A801F9">
        <w:t xml:space="preserve">, </w:t>
      </w:r>
      <w:proofErr w:type="spellStart"/>
      <w:r w:rsidR="00A801F9">
        <w:t>Erdfelder</w:t>
      </w:r>
      <w:proofErr w:type="spellEnd"/>
      <w:r w:rsidR="00A801F9">
        <w:t>, Lang, &amp; Buchner, 2009</w:t>
      </w:r>
      <w:r w:rsidR="005C4978">
        <w:t xml:space="preserve">) indicated minimum 80% power to detect such an effect at </w:t>
      </w:r>
      <w:r w:rsidR="005C4978" w:rsidRPr="005C4978">
        <w:sym w:font="Symbol" w:char="F061"/>
      </w:r>
      <w:r w:rsidR="005C4978" w:rsidRPr="005C4978">
        <w:t xml:space="preserve"> = .05</w:t>
      </w:r>
      <w:r w:rsidR="005C4978">
        <w:t>.</w:t>
      </w:r>
    </w:p>
    <w:p w14:paraId="0559F5AE" w14:textId="59D1F900" w:rsidR="00F50185" w:rsidRDefault="00326D74" w:rsidP="00F50185">
      <w:pPr>
        <w:spacing w:line="480" w:lineRule="auto"/>
        <w:ind w:firstLine="720"/>
      </w:pPr>
      <w:r w:rsidRPr="009D48E1">
        <w:t>The study was run over two sessions</w:t>
      </w:r>
      <w:r w:rsidR="0053441E">
        <w:t xml:space="preserve">. </w:t>
      </w:r>
      <w:r w:rsidR="00F50185" w:rsidRPr="009D48E1">
        <w:t xml:space="preserve">All participants attended the School of Psychology, University of </w:t>
      </w:r>
      <w:r w:rsidR="00BE7209">
        <w:t>Leeds</w:t>
      </w:r>
      <w:r w:rsidR="00F50185" w:rsidRPr="009D48E1">
        <w:t>, for the first session, while only those participants in the ‘in person’ condition attended for the second session.</w:t>
      </w:r>
      <w:r w:rsidR="00F50185">
        <w:t xml:space="preserve"> </w:t>
      </w:r>
      <w:r w:rsidR="006B09FF">
        <w:t>The</w:t>
      </w:r>
      <w:r w:rsidR="00B27C8D">
        <w:t xml:space="preserve"> first session</w:t>
      </w:r>
      <w:r w:rsidR="006B09FF">
        <w:t xml:space="preserve"> </w:t>
      </w:r>
      <w:r w:rsidR="00F50185">
        <w:t xml:space="preserve">lasted around 60 minutes, and </w:t>
      </w:r>
      <w:r w:rsidR="006B09FF">
        <w:t xml:space="preserve">proceeded as follows. </w:t>
      </w:r>
      <w:r w:rsidR="008D237D">
        <w:t xml:space="preserve">Following </w:t>
      </w:r>
      <w:r w:rsidR="00F50185">
        <w:t>administration of the</w:t>
      </w:r>
      <w:r w:rsidR="0053441E">
        <w:t xml:space="preserve"> MMSE</w:t>
      </w:r>
      <w:r w:rsidR="00F50185">
        <w:t xml:space="preserve"> (for older adults), the Crimes task was</w:t>
      </w:r>
      <w:r w:rsidR="006B09FF">
        <w:t xml:space="preserve"> </w:t>
      </w:r>
      <w:proofErr w:type="gramStart"/>
      <w:r w:rsidR="006B09FF">
        <w:t>intr</w:t>
      </w:r>
      <w:r w:rsidR="00F50185">
        <w:t>o</w:t>
      </w:r>
      <w:r w:rsidR="006B09FF">
        <w:t>duc</w:t>
      </w:r>
      <w:r w:rsidR="00F50185">
        <w:t>ed</w:t>
      </w:r>
      <w:proofErr w:type="gramEnd"/>
      <w:r w:rsidR="006B09FF">
        <w:t xml:space="preserve"> </w:t>
      </w:r>
      <w:r w:rsidR="008D237D">
        <w:t>and participant</w:t>
      </w:r>
      <w:r w:rsidR="00F50185">
        <w:t>s had the opportunity</w:t>
      </w:r>
      <w:r w:rsidR="008D237D">
        <w:t xml:space="preserve"> </w:t>
      </w:r>
      <w:r w:rsidR="006B09FF">
        <w:t>to ask questions</w:t>
      </w:r>
      <w:r w:rsidR="00F50185">
        <w:t>. T</w:t>
      </w:r>
      <w:r w:rsidR="008D237D">
        <w:t>he Crimes passages were</w:t>
      </w:r>
      <w:r w:rsidR="00B27C8D">
        <w:t xml:space="preserve"> </w:t>
      </w:r>
      <w:r w:rsidR="00F50185">
        <w:t xml:space="preserve">then </w:t>
      </w:r>
      <w:r w:rsidR="00B27C8D">
        <w:t>verbally presented to the participant</w:t>
      </w:r>
      <w:r w:rsidR="008D237D">
        <w:t xml:space="preserve"> by a researcher (a female native English speaker). The </w:t>
      </w:r>
      <w:r w:rsidR="00277AC2">
        <w:t xml:space="preserve">three </w:t>
      </w:r>
      <w:r w:rsidR="008D237D">
        <w:t>sentences within each</w:t>
      </w:r>
      <w:r w:rsidR="00B27C8D">
        <w:t xml:space="preserve"> </w:t>
      </w:r>
      <w:r w:rsidR="008D237D">
        <w:t xml:space="preserve">crime vignette were read </w:t>
      </w:r>
      <w:r w:rsidR="004A5672">
        <w:t xml:space="preserve">aloud </w:t>
      </w:r>
      <w:r w:rsidR="008D237D">
        <w:t>at an even pace, with a 2s pause between each sentence, and a 5s pause at the end of each vignette.</w:t>
      </w:r>
      <w:r w:rsidR="004A5672">
        <w:t xml:space="preserve"> </w:t>
      </w:r>
      <w:r w:rsidR="0059499C">
        <w:t>T</w:t>
      </w:r>
      <w:r w:rsidR="004A5672">
        <w:t xml:space="preserve">he immediate cued recall test was </w:t>
      </w:r>
      <w:r w:rsidR="0059499C">
        <w:t xml:space="preserve">then </w:t>
      </w:r>
      <w:r w:rsidR="004A5672">
        <w:t>administered, with the 20 questions from the first set read out by the researcher and participants attempting to provide a verbal response to each.</w:t>
      </w:r>
      <w:r w:rsidR="00F7755A">
        <w:t xml:space="preserve"> Following a delay of approximately 20 minutes (filled with </w:t>
      </w:r>
      <w:r w:rsidR="00EB3117">
        <w:t xml:space="preserve">an adapted version of </w:t>
      </w:r>
      <w:r w:rsidR="00F7755A">
        <w:t xml:space="preserve">the Doors visual recognition task – </w:t>
      </w:r>
      <w:r w:rsidR="00EB3117">
        <w:t>Baddeley, Emslie, &amp; Nimmo-Smith, 1994</w:t>
      </w:r>
      <w:r w:rsidR="00F7755A">
        <w:t>), the 20-min delay test was then administered using the same methodology (</w:t>
      </w:r>
      <w:r w:rsidR="006B0A82">
        <w:t xml:space="preserve">and </w:t>
      </w:r>
      <w:r w:rsidR="00F7755A">
        <w:t xml:space="preserve">a </w:t>
      </w:r>
      <w:r w:rsidR="006B0A82">
        <w:t>second</w:t>
      </w:r>
      <w:r w:rsidR="00F7755A">
        <w:t xml:space="preserve"> set</w:t>
      </w:r>
      <w:r w:rsidR="006B0A82">
        <w:t xml:space="preserve"> of questions)</w:t>
      </w:r>
      <w:r w:rsidR="00F7755A">
        <w:t xml:space="preserve">. </w:t>
      </w:r>
    </w:p>
    <w:p w14:paraId="00777E26" w14:textId="3948846F" w:rsidR="00A10DB8" w:rsidRPr="009D48E1" w:rsidRDefault="00F50185" w:rsidP="00F50185">
      <w:pPr>
        <w:spacing w:line="480" w:lineRule="auto"/>
        <w:ind w:firstLine="720"/>
      </w:pPr>
      <w:r>
        <w:t>The second session</w:t>
      </w:r>
      <w:r w:rsidRPr="009D48E1">
        <w:t xml:space="preserve"> </w:t>
      </w:r>
      <w:r>
        <w:t xml:space="preserve">was 15 minutes in duration and took place </w:t>
      </w:r>
      <w:r w:rsidRPr="009D48E1">
        <w:t>1</w:t>
      </w:r>
      <w:r>
        <w:t xml:space="preserve"> </w:t>
      </w:r>
      <w:r w:rsidRPr="009D48E1">
        <w:t>week later</w:t>
      </w:r>
      <w:r>
        <w:t>, comprising the final Crimes test (using a third set of 20 cued recall questions</w:t>
      </w:r>
      <w:r w:rsidRPr="009D48E1">
        <w:t>)</w:t>
      </w:r>
      <w:r>
        <w:t>.</w:t>
      </w:r>
      <w:r w:rsidRPr="009D48E1">
        <w:t xml:space="preserve"> </w:t>
      </w:r>
    </w:p>
    <w:p w14:paraId="140B3E5A" w14:textId="0E63C78F" w:rsidR="001A7A32" w:rsidRPr="009D48E1" w:rsidRDefault="001A7A32" w:rsidP="001A7A32">
      <w:pPr>
        <w:spacing w:line="480" w:lineRule="auto"/>
        <w:jc w:val="center"/>
      </w:pPr>
      <w:r w:rsidRPr="009D48E1">
        <w:t>Results</w:t>
      </w:r>
    </w:p>
    <w:p w14:paraId="6B109EF2" w14:textId="1AD5A005" w:rsidR="00250A7C" w:rsidRDefault="00C847BC" w:rsidP="00250A7C">
      <w:pPr>
        <w:spacing w:line="480" w:lineRule="auto"/>
      </w:pPr>
      <w:r w:rsidRPr="009D48E1">
        <w:t>Performance was scored as the mean number of cued recall questions correctly answered per test session</w:t>
      </w:r>
      <w:r w:rsidR="00863D4D" w:rsidRPr="009D48E1">
        <w:t xml:space="preserve"> (max score = 20)</w:t>
      </w:r>
      <w:r w:rsidR="00AE1D18">
        <w:t>.</w:t>
      </w:r>
      <w:r w:rsidR="00C94B7E">
        <w:t xml:space="preserve"> </w:t>
      </w:r>
      <w:r w:rsidR="00250A7C">
        <w:t xml:space="preserve">Descriptive statistics showing mean recall at each test stage, for each age group and final </w:t>
      </w:r>
      <w:r w:rsidR="009817A5">
        <w:t>test method</w:t>
      </w:r>
      <w:r w:rsidR="00250A7C">
        <w:t xml:space="preserve">, are reported in Table 1. </w:t>
      </w:r>
    </w:p>
    <w:p w14:paraId="1068A953" w14:textId="56FC4D45" w:rsidR="00693DCD" w:rsidRDefault="00732FA3" w:rsidP="00732FA3">
      <w:pPr>
        <w:spacing w:line="480" w:lineRule="auto"/>
        <w:ind w:firstLine="720"/>
      </w:pPr>
      <w:r>
        <w:t xml:space="preserve">All data were analysed using both frequentist and Bayes Factor (BF) analysis (e.g. Dienes &amp; </w:t>
      </w:r>
      <w:proofErr w:type="spellStart"/>
      <w:r>
        <w:t>Mclatchie</w:t>
      </w:r>
      <w:proofErr w:type="spellEnd"/>
      <w:r>
        <w:t xml:space="preserve">, 2018; van </w:t>
      </w:r>
      <w:proofErr w:type="spellStart"/>
      <w:r>
        <w:t>Doorn</w:t>
      </w:r>
      <w:proofErr w:type="spellEnd"/>
      <w:r>
        <w:t xml:space="preserve"> et al., 2019), using JASP (JASP Team, 2018). </w:t>
      </w:r>
      <w:r w:rsidRPr="009B0459">
        <w:t xml:space="preserve">BF analysis </w:t>
      </w:r>
      <w:r w:rsidR="003F12ED">
        <w:t xml:space="preserve">provides a continuous measure of </w:t>
      </w:r>
      <w:r w:rsidRPr="009B0459">
        <w:t xml:space="preserve">the strength of evidence for the alternative hypothesis against the null hypothesis and provides a test of equivalence between groups/conditions (Mulder &amp; </w:t>
      </w:r>
      <w:proofErr w:type="spellStart"/>
      <w:r w:rsidRPr="009B0459">
        <w:t>Wagenmaker</w:t>
      </w:r>
      <w:proofErr w:type="spellEnd"/>
      <w:r w:rsidRPr="009B0459">
        <w:t xml:space="preserve">, </w:t>
      </w:r>
      <w:r w:rsidRPr="009B0459">
        <w:lastRenderedPageBreak/>
        <w:t xml:space="preserve">2016). </w:t>
      </w:r>
      <w:r w:rsidR="003F12ED">
        <w:t xml:space="preserve">As such, complementing standard frequentist testing with Bayes Factors enables us to gauge the extent to which there is evidence for the alternative or for the null hypothesis. The </w:t>
      </w:r>
      <w:r>
        <w:t>Bayes Factor (BF</w:t>
      </w:r>
      <w:r w:rsidRPr="009B0459">
        <w:rPr>
          <w:vertAlign w:val="subscript"/>
        </w:rPr>
        <w:t>10</w:t>
      </w:r>
      <w:r>
        <w:t xml:space="preserve">) </w:t>
      </w:r>
      <w:r w:rsidRPr="009B0459">
        <w:t>describe</w:t>
      </w:r>
      <w:r w:rsidR="003F12ED">
        <w:t>s</w:t>
      </w:r>
      <w:r w:rsidRPr="009B0459">
        <w:t xml:space="preserve"> how many times more likely the alternative hypothesis is than the null hypothesis (of no effect/interaction)</w:t>
      </w:r>
      <w:r>
        <w:t>, with a BF&lt;1 indicating support for the null hypothesis, and BF&gt;1 indicating support for the alternative hypothesis. BFs for the inclusion of each main effect and interaction in the model are reported alongside frequentist outcomes.</w:t>
      </w:r>
    </w:p>
    <w:p w14:paraId="03489373" w14:textId="77777777" w:rsidR="00732FA3" w:rsidRDefault="00732FA3" w:rsidP="003F12ED">
      <w:pPr>
        <w:spacing w:line="480" w:lineRule="auto"/>
      </w:pPr>
    </w:p>
    <w:p w14:paraId="74EE03BE" w14:textId="4BA143AA" w:rsidR="00250A7C" w:rsidRDefault="0059499C" w:rsidP="0059499C">
      <w:pPr>
        <w:spacing w:line="480" w:lineRule="auto"/>
        <w:jc w:val="center"/>
      </w:pPr>
      <w:r>
        <w:t>Table 1 here</w:t>
      </w:r>
    </w:p>
    <w:p w14:paraId="44159A6A" w14:textId="5C6C96F3" w:rsidR="00EA7BA1" w:rsidRDefault="00EA7BA1" w:rsidP="00250A7C">
      <w:pPr>
        <w:spacing w:line="480" w:lineRule="auto"/>
      </w:pPr>
      <w:r>
        <w:tab/>
        <w:t xml:space="preserve">The primary focus of the current work was on whether recall varies when assessed in person or via telephone. Therefore, final </w:t>
      </w:r>
      <w:r w:rsidR="009817A5">
        <w:t>test</w:t>
      </w:r>
      <w:r>
        <w:t xml:space="preserve"> recall accuracy was analysed, within a 2x2 (age group x testing method) ANOVA. </w:t>
      </w:r>
      <w:r w:rsidR="009817A5">
        <w:t>This indicated a significant effect of age group,</w:t>
      </w:r>
      <w:r w:rsidR="009817A5" w:rsidRPr="009817A5">
        <w:rPr>
          <w:i/>
        </w:rPr>
        <w:t xml:space="preserve"> </w:t>
      </w:r>
      <w:r w:rsidR="009817A5" w:rsidRPr="009D48E1">
        <w:rPr>
          <w:i/>
        </w:rPr>
        <w:t>F</w:t>
      </w:r>
      <w:r w:rsidR="009817A5" w:rsidRPr="009D48E1">
        <w:t xml:space="preserve"> (</w:t>
      </w:r>
      <w:r w:rsidR="009817A5">
        <w:t>1,76</w:t>
      </w:r>
      <w:r w:rsidR="009817A5" w:rsidRPr="009D48E1">
        <w:t xml:space="preserve">) = </w:t>
      </w:r>
      <w:r w:rsidR="009817A5">
        <w:t>6.61</w:t>
      </w:r>
      <w:r w:rsidR="009817A5" w:rsidRPr="009D48E1">
        <w:t xml:space="preserve">, </w:t>
      </w:r>
      <w:r w:rsidR="009817A5" w:rsidRPr="009D48E1">
        <w:rPr>
          <w:i/>
        </w:rPr>
        <w:t>MSE</w:t>
      </w:r>
      <w:r w:rsidR="009817A5" w:rsidRPr="009D48E1">
        <w:t xml:space="preserve"> = </w:t>
      </w:r>
      <w:r w:rsidR="009817A5">
        <w:t>106.99</w:t>
      </w:r>
      <w:r w:rsidR="009817A5" w:rsidRPr="009D48E1">
        <w:t xml:space="preserve">, </w:t>
      </w:r>
      <w:r w:rsidR="009817A5" w:rsidRPr="009D48E1">
        <w:rPr>
          <w:i/>
        </w:rPr>
        <w:t>p</w:t>
      </w:r>
      <w:r w:rsidR="009817A5">
        <w:t xml:space="preserve"> = .012</w:t>
      </w:r>
      <w:r w:rsidR="009817A5" w:rsidRPr="009D48E1">
        <w:t xml:space="preserve">, </w:t>
      </w:r>
      <w:r w:rsidR="009817A5" w:rsidRPr="009D48E1">
        <w:rPr>
          <w:i/>
        </w:rPr>
        <w:t>np</w:t>
      </w:r>
      <w:r w:rsidR="009817A5" w:rsidRPr="009D48E1">
        <w:rPr>
          <w:i/>
          <w:vertAlign w:val="superscript"/>
        </w:rPr>
        <w:t>2</w:t>
      </w:r>
      <w:r w:rsidR="009817A5">
        <w:t xml:space="preserve"> = .08, </w:t>
      </w:r>
      <w:r w:rsidR="009817A5">
        <w:rPr>
          <w:i/>
          <w:iCs/>
        </w:rPr>
        <w:t xml:space="preserve">BF </w:t>
      </w:r>
      <w:r w:rsidR="009817A5">
        <w:t>= 4.79, with younger adults (</w:t>
      </w:r>
      <w:r w:rsidR="00C35AC9">
        <w:t>M=13.78, SE=.60</w:t>
      </w:r>
      <w:r w:rsidR="009817A5">
        <w:t>) more accurate than older adults (</w:t>
      </w:r>
      <w:r w:rsidR="00C35AC9">
        <w:t>11.38, .66</w:t>
      </w:r>
      <w:r w:rsidR="009817A5">
        <w:t>)</w:t>
      </w:r>
      <w:r w:rsidR="009817A5" w:rsidRPr="009D48E1">
        <w:t>.</w:t>
      </w:r>
      <w:r w:rsidR="009817A5">
        <w:t xml:space="preserve"> There was no effect of testing method, </w:t>
      </w:r>
      <w:r w:rsidR="009817A5" w:rsidRPr="009D48E1">
        <w:rPr>
          <w:i/>
        </w:rPr>
        <w:t>F</w:t>
      </w:r>
      <w:r w:rsidR="009817A5" w:rsidRPr="009D48E1">
        <w:t xml:space="preserve"> (</w:t>
      </w:r>
      <w:r w:rsidR="009817A5">
        <w:t>1,76</w:t>
      </w:r>
      <w:r w:rsidR="009817A5" w:rsidRPr="009D48E1">
        <w:t xml:space="preserve">) = </w:t>
      </w:r>
      <w:r w:rsidR="009817A5">
        <w:t>.72</w:t>
      </w:r>
      <w:r w:rsidR="009817A5" w:rsidRPr="009D48E1">
        <w:t xml:space="preserve">, </w:t>
      </w:r>
      <w:r w:rsidR="009817A5" w:rsidRPr="009D48E1">
        <w:rPr>
          <w:i/>
        </w:rPr>
        <w:t>MSE</w:t>
      </w:r>
      <w:r w:rsidR="009817A5" w:rsidRPr="009D48E1">
        <w:t xml:space="preserve"> = </w:t>
      </w:r>
      <w:r w:rsidR="009817A5">
        <w:t>11.64</w:t>
      </w:r>
      <w:r w:rsidR="009817A5" w:rsidRPr="009D48E1">
        <w:t xml:space="preserve">, </w:t>
      </w:r>
      <w:r w:rsidR="009817A5" w:rsidRPr="009D48E1">
        <w:rPr>
          <w:i/>
        </w:rPr>
        <w:t>p</w:t>
      </w:r>
      <w:r w:rsidR="009817A5">
        <w:t xml:space="preserve"> = .4</w:t>
      </w:r>
      <w:r w:rsidR="009817A5" w:rsidRPr="009D48E1">
        <w:t xml:space="preserve">, </w:t>
      </w:r>
      <w:r w:rsidR="009817A5" w:rsidRPr="009D48E1">
        <w:rPr>
          <w:i/>
        </w:rPr>
        <w:t>np</w:t>
      </w:r>
      <w:r w:rsidR="009817A5" w:rsidRPr="009D48E1">
        <w:rPr>
          <w:i/>
          <w:vertAlign w:val="superscript"/>
        </w:rPr>
        <w:t>2</w:t>
      </w:r>
      <w:r w:rsidR="009817A5">
        <w:t xml:space="preserve"> = .01, </w:t>
      </w:r>
      <w:r w:rsidR="009817A5">
        <w:rPr>
          <w:i/>
          <w:iCs/>
        </w:rPr>
        <w:t xml:space="preserve">BF </w:t>
      </w:r>
      <w:r w:rsidR="009817A5">
        <w:t xml:space="preserve">= .32, and no interaction between these factors, </w:t>
      </w:r>
      <w:r w:rsidR="009817A5" w:rsidRPr="009D48E1">
        <w:rPr>
          <w:i/>
        </w:rPr>
        <w:t>F</w:t>
      </w:r>
      <w:r w:rsidR="009817A5" w:rsidRPr="009D48E1">
        <w:t xml:space="preserve"> (</w:t>
      </w:r>
      <w:r w:rsidR="009817A5">
        <w:t>1,76</w:t>
      </w:r>
      <w:r w:rsidR="009817A5" w:rsidRPr="009D48E1">
        <w:t xml:space="preserve">) = </w:t>
      </w:r>
      <w:r w:rsidR="009817A5">
        <w:t>.06</w:t>
      </w:r>
      <w:r w:rsidR="009817A5" w:rsidRPr="009D48E1">
        <w:t xml:space="preserve">, </w:t>
      </w:r>
      <w:r w:rsidR="009817A5" w:rsidRPr="009D48E1">
        <w:rPr>
          <w:i/>
        </w:rPr>
        <w:t>MSE</w:t>
      </w:r>
      <w:r w:rsidR="009817A5" w:rsidRPr="009D48E1">
        <w:t xml:space="preserve"> = </w:t>
      </w:r>
      <w:r w:rsidR="009817A5">
        <w:t>.93</w:t>
      </w:r>
      <w:r w:rsidR="009817A5" w:rsidRPr="009D48E1">
        <w:t xml:space="preserve">, </w:t>
      </w:r>
      <w:r w:rsidR="009817A5" w:rsidRPr="009D48E1">
        <w:rPr>
          <w:i/>
        </w:rPr>
        <w:t>p</w:t>
      </w:r>
      <w:r w:rsidR="009817A5">
        <w:t xml:space="preserve"> = .81</w:t>
      </w:r>
      <w:r w:rsidR="009817A5" w:rsidRPr="009D48E1">
        <w:t xml:space="preserve">, </w:t>
      </w:r>
      <w:r w:rsidR="009817A5" w:rsidRPr="009D48E1">
        <w:rPr>
          <w:i/>
        </w:rPr>
        <w:t>np</w:t>
      </w:r>
      <w:r w:rsidR="009817A5" w:rsidRPr="009D48E1">
        <w:rPr>
          <w:i/>
          <w:vertAlign w:val="superscript"/>
        </w:rPr>
        <w:t>2</w:t>
      </w:r>
      <w:r w:rsidR="009817A5">
        <w:t xml:space="preserve"> = .00, </w:t>
      </w:r>
      <w:r w:rsidR="009817A5">
        <w:rPr>
          <w:i/>
          <w:iCs/>
        </w:rPr>
        <w:t xml:space="preserve">BF </w:t>
      </w:r>
      <w:r w:rsidR="009817A5">
        <w:t>= .34.</w:t>
      </w:r>
    </w:p>
    <w:p w14:paraId="4EEB81EE" w14:textId="50FA34AE" w:rsidR="00A42D78" w:rsidRDefault="00696D60" w:rsidP="0059499C">
      <w:pPr>
        <w:spacing w:line="480" w:lineRule="auto"/>
      </w:pPr>
      <w:r>
        <w:tab/>
        <w:t>As recall at the final (</w:t>
      </w:r>
      <w:r w:rsidR="00387F60">
        <w:t>1</w:t>
      </w:r>
      <w:r>
        <w:t>-week delay) test is not independent of earlier memory retention, we calculated final test accuracy as a proportion of recall at the immediate and 20-minute tests</w:t>
      </w:r>
      <w:r w:rsidR="0059499C">
        <w:t xml:space="preserve"> (see </w:t>
      </w:r>
      <w:r>
        <w:t>Figure 1</w:t>
      </w:r>
      <w:r w:rsidR="0059499C">
        <w:t>)</w:t>
      </w:r>
      <w:r>
        <w:t xml:space="preserve">. Separate 2x2 frequentist and Bayesian ANOVA were carried out in each case. For the comparison with the immediate test, this indicated no effect of age group, </w:t>
      </w:r>
      <w:r w:rsidRPr="009D48E1">
        <w:rPr>
          <w:i/>
        </w:rPr>
        <w:t>F</w:t>
      </w:r>
      <w:r w:rsidRPr="009D48E1">
        <w:t xml:space="preserve"> (</w:t>
      </w:r>
      <w:r>
        <w:t>1,76</w:t>
      </w:r>
      <w:r w:rsidRPr="009D48E1">
        <w:t xml:space="preserve">) = </w:t>
      </w:r>
      <w:r>
        <w:t>.76</w:t>
      </w:r>
      <w:r w:rsidRPr="009D48E1">
        <w:t xml:space="preserve">, </w:t>
      </w:r>
      <w:r w:rsidRPr="009D48E1">
        <w:rPr>
          <w:i/>
        </w:rPr>
        <w:t>MSE</w:t>
      </w:r>
      <w:r w:rsidRPr="009D48E1">
        <w:t xml:space="preserve"> = </w:t>
      </w:r>
      <w:r>
        <w:t>.01</w:t>
      </w:r>
      <w:r w:rsidRPr="009D48E1">
        <w:t xml:space="preserve">, </w:t>
      </w:r>
      <w:r w:rsidRPr="009D48E1">
        <w:rPr>
          <w:i/>
        </w:rPr>
        <w:t>p</w:t>
      </w:r>
      <w:r>
        <w:t xml:space="preserve"> = .38</w:t>
      </w:r>
      <w:r w:rsidRPr="009D48E1">
        <w:t xml:space="preserve">, </w:t>
      </w:r>
      <w:r w:rsidRPr="009D48E1">
        <w:rPr>
          <w:i/>
        </w:rPr>
        <w:t>np</w:t>
      </w:r>
      <w:r w:rsidRPr="009D48E1">
        <w:rPr>
          <w:i/>
          <w:vertAlign w:val="superscript"/>
        </w:rPr>
        <w:t>2</w:t>
      </w:r>
      <w:r>
        <w:t xml:space="preserve"> = .01, </w:t>
      </w:r>
      <w:r>
        <w:rPr>
          <w:i/>
          <w:iCs/>
        </w:rPr>
        <w:t xml:space="preserve">BF </w:t>
      </w:r>
      <w:r>
        <w:t xml:space="preserve">= .32, testing method, </w:t>
      </w:r>
      <w:r w:rsidRPr="009D48E1">
        <w:rPr>
          <w:i/>
        </w:rPr>
        <w:t>F</w:t>
      </w:r>
      <w:r w:rsidRPr="009D48E1">
        <w:t xml:space="preserve"> (</w:t>
      </w:r>
      <w:r>
        <w:t>1,76</w:t>
      </w:r>
      <w:r w:rsidRPr="009D48E1">
        <w:t xml:space="preserve">) = </w:t>
      </w:r>
      <w:r>
        <w:t>.02</w:t>
      </w:r>
      <w:r w:rsidRPr="009D48E1">
        <w:t xml:space="preserve">, </w:t>
      </w:r>
      <w:r w:rsidRPr="009D48E1">
        <w:rPr>
          <w:i/>
        </w:rPr>
        <w:t>MSE</w:t>
      </w:r>
      <w:r w:rsidRPr="009D48E1">
        <w:t xml:space="preserve"> = </w:t>
      </w:r>
      <w:r>
        <w:t>.00</w:t>
      </w:r>
      <w:r w:rsidRPr="009D48E1">
        <w:t xml:space="preserve"> </w:t>
      </w:r>
      <w:r w:rsidRPr="009D48E1">
        <w:rPr>
          <w:i/>
        </w:rPr>
        <w:t>p</w:t>
      </w:r>
      <w:r>
        <w:t xml:space="preserve"> = .88</w:t>
      </w:r>
      <w:r w:rsidRPr="009D48E1">
        <w:t xml:space="preserve">, </w:t>
      </w:r>
      <w:r w:rsidRPr="009D48E1">
        <w:rPr>
          <w:i/>
        </w:rPr>
        <w:t>np</w:t>
      </w:r>
      <w:r w:rsidRPr="009D48E1">
        <w:rPr>
          <w:i/>
          <w:vertAlign w:val="superscript"/>
        </w:rPr>
        <w:t>2</w:t>
      </w:r>
      <w:r>
        <w:t xml:space="preserve"> = .00, </w:t>
      </w:r>
      <w:r>
        <w:rPr>
          <w:i/>
          <w:iCs/>
        </w:rPr>
        <w:t xml:space="preserve">BF </w:t>
      </w:r>
      <w:r>
        <w:t xml:space="preserve">= .24, or the interaction, </w:t>
      </w:r>
      <w:r w:rsidRPr="009D48E1">
        <w:rPr>
          <w:i/>
        </w:rPr>
        <w:t>F</w:t>
      </w:r>
      <w:r w:rsidRPr="009D48E1">
        <w:t xml:space="preserve"> (</w:t>
      </w:r>
      <w:r>
        <w:t>1,76</w:t>
      </w:r>
      <w:r w:rsidRPr="009D48E1">
        <w:t xml:space="preserve">) = </w:t>
      </w:r>
      <w:r>
        <w:t>.02</w:t>
      </w:r>
      <w:r w:rsidRPr="009D48E1">
        <w:t xml:space="preserve">, </w:t>
      </w:r>
      <w:r w:rsidRPr="009D48E1">
        <w:rPr>
          <w:i/>
        </w:rPr>
        <w:t>MSE</w:t>
      </w:r>
      <w:r w:rsidRPr="009D48E1">
        <w:t xml:space="preserve"> = </w:t>
      </w:r>
      <w:r>
        <w:t>.00</w:t>
      </w:r>
      <w:r w:rsidRPr="009D48E1">
        <w:t xml:space="preserve">, </w:t>
      </w:r>
      <w:r w:rsidRPr="009D48E1">
        <w:rPr>
          <w:i/>
        </w:rPr>
        <w:t>p</w:t>
      </w:r>
      <w:r>
        <w:t xml:space="preserve"> = .89</w:t>
      </w:r>
      <w:r w:rsidRPr="009D48E1">
        <w:t xml:space="preserve">, </w:t>
      </w:r>
      <w:r w:rsidRPr="009D48E1">
        <w:rPr>
          <w:i/>
        </w:rPr>
        <w:t>np</w:t>
      </w:r>
      <w:r w:rsidRPr="009D48E1">
        <w:rPr>
          <w:i/>
          <w:vertAlign w:val="superscript"/>
        </w:rPr>
        <w:t>2</w:t>
      </w:r>
      <w:r>
        <w:t xml:space="preserve"> = .00, </w:t>
      </w:r>
      <w:r>
        <w:rPr>
          <w:i/>
          <w:iCs/>
        </w:rPr>
        <w:t xml:space="preserve">BF </w:t>
      </w:r>
      <w:r>
        <w:t xml:space="preserve">= .33. Similarly, </w:t>
      </w:r>
      <w:r w:rsidR="003F0180">
        <w:t xml:space="preserve">for the comparison with the 20-minute test, this indicated no effect of age group, </w:t>
      </w:r>
      <w:r w:rsidR="003F0180" w:rsidRPr="009D48E1">
        <w:rPr>
          <w:i/>
        </w:rPr>
        <w:t>F</w:t>
      </w:r>
      <w:r w:rsidR="003F0180" w:rsidRPr="009D48E1">
        <w:t xml:space="preserve"> (</w:t>
      </w:r>
      <w:r w:rsidR="003F0180">
        <w:t>1,76</w:t>
      </w:r>
      <w:r w:rsidR="003F0180" w:rsidRPr="009D48E1">
        <w:t xml:space="preserve">) = </w:t>
      </w:r>
      <w:r w:rsidR="003F0180">
        <w:t>.53</w:t>
      </w:r>
      <w:r w:rsidR="003F0180" w:rsidRPr="009D48E1">
        <w:t xml:space="preserve">, </w:t>
      </w:r>
      <w:r w:rsidR="003F0180" w:rsidRPr="009D48E1">
        <w:rPr>
          <w:i/>
        </w:rPr>
        <w:t>MSE</w:t>
      </w:r>
      <w:r w:rsidR="003F0180" w:rsidRPr="009D48E1">
        <w:t xml:space="preserve"> = </w:t>
      </w:r>
      <w:r w:rsidR="003F0180">
        <w:t>.01</w:t>
      </w:r>
      <w:r w:rsidR="003F0180" w:rsidRPr="009D48E1">
        <w:t xml:space="preserve">, </w:t>
      </w:r>
      <w:r w:rsidR="003F0180" w:rsidRPr="009D48E1">
        <w:rPr>
          <w:i/>
        </w:rPr>
        <w:t>p</w:t>
      </w:r>
      <w:r w:rsidR="003F0180">
        <w:t xml:space="preserve"> = .82</w:t>
      </w:r>
      <w:r w:rsidR="003F0180" w:rsidRPr="009D48E1">
        <w:t xml:space="preserve">, </w:t>
      </w:r>
      <w:r w:rsidR="003F0180" w:rsidRPr="009D48E1">
        <w:rPr>
          <w:i/>
        </w:rPr>
        <w:t>np</w:t>
      </w:r>
      <w:r w:rsidR="003F0180" w:rsidRPr="009D48E1">
        <w:rPr>
          <w:i/>
          <w:vertAlign w:val="superscript"/>
        </w:rPr>
        <w:t>2</w:t>
      </w:r>
      <w:r w:rsidR="003F0180">
        <w:t xml:space="preserve"> = .00, </w:t>
      </w:r>
      <w:r w:rsidR="003F0180">
        <w:rPr>
          <w:i/>
          <w:iCs/>
        </w:rPr>
        <w:t xml:space="preserve">BF </w:t>
      </w:r>
      <w:r w:rsidR="003F0180">
        <w:t xml:space="preserve">= .24, testing method, </w:t>
      </w:r>
      <w:r w:rsidR="003F0180" w:rsidRPr="009D48E1">
        <w:rPr>
          <w:i/>
        </w:rPr>
        <w:t>F</w:t>
      </w:r>
      <w:r w:rsidR="003F0180" w:rsidRPr="009D48E1">
        <w:t xml:space="preserve"> (</w:t>
      </w:r>
      <w:r w:rsidR="003F0180">
        <w:t>1,76</w:t>
      </w:r>
      <w:r w:rsidR="003F0180" w:rsidRPr="009D48E1">
        <w:t xml:space="preserve">) = </w:t>
      </w:r>
      <w:r w:rsidR="003F0180">
        <w:t>.</w:t>
      </w:r>
      <w:r w:rsidR="00615503">
        <w:t>81</w:t>
      </w:r>
      <w:r w:rsidR="003F0180" w:rsidRPr="009D48E1">
        <w:t xml:space="preserve">, </w:t>
      </w:r>
      <w:r w:rsidR="003F0180" w:rsidRPr="009D48E1">
        <w:rPr>
          <w:i/>
        </w:rPr>
        <w:t>MSE</w:t>
      </w:r>
      <w:r w:rsidR="003F0180" w:rsidRPr="009D48E1">
        <w:t xml:space="preserve"> = </w:t>
      </w:r>
      <w:r w:rsidR="003F0180">
        <w:t>.</w:t>
      </w:r>
      <w:r w:rsidR="00615503">
        <w:t>18</w:t>
      </w:r>
      <w:r w:rsidR="003F0180" w:rsidRPr="009D48E1">
        <w:t xml:space="preserve"> </w:t>
      </w:r>
      <w:r w:rsidR="003F0180" w:rsidRPr="009D48E1">
        <w:rPr>
          <w:i/>
        </w:rPr>
        <w:t>p</w:t>
      </w:r>
      <w:r w:rsidR="003F0180">
        <w:t xml:space="preserve"> = .</w:t>
      </w:r>
      <w:r w:rsidR="00615503">
        <w:t>37</w:t>
      </w:r>
      <w:r w:rsidR="003F0180" w:rsidRPr="009D48E1">
        <w:t xml:space="preserve">, </w:t>
      </w:r>
      <w:r w:rsidR="003F0180" w:rsidRPr="009D48E1">
        <w:rPr>
          <w:i/>
        </w:rPr>
        <w:t>np</w:t>
      </w:r>
      <w:r w:rsidR="003F0180" w:rsidRPr="009D48E1">
        <w:rPr>
          <w:i/>
          <w:vertAlign w:val="superscript"/>
        </w:rPr>
        <w:t>2</w:t>
      </w:r>
      <w:r w:rsidR="003F0180">
        <w:t xml:space="preserve"> = .0</w:t>
      </w:r>
      <w:r w:rsidR="00615503">
        <w:t>1</w:t>
      </w:r>
      <w:r w:rsidR="003F0180">
        <w:t xml:space="preserve">, </w:t>
      </w:r>
      <w:r w:rsidR="003F0180">
        <w:rPr>
          <w:i/>
          <w:iCs/>
        </w:rPr>
        <w:t xml:space="preserve">BF </w:t>
      </w:r>
      <w:r w:rsidR="003F0180">
        <w:t>= .</w:t>
      </w:r>
      <w:r w:rsidR="00615503">
        <w:t>34</w:t>
      </w:r>
      <w:r w:rsidR="003F0180">
        <w:t xml:space="preserve">, or the interaction, </w:t>
      </w:r>
      <w:r w:rsidR="003F0180" w:rsidRPr="009D48E1">
        <w:rPr>
          <w:i/>
        </w:rPr>
        <w:t>F</w:t>
      </w:r>
      <w:r w:rsidR="003F0180" w:rsidRPr="009D48E1">
        <w:t xml:space="preserve"> (</w:t>
      </w:r>
      <w:r w:rsidR="003F0180">
        <w:t>1,76</w:t>
      </w:r>
      <w:r w:rsidR="003F0180" w:rsidRPr="009D48E1">
        <w:t xml:space="preserve">) = </w:t>
      </w:r>
      <w:r w:rsidR="003F0180">
        <w:t>.0</w:t>
      </w:r>
      <w:r w:rsidR="00615503">
        <w:t>4</w:t>
      </w:r>
      <w:r w:rsidR="003F0180" w:rsidRPr="009D48E1">
        <w:t xml:space="preserve">, </w:t>
      </w:r>
      <w:r w:rsidR="003F0180" w:rsidRPr="009D48E1">
        <w:rPr>
          <w:i/>
        </w:rPr>
        <w:t>MSE</w:t>
      </w:r>
      <w:r w:rsidR="003F0180" w:rsidRPr="009D48E1">
        <w:t xml:space="preserve"> = </w:t>
      </w:r>
      <w:r w:rsidR="003F0180">
        <w:t>.0</w:t>
      </w:r>
      <w:r w:rsidR="00615503">
        <w:t>1</w:t>
      </w:r>
      <w:r w:rsidR="003F0180" w:rsidRPr="009D48E1">
        <w:t xml:space="preserve">, </w:t>
      </w:r>
      <w:r w:rsidR="003F0180" w:rsidRPr="009D48E1">
        <w:rPr>
          <w:i/>
        </w:rPr>
        <w:t>p</w:t>
      </w:r>
      <w:r w:rsidR="003F0180">
        <w:t xml:space="preserve"> = .8</w:t>
      </w:r>
      <w:r w:rsidR="00615503">
        <w:t>5</w:t>
      </w:r>
      <w:r w:rsidR="003F0180" w:rsidRPr="009D48E1">
        <w:t xml:space="preserve">, </w:t>
      </w:r>
      <w:r w:rsidR="003F0180" w:rsidRPr="009D48E1">
        <w:rPr>
          <w:i/>
        </w:rPr>
        <w:t>np</w:t>
      </w:r>
      <w:r w:rsidR="003F0180" w:rsidRPr="009D48E1">
        <w:rPr>
          <w:i/>
          <w:vertAlign w:val="superscript"/>
        </w:rPr>
        <w:t>2</w:t>
      </w:r>
      <w:r w:rsidR="003F0180">
        <w:t xml:space="preserve"> = .00, </w:t>
      </w:r>
      <w:r w:rsidR="003F0180">
        <w:rPr>
          <w:i/>
          <w:iCs/>
        </w:rPr>
        <w:t xml:space="preserve">BF </w:t>
      </w:r>
      <w:r w:rsidR="003F0180">
        <w:t>= .</w:t>
      </w:r>
      <w:r w:rsidR="00615503">
        <w:t>29</w:t>
      </w:r>
      <w:r w:rsidR="003F0180">
        <w:t>.</w:t>
      </w:r>
    </w:p>
    <w:p w14:paraId="6A2FFBE5" w14:textId="57D87F1F" w:rsidR="005A7534" w:rsidRDefault="0059499C" w:rsidP="0059499C">
      <w:pPr>
        <w:spacing w:line="480" w:lineRule="auto"/>
        <w:jc w:val="center"/>
      </w:pPr>
      <w:r>
        <w:t>Figure 1 here</w:t>
      </w:r>
    </w:p>
    <w:p w14:paraId="2791ADDE" w14:textId="77777777" w:rsidR="0059499C" w:rsidRDefault="0059499C" w:rsidP="0059499C">
      <w:pPr>
        <w:spacing w:line="480" w:lineRule="auto"/>
        <w:jc w:val="center"/>
      </w:pPr>
    </w:p>
    <w:p w14:paraId="295F09B5" w14:textId="3BE46293" w:rsidR="00F30B99" w:rsidRPr="009D48E1" w:rsidRDefault="00F30B99" w:rsidP="00F30B99">
      <w:pPr>
        <w:spacing w:line="480" w:lineRule="auto"/>
        <w:jc w:val="center"/>
      </w:pPr>
      <w:r w:rsidRPr="009D48E1">
        <w:lastRenderedPageBreak/>
        <w:t>Discussion</w:t>
      </w:r>
    </w:p>
    <w:p w14:paraId="3A502B14" w14:textId="58A37C95" w:rsidR="00AD0B8D" w:rsidRDefault="00787C8F" w:rsidP="00AD0B8D">
      <w:pPr>
        <w:spacing w:line="480" w:lineRule="auto"/>
      </w:pPr>
      <w:r>
        <w:t>The current study explored whether the use of telephone testing ha</w:t>
      </w:r>
      <w:r w:rsidR="00A10DB8">
        <w:t>s</w:t>
      </w:r>
      <w:r>
        <w:t xml:space="preserve"> any major impact on cued recall performance in the Crimes Test (Baddeley et al., 2014, 201</w:t>
      </w:r>
      <w:r w:rsidR="00A10DB8">
        <w:t>9</w:t>
      </w:r>
      <w:r>
        <w:t>) by younger and older adults.</w:t>
      </w:r>
      <w:r w:rsidR="00AD0B8D">
        <w:t xml:space="preserve"> The outcomes overall were clear; there was no impact of telephone-based testing, relative to in-person testing, at the final session</w:t>
      </w:r>
      <w:r w:rsidR="0024113D">
        <w:t xml:space="preserve"> carried out one week after initial presentation and assessment</w:t>
      </w:r>
      <w:r w:rsidR="00AD0B8D">
        <w:t>.</w:t>
      </w:r>
    </w:p>
    <w:p w14:paraId="1A02047C" w14:textId="6A01D1F5" w:rsidR="0083027D" w:rsidRDefault="00AD0B8D" w:rsidP="00952F32">
      <w:pPr>
        <w:spacing w:line="480" w:lineRule="auto"/>
        <w:ind w:firstLine="720"/>
      </w:pPr>
      <w:r w:rsidRPr="009D48E1">
        <w:t xml:space="preserve">These findings </w:t>
      </w:r>
      <w:r>
        <w:t xml:space="preserve">indicate that the Crimes Test can be implemented over the telephone at delayed follow-up, thus simplifying its application as a possible assessment tool. </w:t>
      </w:r>
      <w:r w:rsidR="00BD0FCB">
        <w:t>W</w:t>
      </w:r>
      <w:r>
        <w:t>hile acknowledging the caution required when extending outcomes to other tasks, delayed recall tests of story, word, or picture memory as used to measure forgetting over time (e.g. Baddeley et al., 2018; Gascoigne et al., 2012, 2014; Kemp et al., 2012</w:t>
      </w:r>
      <w:r w:rsidR="00BC30C2">
        <w:t>; Ricci et al., 2018</w:t>
      </w:r>
      <w:r>
        <w:t xml:space="preserve">) should also be suitable for use in telephone-based testing. </w:t>
      </w:r>
      <w:r w:rsidR="004A153B">
        <w:t>The absence of an interaction with age also indicates that older adults did not find telephone testing to be relatively more challenging, compared to the younger age group. Though</w:t>
      </w:r>
      <w:r>
        <w:t xml:space="preserve"> the present study was focused on healthy young and older adults with no known cognitive or sensory impairments</w:t>
      </w:r>
      <w:r w:rsidR="004A153B">
        <w:t>, w</w:t>
      </w:r>
      <w:r>
        <w:t xml:space="preserve">e would </w:t>
      </w:r>
      <w:r w:rsidR="00256975">
        <w:t xml:space="preserve">cautiously </w:t>
      </w:r>
      <w:r>
        <w:t xml:space="preserve">suggest the present findings </w:t>
      </w:r>
      <w:r w:rsidR="00952F32">
        <w:t>to be applicable</w:t>
      </w:r>
      <w:r>
        <w:t xml:space="preserve"> to clinical groups for whom </w:t>
      </w:r>
      <w:r w:rsidR="00082C97">
        <w:t xml:space="preserve">forgetting over time </w:t>
      </w:r>
      <w:r>
        <w:t xml:space="preserve">may be problematic, provided of course that such individuals do not possess auditory impairments that preclude telephone use. </w:t>
      </w:r>
      <w:r w:rsidR="00952F32">
        <w:t>It may therefore be appropriate for f</w:t>
      </w:r>
      <w:r w:rsidR="005F2207">
        <w:t xml:space="preserve">uture work to incorporate this method into study designs and development of test materials to minimise expense, inconvenience, and participant attrition. </w:t>
      </w:r>
      <w:r w:rsidR="00256975">
        <w:t xml:space="preserve">However, </w:t>
      </w:r>
      <w:r w:rsidR="00952F32">
        <w:t xml:space="preserve">the efficacy of telephone-based assessment of long-term forgetting should ideally also be explored in relevant clinical samples its’ widespread use can be confidently adopted. It is also worth noting that this form of remote assessment may reduce the ability of the tester to assess symptom validity, non-verbal behaviour, or the degree to which the participant is </w:t>
      </w:r>
      <w:r w:rsidR="00A6457F">
        <w:t xml:space="preserve">being </w:t>
      </w:r>
      <w:r w:rsidR="00952F32">
        <w:t>influenced by the environmental context</w:t>
      </w:r>
      <w:r w:rsidR="00A6457F">
        <w:t>.</w:t>
      </w:r>
    </w:p>
    <w:p w14:paraId="3E11837D" w14:textId="29A833F6" w:rsidR="00394B3A" w:rsidRPr="00AD2D01" w:rsidRDefault="00E16DA6" w:rsidP="00440CE7">
      <w:pPr>
        <w:spacing w:line="480" w:lineRule="auto"/>
        <w:ind w:firstLine="720"/>
      </w:pPr>
      <w:r>
        <w:t>More broadly, an</w:t>
      </w:r>
      <w:r w:rsidR="00177AED">
        <w:t xml:space="preserve"> effect of age was observed</w:t>
      </w:r>
      <w:r w:rsidR="00BD0FCB">
        <w:t xml:space="preserve"> on the final session</w:t>
      </w:r>
      <w:r w:rsidR="00177AED">
        <w:t xml:space="preserve">, with older adults performing less accurately overall, relative to the younger group. This replicates the </w:t>
      </w:r>
      <w:r w:rsidR="007D5AE2">
        <w:t xml:space="preserve">overall </w:t>
      </w:r>
      <w:r w:rsidR="00177AED">
        <w:t>age difference on Crimes recall rep</w:t>
      </w:r>
      <w:r w:rsidR="007D5AE2">
        <w:t>orted by Baddeley et al. (2014)</w:t>
      </w:r>
      <w:r w:rsidR="00177AED">
        <w:t xml:space="preserve"> and is in line with well-established </w:t>
      </w:r>
      <w:r w:rsidR="00177AED">
        <w:lastRenderedPageBreak/>
        <w:t xml:space="preserve">age-related deficits in episodic </w:t>
      </w:r>
      <w:r w:rsidR="00EB3117">
        <w:t>learning</w:t>
      </w:r>
      <w:r w:rsidR="001B3E66">
        <w:t xml:space="preserve"> and</w:t>
      </w:r>
      <w:r w:rsidR="00EB3117">
        <w:t xml:space="preserve"> </w:t>
      </w:r>
      <w:r w:rsidR="00AD2D01">
        <w:t>long-term recall (e.g. Craik, 1994</w:t>
      </w:r>
      <w:r w:rsidR="00177AED">
        <w:t xml:space="preserve">). </w:t>
      </w:r>
      <w:r w:rsidR="0059499C">
        <w:t>The older group did</w:t>
      </w:r>
      <w:r w:rsidR="00440CE7">
        <w:t xml:space="preserve"> not </w:t>
      </w:r>
      <w:r w:rsidR="0059499C">
        <w:t>show</w:t>
      </w:r>
      <w:r w:rsidR="00440CE7">
        <w:t xml:space="preserve"> faster forgetting over the one-week retention interval, as there was no effect of age on the final test recall score when calculated as a proportion of either the immediate or 20-minute test. Indeed, forgetting was not apparent in either group over this time period (as illustrated by Figure 1). </w:t>
      </w:r>
      <w:r w:rsidR="00FC6F28">
        <w:t xml:space="preserve">The </w:t>
      </w:r>
      <w:r w:rsidR="00440CE7">
        <w:t>one</w:t>
      </w:r>
      <w:r w:rsidR="008E679F">
        <w:t>-</w:t>
      </w:r>
      <w:r w:rsidR="006347C4">
        <w:t>week delay</w:t>
      </w:r>
      <w:r w:rsidR="00FC6F28">
        <w:t xml:space="preserve"> used in the present study </w:t>
      </w:r>
      <w:r w:rsidR="006347C4">
        <w:t>was</w:t>
      </w:r>
      <w:r w:rsidR="00FC6F28">
        <w:t xml:space="preserve"> shorter t</w:t>
      </w:r>
      <w:r w:rsidR="00AD2D01">
        <w:t>han the delays</w:t>
      </w:r>
      <w:r w:rsidR="00FC6F28">
        <w:t xml:space="preserve"> implemented by Baddeley et al. (2014), who studied intermediate intervals of 24 hours to 24 days, and a </w:t>
      </w:r>
      <w:r w:rsidR="009557DE">
        <w:t xml:space="preserve">longer delay of 6 weeks. </w:t>
      </w:r>
      <w:r w:rsidR="0053441E">
        <w:t>M</w:t>
      </w:r>
      <w:r w:rsidR="009557DE">
        <w:t xml:space="preserve">eaningful </w:t>
      </w:r>
      <w:r w:rsidR="003637C0">
        <w:t xml:space="preserve">long-term </w:t>
      </w:r>
      <w:r w:rsidR="009557DE">
        <w:t xml:space="preserve">forgetting </w:t>
      </w:r>
      <w:r w:rsidR="0053441E">
        <w:t xml:space="preserve">may </w:t>
      </w:r>
      <w:r w:rsidR="009557DE">
        <w:t xml:space="preserve">only start to emerge </w:t>
      </w:r>
      <w:r w:rsidR="003637C0">
        <w:t xml:space="preserve">in healthy individuals </w:t>
      </w:r>
      <w:r w:rsidR="009557DE">
        <w:t xml:space="preserve">on the Crimes test over intervals </w:t>
      </w:r>
      <w:r w:rsidR="003637C0">
        <w:t xml:space="preserve">substantially </w:t>
      </w:r>
      <w:r w:rsidR="00AD2D01">
        <w:t xml:space="preserve">beyond </w:t>
      </w:r>
      <w:r w:rsidR="001A7B1D">
        <w:t>one</w:t>
      </w:r>
      <w:r w:rsidR="00AD2D01">
        <w:t xml:space="preserve"> week</w:t>
      </w:r>
      <w:r w:rsidR="00DE74F6">
        <w:t xml:space="preserve">. </w:t>
      </w:r>
      <w:r w:rsidR="0059499C">
        <w:t xml:space="preserve">Furthermore, </w:t>
      </w:r>
      <w:r w:rsidR="00DE74F6">
        <w:t>the 20</w:t>
      </w:r>
      <w:r w:rsidR="0059499C">
        <w:t>-</w:t>
      </w:r>
      <w:r w:rsidR="00DE74F6">
        <w:t>minute</w:t>
      </w:r>
      <w:r w:rsidR="0053441E">
        <w:t xml:space="preserve"> delay test</w:t>
      </w:r>
      <w:r w:rsidR="00DE74F6">
        <w:t xml:space="preserve"> </w:t>
      </w:r>
      <w:r w:rsidR="0059499C">
        <w:t xml:space="preserve">may have </w:t>
      </w:r>
      <w:r w:rsidR="00DE74F6">
        <w:t xml:space="preserve">served to strengthen the </w:t>
      </w:r>
      <w:r w:rsidR="00682A9B">
        <w:t xml:space="preserve">memory representation and </w:t>
      </w:r>
      <w:r w:rsidR="00DE74F6">
        <w:t>slow forgetting</w:t>
      </w:r>
      <w:r w:rsidR="00682A9B">
        <w:t>. Baddeley et al. (201</w:t>
      </w:r>
      <w:r w:rsidR="00613A9E">
        <w:t>9</w:t>
      </w:r>
      <w:r w:rsidR="00682A9B">
        <w:t xml:space="preserve">) recently demonstrated that forgetting </w:t>
      </w:r>
      <w:r w:rsidR="005F2207">
        <w:t xml:space="preserve">in young adults </w:t>
      </w:r>
      <w:r w:rsidR="00682A9B">
        <w:t>on the Crimes test, and also on a visual equivalent (the Four Doors Test), was substantially reduced over a 1-month period if intervening tests were administered at 1-day and 1-week</w:t>
      </w:r>
      <w:r w:rsidR="005F2207">
        <w:t xml:space="preserve"> delays following encoding</w:t>
      </w:r>
      <w:r w:rsidR="00682A9B">
        <w:t xml:space="preserve">. </w:t>
      </w:r>
      <w:r w:rsidR="005F2207">
        <w:t xml:space="preserve">Indeed, at least on the Crimes Test, </w:t>
      </w:r>
      <w:r w:rsidR="001A7B1D">
        <w:t xml:space="preserve">Baddeley et al. (2019) observed that </w:t>
      </w:r>
      <w:r w:rsidR="005F2207">
        <w:t xml:space="preserve">participants showed a slight numerical improvement between the immediate and 1-week tests when an additional 1-day was included. The current findings might indicate that a 20-minute test serves a similar purpose and extends this to an older adult group. </w:t>
      </w:r>
    </w:p>
    <w:p w14:paraId="233B02DF" w14:textId="53A965A5" w:rsidR="00841E80" w:rsidRPr="00061E1E" w:rsidRDefault="00394B3A" w:rsidP="00061E1E">
      <w:pPr>
        <w:spacing w:line="480" w:lineRule="auto"/>
        <w:ind w:firstLine="720"/>
      </w:pPr>
      <w:r w:rsidRPr="00AD2D01">
        <w:t xml:space="preserve">In conclusion, </w:t>
      </w:r>
      <w:r w:rsidR="0059499C">
        <w:t>this study</w:t>
      </w:r>
      <w:r w:rsidRPr="00AD2D01">
        <w:t xml:space="preserve"> provide</w:t>
      </w:r>
      <w:r w:rsidR="0059499C">
        <w:t>s</w:t>
      </w:r>
      <w:r w:rsidRPr="00AD2D01">
        <w:t xml:space="preserve"> evidence that a telephone method of follow-up </w:t>
      </w:r>
      <w:r w:rsidR="0065036B">
        <w:t xml:space="preserve">for measuring episodic memory retention and forgetting over delays </w:t>
      </w:r>
      <w:r w:rsidRPr="00AD2D01">
        <w:t>is equivalent to face-to-face testing and</w:t>
      </w:r>
      <w:r w:rsidR="00CD0CE0" w:rsidRPr="00AD2D01">
        <w:t xml:space="preserve"> acceptable to adult </w:t>
      </w:r>
      <w:r w:rsidR="0065036B">
        <w:t>participants</w:t>
      </w:r>
      <w:r w:rsidR="00CD0CE0" w:rsidRPr="00AD2D01">
        <w:t xml:space="preserve">. </w:t>
      </w:r>
      <w:r w:rsidR="00841E80" w:rsidRPr="00AD2D01">
        <w:t xml:space="preserve">We present these findings as an important contribution to the emerging literature and debate regarding methodology, in measuring memory consolidation in neurological disorders. </w:t>
      </w:r>
    </w:p>
    <w:p w14:paraId="7F15ED1B" w14:textId="073617E7" w:rsidR="00D35F22" w:rsidRPr="009D48E1" w:rsidRDefault="00D35F22" w:rsidP="00D35F22">
      <w:pPr>
        <w:spacing w:line="480" w:lineRule="auto"/>
        <w:jc w:val="center"/>
        <w:rPr>
          <w:u w:val="single"/>
        </w:rPr>
      </w:pPr>
      <w:r w:rsidRPr="009D48E1">
        <w:rPr>
          <w:u w:val="single"/>
        </w:rPr>
        <w:t>References</w:t>
      </w:r>
    </w:p>
    <w:p w14:paraId="3A7F91D0" w14:textId="56E60D7F" w:rsidR="00B075EC" w:rsidRPr="00A47F27" w:rsidRDefault="00B075EC" w:rsidP="00156B12">
      <w:pPr>
        <w:spacing w:line="480" w:lineRule="auto"/>
        <w:ind w:left="720" w:hanging="720"/>
        <w:rPr>
          <w:i/>
        </w:rPr>
      </w:pPr>
      <w:r>
        <w:t>Baddeley</w:t>
      </w:r>
      <w:r w:rsidR="002A0415">
        <w:t>, A.D.,</w:t>
      </w:r>
      <w:r>
        <w:t xml:space="preserve"> Allen</w:t>
      </w:r>
      <w:r w:rsidR="002A0415">
        <w:t>, R.J.,</w:t>
      </w:r>
      <w:r>
        <w:t xml:space="preserve"> Atkinson</w:t>
      </w:r>
      <w:r w:rsidR="002A0415">
        <w:t>, A.L., &amp;</w:t>
      </w:r>
      <w:r>
        <w:t xml:space="preserve"> Kemp</w:t>
      </w:r>
      <w:r w:rsidR="002A0415">
        <w:t>, S. (201</w:t>
      </w:r>
      <w:r w:rsidR="00B719DB">
        <w:t>9</w:t>
      </w:r>
      <w:r w:rsidR="002A0415">
        <w:t xml:space="preserve">). </w:t>
      </w:r>
      <w:r w:rsidR="00A47F27">
        <w:t xml:space="preserve">The problem of detecting long-term forgetting: Evidence from the Crimes Test and the Four Doors Test. </w:t>
      </w:r>
      <w:r w:rsidR="00A47F27">
        <w:rPr>
          <w:i/>
        </w:rPr>
        <w:t>Cortex</w:t>
      </w:r>
      <w:r w:rsidR="009857E7">
        <w:rPr>
          <w:i/>
        </w:rPr>
        <w:t xml:space="preserve">, 110, </w:t>
      </w:r>
      <w:r w:rsidR="009857E7">
        <w:rPr>
          <w:iCs/>
        </w:rPr>
        <w:t>69-79</w:t>
      </w:r>
      <w:r w:rsidR="00A47F27">
        <w:rPr>
          <w:i/>
        </w:rPr>
        <w:t>.</w:t>
      </w:r>
    </w:p>
    <w:p w14:paraId="5EE1FCBA" w14:textId="26237D03" w:rsidR="00156B12" w:rsidRPr="00156B12" w:rsidRDefault="00156B12" w:rsidP="00156B12">
      <w:pPr>
        <w:spacing w:line="480" w:lineRule="auto"/>
        <w:ind w:left="720" w:hanging="720"/>
      </w:pPr>
      <w:r w:rsidRPr="00156B12">
        <w:lastRenderedPageBreak/>
        <w:t xml:space="preserve">Baddeley, A. D., Emslie, H., &amp; Nimmo-Smith, I. (1994). </w:t>
      </w:r>
      <w:r w:rsidRPr="00156B12">
        <w:rPr>
          <w:i/>
          <w:iCs/>
        </w:rPr>
        <w:t>Doors and people: A test of visual and verbal recall and recognition</w:t>
      </w:r>
      <w:r w:rsidRPr="00156B12">
        <w:t>. Thames Valley Test Company.</w:t>
      </w:r>
    </w:p>
    <w:p w14:paraId="2842FBAF" w14:textId="23904D2C" w:rsidR="00AA447A" w:rsidRPr="0052703B" w:rsidRDefault="00295685" w:rsidP="0052703B">
      <w:pPr>
        <w:spacing w:line="480" w:lineRule="auto"/>
        <w:ind w:left="720" w:hanging="720"/>
      </w:pPr>
      <w:r w:rsidRPr="0052703B">
        <w:t>Baddeley, A.</w:t>
      </w:r>
      <w:r w:rsidR="0052703B">
        <w:t>D.</w:t>
      </w:r>
      <w:r w:rsidRPr="0052703B">
        <w:t xml:space="preserve">, Rawlings, B., &amp; Hayes, A. (2014). Constrained prose recall and the assessment of long-term forgetting: The case of ageing and the Crimes Test. </w:t>
      </w:r>
      <w:r w:rsidRPr="0052703B">
        <w:rPr>
          <w:i/>
          <w:iCs/>
        </w:rPr>
        <w:t>Memory</w:t>
      </w:r>
      <w:r w:rsidRPr="0052703B">
        <w:t xml:space="preserve">, </w:t>
      </w:r>
      <w:r w:rsidRPr="0052703B">
        <w:rPr>
          <w:i/>
          <w:iCs/>
        </w:rPr>
        <w:t>22</w:t>
      </w:r>
      <w:r w:rsidRPr="0052703B">
        <w:t>(8), 1052-1059.</w:t>
      </w:r>
    </w:p>
    <w:p w14:paraId="7B0E7060" w14:textId="71ED601B" w:rsidR="00295685" w:rsidRDefault="00295685" w:rsidP="0052703B">
      <w:pPr>
        <w:spacing w:line="480" w:lineRule="auto"/>
        <w:ind w:left="720" w:hanging="720"/>
      </w:pPr>
      <w:r w:rsidRPr="0052703B">
        <w:t xml:space="preserve">Blake, R. V., Wroe, S. J., Breen, E. K., &amp; McCarthy, R. A. (2000). Accelerated forgetting in patients with epilepsy Evidence for an impairment in memory consolidation. </w:t>
      </w:r>
      <w:r w:rsidRPr="0052703B">
        <w:rPr>
          <w:i/>
          <w:iCs/>
        </w:rPr>
        <w:t>Brain</w:t>
      </w:r>
      <w:r w:rsidRPr="0052703B">
        <w:t xml:space="preserve">, </w:t>
      </w:r>
      <w:r w:rsidRPr="0052703B">
        <w:rPr>
          <w:i/>
          <w:iCs/>
        </w:rPr>
        <w:t>123</w:t>
      </w:r>
      <w:r w:rsidRPr="0052703B">
        <w:t xml:space="preserve">(3), 472-483. </w:t>
      </w:r>
    </w:p>
    <w:p w14:paraId="2B74792D" w14:textId="3A8CE4D2" w:rsidR="00D35F22" w:rsidRPr="0052703B" w:rsidRDefault="00194937" w:rsidP="0052703B">
      <w:pPr>
        <w:spacing w:line="480" w:lineRule="auto"/>
        <w:ind w:left="720" w:hanging="720"/>
      </w:pPr>
      <w:r w:rsidRPr="0052703B">
        <w:t xml:space="preserve">Brandt, J., Spencer, M., &amp; </w:t>
      </w:r>
      <w:proofErr w:type="spellStart"/>
      <w:r w:rsidRPr="0052703B">
        <w:t>Folstein</w:t>
      </w:r>
      <w:proofErr w:type="spellEnd"/>
      <w:r w:rsidRPr="0052703B">
        <w:t xml:space="preserve">, M. (1988). The telephone interview for cognitive status. </w:t>
      </w:r>
      <w:r w:rsidRPr="0052703B">
        <w:rPr>
          <w:i/>
          <w:iCs/>
        </w:rPr>
        <w:t xml:space="preserve">Cognitive and </w:t>
      </w:r>
      <w:proofErr w:type="spellStart"/>
      <w:r w:rsidRPr="0052703B">
        <w:rPr>
          <w:i/>
          <w:iCs/>
        </w:rPr>
        <w:t>Behavioral</w:t>
      </w:r>
      <w:proofErr w:type="spellEnd"/>
      <w:r w:rsidRPr="0052703B">
        <w:rPr>
          <w:i/>
          <w:iCs/>
        </w:rPr>
        <w:t xml:space="preserve"> Neurology</w:t>
      </w:r>
      <w:r w:rsidRPr="0052703B">
        <w:t xml:space="preserve">, </w:t>
      </w:r>
      <w:r w:rsidRPr="0052703B">
        <w:rPr>
          <w:i/>
          <w:iCs/>
        </w:rPr>
        <w:t>1</w:t>
      </w:r>
      <w:r w:rsidRPr="0052703B">
        <w:t>(2), 111-118.</w:t>
      </w:r>
    </w:p>
    <w:p w14:paraId="72E26600" w14:textId="6773AD49" w:rsidR="00295685" w:rsidRPr="00156B12" w:rsidRDefault="00295685" w:rsidP="00156B12">
      <w:pPr>
        <w:widowControl w:val="0"/>
        <w:autoSpaceDE w:val="0"/>
        <w:autoSpaceDN w:val="0"/>
        <w:adjustRightInd w:val="0"/>
        <w:spacing w:after="240" w:line="480" w:lineRule="auto"/>
        <w:ind w:left="720" w:hanging="720"/>
        <w:rPr>
          <w:color w:val="000071"/>
          <w:lang w:val="en-US"/>
        </w:rPr>
      </w:pPr>
      <w:r w:rsidRPr="0052703B">
        <w:rPr>
          <w:lang w:val="en-US"/>
        </w:rPr>
        <w:t>Butler, C. R., &amp; Zeman, A. Z. (2008). Recent insights into the impairment of memory in epilepsy: Transient epileptic amnesia, accelerated long-term forgetting and remote memory impairment. Brain, 4, 2243– 2263. doi:</w:t>
      </w:r>
      <w:r w:rsidRPr="0052703B">
        <w:rPr>
          <w:color w:val="000071"/>
          <w:lang w:val="en-US"/>
        </w:rPr>
        <w:t xml:space="preserve">10.1093/brain/awn127 </w:t>
      </w:r>
    </w:p>
    <w:p w14:paraId="20EA7600" w14:textId="4A330D40" w:rsidR="00194937" w:rsidRDefault="00194937" w:rsidP="0052703B">
      <w:pPr>
        <w:spacing w:line="480" w:lineRule="auto"/>
        <w:ind w:left="720" w:hanging="720"/>
      </w:pPr>
      <w:proofErr w:type="spellStart"/>
      <w:r w:rsidRPr="0052703B">
        <w:t>Castanho</w:t>
      </w:r>
      <w:proofErr w:type="spellEnd"/>
      <w:r w:rsidRPr="0052703B">
        <w:t xml:space="preserve">, T. C., Amorim, L., </w:t>
      </w:r>
      <w:proofErr w:type="spellStart"/>
      <w:r w:rsidRPr="0052703B">
        <w:t>Zihl</w:t>
      </w:r>
      <w:proofErr w:type="spellEnd"/>
      <w:r w:rsidRPr="0052703B">
        <w:t xml:space="preserve">, J., </w:t>
      </w:r>
      <w:proofErr w:type="spellStart"/>
      <w:r w:rsidRPr="0052703B">
        <w:t>Palha</w:t>
      </w:r>
      <w:proofErr w:type="spellEnd"/>
      <w:r w:rsidRPr="0052703B">
        <w:t xml:space="preserve">, J. A., Sousa, N., &amp; Santos, N. C. (2014). Telephone-based screening tools for mild cognitive impairment and dementia in aging studies: a review of validated instruments. </w:t>
      </w:r>
      <w:r w:rsidRPr="0052703B">
        <w:rPr>
          <w:i/>
          <w:iCs/>
        </w:rPr>
        <w:t>Frontiers in aging neuroscience</w:t>
      </w:r>
      <w:r w:rsidRPr="0052703B">
        <w:t xml:space="preserve">, </w:t>
      </w:r>
      <w:r w:rsidRPr="0052703B">
        <w:rPr>
          <w:i/>
          <w:iCs/>
        </w:rPr>
        <w:t>6</w:t>
      </w:r>
      <w:r w:rsidRPr="0052703B">
        <w:t>.</w:t>
      </w:r>
    </w:p>
    <w:p w14:paraId="0503957F" w14:textId="77777777" w:rsidR="00156B12" w:rsidRDefault="00156B12" w:rsidP="00156B12">
      <w:pPr>
        <w:spacing w:line="480" w:lineRule="auto"/>
        <w:ind w:left="720" w:hanging="720"/>
      </w:pPr>
      <w:r w:rsidRPr="00156B12">
        <w:t xml:space="preserve">Craik, F. I. (1994). Memory changes in normal aging. </w:t>
      </w:r>
      <w:r w:rsidRPr="00156B12">
        <w:rPr>
          <w:i/>
          <w:iCs/>
        </w:rPr>
        <w:t>Current directions in psychological science</w:t>
      </w:r>
      <w:r w:rsidRPr="00156B12">
        <w:t>, 155-158.</w:t>
      </w:r>
    </w:p>
    <w:p w14:paraId="62A4648F" w14:textId="104E60CC" w:rsidR="00295685" w:rsidRDefault="00295685" w:rsidP="0052703B">
      <w:pPr>
        <w:widowControl w:val="0"/>
        <w:autoSpaceDE w:val="0"/>
        <w:autoSpaceDN w:val="0"/>
        <w:adjustRightInd w:val="0"/>
        <w:spacing w:after="240" w:line="480" w:lineRule="auto"/>
        <w:ind w:left="720" w:hanging="720"/>
        <w:rPr>
          <w:color w:val="000071"/>
          <w:lang w:val="en-US"/>
        </w:rPr>
      </w:pPr>
      <w:r w:rsidRPr="0052703B">
        <w:rPr>
          <w:lang w:val="en-US"/>
        </w:rPr>
        <w:t xml:space="preserve">De Renzi, E., &amp; </w:t>
      </w:r>
      <w:proofErr w:type="spellStart"/>
      <w:r w:rsidRPr="0052703B">
        <w:rPr>
          <w:lang w:val="en-US"/>
        </w:rPr>
        <w:t>Lucchelli</w:t>
      </w:r>
      <w:proofErr w:type="spellEnd"/>
      <w:r w:rsidRPr="0052703B">
        <w:rPr>
          <w:lang w:val="en-US"/>
        </w:rPr>
        <w:t xml:space="preserve">, F. (1993). Dense retrograde amnesia, intact learning capability and abnormal forgetting rate: A consolidation deficit? </w:t>
      </w:r>
      <w:r w:rsidRPr="005E6ED1">
        <w:rPr>
          <w:i/>
          <w:lang w:val="en-US"/>
        </w:rPr>
        <w:t>Cortex, 29</w:t>
      </w:r>
      <w:r w:rsidRPr="0052703B">
        <w:rPr>
          <w:lang w:val="en-US"/>
        </w:rPr>
        <w:t>, 449–466. doi:</w:t>
      </w:r>
      <w:r w:rsidRPr="0052703B">
        <w:rPr>
          <w:color w:val="000071"/>
          <w:lang w:val="en-US"/>
        </w:rPr>
        <w:t xml:space="preserve">10.1016/S0010-9452(13)80253-5 </w:t>
      </w:r>
    </w:p>
    <w:p w14:paraId="29E438B2" w14:textId="732A7603" w:rsidR="003F014D" w:rsidRPr="003F014D" w:rsidRDefault="003F014D" w:rsidP="003F014D">
      <w:pPr>
        <w:widowControl w:val="0"/>
        <w:autoSpaceDE w:val="0"/>
        <w:autoSpaceDN w:val="0"/>
        <w:adjustRightInd w:val="0"/>
        <w:spacing w:after="240" w:line="480" w:lineRule="auto"/>
        <w:ind w:left="720" w:hanging="720"/>
      </w:pPr>
      <w:r w:rsidRPr="003F014D">
        <w:t xml:space="preserve">Dienes, Z., &amp; </w:t>
      </w:r>
      <w:proofErr w:type="spellStart"/>
      <w:r w:rsidRPr="003F014D">
        <w:t>Mc</w:t>
      </w:r>
      <w:r>
        <w:t>l</w:t>
      </w:r>
      <w:r w:rsidRPr="003F014D">
        <w:t>atchie</w:t>
      </w:r>
      <w:proofErr w:type="spellEnd"/>
      <w:r w:rsidRPr="003F014D">
        <w:t>, N. (2018). Four reasons to prefer Bayesian analyses over significance testing. </w:t>
      </w:r>
      <w:r w:rsidRPr="003F014D">
        <w:rPr>
          <w:i/>
          <w:iCs/>
        </w:rPr>
        <w:t>Psychonomic bulletin &amp; review</w:t>
      </w:r>
      <w:r w:rsidRPr="003F014D">
        <w:t>, </w:t>
      </w:r>
      <w:r w:rsidRPr="003F014D">
        <w:rPr>
          <w:i/>
          <w:iCs/>
        </w:rPr>
        <w:t>25</w:t>
      </w:r>
      <w:r w:rsidRPr="003F014D">
        <w:t>(1), 207-218.</w:t>
      </w:r>
    </w:p>
    <w:p w14:paraId="04602EE6" w14:textId="6F718615" w:rsidR="00194937" w:rsidRPr="0052703B" w:rsidRDefault="00194937" w:rsidP="0052703B">
      <w:pPr>
        <w:spacing w:line="480" w:lineRule="auto"/>
        <w:ind w:left="720" w:hanging="720"/>
      </w:pPr>
      <w:r w:rsidRPr="0052703B">
        <w:t xml:space="preserve">Duff, K., </w:t>
      </w:r>
      <w:proofErr w:type="spellStart"/>
      <w:r w:rsidRPr="0052703B">
        <w:t>Tometich</w:t>
      </w:r>
      <w:proofErr w:type="spellEnd"/>
      <w:r w:rsidRPr="0052703B">
        <w:t xml:space="preserve">, D., &amp; Dennett, K. (2015). The Modified Telephone Interview for Cognitive Status is More Predictive of Memory Abilities Than the Mini-Mental State Examination. </w:t>
      </w:r>
      <w:r w:rsidRPr="0052703B">
        <w:rPr>
          <w:i/>
          <w:iCs/>
        </w:rPr>
        <w:t>Journal of Geriatric Psychiatry and Neurology</w:t>
      </w:r>
      <w:r w:rsidRPr="0052703B">
        <w:t>, 0891988715573532.</w:t>
      </w:r>
    </w:p>
    <w:p w14:paraId="3FD0D407" w14:textId="294679B3" w:rsidR="00AA447A" w:rsidRDefault="00295685" w:rsidP="0052703B">
      <w:pPr>
        <w:spacing w:line="480" w:lineRule="auto"/>
        <w:ind w:left="720" w:hanging="720"/>
      </w:pPr>
      <w:r w:rsidRPr="0052703B">
        <w:lastRenderedPageBreak/>
        <w:t xml:space="preserve">Elliott, G., Isaac, C. L., &amp; </w:t>
      </w:r>
      <w:proofErr w:type="spellStart"/>
      <w:r w:rsidRPr="0052703B">
        <w:t>Muhlert</w:t>
      </w:r>
      <w:proofErr w:type="spellEnd"/>
      <w:r w:rsidRPr="0052703B">
        <w:t xml:space="preserve">, N. (2014). Measuring forgetting: A critical review of accelerated long-term forgetting studies. </w:t>
      </w:r>
      <w:r w:rsidRPr="0052703B">
        <w:rPr>
          <w:i/>
          <w:iCs/>
        </w:rPr>
        <w:t>Cortex</w:t>
      </w:r>
      <w:r w:rsidRPr="0052703B">
        <w:t xml:space="preserve">, </w:t>
      </w:r>
      <w:r w:rsidRPr="0052703B">
        <w:rPr>
          <w:i/>
          <w:iCs/>
        </w:rPr>
        <w:t>54</w:t>
      </w:r>
      <w:r w:rsidRPr="0052703B">
        <w:t>, 16-32.</w:t>
      </w:r>
    </w:p>
    <w:p w14:paraId="0FB79F8C" w14:textId="1CBC6DFD" w:rsidR="00BE7209" w:rsidRPr="0052703B" w:rsidRDefault="00BE7209" w:rsidP="00BE7209">
      <w:pPr>
        <w:spacing w:line="480" w:lineRule="auto"/>
        <w:ind w:left="720" w:hanging="720"/>
        <w:rPr>
          <w:lang w:eastAsia="en-US"/>
        </w:rPr>
      </w:pPr>
      <w:proofErr w:type="spellStart"/>
      <w:r w:rsidRPr="00BE7209">
        <w:rPr>
          <w:lang w:eastAsia="en-US"/>
        </w:rPr>
        <w:t>Faul</w:t>
      </w:r>
      <w:proofErr w:type="spellEnd"/>
      <w:r w:rsidRPr="00BE7209">
        <w:rPr>
          <w:lang w:eastAsia="en-US"/>
        </w:rPr>
        <w:t xml:space="preserve">, F., </w:t>
      </w:r>
      <w:proofErr w:type="spellStart"/>
      <w:r w:rsidRPr="00BE7209">
        <w:rPr>
          <w:lang w:eastAsia="en-US"/>
        </w:rPr>
        <w:t>Erdfelder</w:t>
      </w:r>
      <w:proofErr w:type="spellEnd"/>
      <w:r w:rsidRPr="00BE7209">
        <w:rPr>
          <w:lang w:eastAsia="en-US"/>
        </w:rPr>
        <w:t>, E., Buchner, A., &amp; Lang, A. G. (2009). Statistical power analyses using G* Power 3.1: Tests for correlation and regression analyses. </w:t>
      </w:r>
      <w:proofErr w:type="spellStart"/>
      <w:r w:rsidRPr="00BE7209">
        <w:rPr>
          <w:i/>
          <w:iCs/>
          <w:lang w:eastAsia="en-US"/>
        </w:rPr>
        <w:t>Behavior</w:t>
      </w:r>
      <w:proofErr w:type="spellEnd"/>
      <w:r w:rsidRPr="00BE7209">
        <w:rPr>
          <w:i/>
          <w:iCs/>
          <w:lang w:eastAsia="en-US"/>
        </w:rPr>
        <w:t xml:space="preserve"> research methods</w:t>
      </w:r>
      <w:r w:rsidRPr="00BE7209">
        <w:rPr>
          <w:lang w:eastAsia="en-US"/>
        </w:rPr>
        <w:t>, </w:t>
      </w:r>
      <w:r w:rsidRPr="00BE7209">
        <w:rPr>
          <w:i/>
          <w:iCs/>
          <w:lang w:eastAsia="en-US"/>
        </w:rPr>
        <w:t>41</w:t>
      </w:r>
      <w:r w:rsidRPr="00BE7209">
        <w:rPr>
          <w:lang w:eastAsia="en-US"/>
        </w:rPr>
        <w:t>(4), 1149-1160.</w:t>
      </w:r>
    </w:p>
    <w:p w14:paraId="66D3FF63" w14:textId="77777777" w:rsidR="00295685" w:rsidRPr="0052703B" w:rsidRDefault="00295685" w:rsidP="0052703B">
      <w:pPr>
        <w:spacing w:line="480" w:lineRule="auto"/>
        <w:ind w:left="720" w:hanging="720"/>
      </w:pPr>
      <w:proofErr w:type="spellStart"/>
      <w:r w:rsidRPr="0052703B">
        <w:t>Folstein</w:t>
      </w:r>
      <w:proofErr w:type="spellEnd"/>
      <w:r w:rsidRPr="0052703B">
        <w:t xml:space="preserve">, M. F., </w:t>
      </w:r>
      <w:proofErr w:type="spellStart"/>
      <w:r w:rsidRPr="0052703B">
        <w:t>Folstein</w:t>
      </w:r>
      <w:proofErr w:type="spellEnd"/>
      <w:r w:rsidRPr="0052703B">
        <w:t xml:space="preserve">, S. E., &amp; McHugh, P. R. (1975). “Mini-mental state”: a practical method for grading the cognitive state of patients for the clinician. </w:t>
      </w:r>
      <w:r w:rsidRPr="0052703B">
        <w:rPr>
          <w:i/>
          <w:iCs/>
        </w:rPr>
        <w:t>Journal of psychiatric research</w:t>
      </w:r>
      <w:r w:rsidRPr="0052703B">
        <w:t xml:space="preserve">, </w:t>
      </w:r>
      <w:r w:rsidRPr="0052703B">
        <w:rPr>
          <w:i/>
          <w:iCs/>
        </w:rPr>
        <w:t>12</w:t>
      </w:r>
      <w:r w:rsidRPr="0052703B">
        <w:t>(3), 189-198.</w:t>
      </w:r>
    </w:p>
    <w:p w14:paraId="3ACCB028" w14:textId="0585B8B2" w:rsidR="00D35F22" w:rsidRPr="0052703B" w:rsidRDefault="00194937" w:rsidP="0052703B">
      <w:pPr>
        <w:spacing w:line="480" w:lineRule="auto"/>
        <w:ind w:left="720" w:hanging="720"/>
      </w:pPr>
      <w:r w:rsidRPr="0052703B">
        <w:t xml:space="preserve">Gascoigne, M. B., Barton, B., Webster, R., Gill, D., Antony, J., &amp; </w:t>
      </w:r>
      <w:proofErr w:type="spellStart"/>
      <w:r w:rsidRPr="0052703B">
        <w:t>Lah</w:t>
      </w:r>
      <w:proofErr w:type="spellEnd"/>
      <w:r w:rsidRPr="0052703B">
        <w:t>, S. S. (2012). Accelerated long</w:t>
      </w:r>
      <w:r w:rsidRPr="0052703B">
        <w:rPr>
          <w:rFonts w:ascii="Adobe Caslon Pro Italic" w:hAnsi="Adobe Caslon Pro Italic" w:cs="Adobe Caslon Pro Italic"/>
        </w:rPr>
        <w:t>‐</w:t>
      </w:r>
      <w:r w:rsidRPr="0052703B">
        <w:t xml:space="preserve">term forgetting in children with idiopathic generalized epilepsy. </w:t>
      </w:r>
      <w:proofErr w:type="spellStart"/>
      <w:r w:rsidRPr="0052703B">
        <w:rPr>
          <w:i/>
          <w:iCs/>
        </w:rPr>
        <w:t>Epilepsia</w:t>
      </w:r>
      <w:proofErr w:type="spellEnd"/>
      <w:r w:rsidRPr="0052703B">
        <w:t xml:space="preserve">, </w:t>
      </w:r>
      <w:r w:rsidRPr="0052703B">
        <w:rPr>
          <w:i/>
          <w:iCs/>
        </w:rPr>
        <w:t>53</w:t>
      </w:r>
      <w:r w:rsidRPr="0052703B">
        <w:t>(12), 2135-2140.</w:t>
      </w:r>
    </w:p>
    <w:p w14:paraId="022FF6BC" w14:textId="17957ACF" w:rsidR="007020AE" w:rsidRDefault="00194937" w:rsidP="0052703B">
      <w:pPr>
        <w:spacing w:line="480" w:lineRule="auto"/>
        <w:ind w:left="720" w:hanging="720"/>
      </w:pPr>
      <w:r w:rsidRPr="0052703B">
        <w:t xml:space="preserve">Gascoigne, M. B., Smith, M. L., Barton, B., Webster, R., Gill, D., &amp; </w:t>
      </w:r>
      <w:proofErr w:type="spellStart"/>
      <w:r w:rsidRPr="0052703B">
        <w:t>Lah</w:t>
      </w:r>
      <w:proofErr w:type="spellEnd"/>
      <w:r w:rsidRPr="0052703B">
        <w:t xml:space="preserve">, S. (2014). Accelerated long-term forgetting in children with temporal lobe epilepsy. </w:t>
      </w:r>
      <w:r w:rsidRPr="0052703B">
        <w:rPr>
          <w:i/>
          <w:iCs/>
        </w:rPr>
        <w:t>Neuropsychologia</w:t>
      </w:r>
      <w:r w:rsidRPr="0052703B">
        <w:t xml:space="preserve">, </w:t>
      </w:r>
      <w:r w:rsidRPr="0052703B">
        <w:rPr>
          <w:i/>
          <w:iCs/>
        </w:rPr>
        <w:t>59</w:t>
      </w:r>
      <w:r w:rsidRPr="0052703B">
        <w:t>, 93-102.</w:t>
      </w:r>
    </w:p>
    <w:p w14:paraId="5C95274C" w14:textId="1D1BF5FD" w:rsidR="00DC5358" w:rsidRPr="0052703B" w:rsidRDefault="00DC5358" w:rsidP="00DC5358">
      <w:pPr>
        <w:spacing w:line="480" w:lineRule="auto"/>
        <w:ind w:left="720" w:hanging="720"/>
      </w:pPr>
      <w:r w:rsidRPr="00DC5358">
        <w:t>JASP Team (2018). JASP (Version 0.10.0)</w:t>
      </w:r>
      <w:r>
        <w:t xml:space="preserve"> </w:t>
      </w:r>
      <w:r w:rsidRPr="00DC5358">
        <w:t>[Computer software].</w:t>
      </w:r>
    </w:p>
    <w:p w14:paraId="594E9F86" w14:textId="02064327" w:rsidR="00295685" w:rsidRPr="0052703B" w:rsidRDefault="00295685" w:rsidP="0052703B">
      <w:pPr>
        <w:widowControl w:val="0"/>
        <w:autoSpaceDE w:val="0"/>
        <w:autoSpaceDN w:val="0"/>
        <w:adjustRightInd w:val="0"/>
        <w:spacing w:after="240" w:line="480" w:lineRule="auto"/>
        <w:ind w:left="720" w:hanging="720"/>
        <w:rPr>
          <w:lang w:val="en-US"/>
        </w:rPr>
      </w:pPr>
      <w:proofErr w:type="spellStart"/>
      <w:r w:rsidRPr="0052703B">
        <w:rPr>
          <w:lang w:val="en-US"/>
        </w:rPr>
        <w:t>Kausler</w:t>
      </w:r>
      <w:proofErr w:type="spellEnd"/>
      <w:r w:rsidRPr="0052703B">
        <w:rPr>
          <w:lang w:val="en-US"/>
        </w:rPr>
        <w:t xml:space="preserve">, D. H. (1991). Experimental psychology, cognition and human aging (2nd ed.). New York, NY: Springer-Verlag. </w:t>
      </w:r>
    </w:p>
    <w:p w14:paraId="27515AE0" w14:textId="6BACE293" w:rsidR="00F75129" w:rsidRPr="0052703B" w:rsidRDefault="00295685" w:rsidP="0052703B">
      <w:pPr>
        <w:spacing w:line="480" w:lineRule="auto"/>
        <w:ind w:left="720" w:hanging="720"/>
      </w:pPr>
      <w:r w:rsidRPr="0052703B">
        <w:t xml:space="preserve">Kemp, S., </w:t>
      </w:r>
      <w:proofErr w:type="spellStart"/>
      <w:r w:rsidRPr="0052703B">
        <w:t>Illman</w:t>
      </w:r>
      <w:proofErr w:type="spellEnd"/>
      <w:r w:rsidRPr="0052703B">
        <w:t>, N. A., Moulin, C. J., &amp; Baddeley, A. D. (2012). Accelerated long-term forgetting (ALF) and transient epileptic amnesia (TEA): Two cases of epilepsy</w:t>
      </w:r>
      <w:r w:rsidRPr="0052703B">
        <w:rPr>
          <w:rFonts w:ascii="Adobe Caslon Pro Italic" w:hAnsi="Adobe Caslon Pro Italic" w:cs="Adobe Caslon Pro Italic"/>
        </w:rPr>
        <w:t>‐</w:t>
      </w:r>
      <w:r w:rsidRPr="0052703B">
        <w:t xml:space="preserve">related memory disorder. </w:t>
      </w:r>
      <w:r w:rsidRPr="0052703B">
        <w:rPr>
          <w:i/>
          <w:iCs/>
        </w:rPr>
        <w:t xml:space="preserve">Epilepsy &amp; </w:t>
      </w:r>
      <w:proofErr w:type="spellStart"/>
      <w:r w:rsidRPr="0052703B">
        <w:rPr>
          <w:i/>
          <w:iCs/>
        </w:rPr>
        <w:t>Behavior</w:t>
      </w:r>
      <w:proofErr w:type="spellEnd"/>
      <w:r w:rsidRPr="0052703B">
        <w:t xml:space="preserve">, </w:t>
      </w:r>
      <w:r w:rsidRPr="0052703B">
        <w:rPr>
          <w:i/>
          <w:iCs/>
        </w:rPr>
        <w:t>24</w:t>
      </w:r>
      <w:r w:rsidRPr="0052703B">
        <w:t>(3), 382-388.</w:t>
      </w:r>
    </w:p>
    <w:p w14:paraId="7EC00445" w14:textId="627D1431" w:rsidR="00295685" w:rsidRDefault="00F75129" w:rsidP="0052703B">
      <w:pPr>
        <w:spacing w:line="480" w:lineRule="auto"/>
        <w:ind w:left="720" w:hanging="720"/>
      </w:pPr>
      <w:r w:rsidRPr="0052703B">
        <w:t xml:space="preserve">Lipton, R. B., Katz, M. J., </w:t>
      </w:r>
      <w:proofErr w:type="spellStart"/>
      <w:r w:rsidRPr="0052703B">
        <w:t>Kuslansky</w:t>
      </w:r>
      <w:proofErr w:type="spellEnd"/>
      <w:r w:rsidRPr="0052703B">
        <w:t xml:space="preserve">, G., </w:t>
      </w:r>
      <w:proofErr w:type="spellStart"/>
      <w:r w:rsidRPr="0052703B">
        <w:t>Sliwinski</w:t>
      </w:r>
      <w:proofErr w:type="spellEnd"/>
      <w:r w:rsidRPr="0052703B">
        <w:t xml:space="preserve">, M. J., Stewart, W. F., </w:t>
      </w:r>
      <w:proofErr w:type="spellStart"/>
      <w:r w:rsidRPr="0052703B">
        <w:t>Verghese</w:t>
      </w:r>
      <w:proofErr w:type="spellEnd"/>
      <w:r w:rsidRPr="0052703B">
        <w:t xml:space="preserve">, J., ... &amp; </w:t>
      </w:r>
      <w:proofErr w:type="spellStart"/>
      <w:r w:rsidRPr="0052703B">
        <w:t>Buschke</w:t>
      </w:r>
      <w:proofErr w:type="spellEnd"/>
      <w:r w:rsidRPr="0052703B">
        <w:t xml:space="preserve">, H. (2003). Screening for dementia by telephone using the memory impairment screen. </w:t>
      </w:r>
      <w:r w:rsidRPr="0052703B">
        <w:rPr>
          <w:i/>
          <w:iCs/>
        </w:rPr>
        <w:t>Journal of the American Geriatrics Society</w:t>
      </w:r>
      <w:r w:rsidRPr="0052703B">
        <w:t xml:space="preserve">, </w:t>
      </w:r>
      <w:r w:rsidRPr="0052703B">
        <w:rPr>
          <w:i/>
          <w:iCs/>
        </w:rPr>
        <w:t>51</w:t>
      </w:r>
      <w:r w:rsidRPr="0052703B">
        <w:t>(10), 1382-1390.</w:t>
      </w:r>
    </w:p>
    <w:p w14:paraId="74FD2270" w14:textId="77777777" w:rsidR="00C73B8E" w:rsidRPr="00C73B8E" w:rsidRDefault="00C73B8E" w:rsidP="00C73B8E">
      <w:pPr>
        <w:spacing w:line="480" w:lineRule="auto"/>
        <w:ind w:left="720" w:hanging="720"/>
        <w:rPr>
          <w:lang w:val="en-US"/>
        </w:rPr>
      </w:pPr>
      <w:r w:rsidRPr="00C73B8E">
        <w:rPr>
          <w:lang w:val="en-US"/>
        </w:rPr>
        <w:t xml:space="preserve">Manes, F., Serrano, C., Calcagno, M. L., Cardozo, J., &amp; Hodges, J. (2008). Accelerated forgetting in subjects with memory complaints: A new form of mild cognitive impairment? </w:t>
      </w:r>
      <w:r w:rsidRPr="00C73B8E">
        <w:rPr>
          <w:i/>
          <w:iCs/>
          <w:lang w:val="en-US"/>
        </w:rPr>
        <w:t>Journal of Neurology, 255</w:t>
      </w:r>
      <w:r w:rsidRPr="00C73B8E">
        <w:rPr>
          <w:lang w:val="en-US"/>
        </w:rPr>
        <w:t xml:space="preserve">, 1067-1070. </w:t>
      </w:r>
      <w:proofErr w:type="spellStart"/>
      <w:r w:rsidRPr="00C73B8E">
        <w:rPr>
          <w:lang w:val="en-US"/>
        </w:rPr>
        <w:t>doi</w:t>
      </w:r>
      <w:proofErr w:type="spellEnd"/>
      <w:r w:rsidRPr="00C73B8E">
        <w:rPr>
          <w:lang w:val="en-US"/>
        </w:rPr>
        <w:t>: 10.1007/s00415-008-0850-6</w:t>
      </w:r>
    </w:p>
    <w:p w14:paraId="2770CB32" w14:textId="7018A238" w:rsidR="00295685" w:rsidRDefault="00295685" w:rsidP="0052703B">
      <w:pPr>
        <w:widowControl w:val="0"/>
        <w:autoSpaceDE w:val="0"/>
        <w:autoSpaceDN w:val="0"/>
        <w:adjustRightInd w:val="0"/>
        <w:spacing w:after="240" w:line="480" w:lineRule="auto"/>
        <w:ind w:left="720" w:hanging="720"/>
        <w:rPr>
          <w:color w:val="000071"/>
          <w:lang w:val="en-US"/>
        </w:rPr>
      </w:pPr>
      <w:r w:rsidRPr="0052703B">
        <w:rPr>
          <w:lang w:val="en-US"/>
        </w:rPr>
        <w:t>Mary, A., Schreiner, S.</w:t>
      </w:r>
      <w:r w:rsidR="008E679F">
        <w:rPr>
          <w:lang w:val="en-US"/>
        </w:rPr>
        <w:t xml:space="preserve">, &amp; </w:t>
      </w:r>
      <w:proofErr w:type="spellStart"/>
      <w:r w:rsidR="008E679F">
        <w:rPr>
          <w:lang w:val="en-US"/>
        </w:rPr>
        <w:t>Peigneux</w:t>
      </w:r>
      <w:proofErr w:type="spellEnd"/>
      <w:r w:rsidR="008E679F">
        <w:rPr>
          <w:lang w:val="en-US"/>
        </w:rPr>
        <w:t>, P. (2013). Accel</w:t>
      </w:r>
      <w:r w:rsidRPr="0052703B">
        <w:rPr>
          <w:lang w:val="en-US"/>
        </w:rPr>
        <w:t>erated long-term</w:t>
      </w:r>
      <w:r w:rsidR="0052703B">
        <w:rPr>
          <w:lang w:val="en-US"/>
        </w:rPr>
        <w:t xml:space="preserve"> forgetting in aging and intra-</w:t>
      </w:r>
      <w:r w:rsidRPr="0052703B">
        <w:rPr>
          <w:lang w:val="en-US"/>
        </w:rPr>
        <w:lastRenderedPageBreak/>
        <w:t xml:space="preserve">sleep awakenings. </w:t>
      </w:r>
      <w:r w:rsidRPr="005E6ED1">
        <w:rPr>
          <w:i/>
          <w:lang w:val="en-US"/>
        </w:rPr>
        <w:t>Frontiers in Psychology, 4, 750</w:t>
      </w:r>
      <w:r w:rsidRPr="0052703B">
        <w:rPr>
          <w:lang w:val="en-US"/>
        </w:rPr>
        <w:t>. doi:</w:t>
      </w:r>
      <w:r w:rsidRPr="0052703B">
        <w:rPr>
          <w:color w:val="000071"/>
          <w:lang w:val="en-US"/>
        </w:rPr>
        <w:t xml:space="preserve">10.3389/fpsyg.2013.00750 </w:t>
      </w:r>
    </w:p>
    <w:p w14:paraId="592C18E1" w14:textId="385A7673" w:rsidR="00520B6A" w:rsidRDefault="00CF3143" w:rsidP="00CF3143">
      <w:pPr>
        <w:spacing w:line="480" w:lineRule="auto"/>
        <w:ind w:left="720" w:hanging="720"/>
      </w:pPr>
      <w:r w:rsidRPr="00CF3143">
        <w:t xml:space="preserve">Mohr, D. C., Ho, J., </w:t>
      </w:r>
      <w:proofErr w:type="spellStart"/>
      <w:r w:rsidRPr="00CF3143">
        <w:t>Duffecy</w:t>
      </w:r>
      <w:proofErr w:type="spellEnd"/>
      <w:r w:rsidRPr="00CF3143">
        <w:t xml:space="preserve">, J., </w:t>
      </w:r>
      <w:proofErr w:type="spellStart"/>
      <w:r w:rsidRPr="00CF3143">
        <w:t>Reifler</w:t>
      </w:r>
      <w:proofErr w:type="spellEnd"/>
      <w:r w:rsidRPr="00CF3143">
        <w:t>, D., Sokol, L., Burns, M. N.,</w:t>
      </w:r>
      <w:r>
        <w:t xml:space="preserve"> Jin, L.,</w:t>
      </w:r>
      <w:r w:rsidRPr="00CF3143">
        <w:t xml:space="preserve"> &amp; Siddique, J. (2012). Effect of telephone-administered vs face-to-face cognitive </w:t>
      </w:r>
      <w:proofErr w:type="spellStart"/>
      <w:r w:rsidRPr="00CF3143">
        <w:t>behavioral</w:t>
      </w:r>
      <w:proofErr w:type="spellEnd"/>
      <w:r w:rsidRPr="00CF3143">
        <w:t xml:space="preserve"> therapy on adherence to therapy and depression outcomes among primary care patients: a randomized trial. </w:t>
      </w:r>
      <w:r w:rsidRPr="00CF3143">
        <w:rPr>
          <w:i/>
          <w:iCs/>
        </w:rPr>
        <w:t>JAMA</w:t>
      </w:r>
      <w:r>
        <w:t>,</w:t>
      </w:r>
      <w:r w:rsidRPr="00CF3143">
        <w:t xml:space="preserve"> </w:t>
      </w:r>
      <w:r w:rsidRPr="00CF3143">
        <w:rPr>
          <w:i/>
          <w:iCs/>
        </w:rPr>
        <w:t>307</w:t>
      </w:r>
      <w:r w:rsidRPr="00CF3143">
        <w:t>(21), 2278-2285.</w:t>
      </w:r>
    </w:p>
    <w:p w14:paraId="017EF186" w14:textId="3F93F353" w:rsidR="00165523" w:rsidRDefault="00165523" w:rsidP="00165523">
      <w:pPr>
        <w:spacing w:line="480" w:lineRule="auto"/>
        <w:ind w:left="720" w:hanging="720"/>
      </w:pPr>
      <w:r w:rsidRPr="00165523">
        <w:t xml:space="preserve">Mulder, J., &amp; </w:t>
      </w:r>
      <w:proofErr w:type="spellStart"/>
      <w:r w:rsidRPr="00165523">
        <w:t>Wagenmakers</w:t>
      </w:r>
      <w:proofErr w:type="spellEnd"/>
      <w:r w:rsidRPr="00165523">
        <w:t>, E. J. (2016). Editors’ introduction to the special issue “Bayes factors for testing hypotheses in psychological research: Practical relevance and new developments”. </w:t>
      </w:r>
      <w:r w:rsidRPr="00165523">
        <w:rPr>
          <w:i/>
          <w:iCs/>
        </w:rPr>
        <w:t>Journal of Mathematical Psychology</w:t>
      </w:r>
      <w:r w:rsidRPr="00165523">
        <w:t>, </w:t>
      </w:r>
      <w:r w:rsidRPr="00165523">
        <w:rPr>
          <w:i/>
          <w:iCs/>
        </w:rPr>
        <w:t>72</w:t>
      </w:r>
      <w:r w:rsidRPr="00165523">
        <w:t>, 1-5.</w:t>
      </w:r>
    </w:p>
    <w:p w14:paraId="26AD6427" w14:textId="4F6EB153" w:rsidR="008C1816" w:rsidRDefault="008C1816" w:rsidP="008C1816">
      <w:pPr>
        <w:widowControl w:val="0"/>
        <w:autoSpaceDE w:val="0"/>
        <w:autoSpaceDN w:val="0"/>
        <w:adjustRightInd w:val="0"/>
        <w:spacing w:after="240" w:line="480" w:lineRule="auto"/>
        <w:ind w:left="720" w:hanging="720"/>
        <w:rPr>
          <w:lang w:eastAsia="ja-JP"/>
        </w:rPr>
      </w:pPr>
      <w:proofErr w:type="spellStart"/>
      <w:r w:rsidRPr="008C1816">
        <w:rPr>
          <w:lang w:eastAsia="ja-JP"/>
        </w:rPr>
        <w:t>Piazzini</w:t>
      </w:r>
      <w:proofErr w:type="spellEnd"/>
      <w:r w:rsidRPr="008C1816">
        <w:rPr>
          <w:lang w:eastAsia="ja-JP"/>
        </w:rPr>
        <w:t xml:space="preserve">, A., </w:t>
      </w:r>
      <w:proofErr w:type="spellStart"/>
      <w:r w:rsidRPr="008C1816">
        <w:rPr>
          <w:lang w:eastAsia="ja-JP"/>
        </w:rPr>
        <w:t>Canevini</w:t>
      </w:r>
      <w:proofErr w:type="spellEnd"/>
      <w:r w:rsidRPr="008C1816">
        <w:rPr>
          <w:lang w:eastAsia="ja-JP"/>
        </w:rPr>
        <w:t xml:space="preserve">, M. P., </w:t>
      </w:r>
      <w:proofErr w:type="spellStart"/>
      <w:r w:rsidRPr="008C1816">
        <w:rPr>
          <w:lang w:eastAsia="ja-JP"/>
        </w:rPr>
        <w:t>Maggiori</w:t>
      </w:r>
      <w:proofErr w:type="spellEnd"/>
      <w:r w:rsidRPr="008C1816">
        <w:rPr>
          <w:lang w:eastAsia="ja-JP"/>
        </w:rPr>
        <w:t xml:space="preserve">, G., &amp; </w:t>
      </w:r>
      <w:proofErr w:type="spellStart"/>
      <w:r w:rsidRPr="008C1816">
        <w:rPr>
          <w:lang w:eastAsia="ja-JP"/>
        </w:rPr>
        <w:t>Canger</w:t>
      </w:r>
      <w:proofErr w:type="spellEnd"/>
      <w:r w:rsidRPr="008C1816">
        <w:rPr>
          <w:lang w:eastAsia="ja-JP"/>
        </w:rPr>
        <w:t xml:space="preserve">, R. (2001). The perception of memory failures in patients with epilepsy. </w:t>
      </w:r>
      <w:r w:rsidRPr="008C1816">
        <w:rPr>
          <w:i/>
          <w:iCs/>
          <w:lang w:eastAsia="ja-JP"/>
        </w:rPr>
        <w:t>European Journal of Neurology</w:t>
      </w:r>
      <w:r w:rsidRPr="008C1816">
        <w:rPr>
          <w:lang w:eastAsia="ja-JP"/>
        </w:rPr>
        <w:t xml:space="preserve">, </w:t>
      </w:r>
      <w:r w:rsidRPr="008C1816">
        <w:rPr>
          <w:i/>
          <w:iCs/>
          <w:lang w:eastAsia="ja-JP"/>
        </w:rPr>
        <w:t>8</w:t>
      </w:r>
      <w:r w:rsidRPr="008C1816">
        <w:rPr>
          <w:lang w:eastAsia="ja-JP"/>
        </w:rPr>
        <w:t>(6), 613-620.</w:t>
      </w:r>
    </w:p>
    <w:p w14:paraId="0B20E919" w14:textId="637189D9" w:rsidR="00BC30C2" w:rsidRPr="008C1816" w:rsidRDefault="00BC30C2" w:rsidP="00BC30C2">
      <w:pPr>
        <w:widowControl w:val="0"/>
        <w:autoSpaceDE w:val="0"/>
        <w:autoSpaceDN w:val="0"/>
        <w:adjustRightInd w:val="0"/>
        <w:spacing w:after="240" w:line="480" w:lineRule="auto"/>
        <w:ind w:left="720" w:hanging="720"/>
        <w:rPr>
          <w:lang w:eastAsia="ja-JP"/>
        </w:rPr>
      </w:pPr>
      <w:r w:rsidRPr="00BC30C2">
        <w:rPr>
          <w:lang w:eastAsia="ja-JP"/>
        </w:rPr>
        <w:t xml:space="preserve">Ricci, M., Wong, T., </w:t>
      </w:r>
      <w:proofErr w:type="spellStart"/>
      <w:r w:rsidRPr="00BC30C2">
        <w:rPr>
          <w:lang w:eastAsia="ja-JP"/>
        </w:rPr>
        <w:t>Ni</w:t>
      </w:r>
      <w:r>
        <w:rPr>
          <w:lang w:eastAsia="ja-JP"/>
        </w:rPr>
        <w:t>kpour</w:t>
      </w:r>
      <w:proofErr w:type="spellEnd"/>
      <w:r>
        <w:rPr>
          <w:lang w:eastAsia="ja-JP"/>
        </w:rPr>
        <w:t>, A., &amp; Miller, L. A. (2018</w:t>
      </w:r>
      <w:r w:rsidRPr="00BC30C2">
        <w:rPr>
          <w:lang w:eastAsia="ja-JP"/>
        </w:rPr>
        <w:t xml:space="preserve">). Testing the effectiveness of cognitive interventions in alleviating accelerated long term forgetting (ALF). </w:t>
      </w:r>
      <w:r w:rsidRPr="00BC30C2">
        <w:rPr>
          <w:i/>
          <w:iCs/>
          <w:lang w:eastAsia="ja-JP"/>
        </w:rPr>
        <w:t>Cortex</w:t>
      </w:r>
      <w:r w:rsidRPr="00BC30C2">
        <w:rPr>
          <w:lang w:eastAsia="ja-JP"/>
        </w:rPr>
        <w:t>.</w:t>
      </w:r>
    </w:p>
    <w:p w14:paraId="57277550" w14:textId="477143EF" w:rsidR="00295685" w:rsidRDefault="008F3F84" w:rsidP="0052703B">
      <w:pPr>
        <w:widowControl w:val="0"/>
        <w:autoSpaceDE w:val="0"/>
        <w:autoSpaceDN w:val="0"/>
        <w:adjustRightInd w:val="0"/>
        <w:spacing w:after="240" w:line="480" w:lineRule="auto"/>
        <w:rPr>
          <w:lang w:val="en-US"/>
        </w:rPr>
      </w:pPr>
      <w:r w:rsidRPr="0052703B">
        <w:rPr>
          <w:lang w:val="en-US"/>
        </w:rPr>
        <w:t xml:space="preserve">Salthouse, T. A. (1991). Theoretical perspectives on cognitive aging. Hillsdale, NJ: Erlbaum. </w:t>
      </w:r>
    </w:p>
    <w:p w14:paraId="0448337E" w14:textId="492DE912" w:rsidR="00B46ECA" w:rsidRPr="00B46ECA" w:rsidRDefault="00B46ECA" w:rsidP="00B46ECA">
      <w:pPr>
        <w:spacing w:line="480" w:lineRule="auto"/>
        <w:ind w:left="720" w:hanging="720"/>
      </w:pPr>
      <w:proofErr w:type="spellStart"/>
      <w:r w:rsidRPr="00B46ECA">
        <w:t>Sturge</w:t>
      </w:r>
      <w:r w:rsidR="008E679F">
        <w:t>s</w:t>
      </w:r>
      <w:r w:rsidRPr="00B46ECA">
        <w:t>s</w:t>
      </w:r>
      <w:proofErr w:type="spellEnd"/>
      <w:r w:rsidRPr="00B46ECA">
        <w:t xml:space="preserve">, J. E., &amp; Hanrahan, K. J. (2004). Comparing telephone and face-to-face qualitative interviewing: a research note. </w:t>
      </w:r>
      <w:r w:rsidRPr="00B46ECA">
        <w:rPr>
          <w:i/>
          <w:iCs/>
        </w:rPr>
        <w:t>Qualitative Research</w:t>
      </w:r>
      <w:r w:rsidRPr="00B46ECA">
        <w:t xml:space="preserve">, </w:t>
      </w:r>
      <w:r w:rsidRPr="00B46ECA">
        <w:rPr>
          <w:i/>
          <w:iCs/>
        </w:rPr>
        <w:t>4</w:t>
      </w:r>
      <w:r w:rsidRPr="00B46ECA">
        <w:t>(1), 107-118.</w:t>
      </w:r>
    </w:p>
    <w:p w14:paraId="7F9C9055" w14:textId="69B10E81" w:rsidR="00295685" w:rsidRDefault="00295685" w:rsidP="0052703B">
      <w:pPr>
        <w:widowControl w:val="0"/>
        <w:autoSpaceDE w:val="0"/>
        <w:autoSpaceDN w:val="0"/>
        <w:adjustRightInd w:val="0"/>
        <w:spacing w:after="240" w:line="480" w:lineRule="auto"/>
        <w:ind w:left="720" w:hanging="720"/>
        <w:rPr>
          <w:color w:val="000071"/>
          <w:lang w:val="en-US"/>
        </w:rPr>
      </w:pPr>
      <w:r w:rsidRPr="0052703B">
        <w:rPr>
          <w:lang w:val="en-US"/>
        </w:rPr>
        <w:t xml:space="preserve">Tombaugh, T. N., &amp; </w:t>
      </w:r>
      <w:proofErr w:type="spellStart"/>
      <w:r w:rsidRPr="0052703B">
        <w:rPr>
          <w:lang w:val="en-US"/>
        </w:rPr>
        <w:t>Hubley</w:t>
      </w:r>
      <w:proofErr w:type="spellEnd"/>
      <w:r w:rsidRPr="0052703B">
        <w:rPr>
          <w:lang w:val="en-US"/>
        </w:rPr>
        <w:t>, A. M. (2001). Rates of forgetting on three measures of verbal learning using retention intervals ranging from 20 minutes to 62 days</w:t>
      </w:r>
      <w:r w:rsidRPr="0052703B">
        <w:rPr>
          <w:i/>
          <w:lang w:val="en-US"/>
        </w:rPr>
        <w:t>. Journal of the International Neuropsychological Society, 7(1)</w:t>
      </w:r>
      <w:r w:rsidRPr="0052703B">
        <w:rPr>
          <w:lang w:val="en-US"/>
        </w:rPr>
        <w:t>, 79–91. doi:</w:t>
      </w:r>
      <w:r w:rsidRPr="0052703B">
        <w:rPr>
          <w:color w:val="000071"/>
          <w:lang w:val="en-US"/>
        </w:rPr>
        <w:t xml:space="preserve">10.1017/S1355617701711083 </w:t>
      </w:r>
    </w:p>
    <w:p w14:paraId="488660BA" w14:textId="4AD05CF6" w:rsidR="00CA4428" w:rsidRPr="00CA4428" w:rsidRDefault="00CA4428" w:rsidP="00CA4428">
      <w:pPr>
        <w:widowControl w:val="0"/>
        <w:autoSpaceDE w:val="0"/>
        <w:autoSpaceDN w:val="0"/>
        <w:adjustRightInd w:val="0"/>
        <w:spacing w:after="240" w:line="480" w:lineRule="auto"/>
        <w:ind w:left="720" w:hanging="720"/>
        <w:rPr>
          <w:color w:val="000000" w:themeColor="text1"/>
        </w:rPr>
      </w:pPr>
      <w:r w:rsidRPr="00CA4428">
        <w:rPr>
          <w:color w:val="000000" w:themeColor="text1"/>
        </w:rPr>
        <w:t xml:space="preserve">van </w:t>
      </w:r>
      <w:proofErr w:type="spellStart"/>
      <w:r w:rsidRPr="00CA4428">
        <w:rPr>
          <w:color w:val="000000" w:themeColor="text1"/>
        </w:rPr>
        <w:t>Doorn</w:t>
      </w:r>
      <w:proofErr w:type="spellEnd"/>
      <w:r w:rsidRPr="00CA4428">
        <w:rPr>
          <w:color w:val="000000" w:themeColor="text1"/>
        </w:rPr>
        <w:t xml:space="preserve">, J., van den Bergh, D., Bohm, U., </w:t>
      </w:r>
      <w:proofErr w:type="spellStart"/>
      <w:r w:rsidRPr="00CA4428">
        <w:rPr>
          <w:color w:val="000000" w:themeColor="text1"/>
        </w:rPr>
        <w:t>Dablander</w:t>
      </w:r>
      <w:proofErr w:type="spellEnd"/>
      <w:r w:rsidRPr="00CA4428">
        <w:rPr>
          <w:color w:val="000000" w:themeColor="text1"/>
        </w:rPr>
        <w:t>, F., Derks, K., Draws, T., ... &amp; Ly, A. (2019). The JASP Guidelines for Conducting and Reporting a Bayesian Analysis.</w:t>
      </w:r>
    </w:p>
    <w:p w14:paraId="6A9CB687" w14:textId="77777777" w:rsidR="00A839F9" w:rsidRPr="00A839F9" w:rsidRDefault="00A839F9" w:rsidP="00A839F9">
      <w:pPr>
        <w:spacing w:line="480" w:lineRule="auto"/>
        <w:ind w:left="720" w:hanging="720"/>
      </w:pPr>
      <w:r w:rsidRPr="00A839F9">
        <w:t xml:space="preserve">Walsh, C. M., Wilkins, S., </w:t>
      </w:r>
      <w:proofErr w:type="spellStart"/>
      <w:r w:rsidRPr="00A839F9">
        <w:t>Bettcher</w:t>
      </w:r>
      <w:proofErr w:type="spellEnd"/>
      <w:r w:rsidRPr="00A839F9">
        <w:t xml:space="preserve">, B. M., Butler, C. R., Miller, B. L., &amp; Kramer, J. H. (2014). Memory consolidation in aging and MCI after 1 week. </w:t>
      </w:r>
      <w:r w:rsidRPr="00A839F9">
        <w:rPr>
          <w:i/>
          <w:iCs/>
        </w:rPr>
        <w:t>Neuropsychology</w:t>
      </w:r>
      <w:r w:rsidRPr="00A839F9">
        <w:t xml:space="preserve">, </w:t>
      </w:r>
      <w:r w:rsidRPr="00A839F9">
        <w:rPr>
          <w:i/>
          <w:iCs/>
        </w:rPr>
        <w:t>28</w:t>
      </w:r>
      <w:r w:rsidRPr="00A839F9">
        <w:t>(2), 273.</w:t>
      </w:r>
    </w:p>
    <w:p w14:paraId="03DFE366" w14:textId="04ADB3AB" w:rsidR="0059499C" w:rsidRDefault="0059499C">
      <w:pPr>
        <w:spacing w:after="200"/>
        <w:rPr>
          <w:lang w:val="en-US"/>
        </w:rPr>
      </w:pPr>
      <w:r>
        <w:rPr>
          <w:lang w:val="en-US"/>
        </w:rPr>
        <w:br w:type="page"/>
      </w:r>
    </w:p>
    <w:p w14:paraId="1D9180C7" w14:textId="77777777" w:rsidR="0059499C" w:rsidRDefault="0059499C" w:rsidP="0059499C">
      <w:pPr>
        <w:spacing w:line="480" w:lineRule="auto"/>
      </w:pPr>
      <w:r>
        <w:lastRenderedPageBreak/>
        <w:t>Table 1. Mean number of correct responses at each test point, as a function of age group and final session testing method</w:t>
      </w:r>
    </w:p>
    <w:tbl>
      <w:tblPr>
        <w:tblStyle w:val="PlainTable2"/>
        <w:tblW w:w="0" w:type="auto"/>
        <w:tblLook w:val="04A0" w:firstRow="1" w:lastRow="0" w:firstColumn="1" w:lastColumn="0" w:noHBand="0" w:noVBand="1"/>
      </w:tblPr>
      <w:tblGrid>
        <w:gridCol w:w="2462"/>
        <w:gridCol w:w="2462"/>
        <w:gridCol w:w="2462"/>
        <w:gridCol w:w="2462"/>
      </w:tblGrid>
      <w:tr w:rsidR="0059499C" w14:paraId="1BBFFE86" w14:textId="77777777" w:rsidTr="00B73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tcPr>
          <w:p w14:paraId="7206011F" w14:textId="77777777" w:rsidR="0059499C" w:rsidRPr="00B1022C" w:rsidRDefault="0059499C" w:rsidP="00B73D1C">
            <w:pPr>
              <w:spacing w:line="480" w:lineRule="auto"/>
              <w:rPr>
                <w:b w:val="0"/>
                <w:bCs w:val="0"/>
              </w:rPr>
            </w:pPr>
          </w:p>
        </w:tc>
        <w:tc>
          <w:tcPr>
            <w:tcW w:w="2462" w:type="dxa"/>
          </w:tcPr>
          <w:p w14:paraId="6B65F041" w14:textId="77777777" w:rsidR="0059499C" w:rsidRPr="00B1022C" w:rsidRDefault="0059499C" w:rsidP="00B73D1C">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B1022C">
              <w:rPr>
                <w:b w:val="0"/>
                <w:bCs w:val="0"/>
              </w:rPr>
              <w:t>Immediate test</w:t>
            </w:r>
          </w:p>
        </w:tc>
        <w:tc>
          <w:tcPr>
            <w:tcW w:w="2462" w:type="dxa"/>
          </w:tcPr>
          <w:p w14:paraId="40BEE054" w14:textId="77777777" w:rsidR="0059499C" w:rsidRPr="00B1022C" w:rsidRDefault="0059499C" w:rsidP="00B73D1C">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B1022C">
              <w:rPr>
                <w:b w:val="0"/>
                <w:bCs w:val="0"/>
              </w:rPr>
              <w:t>20-minute test</w:t>
            </w:r>
          </w:p>
        </w:tc>
        <w:tc>
          <w:tcPr>
            <w:tcW w:w="2462" w:type="dxa"/>
          </w:tcPr>
          <w:p w14:paraId="75B0D3F3" w14:textId="77777777" w:rsidR="0059499C" w:rsidRPr="00B1022C" w:rsidRDefault="0059499C" w:rsidP="00B73D1C">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B1022C">
              <w:rPr>
                <w:b w:val="0"/>
                <w:bCs w:val="0"/>
              </w:rPr>
              <w:t>Final (1-week) test</w:t>
            </w:r>
          </w:p>
        </w:tc>
      </w:tr>
      <w:tr w:rsidR="0059499C" w14:paraId="6705554C" w14:textId="77777777" w:rsidTr="00B73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tcPr>
          <w:p w14:paraId="2F942E3A" w14:textId="77777777" w:rsidR="0059499C" w:rsidRPr="00B1022C" w:rsidRDefault="0059499C" w:rsidP="00B73D1C">
            <w:pPr>
              <w:spacing w:line="480" w:lineRule="auto"/>
              <w:rPr>
                <w:b w:val="0"/>
                <w:bCs w:val="0"/>
              </w:rPr>
            </w:pPr>
            <w:r w:rsidRPr="00B1022C">
              <w:rPr>
                <w:b w:val="0"/>
                <w:bCs w:val="0"/>
              </w:rPr>
              <w:t>Younger adults</w:t>
            </w:r>
          </w:p>
          <w:p w14:paraId="62BE2EDA" w14:textId="77777777" w:rsidR="0059499C" w:rsidRDefault="0059499C" w:rsidP="00B73D1C">
            <w:pPr>
              <w:spacing w:line="480" w:lineRule="auto"/>
            </w:pPr>
            <w:r>
              <w:rPr>
                <w:b w:val="0"/>
                <w:bCs w:val="0"/>
              </w:rPr>
              <w:t>In person (N=20)</w:t>
            </w:r>
          </w:p>
          <w:p w14:paraId="35183B7C" w14:textId="77777777" w:rsidR="0059499C" w:rsidRPr="00B1022C" w:rsidRDefault="0059499C" w:rsidP="00B73D1C">
            <w:pPr>
              <w:spacing w:line="480" w:lineRule="auto"/>
              <w:rPr>
                <w:b w:val="0"/>
                <w:bCs w:val="0"/>
              </w:rPr>
            </w:pPr>
            <w:r>
              <w:rPr>
                <w:b w:val="0"/>
                <w:bCs w:val="0"/>
              </w:rPr>
              <w:t>Telephone (N=20)</w:t>
            </w:r>
          </w:p>
        </w:tc>
        <w:tc>
          <w:tcPr>
            <w:tcW w:w="2462" w:type="dxa"/>
          </w:tcPr>
          <w:p w14:paraId="7DAED929" w14:textId="77777777" w:rsidR="0059499C" w:rsidRDefault="0059499C" w:rsidP="00B73D1C">
            <w:pPr>
              <w:spacing w:line="480" w:lineRule="auto"/>
              <w:jc w:val="center"/>
              <w:cnfStyle w:val="000000100000" w:firstRow="0" w:lastRow="0" w:firstColumn="0" w:lastColumn="0" w:oddVBand="0" w:evenVBand="0" w:oddHBand="1" w:evenHBand="0" w:firstRowFirstColumn="0" w:firstRowLastColumn="0" w:lastRowFirstColumn="0" w:lastRowLastColumn="0"/>
            </w:pPr>
          </w:p>
          <w:p w14:paraId="37CE0749" w14:textId="77777777" w:rsidR="0059499C" w:rsidRDefault="0059499C" w:rsidP="00B73D1C">
            <w:pPr>
              <w:spacing w:line="480" w:lineRule="auto"/>
              <w:jc w:val="center"/>
              <w:cnfStyle w:val="000000100000" w:firstRow="0" w:lastRow="0" w:firstColumn="0" w:lastColumn="0" w:oddVBand="0" w:evenVBand="0" w:oddHBand="1" w:evenHBand="0" w:firstRowFirstColumn="0" w:firstRowLastColumn="0" w:lastRowFirstColumn="0" w:lastRowLastColumn="0"/>
            </w:pPr>
            <w:r>
              <w:t>13.85 (.69)</w:t>
            </w:r>
          </w:p>
          <w:p w14:paraId="75FA4C11" w14:textId="77777777" w:rsidR="0059499C" w:rsidRPr="00B1022C" w:rsidRDefault="0059499C" w:rsidP="00B73D1C">
            <w:pPr>
              <w:spacing w:line="480" w:lineRule="auto"/>
              <w:jc w:val="center"/>
              <w:cnfStyle w:val="000000100000" w:firstRow="0" w:lastRow="0" w:firstColumn="0" w:lastColumn="0" w:oddVBand="0" w:evenVBand="0" w:oddHBand="1" w:evenHBand="0" w:firstRowFirstColumn="0" w:firstRowLastColumn="0" w:lastRowFirstColumn="0" w:lastRowLastColumn="0"/>
            </w:pPr>
            <w:r>
              <w:t>13.30 (.61)</w:t>
            </w:r>
          </w:p>
        </w:tc>
        <w:tc>
          <w:tcPr>
            <w:tcW w:w="2462" w:type="dxa"/>
          </w:tcPr>
          <w:p w14:paraId="1E450C22" w14:textId="77777777" w:rsidR="0059499C" w:rsidRDefault="0059499C" w:rsidP="00B73D1C">
            <w:pPr>
              <w:spacing w:line="480" w:lineRule="auto"/>
              <w:jc w:val="center"/>
              <w:cnfStyle w:val="000000100000" w:firstRow="0" w:lastRow="0" w:firstColumn="0" w:lastColumn="0" w:oddVBand="0" w:evenVBand="0" w:oddHBand="1" w:evenHBand="0" w:firstRowFirstColumn="0" w:firstRowLastColumn="0" w:lastRowFirstColumn="0" w:lastRowLastColumn="0"/>
            </w:pPr>
          </w:p>
          <w:p w14:paraId="59EF33D1" w14:textId="77777777" w:rsidR="0059499C" w:rsidRDefault="0059499C" w:rsidP="00B73D1C">
            <w:pPr>
              <w:spacing w:line="480" w:lineRule="auto"/>
              <w:jc w:val="center"/>
              <w:cnfStyle w:val="000000100000" w:firstRow="0" w:lastRow="0" w:firstColumn="0" w:lastColumn="0" w:oddVBand="0" w:evenVBand="0" w:oddHBand="1" w:evenHBand="0" w:firstRowFirstColumn="0" w:firstRowLastColumn="0" w:lastRowFirstColumn="0" w:lastRowLastColumn="0"/>
            </w:pPr>
            <w:r>
              <w:t>13.35 (.94)</w:t>
            </w:r>
          </w:p>
          <w:p w14:paraId="48A3ACFF" w14:textId="77777777" w:rsidR="0059499C" w:rsidRPr="00B1022C" w:rsidRDefault="0059499C" w:rsidP="00B73D1C">
            <w:pPr>
              <w:spacing w:line="480" w:lineRule="auto"/>
              <w:jc w:val="center"/>
              <w:cnfStyle w:val="000000100000" w:firstRow="0" w:lastRow="0" w:firstColumn="0" w:lastColumn="0" w:oddVBand="0" w:evenVBand="0" w:oddHBand="1" w:evenHBand="0" w:firstRowFirstColumn="0" w:firstRowLastColumn="0" w:lastRowFirstColumn="0" w:lastRowLastColumn="0"/>
            </w:pPr>
            <w:r>
              <w:t>13.40 (.81)</w:t>
            </w:r>
          </w:p>
        </w:tc>
        <w:tc>
          <w:tcPr>
            <w:tcW w:w="2462" w:type="dxa"/>
          </w:tcPr>
          <w:p w14:paraId="4A3084D5" w14:textId="77777777" w:rsidR="0059499C" w:rsidRDefault="0059499C" w:rsidP="00B73D1C">
            <w:pPr>
              <w:spacing w:line="480" w:lineRule="auto"/>
              <w:jc w:val="center"/>
              <w:cnfStyle w:val="000000100000" w:firstRow="0" w:lastRow="0" w:firstColumn="0" w:lastColumn="0" w:oddVBand="0" w:evenVBand="0" w:oddHBand="1" w:evenHBand="0" w:firstRowFirstColumn="0" w:firstRowLastColumn="0" w:lastRowFirstColumn="0" w:lastRowLastColumn="0"/>
            </w:pPr>
          </w:p>
          <w:p w14:paraId="4264C32F" w14:textId="77777777" w:rsidR="0059499C" w:rsidRDefault="0059499C" w:rsidP="00B73D1C">
            <w:pPr>
              <w:spacing w:line="480" w:lineRule="auto"/>
              <w:jc w:val="center"/>
              <w:cnfStyle w:val="000000100000" w:firstRow="0" w:lastRow="0" w:firstColumn="0" w:lastColumn="0" w:oddVBand="0" w:evenVBand="0" w:oddHBand="1" w:evenHBand="0" w:firstRowFirstColumn="0" w:firstRowLastColumn="0" w:lastRowFirstColumn="0" w:lastRowLastColumn="0"/>
            </w:pPr>
            <w:r>
              <w:t>14.05 (.81)</w:t>
            </w:r>
          </w:p>
          <w:p w14:paraId="2EA0B9D1" w14:textId="77777777" w:rsidR="0059499C" w:rsidRPr="00B1022C" w:rsidRDefault="0059499C" w:rsidP="00B73D1C">
            <w:pPr>
              <w:spacing w:line="480" w:lineRule="auto"/>
              <w:jc w:val="center"/>
              <w:cnfStyle w:val="000000100000" w:firstRow="0" w:lastRow="0" w:firstColumn="0" w:lastColumn="0" w:oddVBand="0" w:evenVBand="0" w:oddHBand="1" w:evenHBand="0" w:firstRowFirstColumn="0" w:firstRowLastColumn="0" w:lastRowFirstColumn="0" w:lastRowLastColumn="0"/>
            </w:pPr>
            <w:r>
              <w:t>13.50 (.90)</w:t>
            </w:r>
          </w:p>
        </w:tc>
      </w:tr>
      <w:tr w:rsidR="0059499C" w14:paraId="251CC9B8" w14:textId="77777777" w:rsidTr="00B73D1C">
        <w:tc>
          <w:tcPr>
            <w:cnfStyle w:val="001000000000" w:firstRow="0" w:lastRow="0" w:firstColumn="1" w:lastColumn="0" w:oddVBand="0" w:evenVBand="0" w:oddHBand="0" w:evenHBand="0" w:firstRowFirstColumn="0" w:firstRowLastColumn="0" w:lastRowFirstColumn="0" w:lastRowLastColumn="0"/>
            <w:tcW w:w="2462" w:type="dxa"/>
          </w:tcPr>
          <w:p w14:paraId="52A644A9" w14:textId="77777777" w:rsidR="0059499C" w:rsidRDefault="0059499C" w:rsidP="00B73D1C">
            <w:pPr>
              <w:spacing w:line="480" w:lineRule="auto"/>
            </w:pPr>
            <w:r w:rsidRPr="00B1022C">
              <w:rPr>
                <w:b w:val="0"/>
                <w:bCs w:val="0"/>
              </w:rPr>
              <w:t>Older adults</w:t>
            </w:r>
          </w:p>
          <w:p w14:paraId="4FA4F17E" w14:textId="77777777" w:rsidR="0059499C" w:rsidRDefault="0059499C" w:rsidP="00B73D1C">
            <w:pPr>
              <w:spacing w:line="480" w:lineRule="auto"/>
            </w:pPr>
            <w:r>
              <w:rPr>
                <w:b w:val="0"/>
                <w:bCs w:val="0"/>
              </w:rPr>
              <w:t>In person (N=17)</w:t>
            </w:r>
          </w:p>
          <w:p w14:paraId="05D15069" w14:textId="77777777" w:rsidR="0059499C" w:rsidRPr="00B1022C" w:rsidRDefault="0059499C" w:rsidP="00B73D1C">
            <w:pPr>
              <w:spacing w:line="480" w:lineRule="auto"/>
              <w:rPr>
                <w:b w:val="0"/>
                <w:bCs w:val="0"/>
              </w:rPr>
            </w:pPr>
            <w:r>
              <w:rPr>
                <w:b w:val="0"/>
                <w:bCs w:val="0"/>
              </w:rPr>
              <w:t>Telephone (N=23)</w:t>
            </w:r>
          </w:p>
        </w:tc>
        <w:tc>
          <w:tcPr>
            <w:tcW w:w="2462" w:type="dxa"/>
          </w:tcPr>
          <w:p w14:paraId="4A067342" w14:textId="77777777" w:rsidR="0059499C" w:rsidRDefault="0059499C" w:rsidP="00B73D1C">
            <w:pPr>
              <w:spacing w:line="480" w:lineRule="auto"/>
              <w:jc w:val="center"/>
              <w:cnfStyle w:val="000000000000" w:firstRow="0" w:lastRow="0" w:firstColumn="0" w:lastColumn="0" w:oddVBand="0" w:evenVBand="0" w:oddHBand="0" w:evenHBand="0" w:firstRowFirstColumn="0" w:firstRowLastColumn="0" w:lastRowFirstColumn="0" w:lastRowLastColumn="0"/>
            </w:pPr>
          </w:p>
          <w:p w14:paraId="74807DC5" w14:textId="77777777" w:rsidR="0059499C" w:rsidRDefault="0059499C" w:rsidP="00B73D1C">
            <w:pPr>
              <w:spacing w:line="480" w:lineRule="auto"/>
              <w:jc w:val="center"/>
              <w:cnfStyle w:val="000000000000" w:firstRow="0" w:lastRow="0" w:firstColumn="0" w:lastColumn="0" w:oddVBand="0" w:evenVBand="0" w:oddHBand="0" w:evenHBand="0" w:firstRowFirstColumn="0" w:firstRowLastColumn="0" w:lastRowFirstColumn="0" w:lastRowLastColumn="0"/>
            </w:pPr>
            <w:r>
              <w:t>11.76 (1.08)</w:t>
            </w:r>
          </w:p>
          <w:p w14:paraId="0065E3C2" w14:textId="77777777" w:rsidR="0059499C" w:rsidRPr="00B1022C" w:rsidRDefault="0059499C" w:rsidP="00B73D1C">
            <w:pPr>
              <w:spacing w:line="480" w:lineRule="auto"/>
              <w:jc w:val="center"/>
              <w:cnfStyle w:val="000000000000" w:firstRow="0" w:lastRow="0" w:firstColumn="0" w:lastColumn="0" w:oddVBand="0" w:evenVBand="0" w:oddHBand="0" w:evenHBand="0" w:firstRowFirstColumn="0" w:firstRowLastColumn="0" w:lastRowFirstColumn="0" w:lastRowLastColumn="0"/>
            </w:pPr>
            <w:r>
              <w:t>11.30 (.83)</w:t>
            </w:r>
          </w:p>
        </w:tc>
        <w:tc>
          <w:tcPr>
            <w:tcW w:w="2462" w:type="dxa"/>
          </w:tcPr>
          <w:p w14:paraId="5FDF403F" w14:textId="77777777" w:rsidR="0059499C" w:rsidRDefault="0059499C" w:rsidP="00B73D1C">
            <w:pPr>
              <w:spacing w:line="480" w:lineRule="auto"/>
              <w:jc w:val="center"/>
              <w:cnfStyle w:val="000000000000" w:firstRow="0" w:lastRow="0" w:firstColumn="0" w:lastColumn="0" w:oddVBand="0" w:evenVBand="0" w:oddHBand="0" w:evenHBand="0" w:firstRowFirstColumn="0" w:firstRowLastColumn="0" w:lastRowFirstColumn="0" w:lastRowLastColumn="0"/>
            </w:pPr>
          </w:p>
          <w:p w14:paraId="12B0A8A0" w14:textId="77777777" w:rsidR="0059499C" w:rsidRDefault="0059499C" w:rsidP="00B73D1C">
            <w:pPr>
              <w:spacing w:line="480" w:lineRule="auto"/>
              <w:jc w:val="center"/>
              <w:cnfStyle w:val="000000000000" w:firstRow="0" w:lastRow="0" w:firstColumn="0" w:lastColumn="0" w:oddVBand="0" w:evenVBand="0" w:oddHBand="0" w:evenHBand="0" w:firstRowFirstColumn="0" w:firstRowLastColumn="0" w:lastRowFirstColumn="0" w:lastRowLastColumn="0"/>
            </w:pPr>
            <w:r>
              <w:t>12.94 (1.22)</w:t>
            </w:r>
          </w:p>
          <w:p w14:paraId="1E41CE08" w14:textId="77777777" w:rsidR="0059499C" w:rsidRPr="00B1022C" w:rsidRDefault="0059499C" w:rsidP="00B73D1C">
            <w:pPr>
              <w:spacing w:line="480" w:lineRule="auto"/>
              <w:jc w:val="center"/>
              <w:cnfStyle w:val="000000000000" w:firstRow="0" w:lastRow="0" w:firstColumn="0" w:lastColumn="0" w:oddVBand="0" w:evenVBand="0" w:oddHBand="0" w:evenHBand="0" w:firstRowFirstColumn="0" w:firstRowLastColumn="0" w:lastRowFirstColumn="0" w:lastRowLastColumn="0"/>
            </w:pPr>
            <w:r>
              <w:t>12.35 (1.10)</w:t>
            </w:r>
          </w:p>
        </w:tc>
        <w:tc>
          <w:tcPr>
            <w:tcW w:w="2462" w:type="dxa"/>
          </w:tcPr>
          <w:p w14:paraId="5D89BC75" w14:textId="77777777" w:rsidR="0059499C" w:rsidRDefault="0059499C" w:rsidP="00B73D1C">
            <w:pPr>
              <w:spacing w:line="480" w:lineRule="auto"/>
              <w:jc w:val="center"/>
              <w:cnfStyle w:val="000000000000" w:firstRow="0" w:lastRow="0" w:firstColumn="0" w:lastColumn="0" w:oddVBand="0" w:evenVBand="0" w:oddHBand="0" w:evenHBand="0" w:firstRowFirstColumn="0" w:firstRowLastColumn="0" w:lastRowFirstColumn="0" w:lastRowLastColumn="0"/>
            </w:pPr>
          </w:p>
          <w:p w14:paraId="080FAD26" w14:textId="77777777" w:rsidR="0059499C" w:rsidRDefault="0059499C" w:rsidP="00B73D1C">
            <w:pPr>
              <w:spacing w:line="480" w:lineRule="auto"/>
              <w:jc w:val="center"/>
              <w:cnfStyle w:val="000000000000" w:firstRow="0" w:lastRow="0" w:firstColumn="0" w:lastColumn="0" w:oddVBand="0" w:evenVBand="0" w:oddHBand="0" w:evenHBand="0" w:firstRowFirstColumn="0" w:firstRowLastColumn="0" w:lastRowFirstColumn="0" w:lastRowLastColumn="0"/>
            </w:pPr>
            <w:r>
              <w:t>11.94 (.93)</w:t>
            </w:r>
          </w:p>
          <w:p w14:paraId="5C7239B5" w14:textId="77777777" w:rsidR="0059499C" w:rsidRPr="00B1022C" w:rsidRDefault="0059499C" w:rsidP="00B73D1C">
            <w:pPr>
              <w:spacing w:line="480" w:lineRule="auto"/>
              <w:jc w:val="center"/>
              <w:cnfStyle w:val="000000000000" w:firstRow="0" w:lastRow="0" w:firstColumn="0" w:lastColumn="0" w:oddVBand="0" w:evenVBand="0" w:oddHBand="0" w:evenHBand="0" w:firstRowFirstColumn="0" w:firstRowLastColumn="0" w:lastRowFirstColumn="0" w:lastRowLastColumn="0"/>
            </w:pPr>
            <w:r>
              <w:t>10.96 (.93)</w:t>
            </w:r>
          </w:p>
        </w:tc>
      </w:tr>
    </w:tbl>
    <w:p w14:paraId="5C736013" w14:textId="77777777" w:rsidR="0059499C" w:rsidRDefault="0059499C" w:rsidP="0059499C">
      <w:pPr>
        <w:spacing w:line="480" w:lineRule="auto"/>
      </w:pPr>
    </w:p>
    <w:p w14:paraId="16D2519C" w14:textId="77777777" w:rsidR="00A839F9" w:rsidRPr="0052703B" w:rsidRDefault="00A839F9" w:rsidP="0052703B">
      <w:pPr>
        <w:widowControl w:val="0"/>
        <w:autoSpaceDE w:val="0"/>
        <w:autoSpaceDN w:val="0"/>
        <w:adjustRightInd w:val="0"/>
        <w:spacing w:after="240" w:line="480" w:lineRule="auto"/>
        <w:ind w:left="720" w:hanging="720"/>
        <w:rPr>
          <w:lang w:val="en-US"/>
        </w:rPr>
      </w:pPr>
    </w:p>
    <w:p w14:paraId="2277430A" w14:textId="3F3523D3" w:rsidR="0082201A" w:rsidRDefault="00295685" w:rsidP="00B719DB">
      <w:r>
        <w:t xml:space="preserve"> </w:t>
      </w:r>
    </w:p>
    <w:p w14:paraId="28736E93" w14:textId="1AC7DCD1" w:rsidR="0059499C" w:rsidRDefault="0059499C">
      <w:pPr>
        <w:spacing w:after="200"/>
      </w:pPr>
      <w:r>
        <w:br w:type="page"/>
      </w:r>
    </w:p>
    <w:p w14:paraId="3BE4E5F1" w14:textId="50ECB126" w:rsidR="00C6475E" w:rsidRDefault="00C6475E" w:rsidP="00C6475E">
      <w:pPr>
        <w:spacing w:line="480" w:lineRule="auto"/>
        <w:jc w:val="center"/>
      </w:pPr>
      <w:r>
        <w:lastRenderedPageBreak/>
        <w:t>Figure 1. Recall accuracy at the final test session as a proportion of accuracy in the earlier sessions</w:t>
      </w:r>
      <w:r>
        <w:br w:type="page"/>
      </w:r>
    </w:p>
    <w:p w14:paraId="1202CA5D" w14:textId="0E79297A" w:rsidR="0059499C" w:rsidRDefault="00C6475E" w:rsidP="0059499C">
      <w:pPr>
        <w:spacing w:line="480" w:lineRule="auto"/>
      </w:pPr>
      <w:r>
        <w:lastRenderedPageBreak/>
        <w:t>Figure 1</w:t>
      </w:r>
    </w:p>
    <w:p w14:paraId="575630DB" w14:textId="77777777" w:rsidR="0059499C" w:rsidRDefault="0059499C" w:rsidP="0059499C">
      <w:pPr>
        <w:spacing w:line="480" w:lineRule="auto"/>
      </w:pPr>
      <w:r>
        <w:rPr>
          <w:noProof/>
        </w:rPr>
        <w:drawing>
          <wp:anchor distT="0" distB="0" distL="114300" distR="114300" simplePos="0" relativeHeight="251659264" behindDoc="1" locked="0" layoutInCell="1" allowOverlap="1" wp14:anchorId="15075293" wp14:editId="54F77C56">
            <wp:simplePos x="0" y="0"/>
            <wp:positionH relativeFrom="column">
              <wp:posOffset>481005</wp:posOffset>
            </wp:positionH>
            <wp:positionV relativeFrom="paragraph">
              <wp:posOffset>-3175</wp:posOffset>
            </wp:positionV>
            <wp:extent cx="5113655" cy="3652520"/>
            <wp:effectExtent l="0" t="0" r="4445" b="5080"/>
            <wp:wrapTight wrapText="bothSides">
              <wp:wrapPolygon edited="0">
                <wp:start x="0" y="0"/>
                <wp:lineTo x="0" y="21555"/>
                <wp:lineTo x="21565" y="21555"/>
                <wp:lineTo x="21565" y="0"/>
                <wp:lineTo x="0" y="0"/>
              </wp:wrapPolygon>
            </wp:wrapTight>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nalbyAllMats.png"/>
                    <pic:cNvPicPr/>
                  </pic:nvPicPr>
                  <pic:blipFill>
                    <a:blip r:embed="rId8"/>
                    <a:stretch>
                      <a:fillRect/>
                    </a:stretch>
                  </pic:blipFill>
                  <pic:spPr>
                    <a:xfrm>
                      <a:off x="0" y="0"/>
                      <a:ext cx="5113655" cy="3652520"/>
                    </a:xfrm>
                    <a:prstGeom prst="rect">
                      <a:avLst/>
                    </a:prstGeom>
                  </pic:spPr>
                </pic:pic>
              </a:graphicData>
            </a:graphic>
            <wp14:sizeRelH relativeFrom="page">
              <wp14:pctWidth>0</wp14:pctWidth>
            </wp14:sizeRelH>
            <wp14:sizeRelV relativeFrom="page">
              <wp14:pctHeight>0</wp14:pctHeight>
            </wp14:sizeRelV>
          </wp:anchor>
        </w:drawing>
      </w:r>
    </w:p>
    <w:p w14:paraId="209D32DA" w14:textId="77777777" w:rsidR="0059499C" w:rsidRDefault="0059499C" w:rsidP="0059499C">
      <w:pPr>
        <w:spacing w:line="480" w:lineRule="auto"/>
      </w:pPr>
    </w:p>
    <w:p w14:paraId="49B4A13F" w14:textId="77777777" w:rsidR="0059499C" w:rsidRDefault="0059499C" w:rsidP="0059499C">
      <w:pPr>
        <w:spacing w:line="480" w:lineRule="auto"/>
        <w:jc w:val="center"/>
      </w:pPr>
    </w:p>
    <w:p w14:paraId="319AD5BD" w14:textId="77777777" w:rsidR="0059499C" w:rsidRDefault="0059499C" w:rsidP="0059499C">
      <w:pPr>
        <w:spacing w:line="480" w:lineRule="auto"/>
        <w:jc w:val="center"/>
      </w:pPr>
    </w:p>
    <w:p w14:paraId="1C068410" w14:textId="77777777" w:rsidR="0059499C" w:rsidRDefault="0059499C" w:rsidP="0059499C">
      <w:pPr>
        <w:spacing w:line="480" w:lineRule="auto"/>
        <w:jc w:val="center"/>
      </w:pPr>
    </w:p>
    <w:p w14:paraId="41050978" w14:textId="77777777" w:rsidR="0059499C" w:rsidRDefault="0059499C" w:rsidP="0059499C">
      <w:pPr>
        <w:spacing w:line="480" w:lineRule="auto"/>
        <w:jc w:val="center"/>
      </w:pPr>
    </w:p>
    <w:p w14:paraId="79490826" w14:textId="77777777" w:rsidR="0059499C" w:rsidRDefault="0059499C" w:rsidP="0059499C">
      <w:pPr>
        <w:spacing w:line="480" w:lineRule="auto"/>
        <w:jc w:val="center"/>
      </w:pPr>
    </w:p>
    <w:p w14:paraId="01CA858E" w14:textId="77777777" w:rsidR="0059499C" w:rsidRDefault="0059499C" w:rsidP="0059499C">
      <w:pPr>
        <w:spacing w:line="480" w:lineRule="auto"/>
        <w:jc w:val="center"/>
      </w:pPr>
    </w:p>
    <w:p w14:paraId="517253DA" w14:textId="77777777" w:rsidR="0059499C" w:rsidRDefault="0059499C" w:rsidP="0059499C">
      <w:pPr>
        <w:spacing w:line="480" w:lineRule="auto"/>
        <w:jc w:val="center"/>
      </w:pPr>
    </w:p>
    <w:p w14:paraId="2A07C60A" w14:textId="77777777" w:rsidR="0059499C" w:rsidRDefault="0059499C" w:rsidP="0059499C">
      <w:pPr>
        <w:spacing w:line="480" w:lineRule="auto"/>
        <w:jc w:val="center"/>
      </w:pPr>
    </w:p>
    <w:p w14:paraId="07453112" w14:textId="77777777" w:rsidR="0059499C" w:rsidRDefault="0059499C" w:rsidP="0059499C">
      <w:pPr>
        <w:spacing w:line="480" w:lineRule="auto"/>
        <w:jc w:val="center"/>
      </w:pPr>
    </w:p>
    <w:p w14:paraId="006EF620" w14:textId="77777777" w:rsidR="00857914" w:rsidRPr="0034719D" w:rsidRDefault="00857914" w:rsidP="0034719D"/>
    <w:sectPr w:rsidR="00857914" w:rsidRPr="0034719D" w:rsidSect="00852993">
      <w:footerReference w:type="even" r:id="rId9"/>
      <w:footerReference w:type="default" r:id="rId1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3F576" w14:textId="77777777" w:rsidR="00186BC3" w:rsidRDefault="00186BC3" w:rsidP="00852993">
      <w:r>
        <w:separator/>
      </w:r>
    </w:p>
  </w:endnote>
  <w:endnote w:type="continuationSeparator" w:id="0">
    <w:p w14:paraId="22AE49AE" w14:textId="77777777" w:rsidR="00186BC3" w:rsidRDefault="00186BC3" w:rsidP="0085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dobe Caslon Pro Italic">
    <w:altName w:val="Times New Roman"/>
    <w:panose1 w:val="0205050205050B090A03"/>
    <w:charset w:val="4D"/>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6B1C" w14:textId="77777777" w:rsidR="001B0DEA" w:rsidRDefault="001B0DEA" w:rsidP="00852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8F14D" w14:textId="77777777" w:rsidR="001B0DEA" w:rsidRDefault="001B0DEA" w:rsidP="008529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080B" w14:textId="77777777" w:rsidR="001B0DEA" w:rsidRDefault="001B0DEA" w:rsidP="00852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F977BC4" w14:textId="77777777" w:rsidR="001B0DEA" w:rsidRDefault="001B0DEA" w:rsidP="008529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320E8" w14:textId="77777777" w:rsidR="00186BC3" w:rsidRDefault="00186BC3" w:rsidP="00852993">
      <w:r>
        <w:separator/>
      </w:r>
    </w:p>
  </w:footnote>
  <w:footnote w:type="continuationSeparator" w:id="0">
    <w:p w14:paraId="02DFEA81" w14:textId="77777777" w:rsidR="00186BC3" w:rsidRDefault="00186BC3" w:rsidP="0085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E18CB"/>
    <w:multiLevelType w:val="hybridMultilevel"/>
    <w:tmpl w:val="BDC81B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9424B4"/>
    <w:multiLevelType w:val="hybridMultilevel"/>
    <w:tmpl w:val="B03CA1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651C17"/>
    <w:multiLevelType w:val="hybridMultilevel"/>
    <w:tmpl w:val="99444D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7F4034"/>
    <w:multiLevelType w:val="hybridMultilevel"/>
    <w:tmpl w:val="AC86FE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990682"/>
    <w:multiLevelType w:val="hybridMultilevel"/>
    <w:tmpl w:val="CAC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40030"/>
    <w:multiLevelType w:val="multilevel"/>
    <w:tmpl w:val="C44AF6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831F27"/>
    <w:multiLevelType w:val="hybridMultilevel"/>
    <w:tmpl w:val="C44AF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993"/>
    <w:rsid w:val="00013182"/>
    <w:rsid w:val="000261C0"/>
    <w:rsid w:val="00036B98"/>
    <w:rsid w:val="00056607"/>
    <w:rsid w:val="00061E1E"/>
    <w:rsid w:val="000668E9"/>
    <w:rsid w:val="00075411"/>
    <w:rsid w:val="00080316"/>
    <w:rsid w:val="0008259F"/>
    <w:rsid w:val="00082C97"/>
    <w:rsid w:val="00095750"/>
    <w:rsid w:val="00095776"/>
    <w:rsid w:val="000A77D1"/>
    <w:rsid w:val="000B43CB"/>
    <w:rsid w:val="000C5909"/>
    <w:rsid w:val="000D62C9"/>
    <w:rsid w:val="000F7D59"/>
    <w:rsid w:val="00116EA5"/>
    <w:rsid w:val="0012679F"/>
    <w:rsid w:val="00127EFB"/>
    <w:rsid w:val="00131E44"/>
    <w:rsid w:val="00147865"/>
    <w:rsid w:val="00156B12"/>
    <w:rsid w:val="00165523"/>
    <w:rsid w:val="0017320A"/>
    <w:rsid w:val="00177AED"/>
    <w:rsid w:val="00182912"/>
    <w:rsid w:val="00186BC3"/>
    <w:rsid w:val="001907AD"/>
    <w:rsid w:val="00194937"/>
    <w:rsid w:val="00194B81"/>
    <w:rsid w:val="001954B4"/>
    <w:rsid w:val="00196223"/>
    <w:rsid w:val="001A4BBB"/>
    <w:rsid w:val="001A6F9A"/>
    <w:rsid w:val="001A7A32"/>
    <w:rsid w:val="001A7B1D"/>
    <w:rsid w:val="001B0DEA"/>
    <w:rsid w:val="001B3E66"/>
    <w:rsid w:val="001B72C3"/>
    <w:rsid w:val="001C08DA"/>
    <w:rsid w:val="001C1A9D"/>
    <w:rsid w:val="001C6BBF"/>
    <w:rsid w:val="001F16CA"/>
    <w:rsid w:val="001F2C29"/>
    <w:rsid w:val="002055DF"/>
    <w:rsid w:val="002058EF"/>
    <w:rsid w:val="0021592E"/>
    <w:rsid w:val="002213D5"/>
    <w:rsid w:val="00231019"/>
    <w:rsid w:val="0024113D"/>
    <w:rsid w:val="00241475"/>
    <w:rsid w:val="00250A7C"/>
    <w:rsid w:val="00256975"/>
    <w:rsid w:val="00256AC6"/>
    <w:rsid w:val="00270742"/>
    <w:rsid w:val="00276E6E"/>
    <w:rsid w:val="00277AC2"/>
    <w:rsid w:val="002826FE"/>
    <w:rsid w:val="0028418A"/>
    <w:rsid w:val="00291C88"/>
    <w:rsid w:val="00295685"/>
    <w:rsid w:val="002A0415"/>
    <w:rsid w:val="002A0566"/>
    <w:rsid w:val="002A38EF"/>
    <w:rsid w:val="002B3E74"/>
    <w:rsid w:val="002C1AD5"/>
    <w:rsid w:val="002C26FA"/>
    <w:rsid w:val="002D7529"/>
    <w:rsid w:val="002F1127"/>
    <w:rsid w:val="002F4C00"/>
    <w:rsid w:val="002F5864"/>
    <w:rsid w:val="0030607C"/>
    <w:rsid w:val="00307913"/>
    <w:rsid w:val="0031171B"/>
    <w:rsid w:val="00311DAE"/>
    <w:rsid w:val="00320680"/>
    <w:rsid w:val="003214F0"/>
    <w:rsid w:val="003218E9"/>
    <w:rsid w:val="003225FA"/>
    <w:rsid w:val="00322A65"/>
    <w:rsid w:val="00326D74"/>
    <w:rsid w:val="00327FE0"/>
    <w:rsid w:val="0034719D"/>
    <w:rsid w:val="00360999"/>
    <w:rsid w:val="003637C0"/>
    <w:rsid w:val="00370EEB"/>
    <w:rsid w:val="003740F8"/>
    <w:rsid w:val="0037468E"/>
    <w:rsid w:val="00383AFE"/>
    <w:rsid w:val="00387F60"/>
    <w:rsid w:val="003913FB"/>
    <w:rsid w:val="00392061"/>
    <w:rsid w:val="00394B3A"/>
    <w:rsid w:val="003A24A7"/>
    <w:rsid w:val="003B72D0"/>
    <w:rsid w:val="003C1510"/>
    <w:rsid w:val="003C6ECF"/>
    <w:rsid w:val="003D1669"/>
    <w:rsid w:val="003D5B58"/>
    <w:rsid w:val="003E139C"/>
    <w:rsid w:val="003E1D58"/>
    <w:rsid w:val="003F014D"/>
    <w:rsid w:val="003F0180"/>
    <w:rsid w:val="003F12ED"/>
    <w:rsid w:val="0043046B"/>
    <w:rsid w:val="00440CE7"/>
    <w:rsid w:val="00445D87"/>
    <w:rsid w:val="004544B0"/>
    <w:rsid w:val="0046402A"/>
    <w:rsid w:val="004657C0"/>
    <w:rsid w:val="004677B3"/>
    <w:rsid w:val="00471BDC"/>
    <w:rsid w:val="00476818"/>
    <w:rsid w:val="00487DE9"/>
    <w:rsid w:val="004A153B"/>
    <w:rsid w:val="004A5672"/>
    <w:rsid w:val="004A5D0D"/>
    <w:rsid w:val="004F0218"/>
    <w:rsid w:val="004F2A14"/>
    <w:rsid w:val="004F54F4"/>
    <w:rsid w:val="004F78BB"/>
    <w:rsid w:val="00520621"/>
    <w:rsid w:val="00520B6A"/>
    <w:rsid w:val="0052703B"/>
    <w:rsid w:val="00533131"/>
    <w:rsid w:val="0053441E"/>
    <w:rsid w:val="00542466"/>
    <w:rsid w:val="005455CD"/>
    <w:rsid w:val="00550585"/>
    <w:rsid w:val="005716A4"/>
    <w:rsid w:val="00575102"/>
    <w:rsid w:val="0059499C"/>
    <w:rsid w:val="005966AA"/>
    <w:rsid w:val="005A7534"/>
    <w:rsid w:val="005B3352"/>
    <w:rsid w:val="005C4978"/>
    <w:rsid w:val="005D359C"/>
    <w:rsid w:val="005D4855"/>
    <w:rsid w:val="005D6346"/>
    <w:rsid w:val="005E6ED1"/>
    <w:rsid w:val="005E7CC3"/>
    <w:rsid w:val="005F2207"/>
    <w:rsid w:val="005F2FA0"/>
    <w:rsid w:val="0060346D"/>
    <w:rsid w:val="00613A9E"/>
    <w:rsid w:val="00615503"/>
    <w:rsid w:val="00621834"/>
    <w:rsid w:val="006347C4"/>
    <w:rsid w:val="00634AA0"/>
    <w:rsid w:val="006476BE"/>
    <w:rsid w:val="0065036B"/>
    <w:rsid w:val="00664BC8"/>
    <w:rsid w:val="00682A9B"/>
    <w:rsid w:val="00685472"/>
    <w:rsid w:val="00692C28"/>
    <w:rsid w:val="0069362A"/>
    <w:rsid w:val="006937E2"/>
    <w:rsid w:val="00693DCD"/>
    <w:rsid w:val="006961B2"/>
    <w:rsid w:val="00696D60"/>
    <w:rsid w:val="006A1A71"/>
    <w:rsid w:val="006B09FF"/>
    <w:rsid w:val="006B0A82"/>
    <w:rsid w:val="006B2F27"/>
    <w:rsid w:val="006C7ACA"/>
    <w:rsid w:val="006D1272"/>
    <w:rsid w:val="006D6F03"/>
    <w:rsid w:val="006E6E05"/>
    <w:rsid w:val="006F49B7"/>
    <w:rsid w:val="007020AE"/>
    <w:rsid w:val="00703B25"/>
    <w:rsid w:val="007147B7"/>
    <w:rsid w:val="00715E54"/>
    <w:rsid w:val="00722C8F"/>
    <w:rsid w:val="00724C50"/>
    <w:rsid w:val="00725F70"/>
    <w:rsid w:val="00731179"/>
    <w:rsid w:val="00732FA3"/>
    <w:rsid w:val="007330F2"/>
    <w:rsid w:val="0073500D"/>
    <w:rsid w:val="007458CF"/>
    <w:rsid w:val="00757A0A"/>
    <w:rsid w:val="00762013"/>
    <w:rsid w:val="00770351"/>
    <w:rsid w:val="007837A6"/>
    <w:rsid w:val="00787C8F"/>
    <w:rsid w:val="00791AE4"/>
    <w:rsid w:val="00791CD3"/>
    <w:rsid w:val="007A10AB"/>
    <w:rsid w:val="007B10F2"/>
    <w:rsid w:val="007C76E6"/>
    <w:rsid w:val="007D1FCF"/>
    <w:rsid w:val="007D4320"/>
    <w:rsid w:val="007D5AE2"/>
    <w:rsid w:val="007E0F4F"/>
    <w:rsid w:val="007E413A"/>
    <w:rsid w:val="007E60E2"/>
    <w:rsid w:val="007F0D8A"/>
    <w:rsid w:val="007F272C"/>
    <w:rsid w:val="00803B32"/>
    <w:rsid w:val="00803F83"/>
    <w:rsid w:val="00805ACF"/>
    <w:rsid w:val="0082201A"/>
    <w:rsid w:val="0082278E"/>
    <w:rsid w:val="00825D9C"/>
    <w:rsid w:val="0083027D"/>
    <w:rsid w:val="00833776"/>
    <w:rsid w:val="008349E0"/>
    <w:rsid w:val="00841E80"/>
    <w:rsid w:val="00843F1B"/>
    <w:rsid w:val="0084610A"/>
    <w:rsid w:val="00851D5C"/>
    <w:rsid w:val="00852993"/>
    <w:rsid w:val="00857914"/>
    <w:rsid w:val="00857EC8"/>
    <w:rsid w:val="00863D4D"/>
    <w:rsid w:val="00866D83"/>
    <w:rsid w:val="008737CC"/>
    <w:rsid w:val="00877406"/>
    <w:rsid w:val="0089287C"/>
    <w:rsid w:val="00896BA9"/>
    <w:rsid w:val="008A0A75"/>
    <w:rsid w:val="008C1816"/>
    <w:rsid w:val="008C4990"/>
    <w:rsid w:val="008C592C"/>
    <w:rsid w:val="008D237D"/>
    <w:rsid w:val="008E679F"/>
    <w:rsid w:val="008F3BB5"/>
    <w:rsid w:val="008F3D22"/>
    <w:rsid w:val="008F3F84"/>
    <w:rsid w:val="008F4FAF"/>
    <w:rsid w:val="008F7339"/>
    <w:rsid w:val="00904184"/>
    <w:rsid w:val="0090488D"/>
    <w:rsid w:val="00932A50"/>
    <w:rsid w:val="00952F32"/>
    <w:rsid w:val="009552F0"/>
    <w:rsid w:val="009557DE"/>
    <w:rsid w:val="0096307D"/>
    <w:rsid w:val="00963AF7"/>
    <w:rsid w:val="009640E5"/>
    <w:rsid w:val="00974E8C"/>
    <w:rsid w:val="009764F1"/>
    <w:rsid w:val="0098154C"/>
    <w:rsid w:val="009817A5"/>
    <w:rsid w:val="009857E7"/>
    <w:rsid w:val="00990C5F"/>
    <w:rsid w:val="009A0197"/>
    <w:rsid w:val="009A0294"/>
    <w:rsid w:val="009A42FE"/>
    <w:rsid w:val="009A6D95"/>
    <w:rsid w:val="009B0459"/>
    <w:rsid w:val="009B2E51"/>
    <w:rsid w:val="009C6C2A"/>
    <w:rsid w:val="009D1C86"/>
    <w:rsid w:val="009D48E1"/>
    <w:rsid w:val="009E1717"/>
    <w:rsid w:val="009E1D74"/>
    <w:rsid w:val="009F7487"/>
    <w:rsid w:val="00A023DA"/>
    <w:rsid w:val="00A0320B"/>
    <w:rsid w:val="00A10DB8"/>
    <w:rsid w:val="00A23572"/>
    <w:rsid w:val="00A279F1"/>
    <w:rsid w:val="00A36582"/>
    <w:rsid w:val="00A371C7"/>
    <w:rsid w:val="00A42D78"/>
    <w:rsid w:val="00A47F27"/>
    <w:rsid w:val="00A6457F"/>
    <w:rsid w:val="00A658A1"/>
    <w:rsid w:val="00A67101"/>
    <w:rsid w:val="00A801F9"/>
    <w:rsid w:val="00A80FA9"/>
    <w:rsid w:val="00A839F9"/>
    <w:rsid w:val="00A97224"/>
    <w:rsid w:val="00AA2CC2"/>
    <w:rsid w:val="00AA447A"/>
    <w:rsid w:val="00AB6DD6"/>
    <w:rsid w:val="00AC2693"/>
    <w:rsid w:val="00AC5599"/>
    <w:rsid w:val="00AD0B8D"/>
    <w:rsid w:val="00AD2D01"/>
    <w:rsid w:val="00AD5FB4"/>
    <w:rsid w:val="00AD638B"/>
    <w:rsid w:val="00AE1D18"/>
    <w:rsid w:val="00AE2335"/>
    <w:rsid w:val="00AE5362"/>
    <w:rsid w:val="00AF7CA5"/>
    <w:rsid w:val="00B075EC"/>
    <w:rsid w:val="00B1022C"/>
    <w:rsid w:val="00B27C8D"/>
    <w:rsid w:val="00B40876"/>
    <w:rsid w:val="00B429B9"/>
    <w:rsid w:val="00B42BA3"/>
    <w:rsid w:val="00B46ECA"/>
    <w:rsid w:val="00B5147B"/>
    <w:rsid w:val="00B54454"/>
    <w:rsid w:val="00B5491C"/>
    <w:rsid w:val="00B57A98"/>
    <w:rsid w:val="00B665CD"/>
    <w:rsid w:val="00B719DB"/>
    <w:rsid w:val="00B73C78"/>
    <w:rsid w:val="00BB035A"/>
    <w:rsid w:val="00BB1805"/>
    <w:rsid w:val="00BB4858"/>
    <w:rsid w:val="00BB4DD3"/>
    <w:rsid w:val="00BC2F53"/>
    <w:rsid w:val="00BC30C2"/>
    <w:rsid w:val="00BD0FCB"/>
    <w:rsid w:val="00BD5097"/>
    <w:rsid w:val="00BE1295"/>
    <w:rsid w:val="00BE7209"/>
    <w:rsid w:val="00C01765"/>
    <w:rsid w:val="00C11B67"/>
    <w:rsid w:val="00C132B3"/>
    <w:rsid w:val="00C21E3F"/>
    <w:rsid w:val="00C32003"/>
    <w:rsid w:val="00C35AC9"/>
    <w:rsid w:val="00C3782C"/>
    <w:rsid w:val="00C40378"/>
    <w:rsid w:val="00C51238"/>
    <w:rsid w:val="00C63C98"/>
    <w:rsid w:val="00C6475E"/>
    <w:rsid w:val="00C73B8E"/>
    <w:rsid w:val="00C80BE4"/>
    <w:rsid w:val="00C847BC"/>
    <w:rsid w:val="00C94B7E"/>
    <w:rsid w:val="00CA3853"/>
    <w:rsid w:val="00CA4428"/>
    <w:rsid w:val="00CB504C"/>
    <w:rsid w:val="00CD0CE0"/>
    <w:rsid w:val="00CD2C95"/>
    <w:rsid w:val="00CD498E"/>
    <w:rsid w:val="00CE6E07"/>
    <w:rsid w:val="00CF3143"/>
    <w:rsid w:val="00CF6F58"/>
    <w:rsid w:val="00CF7024"/>
    <w:rsid w:val="00D02B5D"/>
    <w:rsid w:val="00D14937"/>
    <w:rsid w:val="00D35F22"/>
    <w:rsid w:val="00D40EB3"/>
    <w:rsid w:val="00D543CC"/>
    <w:rsid w:val="00D554E1"/>
    <w:rsid w:val="00D56358"/>
    <w:rsid w:val="00D67850"/>
    <w:rsid w:val="00D74CEB"/>
    <w:rsid w:val="00D760D7"/>
    <w:rsid w:val="00D86C98"/>
    <w:rsid w:val="00DA01F4"/>
    <w:rsid w:val="00DB1BB0"/>
    <w:rsid w:val="00DB2F2F"/>
    <w:rsid w:val="00DB5282"/>
    <w:rsid w:val="00DB724A"/>
    <w:rsid w:val="00DC5358"/>
    <w:rsid w:val="00DC7756"/>
    <w:rsid w:val="00DE0C48"/>
    <w:rsid w:val="00DE1410"/>
    <w:rsid w:val="00DE4833"/>
    <w:rsid w:val="00DE74F6"/>
    <w:rsid w:val="00DF49CE"/>
    <w:rsid w:val="00E16DA6"/>
    <w:rsid w:val="00E20C2A"/>
    <w:rsid w:val="00E30D84"/>
    <w:rsid w:val="00E47899"/>
    <w:rsid w:val="00E5446E"/>
    <w:rsid w:val="00E57886"/>
    <w:rsid w:val="00E74718"/>
    <w:rsid w:val="00E812B7"/>
    <w:rsid w:val="00E95FB3"/>
    <w:rsid w:val="00EA10CD"/>
    <w:rsid w:val="00EA6ABF"/>
    <w:rsid w:val="00EA7BA1"/>
    <w:rsid w:val="00EB3117"/>
    <w:rsid w:val="00EC4AA6"/>
    <w:rsid w:val="00ED1AF0"/>
    <w:rsid w:val="00EE1025"/>
    <w:rsid w:val="00EE26AC"/>
    <w:rsid w:val="00EF3127"/>
    <w:rsid w:val="00EF7E0F"/>
    <w:rsid w:val="00F30B99"/>
    <w:rsid w:val="00F50185"/>
    <w:rsid w:val="00F50E5E"/>
    <w:rsid w:val="00F56CA5"/>
    <w:rsid w:val="00F61A63"/>
    <w:rsid w:val="00F75129"/>
    <w:rsid w:val="00F763F0"/>
    <w:rsid w:val="00F7755A"/>
    <w:rsid w:val="00F927BD"/>
    <w:rsid w:val="00FA0E4A"/>
    <w:rsid w:val="00FA7C04"/>
    <w:rsid w:val="00FA7EE7"/>
    <w:rsid w:val="00FC6F28"/>
    <w:rsid w:val="00FD2E59"/>
    <w:rsid w:val="00FD714A"/>
    <w:rsid w:val="00FD783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E970206"/>
  <w15:docId w15:val="{CBF67F56-4EA5-E34F-8A8A-762ACF6C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7209"/>
    <w:pPr>
      <w:spacing w:after="0"/>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CF7024"/>
    <w:pPr>
      <w:spacing w:before="240" w:after="120"/>
      <w:outlineLvl w:val="0"/>
    </w:pPr>
    <w:rPr>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2993"/>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852993"/>
    <w:rPr>
      <w:sz w:val="24"/>
      <w:szCs w:val="24"/>
      <w:lang w:val="en-GB"/>
    </w:rPr>
  </w:style>
  <w:style w:type="character" w:styleId="PageNumber">
    <w:name w:val="page number"/>
    <w:basedOn w:val="DefaultParagraphFont"/>
    <w:uiPriority w:val="99"/>
    <w:semiHidden/>
    <w:unhideWhenUsed/>
    <w:rsid w:val="00852993"/>
  </w:style>
  <w:style w:type="table" w:styleId="TableGrid">
    <w:name w:val="Table Grid"/>
    <w:basedOn w:val="TableNormal"/>
    <w:uiPriority w:val="59"/>
    <w:rsid w:val="00CB50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EC4AA6"/>
    <w:pPr>
      <w:spacing w:after="0"/>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Paragraph">
    <w:name w:val="List Paragraph"/>
    <w:basedOn w:val="Normal"/>
    <w:uiPriority w:val="34"/>
    <w:qFormat/>
    <w:rsid w:val="00857914"/>
    <w:pPr>
      <w:spacing w:after="200"/>
      <w:ind w:left="720"/>
      <w:contextualSpacing/>
    </w:pPr>
    <w:rPr>
      <w:rFonts w:asciiTheme="minorHAnsi" w:eastAsiaTheme="minorEastAsia" w:hAnsiTheme="minorHAnsi" w:cstheme="minorBidi"/>
      <w:lang w:eastAsia="ja-JP"/>
    </w:rPr>
  </w:style>
  <w:style w:type="character" w:styleId="CommentReference">
    <w:name w:val="annotation reference"/>
    <w:basedOn w:val="DefaultParagraphFont"/>
    <w:uiPriority w:val="99"/>
    <w:semiHidden/>
    <w:unhideWhenUsed/>
    <w:rsid w:val="00E47899"/>
    <w:rPr>
      <w:sz w:val="18"/>
      <w:szCs w:val="18"/>
    </w:rPr>
  </w:style>
  <w:style w:type="paragraph" w:styleId="CommentText">
    <w:name w:val="annotation text"/>
    <w:basedOn w:val="Normal"/>
    <w:link w:val="CommentTextChar"/>
    <w:uiPriority w:val="99"/>
    <w:semiHidden/>
    <w:unhideWhenUsed/>
    <w:rsid w:val="00E47899"/>
    <w:pPr>
      <w:spacing w:after="200"/>
    </w:pPr>
    <w:rPr>
      <w:rFonts w:asciiTheme="minorHAnsi" w:eastAsiaTheme="minorEastAsia" w:hAnsiTheme="minorHAnsi" w:cstheme="minorBidi"/>
      <w:lang w:eastAsia="ja-JP"/>
    </w:rPr>
  </w:style>
  <w:style w:type="character" w:customStyle="1" w:styleId="CommentTextChar">
    <w:name w:val="Comment Text Char"/>
    <w:basedOn w:val="DefaultParagraphFont"/>
    <w:link w:val="CommentText"/>
    <w:uiPriority w:val="99"/>
    <w:semiHidden/>
    <w:rsid w:val="00E47899"/>
    <w:rPr>
      <w:sz w:val="24"/>
      <w:szCs w:val="24"/>
      <w:lang w:val="en-GB"/>
    </w:rPr>
  </w:style>
  <w:style w:type="paragraph" w:styleId="CommentSubject">
    <w:name w:val="annotation subject"/>
    <w:basedOn w:val="CommentText"/>
    <w:next w:val="CommentText"/>
    <w:link w:val="CommentSubjectChar"/>
    <w:uiPriority w:val="99"/>
    <w:semiHidden/>
    <w:unhideWhenUsed/>
    <w:rsid w:val="00E47899"/>
    <w:rPr>
      <w:b/>
      <w:bCs/>
      <w:sz w:val="20"/>
      <w:szCs w:val="20"/>
    </w:rPr>
  </w:style>
  <w:style w:type="character" w:customStyle="1" w:styleId="CommentSubjectChar">
    <w:name w:val="Comment Subject Char"/>
    <w:basedOn w:val="CommentTextChar"/>
    <w:link w:val="CommentSubject"/>
    <w:uiPriority w:val="99"/>
    <w:semiHidden/>
    <w:rsid w:val="00E47899"/>
    <w:rPr>
      <w:b/>
      <w:bCs/>
      <w:sz w:val="24"/>
      <w:szCs w:val="24"/>
      <w:lang w:val="en-GB"/>
    </w:rPr>
  </w:style>
  <w:style w:type="paragraph" w:styleId="BalloonText">
    <w:name w:val="Balloon Text"/>
    <w:basedOn w:val="Normal"/>
    <w:link w:val="BalloonTextChar"/>
    <w:uiPriority w:val="99"/>
    <w:semiHidden/>
    <w:unhideWhenUsed/>
    <w:rsid w:val="00E47899"/>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E47899"/>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CF7024"/>
    <w:rPr>
      <w:rFonts w:ascii="Times New Roman" w:eastAsia="Times New Roman" w:hAnsi="Times New Roman" w:cs="Times New Roman"/>
      <w:b/>
      <w:bCs/>
      <w:color w:val="000000"/>
      <w:kern w:val="36"/>
      <w:sz w:val="33"/>
      <w:szCs w:val="33"/>
      <w:lang w:val="en-GB" w:eastAsia="en-GB"/>
    </w:rPr>
  </w:style>
  <w:style w:type="character" w:customStyle="1" w:styleId="highlight2">
    <w:name w:val="highlight2"/>
    <w:basedOn w:val="DefaultParagraphFont"/>
    <w:rsid w:val="00CF7024"/>
  </w:style>
  <w:style w:type="paragraph" w:styleId="Revision">
    <w:name w:val="Revision"/>
    <w:hidden/>
    <w:uiPriority w:val="99"/>
    <w:semiHidden/>
    <w:rsid w:val="00C73B8E"/>
    <w:pPr>
      <w:spacing w:after="0"/>
    </w:pPr>
    <w:rPr>
      <w:sz w:val="24"/>
      <w:szCs w:val="24"/>
      <w:lang w:val="en-GB"/>
    </w:rPr>
  </w:style>
  <w:style w:type="table" w:styleId="PlainTable2">
    <w:name w:val="Plain Table 2"/>
    <w:basedOn w:val="TableNormal"/>
    <w:uiPriority w:val="99"/>
    <w:rsid w:val="00B1022C"/>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9B045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20806">
      <w:bodyDiv w:val="1"/>
      <w:marLeft w:val="0"/>
      <w:marRight w:val="0"/>
      <w:marTop w:val="0"/>
      <w:marBottom w:val="0"/>
      <w:divBdr>
        <w:top w:val="none" w:sz="0" w:space="0" w:color="auto"/>
        <w:left w:val="none" w:sz="0" w:space="0" w:color="auto"/>
        <w:bottom w:val="none" w:sz="0" w:space="0" w:color="auto"/>
        <w:right w:val="none" w:sz="0" w:space="0" w:color="auto"/>
      </w:divBdr>
    </w:div>
    <w:div w:id="139614993">
      <w:bodyDiv w:val="1"/>
      <w:marLeft w:val="0"/>
      <w:marRight w:val="0"/>
      <w:marTop w:val="0"/>
      <w:marBottom w:val="0"/>
      <w:divBdr>
        <w:top w:val="none" w:sz="0" w:space="0" w:color="auto"/>
        <w:left w:val="none" w:sz="0" w:space="0" w:color="auto"/>
        <w:bottom w:val="none" w:sz="0" w:space="0" w:color="auto"/>
        <w:right w:val="none" w:sz="0" w:space="0" w:color="auto"/>
      </w:divBdr>
    </w:div>
    <w:div w:id="233395754">
      <w:bodyDiv w:val="1"/>
      <w:marLeft w:val="0"/>
      <w:marRight w:val="0"/>
      <w:marTop w:val="0"/>
      <w:marBottom w:val="0"/>
      <w:divBdr>
        <w:top w:val="none" w:sz="0" w:space="0" w:color="auto"/>
        <w:left w:val="none" w:sz="0" w:space="0" w:color="auto"/>
        <w:bottom w:val="none" w:sz="0" w:space="0" w:color="auto"/>
        <w:right w:val="none" w:sz="0" w:space="0" w:color="auto"/>
      </w:divBdr>
      <w:divsChild>
        <w:div w:id="918755110">
          <w:marLeft w:val="0"/>
          <w:marRight w:val="0"/>
          <w:marTop w:val="0"/>
          <w:marBottom w:val="0"/>
          <w:divBdr>
            <w:top w:val="none" w:sz="0" w:space="0" w:color="auto"/>
            <w:left w:val="none" w:sz="0" w:space="0" w:color="auto"/>
            <w:bottom w:val="none" w:sz="0" w:space="0" w:color="auto"/>
            <w:right w:val="none" w:sz="0" w:space="0" w:color="auto"/>
          </w:divBdr>
        </w:div>
      </w:divsChild>
    </w:div>
    <w:div w:id="315228258">
      <w:bodyDiv w:val="1"/>
      <w:marLeft w:val="0"/>
      <w:marRight w:val="0"/>
      <w:marTop w:val="0"/>
      <w:marBottom w:val="0"/>
      <w:divBdr>
        <w:top w:val="none" w:sz="0" w:space="0" w:color="auto"/>
        <w:left w:val="none" w:sz="0" w:space="0" w:color="auto"/>
        <w:bottom w:val="none" w:sz="0" w:space="0" w:color="auto"/>
        <w:right w:val="none" w:sz="0" w:space="0" w:color="auto"/>
      </w:divBdr>
      <w:divsChild>
        <w:div w:id="1848984608">
          <w:marLeft w:val="0"/>
          <w:marRight w:val="0"/>
          <w:marTop w:val="0"/>
          <w:marBottom w:val="0"/>
          <w:divBdr>
            <w:top w:val="none" w:sz="0" w:space="0" w:color="auto"/>
            <w:left w:val="none" w:sz="0" w:space="0" w:color="auto"/>
            <w:bottom w:val="none" w:sz="0" w:space="0" w:color="auto"/>
            <w:right w:val="none" w:sz="0" w:space="0" w:color="auto"/>
          </w:divBdr>
        </w:div>
      </w:divsChild>
    </w:div>
    <w:div w:id="449278503">
      <w:bodyDiv w:val="1"/>
      <w:marLeft w:val="0"/>
      <w:marRight w:val="0"/>
      <w:marTop w:val="0"/>
      <w:marBottom w:val="0"/>
      <w:divBdr>
        <w:top w:val="none" w:sz="0" w:space="0" w:color="auto"/>
        <w:left w:val="none" w:sz="0" w:space="0" w:color="auto"/>
        <w:bottom w:val="none" w:sz="0" w:space="0" w:color="auto"/>
        <w:right w:val="none" w:sz="0" w:space="0" w:color="auto"/>
      </w:divBdr>
      <w:divsChild>
        <w:div w:id="327834481">
          <w:marLeft w:val="0"/>
          <w:marRight w:val="0"/>
          <w:marTop w:val="0"/>
          <w:marBottom w:val="0"/>
          <w:divBdr>
            <w:top w:val="none" w:sz="0" w:space="0" w:color="auto"/>
            <w:left w:val="none" w:sz="0" w:space="0" w:color="auto"/>
            <w:bottom w:val="none" w:sz="0" w:space="0" w:color="auto"/>
            <w:right w:val="none" w:sz="0" w:space="0" w:color="auto"/>
          </w:divBdr>
        </w:div>
      </w:divsChild>
    </w:div>
    <w:div w:id="593367266">
      <w:bodyDiv w:val="1"/>
      <w:marLeft w:val="0"/>
      <w:marRight w:val="0"/>
      <w:marTop w:val="0"/>
      <w:marBottom w:val="0"/>
      <w:divBdr>
        <w:top w:val="none" w:sz="0" w:space="0" w:color="auto"/>
        <w:left w:val="none" w:sz="0" w:space="0" w:color="auto"/>
        <w:bottom w:val="none" w:sz="0" w:space="0" w:color="auto"/>
        <w:right w:val="none" w:sz="0" w:space="0" w:color="auto"/>
      </w:divBdr>
      <w:divsChild>
        <w:div w:id="392238035">
          <w:marLeft w:val="0"/>
          <w:marRight w:val="0"/>
          <w:marTop w:val="0"/>
          <w:marBottom w:val="0"/>
          <w:divBdr>
            <w:top w:val="none" w:sz="0" w:space="0" w:color="auto"/>
            <w:left w:val="none" w:sz="0" w:space="0" w:color="auto"/>
            <w:bottom w:val="none" w:sz="0" w:space="0" w:color="auto"/>
            <w:right w:val="none" w:sz="0" w:space="0" w:color="auto"/>
          </w:divBdr>
        </w:div>
      </w:divsChild>
    </w:div>
    <w:div w:id="633025473">
      <w:bodyDiv w:val="1"/>
      <w:marLeft w:val="0"/>
      <w:marRight w:val="0"/>
      <w:marTop w:val="0"/>
      <w:marBottom w:val="0"/>
      <w:divBdr>
        <w:top w:val="none" w:sz="0" w:space="0" w:color="auto"/>
        <w:left w:val="none" w:sz="0" w:space="0" w:color="auto"/>
        <w:bottom w:val="none" w:sz="0" w:space="0" w:color="auto"/>
        <w:right w:val="none" w:sz="0" w:space="0" w:color="auto"/>
      </w:divBdr>
      <w:divsChild>
        <w:div w:id="1289700594">
          <w:marLeft w:val="0"/>
          <w:marRight w:val="0"/>
          <w:marTop w:val="0"/>
          <w:marBottom w:val="0"/>
          <w:divBdr>
            <w:top w:val="none" w:sz="0" w:space="0" w:color="auto"/>
            <w:left w:val="none" w:sz="0" w:space="0" w:color="auto"/>
            <w:bottom w:val="none" w:sz="0" w:space="0" w:color="auto"/>
            <w:right w:val="none" w:sz="0" w:space="0" w:color="auto"/>
          </w:divBdr>
        </w:div>
      </w:divsChild>
    </w:div>
    <w:div w:id="668679867">
      <w:bodyDiv w:val="1"/>
      <w:marLeft w:val="0"/>
      <w:marRight w:val="0"/>
      <w:marTop w:val="0"/>
      <w:marBottom w:val="0"/>
      <w:divBdr>
        <w:top w:val="none" w:sz="0" w:space="0" w:color="auto"/>
        <w:left w:val="none" w:sz="0" w:space="0" w:color="auto"/>
        <w:bottom w:val="none" w:sz="0" w:space="0" w:color="auto"/>
        <w:right w:val="none" w:sz="0" w:space="0" w:color="auto"/>
      </w:divBdr>
      <w:divsChild>
        <w:div w:id="992222298">
          <w:marLeft w:val="0"/>
          <w:marRight w:val="0"/>
          <w:marTop w:val="0"/>
          <w:marBottom w:val="0"/>
          <w:divBdr>
            <w:top w:val="none" w:sz="0" w:space="0" w:color="auto"/>
            <w:left w:val="none" w:sz="0" w:space="0" w:color="auto"/>
            <w:bottom w:val="none" w:sz="0" w:space="0" w:color="auto"/>
            <w:right w:val="none" w:sz="0" w:space="0" w:color="auto"/>
          </w:divBdr>
          <w:divsChild>
            <w:div w:id="318535196">
              <w:marLeft w:val="0"/>
              <w:marRight w:val="0"/>
              <w:marTop w:val="0"/>
              <w:marBottom w:val="0"/>
              <w:divBdr>
                <w:top w:val="none" w:sz="0" w:space="0" w:color="auto"/>
                <w:left w:val="none" w:sz="0" w:space="0" w:color="auto"/>
                <w:bottom w:val="none" w:sz="0" w:space="0" w:color="auto"/>
                <w:right w:val="none" w:sz="0" w:space="0" w:color="auto"/>
              </w:divBdr>
              <w:divsChild>
                <w:div w:id="14865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4349">
      <w:bodyDiv w:val="1"/>
      <w:marLeft w:val="0"/>
      <w:marRight w:val="0"/>
      <w:marTop w:val="0"/>
      <w:marBottom w:val="0"/>
      <w:divBdr>
        <w:top w:val="none" w:sz="0" w:space="0" w:color="auto"/>
        <w:left w:val="none" w:sz="0" w:space="0" w:color="auto"/>
        <w:bottom w:val="none" w:sz="0" w:space="0" w:color="auto"/>
        <w:right w:val="none" w:sz="0" w:space="0" w:color="auto"/>
      </w:divBdr>
      <w:divsChild>
        <w:div w:id="500238264">
          <w:marLeft w:val="0"/>
          <w:marRight w:val="0"/>
          <w:marTop w:val="0"/>
          <w:marBottom w:val="0"/>
          <w:divBdr>
            <w:top w:val="none" w:sz="0" w:space="0" w:color="auto"/>
            <w:left w:val="none" w:sz="0" w:space="0" w:color="auto"/>
            <w:bottom w:val="none" w:sz="0" w:space="0" w:color="auto"/>
            <w:right w:val="none" w:sz="0" w:space="0" w:color="auto"/>
          </w:divBdr>
        </w:div>
      </w:divsChild>
    </w:div>
    <w:div w:id="1041252270">
      <w:bodyDiv w:val="1"/>
      <w:marLeft w:val="0"/>
      <w:marRight w:val="0"/>
      <w:marTop w:val="0"/>
      <w:marBottom w:val="0"/>
      <w:divBdr>
        <w:top w:val="none" w:sz="0" w:space="0" w:color="auto"/>
        <w:left w:val="none" w:sz="0" w:space="0" w:color="auto"/>
        <w:bottom w:val="none" w:sz="0" w:space="0" w:color="auto"/>
        <w:right w:val="none" w:sz="0" w:space="0" w:color="auto"/>
      </w:divBdr>
      <w:divsChild>
        <w:div w:id="396173142">
          <w:marLeft w:val="0"/>
          <w:marRight w:val="1"/>
          <w:marTop w:val="0"/>
          <w:marBottom w:val="0"/>
          <w:divBdr>
            <w:top w:val="none" w:sz="0" w:space="0" w:color="auto"/>
            <w:left w:val="none" w:sz="0" w:space="0" w:color="auto"/>
            <w:bottom w:val="none" w:sz="0" w:space="0" w:color="auto"/>
            <w:right w:val="none" w:sz="0" w:space="0" w:color="auto"/>
          </w:divBdr>
          <w:divsChild>
            <w:div w:id="975837143">
              <w:marLeft w:val="0"/>
              <w:marRight w:val="0"/>
              <w:marTop w:val="0"/>
              <w:marBottom w:val="0"/>
              <w:divBdr>
                <w:top w:val="none" w:sz="0" w:space="0" w:color="auto"/>
                <w:left w:val="none" w:sz="0" w:space="0" w:color="auto"/>
                <w:bottom w:val="none" w:sz="0" w:space="0" w:color="auto"/>
                <w:right w:val="none" w:sz="0" w:space="0" w:color="auto"/>
              </w:divBdr>
              <w:divsChild>
                <w:div w:id="1101293463">
                  <w:marLeft w:val="0"/>
                  <w:marRight w:val="1"/>
                  <w:marTop w:val="0"/>
                  <w:marBottom w:val="0"/>
                  <w:divBdr>
                    <w:top w:val="none" w:sz="0" w:space="0" w:color="auto"/>
                    <w:left w:val="none" w:sz="0" w:space="0" w:color="auto"/>
                    <w:bottom w:val="none" w:sz="0" w:space="0" w:color="auto"/>
                    <w:right w:val="none" w:sz="0" w:space="0" w:color="auto"/>
                  </w:divBdr>
                  <w:divsChild>
                    <w:div w:id="1385834821">
                      <w:marLeft w:val="0"/>
                      <w:marRight w:val="0"/>
                      <w:marTop w:val="0"/>
                      <w:marBottom w:val="0"/>
                      <w:divBdr>
                        <w:top w:val="none" w:sz="0" w:space="0" w:color="auto"/>
                        <w:left w:val="none" w:sz="0" w:space="0" w:color="auto"/>
                        <w:bottom w:val="none" w:sz="0" w:space="0" w:color="auto"/>
                        <w:right w:val="none" w:sz="0" w:space="0" w:color="auto"/>
                      </w:divBdr>
                      <w:divsChild>
                        <w:div w:id="589312282">
                          <w:marLeft w:val="0"/>
                          <w:marRight w:val="0"/>
                          <w:marTop w:val="0"/>
                          <w:marBottom w:val="0"/>
                          <w:divBdr>
                            <w:top w:val="none" w:sz="0" w:space="0" w:color="auto"/>
                            <w:left w:val="none" w:sz="0" w:space="0" w:color="auto"/>
                            <w:bottom w:val="none" w:sz="0" w:space="0" w:color="auto"/>
                            <w:right w:val="none" w:sz="0" w:space="0" w:color="auto"/>
                          </w:divBdr>
                          <w:divsChild>
                            <w:div w:id="1233270672">
                              <w:marLeft w:val="0"/>
                              <w:marRight w:val="0"/>
                              <w:marTop w:val="120"/>
                              <w:marBottom w:val="360"/>
                              <w:divBdr>
                                <w:top w:val="none" w:sz="0" w:space="0" w:color="auto"/>
                                <w:left w:val="none" w:sz="0" w:space="0" w:color="auto"/>
                                <w:bottom w:val="none" w:sz="0" w:space="0" w:color="auto"/>
                                <w:right w:val="none" w:sz="0" w:space="0" w:color="auto"/>
                              </w:divBdr>
                              <w:divsChild>
                                <w:div w:id="997999594">
                                  <w:marLeft w:val="0"/>
                                  <w:marRight w:val="0"/>
                                  <w:marTop w:val="0"/>
                                  <w:marBottom w:val="0"/>
                                  <w:divBdr>
                                    <w:top w:val="none" w:sz="0" w:space="0" w:color="auto"/>
                                    <w:left w:val="none" w:sz="0" w:space="0" w:color="auto"/>
                                    <w:bottom w:val="none" w:sz="0" w:space="0" w:color="auto"/>
                                    <w:right w:val="none" w:sz="0" w:space="0" w:color="auto"/>
                                  </w:divBdr>
                                </w:div>
                                <w:div w:id="20373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61162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1">
          <w:marLeft w:val="0"/>
          <w:marRight w:val="0"/>
          <w:marTop w:val="0"/>
          <w:marBottom w:val="0"/>
          <w:divBdr>
            <w:top w:val="none" w:sz="0" w:space="0" w:color="auto"/>
            <w:left w:val="none" w:sz="0" w:space="0" w:color="auto"/>
            <w:bottom w:val="none" w:sz="0" w:space="0" w:color="auto"/>
            <w:right w:val="none" w:sz="0" w:space="0" w:color="auto"/>
          </w:divBdr>
        </w:div>
      </w:divsChild>
    </w:div>
    <w:div w:id="1134102878">
      <w:bodyDiv w:val="1"/>
      <w:marLeft w:val="0"/>
      <w:marRight w:val="0"/>
      <w:marTop w:val="0"/>
      <w:marBottom w:val="0"/>
      <w:divBdr>
        <w:top w:val="none" w:sz="0" w:space="0" w:color="auto"/>
        <w:left w:val="none" w:sz="0" w:space="0" w:color="auto"/>
        <w:bottom w:val="none" w:sz="0" w:space="0" w:color="auto"/>
        <w:right w:val="none" w:sz="0" w:space="0" w:color="auto"/>
      </w:divBdr>
      <w:divsChild>
        <w:div w:id="863205513">
          <w:marLeft w:val="0"/>
          <w:marRight w:val="0"/>
          <w:marTop w:val="0"/>
          <w:marBottom w:val="0"/>
          <w:divBdr>
            <w:top w:val="none" w:sz="0" w:space="0" w:color="auto"/>
            <w:left w:val="none" w:sz="0" w:space="0" w:color="auto"/>
            <w:bottom w:val="none" w:sz="0" w:space="0" w:color="auto"/>
            <w:right w:val="none" w:sz="0" w:space="0" w:color="auto"/>
          </w:divBdr>
        </w:div>
      </w:divsChild>
    </w:div>
    <w:div w:id="1196120096">
      <w:bodyDiv w:val="1"/>
      <w:marLeft w:val="0"/>
      <w:marRight w:val="0"/>
      <w:marTop w:val="0"/>
      <w:marBottom w:val="0"/>
      <w:divBdr>
        <w:top w:val="none" w:sz="0" w:space="0" w:color="auto"/>
        <w:left w:val="none" w:sz="0" w:space="0" w:color="auto"/>
        <w:bottom w:val="none" w:sz="0" w:space="0" w:color="auto"/>
        <w:right w:val="none" w:sz="0" w:space="0" w:color="auto"/>
      </w:divBdr>
      <w:divsChild>
        <w:div w:id="1839534109">
          <w:marLeft w:val="0"/>
          <w:marRight w:val="0"/>
          <w:marTop w:val="0"/>
          <w:marBottom w:val="0"/>
          <w:divBdr>
            <w:top w:val="none" w:sz="0" w:space="0" w:color="auto"/>
            <w:left w:val="none" w:sz="0" w:space="0" w:color="auto"/>
            <w:bottom w:val="none" w:sz="0" w:space="0" w:color="auto"/>
            <w:right w:val="none" w:sz="0" w:space="0" w:color="auto"/>
          </w:divBdr>
        </w:div>
      </w:divsChild>
    </w:div>
    <w:div w:id="1286275864">
      <w:bodyDiv w:val="1"/>
      <w:marLeft w:val="0"/>
      <w:marRight w:val="0"/>
      <w:marTop w:val="0"/>
      <w:marBottom w:val="0"/>
      <w:divBdr>
        <w:top w:val="none" w:sz="0" w:space="0" w:color="auto"/>
        <w:left w:val="none" w:sz="0" w:space="0" w:color="auto"/>
        <w:bottom w:val="none" w:sz="0" w:space="0" w:color="auto"/>
        <w:right w:val="none" w:sz="0" w:space="0" w:color="auto"/>
      </w:divBdr>
      <w:divsChild>
        <w:div w:id="1252658686">
          <w:marLeft w:val="0"/>
          <w:marRight w:val="0"/>
          <w:marTop w:val="0"/>
          <w:marBottom w:val="0"/>
          <w:divBdr>
            <w:top w:val="none" w:sz="0" w:space="0" w:color="auto"/>
            <w:left w:val="none" w:sz="0" w:space="0" w:color="auto"/>
            <w:bottom w:val="none" w:sz="0" w:space="0" w:color="auto"/>
            <w:right w:val="none" w:sz="0" w:space="0" w:color="auto"/>
          </w:divBdr>
        </w:div>
      </w:divsChild>
    </w:div>
    <w:div w:id="1292903407">
      <w:bodyDiv w:val="1"/>
      <w:marLeft w:val="0"/>
      <w:marRight w:val="0"/>
      <w:marTop w:val="0"/>
      <w:marBottom w:val="0"/>
      <w:divBdr>
        <w:top w:val="none" w:sz="0" w:space="0" w:color="auto"/>
        <w:left w:val="none" w:sz="0" w:space="0" w:color="auto"/>
        <w:bottom w:val="none" w:sz="0" w:space="0" w:color="auto"/>
        <w:right w:val="none" w:sz="0" w:space="0" w:color="auto"/>
      </w:divBdr>
      <w:divsChild>
        <w:div w:id="2017656964">
          <w:marLeft w:val="0"/>
          <w:marRight w:val="0"/>
          <w:marTop w:val="0"/>
          <w:marBottom w:val="0"/>
          <w:divBdr>
            <w:top w:val="none" w:sz="0" w:space="0" w:color="auto"/>
            <w:left w:val="none" w:sz="0" w:space="0" w:color="auto"/>
            <w:bottom w:val="none" w:sz="0" w:space="0" w:color="auto"/>
            <w:right w:val="none" w:sz="0" w:space="0" w:color="auto"/>
          </w:divBdr>
        </w:div>
      </w:divsChild>
    </w:div>
    <w:div w:id="1339818223">
      <w:bodyDiv w:val="1"/>
      <w:marLeft w:val="0"/>
      <w:marRight w:val="0"/>
      <w:marTop w:val="0"/>
      <w:marBottom w:val="0"/>
      <w:divBdr>
        <w:top w:val="none" w:sz="0" w:space="0" w:color="auto"/>
        <w:left w:val="none" w:sz="0" w:space="0" w:color="auto"/>
        <w:bottom w:val="none" w:sz="0" w:space="0" w:color="auto"/>
        <w:right w:val="none" w:sz="0" w:space="0" w:color="auto"/>
      </w:divBdr>
    </w:div>
    <w:div w:id="1518501116">
      <w:bodyDiv w:val="1"/>
      <w:marLeft w:val="0"/>
      <w:marRight w:val="0"/>
      <w:marTop w:val="0"/>
      <w:marBottom w:val="0"/>
      <w:divBdr>
        <w:top w:val="none" w:sz="0" w:space="0" w:color="auto"/>
        <w:left w:val="none" w:sz="0" w:space="0" w:color="auto"/>
        <w:bottom w:val="none" w:sz="0" w:space="0" w:color="auto"/>
        <w:right w:val="none" w:sz="0" w:space="0" w:color="auto"/>
      </w:divBdr>
      <w:divsChild>
        <w:div w:id="63727045">
          <w:marLeft w:val="0"/>
          <w:marRight w:val="0"/>
          <w:marTop w:val="0"/>
          <w:marBottom w:val="0"/>
          <w:divBdr>
            <w:top w:val="none" w:sz="0" w:space="0" w:color="auto"/>
            <w:left w:val="none" w:sz="0" w:space="0" w:color="auto"/>
            <w:bottom w:val="none" w:sz="0" w:space="0" w:color="auto"/>
            <w:right w:val="none" w:sz="0" w:space="0" w:color="auto"/>
          </w:divBdr>
          <w:divsChild>
            <w:div w:id="595283093">
              <w:marLeft w:val="0"/>
              <w:marRight w:val="0"/>
              <w:marTop w:val="0"/>
              <w:marBottom w:val="0"/>
              <w:divBdr>
                <w:top w:val="none" w:sz="0" w:space="0" w:color="auto"/>
                <w:left w:val="none" w:sz="0" w:space="0" w:color="auto"/>
                <w:bottom w:val="none" w:sz="0" w:space="0" w:color="auto"/>
                <w:right w:val="none" w:sz="0" w:space="0" w:color="auto"/>
              </w:divBdr>
              <w:divsChild>
                <w:div w:id="19888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0122">
      <w:bodyDiv w:val="1"/>
      <w:marLeft w:val="0"/>
      <w:marRight w:val="0"/>
      <w:marTop w:val="0"/>
      <w:marBottom w:val="0"/>
      <w:divBdr>
        <w:top w:val="none" w:sz="0" w:space="0" w:color="auto"/>
        <w:left w:val="none" w:sz="0" w:space="0" w:color="auto"/>
        <w:bottom w:val="none" w:sz="0" w:space="0" w:color="auto"/>
        <w:right w:val="none" w:sz="0" w:space="0" w:color="auto"/>
      </w:divBdr>
      <w:divsChild>
        <w:div w:id="162278506">
          <w:marLeft w:val="0"/>
          <w:marRight w:val="0"/>
          <w:marTop w:val="0"/>
          <w:marBottom w:val="0"/>
          <w:divBdr>
            <w:top w:val="none" w:sz="0" w:space="0" w:color="auto"/>
            <w:left w:val="none" w:sz="0" w:space="0" w:color="auto"/>
            <w:bottom w:val="none" w:sz="0" w:space="0" w:color="auto"/>
            <w:right w:val="none" w:sz="0" w:space="0" w:color="auto"/>
          </w:divBdr>
        </w:div>
      </w:divsChild>
    </w:div>
    <w:div w:id="1658537956">
      <w:bodyDiv w:val="1"/>
      <w:marLeft w:val="0"/>
      <w:marRight w:val="0"/>
      <w:marTop w:val="0"/>
      <w:marBottom w:val="0"/>
      <w:divBdr>
        <w:top w:val="none" w:sz="0" w:space="0" w:color="auto"/>
        <w:left w:val="none" w:sz="0" w:space="0" w:color="auto"/>
        <w:bottom w:val="none" w:sz="0" w:space="0" w:color="auto"/>
        <w:right w:val="none" w:sz="0" w:space="0" w:color="auto"/>
      </w:divBdr>
    </w:div>
    <w:div w:id="1691056922">
      <w:bodyDiv w:val="1"/>
      <w:marLeft w:val="0"/>
      <w:marRight w:val="0"/>
      <w:marTop w:val="0"/>
      <w:marBottom w:val="0"/>
      <w:divBdr>
        <w:top w:val="none" w:sz="0" w:space="0" w:color="auto"/>
        <w:left w:val="none" w:sz="0" w:space="0" w:color="auto"/>
        <w:bottom w:val="none" w:sz="0" w:space="0" w:color="auto"/>
        <w:right w:val="none" w:sz="0" w:space="0" w:color="auto"/>
      </w:divBdr>
      <w:divsChild>
        <w:div w:id="1591281450">
          <w:marLeft w:val="0"/>
          <w:marRight w:val="0"/>
          <w:marTop w:val="0"/>
          <w:marBottom w:val="0"/>
          <w:divBdr>
            <w:top w:val="none" w:sz="0" w:space="0" w:color="auto"/>
            <w:left w:val="none" w:sz="0" w:space="0" w:color="auto"/>
            <w:bottom w:val="none" w:sz="0" w:space="0" w:color="auto"/>
            <w:right w:val="none" w:sz="0" w:space="0" w:color="auto"/>
          </w:divBdr>
        </w:div>
      </w:divsChild>
    </w:div>
    <w:div w:id="1776514415">
      <w:bodyDiv w:val="1"/>
      <w:marLeft w:val="0"/>
      <w:marRight w:val="0"/>
      <w:marTop w:val="0"/>
      <w:marBottom w:val="0"/>
      <w:divBdr>
        <w:top w:val="none" w:sz="0" w:space="0" w:color="auto"/>
        <w:left w:val="none" w:sz="0" w:space="0" w:color="auto"/>
        <w:bottom w:val="none" w:sz="0" w:space="0" w:color="auto"/>
        <w:right w:val="none" w:sz="0" w:space="0" w:color="auto"/>
      </w:divBdr>
    </w:div>
    <w:div w:id="1949923222">
      <w:bodyDiv w:val="1"/>
      <w:marLeft w:val="0"/>
      <w:marRight w:val="0"/>
      <w:marTop w:val="0"/>
      <w:marBottom w:val="0"/>
      <w:divBdr>
        <w:top w:val="none" w:sz="0" w:space="0" w:color="auto"/>
        <w:left w:val="none" w:sz="0" w:space="0" w:color="auto"/>
        <w:bottom w:val="none" w:sz="0" w:space="0" w:color="auto"/>
        <w:right w:val="none" w:sz="0" w:space="0" w:color="auto"/>
      </w:divBdr>
      <w:divsChild>
        <w:div w:id="1391421600">
          <w:marLeft w:val="0"/>
          <w:marRight w:val="0"/>
          <w:marTop w:val="0"/>
          <w:marBottom w:val="0"/>
          <w:divBdr>
            <w:top w:val="none" w:sz="0" w:space="0" w:color="auto"/>
            <w:left w:val="none" w:sz="0" w:space="0" w:color="auto"/>
            <w:bottom w:val="none" w:sz="0" w:space="0" w:color="auto"/>
            <w:right w:val="none" w:sz="0" w:space="0" w:color="auto"/>
          </w:divBdr>
        </w:div>
      </w:divsChild>
    </w:div>
    <w:div w:id="2036152387">
      <w:bodyDiv w:val="1"/>
      <w:marLeft w:val="0"/>
      <w:marRight w:val="0"/>
      <w:marTop w:val="0"/>
      <w:marBottom w:val="0"/>
      <w:divBdr>
        <w:top w:val="none" w:sz="0" w:space="0" w:color="auto"/>
        <w:left w:val="none" w:sz="0" w:space="0" w:color="auto"/>
        <w:bottom w:val="none" w:sz="0" w:space="0" w:color="auto"/>
        <w:right w:val="none" w:sz="0" w:space="0" w:color="auto"/>
      </w:divBdr>
      <w:divsChild>
        <w:div w:id="1317032212">
          <w:marLeft w:val="0"/>
          <w:marRight w:val="0"/>
          <w:marTop w:val="0"/>
          <w:marBottom w:val="0"/>
          <w:divBdr>
            <w:top w:val="none" w:sz="0" w:space="0" w:color="auto"/>
            <w:left w:val="none" w:sz="0" w:space="0" w:color="auto"/>
            <w:bottom w:val="none" w:sz="0" w:space="0" w:color="auto"/>
            <w:right w:val="none" w:sz="0" w:space="0" w:color="auto"/>
          </w:divBdr>
        </w:div>
      </w:divsChild>
    </w:div>
    <w:div w:id="2071154430">
      <w:bodyDiv w:val="1"/>
      <w:marLeft w:val="0"/>
      <w:marRight w:val="0"/>
      <w:marTop w:val="0"/>
      <w:marBottom w:val="0"/>
      <w:divBdr>
        <w:top w:val="none" w:sz="0" w:space="0" w:color="auto"/>
        <w:left w:val="none" w:sz="0" w:space="0" w:color="auto"/>
        <w:bottom w:val="none" w:sz="0" w:space="0" w:color="auto"/>
        <w:right w:val="none" w:sz="0" w:space="0" w:color="auto"/>
      </w:divBdr>
      <w:divsChild>
        <w:div w:id="1120608705">
          <w:marLeft w:val="0"/>
          <w:marRight w:val="0"/>
          <w:marTop w:val="0"/>
          <w:marBottom w:val="0"/>
          <w:divBdr>
            <w:top w:val="none" w:sz="0" w:space="0" w:color="auto"/>
            <w:left w:val="none" w:sz="0" w:space="0" w:color="auto"/>
            <w:bottom w:val="none" w:sz="0" w:space="0" w:color="auto"/>
            <w:right w:val="none" w:sz="0" w:space="0" w:color="auto"/>
          </w:divBdr>
        </w:div>
      </w:divsChild>
    </w:div>
    <w:div w:id="2084332937">
      <w:bodyDiv w:val="1"/>
      <w:marLeft w:val="0"/>
      <w:marRight w:val="0"/>
      <w:marTop w:val="0"/>
      <w:marBottom w:val="0"/>
      <w:divBdr>
        <w:top w:val="none" w:sz="0" w:space="0" w:color="auto"/>
        <w:left w:val="none" w:sz="0" w:space="0" w:color="auto"/>
        <w:bottom w:val="none" w:sz="0" w:space="0" w:color="auto"/>
        <w:right w:val="none" w:sz="0" w:space="0" w:color="auto"/>
      </w:divBdr>
      <w:divsChild>
        <w:div w:id="177146121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DC436-6E21-6B43-8C2A-E29CAF26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16</Pages>
  <Words>3754</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Allen</dc:creator>
  <cp:lastModifiedBy>Richard Allen</cp:lastModifiedBy>
  <cp:revision>63</cp:revision>
  <cp:lastPrinted>2018-01-26T15:40:00Z</cp:lastPrinted>
  <dcterms:created xsi:type="dcterms:W3CDTF">2018-02-12T15:35:00Z</dcterms:created>
  <dcterms:modified xsi:type="dcterms:W3CDTF">2019-08-15T07:50:00Z</dcterms:modified>
</cp:coreProperties>
</file>