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1B8" w:rsidRDefault="00DB01B8" w:rsidP="00FC5C87">
      <w:pPr>
        <w:spacing w:line="480" w:lineRule="auto"/>
        <w:jc w:val="center"/>
      </w:pPr>
    </w:p>
    <w:p w:rsidR="005B5E53" w:rsidRDefault="005B5E53" w:rsidP="00FC5C87">
      <w:pPr>
        <w:spacing w:line="480" w:lineRule="auto"/>
        <w:jc w:val="center"/>
      </w:pPr>
    </w:p>
    <w:p w:rsidR="00FC5C87" w:rsidRDefault="00FC5C87" w:rsidP="00FC5C87">
      <w:pPr>
        <w:spacing w:line="480" w:lineRule="auto"/>
        <w:jc w:val="center"/>
      </w:pPr>
    </w:p>
    <w:p w:rsidR="00FC5C87" w:rsidRDefault="00CE7266" w:rsidP="00FC5C87">
      <w:pPr>
        <w:spacing w:line="480" w:lineRule="auto"/>
        <w:jc w:val="center"/>
      </w:pPr>
      <w:r>
        <w:t>The local political economy of the regulatory state</w:t>
      </w:r>
      <w:r w:rsidR="00FC5C87">
        <w:t xml:space="preserve">: </w:t>
      </w:r>
      <w:r w:rsidR="00114713">
        <w:t>Governing affordable housing</w:t>
      </w:r>
      <w:r w:rsidR="0042178B">
        <w:t xml:space="preserve"> in England</w:t>
      </w:r>
    </w:p>
    <w:p w:rsidR="00FC5C87" w:rsidRDefault="00FC5C87" w:rsidP="00FC5C87">
      <w:pPr>
        <w:spacing w:line="480" w:lineRule="auto"/>
        <w:jc w:val="center"/>
      </w:pPr>
    </w:p>
    <w:p w:rsidR="00FC5C87" w:rsidRDefault="00FC5C87" w:rsidP="00FC5C87">
      <w:pPr>
        <w:spacing w:line="480" w:lineRule="auto"/>
        <w:jc w:val="center"/>
      </w:pPr>
    </w:p>
    <w:p w:rsidR="00FC5C87" w:rsidRDefault="00FC5C87" w:rsidP="00FC5C87">
      <w:pPr>
        <w:spacing w:line="480" w:lineRule="auto"/>
      </w:pPr>
    </w:p>
    <w:p w:rsidR="00FC5C87" w:rsidRDefault="00FC5C87" w:rsidP="00FC5C87">
      <w:pPr>
        <w:spacing w:line="480" w:lineRule="auto"/>
      </w:pPr>
      <w:r>
        <w:rPr>
          <w:u w:val="single"/>
        </w:rPr>
        <w:t>Abstract</w:t>
      </w:r>
    </w:p>
    <w:p w:rsidR="00BE3A6C" w:rsidRDefault="00AD692C" w:rsidP="00B96085">
      <w:pPr>
        <w:spacing w:line="480" w:lineRule="auto"/>
      </w:pPr>
      <w:r>
        <w:t>Regulatory governance involves</w:t>
      </w:r>
      <w:r w:rsidR="003A1E03">
        <w:t xml:space="preserve"> </w:t>
      </w:r>
      <w:r w:rsidR="005B7957">
        <w:t>the</w:t>
      </w:r>
      <w:r w:rsidR="00FC5C87">
        <w:t xml:space="preserve"> use of heterogen</w:t>
      </w:r>
      <w:r w:rsidR="00F84339">
        <w:t>e</w:t>
      </w:r>
      <w:r w:rsidR="00FC5C87">
        <w:t>ous mechanisms to</w:t>
      </w:r>
      <w:r w:rsidR="00A96A52">
        <w:t xml:space="preserve"> </w:t>
      </w:r>
      <w:r w:rsidR="00685385">
        <w:t>extract</w:t>
      </w:r>
      <w:r w:rsidR="00A96A52">
        <w:t xml:space="preserve"> </w:t>
      </w:r>
      <w:r w:rsidR="00685385">
        <w:t xml:space="preserve">welfare gains from </w:t>
      </w:r>
      <w:r w:rsidR="00A96A52">
        <w:t>market-based processes</w:t>
      </w:r>
      <w:r>
        <w:t xml:space="preserve">. </w:t>
      </w:r>
      <w:r w:rsidR="001140FF">
        <w:t xml:space="preserve">While often viewed as a </w:t>
      </w:r>
      <w:proofErr w:type="spellStart"/>
      <w:r w:rsidR="001140FF">
        <w:t>depoliticisation</w:t>
      </w:r>
      <w:proofErr w:type="spellEnd"/>
      <w:r w:rsidR="005C3301">
        <w:t xml:space="preserve"> mechanism</w:t>
      </w:r>
      <w:r w:rsidR="001140FF">
        <w:t xml:space="preserve">, </w:t>
      </w:r>
      <w:r>
        <w:t xml:space="preserve">we </w:t>
      </w:r>
      <w:r w:rsidR="001140FF">
        <w:t>here</w:t>
      </w:r>
      <w:r w:rsidR="000E07B9">
        <w:t xml:space="preserve"> explore</w:t>
      </w:r>
      <w:r w:rsidR="001140FF">
        <w:t xml:space="preserve"> </w:t>
      </w:r>
      <w:r w:rsidR="00586D71">
        <w:t xml:space="preserve">a distinctly political manifestation </w:t>
      </w:r>
      <w:r w:rsidR="00114713">
        <w:t xml:space="preserve">of </w:t>
      </w:r>
      <w:r w:rsidR="000E07B9">
        <w:t>regulatory governance</w:t>
      </w:r>
      <w:r>
        <w:t>.</w:t>
      </w:r>
      <w:r w:rsidR="001140FF">
        <w:t xml:space="preserve"> </w:t>
      </w:r>
      <w:r w:rsidR="00586D71">
        <w:t>Our study</w:t>
      </w:r>
      <w:r w:rsidR="00B56571">
        <w:t xml:space="preserve"> focus</w:t>
      </w:r>
      <w:r w:rsidR="00586D71">
        <w:t>es</w:t>
      </w:r>
      <w:r w:rsidR="00B56571">
        <w:t xml:space="preserve"> </w:t>
      </w:r>
      <w:r w:rsidR="00A61949">
        <w:t>on the</w:t>
      </w:r>
      <w:r w:rsidR="00A607D9">
        <w:t xml:space="preserve"> </w:t>
      </w:r>
      <w:r w:rsidR="00A61949">
        <w:t xml:space="preserve">governance of affordable housing in England, </w:t>
      </w:r>
      <w:r w:rsidR="00B56571">
        <w:t xml:space="preserve">specifically on local authorities’ use of ‘Section 106’ </w:t>
      </w:r>
      <w:r w:rsidR="006F7A4A">
        <w:t xml:space="preserve">(S106) </w:t>
      </w:r>
      <w:r w:rsidR="00B56571">
        <w:t>powers to compel private dev</w:t>
      </w:r>
      <w:r w:rsidR="001D217B">
        <w:t>e</w:t>
      </w:r>
      <w:r w:rsidR="00B56571">
        <w:t xml:space="preserve">lopers to include affordable housing in new developments. We show that, following the financial crisis, </w:t>
      </w:r>
      <w:r w:rsidR="00440444">
        <w:t>the governance of affordable housing</w:t>
      </w:r>
      <w:r w:rsidR="00B56571">
        <w:t xml:space="preserve"> shifted from a partisan to a </w:t>
      </w:r>
      <w:r w:rsidR="002E6789">
        <w:t>valence</w:t>
      </w:r>
      <w:r w:rsidR="00B56571">
        <w:t xml:space="preserve"> issue.</w:t>
      </w:r>
      <w:r w:rsidR="00440444">
        <w:t xml:space="preserve"> As the crisis increased the </w:t>
      </w:r>
      <w:r w:rsidR="00127A35">
        <w:t xml:space="preserve">issue </w:t>
      </w:r>
      <w:r w:rsidR="00440444">
        <w:t xml:space="preserve">salience of affordable housing, left-wing authorities’ </w:t>
      </w:r>
      <w:r w:rsidR="006F7A4A">
        <w:t xml:space="preserve">hitherto </w:t>
      </w:r>
      <w:r w:rsidR="00440444">
        <w:t>h</w:t>
      </w:r>
      <w:r w:rsidR="005A2D33">
        <w:t xml:space="preserve">igher tendency to intervene </w:t>
      </w:r>
      <w:r w:rsidR="00440444">
        <w:t xml:space="preserve">eroded in the midst of a broad-based increase in S106 deployment. </w:t>
      </w:r>
      <w:r w:rsidR="00B96085">
        <w:t xml:space="preserve">In addition to extending insights into </w:t>
      </w:r>
      <w:r w:rsidR="005D62F2">
        <w:t>the political economy of</w:t>
      </w:r>
      <w:r w:rsidR="00B96085">
        <w:t xml:space="preserve"> regulatory state</w:t>
      </w:r>
      <w:r w:rsidR="005D62F2">
        <w:t xml:space="preserve"> intervention</w:t>
      </w:r>
      <w:r w:rsidR="00B96085">
        <w:t xml:space="preserve">, our findings shed </w:t>
      </w:r>
      <w:r w:rsidR="00522C61">
        <w:t>valuable</w:t>
      </w:r>
      <w:r w:rsidR="00BE3A6C">
        <w:t xml:space="preserve"> light on the undersupply of affordable housing in England.</w:t>
      </w:r>
    </w:p>
    <w:p w:rsidR="00BE3A6C" w:rsidRDefault="00BE3A6C" w:rsidP="00FC5C87">
      <w:pPr>
        <w:spacing w:line="480" w:lineRule="auto"/>
      </w:pPr>
    </w:p>
    <w:p w:rsidR="005B7957" w:rsidRDefault="005B7957" w:rsidP="00FC5C87">
      <w:pPr>
        <w:spacing w:line="480" w:lineRule="auto"/>
      </w:pPr>
    </w:p>
    <w:p w:rsidR="00430BFE" w:rsidRPr="001904FA" w:rsidRDefault="00430BFE" w:rsidP="00FC5C87">
      <w:pPr>
        <w:spacing w:line="480" w:lineRule="auto"/>
      </w:pPr>
      <w:r>
        <w:br w:type="page"/>
      </w:r>
      <w:r w:rsidR="001904FA" w:rsidRPr="001904FA">
        <w:rPr>
          <w:u w:val="single"/>
        </w:rPr>
        <w:lastRenderedPageBreak/>
        <w:t>Acknowledgements</w:t>
      </w:r>
    </w:p>
    <w:p w:rsidR="001904FA" w:rsidRDefault="001904FA" w:rsidP="00430BFE">
      <w:pPr>
        <w:spacing w:line="480" w:lineRule="auto"/>
        <w:rPr>
          <w:u w:val="single"/>
        </w:rPr>
      </w:pPr>
      <w:r>
        <w:t>The authors would like to thank members of the University of York’s Public Policy Research Cluster for comments on an earlier version of the paper.</w:t>
      </w:r>
      <w:bookmarkStart w:id="0" w:name="_GoBack"/>
      <w:bookmarkEnd w:id="0"/>
      <w:r>
        <w:rPr>
          <w:u w:val="single"/>
        </w:rPr>
        <w:br w:type="page"/>
      </w:r>
    </w:p>
    <w:p w:rsidR="00430BFE" w:rsidRPr="008C342C" w:rsidRDefault="00430BFE" w:rsidP="00430BFE">
      <w:pPr>
        <w:spacing w:line="480" w:lineRule="auto"/>
      </w:pPr>
      <w:r w:rsidRPr="008C342C">
        <w:rPr>
          <w:u w:val="single"/>
        </w:rPr>
        <w:lastRenderedPageBreak/>
        <w:t>Introduction</w:t>
      </w:r>
    </w:p>
    <w:p w:rsidR="0070274D" w:rsidRDefault="00430BFE" w:rsidP="005D11BC">
      <w:pPr>
        <w:spacing w:line="480" w:lineRule="auto"/>
      </w:pPr>
      <w:r w:rsidRPr="008C342C">
        <w:t xml:space="preserve">It is widely accepted that, </w:t>
      </w:r>
      <w:r w:rsidR="00E26105">
        <w:t xml:space="preserve">over recent decades </w:t>
      </w:r>
      <w:r w:rsidRPr="008C342C">
        <w:t>across advanced-industrialised countries</w:t>
      </w:r>
      <w:r w:rsidR="006408FD">
        <w:t xml:space="preserve"> and beyond,</w:t>
      </w:r>
      <w:r w:rsidRPr="008C342C">
        <w:t xml:space="preserve"> </w:t>
      </w:r>
      <w:r w:rsidR="006408FD">
        <w:t>formerly</w:t>
      </w:r>
      <w:r w:rsidRPr="008C342C">
        <w:t xml:space="preserve"> integrated ‘provider’ states have morphed into more complex ‘regulatory’ entities</w:t>
      </w:r>
      <w:r w:rsidR="00414E51">
        <w:t xml:space="preserve"> (</w:t>
      </w:r>
      <w:proofErr w:type="spellStart"/>
      <w:r w:rsidR="00414E51">
        <w:t>Majone</w:t>
      </w:r>
      <w:proofErr w:type="spellEnd"/>
      <w:r w:rsidR="00414E51">
        <w:t xml:space="preserve"> 199</w:t>
      </w:r>
      <w:r w:rsidR="006408FD">
        <w:t>4, 1997)</w:t>
      </w:r>
      <w:r w:rsidRPr="008C342C">
        <w:t xml:space="preserve">. </w:t>
      </w:r>
      <w:r w:rsidR="00E26105">
        <w:t>Whereas much literature on the regulatory state has focused on the operations of (quasi-)independent regulatory agencies, recently a ‘regulation for welfare’ perspective has introduced a broader focus of analysis. For Levi-</w:t>
      </w:r>
      <w:proofErr w:type="spellStart"/>
      <w:r w:rsidR="00E26105">
        <w:t>Faur</w:t>
      </w:r>
      <w:proofErr w:type="spellEnd"/>
      <w:r w:rsidR="00E26105">
        <w:t xml:space="preserve"> (2014) and Haber et al (2016), studies of regulatory governance should pay closer attention to the full range of mechanisms used by the state to shape outcomes achieved through market-based processes. </w:t>
      </w:r>
      <w:r w:rsidR="009C6FBE">
        <w:t>Existing studies typically view regulatory governance as offering insulation from political influence.</w:t>
      </w:r>
      <w:r w:rsidR="009C6FBE">
        <w:rPr>
          <w:rStyle w:val="FootnoteReference"/>
        </w:rPr>
        <w:footnoteReference w:id="1"/>
      </w:r>
      <w:r w:rsidR="009C6FBE">
        <w:t xml:space="preserve"> Here, </w:t>
      </w:r>
      <w:r w:rsidR="0070274D">
        <w:t>in finding</w:t>
      </w:r>
      <w:r w:rsidR="009C6FBE">
        <w:t xml:space="preserve"> that affordable housing </w:t>
      </w:r>
      <w:r w:rsidR="0070274D">
        <w:t xml:space="preserve">has </w:t>
      </w:r>
      <w:r w:rsidR="009C6FBE">
        <w:t xml:space="preserve">shifted from being a partisan to a </w:t>
      </w:r>
      <w:r w:rsidR="002E6789">
        <w:t>valence</w:t>
      </w:r>
      <w:r w:rsidR="009C6FBE">
        <w:t xml:space="preserve"> issue</w:t>
      </w:r>
      <w:r w:rsidR="0070274D">
        <w:t>, we offer a counterpoint to these visions of regulatory governance as depoliticised</w:t>
      </w:r>
      <w:r w:rsidR="009C6FBE">
        <w:t>.</w:t>
      </w:r>
      <w:r w:rsidR="001D4695">
        <w:tab/>
      </w:r>
    </w:p>
    <w:p w:rsidR="00C30404" w:rsidRDefault="00DB7989" w:rsidP="00C30404">
      <w:pPr>
        <w:spacing w:line="480" w:lineRule="auto"/>
        <w:ind w:firstLine="720"/>
      </w:pPr>
      <w:r>
        <w:t>W</w:t>
      </w:r>
      <w:r w:rsidR="002E6789">
        <w:t>e define an issue as ‘partisan’ where there are significant differences in political parties’ positions on or engagement with the issue</w:t>
      </w:r>
      <w:r>
        <w:t xml:space="preserve">. A ‘valence’ issue, in contrast, is characterised by inter-party </w:t>
      </w:r>
      <w:r w:rsidR="00D30670">
        <w:t>similarity of position or engagement</w:t>
      </w:r>
      <w:r>
        <w:t xml:space="preserve">, </w:t>
      </w:r>
      <w:r w:rsidR="003A7A8B">
        <w:t>and</w:t>
      </w:r>
      <w:r>
        <w:t xml:space="preserve"> competition over performance.</w:t>
      </w:r>
      <w:r>
        <w:rPr>
          <w:rStyle w:val="FootnoteReference"/>
        </w:rPr>
        <w:footnoteReference w:id="2"/>
      </w:r>
      <w:r>
        <w:t xml:space="preserve"> </w:t>
      </w:r>
      <w:r w:rsidR="001D4695">
        <w:t xml:space="preserve">In </w:t>
      </w:r>
      <w:r w:rsidR="0070274D">
        <w:t xml:space="preserve">exploring affordable housing’s shift from a partisan to </w:t>
      </w:r>
      <w:r w:rsidR="002E6789">
        <w:t>valence</w:t>
      </w:r>
      <w:r w:rsidR="0070274D">
        <w:t xml:space="preserve"> issue, we shed light on the process of issue transformation. Our findings suggest an interaction between issue salience and issue </w:t>
      </w:r>
      <w:r w:rsidR="002E6789">
        <w:t>transformation</w:t>
      </w:r>
      <w:r w:rsidR="0070274D">
        <w:t xml:space="preserve">; as the financial crisis raised the salience of affordable housing as a policy issue, parties regardless of orientation expanded their deployment of S106 powers. While left-wing authorities displayed a higher propensity toward S106 use in the pre-crisis period, this distinction was eroded </w:t>
      </w:r>
      <w:r w:rsidR="00586D71">
        <w:t xml:space="preserve">post-crisis </w:t>
      </w:r>
      <w:r w:rsidR="0070274D">
        <w:t>by a generalised increase in levels of intervention. In testing the influence of a range of political economy factors on observed S106 outcomes, we also establish that sub-optimal housing market performance also significantly shapes authorities’ recourse to S106</w:t>
      </w:r>
      <w:r w:rsidR="00586D71">
        <w:t>; w</w:t>
      </w:r>
      <w:r w:rsidR="0070274D">
        <w:t xml:space="preserve">here income-to-house prices were higher, authorities displayed enhanced use of S106. </w:t>
      </w:r>
      <w:r w:rsidR="00C30404">
        <w:t xml:space="preserve">This finding suggests that </w:t>
      </w:r>
      <w:r w:rsidR="00C30404">
        <w:lastRenderedPageBreak/>
        <w:t xml:space="preserve">local authorities </w:t>
      </w:r>
      <w:proofErr w:type="gramStart"/>
      <w:r w:rsidR="00C30404">
        <w:t>are driven</w:t>
      </w:r>
      <w:proofErr w:type="gramEnd"/>
      <w:r w:rsidR="00C30404">
        <w:t xml:space="preserve"> by </w:t>
      </w:r>
      <w:r w:rsidR="00D30670">
        <w:t>relatively</w:t>
      </w:r>
      <w:r w:rsidR="0007617A">
        <w:t xml:space="preserve"> </w:t>
      </w:r>
      <w:r w:rsidR="00C30404">
        <w:t xml:space="preserve">affluent </w:t>
      </w:r>
      <w:r w:rsidR="00D30670">
        <w:t>constituents’</w:t>
      </w:r>
      <w:r w:rsidR="00C30404">
        <w:t xml:space="preserve"> concerns</w:t>
      </w:r>
      <w:r w:rsidR="00D30670">
        <w:t xml:space="preserve">, with S106 use rising when </w:t>
      </w:r>
      <w:r w:rsidR="009B188D">
        <w:t xml:space="preserve">the </w:t>
      </w:r>
      <w:r w:rsidR="00D30670">
        <w:t xml:space="preserve">home-owning aspirations </w:t>
      </w:r>
      <w:r w:rsidR="009B188D">
        <w:t xml:space="preserve">of relatively affluent constituents </w:t>
      </w:r>
      <w:r w:rsidR="00D30670">
        <w:t>are being frustrated by higher income-to-house price ratios</w:t>
      </w:r>
      <w:r w:rsidR="0077720F">
        <w:t>. W</w:t>
      </w:r>
      <w:r w:rsidR="00586D71">
        <w:t>e find no evidence of authorities responding to parallel concerns of less affluent voters</w:t>
      </w:r>
      <w:r w:rsidR="00C5451F">
        <w:t>, with shortages of social rental accommodation</w:t>
      </w:r>
      <w:r w:rsidR="009B188D">
        <w:t xml:space="preserve"> (an issue of concern to less affluent constituents)</w:t>
      </w:r>
      <w:r w:rsidR="00C5451F">
        <w:t xml:space="preserve"> exerting no influence over S106 deployment</w:t>
      </w:r>
      <w:r w:rsidR="00C30404">
        <w:t>.</w:t>
      </w:r>
      <w:r w:rsidR="0070274D">
        <w:t xml:space="preserve"> </w:t>
      </w:r>
      <w:r w:rsidR="00AD6544">
        <w:t xml:space="preserve">By focusing on </w:t>
      </w:r>
      <w:r w:rsidR="00586D71">
        <w:t>the</w:t>
      </w:r>
      <w:r w:rsidR="00AD6544">
        <w:t xml:space="preserve"> sub-national </w:t>
      </w:r>
      <w:r w:rsidR="00586D71">
        <w:t>level</w:t>
      </w:r>
      <w:r w:rsidR="00AD6544">
        <w:t xml:space="preserve">, our study advances a </w:t>
      </w:r>
      <w:r w:rsidR="00586D71">
        <w:t xml:space="preserve">regulatory governance </w:t>
      </w:r>
      <w:r w:rsidR="00AD6544">
        <w:t>literature</w:t>
      </w:r>
      <w:r w:rsidR="00586D71">
        <w:t xml:space="preserve"> </w:t>
      </w:r>
      <w:r w:rsidR="00AD6544">
        <w:t xml:space="preserve">that </w:t>
      </w:r>
      <w:r w:rsidR="00586D71">
        <w:t>often</w:t>
      </w:r>
      <w:r w:rsidR="00AD6544">
        <w:t xml:space="preserve"> privilege</w:t>
      </w:r>
      <w:r w:rsidR="00586D71">
        <w:t>s</w:t>
      </w:r>
      <w:r w:rsidR="00AD6544">
        <w:t xml:space="preserve"> the national and trans</w:t>
      </w:r>
      <w:r w:rsidR="007907AA">
        <w:t>-</w:t>
      </w:r>
      <w:r w:rsidR="00AD6544">
        <w:t xml:space="preserve">national. </w:t>
      </w:r>
    </w:p>
    <w:p w:rsidR="006F7A4A" w:rsidRDefault="000C7598" w:rsidP="00C30404">
      <w:pPr>
        <w:spacing w:line="480" w:lineRule="auto"/>
        <w:ind w:firstLine="720"/>
      </w:pPr>
      <w:r>
        <w:t xml:space="preserve">The provision of </w:t>
      </w:r>
      <w:r w:rsidR="001249BA">
        <w:t>affordable</w:t>
      </w:r>
      <w:r>
        <w:t xml:space="preserve"> housing in England represents an archetypal case of ‘provider’ to ‘regulatory’ transformation.</w:t>
      </w:r>
      <w:r w:rsidR="001249BA">
        <w:rPr>
          <w:rStyle w:val="FootnoteReference"/>
        </w:rPr>
        <w:footnoteReference w:id="3"/>
      </w:r>
      <w:r w:rsidR="00430BFE">
        <w:t xml:space="preserve"> </w:t>
      </w:r>
      <w:r w:rsidR="00D74CE4">
        <w:t xml:space="preserve">Where once local authorities directly </w:t>
      </w:r>
      <w:r w:rsidR="00AE530B">
        <w:t xml:space="preserve">supplied rental accommodation at sub-market cost, now a range of mechanisms </w:t>
      </w:r>
      <w:proofErr w:type="gramStart"/>
      <w:r w:rsidR="00AE530B">
        <w:t>are used</w:t>
      </w:r>
      <w:proofErr w:type="gramEnd"/>
      <w:r w:rsidR="00AE530B">
        <w:t xml:space="preserve"> across national and local government to steer</w:t>
      </w:r>
      <w:r w:rsidR="00785E69">
        <w:t xml:space="preserve"> outcomes within</w:t>
      </w:r>
      <w:r w:rsidR="00AE530B">
        <w:t xml:space="preserve"> increasingly market-based systems of provision. </w:t>
      </w:r>
      <w:r w:rsidR="001249BA">
        <w:t>T</w:t>
      </w:r>
      <w:r w:rsidR="00AE530B">
        <w:t xml:space="preserve">hrough </w:t>
      </w:r>
      <w:r w:rsidR="001249BA">
        <w:t>S106, authorities</w:t>
      </w:r>
      <w:r w:rsidR="00AE530B">
        <w:t xml:space="preserve"> are able to compel </w:t>
      </w:r>
      <w:r w:rsidR="001249BA">
        <w:t xml:space="preserve">private developers to include affordable housing </w:t>
      </w:r>
      <w:r w:rsidR="00785E69">
        <w:t xml:space="preserve">in new-build developments. </w:t>
      </w:r>
      <w:r w:rsidR="00425A45">
        <w:t>Although authorities’</w:t>
      </w:r>
      <w:r w:rsidR="00785E69">
        <w:t xml:space="preserve"> decisions </w:t>
      </w:r>
      <w:proofErr w:type="gramStart"/>
      <w:r w:rsidR="00785E69">
        <w:t>are taken</w:t>
      </w:r>
      <w:proofErr w:type="gramEnd"/>
      <w:r w:rsidR="00785E69">
        <w:t xml:space="preserve"> in the shadow of an overarching policy framework, </w:t>
      </w:r>
      <w:r w:rsidR="000F3741">
        <w:t xml:space="preserve">at local authority level </w:t>
      </w:r>
      <w:r w:rsidR="00785E69">
        <w:t xml:space="preserve">there is significant room for flexibility and discretion </w:t>
      </w:r>
      <w:r w:rsidR="00CD4FD0">
        <w:t>regarding</w:t>
      </w:r>
      <w:r w:rsidR="00785E69">
        <w:t xml:space="preserve"> the deployment of S106 power.</w:t>
      </w:r>
      <w:r w:rsidR="00E0676D">
        <w:t xml:space="preserve"> </w:t>
      </w:r>
      <w:r w:rsidR="00CD4FD0">
        <w:t xml:space="preserve"> </w:t>
      </w:r>
      <w:r w:rsidR="00B468F7">
        <w:t>Existing studies of</w:t>
      </w:r>
      <w:r w:rsidR="00CD4FD0">
        <w:t xml:space="preserve"> local authority planning processes are unclear as to the </w:t>
      </w:r>
      <w:r w:rsidR="00B3573F">
        <w:t>drivers of</w:t>
      </w:r>
      <w:r w:rsidR="00CD4FD0">
        <w:t xml:space="preserve"> these local authority-level outcomes</w:t>
      </w:r>
      <w:r w:rsidR="00AD6544">
        <w:t>, and present</w:t>
      </w:r>
      <w:r w:rsidR="00CD4FD0">
        <w:t xml:space="preserve"> little sense of </w:t>
      </w:r>
      <w:r w:rsidR="0003766F">
        <w:t xml:space="preserve">whether and how </w:t>
      </w:r>
      <w:r w:rsidR="00B3573F">
        <w:t xml:space="preserve">local </w:t>
      </w:r>
      <w:r w:rsidR="0003766F">
        <w:t>councillors shape the conditions attached to planning application approvals</w:t>
      </w:r>
      <w:r w:rsidR="00CD4FD0">
        <w:t>.</w:t>
      </w:r>
      <w:r w:rsidR="005E344E">
        <w:rPr>
          <w:rStyle w:val="FootnoteReference"/>
        </w:rPr>
        <w:footnoteReference w:id="4"/>
      </w:r>
      <w:r w:rsidR="00785E69">
        <w:t xml:space="preserve"> </w:t>
      </w:r>
      <w:r w:rsidR="00AD6544">
        <w:t xml:space="preserve">The new empirical detail we present in this regard constitutes a significant contribution from the paper. The importance of this contribution </w:t>
      </w:r>
      <w:proofErr w:type="gramStart"/>
      <w:r w:rsidR="00AD6544">
        <w:t>is enhanced</w:t>
      </w:r>
      <w:proofErr w:type="gramEnd"/>
      <w:r w:rsidR="00AD6544">
        <w:t xml:space="preserve"> by</w:t>
      </w:r>
      <w:r w:rsidR="00D232D1">
        <w:t xml:space="preserve"> the chronic under-supply of affordable housing wi</w:t>
      </w:r>
      <w:r w:rsidR="00AD6544">
        <w:t>thin the English housing system.</w:t>
      </w:r>
      <w:r w:rsidR="00D232D1">
        <w:rPr>
          <w:rStyle w:val="FootnoteReference"/>
        </w:rPr>
        <w:footnoteReference w:id="5"/>
      </w:r>
      <w:r w:rsidR="00D232D1">
        <w:t xml:space="preserve"> </w:t>
      </w:r>
    </w:p>
    <w:p w:rsidR="00416E33" w:rsidRDefault="008731C2" w:rsidP="006402C8">
      <w:pPr>
        <w:spacing w:line="480" w:lineRule="auto"/>
        <w:ind w:firstLine="720"/>
      </w:pPr>
      <w:r w:rsidRPr="008C342C">
        <w:lastRenderedPageBreak/>
        <w:t>We develop our overall analysis through the following structure. In the firs</w:t>
      </w:r>
      <w:r w:rsidR="00035C92">
        <w:t xml:space="preserve">t section below, </w:t>
      </w:r>
      <w:r w:rsidR="00881E20">
        <w:t xml:space="preserve">to contextualise our contribution, </w:t>
      </w:r>
      <w:r w:rsidR="00035C92">
        <w:t xml:space="preserve">we outline </w:t>
      </w:r>
      <w:r w:rsidR="007D2A30">
        <w:t xml:space="preserve">the contours of </w:t>
      </w:r>
      <w:r w:rsidR="00035C92">
        <w:t>existing</w:t>
      </w:r>
      <w:r w:rsidRPr="008C342C">
        <w:t xml:space="preserve"> literature on the regulatory state</w:t>
      </w:r>
      <w:r>
        <w:t>. I</w:t>
      </w:r>
      <w:r w:rsidRPr="008C342C">
        <w:t>n the second section</w:t>
      </w:r>
      <w:r w:rsidR="009D5978">
        <w:t>,</w:t>
      </w:r>
      <w:r w:rsidRPr="008C342C">
        <w:t xml:space="preserve"> </w:t>
      </w:r>
      <w:r>
        <w:t>we</w:t>
      </w:r>
      <w:r w:rsidR="00035C92">
        <w:t xml:space="preserve"> begin to lay the foundations for our empirical analysis by</w:t>
      </w:r>
      <w:r w:rsidRPr="008C342C">
        <w:t xml:space="preserve"> introduc</w:t>
      </w:r>
      <w:r w:rsidR="00035C92">
        <w:t>ing</w:t>
      </w:r>
      <w:r w:rsidR="00881E20">
        <w:t xml:space="preserve"> </w:t>
      </w:r>
      <w:r w:rsidR="00035C92">
        <w:t>expected drivers of local authorities’ use of discretionary market-constraining power</w:t>
      </w:r>
      <w:r w:rsidR="00881E20">
        <w:t>, as derived from a broad range of Political Science and Political Economy scholarship</w:t>
      </w:r>
      <w:r w:rsidRPr="008C342C">
        <w:t xml:space="preserve">. In the third section, we </w:t>
      </w:r>
      <w:r w:rsidR="007D2A30">
        <w:t>provide</w:t>
      </w:r>
      <w:r w:rsidRPr="008C342C">
        <w:t xml:space="preserve"> overviews of the legislative and institutional structures surrounding English local authorities’ involvement in the governance of affordable housing. Through the fourth</w:t>
      </w:r>
      <w:r w:rsidR="00160664">
        <w:t xml:space="preserve"> and</w:t>
      </w:r>
      <w:r w:rsidR="00CD1EA6">
        <w:t xml:space="preserve"> fifth</w:t>
      </w:r>
      <w:r w:rsidRPr="008C342C">
        <w:t xml:space="preserve"> section</w:t>
      </w:r>
      <w:r w:rsidR="00CD1EA6">
        <w:t>s</w:t>
      </w:r>
      <w:r w:rsidR="009D5978">
        <w:t>,</w:t>
      </w:r>
      <w:r w:rsidRPr="008C342C">
        <w:t xml:space="preserve"> we</w:t>
      </w:r>
      <w:r w:rsidR="00CD1EA6">
        <w:t xml:space="preserve"> </w:t>
      </w:r>
      <w:r w:rsidRPr="008C342C">
        <w:t xml:space="preserve">provide an explanation of data sources and methods used, </w:t>
      </w:r>
      <w:r w:rsidR="00160664">
        <w:t>and then present and discuss our</w:t>
      </w:r>
      <w:r w:rsidRPr="008C342C">
        <w:t xml:space="preserve"> results</w:t>
      </w:r>
      <w:r w:rsidR="00CD1EA6">
        <w:t>.</w:t>
      </w:r>
      <w:r>
        <w:t xml:space="preserve"> </w:t>
      </w:r>
      <w:r w:rsidR="00CD1EA6">
        <w:t xml:space="preserve">The concluding section </w:t>
      </w:r>
      <w:r w:rsidR="002E53F8">
        <w:t xml:space="preserve">of the paper </w:t>
      </w:r>
      <w:r w:rsidR="00CD1EA6">
        <w:t>offers a recap on the core insights developed through the paper, and reflects on the relevance of these findings</w:t>
      </w:r>
      <w:r w:rsidRPr="008C342C">
        <w:t>.</w:t>
      </w:r>
    </w:p>
    <w:p w:rsidR="006402C8" w:rsidRDefault="006402C8" w:rsidP="008731C2">
      <w:pPr>
        <w:spacing w:line="480" w:lineRule="auto"/>
      </w:pPr>
    </w:p>
    <w:p w:rsidR="006402C8" w:rsidRPr="008C342C" w:rsidRDefault="007D7D15" w:rsidP="006402C8">
      <w:pPr>
        <w:spacing w:line="480" w:lineRule="auto"/>
        <w:rPr>
          <w:u w:val="single"/>
        </w:rPr>
      </w:pPr>
      <w:r>
        <w:rPr>
          <w:u w:val="single"/>
        </w:rPr>
        <w:t>Local</w:t>
      </w:r>
      <w:r w:rsidR="001666AA">
        <w:rPr>
          <w:u w:val="single"/>
        </w:rPr>
        <w:t xml:space="preserve"> </w:t>
      </w:r>
      <w:r>
        <w:rPr>
          <w:u w:val="single"/>
        </w:rPr>
        <w:t>political economy</w:t>
      </w:r>
      <w:r w:rsidR="001666AA">
        <w:rPr>
          <w:u w:val="single"/>
        </w:rPr>
        <w:t xml:space="preserve"> and the regulatory state: Extensions to existing literature</w:t>
      </w:r>
    </w:p>
    <w:p w:rsidR="006402C8" w:rsidRPr="008C342C" w:rsidRDefault="006402C8" w:rsidP="006402C8">
      <w:pPr>
        <w:spacing w:line="480" w:lineRule="auto"/>
      </w:pPr>
      <w:r w:rsidRPr="008C342C">
        <w:t xml:space="preserve">There is broad-based agreement that the relationship between states and markets </w:t>
      </w:r>
      <w:proofErr w:type="gramStart"/>
      <w:r w:rsidRPr="008C342C">
        <w:t>has been fundamentally reconfigured</w:t>
      </w:r>
      <w:proofErr w:type="gramEnd"/>
      <w:r w:rsidRPr="008C342C">
        <w:t xml:space="preserve"> over recent decades. </w:t>
      </w:r>
      <w:r w:rsidR="00100FC3">
        <w:t>S</w:t>
      </w:r>
      <w:r w:rsidRPr="008C342C">
        <w:t xml:space="preserve">tudies of the rise of the regulatory state have sought to clarify in detail the institutional relationships brought into being in differing spheres of public policy and public administration, and to identify factors shaping variations in patters of change. </w:t>
      </w:r>
      <w:r w:rsidR="00D44E32">
        <w:t>However, w</w:t>
      </w:r>
      <w:r w:rsidR="001666AA">
        <w:t>ithin this literature</w:t>
      </w:r>
      <w:r w:rsidRPr="008C342C">
        <w:t xml:space="preserve"> we </w:t>
      </w:r>
      <w:r w:rsidR="001666AA">
        <w:t xml:space="preserve">see limited focus on </w:t>
      </w:r>
      <w:r w:rsidRPr="008C342C">
        <w:t xml:space="preserve">local-level dynamics within these structures, and </w:t>
      </w:r>
      <w:r w:rsidR="001666AA">
        <w:t>a prevailing tendency to characterise regulatory governance as a depoliticised process</w:t>
      </w:r>
      <w:r w:rsidRPr="008C342C">
        <w:t xml:space="preserve">. </w:t>
      </w:r>
    </w:p>
    <w:p w:rsidR="006402C8" w:rsidRDefault="006402C8" w:rsidP="006402C8">
      <w:pPr>
        <w:spacing w:line="480" w:lineRule="auto"/>
      </w:pPr>
      <w:r w:rsidRPr="008C342C">
        <w:tab/>
      </w:r>
      <w:proofErr w:type="spellStart"/>
      <w:r w:rsidRPr="008C342C">
        <w:t>Majone’s</w:t>
      </w:r>
      <w:proofErr w:type="spellEnd"/>
      <w:r w:rsidRPr="008C342C">
        <w:t xml:space="preserve"> (1994, 1997) work on the rise of the regulatory state </w:t>
      </w:r>
      <w:r w:rsidR="00100FC3">
        <w:t>highlighted</w:t>
      </w:r>
      <w:r w:rsidRPr="008C342C">
        <w:t xml:space="preserve"> the</w:t>
      </w:r>
      <w:r w:rsidR="00100FC3">
        <w:t xml:space="preserve"> increased importance, since the 1980s, of</w:t>
      </w:r>
      <w:r w:rsidRPr="008C342C">
        <w:t xml:space="preserve"> mechanisms of </w:t>
      </w:r>
      <w:proofErr w:type="gramStart"/>
      <w:r w:rsidRPr="008C342C">
        <w:t>rule-making</w:t>
      </w:r>
      <w:proofErr w:type="gramEnd"/>
      <w:r w:rsidRPr="008C342C">
        <w:t xml:space="preserve">, monitoring, and enforcement </w:t>
      </w:r>
      <w:r w:rsidR="00BF7AC4">
        <w:t>within</w:t>
      </w:r>
      <w:r w:rsidRPr="008C342C">
        <w:t xml:space="preserve"> Western Europe </w:t>
      </w:r>
      <w:r w:rsidR="00100FC3">
        <w:t>governments</w:t>
      </w:r>
      <w:r w:rsidR="00BF7AC4">
        <w:t>’ toolkits</w:t>
      </w:r>
      <w:r w:rsidRPr="008C342C">
        <w:t>. As privatisation moved formerly state-owned utilities and services into the realm of the market, existing and new agencies began to use regulation rather than direct control over taxation and spending priorities to make purposive interventions. Contributions from Levi-</w:t>
      </w:r>
      <w:proofErr w:type="spellStart"/>
      <w:r w:rsidRPr="008C342C">
        <w:t>Faur</w:t>
      </w:r>
      <w:proofErr w:type="spellEnd"/>
      <w:r w:rsidRPr="008C342C">
        <w:t xml:space="preserve"> (2005) served to identify the potentially global nature of these transformations, and </w:t>
      </w:r>
      <w:r w:rsidRPr="008C342C">
        <w:lastRenderedPageBreak/>
        <w:t xml:space="preserve">to also bring the dynamics of ‘re-regulation’ into sharper relief against dominant narratives of the withering-away of the state under ‘globalisation’ and ‘neo-liberalism’. The rise of regulatory </w:t>
      </w:r>
      <w:r w:rsidR="00432BD4">
        <w:t>governance</w:t>
      </w:r>
      <w:r w:rsidRPr="008C342C">
        <w:t xml:space="preserve"> structures have now been catalogued across Latin America (</w:t>
      </w:r>
      <w:proofErr w:type="spellStart"/>
      <w:r w:rsidRPr="008C342C">
        <w:t>Jordana</w:t>
      </w:r>
      <w:proofErr w:type="spellEnd"/>
      <w:r w:rsidRPr="008C342C">
        <w:t xml:space="preserve"> and Levi-</w:t>
      </w:r>
      <w:proofErr w:type="spellStart"/>
      <w:r w:rsidRPr="008C342C">
        <w:t>Faur</w:t>
      </w:r>
      <w:proofErr w:type="spellEnd"/>
      <w:r w:rsidRPr="008C342C">
        <w:t xml:space="preserve"> 2005, Levi-</w:t>
      </w:r>
      <w:proofErr w:type="spellStart"/>
      <w:r w:rsidRPr="008C342C">
        <w:t>Faur</w:t>
      </w:r>
      <w:proofErr w:type="spellEnd"/>
      <w:r w:rsidRPr="008C342C">
        <w:t xml:space="preserve"> and </w:t>
      </w:r>
      <w:proofErr w:type="spellStart"/>
      <w:r w:rsidRPr="008C342C">
        <w:t>Jordana</w:t>
      </w:r>
      <w:proofErr w:type="spellEnd"/>
      <w:r w:rsidRPr="008C342C">
        <w:t xml:space="preserve"> 2006), Asia (</w:t>
      </w:r>
      <w:proofErr w:type="spellStart"/>
      <w:r w:rsidRPr="008C342C">
        <w:t>Mok</w:t>
      </w:r>
      <w:proofErr w:type="spellEnd"/>
      <w:r w:rsidRPr="008C342C">
        <w:t xml:space="preserve"> 2008, </w:t>
      </w:r>
      <w:proofErr w:type="spellStart"/>
      <w:r w:rsidRPr="008C342C">
        <w:rPr>
          <w:rFonts w:eastAsia="Times New Roman" w:cs="Arial"/>
          <w:color w:val="222222"/>
          <w:lang w:eastAsia="en-GB"/>
        </w:rPr>
        <w:t>Jayasuriya</w:t>
      </w:r>
      <w:proofErr w:type="spellEnd"/>
      <w:r w:rsidRPr="008C342C">
        <w:rPr>
          <w:rFonts w:eastAsia="Times New Roman" w:cs="Arial"/>
          <w:color w:val="222222"/>
          <w:lang w:eastAsia="en-GB"/>
        </w:rPr>
        <w:t xml:space="preserve"> 2009), and lower-income states of the global South (</w:t>
      </w:r>
      <w:proofErr w:type="spellStart"/>
      <w:r w:rsidRPr="008C342C">
        <w:rPr>
          <w:rFonts w:eastAsia="Times New Roman" w:cs="Arial"/>
          <w:color w:val="222222"/>
          <w:lang w:eastAsia="en-GB"/>
        </w:rPr>
        <w:t>Dubash</w:t>
      </w:r>
      <w:proofErr w:type="spellEnd"/>
      <w:r w:rsidRPr="008C342C">
        <w:rPr>
          <w:rFonts w:eastAsia="Times New Roman" w:cs="Arial"/>
          <w:color w:val="222222"/>
          <w:lang w:eastAsia="en-GB"/>
        </w:rPr>
        <w:t xml:space="preserve"> and Morgan 2012</w:t>
      </w:r>
      <w:r>
        <w:rPr>
          <w:rFonts w:eastAsia="Times New Roman" w:cs="Arial"/>
          <w:color w:val="222222"/>
          <w:lang w:eastAsia="en-GB"/>
        </w:rPr>
        <w:t>, Clegg 2017</w:t>
      </w:r>
      <w:r w:rsidRPr="008C342C">
        <w:rPr>
          <w:rFonts w:eastAsia="Times New Roman" w:cs="Arial"/>
          <w:color w:val="222222"/>
          <w:lang w:eastAsia="en-GB"/>
        </w:rPr>
        <w:t>).</w:t>
      </w:r>
      <w:r w:rsidRPr="008C342C">
        <w:t xml:space="preserve"> </w:t>
      </w:r>
    </w:p>
    <w:p w:rsidR="00287185" w:rsidRDefault="006402C8" w:rsidP="001B52FA">
      <w:pPr>
        <w:spacing w:line="480" w:lineRule="auto"/>
        <w:ind w:firstLine="720"/>
      </w:pPr>
      <w:r>
        <w:t>Much literature on the regulatory state directs attention specifically to the regulatory agencies that have been established to shape the behaviour of market-based actors</w:t>
      </w:r>
      <w:r w:rsidR="00D1485E">
        <w:t xml:space="preserve"> (e.g. </w:t>
      </w:r>
      <w:proofErr w:type="spellStart"/>
      <w:r w:rsidR="00D1485E">
        <w:t>Heims</w:t>
      </w:r>
      <w:proofErr w:type="spellEnd"/>
      <w:r w:rsidR="00D1485E">
        <w:t xml:space="preserve"> 2015</w:t>
      </w:r>
      <w:r w:rsidR="00237EFA">
        <w:t xml:space="preserve">, </w:t>
      </w:r>
      <w:proofErr w:type="spellStart"/>
      <w:r w:rsidR="001B52FA">
        <w:t>Heims</w:t>
      </w:r>
      <w:proofErr w:type="spellEnd"/>
      <w:r w:rsidR="001B52FA">
        <w:t xml:space="preserve"> 2017, </w:t>
      </w:r>
      <w:proofErr w:type="spellStart"/>
      <w:proofErr w:type="gramStart"/>
      <w:r w:rsidR="00237EFA">
        <w:t>Jordana</w:t>
      </w:r>
      <w:proofErr w:type="spellEnd"/>
      <w:proofErr w:type="gramEnd"/>
      <w:r w:rsidR="00237EFA">
        <w:t xml:space="preserve"> et al 2018, </w:t>
      </w:r>
      <w:r w:rsidR="00237EFA" w:rsidRPr="0051747A">
        <w:t xml:space="preserve">Pérez </w:t>
      </w:r>
      <w:proofErr w:type="spellStart"/>
      <w:r w:rsidR="00237EFA" w:rsidRPr="0051747A">
        <w:t>Durán</w:t>
      </w:r>
      <w:proofErr w:type="spellEnd"/>
      <w:r w:rsidR="00237EFA">
        <w:t xml:space="preserve"> 2018</w:t>
      </w:r>
      <w:r w:rsidR="00D1485E">
        <w:t>)</w:t>
      </w:r>
      <w:r>
        <w:t xml:space="preserve">. </w:t>
      </w:r>
      <w:r w:rsidR="00AD056B">
        <w:t>Through this paper</w:t>
      </w:r>
      <w:r>
        <w:t>, we build on Levi-</w:t>
      </w:r>
      <w:proofErr w:type="spellStart"/>
      <w:r>
        <w:t>Faur’s</w:t>
      </w:r>
      <w:proofErr w:type="spellEnd"/>
      <w:r>
        <w:t xml:space="preserve"> (2014</w:t>
      </w:r>
      <w:r w:rsidR="00AD056B">
        <w:t>: 600</w:t>
      </w:r>
      <w:r>
        <w:t>) argument that the boundaries of the regulatory state ‘are wider than are usually understood’</w:t>
      </w:r>
      <w:r w:rsidR="00AD056B">
        <w:t xml:space="preserve">, and </w:t>
      </w:r>
      <w:r w:rsidR="00432BD4">
        <w:t xml:space="preserve">his </w:t>
      </w:r>
      <w:r w:rsidR="00AD056B">
        <w:t>advocacy</w:t>
      </w:r>
      <w:r>
        <w:t xml:space="preserve"> that we explore ‘the ever-expanding and diversifying dimensions of the administrative state’</w:t>
      </w:r>
      <w:r w:rsidR="00AD056B">
        <w:t>.</w:t>
      </w:r>
      <w:r>
        <w:t xml:space="preserve"> </w:t>
      </w:r>
      <w:r w:rsidR="00AD056B">
        <w:t>In doing so, we hook into a</w:t>
      </w:r>
      <w:r>
        <w:t xml:space="preserve"> body of </w:t>
      </w:r>
      <w:r w:rsidR="00C509A6">
        <w:t xml:space="preserve">‘regulation for welfare’ </w:t>
      </w:r>
      <w:r>
        <w:t xml:space="preserve">scholarship now seeking to map </w:t>
      </w:r>
      <w:r w:rsidRPr="008C342C">
        <w:t xml:space="preserve">the wide range of mechanisms through which contemporary public policy is operationalised (e.g. </w:t>
      </w:r>
      <w:proofErr w:type="spellStart"/>
      <w:r w:rsidRPr="008C342C">
        <w:t>Liesering</w:t>
      </w:r>
      <w:proofErr w:type="spellEnd"/>
      <w:r w:rsidRPr="008C342C">
        <w:t xml:space="preserve"> and </w:t>
      </w:r>
      <w:proofErr w:type="spellStart"/>
      <w:r w:rsidRPr="008C342C">
        <w:t>Mabbett</w:t>
      </w:r>
      <w:proofErr w:type="spellEnd"/>
      <w:r w:rsidRPr="008C342C">
        <w:t xml:space="preserve"> 2011, Haber 2015, Haber 2017</w:t>
      </w:r>
      <w:r w:rsidR="001B52FA">
        <w:t>, Haber et al 2018</w:t>
      </w:r>
      <w:r>
        <w:t>).</w:t>
      </w:r>
      <w:r w:rsidR="00432BD4">
        <w:t xml:space="preserve"> In line with this scholarship, we present the framework surrounding the S106 powers, through which local authorities have the capacity to constrain private developers’ behaviour, as a manifestation of regulatory governance.</w:t>
      </w:r>
      <w:r>
        <w:t xml:space="preserve"> </w:t>
      </w:r>
    </w:p>
    <w:p w:rsidR="00FB31D4" w:rsidRDefault="00C509A6" w:rsidP="00590B30">
      <w:pPr>
        <w:spacing w:line="480" w:lineRule="auto"/>
        <w:ind w:firstLine="720"/>
      </w:pPr>
      <w:r>
        <w:t xml:space="preserve">Typically, both the regulatory governance and the regulation for welfare strands of literature present </w:t>
      </w:r>
      <w:r w:rsidR="00432BD4">
        <w:t xml:space="preserve">these </w:t>
      </w:r>
      <w:r>
        <w:t xml:space="preserve">governance networks as relatively ‘depoliticised’ </w:t>
      </w:r>
      <w:r w:rsidR="00EE23CD">
        <w:t xml:space="preserve">operational </w:t>
      </w:r>
      <w:r>
        <w:t xml:space="preserve">structures. </w:t>
      </w:r>
      <w:r w:rsidR="00A86417">
        <w:t>T</w:t>
      </w:r>
      <w:r w:rsidR="00EE23CD">
        <w:t xml:space="preserve">he creation of market-based governance networks and the ‘roll-back’ of direct levers of state provision </w:t>
      </w:r>
      <w:proofErr w:type="gramStart"/>
      <w:r w:rsidR="00EE23CD">
        <w:t>is viewed</w:t>
      </w:r>
      <w:proofErr w:type="gramEnd"/>
      <w:r w:rsidR="00EE23CD">
        <w:t xml:space="preserve"> as being part of a </w:t>
      </w:r>
      <w:r w:rsidR="00A86417">
        <w:t xml:space="preserve">distinctly </w:t>
      </w:r>
      <w:r w:rsidR="00EE23CD">
        <w:t>political project to restructure the nature of government</w:t>
      </w:r>
      <w:r w:rsidR="00D12FDD">
        <w:t xml:space="preserve"> (e.g. </w:t>
      </w:r>
      <w:r w:rsidR="00305709">
        <w:t xml:space="preserve">Peck and Tickell 2002, </w:t>
      </w:r>
      <w:r w:rsidR="00F71440">
        <w:t>Brenner et al 2003)</w:t>
      </w:r>
      <w:r w:rsidR="00A86417">
        <w:t>. However,</w:t>
      </w:r>
      <w:r w:rsidR="00EE23CD">
        <w:t xml:space="preserve"> the </w:t>
      </w:r>
      <w:r w:rsidR="00A86417">
        <w:t xml:space="preserve">everyday </w:t>
      </w:r>
      <w:r w:rsidR="00EE23CD">
        <w:t>operation</w:t>
      </w:r>
      <w:r w:rsidR="00A86417">
        <w:t xml:space="preserve"> of these networks</w:t>
      </w:r>
      <w:r w:rsidR="00EE23CD">
        <w:t xml:space="preserve"> </w:t>
      </w:r>
      <w:proofErr w:type="gramStart"/>
      <w:r w:rsidR="00EE23CD">
        <w:t xml:space="preserve">is </w:t>
      </w:r>
      <w:r w:rsidR="00287185">
        <w:t>commonly</w:t>
      </w:r>
      <w:r w:rsidR="00EE23CD">
        <w:t xml:space="preserve"> held</w:t>
      </w:r>
      <w:proofErr w:type="gramEnd"/>
      <w:r w:rsidR="00EE23CD">
        <w:t xml:space="preserve"> to be </w:t>
      </w:r>
      <w:r w:rsidR="00A86417">
        <w:t>take place beyond</w:t>
      </w:r>
      <w:r w:rsidR="00EE23CD">
        <w:t xml:space="preserve"> direct influence from political actors. </w:t>
      </w:r>
      <w:r w:rsidR="0086657C">
        <w:t xml:space="preserve">Following Flinders and Buller (2006: 54), we </w:t>
      </w:r>
      <w:r w:rsidR="00A86417">
        <w:t>take</w:t>
      </w:r>
      <w:r w:rsidR="0086657C">
        <w:t xml:space="preserve"> </w:t>
      </w:r>
      <w:r w:rsidR="00A86417">
        <w:t>‘</w:t>
      </w:r>
      <w:proofErr w:type="spellStart"/>
      <w:r w:rsidR="0086657C">
        <w:t>depoliticisation</w:t>
      </w:r>
      <w:proofErr w:type="spellEnd"/>
      <w:r w:rsidR="00A86417">
        <w:t>’ to refer to this</w:t>
      </w:r>
      <w:r w:rsidR="0086657C">
        <w:t xml:space="preserve"> insulation of a </w:t>
      </w:r>
      <w:r w:rsidR="00A86417">
        <w:t>governance process</w:t>
      </w:r>
      <w:r w:rsidR="0086657C">
        <w:t xml:space="preserve"> from political influence. </w:t>
      </w:r>
      <w:r w:rsidR="00287185">
        <w:t xml:space="preserve">Flinders (2004) argues that the </w:t>
      </w:r>
      <w:r w:rsidR="006B2C57">
        <w:t>accelerated</w:t>
      </w:r>
      <w:r w:rsidR="00287185">
        <w:t xml:space="preserve"> shift from government to governance in the UK from the late 1</w:t>
      </w:r>
      <w:r w:rsidR="00D617E7">
        <w:t xml:space="preserve">990s was an intentional act of </w:t>
      </w:r>
      <w:proofErr w:type="spellStart"/>
      <w:r w:rsidR="00D617E7">
        <w:t>depoliticisation</w:t>
      </w:r>
      <w:proofErr w:type="spellEnd"/>
      <w:r w:rsidR="00287185">
        <w:t xml:space="preserve"> on the part of the New Labour </w:t>
      </w:r>
      <w:r w:rsidR="00287185">
        <w:lastRenderedPageBreak/>
        <w:t xml:space="preserve">government. Papadopoulos (2017) and </w:t>
      </w:r>
      <w:proofErr w:type="spellStart"/>
      <w:r w:rsidR="00287185">
        <w:t>Snaith</w:t>
      </w:r>
      <w:proofErr w:type="spellEnd"/>
      <w:r w:rsidR="00287185">
        <w:t xml:space="preserve"> (2017) </w:t>
      </w:r>
      <w:r w:rsidR="00D617E7">
        <w:t>explore the role of European Union networks as multi-level mechanisms of</w:t>
      </w:r>
      <w:r w:rsidR="00287185">
        <w:t xml:space="preserve"> </w:t>
      </w:r>
      <w:proofErr w:type="spellStart"/>
      <w:r w:rsidR="00287185">
        <w:t>depoliticisation</w:t>
      </w:r>
      <w:proofErr w:type="spellEnd"/>
      <w:r w:rsidR="00287185">
        <w:t xml:space="preserve">. </w:t>
      </w:r>
      <w:proofErr w:type="spellStart"/>
      <w:r w:rsidR="000D56F9">
        <w:t>Benish</w:t>
      </w:r>
      <w:proofErr w:type="spellEnd"/>
      <w:r w:rsidR="000D56F9">
        <w:t xml:space="preserve"> et al (2017: 316)</w:t>
      </w:r>
      <w:r w:rsidR="00287185">
        <w:t xml:space="preserve"> </w:t>
      </w:r>
      <w:r w:rsidR="000D56F9">
        <w:t>sum-up existing literature on the regulatory state as presenting visions of ‘a neoliberal state of limited government by third-party proxies’.</w:t>
      </w:r>
      <w:r w:rsidR="00D617E7">
        <w:t xml:space="preserve"> </w:t>
      </w:r>
      <w:r w:rsidR="00EE23CD">
        <w:t xml:space="preserve"> </w:t>
      </w:r>
    </w:p>
    <w:p w:rsidR="001666AA" w:rsidRDefault="0031489F" w:rsidP="0031489F">
      <w:pPr>
        <w:spacing w:line="480" w:lineRule="auto"/>
        <w:ind w:firstLine="720"/>
      </w:pPr>
      <w:r>
        <w:t>Turning to literature on sub-national processes, we continue to receive a similar picture of regulatory governance serving to insulate against political influence.</w:t>
      </w:r>
      <w:r>
        <w:rPr>
          <w:rStyle w:val="FootnoteReference"/>
        </w:rPr>
        <w:footnoteReference w:id="6"/>
      </w:r>
      <w:r>
        <w:t xml:space="preserve"> Predominantly, scholarship on sub-national governance tends to focus on the city as a favoured unit of analysis. (</w:t>
      </w:r>
      <w:proofErr w:type="gramStart"/>
      <w:r>
        <w:t>e.g</w:t>
      </w:r>
      <w:proofErr w:type="gramEnd"/>
      <w:r>
        <w:t xml:space="preserve">. Reed and </w:t>
      </w:r>
      <w:proofErr w:type="spellStart"/>
      <w:r>
        <w:t>Bruyneel</w:t>
      </w:r>
      <w:proofErr w:type="spellEnd"/>
      <w:r>
        <w:t xml:space="preserve"> 2010, Donald et al 2014, </w:t>
      </w:r>
      <w:r>
        <w:rPr>
          <w:color w:val="222222"/>
        </w:rPr>
        <w:t xml:space="preserve">Paul 2005, Jonas and </w:t>
      </w:r>
      <w:proofErr w:type="spellStart"/>
      <w:r>
        <w:rPr>
          <w:color w:val="222222"/>
        </w:rPr>
        <w:t>Pincetl</w:t>
      </w:r>
      <w:proofErr w:type="spellEnd"/>
      <w:r>
        <w:rPr>
          <w:color w:val="222222"/>
        </w:rPr>
        <w:t xml:space="preserve"> 2006).</w:t>
      </w:r>
      <w:r>
        <w:t xml:space="preserve"> Within this sub-set of urban-level studies, contributions have identified decentralised processes as offering significant scope for </w:t>
      </w:r>
      <w:proofErr w:type="spellStart"/>
      <w:r>
        <w:t>depoliticisation</w:t>
      </w:r>
      <w:proofErr w:type="spellEnd"/>
      <w:r>
        <w:t xml:space="preserve"> (e.g. </w:t>
      </w:r>
      <w:proofErr w:type="spellStart"/>
      <w:r>
        <w:t>Miraftab</w:t>
      </w:r>
      <w:proofErr w:type="spellEnd"/>
      <w:r>
        <w:t xml:space="preserve"> 2004, Beveridge 2012)</w:t>
      </w:r>
      <w:r w:rsidR="003F7522">
        <w:t>.</w:t>
      </w:r>
      <w:r w:rsidR="003F7522" w:rsidRPr="003F7522">
        <w:t xml:space="preserve"> </w:t>
      </w:r>
      <w:r w:rsidR="003F7522">
        <w:t xml:space="preserve">There is some literature on local government in England that </w:t>
      </w:r>
      <w:proofErr w:type="gramStart"/>
      <w:r w:rsidR="003F7522">
        <w:t>is framed</w:t>
      </w:r>
      <w:proofErr w:type="gramEnd"/>
      <w:r w:rsidR="003F7522">
        <w:t xml:space="preserve"> in relation to debates over regulatory governance; contributions, in general terms, serve to confirm the existence of a regulatory governance-type transformation in local policy processes (e.g. Cochrane 1991, Goodwin and Painter 1996, </w:t>
      </w:r>
      <w:proofErr w:type="spellStart"/>
      <w:r w:rsidR="003F7522">
        <w:t>Imrie</w:t>
      </w:r>
      <w:proofErr w:type="spellEnd"/>
      <w:r w:rsidR="003F7522">
        <w:t xml:space="preserve"> and </w:t>
      </w:r>
      <w:proofErr w:type="spellStart"/>
      <w:r w:rsidR="003F7522">
        <w:t>Raco</w:t>
      </w:r>
      <w:proofErr w:type="spellEnd"/>
      <w:r w:rsidR="003F7522">
        <w:t xml:space="preserve"> 1999, John 2014, Gardner 2017). </w:t>
      </w:r>
    </w:p>
    <w:p w:rsidR="00122C5B" w:rsidRDefault="003F7522" w:rsidP="0031489F">
      <w:pPr>
        <w:spacing w:line="480" w:lineRule="auto"/>
        <w:ind w:firstLine="720"/>
      </w:pPr>
      <w:r>
        <w:t xml:space="preserve">Amongst the limited literature on the local governance of housing and planning in England, we see little detail on the extent </w:t>
      </w:r>
      <w:r w:rsidR="001666AA">
        <w:t xml:space="preserve">and nature </w:t>
      </w:r>
      <w:r>
        <w:t xml:space="preserve">of political influence over outcomes. Prominent contributions from </w:t>
      </w:r>
      <w:proofErr w:type="spellStart"/>
      <w:r>
        <w:t>Toke</w:t>
      </w:r>
      <w:proofErr w:type="spellEnd"/>
      <w:r>
        <w:t xml:space="preserve"> (2003, 2005) have </w:t>
      </w:r>
      <w:r w:rsidR="007A7CA1">
        <w:t>demonstrat</w:t>
      </w:r>
      <w:r>
        <w:t>ed the capacity of stakeholders including parish councils and local residents to shape outcomes over wind farm applications, but do not include a focus on</w:t>
      </w:r>
      <w:r w:rsidR="0077720F">
        <w:t xml:space="preserve"> more explicitly</w:t>
      </w:r>
      <w:r>
        <w:t xml:space="preserve"> political factors. </w:t>
      </w:r>
      <w:r w:rsidR="006B6BE7">
        <w:t>Concentrat</w:t>
      </w:r>
      <w:r>
        <w:t>ing specifically on</w:t>
      </w:r>
      <w:r w:rsidR="006B6BE7">
        <w:t xml:space="preserve"> the local governance of</w:t>
      </w:r>
      <w:r>
        <w:t xml:space="preserve"> housing, Ball et al (2008: 5) note that our understanding of the drivers of observed outcomes remains under-developed. </w:t>
      </w:r>
      <w:r w:rsidR="00122C5B">
        <w:t xml:space="preserve">In charting the transformation of affordable housing from a partisan to a </w:t>
      </w:r>
      <w:r w:rsidR="00537958">
        <w:t>valence</w:t>
      </w:r>
      <w:r w:rsidR="00122C5B">
        <w:t xml:space="preserve"> issue, we both extend understanding offered of the governance of housing and planning in </w:t>
      </w:r>
      <w:r w:rsidR="00122C5B">
        <w:lastRenderedPageBreak/>
        <w:t xml:space="preserve">England, and offer a broader </w:t>
      </w:r>
      <w:r w:rsidR="00A86417">
        <w:t>counter-point</w:t>
      </w:r>
      <w:r w:rsidR="00122C5B">
        <w:t xml:space="preserve"> to the prevailing vision of regulatory governance as depoliticised.</w:t>
      </w:r>
    </w:p>
    <w:p w:rsidR="0031489F" w:rsidRDefault="00537958" w:rsidP="008F6107">
      <w:pPr>
        <w:spacing w:line="480" w:lineRule="auto"/>
        <w:ind w:firstLine="720"/>
      </w:pPr>
      <w:r>
        <w:t>Explorations of partisanship, valence, and issue transformation have</w:t>
      </w:r>
      <w:r w:rsidR="00122C5B">
        <w:t xml:space="preserve"> </w:t>
      </w:r>
      <w:r>
        <w:t xml:space="preserve">recently taken place within literature on political parties and environmental politics. This scholarship features substantial dispute over whether the environment has shifted from a partisan issue characterised by party difference, to a valence issue characterised by similarity of inter-party approach to and engagement with green agendas (cf. </w:t>
      </w:r>
      <w:proofErr w:type="spellStart"/>
      <w:r>
        <w:t>Pardos</w:t>
      </w:r>
      <w:proofErr w:type="spellEnd"/>
      <w:r>
        <w:t>-Prado 2012, Carter 2013, Carter and Clemen</w:t>
      </w:r>
      <w:r w:rsidR="00AC3CD0">
        <w:t>t</w:t>
      </w:r>
      <w:r>
        <w:t xml:space="preserve">s 2015, </w:t>
      </w:r>
      <w:proofErr w:type="spellStart"/>
      <w:r>
        <w:t>Farstad</w:t>
      </w:r>
      <w:proofErr w:type="spellEnd"/>
      <w:r>
        <w:t xml:space="preserve"> 2018).</w:t>
      </w:r>
      <w:r w:rsidR="008F6107">
        <w:t xml:space="preserve"> Here, we transpose this focus on partisanship and valence to the study of affordable housing, and suggest that salience plays an underlying role in issue transformation from a partisan to a valence issue. </w:t>
      </w:r>
      <w:r w:rsidR="00A86417">
        <w:t>In the concluding section of the paper, we</w:t>
      </w:r>
      <w:r w:rsidR="00132AC7">
        <w:t xml:space="preserve"> return to</w:t>
      </w:r>
      <w:r w:rsidR="00A86417">
        <w:t xml:space="preserve"> and expand upon</w:t>
      </w:r>
      <w:r w:rsidR="008F6107">
        <w:t xml:space="preserve"> these</w:t>
      </w:r>
      <w:r w:rsidR="00132AC7">
        <w:t xml:space="preserve"> overarching contribution</w:t>
      </w:r>
      <w:r w:rsidR="008F6107">
        <w:t>s</w:t>
      </w:r>
      <w:r w:rsidR="00132AC7">
        <w:t xml:space="preserve"> to the literature on regulatory governance.</w:t>
      </w:r>
      <w:r w:rsidR="00C36152">
        <w:t xml:space="preserve"> </w:t>
      </w:r>
      <w:r w:rsidR="00122C5B">
        <w:t xml:space="preserve"> </w:t>
      </w:r>
    </w:p>
    <w:p w:rsidR="00BE2DF3" w:rsidRDefault="002F5457" w:rsidP="006402C8">
      <w:pPr>
        <w:spacing w:line="480" w:lineRule="auto"/>
        <w:ind w:firstLine="720"/>
      </w:pPr>
      <w:r>
        <w:t>Within the literature on regulatory governance</w:t>
      </w:r>
      <w:r w:rsidR="000A196A">
        <w:t xml:space="preserve"> and the regulatory state</w:t>
      </w:r>
      <w:r w:rsidR="00A86417">
        <w:t>,</w:t>
      </w:r>
      <w:r>
        <w:t xml:space="preserve"> we find limited exploration of the drivers of discretionary intervention. As such, to identify potential drivers of local authority use of S106 powers</w:t>
      </w:r>
      <w:r w:rsidR="00B25AA2">
        <w:t xml:space="preserve"> around which to orient our empirical analysis</w:t>
      </w:r>
      <w:r>
        <w:t xml:space="preserve">, </w:t>
      </w:r>
      <w:r w:rsidR="00A00191">
        <w:t xml:space="preserve">in the following section </w:t>
      </w:r>
      <w:r>
        <w:t xml:space="preserve">we </w:t>
      </w:r>
      <w:r w:rsidR="007F71EB">
        <w:t>incorporate</w:t>
      </w:r>
      <w:r>
        <w:t xml:space="preserve"> a broader</w:t>
      </w:r>
      <w:r w:rsidR="00A12AEA">
        <w:t xml:space="preserve"> body of</w:t>
      </w:r>
      <w:r>
        <w:t xml:space="preserve"> Political Scienc</w:t>
      </w:r>
      <w:r w:rsidR="00A12AEA">
        <w:t xml:space="preserve">e and Political Economy </w:t>
      </w:r>
      <w:r>
        <w:t>scholarship.</w:t>
      </w:r>
    </w:p>
    <w:p w:rsidR="002F5457" w:rsidRDefault="002F5457" w:rsidP="002F5457">
      <w:pPr>
        <w:spacing w:line="480" w:lineRule="auto"/>
      </w:pPr>
    </w:p>
    <w:p w:rsidR="002F5457" w:rsidRPr="008C342C" w:rsidRDefault="007D7D15" w:rsidP="002F5457">
      <w:pPr>
        <w:spacing w:line="480" w:lineRule="auto"/>
        <w:rPr>
          <w:u w:val="single"/>
        </w:rPr>
      </w:pPr>
      <w:r>
        <w:rPr>
          <w:u w:val="single"/>
        </w:rPr>
        <w:t>Discretionary intervention and</w:t>
      </w:r>
      <w:r w:rsidR="002F5457" w:rsidRPr="008C342C">
        <w:rPr>
          <w:u w:val="single"/>
        </w:rPr>
        <w:t xml:space="preserve"> the </w:t>
      </w:r>
      <w:r>
        <w:rPr>
          <w:u w:val="single"/>
        </w:rPr>
        <w:t xml:space="preserve">local </w:t>
      </w:r>
      <w:r w:rsidR="002F5457" w:rsidRPr="008C342C">
        <w:rPr>
          <w:u w:val="single"/>
        </w:rPr>
        <w:t>regulatory state: Expected drivers of variation</w:t>
      </w:r>
    </w:p>
    <w:p w:rsidR="00844F9E" w:rsidRDefault="002F5457" w:rsidP="00844F9E">
      <w:pPr>
        <w:spacing w:line="480" w:lineRule="auto"/>
      </w:pPr>
      <w:r>
        <w:t xml:space="preserve">From our review of relevant Political Science and Political Economy literatures, we identify </w:t>
      </w:r>
      <w:r w:rsidR="00614068">
        <w:t xml:space="preserve">four </w:t>
      </w:r>
      <w:r w:rsidR="00844F9E">
        <w:t>potential</w:t>
      </w:r>
      <w:r>
        <w:t xml:space="preserve"> drivers of variation in propensity to deploy discretionary power to intervene in market structures. </w:t>
      </w:r>
      <w:r w:rsidR="00844F9E">
        <w:t xml:space="preserve">Overall, </w:t>
      </w:r>
      <w:r w:rsidR="007A7CA1">
        <w:t xml:space="preserve">from this literature </w:t>
      </w:r>
      <w:r w:rsidR="00844F9E">
        <w:t xml:space="preserve">we derive an expectation that local authorities’ deployment of S106 powers over private developers will be positively related to left-wing political orientation, </w:t>
      </w:r>
      <w:r w:rsidR="007A7CA1">
        <w:t xml:space="preserve">to </w:t>
      </w:r>
      <w:r w:rsidR="00261570">
        <w:lastRenderedPageBreak/>
        <w:t xml:space="preserve">market buoyancy, to </w:t>
      </w:r>
      <w:r w:rsidR="00844F9E">
        <w:t xml:space="preserve">the existence of </w:t>
      </w:r>
      <w:r w:rsidR="003C454F">
        <w:t xml:space="preserve">evidence of sub-optimal </w:t>
      </w:r>
      <w:r w:rsidR="00844F9E">
        <w:t xml:space="preserve">market </w:t>
      </w:r>
      <w:r w:rsidR="003C454F">
        <w:t>outcomes</w:t>
      </w:r>
      <w:r w:rsidR="00614068">
        <w:t>,</w:t>
      </w:r>
      <w:r w:rsidR="003C454F">
        <w:rPr>
          <w:rStyle w:val="FootnoteReference"/>
        </w:rPr>
        <w:footnoteReference w:id="7"/>
      </w:r>
      <w:r w:rsidR="00C145EA">
        <w:t xml:space="preserve"> and to</w:t>
      </w:r>
      <w:r w:rsidR="00A00191">
        <w:t xml:space="preserve"> the salience of affordable housing as a policy issue</w:t>
      </w:r>
      <w:r w:rsidR="00C145EA">
        <w:t>.</w:t>
      </w:r>
      <w:r w:rsidR="00844F9E">
        <w:t xml:space="preserve"> We </w:t>
      </w:r>
      <w:r w:rsidR="001B3B72">
        <w:t>outline</w:t>
      </w:r>
      <w:r w:rsidR="00844F9E">
        <w:t xml:space="preserve"> these expectations below.</w:t>
      </w:r>
    </w:p>
    <w:p w:rsidR="00844F9E" w:rsidRDefault="00844F9E" w:rsidP="00844F9E">
      <w:pPr>
        <w:spacing w:line="480" w:lineRule="auto"/>
        <w:ind w:firstLine="720"/>
      </w:pPr>
      <w:r>
        <w:t xml:space="preserve">A focus on the influence of political orientation on institutional performance </w:t>
      </w:r>
      <w:proofErr w:type="gramStart"/>
      <w:r>
        <w:t>can be traced</w:t>
      </w:r>
      <w:proofErr w:type="gramEnd"/>
      <w:r>
        <w:t xml:space="preserve"> to </w:t>
      </w:r>
      <w:r w:rsidRPr="008C342C">
        <w:t>Downs</w:t>
      </w:r>
      <w:r>
        <w:t>’</w:t>
      </w:r>
      <w:r w:rsidRPr="008C342C">
        <w:t xml:space="preserve"> (1957) </w:t>
      </w:r>
      <w:r>
        <w:t>seminal study</w:t>
      </w:r>
      <w:r w:rsidRPr="008C342C">
        <w:t xml:space="preserve">. </w:t>
      </w:r>
      <w:r>
        <w:t>Understanding of t</w:t>
      </w:r>
      <w:r w:rsidRPr="008C342C">
        <w:t>h</w:t>
      </w:r>
      <w:r>
        <w:t>e interaction between institutional structures, party politics and policy outcomes</w:t>
      </w:r>
      <w:r w:rsidRPr="008C342C">
        <w:t xml:space="preserve"> </w:t>
      </w:r>
      <w:proofErr w:type="gramStart"/>
      <w:r w:rsidRPr="008C342C">
        <w:t>has been developed</w:t>
      </w:r>
      <w:proofErr w:type="gramEnd"/>
      <w:r w:rsidRPr="008C342C">
        <w:t xml:space="preserve"> through a large body of scholarship on partisan effects in Political Science and International Studies</w:t>
      </w:r>
      <w:r w:rsidR="00163CFC">
        <w:t>.</w:t>
      </w:r>
      <w:r w:rsidR="00163CFC">
        <w:rPr>
          <w:rStyle w:val="FootnoteReference"/>
        </w:rPr>
        <w:footnoteReference w:id="8"/>
      </w:r>
      <w:r w:rsidRPr="008C342C">
        <w:t xml:space="preserve"> </w:t>
      </w:r>
      <w:r>
        <w:t xml:space="preserve">Given that a willingness to intervene in markets to shape distributional outcomes is generally a characteristic of left-wing political ideology </w:t>
      </w:r>
      <w:r w:rsidRPr="008C342C">
        <w:t xml:space="preserve">(Laver and Garry 2000, </w:t>
      </w:r>
      <w:proofErr w:type="spellStart"/>
      <w:r w:rsidRPr="008C342C">
        <w:t>Dinas</w:t>
      </w:r>
      <w:proofErr w:type="spellEnd"/>
      <w:r w:rsidRPr="008C342C">
        <w:t xml:space="preserve"> and </w:t>
      </w:r>
      <w:proofErr w:type="spellStart"/>
      <w:r w:rsidRPr="008C342C">
        <w:t>Gemenis</w:t>
      </w:r>
      <w:proofErr w:type="spellEnd"/>
      <w:r w:rsidRPr="008C342C">
        <w:t xml:space="preserve"> 2010), it </w:t>
      </w:r>
      <w:proofErr w:type="gramStart"/>
      <w:r w:rsidRPr="008C342C">
        <w:t>may be expected</w:t>
      </w:r>
      <w:proofErr w:type="gramEnd"/>
      <w:r w:rsidRPr="008C342C">
        <w:t xml:space="preserve"> that </w:t>
      </w:r>
      <w:r>
        <w:t>left</w:t>
      </w:r>
      <w:r w:rsidRPr="008C342C">
        <w:t xml:space="preserve">-oriented authorities would be </w:t>
      </w:r>
      <w:r>
        <w:t>more</w:t>
      </w:r>
      <w:r w:rsidRPr="008C342C">
        <w:t xml:space="preserve"> likely to deploy interventionist capacity. Analyses of the ‘golden age’ of the welfare state in industrialised democracies provide support for this </w:t>
      </w:r>
      <w:r>
        <w:t>argument</w:t>
      </w:r>
      <w:r w:rsidRPr="008C342C">
        <w:t xml:space="preserve">, with longer periods of </w:t>
      </w:r>
      <w:r>
        <w:t>left</w:t>
      </w:r>
      <w:r w:rsidRPr="008C342C">
        <w:t xml:space="preserve">-wing government being associated with the creation of </w:t>
      </w:r>
      <w:r>
        <w:t>more</w:t>
      </w:r>
      <w:r w:rsidRPr="008C342C">
        <w:t xml:space="preserve"> extensive welfare states in the post-1945 period (</w:t>
      </w:r>
      <w:proofErr w:type="spellStart"/>
      <w:r w:rsidRPr="008C342C">
        <w:t>Esping</w:t>
      </w:r>
      <w:proofErr w:type="spellEnd"/>
      <w:r w:rsidRPr="008C342C">
        <w:t xml:space="preserve">-Andersen 1985, van </w:t>
      </w:r>
      <w:proofErr w:type="spellStart"/>
      <w:r w:rsidRPr="008C342C">
        <w:t>Kersbergen</w:t>
      </w:r>
      <w:proofErr w:type="spellEnd"/>
      <w:r w:rsidRPr="008C342C">
        <w:t xml:space="preserve"> 1995, Garrett 1998).</w:t>
      </w:r>
      <w:r w:rsidR="00163CFC">
        <w:rPr>
          <w:rStyle w:val="FootnoteReference"/>
        </w:rPr>
        <w:footnoteReference w:id="9"/>
      </w:r>
      <w:r w:rsidRPr="008C342C">
        <w:t xml:space="preserve"> Elsewhere, evidence that </w:t>
      </w:r>
      <w:r>
        <w:t>left</w:t>
      </w:r>
      <w:r w:rsidRPr="008C342C">
        <w:t xml:space="preserve">-wing parties systematically favour </w:t>
      </w:r>
      <w:r>
        <w:t>constraints on</w:t>
      </w:r>
      <w:r w:rsidRPr="008C342C">
        <w:t xml:space="preserve"> markets is</w:t>
      </w:r>
      <w:r>
        <w:t xml:space="preserve"> a little</w:t>
      </w:r>
      <w:r w:rsidRPr="008C342C">
        <w:t xml:space="preserve"> more mixed. </w:t>
      </w:r>
      <w:proofErr w:type="spellStart"/>
      <w:r w:rsidRPr="008C342C">
        <w:t>Zohlnhofer</w:t>
      </w:r>
      <w:proofErr w:type="spellEnd"/>
      <w:r w:rsidRPr="008C342C">
        <w:t xml:space="preserve"> and </w:t>
      </w:r>
      <w:proofErr w:type="spellStart"/>
      <w:r w:rsidRPr="008C342C">
        <w:t>Obinger’s</w:t>
      </w:r>
      <w:proofErr w:type="spellEnd"/>
      <w:r w:rsidRPr="008C342C">
        <w:t xml:space="preserve"> (2003) finding of no partisan effect on the scale of privatisation proceeds across Organisation for Economic Cooperation and Development member states is contrasted by subsequent analysis from </w:t>
      </w:r>
      <w:proofErr w:type="spellStart"/>
      <w:r w:rsidRPr="008C342C">
        <w:t>Obinger</w:t>
      </w:r>
      <w:proofErr w:type="spellEnd"/>
      <w:r w:rsidRPr="008C342C">
        <w:t xml:space="preserve"> et al. (2014), which found </w:t>
      </w:r>
      <w:r>
        <w:t xml:space="preserve">left-wing </w:t>
      </w:r>
      <w:r w:rsidRPr="008C342C">
        <w:t>governments</w:t>
      </w:r>
      <w:r>
        <w:t xml:space="preserve"> to be less likely to engage in wholesale</w:t>
      </w:r>
      <w:r w:rsidRPr="008C342C">
        <w:t xml:space="preserve"> privatisation. </w:t>
      </w:r>
      <w:r>
        <w:t xml:space="preserve">Focusing on local-level partisan effects, </w:t>
      </w:r>
      <w:proofErr w:type="spellStart"/>
      <w:r w:rsidRPr="008C342C">
        <w:t>Allers</w:t>
      </w:r>
      <w:proofErr w:type="spellEnd"/>
      <w:r w:rsidRPr="008C342C">
        <w:t xml:space="preserve"> et al.’s (2001) study of </w:t>
      </w:r>
      <w:r>
        <w:t>municipal taxation</w:t>
      </w:r>
      <w:r w:rsidRPr="008C342C">
        <w:t xml:space="preserve"> in the Netherlands revealed </w:t>
      </w:r>
      <w:r>
        <w:t>left-wing orientation to be associated with higher</w:t>
      </w:r>
      <w:r w:rsidRPr="008C342C">
        <w:t xml:space="preserve"> tax </w:t>
      </w:r>
      <w:r>
        <w:t>rates</w:t>
      </w:r>
      <w:r w:rsidRPr="008C342C">
        <w:t xml:space="preserve">. </w:t>
      </w:r>
      <w:r>
        <w:t>O</w:t>
      </w:r>
      <w:r w:rsidR="00A00191">
        <w:t>n balance</w:t>
      </w:r>
      <w:r>
        <w:t xml:space="preserve">, </w:t>
      </w:r>
      <w:r w:rsidR="00A00191">
        <w:t>this overall</w:t>
      </w:r>
      <w:r w:rsidRPr="008C342C">
        <w:t xml:space="preserve"> literature leads us to expect </w:t>
      </w:r>
      <w:r>
        <w:t>left</w:t>
      </w:r>
      <w:r w:rsidRPr="008C342C">
        <w:t xml:space="preserve">-wing political orientation to be associated with a </w:t>
      </w:r>
      <w:r>
        <w:t>higher</w:t>
      </w:r>
      <w:r w:rsidRPr="008C342C">
        <w:t xml:space="preserve"> </w:t>
      </w:r>
      <w:r>
        <w:t>propensity to interven</w:t>
      </w:r>
      <w:r w:rsidR="007A7CA1">
        <w:t>e to (re-)shape market outcomes</w:t>
      </w:r>
      <w:r>
        <w:t>. Th</w:t>
      </w:r>
      <w:r w:rsidR="007A7CA1">
        <w:t>is consideration</w:t>
      </w:r>
      <w:r>
        <w:t xml:space="preserve"> generate</w:t>
      </w:r>
      <w:r w:rsidR="007A7CA1">
        <w:t>s</w:t>
      </w:r>
      <w:r>
        <w:t xml:space="preserve"> the following hypothesis: </w:t>
      </w:r>
    </w:p>
    <w:p w:rsidR="00844F9E" w:rsidRDefault="00844F9E" w:rsidP="00515515">
      <w:pPr>
        <w:spacing w:line="480" w:lineRule="auto"/>
        <w:ind w:left="720"/>
      </w:pPr>
      <w:r>
        <w:lastRenderedPageBreak/>
        <w:t>H</w:t>
      </w:r>
      <w:r w:rsidRPr="000F0C72">
        <w:rPr>
          <w:vertAlign w:val="subscript"/>
        </w:rPr>
        <w:t>1</w:t>
      </w:r>
      <w:r>
        <w:t xml:space="preserve">: Local </w:t>
      </w:r>
      <w:r w:rsidR="00D40D75">
        <w:t>a</w:t>
      </w:r>
      <w:r>
        <w:t xml:space="preserve">uthority political orientation is associated with the propensity to deploy S106 power, with </w:t>
      </w:r>
      <w:r w:rsidR="00D40D75">
        <w:t xml:space="preserve">higher </w:t>
      </w:r>
      <w:r>
        <w:t xml:space="preserve">left-wing </w:t>
      </w:r>
      <w:r w:rsidR="00D40D75">
        <w:t>representation increasing the use of S106</w:t>
      </w:r>
      <w:r>
        <w:t>.</w:t>
      </w:r>
    </w:p>
    <w:p w:rsidR="005C097A" w:rsidRPr="008C342C" w:rsidRDefault="005C097A" w:rsidP="00BE7E04">
      <w:pPr>
        <w:spacing w:line="480" w:lineRule="auto"/>
      </w:pPr>
      <w:r>
        <w:t xml:space="preserve">The underlying intuition here is that a higher level of left-wing representation may provide a higher capacity for left-oriented representatives </w:t>
      </w:r>
      <w:proofErr w:type="gramStart"/>
      <w:r>
        <w:t>to directly shape</w:t>
      </w:r>
      <w:proofErr w:type="gramEnd"/>
      <w:r>
        <w:t xml:space="preserve"> S106 content.</w:t>
      </w:r>
      <w:r w:rsidR="00DF6B1C">
        <w:t xml:space="preserve"> This </w:t>
      </w:r>
      <w:proofErr w:type="gramStart"/>
      <w:r w:rsidR="00DF6B1C">
        <w:t>may be done</w:t>
      </w:r>
      <w:proofErr w:type="gramEnd"/>
      <w:r w:rsidR="00DF6B1C">
        <w:t xml:space="preserve"> formally, through councillors’ inputs into the local authority Planning Committees that ultimately sign-off on planning applications,</w:t>
      </w:r>
      <w:r w:rsidR="00DF6B1C">
        <w:rPr>
          <w:rStyle w:val="FootnoteReference"/>
        </w:rPr>
        <w:footnoteReference w:id="10"/>
      </w:r>
      <w:r w:rsidR="00DF6B1C">
        <w:t xml:space="preserve"> or through more informal influence over the council’s planning officers.</w:t>
      </w:r>
      <w:r>
        <w:t xml:space="preserve"> </w:t>
      </w:r>
      <w:r w:rsidR="00DF6B1C">
        <w:t>Pl</w:t>
      </w:r>
      <w:r>
        <w:t>anning officers</w:t>
      </w:r>
      <w:r w:rsidR="00DF6B1C">
        <w:t xml:space="preserve"> themselves</w:t>
      </w:r>
      <w:r>
        <w:t xml:space="preserve"> may </w:t>
      </w:r>
      <w:r w:rsidR="00A00191">
        <w:t xml:space="preserve">also </w:t>
      </w:r>
      <w:r>
        <w:t>respond to the perceived preferences of their Planning Committee,</w:t>
      </w:r>
      <w:r w:rsidR="00DF6B1C">
        <w:t xml:space="preserve"> thereby</w:t>
      </w:r>
      <w:r>
        <w:t xml:space="preserve"> </w:t>
      </w:r>
      <w:r w:rsidR="002E30CF">
        <w:t>‘self-policing’ towards</w:t>
      </w:r>
      <w:r>
        <w:t xml:space="preserve"> more heavily interventionist outcomes for more heavily left-wing committees.</w:t>
      </w:r>
    </w:p>
    <w:p w:rsidR="00844F9E" w:rsidRDefault="00844F9E" w:rsidP="00844F9E">
      <w:pPr>
        <w:spacing w:line="480" w:lineRule="auto"/>
        <w:ind w:firstLine="720"/>
      </w:pPr>
      <w:r w:rsidRPr="008C342C">
        <w:t xml:space="preserve">The </w:t>
      </w:r>
      <w:r w:rsidR="00515515">
        <w:t>second</w:t>
      </w:r>
      <w:r w:rsidRPr="008C342C">
        <w:t xml:space="preserve"> characteristic we examine relates to market </w:t>
      </w:r>
      <w:r>
        <w:t>buoyancy</w:t>
      </w:r>
      <w:r w:rsidRPr="008C342C">
        <w:t xml:space="preserve"> </w:t>
      </w:r>
      <w:r>
        <w:rPr>
          <w:rStyle w:val="CommentReference"/>
          <w:vanish/>
        </w:rPr>
        <w:pgNum/>
      </w:r>
      <w:r w:rsidRPr="008C342C">
        <w:t xml:space="preserve">and the </w:t>
      </w:r>
      <w:r w:rsidR="00497DF4" w:rsidRPr="00497DF4">
        <w:rPr>
          <w:i/>
        </w:rPr>
        <w:t>rentier</w:t>
      </w:r>
      <w:r w:rsidRPr="008C342C">
        <w:t xml:space="preserve"> state. </w:t>
      </w:r>
      <w:r>
        <w:rPr>
          <w:rStyle w:val="CommentReference"/>
          <w:vanish/>
        </w:rPr>
        <w:pgNum/>
      </w:r>
      <w:r w:rsidRPr="008C342C">
        <w:t xml:space="preserve">The concept of the </w:t>
      </w:r>
      <w:r w:rsidR="00497DF4" w:rsidRPr="00497DF4">
        <w:rPr>
          <w:i/>
        </w:rPr>
        <w:t>rentier</w:t>
      </w:r>
      <w:r w:rsidRPr="008C342C">
        <w:t xml:space="preserve"> state </w:t>
      </w:r>
      <w:proofErr w:type="gramStart"/>
      <w:r w:rsidRPr="008C342C">
        <w:t>has traditionally been applied</w:t>
      </w:r>
      <w:proofErr w:type="gramEnd"/>
      <w:r w:rsidRPr="008C342C">
        <w:t xml:space="preserve"> to contexts in which government revenues are dominated by natural resource-related flows</w:t>
      </w:r>
      <w:r>
        <w:t>. In studies of such cases,</w:t>
      </w:r>
      <w:r w:rsidRPr="008C342C">
        <w:t xml:space="preserve"> attention </w:t>
      </w:r>
      <w:proofErr w:type="gramStart"/>
      <w:r w:rsidRPr="008C342C">
        <w:t>is typically placed</w:t>
      </w:r>
      <w:proofErr w:type="gramEnd"/>
      <w:r w:rsidRPr="008C342C">
        <w:t xml:space="preserve"> on </w:t>
      </w:r>
      <w:r>
        <w:t xml:space="preserve">states’ attempts to </w:t>
      </w:r>
      <w:r w:rsidRPr="008C342C">
        <w:t>extract payment from market actors in return for access</w:t>
      </w:r>
      <w:r>
        <w:t xml:space="preserve"> to natural resources</w:t>
      </w:r>
      <w:r w:rsidRPr="008C342C">
        <w:t xml:space="preserve"> (Yates 1996, </w:t>
      </w:r>
      <w:proofErr w:type="spellStart"/>
      <w:r w:rsidRPr="008C342C">
        <w:t>Beblawi</w:t>
      </w:r>
      <w:proofErr w:type="spellEnd"/>
      <w:r w:rsidRPr="008C342C">
        <w:t xml:space="preserve"> and </w:t>
      </w:r>
      <w:proofErr w:type="spellStart"/>
      <w:r w:rsidRPr="008C342C">
        <w:t>Luciani</w:t>
      </w:r>
      <w:proofErr w:type="spellEnd"/>
      <w:r w:rsidRPr="008C342C">
        <w:t xml:space="preserve"> 2016). </w:t>
      </w:r>
      <w:r>
        <w:t xml:space="preserve">A subsection of literature has sought to explore the mechanisms through which control over access to markets functions as a parallel source of regulatory power. </w:t>
      </w:r>
      <w:proofErr w:type="spellStart"/>
      <w:r>
        <w:t>Drezner</w:t>
      </w:r>
      <w:proofErr w:type="spellEnd"/>
      <w:r>
        <w:t xml:space="preserve"> (2007) shows</w:t>
      </w:r>
      <w:r w:rsidRPr="00EF64D5">
        <w:t xml:space="preserve"> </w:t>
      </w:r>
      <w:r w:rsidRPr="008C342C">
        <w:t>how a state’s capacity to exclude an enterprise from its large market can serve to generate transnational regulatory influence, as external producers willingly comply</w:t>
      </w:r>
      <w:r>
        <w:t xml:space="preserve"> with market rules</w:t>
      </w:r>
      <w:r w:rsidRPr="008C342C">
        <w:t xml:space="preserve"> to avoid being locked-out of a lucrative economic area. </w:t>
      </w:r>
      <w:proofErr w:type="spellStart"/>
      <w:r w:rsidRPr="008C342C">
        <w:t>Damro</w:t>
      </w:r>
      <w:proofErr w:type="spellEnd"/>
      <w:r w:rsidRPr="008C342C">
        <w:t xml:space="preserve"> (2012) has explored parallel dynamics </w:t>
      </w:r>
      <w:r>
        <w:t>in relation to</w:t>
      </w:r>
      <w:r w:rsidRPr="008C342C">
        <w:t xml:space="preserve"> the EU.</w:t>
      </w:r>
      <w:r>
        <w:t xml:space="preserve"> The more attractive their market is to potential suppliers, the stronger the state’s ability to shape private actors’ behaviour</w:t>
      </w:r>
      <w:r>
        <w:rPr>
          <w:rStyle w:val="CommentReference"/>
          <w:vanish/>
        </w:rPr>
        <w:pgNum/>
      </w:r>
      <w:r>
        <w:t>. A number of studies have explored the intersection between control over access to large markets and political agency by focusing on taxation</w:t>
      </w:r>
      <w:r w:rsidR="00CF7785">
        <w:t>, with w</w:t>
      </w:r>
      <w:r>
        <w:t>ork in this area suggest</w:t>
      </w:r>
      <w:r w:rsidR="00CF7785">
        <w:t>ing</w:t>
      </w:r>
      <w:r>
        <w:t xml:space="preserve"> that </w:t>
      </w:r>
      <w:r w:rsidR="00497DF4">
        <w:t>states with larger markets</w:t>
      </w:r>
      <w:r>
        <w:t xml:space="preserve"> </w:t>
      </w:r>
      <w:r w:rsidRPr="008C342C">
        <w:t>enjoy greater capacity to increase corporate tax rates</w:t>
      </w:r>
      <w:r>
        <w:t>.</w:t>
      </w:r>
      <w:r w:rsidR="00CF7785">
        <w:rPr>
          <w:rStyle w:val="FootnoteReference"/>
        </w:rPr>
        <w:footnoteReference w:id="11"/>
      </w:r>
      <w:r>
        <w:t xml:space="preserve"> Extrapolating out, we can derive an </w:t>
      </w:r>
      <w:r>
        <w:lastRenderedPageBreak/>
        <w:t xml:space="preserve">expectation that the more attractive a market is </w:t>
      </w:r>
      <w:r>
        <w:rPr>
          <w:rStyle w:val="CommentReference"/>
          <w:vanish/>
        </w:rPr>
        <w:pgNum/>
      </w:r>
      <w:r>
        <w:t>to potential suppliers, the higher a political actor’s capacity to extract side-payments. As such,</w:t>
      </w:r>
      <w:r w:rsidR="00806D21">
        <w:t xml:space="preserve"> we develop the following </w:t>
      </w:r>
      <w:r>
        <w:t>hypothesis:</w:t>
      </w:r>
    </w:p>
    <w:p w:rsidR="00844F9E" w:rsidRDefault="00844F9E" w:rsidP="00844F9E">
      <w:pPr>
        <w:spacing w:line="480" w:lineRule="auto"/>
        <w:ind w:left="720"/>
      </w:pPr>
      <w:r>
        <w:t>H</w:t>
      </w:r>
      <w:r w:rsidR="00515515">
        <w:rPr>
          <w:vertAlign w:val="subscript"/>
        </w:rPr>
        <w:t>2</w:t>
      </w:r>
      <w:r>
        <w:t xml:space="preserve">: Local </w:t>
      </w:r>
      <w:r w:rsidR="00497DF4">
        <w:t>a</w:t>
      </w:r>
      <w:r>
        <w:t xml:space="preserve">uthority market buoyancy is associated with the propensity to deploy S106 powers, with authorities with more buoyant local markets more likely to deploy it than those with less market </w:t>
      </w:r>
      <w:proofErr w:type="gramStart"/>
      <w:r>
        <w:t>buoyancy</w:t>
      </w:r>
      <w:proofErr w:type="gramEnd"/>
      <w:r>
        <w:t xml:space="preserve">.  </w:t>
      </w:r>
    </w:p>
    <w:p w:rsidR="005C097A" w:rsidRDefault="005C097A" w:rsidP="00BE7E04">
      <w:pPr>
        <w:spacing w:line="480" w:lineRule="auto"/>
      </w:pPr>
      <w:r>
        <w:t>The underlying intuition here is that</w:t>
      </w:r>
      <w:r w:rsidR="00CF7785">
        <w:t>, where the local market is buoyant,</w:t>
      </w:r>
      <w:r>
        <w:t xml:space="preserve"> councillors and their officers may be emboldened to push for higher S106 contributions through negotiation processes.</w:t>
      </w:r>
    </w:p>
    <w:p w:rsidR="00515515" w:rsidRDefault="00E42E5C" w:rsidP="00515515">
      <w:pPr>
        <w:spacing w:line="480" w:lineRule="auto"/>
      </w:pPr>
      <w:r>
        <w:tab/>
      </w:r>
      <w:r w:rsidR="00515515" w:rsidRPr="008C342C">
        <w:t xml:space="preserve">The </w:t>
      </w:r>
      <w:r w:rsidR="00515515">
        <w:t>third</w:t>
      </w:r>
      <w:r w:rsidR="00515515" w:rsidRPr="008C342C">
        <w:t xml:space="preserve"> factor </w:t>
      </w:r>
      <w:r w:rsidR="00515515">
        <w:t>examined</w:t>
      </w:r>
      <w:r w:rsidR="00515515" w:rsidRPr="008C342C">
        <w:t xml:space="preserve"> in our analysis probes the </w:t>
      </w:r>
      <w:r w:rsidR="00515515">
        <w:t xml:space="preserve">responsiveness of local authorities to </w:t>
      </w:r>
      <w:r w:rsidR="001953C2">
        <w:t>sub-optimal</w:t>
      </w:r>
      <w:r w:rsidR="00515515">
        <w:t xml:space="preserve"> market </w:t>
      </w:r>
      <w:r w:rsidR="001953C2">
        <w:t>outcomes</w:t>
      </w:r>
      <w:r w:rsidR="00515515" w:rsidRPr="008C342C">
        <w:t>.</w:t>
      </w:r>
      <w:r w:rsidR="006E1F8E">
        <w:rPr>
          <w:rStyle w:val="FootnoteReference"/>
        </w:rPr>
        <w:footnoteReference w:id="12"/>
      </w:r>
      <w:r w:rsidR="00515515" w:rsidRPr="008C342C">
        <w:t xml:space="preserve"> The public interest theory of the state holds that governments will intervene in market processes where evidence of </w:t>
      </w:r>
      <w:r w:rsidR="001953C2">
        <w:t>undesirable outcomes</w:t>
      </w:r>
      <w:r w:rsidR="00515515" w:rsidRPr="008C342C">
        <w:t xml:space="preserve"> exists (Stigler and </w:t>
      </w:r>
      <w:proofErr w:type="spellStart"/>
      <w:r w:rsidR="00515515" w:rsidRPr="008C342C">
        <w:t>Friedland</w:t>
      </w:r>
      <w:proofErr w:type="spellEnd"/>
      <w:r w:rsidR="00515515" w:rsidRPr="008C342C">
        <w:t xml:space="preserve"> 1962, Stigler 1971, Baron and Myerson 1982, </w:t>
      </w:r>
      <w:proofErr w:type="spellStart"/>
      <w:r w:rsidR="00515515" w:rsidRPr="008C342C">
        <w:t>Baumol</w:t>
      </w:r>
      <w:proofErr w:type="spellEnd"/>
      <w:r w:rsidR="00515515" w:rsidRPr="008C342C">
        <w:t xml:space="preserve"> 2004</w:t>
      </w:r>
      <w:r w:rsidR="00515515">
        <w:t>).</w:t>
      </w:r>
      <w:r w:rsidR="001953C2">
        <w:t xml:space="preserve"> </w:t>
      </w:r>
      <w:r w:rsidR="00515515">
        <w:t>In probing</w:t>
      </w:r>
      <w:r w:rsidR="001120DD">
        <w:t xml:space="preserve"> the relationship between</w:t>
      </w:r>
      <w:r w:rsidR="00515515">
        <w:t xml:space="preserve"> </w:t>
      </w:r>
      <w:r w:rsidR="001953C2">
        <w:t>states and poorly-performing markets</w:t>
      </w:r>
      <w:r w:rsidR="00515515">
        <w:t xml:space="preserve">, this </w:t>
      </w:r>
      <w:r w:rsidR="001953C2">
        <w:t xml:space="preserve">public interest theory </w:t>
      </w:r>
      <w:r w:rsidR="00515515">
        <w:t>body of scholarship adopts an expansive conceptualisation of sub-optimal market performance</w:t>
      </w:r>
      <w:r w:rsidR="001953C2">
        <w:t>; this conceptualisation</w:t>
      </w:r>
      <w:r w:rsidR="00515515">
        <w:t xml:space="preserve"> typically enc</w:t>
      </w:r>
      <w:r w:rsidR="001120DD">
        <w:t>ompasses scenarios in which</w:t>
      </w:r>
      <w:r w:rsidR="00515515">
        <w:t xml:space="preserve"> overall welfare can be enhanced through state intervention (</w:t>
      </w:r>
      <w:proofErr w:type="spellStart"/>
      <w:r w:rsidR="00515515">
        <w:t>Hantke-Domas</w:t>
      </w:r>
      <w:proofErr w:type="spellEnd"/>
      <w:r w:rsidR="00515515">
        <w:t xml:space="preserve"> 2003: 166).</w:t>
      </w:r>
      <w:r w:rsidR="00515515">
        <w:rPr>
          <w:rStyle w:val="FootnoteReference"/>
        </w:rPr>
        <w:footnoteReference w:id="13"/>
      </w:r>
      <w:r w:rsidR="00515515">
        <w:t xml:space="preserve"> </w:t>
      </w:r>
      <w:r w:rsidR="00515515" w:rsidRPr="008C342C">
        <w:t xml:space="preserve">Empirical work from </w:t>
      </w:r>
      <w:proofErr w:type="spellStart"/>
      <w:r w:rsidR="00515515" w:rsidRPr="008C342C">
        <w:t>Hefetz</w:t>
      </w:r>
      <w:proofErr w:type="spellEnd"/>
      <w:r w:rsidR="00515515" w:rsidRPr="008C342C">
        <w:t xml:space="preserve"> and Warner (2004), </w:t>
      </w:r>
      <w:proofErr w:type="spellStart"/>
      <w:r w:rsidR="00515515" w:rsidRPr="008C342C">
        <w:t>Kodrzycki</w:t>
      </w:r>
      <w:proofErr w:type="spellEnd"/>
      <w:r w:rsidR="00515515" w:rsidRPr="008C342C">
        <w:t xml:space="preserve"> (1994), Hirsch (1995), Warner and </w:t>
      </w:r>
      <w:proofErr w:type="spellStart"/>
      <w:r w:rsidR="00515515" w:rsidRPr="008C342C">
        <w:t>Hefetz</w:t>
      </w:r>
      <w:proofErr w:type="spellEnd"/>
      <w:r w:rsidR="00515515" w:rsidRPr="008C342C">
        <w:t xml:space="preserve"> (2003), and Girth et al. (2012) broadly suggests that governments are more likely to intervene in markets where they believe that markets are functioning poorly. </w:t>
      </w:r>
      <w:r w:rsidR="00515515">
        <w:t>Drawing on these insights, we develop the following hypothesis:</w:t>
      </w:r>
    </w:p>
    <w:p w:rsidR="00960734" w:rsidRDefault="00515515" w:rsidP="00515515">
      <w:pPr>
        <w:spacing w:line="480" w:lineRule="auto"/>
        <w:ind w:left="720"/>
      </w:pPr>
      <w:r>
        <w:lastRenderedPageBreak/>
        <w:t>H</w:t>
      </w:r>
      <w:r>
        <w:rPr>
          <w:vertAlign w:val="subscript"/>
        </w:rPr>
        <w:t>3</w:t>
      </w:r>
      <w:r>
        <w:t xml:space="preserve">: The existence of sub-optimal local market performance is associated with the propensity to deploy S106 powers, with authorities experiencing poorer market performance more likely to deploy it than </w:t>
      </w:r>
      <w:proofErr w:type="gramStart"/>
      <w:r>
        <w:t>those experiencing better market performance</w:t>
      </w:r>
      <w:proofErr w:type="gramEnd"/>
      <w:r>
        <w:t>.</w:t>
      </w:r>
    </w:p>
    <w:p w:rsidR="00515515" w:rsidRPr="008C342C" w:rsidRDefault="00960734" w:rsidP="00E12DC4">
      <w:pPr>
        <w:spacing w:line="480" w:lineRule="auto"/>
      </w:pPr>
      <w:r>
        <w:t xml:space="preserve">Again, the </w:t>
      </w:r>
      <w:proofErr w:type="spellStart"/>
      <w:r>
        <w:t>underyling</w:t>
      </w:r>
      <w:proofErr w:type="spellEnd"/>
      <w:r>
        <w:t xml:space="preserve"> intuition is that the causal pathway may run through local politicians or planning officers. </w:t>
      </w:r>
      <w:r w:rsidR="001953C2">
        <w:t xml:space="preserve">Local politicians may be </w:t>
      </w:r>
      <w:r w:rsidR="001120DD">
        <w:t xml:space="preserve">acting in response to </w:t>
      </w:r>
      <w:r w:rsidR="00726CA8">
        <w:t>constituent</w:t>
      </w:r>
      <w:r w:rsidR="001953C2">
        <w:t xml:space="preserve"> </w:t>
      </w:r>
      <w:r w:rsidR="00726CA8">
        <w:t>interests</w:t>
      </w:r>
      <w:r w:rsidR="001953C2">
        <w:t xml:space="preserve">, and planning officers to </w:t>
      </w:r>
      <w:r w:rsidR="00726CA8">
        <w:t xml:space="preserve">their </w:t>
      </w:r>
      <w:r w:rsidR="001953C2">
        <w:t>perceptions of councillors’ preferences.</w:t>
      </w:r>
      <w:r w:rsidR="00515515">
        <w:t xml:space="preserve"> </w:t>
      </w:r>
      <w:r w:rsidR="00515515">
        <w:rPr>
          <w:rStyle w:val="CommentReference"/>
          <w:vanish/>
        </w:rPr>
        <w:pgNum/>
      </w:r>
    </w:p>
    <w:p w:rsidR="00596553" w:rsidRDefault="00515515" w:rsidP="00E42E5C">
      <w:pPr>
        <w:spacing w:line="480" w:lineRule="auto"/>
      </w:pPr>
      <w:r>
        <w:tab/>
      </w:r>
      <w:r w:rsidR="00525037">
        <w:t xml:space="preserve">The final factor we derive from existing literature relates to issues salience. </w:t>
      </w:r>
      <w:r w:rsidR="00B619B6">
        <w:t xml:space="preserve">Studies of policymaking processes demonstrate that, given limited time and resources, politicians are forced to prioritise their attention between a wide </w:t>
      </w:r>
      <w:proofErr w:type="gramStart"/>
      <w:r w:rsidR="00B619B6">
        <w:t>range</w:t>
      </w:r>
      <w:proofErr w:type="gramEnd"/>
      <w:r w:rsidR="00B619B6">
        <w:t xml:space="preserve"> </w:t>
      </w:r>
      <w:r w:rsidR="004B51F0">
        <w:t>of competing issues</w:t>
      </w:r>
      <w:r w:rsidR="00195B8E">
        <w:t>. S</w:t>
      </w:r>
      <w:r w:rsidR="00B619B6">
        <w:t>alience is defined as the relative importance attached to a given issue</w:t>
      </w:r>
      <w:r w:rsidR="004B51F0">
        <w:t xml:space="preserve"> </w:t>
      </w:r>
      <w:r w:rsidR="00195B8E">
        <w:t xml:space="preserve">(e.g. </w:t>
      </w:r>
      <w:r w:rsidR="00B47211">
        <w:t xml:space="preserve">Epstein and Segal 2000, </w:t>
      </w:r>
      <w:proofErr w:type="spellStart"/>
      <w:r w:rsidR="00195B8E">
        <w:t>Oppermann</w:t>
      </w:r>
      <w:proofErr w:type="spellEnd"/>
      <w:r w:rsidR="00195B8E">
        <w:t xml:space="preserve"> and </w:t>
      </w:r>
      <w:proofErr w:type="spellStart"/>
      <w:r w:rsidR="00195B8E">
        <w:t>Viehrig</w:t>
      </w:r>
      <w:proofErr w:type="spellEnd"/>
      <w:r w:rsidR="00195B8E">
        <w:t xml:space="preserve"> 2011</w:t>
      </w:r>
      <w:r w:rsidR="00326051">
        <w:t xml:space="preserve">, </w:t>
      </w:r>
      <w:proofErr w:type="spellStart"/>
      <w:r w:rsidR="00326051">
        <w:rPr>
          <w:rFonts w:ascii="Arial" w:hAnsi="Arial" w:cs="Arial"/>
          <w:color w:val="222222"/>
          <w:sz w:val="20"/>
          <w:szCs w:val="20"/>
          <w:shd w:val="clear" w:color="auto" w:fill="FFFFFF"/>
        </w:rPr>
        <w:t>Spendzharova</w:t>
      </w:r>
      <w:proofErr w:type="spellEnd"/>
      <w:r w:rsidR="00326051">
        <w:rPr>
          <w:rFonts w:ascii="Arial" w:hAnsi="Arial" w:cs="Arial"/>
          <w:color w:val="222222"/>
          <w:sz w:val="20"/>
          <w:szCs w:val="20"/>
          <w:shd w:val="clear" w:color="auto" w:fill="FFFFFF"/>
        </w:rPr>
        <w:t xml:space="preserve"> and </w:t>
      </w:r>
      <w:proofErr w:type="spellStart"/>
      <w:r w:rsidR="00326051">
        <w:rPr>
          <w:rFonts w:ascii="Arial" w:hAnsi="Arial" w:cs="Arial"/>
          <w:color w:val="222222"/>
          <w:sz w:val="20"/>
          <w:szCs w:val="20"/>
          <w:shd w:val="clear" w:color="auto" w:fill="FFFFFF"/>
        </w:rPr>
        <w:t>Versluis</w:t>
      </w:r>
      <w:proofErr w:type="spellEnd"/>
      <w:r w:rsidR="00326051">
        <w:rPr>
          <w:rFonts w:ascii="Arial" w:hAnsi="Arial" w:cs="Arial"/>
          <w:color w:val="222222"/>
          <w:sz w:val="20"/>
          <w:szCs w:val="20"/>
          <w:shd w:val="clear" w:color="auto" w:fill="FFFFFF"/>
        </w:rPr>
        <w:t xml:space="preserve"> 2013</w:t>
      </w:r>
      <w:r w:rsidR="00DA7706">
        <w:t xml:space="preserve">), and has been identified as significantly shaping </w:t>
      </w:r>
      <w:r w:rsidR="008F773C">
        <w:t xml:space="preserve">approaches to </w:t>
      </w:r>
      <w:r w:rsidR="00DA7706">
        <w:t>policy implementation across transnational, national, and sub-national levels (</w:t>
      </w:r>
      <w:proofErr w:type="spellStart"/>
      <w:r w:rsidR="002F03AC">
        <w:t>Fenno</w:t>
      </w:r>
      <w:proofErr w:type="spellEnd"/>
      <w:r w:rsidR="002F03AC">
        <w:t xml:space="preserve"> 1974, </w:t>
      </w:r>
      <w:r w:rsidR="004A18C4">
        <w:t xml:space="preserve">Mayhew 1991, </w:t>
      </w:r>
      <w:proofErr w:type="spellStart"/>
      <w:r w:rsidR="00D575F6">
        <w:t>Toshkov</w:t>
      </w:r>
      <w:proofErr w:type="spellEnd"/>
      <w:r w:rsidR="00D575F6">
        <w:t xml:space="preserve"> 2007, </w:t>
      </w:r>
      <w:proofErr w:type="spellStart"/>
      <w:r w:rsidR="00DA7706">
        <w:t>Versluis</w:t>
      </w:r>
      <w:proofErr w:type="spellEnd"/>
      <w:r w:rsidR="00DA7706">
        <w:t xml:space="preserve"> 2007)</w:t>
      </w:r>
      <w:r w:rsidR="00667D45">
        <w:t xml:space="preserve">. </w:t>
      </w:r>
      <w:r w:rsidR="00342F72">
        <w:t>Drawing on these insights, we develop the following hypothesis:</w:t>
      </w:r>
    </w:p>
    <w:p w:rsidR="00342F72" w:rsidRDefault="00342F72" w:rsidP="00E12DC4">
      <w:pPr>
        <w:spacing w:line="480" w:lineRule="auto"/>
        <w:ind w:left="720"/>
      </w:pPr>
      <w:r>
        <w:t>H</w:t>
      </w:r>
      <w:r>
        <w:rPr>
          <w:vertAlign w:val="subscript"/>
        </w:rPr>
        <w:t>4</w:t>
      </w:r>
      <w:r>
        <w:t>: The salience of affordable housing as a policy issue is associated with propensity to deploy S106 powers, with propensity to deploy S106 rising during times of higher salience.</w:t>
      </w:r>
    </w:p>
    <w:p w:rsidR="00E95437" w:rsidRDefault="00342F72" w:rsidP="00E42E5C">
      <w:pPr>
        <w:spacing w:line="480" w:lineRule="auto"/>
      </w:pPr>
      <w:r>
        <w:tab/>
      </w:r>
      <w:r w:rsidR="001953C2">
        <w:t>In common with the other causal pathways, again issue salience may function directly through local politicians responding to constituent concerns, or indirectly through planning officers</w:t>
      </w:r>
      <w:r w:rsidR="00E95437">
        <w:t>’ adjustm</w:t>
      </w:r>
      <w:r w:rsidR="00AB24F5">
        <w:t xml:space="preserve">ents to </w:t>
      </w:r>
      <w:r w:rsidR="00E95437">
        <w:t>perceptions of councillors</w:t>
      </w:r>
      <w:r w:rsidR="00AB24F5">
        <w:t>’</w:t>
      </w:r>
      <w:r w:rsidR="00E95437">
        <w:t xml:space="preserve"> preferences.</w:t>
      </w:r>
      <w:r w:rsidR="00AC2E44">
        <w:t xml:space="preserve"> Before moving on to discuss our operationalisation of these </w:t>
      </w:r>
      <w:proofErr w:type="spellStart"/>
      <w:r w:rsidR="00AC2E44">
        <w:t>hypoetheses</w:t>
      </w:r>
      <w:proofErr w:type="spellEnd"/>
      <w:r w:rsidR="00AC2E44">
        <w:t>, we first offer a brief overview of the planning system in England to contextualise the case study.</w:t>
      </w:r>
    </w:p>
    <w:p w:rsidR="00844F9E" w:rsidRDefault="00844F9E" w:rsidP="00844F9E">
      <w:pPr>
        <w:spacing w:line="480" w:lineRule="auto"/>
      </w:pPr>
    </w:p>
    <w:p w:rsidR="00844F9E" w:rsidRPr="008C342C" w:rsidRDefault="00844F9E" w:rsidP="00844F9E">
      <w:pPr>
        <w:spacing w:line="480" w:lineRule="auto"/>
      </w:pPr>
      <w:r w:rsidRPr="008C342C">
        <w:rPr>
          <w:u w:val="single"/>
        </w:rPr>
        <w:t>Local authorities and the regulatory governance of affordable housing</w:t>
      </w:r>
    </w:p>
    <w:p w:rsidR="00844F9E" w:rsidRPr="008C342C" w:rsidRDefault="00844F9E" w:rsidP="00844F9E">
      <w:pPr>
        <w:spacing w:line="480" w:lineRule="auto"/>
      </w:pPr>
      <w:r w:rsidRPr="008C342C">
        <w:lastRenderedPageBreak/>
        <w:t xml:space="preserve">In the decades after 1945, local authorities grew to become major providers of affordable housing in England. The need for post-war reconstruction and to accommodate a </w:t>
      </w:r>
      <w:proofErr w:type="gramStart"/>
      <w:r w:rsidRPr="008C342C">
        <w:t>rapidly-expanding</w:t>
      </w:r>
      <w:proofErr w:type="gramEnd"/>
      <w:r w:rsidRPr="008C342C">
        <w:t xml:space="preserve"> population pushed housing up central governments’ agenda through this period, and local authorities provided central government a stable partner with the institutional capacity to deliver high volumes of units. By providing access to subsidised loans and grants, and mandating that a set contribution to building costs be made through </w:t>
      </w:r>
      <w:proofErr w:type="gramStart"/>
      <w:r w:rsidRPr="008C342C">
        <w:t>locally-collected</w:t>
      </w:r>
      <w:proofErr w:type="gramEnd"/>
      <w:r w:rsidRPr="008C342C">
        <w:t xml:space="preserve"> rates, central government could ensure that output targets were delivered (Cole and </w:t>
      </w:r>
      <w:proofErr w:type="spellStart"/>
      <w:r w:rsidRPr="008C342C">
        <w:t>Furbey</w:t>
      </w:r>
      <w:proofErr w:type="spellEnd"/>
      <w:r w:rsidRPr="008C342C">
        <w:t xml:space="preserve"> 1994, pp.59-63). There was substantial local variation in housing management practices, rent charges, and the extent to which rates </w:t>
      </w:r>
      <w:proofErr w:type="gramStart"/>
      <w:r w:rsidRPr="008C342C">
        <w:t>were used</w:t>
      </w:r>
      <w:proofErr w:type="gramEnd"/>
      <w:r w:rsidRPr="008C342C">
        <w:t xml:space="preserve"> to subsidise rents. However, this local authority housing was provided at below-market rates to lower-income groups, and came to be regarded as an important social good provided by the state (</w:t>
      </w:r>
      <w:proofErr w:type="spellStart"/>
      <w:r w:rsidRPr="008C342C">
        <w:t>Malpass</w:t>
      </w:r>
      <w:proofErr w:type="spellEnd"/>
      <w:r w:rsidRPr="008C342C">
        <w:t xml:space="preserve"> 2005, pp.83-90). By 1980 around 6.5 million homes – 30 percent of the UK’s total stock of housing – came in the form of local authority-supplied affordable rental accommodation (Stephens 2013, pp.200-1).</w:t>
      </w:r>
    </w:p>
    <w:p w:rsidR="00844F9E" w:rsidRPr="008C342C" w:rsidRDefault="00844F9E" w:rsidP="00844F9E">
      <w:pPr>
        <w:spacing w:line="480" w:lineRule="auto"/>
      </w:pPr>
      <w:r w:rsidRPr="008C342C">
        <w:tab/>
        <w:t xml:space="preserve">It was through the 1980s that local authorities’ role within the English housing system began to transform. Under ‘Right to Buy’ legislation introduced at the start of the decade, existing tenants </w:t>
      </w:r>
      <w:proofErr w:type="gramStart"/>
      <w:r w:rsidRPr="008C342C">
        <w:t>were given</w:t>
      </w:r>
      <w:proofErr w:type="gramEnd"/>
      <w:r w:rsidRPr="008C342C">
        <w:t xml:space="preserve"> the opportunity to purchase accommodation from their local authority at below market price. Cumulatively, around 1.8 million homes </w:t>
      </w:r>
      <w:proofErr w:type="gramStart"/>
      <w:r w:rsidRPr="008C342C">
        <w:t>have been transferred</w:t>
      </w:r>
      <w:proofErr w:type="gramEnd"/>
      <w:r w:rsidRPr="008C342C">
        <w:t xml:space="preserve"> through this route. Towards the end of the decade, additional legislation served to incentivise local authorities to sell stock to Housing Associations, which are typically non-profit and quasi-private organisations. Since 1988, around</w:t>
      </w:r>
      <w:r>
        <w:rPr>
          <w:rStyle w:val="CommentReference"/>
          <w:vanish/>
        </w:rPr>
        <w:pgNum/>
      </w:r>
      <w:r w:rsidRPr="008C342C">
        <w:t xml:space="preserve"> 1.3 million homes </w:t>
      </w:r>
      <w:proofErr w:type="gramStart"/>
      <w:r w:rsidRPr="008C342C">
        <w:t>have been transferred</w:t>
      </w:r>
      <w:proofErr w:type="gramEnd"/>
      <w:r w:rsidRPr="008C342C">
        <w:t xml:space="preserve"> through this route. With these dynamics, from 1981-2014 the prevalence of owner-occupancy, private rental, and rental through Housing Associations in the English housing system all increased substantially, while rates of local authority provision declined by around two-thirds (see Figure 1).</w:t>
      </w:r>
    </w:p>
    <w:p w:rsidR="00844F9E" w:rsidRPr="008C342C" w:rsidRDefault="00844F9E" w:rsidP="00844F9E">
      <w:pPr>
        <w:spacing w:line="480" w:lineRule="auto"/>
      </w:pPr>
    </w:p>
    <w:p w:rsidR="00844F9E" w:rsidRPr="008C342C" w:rsidRDefault="00844F9E" w:rsidP="00844F9E">
      <w:pPr>
        <w:pBdr>
          <w:top w:val="single" w:sz="4" w:space="1" w:color="auto"/>
          <w:left w:val="single" w:sz="4" w:space="1" w:color="auto"/>
          <w:bottom w:val="single" w:sz="4" w:space="1" w:color="auto"/>
          <w:right w:val="single" w:sz="4" w:space="1" w:color="auto"/>
        </w:pBdr>
        <w:spacing w:line="240" w:lineRule="auto"/>
      </w:pPr>
      <w:r w:rsidRPr="008C342C">
        <w:t>Figure 1: English dwellings by tenure (thousands)</w:t>
      </w:r>
    </w:p>
    <w:p w:rsidR="00844F9E" w:rsidRPr="008C342C" w:rsidRDefault="00844F9E" w:rsidP="00844F9E">
      <w:pPr>
        <w:pBdr>
          <w:top w:val="single" w:sz="4" w:space="1" w:color="auto"/>
          <w:left w:val="single" w:sz="4" w:space="1" w:color="auto"/>
          <w:bottom w:val="single" w:sz="4" w:space="1" w:color="auto"/>
          <w:right w:val="single" w:sz="4" w:space="1" w:color="auto"/>
        </w:pBdr>
        <w:spacing w:line="240" w:lineRule="auto"/>
        <w:jc w:val="center"/>
      </w:pPr>
      <w:r w:rsidRPr="00310087">
        <w:rPr>
          <w:noProof/>
          <w:lang w:eastAsia="en-GB"/>
        </w:rPr>
        <w:lastRenderedPageBreak/>
        <w:drawing>
          <wp:inline distT="0" distB="0" distL="0" distR="0">
            <wp:extent cx="5749925" cy="347789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4F9E" w:rsidRPr="008C342C" w:rsidRDefault="00844F9E" w:rsidP="00844F9E">
      <w:pPr>
        <w:pBdr>
          <w:top w:val="single" w:sz="4" w:space="1" w:color="auto"/>
          <w:left w:val="single" w:sz="4" w:space="1" w:color="auto"/>
          <w:bottom w:val="single" w:sz="4" w:space="1" w:color="auto"/>
          <w:right w:val="single" w:sz="4" w:space="1" w:color="auto"/>
        </w:pBdr>
        <w:spacing w:line="240" w:lineRule="auto"/>
      </w:pPr>
      <w:r w:rsidRPr="008C342C">
        <w:t xml:space="preserve">Source: DCLG Live Tables. DCLG Official Website, available at </w:t>
      </w:r>
      <w:hyperlink r:id="rId8" w:history="1">
        <w:r w:rsidRPr="008C342C">
          <w:rPr>
            <w:rStyle w:val="Hyperlink"/>
          </w:rPr>
          <w:t>https://www.gov.uk/government/statistical-data-sets/live-tables-on-dwelling-stock-including-vacants</w:t>
        </w:r>
      </w:hyperlink>
      <w:r w:rsidRPr="008C342C">
        <w:t>. Accessed 14</w:t>
      </w:r>
      <w:r w:rsidRPr="008C342C">
        <w:rPr>
          <w:vertAlign w:val="superscript"/>
        </w:rPr>
        <w:t>th</w:t>
      </w:r>
      <w:r w:rsidRPr="008C342C">
        <w:t xml:space="preserve"> </w:t>
      </w:r>
      <w:proofErr w:type="gramStart"/>
      <w:r w:rsidRPr="008C342C">
        <w:t>March,</w:t>
      </w:r>
      <w:proofErr w:type="gramEnd"/>
      <w:r w:rsidRPr="008C342C">
        <w:t xml:space="preserve"> 2017.</w:t>
      </w:r>
    </w:p>
    <w:p w:rsidR="00844F9E" w:rsidRPr="008C342C" w:rsidRDefault="00844F9E" w:rsidP="00844F9E">
      <w:pPr>
        <w:spacing w:line="480" w:lineRule="auto"/>
        <w:rPr>
          <w:u w:val="single"/>
        </w:rPr>
      </w:pPr>
    </w:p>
    <w:p w:rsidR="00844F9E" w:rsidRPr="008C342C" w:rsidRDefault="00844F9E" w:rsidP="00844F9E">
      <w:pPr>
        <w:spacing w:line="480" w:lineRule="auto"/>
      </w:pPr>
      <w:r w:rsidRPr="008C342C">
        <w:tab/>
        <w:t xml:space="preserve">Beyond this transformation in ownership patterns, the role of local authorities in the supply of new housing has also shifted over time. With central </w:t>
      </w:r>
      <w:proofErr w:type="gramStart"/>
      <w:r w:rsidRPr="008C342C">
        <w:t>government</w:t>
      </w:r>
      <w:proofErr w:type="gramEnd"/>
      <w:r w:rsidRPr="008C342C">
        <w:t xml:space="preserve"> directing resources to Housing Associations and imposing strict limits on local authorities’ capacity to borrow to fund construction, these previously-important direct providers of accommodation effectively exited from new-build activities. From a figure of almost 75,000 in 1981, new-build completions by English local authorities throughout the 2000s ranged from a high of 490 to a low of 60 units (see Figure 2). </w:t>
      </w:r>
      <w:r>
        <w:rPr>
          <w:rStyle w:val="CommentReference"/>
          <w:vanish/>
        </w:rPr>
        <w:pgNum/>
      </w:r>
      <w:r w:rsidRPr="008C342C">
        <w:t xml:space="preserve">However, this stepping-back from the direct provision of affordable housing </w:t>
      </w:r>
      <w:proofErr w:type="gramStart"/>
      <w:r w:rsidRPr="008C342C">
        <w:t>was accompanied</w:t>
      </w:r>
      <w:proofErr w:type="gramEnd"/>
      <w:r w:rsidRPr="008C342C">
        <w:t xml:space="preserve"> by the creation of a new regulatory lever through which to compel market actors to increase their supply of affordable accommodation.    </w:t>
      </w:r>
    </w:p>
    <w:p w:rsidR="00844F9E" w:rsidRPr="008C342C" w:rsidRDefault="00844F9E" w:rsidP="00844F9E">
      <w:pPr>
        <w:pBdr>
          <w:top w:val="single" w:sz="4" w:space="1" w:color="auto"/>
          <w:left w:val="single" w:sz="4" w:space="4" w:color="auto"/>
          <w:bottom w:val="single" w:sz="4" w:space="1" w:color="auto"/>
          <w:right w:val="single" w:sz="4" w:space="4" w:color="auto"/>
        </w:pBdr>
        <w:spacing w:line="240" w:lineRule="auto"/>
      </w:pPr>
      <w:r w:rsidRPr="008C342C">
        <w:t>Figure 2: English local authority new-build completions</w:t>
      </w:r>
      <w:r>
        <w:rPr>
          <w:rStyle w:val="CommentReference"/>
          <w:vanish/>
        </w:rPr>
        <w:pgNum/>
      </w:r>
    </w:p>
    <w:p w:rsidR="00844F9E" w:rsidRPr="008C342C" w:rsidRDefault="00844F9E" w:rsidP="00844F9E">
      <w:pPr>
        <w:pBdr>
          <w:top w:val="single" w:sz="4" w:space="1" w:color="auto"/>
          <w:left w:val="single" w:sz="4" w:space="4" w:color="auto"/>
          <w:bottom w:val="single" w:sz="4" w:space="1" w:color="auto"/>
          <w:right w:val="single" w:sz="4" w:space="4" w:color="auto"/>
        </w:pBdr>
        <w:spacing w:line="240" w:lineRule="auto"/>
        <w:jc w:val="center"/>
        <w:rPr>
          <w:u w:val="single"/>
        </w:rPr>
      </w:pPr>
      <w:r w:rsidRPr="00310087">
        <w:rPr>
          <w:noProof/>
          <w:lang w:eastAsia="en-GB"/>
        </w:rPr>
        <w:lastRenderedPageBreak/>
        <w:drawing>
          <wp:inline distT="0" distB="0" distL="0" distR="0">
            <wp:extent cx="4570730" cy="2742565"/>
            <wp:effectExtent l="0" t="0" r="1270" b="63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4F9E" w:rsidRPr="008C342C" w:rsidRDefault="00844F9E" w:rsidP="00844F9E">
      <w:pPr>
        <w:pBdr>
          <w:top w:val="single" w:sz="4" w:space="1" w:color="auto"/>
          <w:left w:val="single" w:sz="4" w:space="4" w:color="auto"/>
          <w:bottom w:val="single" w:sz="4" w:space="1" w:color="auto"/>
          <w:right w:val="single" w:sz="4" w:space="4" w:color="auto"/>
        </w:pBdr>
        <w:spacing w:line="240" w:lineRule="auto"/>
      </w:pPr>
      <w:r w:rsidRPr="008C342C">
        <w:t xml:space="preserve">Source: DCLG Live Tables. DCLG Official Website, available at </w:t>
      </w:r>
      <w:hyperlink r:id="rId10" w:history="1">
        <w:r w:rsidRPr="008C342C">
          <w:rPr>
            <w:rStyle w:val="Hyperlink"/>
          </w:rPr>
          <w:t>https://www.gov.uk/government/statistical-data-sets/live-tables-on-house-building</w:t>
        </w:r>
      </w:hyperlink>
      <w:r w:rsidRPr="008C342C">
        <w:t>. Accessed 24</w:t>
      </w:r>
      <w:r w:rsidRPr="008C342C">
        <w:rPr>
          <w:vertAlign w:val="superscript"/>
        </w:rPr>
        <w:t>th</w:t>
      </w:r>
      <w:r w:rsidRPr="008C342C">
        <w:t xml:space="preserve"> </w:t>
      </w:r>
      <w:proofErr w:type="gramStart"/>
      <w:r w:rsidRPr="008C342C">
        <w:t>August,</w:t>
      </w:r>
      <w:proofErr w:type="gramEnd"/>
      <w:r w:rsidRPr="008C342C">
        <w:t xml:space="preserve"> 2017.</w:t>
      </w:r>
    </w:p>
    <w:p w:rsidR="00844F9E" w:rsidRPr="008C342C" w:rsidRDefault="00844F9E" w:rsidP="00844F9E">
      <w:pPr>
        <w:spacing w:line="480" w:lineRule="auto"/>
        <w:rPr>
          <w:u w:val="single"/>
        </w:rPr>
      </w:pPr>
    </w:p>
    <w:p w:rsidR="00844F9E" w:rsidRPr="008C342C" w:rsidRDefault="00844F9E" w:rsidP="00844F9E">
      <w:pPr>
        <w:spacing w:line="480" w:lineRule="auto"/>
      </w:pPr>
      <w:r w:rsidRPr="008C342C">
        <w:tab/>
      </w:r>
      <w:proofErr w:type="gramStart"/>
      <w:r w:rsidRPr="008C342C">
        <w:t>It is Section 106 of the Town and Country Planning Act 1990 that</w:t>
      </w:r>
      <w:proofErr w:type="gramEnd"/>
      <w:r w:rsidRPr="008C342C">
        <w:t xml:space="preserve"> provided the legislative underpinnings for local authorities’ regulatory governance of affordable housing construction. S106 provides local authorities with the power to impose obligations to ensure that proposed development activities cohere with the aims set out </w:t>
      </w:r>
      <w:r>
        <w:t xml:space="preserve">in </w:t>
      </w:r>
      <w:r w:rsidRPr="008C342C">
        <w:t xml:space="preserve">the authority’s local development framework. Obligations </w:t>
      </w:r>
      <w:proofErr w:type="gramStart"/>
      <w:r w:rsidRPr="008C342C">
        <w:t>can be used</w:t>
      </w:r>
      <w:proofErr w:type="gramEnd"/>
      <w:r w:rsidRPr="008C342C">
        <w:t xml:space="preserve"> to offset the increased demand that a development will bring on local authority-provided services, such as leisure facilities, road maintenance, or school places. Planning obligations can take the form of one-off payments to support the authority’s provision of the affected services, or of in-kind contributions (for example, the inclusion of children’s play spaces within a new residential area). For an authority to include contributions relating to the inclusion of additional affordable homes in a development, an up-to-date development framework and associated local housing needs survey is required. In addition, central government guidance suggests that such contributions </w:t>
      </w:r>
      <w:proofErr w:type="gramStart"/>
      <w:r w:rsidRPr="008C342C">
        <w:t>should be sought</w:t>
      </w:r>
      <w:proofErr w:type="gramEnd"/>
      <w:r w:rsidRPr="008C342C">
        <w:t xml:space="preserve"> only on sites involving the construction of 15 or more homes. Affordable housing mandated under S106 may take the form of accommodation that </w:t>
      </w:r>
      <w:proofErr w:type="gramStart"/>
      <w:r w:rsidRPr="008C342C">
        <w:t xml:space="preserve">is </w:t>
      </w:r>
      <w:r w:rsidRPr="008C342C">
        <w:lastRenderedPageBreak/>
        <w:t>either rented or sold at rates below prevailing market prices (Monk et al. 2006, p. 2, Everett and Smith 2016, p.4, Fears et al. 2016, pp. 5-6)</w:t>
      </w:r>
      <w:proofErr w:type="gramEnd"/>
      <w:r w:rsidRPr="008C342C">
        <w:t>.</w:t>
      </w:r>
      <w:r w:rsidR="00092FD7">
        <w:rPr>
          <w:rStyle w:val="FootnoteReference"/>
        </w:rPr>
        <w:footnoteReference w:id="14"/>
      </w:r>
    </w:p>
    <w:p w:rsidR="00844F9E" w:rsidRPr="008C342C" w:rsidRDefault="00844F9E" w:rsidP="00844F9E">
      <w:pPr>
        <w:spacing w:line="480" w:lineRule="auto"/>
      </w:pPr>
      <w:r w:rsidRPr="008C342C">
        <w:tab/>
        <w:t xml:space="preserve">In the years following the Town and Country Planning Act 1990, the use of S106 powers to oblige developers to increase their supply of affordable homes expanded substantially. By the close of the 1990s, around 10,000 affordable homes </w:t>
      </w:r>
      <w:proofErr w:type="gramStart"/>
      <w:r w:rsidRPr="008C342C">
        <w:t>were being completed</w:t>
      </w:r>
      <w:proofErr w:type="gramEnd"/>
      <w:r w:rsidRPr="008C342C">
        <w:t xml:space="preserve"> each year under S106 obligations. From 2005-10, an average of 26,000 affordable homes were completed each year under S106 obligations, accounting for over 50 percent of total affordable home completions in each of these years (see Figure 3).</w:t>
      </w:r>
      <w:r w:rsidR="00092FD7">
        <w:rPr>
          <w:rStyle w:val="FootnoteReference"/>
        </w:rPr>
        <w:footnoteReference w:id="15"/>
      </w:r>
      <w:r>
        <w:t xml:space="preserve"> The remainder of affordable housing supply comes largely through Homes and Communities Agency-supported developments, and developer-led action. Housing Associations constitute a major non-Section 106 provider of affordable housing for rent and individual ownership.</w:t>
      </w:r>
      <w:r>
        <w:rPr>
          <w:rStyle w:val="FootnoteReference"/>
        </w:rPr>
        <w:footnoteReference w:id="16"/>
      </w:r>
      <w:r>
        <w:t xml:space="preserve"> </w:t>
      </w:r>
      <w:r>
        <w:rPr>
          <w:rStyle w:val="CommentReference"/>
          <w:vanish/>
        </w:rPr>
        <w:pgNum/>
      </w:r>
      <w:r w:rsidRPr="008C342C">
        <w:t xml:space="preserve"> </w:t>
      </w:r>
    </w:p>
    <w:p w:rsidR="00844F9E" w:rsidRPr="008C342C" w:rsidRDefault="00844F9E" w:rsidP="00844F9E">
      <w:pPr>
        <w:spacing w:line="480" w:lineRule="auto"/>
      </w:pPr>
    </w:p>
    <w:p w:rsidR="00844F9E" w:rsidRPr="008C342C" w:rsidRDefault="00844F9E" w:rsidP="00844F9E">
      <w:pPr>
        <w:pBdr>
          <w:top w:val="single" w:sz="4" w:space="1" w:color="auto"/>
          <w:left w:val="single" w:sz="4" w:space="4" w:color="auto"/>
          <w:bottom w:val="single" w:sz="4" w:space="1" w:color="auto"/>
          <w:right w:val="single" w:sz="4" w:space="4" w:color="auto"/>
        </w:pBdr>
        <w:spacing w:line="240" w:lineRule="auto"/>
      </w:pPr>
      <w:r w:rsidRPr="008C342C">
        <w:t>Figure 3: Affordable housing supply</w:t>
      </w:r>
    </w:p>
    <w:p w:rsidR="00844F9E" w:rsidRPr="008C342C" w:rsidRDefault="00844F9E" w:rsidP="00844F9E">
      <w:pPr>
        <w:pBdr>
          <w:top w:val="single" w:sz="4" w:space="1" w:color="auto"/>
          <w:left w:val="single" w:sz="4" w:space="4" w:color="auto"/>
          <w:bottom w:val="single" w:sz="4" w:space="1" w:color="auto"/>
          <w:right w:val="single" w:sz="4" w:space="4" w:color="auto"/>
        </w:pBdr>
        <w:spacing w:line="240" w:lineRule="auto"/>
        <w:jc w:val="center"/>
      </w:pPr>
      <w:r w:rsidRPr="00310087">
        <w:rPr>
          <w:noProof/>
          <w:lang w:eastAsia="en-GB"/>
        </w:rPr>
        <w:lastRenderedPageBreak/>
        <w:drawing>
          <wp:inline distT="0" distB="0" distL="0" distR="0">
            <wp:extent cx="4589145" cy="274891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4F9E" w:rsidRPr="008C342C" w:rsidRDefault="00844F9E" w:rsidP="00844F9E">
      <w:pPr>
        <w:pBdr>
          <w:top w:val="single" w:sz="4" w:space="1" w:color="auto"/>
          <w:left w:val="single" w:sz="4" w:space="4" w:color="auto"/>
          <w:bottom w:val="single" w:sz="4" w:space="1" w:color="auto"/>
          <w:right w:val="single" w:sz="4" w:space="4" w:color="auto"/>
        </w:pBdr>
        <w:spacing w:line="240" w:lineRule="auto"/>
      </w:pPr>
      <w:r w:rsidRPr="008C342C">
        <w:t xml:space="preserve">Source: Data from </w:t>
      </w:r>
      <w:proofErr w:type="spellStart"/>
      <w:r w:rsidRPr="008C342C">
        <w:t>Brownill</w:t>
      </w:r>
      <w:proofErr w:type="spellEnd"/>
      <w:r w:rsidRPr="008C342C">
        <w:t xml:space="preserve"> et al. 2015, p.27.</w:t>
      </w:r>
    </w:p>
    <w:p w:rsidR="00844F9E" w:rsidRPr="008C342C" w:rsidRDefault="00844F9E" w:rsidP="00844F9E">
      <w:pPr>
        <w:spacing w:line="480" w:lineRule="auto"/>
        <w:rPr>
          <w:u w:val="single"/>
        </w:rPr>
      </w:pPr>
    </w:p>
    <w:p w:rsidR="00844F9E" w:rsidRPr="008C342C" w:rsidRDefault="00844F9E" w:rsidP="00844F9E">
      <w:pPr>
        <w:spacing w:line="480" w:lineRule="auto"/>
      </w:pPr>
      <w:r w:rsidRPr="008C342C">
        <w:tab/>
        <w:t xml:space="preserve">Local authorities’ use of S106 obligations </w:t>
      </w:r>
      <w:proofErr w:type="gramStart"/>
      <w:r w:rsidRPr="008C342C">
        <w:t>have, then, become</w:t>
      </w:r>
      <w:proofErr w:type="gramEnd"/>
      <w:r w:rsidRPr="008C342C">
        <w:t xml:space="preserve"> a major lever within the governance of affordable housing provision in England. While the turn towards S106 remains under-examined in existing academic literature, two Joseph Rowntree Foundation-commissioned reports (Monk et al. 2006, </w:t>
      </w:r>
      <w:proofErr w:type="spellStart"/>
      <w:r w:rsidRPr="008C342C">
        <w:t>Brownill</w:t>
      </w:r>
      <w:proofErr w:type="spellEnd"/>
      <w:r w:rsidRPr="008C342C">
        <w:t xml:space="preserve"> et al. 2015) present valuable insights. Monk et al. present a review of the content of S106 agreements</w:t>
      </w:r>
      <w:r>
        <w:t xml:space="preserve"> from 2000-05</w:t>
      </w:r>
      <w:r w:rsidRPr="008C342C">
        <w:t xml:space="preserve">. </w:t>
      </w:r>
      <w:r>
        <w:t xml:space="preserve">A central focus in Monk et al. is the </w:t>
      </w:r>
      <w:r w:rsidRPr="008C342C">
        <w:t xml:space="preserve">divergence between </w:t>
      </w:r>
      <w:r>
        <w:t xml:space="preserve">the requirements for S106 affordable housing in </w:t>
      </w:r>
      <w:r w:rsidRPr="008C342C">
        <w:t xml:space="preserve">agreements signed </w:t>
      </w:r>
      <w:r>
        <w:t xml:space="preserve">on the one hand, </w:t>
      </w:r>
      <w:r w:rsidRPr="008C342C">
        <w:t>and the housing eventually delivered</w:t>
      </w:r>
      <w:r>
        <w:t xml:space="preserve"> on the other</w:t>
      </w:r>
      <w:r w:rsidRPr="008C342C">
        <w:t xml:space="preserve">. They suggest that larger developments are particularly prone to slippage in affordable housing delivery, with the tendency to amend plans and sub-divide schemes between contractors leading to re-negotiations with local authorities and generating complexity in monitoring performance against the original agreement. </w:t>
      </w:r>
      <w:proofErr w:type="spellStart"/>
      <w:r w:rsidRPr="008C342C">
        <w:t>Brownill</w:t>
      </w:r>
      <w:proofErr w:type="spellEnd"/>
      <w:r w:rsidRPr="008C342C">
        <w:t xml:space="preserve"> et al. (2015) use mixed methods to assess the extent to which S106 affordable housing </w:t>
      </w:r>
      <w:proofErr w:type="gramStart"/>
      <w:r w:rsidRPr="008C342C">
        <w:t>was being delivered</w:t>
      </w:r>
      <w:proofErr w:type="gramEnd"/>
      <w:r w:rsidRPr="008C342C">
        <w:t xml:space="preserve"> to ‘in poverty’ groups, defined as those with incomes below 60% of the median. Overall, their quantitative analysis suggest that ‘[b]y and large</w:t>
      </w:r>
      <w:r>
        <w:t xml:space="preserve"> (</w:t>
      </w:r>
      <w:r w:rsidRPr="008C342C">
        <w:t>…</w:t>
      </w:r>
      <w:r>
        <w:t>)</w:t>
      </w:r>
      <w:r w:rsidRPr="008C342C">
        <w:t xml:space="preserve"> larger S106 numbers are being delivered to more deprived areas’ (</w:t>
      </w:r>
      <w:proofErr w:type="spellStart"/>
      <w:r w:rsidRPr="008C342C">
        <w:t>Brownill</w:t>
      </w:r>
      <w:proofErr w:type="spellEnd"/>
      <w:r w:rsidRPr="008C342C">
        <w:t xml:space="preserve"> et al. 2017, </w:t>
      </w:r>
      <w:r>
        <w:t>p</w:t>
      </w:r>
      <w:r w:rsidRPr="008C342C">
        <w:t xml:space="preserve">.37). Their case study insights suggest that institutional capacity and </w:t>
      </w:r>
      <w:r w:rsidRPr="008C342C">
        <w:lastRenderedPageBreak/>
        <w:t>political commitment ‘influence the effectiveness of S106 in delivering affordable homes’ (</w:t>
      </w:r>
      <w:proofErr w:type="spellStart"/>
      <w:r w:rsidRPr="008C342C">
        <w:t>Brownill</w:t>
      </w:r>
      <w:proofErr w:type="spellEnd"/>
      <w:r w:rsidRPr="008C342C">
        <w:t xml:space="preserve"> et al. 201</w:t>
      </w:r>
      <w:r>
        <w:t>5</w:t>
      </w:r>
      <w:r w:rsidRPr="008C342C">
        <w:t xml:space="preserve">, </w:t>
      </w:r>
      <w:r>
        <w:t>p.</w:t>
      </w:r>
      <w:r w:rsidRPr="008C342C">
        <w:t xml:space="preserve">68).  </w:t>
      </w:r>
    </w:p>
    <w:p w:rsidR="00844F9E" w:rsidRPr="008C342C" w:rsidRDefault="00844F9E" w:rsidP="00844F9E">
      <w:pPr>
        <w:spacing w:line="480" w:lineRule="auto"/>
      </w:pPr>
      <w:r w:rsidRPr="008C342C">
        <w:tab/>
        <w:t xml:space="preserve">Our analysis builds in particular on </w:t>
      </w:r>
      <w:proofErr w:type="spellStart"/>
      <w:r w:rsidRPr="008C342C">
        <w:t>Brownill</w:t>
      </w:r>
      <w:proofErr w:type="spellEnd"/>
      <w:r w:rsidRPr="008C342C">
        <w:t xml:space="preserve"> et al. (201</w:t>
      </w:r>
      <w:r>
        <w:t>5</w:t>
      </w:r>
      <w:r w:rsidRPr="008C342C">
        <w:t>)</w:t>
      </w:r>
      <w:r>
        <w:t xml:space="preserve">. In seeking to explain variation in local authority use of S106 powers, we develop </w:t>
      </w:r>
      <w:proofErr w:type="spellStart"/>
      <w:r>
        <w:t>Brownill</w:t>
      </w:r>
      <w:proofErr w:type="spellEnd"/>
      <w:r>
        <w:t xml:space="preserve"> et al.’s focus on </w:t>
      </w:r>
      <w:r w:rsidR="009C4D40">
        <w:t xml:space="preserve">sub-optimal </w:t>
      </w:r>
      <w:r>
        <w:t xml:space="preserve">market </w:t>
      </w:r>
      <w:r w:rsidR="009C4D40">
        <w:t>performance</w:t>
      </w:r>
      <w:r>
        <w:t xml:space="preserve"> as a driver of behaviour. As noted below, we parallel </w:t>
      </w:r>
      <w:proofErr w:type="spellStart"/>
      <w:r>
        <w:t>Brownill</w:t>
      </w:r>
      <w:proofErr w:type="spellEnd"/>
      <w:r>
        <w:t xml:space="preserve"> et al. by adopting a deprivation-based measure of</w:t>
      </w:r>
      <w:r w:rsidR="009C4D40">
        <w:t xml:space="preserve"> sub-optimal</w:t>
      </w:r>
      <w:r>
        <w:t xml:space="preserve"> housing </w:t>
      </w:r>
      <w:r w:rsidR="009C4D40">
        <w:t>system performance</w:t>
      </w:r>
      <w:r>
        <w:t xml:space="preserve">, and we extend this dimension by also including an additional home ownership-based measure of </w:t>
      </w:r>
      <w:r w:rsidR="009C4D40">
        <w:t>market sub-optimality</w:t>
      </w:r>
      <w:r>
        <w:t>. Our focus on partisan effects serves to examine</w:t>
      </w:r>
      <w:r>
        <w:rPr>
          <w:rStyle w:val="CommentReference"/>
          <w:vanish/>
        </w:rPr>
        <w:pgNum/>
      </w:r>
      <w:r>
        <w:t xml:space="preserve"> the qualitative findings presented in </w:t>
      </w:r>
      <w:proofErr w:type="spellStart"/>
      <w:r>
        <w:t>Brownill</w:t>
      </w:r>
      <w:proofErr w:type="spellEnd"/>
      <w:r>
        <w:t xml:space="preserve"> et al.’s study</w:t>
      </w:r>
      <w:r w:rsidR="00405A74">
        <w:t xml:space="preserve">, and our focus on </w:t>
      </w:r>
      <w:r w:rsidR="00405A74">
        <w:rPr>
          <w:i/>
        </w:rPr>
        <w:t xml:space="preserve">rentier </w:t>
      </w:r>
      <w:r w:rsidR="00405A74">
        <w:t xml:space="preserve">capacity </w:t>
      </w:r>
      <w:r w:rsidR="00A00753">
        <w:t xml:space="preserve">and issue salience </w:t>
      </w:r>
      <w:r w:rsidR="00405A74">
        <w:t>offer additional extension</w:t>
      </w:r>
      <w:r w:rsidR="00A00753">
        <w:t>s</w:t>
      </w:r>
      <w:r>
        <w:t xml:space="preserve">. </w:t>
      </w:r>
      <w:r w:rsidRPr="008C342C">
        <w:t xml:space="preserve">In the section below, we outline the data sources and methods used in our analysis, </w:t>
      </w:r>
      <w:r>
        <w:t>before</w:t>
      </w:r>
      <w:r w:rsidRPr="008C342C">
        <w:t xml:space="preserve"> provid</w:t>
      </w:r>
      <w:r>
        <w:t>ing</w:t>
      </w:r>
      <w:r w:rsidRPr="008C342C">
        <w:t xml:space="preserve"> an overview of our results. </w:t>
      </w:r>
    </w:p>
    <w:p w:rsidR="00844F9E" w:rsidRDefault="00844F9E" w:rsidP="00844F9E">
      <w:pPr>
        <w:spacing w:line="480" w:lineRule="auto"/>
      </w:pPr>
    </w:p>
    <w:p w:rsidR="00405A74" w:rsidRDefault="00003A69" w:rsidP="00844F9E">
      <w:pPr>
        <w:spacing w:line="480" w:lineRule="auto"/>
      </w:pPr>
      <w:r>
        <w:rPr>
          <w:u w:val="single"/>
        </w:rPr>
        <w:t>Data and methodology</w:t>
      </w:r>
    </w:p>
    <w:p w:rsidR="00003A69" w:rsidRDefault="00003A69" w:rsidP="00003A69">
      <w:pPr>
        <w:spacing w:line="480" w:lineRule="auto"/>
      </w:pPr>
      <w:r w:rsidRPr="008C342C">
        <w:t xml:space="preserve">The data for our dependent variable, local authorities’ discretionary use of S106, </w:t>
      </w:r>
      <w:proofErr w:type="gramStart"/>
      <w:r w:rsidRPr="008C342C">
        <w:t>was taken</w:t>
      </w:r>
      <w:proofErr w:type="gramEnd"/>
      <w:r w:rsidRPr="008C342C">
        <w:t xml:space="preserve"> from the National Archives’ </w:t>
      </w:r>
      <w:r w:rsidRPr="00B70F87">
        <w:t>Housing Strategy Statistical Appendix</w:t>
      </w:r>
      <w:r>
        <w:t xml:space="preserve"> (HSSA)</w:t>
      </w:r>
      <w:r w:rsidRPr="00B70F87">
        <w:t>.</w:t>
      </w:r>
      <w:r w:rsidRPr="008C342C">
        <w:rPr>
          <w:rStyle w:val="FootnoteReference"/>
        </w:rPr>
        <w:footnoteReference w:id="17"/>
      </w:r>
      <w:r w:rsidRPr="00B70F87">
        <w:t xml:space="preserve"> </w:t>
      </w:r>
      <w:r w:rsidRPr="008C342C">
        <w:t xml:space="preserve">This shows the </w:t>
      </w:r>
      <w:r>
        <w:t xml:space="preserve">number of S106 affordable housing units included in large planning agreements during a given year (as mentioned, small developments </w:t>
      </w:r>
      <w:proofErr w:type="gramStart"/>
      <w:r>
        <w:t>are excluded</w:t>
      </w:r>
      <w:proofErr w:type="gramEnd"/>
      <w:r>
        <w:t xml:space="preserve"> from S106 powers (see Everett and Smith 2016, p.3)).</w:t>
      </w:r>
      <w:r w:rsidRPr="008C342C">
        <w:t xml:space="preserve"> </w:t>
      </w:r>
      <w:r>
        <w:t xml:space="preserve">An alternative measure could have come in the form of data on the number of affordable housing units </w:t>
      </w:r>
      <w:r w:rsidRPr="001A620D">
        <w:rPr>
          <w:i/>
        </w:rPr>
        <w:t>completed</w:t>
      </w:r>
      <w:r>
        <w:t xml:space="preserve"> during a given year that </w:t>
      </w:r>
      <w:proofErr w:type="gramStart"/>
      <w:r>
        <w:t>had been placed</w:t>
      </w:r>
      <w:proofErr w:type="gramEnd"/>
      <w:r>
        <w:t xml:space="preserve"> in planning agreements through S106 powers. However, there is a lack of robust data on such S106 completions (on these data limitations, see Monk et al. (2005) and </w:t>
      </w:r>
      <w:proofErr w:type="spellStart"/>
      <w:r>
        <w:t>Brownill</w:t>
      </w:r>
      <w:proofErr w:type="spellEnd"/>
      <w:r>
        <w:t xml:space="preserve"> et al. (2015)). We therefore focus on use of S106 powers at the planning stage rather than the total number of S106 units actually delivered. Using the number of </w:t>
      </w:r>
      <w:r>
        <w:lastRenderedPageBreak/>
        <w:t>S106 units included in planning agreements also gives us a more accurate picture of local authorities’ willingness to intervene, showing their intentions as opposed to outcomes which are sometimes outside their scope of powers. However, even at the planning stage the data available is imperfect, with a recognised need to develop better and more coherent housing statistics (ONS 2018). As such, for our dependent variable we use the only data available, which is the HSSA</w:t>
      </w:r>
      <w:r w:rsidRPr="008C342C">
        <w:t xml:space="preserve"> figure </w:t>
      </w:r>
      <w:r>
        <w:t>(</w:t>
      </w:r>
      <w:r w:rsidRPr="008C342C">
        <w:t xml:space="preserve">the </w:t>
      </w:r>
      <w:r>
        <w:t>number of S106 units included in large planning agreements during a given year)</w:t>
      </w:r>
      <w:r w:rsidRPr="008C342C">
        <w:t xml:space="preserve"> </w:t>
      </w:r>
      <w:r>
        <w:t xml:space="preserve">divided </w:t>
      </w:r>
      <w:r w:rsidRPr="008C342C">
        <w:t xml:space="preserve">by the total number of </w:t>
      </w:r>
      <w:r>
        <w:t>large development applications received by a local authority in the same year</w:t>
      </w:r>
      <w:r w:rsidR="00507100">
        <w:t>.</w:t>
      </w:r>
      <w:r w:rsidRPr="008C342C">
        <w:rPr>
          <w:rStyle w:val="FootnoteReference"/>
        </w:rPr>
        <w:footnoteReference w:id="18"/>
      </w:r>
      <w:r w:rsidRPr="008C342C">
        <w:t xml:space="preserve"> </w:t>
      </w:r>
      <w:r w:rsidR="00507100">
        <w:t>This figure captures</w:t>
      </w:r>
      <w:r>
        <w:t xml:space="preserve"> the average number of affordable units mandated per large planning application in a given year. </w:t>
      </w:r>
    </w:p>
    <w:p w:rsidR="00BA2ED4" w:rsidRDefault="00D34996" w:rsidP="00BA2ED4">
      <w:pPr>
        <w:spacing w:line="480" w:lineRule="auto"/>
        <w:ind w:firstLine="720"/>
      </w:pPr>
      <w:r>
        <w:t>One</w:t>
      </w:r>
      <w:r w:rsidR="00003A69">
        <w:t xml:space="preserve"> caveat for this measure</w:t>
      </w:r>
      <w:r w:rsidR="0089016B">
        <w:t xml:space="preserve"> comes from our inability to differentiate between the</w:t>
      </w:r>
      <w:r w:rsidR="006F2282">
        <w:t xml:space="preserve"> </w:t>
      </w:r>
      <w:proofErr w:type="gramStart"/>
      <w:r w:rsidR="006F2282">
        <w:t>type</w:t>
      </w:r>
      <w:proofErr w:type="gramEnd"/>
      <w:r w:rsidR="006F2282">
        <w:t xml:space="preserve"> of</w:t>
      </w:r>
      <w:r w:rsidR="0089016B">
        <w:t xml:space="preserve"> ‘large residential planning application’ </w:t>
      </w:r>
      <w:r w:rsidR="006F2282">
        <w:t xml:space="preserve">being </w:t>
      </w:r>
      <w:r w:rsidR="0089016B">
        <w:t>received by local authorities</w:t>
      </w:r>
      <w:r w:rsidR="006F2282">
        <w:t>.</w:t>
      </w:r>
      <w:r w:rsidR="0089016B">
        <w:t xml:space="preserve"> It is possible that some authorities will consistently receive </w:t>
      </w:r>
      <w:r w:rsidR="00A640BF">
        <w:t xml:space="preserve">higher numbers of </w:t>
      </w:r>
      <w:r w:rsidR="0089016B">
        <w:t>applications for very high-volume developments, which would</w:t>
      </w:r>
      <w:r w:rsidR="006F2282">
        <w:t xml:space="preserve"> likely</w:t>
      </w:r>
      <w:r w:rsidR="0089016B">
        <w:t xml:space="preserve"> lead to an inflation of their average number of S106 units per application.</w:t>
      </w:r>
      <w:r w:rsidR="00753E3D">
        <w:rPr>
          <w:rStyle w:val="FootnoteReference"/>
        </w:rPr>
        <w:footnoteReference w:id="19"/>
      </w:r>
      <w:r w:rsidR="0089016B">
        <w:t xml:space="preserve"> </w:t>
      </w:r>
      <w:r w:rsidR="005707F1">
        <w:t>Using</w:t>
      </w:r>
      <w:r w:rsidR="006F2282">
        <w:t xml:space="preserve"> S106 units as a proportion of the number of units </w:t>
      </w:r>
      <w:proofErr w:type="gramStart"/>
      <w:r w:rsidR="006F2282">
        <w:t>being proposed</w:t>
      </w:r>
      <w:proofErr w:type="gramEnd"/>
      <w:r w:rsidR="005707F1">
        <w:t xml:space="preserve"> as a dependent variable would solve this issue;</w:t>
      </w:r>
      <w:r w:rsidR="006F2282">
        <w:t xml:space="preserve"> </w:t>
      </w:r>
      <w:r w:rsidR="005707F1">
        <w:t>h</w:t>
      </w:r>
      <w:r w:rsidR="006F2282">
        <w:t xml:space="preserve">owever, as data is not available on the volume of housing being proposed in a given application, we are unable to generate </w:t>
      </w:r>
      <w:r w:rsidR="005707F1">
        <w:t>such a fine-grained measure.</w:t>
      </w:r>
      <w:r w:rsidR="006F2282">
        <w:t xml:space="preserve"> </w:t>
      </w:r>
      <w:r>
        <w:t>This caveat is part</w:t>
      </w:r>
      <w:r w:rsidR="00820349">
        <w:t>ly</w:t>
      </w:r>
      <w:r>
        <w:t xml:space="preserve"> offset by the likelihood that authorities</w:t>
      </w:r>
      <w:r w:rsidR="00820349">
        <w:t xml:space="preserve"> receiving applications for high-volume developments</w:t>
      </w:r>
      <w:r>
        <w:t xml:space="preserve"> would</w:t>
      </w:r>
      <w:r w:rsidR="00820349">
        <w:t xml:space="preserve"> also</w:t>
      </w:r>
      <w:r>
        <w:t xml:space="preserve"> receive relatively high numbers of applications</w:t>
      </w:r>
      <w:r w:rsidR="00A640BF">
        <w:t xml:space="preserve"> overall</w:t>
      </w:r>
      <w:r>
        <w:t xml:space="preserve">, which would counter-balance this inflation of the average S106 value. We also guard against this issue by removing outliers (i.e. </w:t>
      </w:r>
      <w:r w:rsidR="00003A69">
        <w:t xml:space="preserve">cases </w:t>
      </w:r>
      <w:r>
        <w:t xml:space="preserve">in which the dependent variable is </w:t>
      </w:r>
      <w:r w:rsidR="00003A69">
        <w:t xml:space="preserve">more than </w:t>
      </w:r>
      <w:r>
        <w:t>three</w:t>
      </w:r>
      <w:r w:rsidR="00003A69">
        <w:t xml:space="preserve"> standard deviations away from the mean). A second caveat for this measure is that the actual cost to the developer of a </w:t>
      </w:r>
      <w:r w:rsidR="00003A69">
        <w:lastRenderedPageBreak/>
        <w:t>unit of social housing will vary substantially; a unit that is reserved for social rent will recoup a lower return than a unit that is reserved for affordable ownership (Roger Hannah 2018). Given that the HSSA does not disaggregate according to the type of affordable housing included in S106 agreements, we are unable to incorporate this factor into our model.</w:t>
      </w:r>
      <w:r w:rsidR="00346E79">
        <w:t xml:space="preserve"> </w:t>
      </w:r>
    </w:p>
    <w:p w:rsidR="00DC7613" w:rsidRDefault="00346E79" w:rsidP="00BA2ED4">
      <w:pPr>
        <w:spacing w:line="480" w:lineRule="auto"/>
        <w:ind w:firstLine="720"/>
      </w:pPr>
      <w:r>
        <w:t>D</w:t>
      </w:r>
      <w:r w:rsidR="00003A69">
        <w:t xml:space="preserve">ata limitations acted as a constraint on the timeframe that </w:t>
      </w:r>
      <w:proofErr w:type="gramStart"/>
      <w:r w:rsidR="00003A69">
        <w:t>could be covered</w:t>
      </w:r>
      <w:proofErr w:type="gramEnd"/>
      <w:r w:rsidR="00003A69">
        <w:t xml:space="preserve"> by our dependent variable. Data on the volume of S106 housing signed-off in planning agreements is available via the Nation</w:t>
      </w:r>
      <w:r w:rsidR="00820349">
        <w:t xml:space="preserve">al Archives from </w:t>
      </w:r>
      <w:r w:rsidR="005D792D">
        <w:t>2005</w:t>
      </w:r>
      <w:r w:rsidR="00003A69">
        <w:t xml:space="preserve"> through to 20</w:t>
      </w:r>
      <w:r>
        <w:t>11</w:t>
      </w:r>
      <w:r w:rsidR="00003A69">
        <w:t>.</w:t>
      </w:r>
      <w:r>
        <w:rPr>
          <w:rStyle w:val="FootnoteReference"/>
        </w:rPr>
        <w:footnoteReference w:id="20"/>
      </w:r>
      <w:r w:rsidR="00003A69">
        <w:t xml:space="preserve"> Changes in reporting practices mean that after 2011, data is not comparable.</w:t>
      </w:r>
      <w:r w:rsidR="00003A69">
        <w:rPr>
          <w:rStyle w:val="FootnoteReference"/>
        </w:rPr>
        <w:footnoteReference w:id="21"/>
      </w:r>
      <w:r w:rsidR="00003A69">
        <w:t xml:space="preserve"> </w:t>
      </w:r>
      <w:r>
        <w:t xml:space="preserve">Data is </w:t>
      </w:r>
      <w:r w:rsidR="00820349">
        <w:t xml:space="preserve">also </w:t>
      </w:r>
      <w:r>
        <w:t>not available on the total number of large residential planning applications received by local authorities</w:t>
      </w:r>
      <w:r w:rsidR="00933D3A">
        <w:t xml:space="preserve"> (the denominator for our dependent variable)</w:t>
      </w:r>
      <w:r>
        <w:t xml:space="preserve"> in 2010 and 2011</w:t>
      </w:r>
      <w:r w:rsidR="00933D3A">
        <w:t xml:space="preserve">. </w:t>
      </w:r>
      <w:r>
        <w:t xml:space="preserve">As such, </w:t>
      </w:r>
      <w:r w:rsidR="00820349">
        <w:t xml:space="preserve">in combination these data limitations limit the focus of </w:t>
      </w:r>
      <w:r>
        <w:t xml:space="preserve">our analysis </w:t>
      </w:r>
      <w:r w:rsidR="00820349">
        <w:t xml:space="preserve">to local authorities’ </w:t>
      </w:r>
      <w:r>
        <w:t xml:space="preserve">propensity to deploy S106 powers in the five-year period 2005-09. </w:t>
      </w:r>
      <w:r w:rsidR="00E64A25">
        <w:t>However, given the presence of the finance crisis and associated disruptions to the housing market, t</w:t>
      </w:r>
      <w:r w:rsidR="00933D3A">
        <w:t xml:space="preserve">his </w:t>
      </w:r>
      <w:r w:rsidR="00E64A25">
        <w:t xml:space="preserve">is nevertheless an interesting and important </w:t>
      </w:r>
      <w:r w:rsidR="00314105">
        <w:t>period</w:t>
      </w:r>
      <w:r w:rsidR="00E64A25">
        <w:t xml:space="preserve"> to explore.</w:t>
      </w:r>
      <w:r w:rsidR="00933D3A">
        <w:t xml:space="preserve"> </w:t>
      </w:r>
    </w:p>
    <w:p w:rsidR="00820349" w:rsidRDefault="0082607A" w:rsidP="0082607A">
      <w:pPr>
        <w:spacing w:line="480" w:lineRule="auto"/>
        <w:ind w:firstLine="720"/>
      </w:pPr>
      <w:r w:rsidRPr="008C342C">
        <w:t xml:space="preserve">As for our independent variables, the </w:t>
      </w:r>
      <w:r>
        <w:t>data on the partisanship</w:t>
      </w:r>
      <w:r w:rsidRPr="008C342C">
        <w:t xml:space="preserve"> of the local authority </w:t>
      </w:r>
      <w:proofErr w:type="gramStart"/>
      <w:r w:rsidRPr="008C342C">
        <w:t>was taken</w:t>
      </w:r>
      <w:proofErr w:type="gramEnd"/>
      <w:r w:rsidRPr="008C342C">
        <w:t xml:space="preserve"> from </w:t>
      </w:r>
      <w:r>
        <w:t>t</w:t>
      </w:r>
      <w:r w:rsidRPr="008C342C">
        <w:t>he Elections Centre dataset on ‘Council Composition’.</w:t>
      </w:r>
      <w:r>
        <w:rPr>
          <w:rStyle w:val="FootnoteReference"/>
        </w:rPr>
        <w:footnoteReference w:id="22"/>
      </w:r>
      <w:r w:rsidRPr="008C342C">
        <w:t xml:space="preserve"> </w:t>
      </w:r>
      <w:r>
        <w:t xml:space="preserve">As we are interested in the effect of left-wing political orientation, we focus on the share of Labour representatives in the local authority. To measure this, we use the share of Labour representatives </w:t>
      </w:r>
      <w:r w:rsidR="00CC005D">
        <w:t>in a given year</w:t>
      </w:r>
      <w:r>
        <w:t xml:space="preserve">. A figure of zero equates to an authority with no Labour representation, whilst a figure of 100 equates to an authority that was fully Labour. This use of the left-wing party’s share of seats as a way of </w:t>
      </w:r>
      <w:r>
        <w:lastRenderedPageBreak/>
        <w:t xml:space="preserve">operationalising a study of partisan effects is in line with existing literature (Allen and Scruggs 2004: 504). </w:t>
      </w:r>
    </w:p>
    <w:p w:rsidR="0082607A" w:rsidRDefault="0082607A" w:rsidP="0082607A">
      <w:pPr>
        <w:spacing w:line="480" w:lineRule="auto"/>
        <w:ind w:firstLine="720"/>
      </w:pPr>
      <w:r>
        <w:t>The length of negotiations between a local authority and developer over S106 conditions varies substantially. Crook et al (2002: 23) estimate the typical length to be between 18 months and three years. T</w:t>
      </w:r>
      <w:r w:rsidR="006D5A3A">
        <w:t xml:space="preserve">o </w:t>
      </w:r>
      <w:r>
        <w:t>capture the interaction between the partisan orientation variable and our outcome variable</w:t>
      </w:r>
      <w:r w:rsidR="00334504">
        <w:t xml:space="preserve"> through</w:t>
      </w:r>
      <w:r w:rsidR="006D5A3A">
        <w:t xml:space="preserve"> these extended windows of negotiation</w:t>
      </w:r>
      <w:r>
        <w:t>, we use a rolling three-year average of the share of Labour representation.</w:t>
      </w:r>
      <w:r w:rsidR="006D5A3A">
        <w:t xml:space="preserve"> </w:t>
      </w:r>
      <w:r w:rsidR="00CC005D">
        <w:t xml:space="preserve">As such, </w:t>
      </w:r>
      <w:r w:rsidR="00334504">
        <w:t xml:space="preserve">when considering S106s signed-off in 2005, </w:t>
      </w:r>
      <w:r w:rsidR="00CC005D">
        <w:t>we are interested in the impact of average Labour share</w:t>
      </w:r>
      <w:r w:rsidR="00334504">
        <w:t xml:space="preserve"> through the period</w:t>
      </w:r>
      <w:r w:rsidR="00CC005D">
        <w:t xml:space="preserve"> 2003-05</w:t>
      </w:r>
      <w:r w:rsidR="00502BCB">
        <w:t>. When considering S106s signed-off in 2006, we focus on</w:t>
      </w:r>
      <w:r w:rsidR="00CC005D">
        <w:t xml:space="preserve"> average Labour share </w:t>
      </w:r>
      <w:r w:rsidR="00502BCB">
        <w:t xml:space="preserve">in </w:t>
      </w:r>
      <w:r w:rsidR="00CC005D">
        <w:t>2004-06</w:t>
      </w:r>
      <w:r w:rsidR="00502BCB">
        <w:t>,</w:t>
      </w:r>
      <w:r w:rsidR="00CC005D">
        <w:t xml:space="preserve"> and so on. </w:t>
      </w:r>
      <w:r w:rsidR="006D5A3A">
        <w:t>The intuition here is that partisanship in the three-year period preceding a given observation of S106 propensity will influence that observ</w:t>
      </w:r>
      <w:r w:rsidR="00BA2ED4">
        <w:t>ed outcome</w:t>
      </w:r>
      <w:r w:rsidR="006D5A3A">
        <w:t>.</w:t>
      </w:r>
    </w:p>
    <w:p w:rsidR="00EA564B" w:rsidRDefault="006D5A3A" w:rsidP="00436AAF">
      <w:pPr>
        <w:spacing w:line="480" w:lineRule="auto"/>
        <w:ind w:firstLine="720"/>
      </w:pPr>
      <w:r>
        <w:t>T</w:t>
      </w:r>
      <w:r w:rsidRPr="008C342C">
        <w:t xml:space="preserve">o measure </w:t>
      </w:r>
      <w:r>
        <w:t xml:space="preserve">local housing market buoyancy, </w:t>
      </w:r>
      <w:r w:rsidR="00A640BF">
        <w:t>we use the</w:t>
      </w:r>
      <w:r>
        <w:t xml:space="preserve"> volume</w:t>
      </w:r>
      <w:r w:rsidRPr="008C342C">
        <w:t xml:space="preserve"> o</w:t>
      </w:r>
      <w:r>
        <w:t>f private housing construction</w:t>
      </w:r>
      <w:r w:rsidR="003765B7">
        <w:t xml:space="preserve"> in a given area</w:t>
      </w:r>
      <w:r>
        <w:t xml:space="preserve">. The data </w:t>
      </w:r>
      <w:proofErr w:type="gramStart"/>
      <w:r>
        <w:t>is taken</w:t>
      </w:r>
      <w:proofErr w:type="gramEnd"/>
      <w:r>
        <w:t xml:space="preserve"> from the Department of Housing, Communities and Local Government dataset on the completion of new-build housing at local authority level.</w:t>
      </w:r>
      <w:r>
        <w:rPr>
          <w:rStyle w:val="FootnoteReference"/>
        </w:rPr>
        <w:footnoteReference w:id="23"/>
      </w:r>
      <w:r>
        <w:t xml:space="preserve"> While data on house prices are used elsewhere as a measure of buoyancy (</w:t>
      </w:r>
      <w:r w:rsidR="00502BCB">
        <w:t xml:space="preserve">e.g. </w:t>
      </w:r>
      <w:proofErr w:type="spellStart"/>
      <w:r>
        <w:t>Frappa</w:t>
      </w:r>
      <w:proofErr w:type="spellEnd"/>
      <w:r>
        <w:t xml:space="preserve"> and </w:t>
      </w:r>
      <w:proofErr w:type="spellStart"/>
      <w:r>
        <w:t>Mesonier</w:t>
      </w:r>
      <w:proofErr w:type="spellEnd"/>
      <w:r>
        <w:t xml:space="preserve"> 2010), here we are specifically interested in the attractiveness to developers of a given local authority area. </w:t>
      </w:r>
      <w:r w:rsidR="00B84706">
        <w:t>By presenting the revealed willingness of developers to build an a given area, t</w:t>
      </w:r>
      <w:r>
        <w:t xml:space="preserve">he volume of private housing construction captures </w:t>
      </w:r>
      <w:r w:rsidR="00B84706">
        <w:t xml:space="preserve">effectively </w:t>
      </w:r>
      <w:r>
        <w:t>t</w:t>
      </w:r>
      <w:r w:rsidRPr="008C342C">
        <w:t>he attractiveness</w:t>
      </w:r>
      <w:r>
        <w:t xml:space="preserve"> </w:t>
      </w:r>
      <w:r w:rsidR="00B84706">
        <w:t xml:space="preserve">to economic agents </w:t>
      </w:r>
      <w:r w:rsidRPr="008C342C">
        <w:t>of the local housing market over which the local authority has power of access.</w:t>
      </w:r>
      <w:r>
        <w:t xml:space="preserve"> We again adopt a rolling three-year average, guided by the </w:t>
      </w:r>
      <w:r w:rsidR="003F73B4">
        <w:t>expectation</w:t>
      </w:r>
      <w:r>
        <w:t xml:space="preserve"> that local authority </w:t>
      </w:r>
      <w:r>
        <w:rPr>
          <w:i/>
        </w:rPr>
        <w:t xml:space="preserve">rentier </w:t>
      </w:r>
      <w:r>
        <w:t xml:space="preserve">capacity throughout the S106 negotiation period will </w:t>
      </w:r>
      <w:proofErr w:type="gramStart"/>
      <w:r>
        <w:t>impact</w:t>
      </w:r>
      <w:proofErr w:type="gramEnd"/>
      <w:r>
        <w:t xml:space="preserve"> on S106 outcomes.</w:t>
      </w:r>
      <w:r w:rsidR="003F73B4">
        <w:t xml:space="preserve"> </w:t>
      </w:r>
    </w:p>
    <w:p w:rsidR="00BA2ED4" w:rsidRDefault="00BA2ED4" w:rsidP="00BA2ED4">
      <w:pPr>
        <w:spacing w:line="480" w:lineRule="auto"/>
        <w:ind w:firstLine="720"/>
      </w:pPr>
      <w:r w:rsidRPr="008C342C">
        <w:t xml:space="preserve">To measure the </w:t>
      </w:r>
      <w:r>
        <w:t>extent of local housing</w:t>
      </w:r>
      <w:r w:rsidRPr="008C342C">
        <w:t xml:space="preserve"> market </w:t>
      </w:r>
      <w:r>
        <w:t>sub-optimality</w:t>
      </w:r>
      <w:r w:rsidRPr="008C342C">
        <w:t xml:space="preserve">, we use </w:t>
      </w:r>
      <w:r>
        <w:t>two</w:t>
      </w:r>
      <w:r w:rsidRPr="008C342C">
        <w:t xml:space="preserve"> indicators</w:t>
      </w:r>
      <w:r>
        <w:t xml:space="preserve"> – t</w:t>
      </w:r>
      <w:r w:rsidRPr="008C342C">
        <w:t>he affordability of hous</w:t>
      </w:r>
      <w:r w:rsidR="00502BCB">
        <w:t>e prices</w:t>
      </w:r>
      <w:r>
        <w:t xml:space="preserve"> within the area, and unmet demand</w:t>
      </w:r>
      <w:r w:rsidRPr="008C342C">
        <w:t xml:space="preserve"> for affordable</w:t>
      </w:r>
      <w:r>
        <w:t xml:space="preserve"> rental</w:t>
      </w:r>
      <w:r w:rsidRPr="008C342C">
        <w:t xml:space="preserve"> housing</w:t>
      </w:r>
      <w:r>
        <w:t xml:space="preserve">. </w:t>
      </w:r>
      <w:r>
        <w:lastRenderedPageBreak/>
        <w:t>Affordability</w:t>
      </w:r>
      <w:r w:rsidR="00502BCB">
        <w:t xml:space="preserve"> of house prices</w:t>
      </w:r>
      <w:r w:rsidRPr="008C342C">
        <w:t xml:space="preserve"> </w:t>
      </w:r>
      <w:proofErr w:type="gramStart"/>
      <w:r w:rsidRPr="008C342C">
        <w:t>is measured</w:t>
      </w:r>
      <w:proofErr w:type="gramEnd"/>
      <w:r w:rsidRPr="008C342C">
        <w:t xml:space="preserve"> using Office for National Statistics data on the ratio between </w:t>
      </w:r>
      <w:r>
        <w:t>median</w:t>
      </w:r>
      <w:r w:rsidRPr="008C342C">
        <w:t xml:space="preserve"> house prices and earnings</w:t>
      </w:r>
      <w:r>
        <w:t>.</w:t>
      </w:r>
      <w:r w:rsidRPr="008C342C">
        <w:rPr>
          <w:rStyle w:val="FootnoteReference"/>
        </w:rPr>
        <w:footnoteReference w:id="24"/>
      </w:r>
      <w:r w:rsidRPr="008C342C">
        <w:t xml:space="preserve"> </w:t>
      </w:r>
      <w:r>
        <w:t>On this measure,</w:t>
      </w:r>
      <w:r w:rsidRPr="008C342C">
        <w:t xml:space="preserve"> </w:t>
      </w:r>
      <w:r>
        <w:t xml:space="preserve">a </w:t>
      </w:r>
      <w:r w:rsidRPr="008C342C">
        <w:t>high</w:t>
      </w:r>
      <w:r>
        <w:t>er value indicates</w:t>
      </w:r>
      <w:r w:rsidRPr="008C342C">
        <w:t xml:space="preserve"> less affordability</w:t>
      </w:r>
      <w:r>
        <w:t>; for example, a score of three denotes an average house price at three times the average wage, a score of four denotes four times the average wage</w:t>
      </w:r>
      <w:r w:rsidRPr="008C342C">
        <w:t xml:space="preserve">. </w:t>
      </w:r>
      <w:r>
        <w:t>Unmet demand for affordable rental housing</w:t>
      </w:r>
      <w:r w:rsidRPr="008C342C">
        <w:t xml:space="preserve"> </w:t>
      </w:r>
      <w:proofErr w:type="gramStart"/>
      <w:r>
        <w:t>is measured</w:t>
      </w:r>
      <w:proofErr w:type="gramEnd"/>
      <w:r>
        <w:t xml:space="preserve"> using</w:t>
      </w:r>
      <w:r w:rsidRPr="008C342C">
        <w:t xml:space="preserve"> the number of households on the local authorities’ waiting lists provided by the Department of </w:t>
      </w:r>
      <w:r>
        <w:t xml:space="preserve">Housing, </w:t>
      </w:r>
      <w:r w:rsidRPr="008C342C">
        <w:t>Communities and Local Government</w:t>
      </w:r>
      <w:r>
        <w:t>.</w:t>
      </w:r>
      <w:r w:rsidRPr="008C342C">
        <w:rPr>
          <w:rStyle w:val="FootnoteReference"/>
        </w:rPr>
        <w:footnoteReference w:id="25"/>
      </w:r>
      <w:r w:rsidRPr="008C342C">
        <w:t xml:space="preserve"> </w:t>
      </w:r>
      <w:r>
        <w:t xml:space="preserve">With these two </w:t>
      </w:r>
      <w:proofErr w:type="gramStart"/>
      <w:r>
        <w:t>measures</w:t>
      </w:r>
      <w:proofErr w:type="gramEnd"/>
      <w:r>
        <w:t xml:space="preserve"> we again adopt a rolling three-year average, the intuition being that concern over sub-optimal market outcomes throughout the S106 negotiation period will shape propensity to deploy this form of market intervention. </w:t>
      </w:r>
    </w:p>
    <w:p w:rsidR="00346E79" w:rsidRDefault="00502BCB" w:rsidP="00E06C25">
      <w:pPr>
        <w:spacing w:line="480" w:lineRule="auto"/>
        <w:ind w:firstLine="720"/>
      </w:pPr>
      <w:r>
        <w:t xml:space="preserve">The above variables </w:t>
      </w:r>
      <w:proofErr w:type="gramStart"/>
      <w:r>
        <w:t>are co</w:t>
      </w:r>
      <w:r w:rsidR="00883B6A">
        <w:t>mprised</w:t>
      </w:r>
      <w:proofErr w:type="gramEnd"/>
      <w:r>
        <w:t xml:space="preserve"> by independent observations </w:t>
      </w:r>
      <w:r w:rsidR="00883B6A">
        <w:t xml:space="preserve">for each local authority in a given year. When operationalising our final variable, issue salience, we apply a national-level approach. Our underlying assumption is that, with the emergence of the finance crisis in 2007, the salience of affordable housing as a policy issue rose across the board for local authorities. The rationale for this assumption is that </w:t>
      </w:r>
      <w:r w:rsidR="000F2786">
        <w:t>through 2007</w:t>
      </w:r>
      <w:r w:rsidR="0052068C">
        <w:t>, as banking credit dried up,</w:t>
      </w:r>
      <w:r w:rsidR="000F2786">
        <w:t xml:space="preserve"> we see significant reductions in the volume of mortgages </w:t>
      </w:r>
      <w:proofErr w:type="gramStart"/>
      <w:r w:rsidR="000F2786">
        <w:t>being granted</w:t>
      </w:r>
      <w:proofErr w:type="gramEnd"/>
      <w:r w:rsidR="000F2786">
        <w:t xml:space="preserve"> to first-time buyers (Clark 2011). We also see that, from this time, the negative impact from the ‘credit crunch’ on first-time buyers’ ability to find affordable owner-occupation housing began to gain public prominence (Communities and Local Government Committee 2009: 5).</w:t>
      </w:r>
      <w:r w:rsidR="003765B7">
        <w:t xml:space="preserve"> We </w:t>
      </w:r>
      <w:r w:rsidR="00E36142">
        <w:t>use</w:t>
      </w:r>
      <w:r w:rsidR="003765B7">
        <w:t xml:space="preserve"> a dummy-variable</w:t>
      </w:r>
      <w:r w:rsidR="000F2786">
        <w:t xml:space="preserve"> </w:t>
      </w:r>
      <w:r w:rsidR="003765B7">
        <w:t xml:space="preserve">to capture this transformation. </w:t>
      </w:r>
      <w:r w:rsidR="005070C5">
        <w:t>The p</w:t>
      </w:r>
      <w:r w:rsidR="003765B7">
        <w:t xml:space="preserve">re-crisis years </w:t>
      </w:r>
      <w:r w:rsidR="005070C5">
        <w:t xml:space="preserve">2005-06 are given a value of </w:t>
      </w:r>
      <w:proofErr w:type="gramStart"/>
      <w:r w:rsidR="005070C5">
        <w:t>0</w:t>
      </w:r>
      <w:proofErr w:type="gramEnd"/>
      <w:r w:rsidR="005070C5">
        <w:t xml:space="preserve"> for all local authorities, to reflect the lower issue salience of affordable housing during this time. For 2007-09</w:t>
      </w:r>
      <w:r w:rsidR="00E36142">
        <w:t xml:space="preserve">, the years within our </w:t>
      </w:r>
      <w:r w:rsidR="005070C5">
        <w:t xml:space="preserve">timeframe that follow the emergence of the financial crisis, a value of </w:t>
      </w:r>
      <w:proofErr w:type="gramStart"/>
      <w:r w:rsidR="005070C5">
        <w:t>1</w:t>
      </w:r>
      <w:proofErr w:type="gramEnd"/>
      <w:r w:rsidR="005070C5">
        <w:t xml:space="preserve"> is given to all local authorities to reflect the higher issue salience.</w:t>
      </w:r>
      <w:r w:rsidR="003765B7">
        <w:t xml:space="preserve"> </w:t>
      </w:r>
      <w:r w:rsidR="00E06C25">
        <w:t>Epstein and Segal (2000: 67) note that studies of issue salience and policy outcome</w:t>
      </w:r>
      <w:r w:rsidR="00B75312">
        <w:t>s</w:t>
      </w:r>
      <w:r w:rsidR="00E06C25">
        <w:t xml:space="preserve"> </w:t>
      </w:r>
      <w:r w:rsidR="00E06C25">
        <w:lastRenderedPageBreak/>
        <w:t>are forced to rely on relatively ‘imprecise surrogates’</w:t>
      </w:r>
      <w:r w:rsidR="00B75312">
        <w:t xml:space="preserve"> when operationalising </w:t>
      </w:r>
      <w:r w:rsidR="00346CC0">
        <w:t>the concept</w:t>
      </w:r>
      <w:r w:rsidR="00B75312">
        <w:t xml:space="preserve">. While we acknowledge the </w:t>
      </w:r>
      <w:r w:rsidR="00FE78D8">
        <w:t>imperfect nature</w:t>
      </w:r>
      <w:r w:rsidR="00B75312">
        <w:t xml:space="preserve"> of our operationalisation, the raft of national-level housing policy initiatives that followed the crisis enhance</w:t>
      </w:r>
      <w:r w:rsidR="00346CC0">
        <w:t>s</w:t>
      </w:r>
      <w:r w:rsidR="00B75312">
        <w:t xml:space="preserve"> the plausibility of our suggestion that the 2007-09 period represents one of </w:t>
      </w:r>
      <w:r w:rsidR="00346CC0">
        <w:t>higher</w:t>
      </w:r>
      <w:r w:rsidR="00B75312">
        <w:t xml:space="preserve"> issue salience for affordable housing</w:t>
      </w:r>
      <w:r w:rsidR="00E06C25">
        <w:t>.</w:t>
      </w:r>
      <w:r w:rsidR="00FE78D8">
        <w:rPr>
          <w:rStyle w:val="FootnoteReference"/>
        </w:rPr>
        <w:footnoteReference w:id="26"/>
      </w:r>
    </w:p>
    <w:p w:rsidR="00003A69" w:rsidRPr="00003A69" w:rsidRDefault="00003A69" w:rsidP="00844F9E">
      <w:pPr>
        <w:spacing w:line="480" w:lineRule="auto"/>
      </w:pPr>
    </w:p>
    <w:p w:rsidR="00844F9E" w:rsidRPr="00D9759E" w:rsidRDefault="00D9759E" w:rsidP="00844F9E">
      <w:pPr>
        <w:spacing w:line="480" w:lineRule="auto"/>
        <w:rPr>
          <w:u w:val="single"/>
        </w:rPr>
      </w:pPr>
      <w:r w:rsidRPr="00D9759E">
        <w:rPr>
          <w:u w:val="single"/>
        </w:rPr>
        <w:t>Results</w:t>
      </w:r>
      <w:r w:rsidR="00844F9E" w:rsidRPr="00D9759E">
        <w:rPr>
          <w:u w:val="single"/>
        </w:rPr>
        <w:t xml:space="preserve"> </w:t>
      </w:r>
      <w:r w:rsidR="00160664">
        <w:rPr>
          <w:u w:val="single"/>
        </w:rPr>
        <w:t>and discussion</w:t>
      </w:r>
    </w:p>
    <w:p w:rsidR="00844F9E" w:rsidRDefault="00C4456F" w:rsidP="002F5457">
      <w:pPr>
        <w:spacing w:line="480" w:lineRule="auto"/>
      </w:pPr>
      <w:r>
        <w:t xml:space="preserve">As </w:t>
      </w:r>
      <w:r w:rsidR="001E439B">
        <w:t>Table 1 shows, the average discretionary use of S106 amongst cases included in the dataset ranges from zero to 33.</w:t>
      </w:r>
      <w:r w:rsidR="00790950">
        <w:t>18</w:t>
      </w:r>
      <w:r w:rsidR="001E439B">
        <w:t>, with a mean of 3.</w:t>
      </w:r>
      <w:r w:rsidR="00790950">
        <w:t>67 and standard deviation of 5.0</w:t>
      </w:r>
      <w:r w:rsidR="00783A8E">
        <w:t>2</w:t>
      </w:r>
      <w:r w:rsidR="001E439B">
        <w:t>. In other words, from 2005-09, local authoritie</w:t>
      </w:r>
      <w:r w:rsidR="00371AF4">
        <w:t>s on average mandated that just-</w:t>
      </w:r>
      <w:r w:rsidR="001E439B">
        <w:t xml:space="preserve">under </w:t>
      </w:r>
      <w:r w:rsidR="00371AF4">
        <w:t>four</w:t>
      </w:r>
      <w:r w:rsidR="001E439B">
        <w:t xml:space="preserve"> affordable homes </w:t>
      </w:r>
      <w:proofErr w:type="gramStart"/>
      <w:r w:rsidR="001E439B">
        <w:t>be built</w:t>
      </w:r>
      <w:proofErr w:type="gramEnd"/>
      <w:r w:rsidR="001E439B">
        <w:t xml:space="preserve"> per large residential planning application received. </w:t>
      </w:r>
    </w:p>
    <w:p w:rsidR="001E439B" w:rsidRDefault="001E439B" w:rsidP="002F5457">
      <w:pPr>
        <w:spacing w:line="480" w:lineRule="auto"/>
      </w:pPr>
    </w:p>
    <w:p w:rsidR="00B22D1B" w:rsidRDefault="00B22D1B" w:rsidP="002F5457">
      <w:pPr>
        <w:spacing w:line="480" w:lineRule="auto"/>
      </w:pPr>
      <w:r>
        <w:t>T</w:t>
      </w:r>
      <w:r w:rsidR="00C4456F">
        <w:t xml:space="preserve">able 1: </w:t>
      </w:r>
      <w:r w:rsidR="00DB01B8">
        <w:t>Model 1,</w:t>
      </w:r>
      <w:r w:rsidR="008D45B8">
        <w:t xml:space="preserve"> all cases (2005-09),</w:t>
      </w:r>
      <w:r w:rsidR="00DB01B8">
        <w:t xml:space="preserve"> d</w:t>
      </w:r>
      <w:r w:rsidR="00C4456F">
        <w:t>escriptive</w:t>
      </w:r>
      <w:r w:rsidR="002E7917">
        <w:t xml:space="preserve"> statistics</w:t>
      </w:r>
    </w:p>
    <w:tbl>
      <w:tblPr>
        <w:tblW w:w="5000" w:type="pct"/>
        <w:tblBorders>
          <w:top w:val="single" w:sz="8" w:space="0" w:color="E0E0E0"/>
        </w:tblBorders>
        <w:tblCellMar>
          <w:left w:w="0" w:type="dxa"/>
          <w:right w:w="0" w:type="dxa"/>
        </w:tblCellMar>
        <w:tblLook w:val="0000" w:firstRow="0" w:lastRow="0" w:firstColumn="0" w:lastColumn="0" w:noHBand="0" w:noVBand="0"/>
      </w:tblPr>
      <w:tblGrid>
        <w:gridCol w:w="3657"/>
        <w:gridCol w:w="1193"/>
        <w:gridCol w:w="1085"/>
        <w:gridCol w:w="1083"/>
        <w:gridCol w:w="962"/>
        <w:gridCol w:w="1046"/>
      </w:tblGrid>
      <w:tr w:rsidR="00B22D1B" w:rsidRPr="00B22D1B" w:rsidTr="00C4456F">
        <w:trPr>
          <w:cantSplit/>
          <w:trHeight w:val="601"/>
        </w:trPr>
        <w:tc>
          <w:tcPr>
            <w:tcW w:w="2036" w:type="pct"/>
            <w:tcBorders>
              <w:top w:val="single" w:sz="4" w:space="0" w:color="auto"/>
              <w:bottom w:val="single" w:sz="4" w:space="0" w:color="auto"/>
            </w:tcBorders>
            <w:shd w:val="clear" w:color="auto" w:fill="auto"/>
            <w:vAlign w:val="bottom"/>
          </w:tcPr>
          <w:p w:rsidR="00B22D1B" w:rsidRPr="00B22D1B" w:rsidRDefault="00B22D1B" w:rsidP="00DB01B8">
            <w:pPr>
              <w:autoSpaceDE w:val="0"/>
              <w:autoSpaceDN w:val="0"/>
              <w:adjustRightInd w:val="0"/>
              <w:spacing w:after="0" w:line="360" w:lineRule="auto"/>
              <w:rPr>
                <w:sz w:val="20"/>
                <w:szCs w:val="20"/>
                <w:lang w:eastAsia="en-GB"/>
              </w:rPr>
            </w:pPr>
          </w:p>
        </w:tc>
        <w:tc>
          <w:tcPr>
            <w:tcW w:w="611" w:type="pct"/>
            <w:tcBorders>
              <w:top w:val="single" w:sz="4" w:space="0" w:color="auto"/>
              <w:bottom w:val="single" w:sz="4" w:space="0" w:color="auto"/>
            </w:tcBorders>
          </w:tcPr>
          <w:p w:rsidR="00B22D1B" w:rsidRDefault="00B22D1B" w:rsidP="00DB01B8">
            <w:pPr>
              <w:autoSpaceDE w:val="0"/>
              <w:autoSpaceDN w:val="0"/>
              <w:adjustRightInd w:val="0"/>
              <w:spacing w:after="0" w:line="360" w:lineRule="auto"/>
              <w:ind w:left="60" w:right="60"/>
              <w:jc w:val="center"/>
              <w:rPr>
                <w:rFonts w:cs="Arial"/>
                <w:sz w:val="20"/>
                <w:szCs w:val="20"/>
                <w:lang w:eastAsia="en-GB"/>
              </w:rPr>
            </w:pPr>
          </w:p>
          <w:p w:rsidR="00B22D1B" w:rsidRPr="00B22D1B" w:rsidRDefault="00B22D1B" w:rsidP="00DB01B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Observations</w:t>
            </w:r>
          </w:p>
        </w:tc>
        <w:tc>
          <w:tcPr>
            <w:tcW w:w="611" w:type="pct"/>
            <w:tcBorders>
              <w:top w:val="single" w:sz="4" w:space="0" w:color="auto"/>
              <w:bottom w:val="single" w:sz="4" w:space="0" w:color="auto"/>
            </w:tcBorders>
            <w:shd w:val="clear" w:color="auto" w:fill="FFFFFF"/>
            <w:vAlign w:val="bottom"/>
          </w:tcPr>
          <w:p w:rsidR="00B22D1B" w:rsidRPr="00B22D1B" w:rsidRDefault="00B22D1B" w:rsidP="00DB01B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Minimum</w:t>
            </w:r>
          </w:p>
        </w:tc>
        <w:tc>
          <w:tcPr>
            <w:tcW w:w="610" w:type="pct"/>
            <w:tcBorders>
              <w:top w:val="single" w:sz="4" w:space="0" w:color="auto"/>
              <w:bottom w:val="single" w:sz="4" w:space="0" w:color="auto"/>
            </w:tcBorders>
            <w:shd w:val="clear" w:color="auto" w:fill="FFFFFF"/>
            <w:vAlign w:val="bottom"/>
          </w:tcPr>
          <w:p w:rsidR="00B22D1B" w:rsidRPr="00B22D1B" w:rsidRDefault="00B22D1B" w:rsidP="00DB01B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Maximum</w:t>
            </w:r>
          </w:p>
        </w:tc>
        <w:tc>
          <w:tcPr>
            <w:tcW w:w="543" w:type="pct"/>
            <w:tcBorders>
              <w:top w:val="single" w:sz="4" w:space="0" w:color="auto"/>
              <w:bottom w:val="single" w:sz="4" w:space="0" w:color="auto"/>
            </w:tcBorders>
            <w:shd w:val="clear" w:color="auto" w:fill="FFFFFF"/>
            <w:vAlign w:val="bottom"/>
          </w:tcPr>
          <w:p w:rsidR="00B22D1B" w:rsidRPr="00B22D1B" w:rsidRDefault="00B22D1B" w:rsidP="00DB01B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Mean</w:t>
            </w:r>
          </w:p>
        </w:tc>
        <w:tc>
          <w:tcPr>
            <w:tcW w:w="589" w:type="pct"/>
            <w:tcBorders>
              <w:top w:val="single" w:sz="4" w:space="0" w:color="auto"/>
              <w:bottom w:val="single" w:sz="4" w:space="0" w:color="auto"/>
            </w:tcBorders>
            <w:shd w:val="clear" w:color="auto" w:fill="FFFFFF"/>
            <w:vAlign w:val="bottom"/>
          </w:tcPr>
          <w:p w:rsidR="00B22D1B" w:rsidRPr="00B22D1B" w:rsidRDefault="00B22D1B" w:rsidP="00DB01B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Std. Deviation</w:t>
            </w:r>
          </w:p>
        </w:tc>
      </w:tr>
      <w:tr w:rsidR="00B22D1B" w:rsidRPr="00B22D1B" w:rsidTr="00C4456F">
        <w:trPr>
          <w:cantSplit/>
          <w:trHeight w:val="288"/>
        </w:trPr>
        <w:tc>
          <w:tcPr>
            <w:tcW w:w="2036" w:type="pct"/>
            <w:tcBorders>
              <w:top w:val="single" w:sz="4" w:space="0" w:color="auto"/>
            </w:tcBorders>
            <w:shd w:val="clear" w:color="auto" w:fill="auto"/>
          </w:tcPr>
          <w:p w:rsidR="00B22D1B" w:rsidRPr="00B22D1B" w:rsidRDefault="00B22D1B" w:rsidP="00DB01B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S106 prevalence</w:t>
            </w:r>
          </w:p>
        </w:tc>
        <w:tc>
          <w:tcPr>
            <w:tcW w:w="611" w:type="pct"/>
            <w:tcBorders>
              <w:top w:val="single" w:sz="4" w:space="0" w:color="auto"/>
            </w:tcBorders>
          </w:tcPr>
          <w:p w:rsidR="00B22D1B" w:rsidRPr="00B22D1B" w:rsidRDefault="00C4456F" w:rsidP="002E7917">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w:t>
            </w:r>
            <w:r w:rsidR="002E7917">
              <w:rPr>
                <w:rFonts w:cs="Arial"/>
                <w:sz w:val="20"/>
                <w:szCs w:val="20"/>
                <w:lang w:eastAsia="en-GB"/>
              </w:rPr>
              <w:t>149</w:t>
            </w:r>
          </w:p>
        </w:tc>
        <w:tc>
          <w:tcPr>
            <w:tcW w:w="611" w:type="pct"/>
            <w:tcBorders>
              <w:top w:val="single" w:sz="4" w:space="0" w:color="auto"/>
            </w:tcBorders>
            <w:shd w:val="clear" w:color="auto" w:fill="FFFFFF"/>
          </w:tcPr>
          <w:p w:rsidR="00B22D1B" w:rsidRPr="00B22D1B" w:rsidRDefault="00B22D1B" w:rsidP="00DB01B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0.00</w:t>
            </w:r>
          </w:p>
        </w:tc>
        <w:tc>
          <w:tcPr>
            <w:tcW w:w="610" w:type="pct"/>
            <w:tcBorders>
              <w:top w:val="single" w:sz="4" w:space="0" w:color="auto"/>
            </w:tcBorders>
            <w:shd w:val="clear" w:color="auto" w:fill="FFFFFF"/>
          </w:tcPr>
          <w:p w:rsidR="00B22D1B" w:rsidRPr="00B22D1B" w:rsidRDefault="00C4456F" w:rsidP="00C4456F">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33</w:t>
            </w:r>
            <w:r w:rsidR="00B22D1B" w:rsidRPr="00B22D1B">
              <w:rPr>
                <w:rFonts w:cs="Arial"/>
                <w:sz w:val="20"/>
                <w:szCs w:val="20"/>
                <w:lang w:eastAsia="en-GB"/>
              </w:rPr>
              <w:t>.</w:t>
            </w:r>
            <w:r w:rsidR="002E7917">
              <w:rPr>
                <w:rFonts w:cs="Arial"/>
                <w:sz w:val="20"/>
                <w:szCs w:val="20"/>
                <w:lang w:eastAsia="en-GB"/>
              </w:rPr>
              <w:t>18</w:t>
            </w:r>
          </w:p>
        </w:tc>
        <w:tc>
          <w:tcPr>
            <w:tcW w:w="543" w:type="pct"/>
            <w:tcBorders>
              <w:top w:val="single" w:sz="4" w:space="0" w:color="auto"/>
            </w:tcBorders>
            <w:shd w:val="clear" w:color="auto" w:fill="FFFFFF"/>
          </w:tcPr>
          <w:p w:rsidR="00B22D1B" w:rsidRPr="00B22D1B" w:rsidRDefault="00C4456F" w:rsidP="002E7917">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3.</w:t>
            </w:r>
            <w:r w:rsidR="002E7917">
              <w:rPr>
                <w:rFonts w:cs="Arial"/>
                <w:sz w:val="20"/>
                <w:szCs w:val="20"/>
                <w:lang w:eastAsia="en-GB"/>
              </w:rPr>
              <w:t>67</w:t>
            </w:r>
          </w:p>
        </w:tc>
        <w:tc>
          <w:tcPr>
            <w:tcW w:w="589" w:type="pct"/>
            <w:tcBorders>
              <w:top w:val="single" w:sz="4" w:space="0" w:color="auto"/>
            </w:tcBorders>
            <w:shd w:val="clear" w:color="auto" w:fill="FFFFFF"/>
          </w:tcPr>
          <w:p w:rsidR="00B22D1B" w:rsidRPr="00B22D1B" w:rsidRDefault="00C4456F" w:rsidP="002E7917">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5.</w:t>
            </w:r>
            <w:r w:rsidR="002E7917">
              <w:rPr>
                <w:rFonts w:cs="Arial"/>
                <w:sz w:val="20"/>
                <w:szCs w:val="20"/>
                <w:lang w:eastAsia="en-GB"/>
              </w:rPr>
              <w:t>0</w:t>
            </w:r>
            <w:r>
              <w:rPr>
                <w:rFonts w:cs="Arial"/>
                <w:sz w:val="20"/>
                <w:szCs w:val="20"/>
                <w:lang w:eastAsia="en-GB"/>
              </w:rPr>
              <w:t>2</w:t>
            </w:r>
          </w:p>
        </w:tc>
      </w:tr>
      <w:tr w:rsidR="00B22D1B" w:rsidRPr="00B22D1B" w:rsidTr="00C4456F">
        <w:trPr>
          <w:cantSplit/>
          <w:trHeight w:val="300"/>
        </w:trPr>
        <w:tc>
          <w:tcPr>
            <w:tcW w:w="2036" w:type="pct"/>
            <w:shd w:val="clear" w:color="auto" w:fill="auto"/>
          </w:tcPr>
          <w:p w:rsidR="00B22D1B" w:rsidRPr="00B22D1B" w:rsidRDefault="00B22D1B" w:rsidP="00DB01B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Left-wing orientation</w:t>
            </w:r>
          </w:p>
        </w:tc>
        <w:tc>
          <w:tcPr>
            <w:tcW w:w="611" w:type="pct"/>
          </w:tcPr>
          <w:p w:rsidR="00B22D1B" w:rsidRPr="00B22D1B" w:rsidRDefault="002E7917" w:rsidP="002E7917">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1149</w:t>
            </w:r>
          </w:p>
        </w:tc>
        <w:tc>
          <w:tcPr>
            <w:tcW w:w="611" w:type="pct"/>
            <w:shd w:val="clear" w:color="auto" w:fill="FFFFFF"/>
          </w:tcPr>
          <w:p w:rsidR="00B22D1B" w:rsidRPr="00B22D1B" w:rsidRDefault="00B22D1B" w:rsidP="00DB01B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0.00</w:t>
            </w:r>
          </w:p>
        </w:tc>
        <w:tc>
          <w:tcPr>
            <w:tcW w:w="610" w:type="pct"/>
            <w:shd w:val="clear" w:color="auto" w:fill="FFFFFF"/>
          </w:tcPr>
          <w:p w:rsidR="00B22D1B" w:rsidRPr="00B22D1B" w:rsidRDefault="00AF206A" w:rsidP="00AF206A">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85</w:t>
            </w:r>
            <w:r w:rsidR="00B22D1B" w:rsidRPr="00B22D1B">
              <w:rPr>
                <w:rFonts w:cs="Arial"/>
                <w:sz w:val="20"/>
                <w:szCs w:val="20"/>
                <w:lang w:eastAsia="en-GB"/>
              </w:rPr>
              <w:t>.</w:t>
            </w:r>
            <w:r>
              <w:rPr>
                <w:rFonts w:cs="Arial"/>
                <w:sz w:val="20"/>
                <w:szCs w:val="20"/>
                <w:lang w:eastAsia="en-GB"/>
              </w:rPr>
              <w:t>87</w:t>
            </w:r>
          </w:p>
        </w:tc>
        <w:tc>
          <w:tcPr>
            <w:tcW w:w="543" w:type="pct"/>
            <w:shd w:val="clear" w:color="auto" w:fill="FFFFFF"/>
          </w:tcPr>
          <w:p w:rsidR="00B22D1B" w:rsidRPr="00B22D1B" w:rsidRDefault="00B22D1B" w:rsidP="00AF206A">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2</w:t>
            </w:r>
            <w:r w:rsidR="00AF206A">
              <w:rPr>
                <w:rFonts w:cs="Arial"/>
                <w:sz w:val="20"/>
                <w:szCs w:val="20"/>
                <w:lang w:eastAsia="en-GB"/>
              </w:rPr>
              <w:t>1</w:t>
            </w:r>
            <w:r>
              <w:rPr>
                <w:rFonts w:cs="Arial"/>
                <w:sz w:val="20"/>
                <w:szCs w:val="20"/>
                <w:lang w:eastAsia="en-GB"/>
              </w:rPr>
              <w:t>.</w:t>
            </w:r>
            <w:r w:rsidR="00AF206A">
              <w:rPr>
                <w:rFonts w:cs="Arial"/>
                <w:sz w:val="20"/>
                <w:szCs w:val="20"/>
                <w:lang w:eastAsia="en-GB"/>
              </w:rPr>
              <w:t>98</w:t>
            </w:r>
          </w:p>
        </w:tc>
        <w:tc>
          <w:tcPr>
            <w:tcW w:w="589" w:type="pct"/>
            <w:shd w:val="clear" w:color="auto" w:fill="FFFFFF"/>
          </w:tcPr>
          <w:p w:rsidR="00B22D1B" w:rsidRPr="00B22D1B" w:rsidRDefault="00B22D1B" w:rsidP="00AF206A">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2</w:t>
            </w:r>
            <w:r w:rsidR="00AF206A">
              <w:rPr>
                <w:rFonts w:cs="Arial"/>
                <w:sz w:val="20"/>
                <w:szCs w:val="20"/>
                <w:lang w:eastAsia="en-GB"/>
              </w:rPr>
              <w:t>1</w:t>
            </w:r>
            <w:r w:rsidRPr="00B22D1B">
              <w:rPr>
                <w:rFonts w:cs="Arial"/>
                <w:sz w:val="20"/>
                <w:szCs w:val="20"/>
                <w:lang w:eastAsia="en-GB"/>
              </w:rPr>
              <w:t>.</w:t>
            </w:r>
            <w:r w:rsidR="00AF206A">
              <w:rPr>
                <w:rFonts w:cs="Arial"/>
                <w:sz w:val="20"/>
                <w:szCs w:val="20"/>
                <w:lang w:eastAsia="en-GB"/>
              </w:rPr>
              <w:t>42</w:t>
            </w:r>
          </w:p>
        </w:tc>
      </w:tr>
      <w:tr w:rsidR="00B22D1B" w:rsidRPr="00B22D1B" w:rsidTr="00C4456F">
        <w:trPr>
          <w:cantSplit/>
          <w:trHeight w:val="300"/>
        </w:trPr>
        <w:tc>
          <w:tcPr>
            <w:tcW w:w="2036" w:type="pct"/>
            <w:shd w:val="clear" w:color="auto" w:fill="auto"/>
          </w:tcPr>
          <w:p w:rsidR="00B22D1B" w:rsidRPr="00B22D1B" w:rsidRDefault="00B22D1B" w:rsidP="00DB01B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 xml:space="preserve">Housing waiting list </w:t>
            </w:r>
          </w:p>
        </w:tc>
        <w:tc>
          <w:tcPr>
            <w:tcW w:w="611" w:type="pct"/>
          </w:tcPr>
          <w:p w:rsidR="00B22D1B" w:rsidRPr="00B22D1B" w:rsidRDefault="002E7917" w:rsidP="002E7917">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1149</w:t>
            </w:r>
          </w:p>
        </w:tc>
        <w:tc>
          <w:tcPr>
            <w:tcW w:w="611" w:type="pct"/>
            <w:shd w:val="clear" w:color="auto" w:fill="FFFFFF"/>
          </w:tcPr>
          <w:p w:rsidR="00B22D1B" w:rsidRPr="00B22D1B" w:rsidRDefault="00B22D1B" w:rsidP="00DB01B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14</w:t>
            </w:r>
            <w:r w:rsidRPr="00B22D1B">
              <w:rPr>
                <w:rFonts w:cs="Arial"/>
                <w:sz w:val="20"/>
                <w:szCs w:val="20"/>
                <w:lang w:eastAsia="en-GB"/>
              </w:rPr>
              <w:t>.00</w:t>
            </w:r>
          </w:p>
        </w:tc>
        <w:tc>
          <w:tcPr>
            <w:tcW w:w="610" w:type="pct"/>
            <w:shd w:val="clear" w:color="auto" w:fill="FFFFFF"/>
          </w:tcPr>
          <w:p w:rsidR="00B22D1B" w:rsidRPr="00B22D1B" w:rsidRDefault="00B22D1B" w:rsidP="00DB01B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92702.00</w:t>
            </w:r>
          </w:p>
        </w:tc>
        <w:tc>
          <w:tcPr>
            <w:tcW w:w="543" w:type="pct"/>
            <w:shd w:val="clear" w:color="auto" w:fill="FFFFFF"/>
          </w:tcPr>
          <w:p w:rsidR="00B22D1B" w:rsidRPr="00B22D1B" w:rsidRDefault="00AF206A" w:rsidP="00AF206A">
            <w:pPr>
              <w:autoSpaceDE w:val="0"/>
              <w:autoSpaceDN w:val="0"/>
              <w:adjustRightInd w:val="0"/>
              <w:spacing w:after="0" w:line="360" w:lineRule="auto"/>
              <w:ind w:left="60" w:right="60"/>
              <w:jc w:val="right"/>
              <w:rPr>
                <w:rFonts w:cs="Arial"/>
                <w:sz w:val="20"/>
                <w:szCs w:val="20"/>
                <w:lang w:eastAsia="en-GB"/>
              </w:rPr>
            </w:pPr>
            <w:r w:rsidRPr="00AF206A">
              <w:rPr>
                <w:rFonts w:cs="Arial"/>
                <w:sz w:val="20"/>
                <w:szCs w:val="20"/>
                <w:lang w:eastAsia="en-GB"/>
              </w:rPr>
              <w:t>4536.</w:t>
            </w:r>
            <w:r>
              <w:rPr>
                <w:rFonts w:cs="Arial"/>
                <w:sz w:val="20"/>
                <w:szCs w:val="20"/>
                <w:lang w:eastAsia="en-GB"/>
              </w:rPr>
              <w:t>70</w:t>
            </w:r>
          </w:p>
        </w:tc>
        <w:tc>
          <w:tcPr>
            <w:tcW w:w="589" w:type="pct"/>
            <w:shd w:val="clear" w:color="auto" w:fill="FFFFFF"/>
          </w:tcPr>
          <w:p w:rsidR="00B22D1B" w:rsidRPr="00B22D1B" w:rsidRDefault="00AF206A" w:rsidP="00C4456F">
            <w:pPr>
              <w:autoSpaceDE w:val="0"/>
              <w:autoSpaceDN w:val="0"/>
              <w:adjustRightInd w:val="0"/>
              <w:spacing w:after="0" w:line="360" w:lineRule="auto"/>
              <w:ind w:left="60" w:right="60"/>
              <w:jc w:val="right"/>
              <w:rPr>
                <w:rFonts w:cs="Arial"/>
                <w:sz w:val="20"/>
                <w:szCs w:val="20"/>
                <w:lang w:eastAsia="en-GB"/>
              </w:rPr>
            </w:pPr>
            <w:r w:rsidRPr="00AF206A">
              <w:rPr>
                <w:rFonts w:cs="Arial"/>
                <w:sz w:val="20"/>
                <w:szCs w:val="20"/>
                <w:lang w:eastAsia="en-GB"/>
              </w:rPr>
              <w:t>6604.81</w:t>
            </w:r>
          </w:p>
        </w:tc>
      </w:tr>
      <w:tr w:rsidR="00B22D1B" w:rsidRPr="00B22D1B" w:rsidTr="00C4456F">
        <w:trPr>
          <w:cantSplit/>
          <w:trHeight w:val="300"/>
        </w:trPr>
        <w:tc>
          <w:tcPr>
            <w:tcW w:w="2036" w:type="pct"/>
            <w:tcBorders>
              <w:bottom w:val="nil"/>
            </w:tcBorders>
            <w:shd w:val="clear" w:color="auto" w:fill="auto"/>
          </w:tcPr>
          <w:p w:rsidR="00B22D1B" w:rsidRPr="00B22D1B" w:rsidRDefault="00B22D1B" w:rsidP="00DB01B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 xml:space="preserve">Housing affordability (income-price ratio) </w:t>
            </w:r>
          </w:p>
        </w:tc>
        <w:tc>
          <w:tcPr>
            <w:tcW w:w="611" w:type="pct"/>
            <w:tcBorders>
              <w:bottom w:val="nil"/>
            </w:tcBorders>
          </w:tcPr>
          <w:p w:rsidR="00B22D1B" w:rsidRPr="00B22D1B" w:rsidRDefault="002E7917" w:rsidP="002E7917">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1149</w:t>
            </w:r>
          </w:p>
        </w:tc>
        <w:tc>
          <w:tcPr>
            <w:tcW w:w="611" w:type="pct"/>
            <w:tcBorders>
              <w:bottom w:val="nil"/>
            </w:tcBorders>
            <w:shd w:val="clear" w:color="auto" w:fill="FFFFFF"/>
          </w:tcPr>
          <w:p w:rsidR="00B22D1B" w:rsidRPr="00B22D1B" w:rsidRDefault="00591A8D" w:rsidP="00591A8D">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2</w:t>
            </w:r>
            <w:r w:rsidR="00B22D1B">
              <w:rPr>
                <w:rFonts w:cs="Arial"/>
                <w:sz w:val="20"/>
                <w:szCs w:val="20"/>
                <w:lang w:eastAsia="en-GB"/>
              </w:rPr>
              <w:t>.</w:t>
            </w:r>
            <w:r>
              <w:rPr>
                <w:rFonts w:cs="Arial"/>
                <w:sz w:val="20"/>
                <w:szCs w:val="20"/>
                <w:lang w:eastAsia="en-GB"/>
              </w:rPr>
              <w:t>41</w:t>
            </w:r>
          </w:p>
        </w:tc>
        <w:tc>
          <w:tcPr>
            <w:tcW w:w="610" w:type="pct"/>
            <w:tcBorders>
              <w:bottom w:val="nil"/>
            </w:tcBorders>
            <w:shd w:val="clear" w:color="auto" w:fill="FFFFFF"/>
          </w:tcPr>
          <w:p w:rsidR="00B22D1B" w:rsidRPr="00B22D1B" w:rsidRDefault="00B22D1B" w:rsidP="00B22D1B">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1</w:t>
            </w:r>
            <w:r>
              <w:rPr>
                <w:rFonts w:cs="Arial"/>
                <w:sz w:val="20"/>
                <w:szCs w:val="20"/>
                <w:lang w:eastAsia="en-GB"/>
              </w:rPr>
              <w:t>4</w:t>
            </w:r>
            <w:r w:rsidRPr="00B22D1B">
              <w:rPr>
                <w:rFonts w:cs="Arial"/>
                <w:sz w:val="20"/>
                <w:szCs w:val="20"/>
                <w:lang w:eastAsia="en-GB"/>
              </w:rPr>
              <w:t>.8</w:t>
            </w:r>
            <w:r>
              <w:rPr>
                <w:rFonts w:cs="Arial"/>
                <w:sz w:val="20"/>
                <w:szCs w:val="20"/>
                <w:lang w:eastAsia="en-GB"/>
              </w:rPr>
              <w:t>5</w:t>
            </w:r>
          </w:p>
        </w:tc>
        <w:tc>
          <w:tcPr>
            <w:tcW w:w="543" w:type="pct"/>
            <w:tcBorders>
              <w:bottom w:val="nil"/>
            </w:tcBorders>
            <w:shd w:val="clear" w:color="auto" w:fill="FFFFFF"/>
          </w:tcPr>
          <w:p w:rsidR="00B22D1B" w:rsidRPr="00B22D1B" w:rsidRDefault="00B22D1B" w:rsidP="00591A8D">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7.0</w:t>
            </w:r>
            <w:r w:rsidR="00591A8D">
              <w:rPr>
                <w:rFonts w:cs="Arial"/>
                <w:sz w:val="20"/>
                <w:szCs w:val="20"/>
                <w:lang w:eastAsia="en-GB"/>
              </w:rPr>
              <w:t>6</w:t>
            </w:r>
          </w:p>
        </w:tc>
        <w:tc>
          <w:tcPr>
            <w:tcW w:w="589" w:type="pct"/>
            <w:tcBorders>
              <w:bottom w:val="nil"/>
            </w:tcBorders>
            <w:shd w:val="clear" w:color="auto" w:fill="FFFFFF"/>
          </w:tcPr>
          <w:p w:rsidR="00B22D1B" w:rsidRPr="00B22D1B" w:rsidRDefault="00B22D1B" w:rsidP="00B22D1B">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1.</w:t>
            </w:r>
            <w:r w:rsidR="00591A8D">
              <w:rPr>
                <w:rFonts w:cs="Arial"/>
                <w:sz w:val="20"/>
                <w:szCs w:val="20"/>
                <w:lang w:eastAsia="en-GB"/>
              </w:rPr>
              <w:t>53</w:t>
            </w:r>
          </w:p>
        </w:tc>
      </w:tr>
      <w:tr w:rsidR="00B22D1B" w:rsidRPr="00B22D1B" w:rsidTr="00380980">
        <w:trPr>
          <w:cantSplit/>
          <w:trHeight w:val="300"/>
        </w:trPr>
        <w:tc>
          <w:tcPr>
            <w:tcW w:w="2036" w:type="pct"/>
            <w:tcBorders>
              <w:top w:val="nil"/>
              <w:bottom w:val="nil"/>
            </w:tcBorders>
            <w:shd w:val="clear" w:color="auto" w:fill="auto"/>
          </w:tcPr>
          <w:p w:rsidR="00B22D1B" w:rsidRPr="00B22D1B" w:rsidRDefault="00B22D1B" w:rsidP="00DB01B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 xml:space="preserve">Market buoyancy (construction) </w:t>
            </w:r>
          </w:p>
        </w:tc>
        <w:tc>
          <w:tcPr>
            <w:tcW w:w="611" w:type="pct"/>
            <w:tcBorders>
              <w:top w:val="nil"/>
              <w:bottom w:val="nil"/>
            </w:tcBorders>
          </w:tcPr>
          <w:p w:rsidR="00B22D1B" w:rsidRPr="00B22D1B" w:rsidRDefault="002E7917" w:rsidP="002E7917">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1149</w:t>
            </w:r>
          </w:p>
        </w:tc>
        <w:tc>
          <w:tcPr>
            <w:tcW w:w="611" w:type="pct"/>
            <w:tcBorders>
              <w:top w:val="nil"/>
              <w:bottom w:val="nil"/>
            </w:tcBorders>
            <w:shd w:val="clear" w:color="auto" w:fill="FFFFFF"/>
          </w:tcPr>
          <w:p w:rsidR="00B22D1B" w:rsidRPr="00B22D1B" w:rsidRDefault="005D338D" w:rsidP="00DB01B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36.67</w:t>
            </w:r>
          </w:p>
        </w:tc>
        <w:tc>
          <w:tcPr>
            <w:tcW w:w="610" w:type="pct"/>
            <w:tcBorders>
              <w:top w:val="nil"/>
              <w:bottom w:val="nil"/>
            </w:tcBorders>
            <w:shd w:val="clear" w:color="auto" w:fill="FFFFFF"/>
          </w:tcPr>
          <w:p w:rsidR="00B22D1B" w:rsidRPr="00B22D1B" w:rsidRDefault="005D338D" w:rsidP="00B22D1B">
            <w:pPr>
              <w:autoSpaceDE w:val="0"/>
              <w:autoSpaceDN w:val="0"/>
              <w:adjustRightInd w:val="0"/>
              <w:spacing w:after="0" w:line="360" w:lineRule="auto"/>
              <w:ind w:left="60" w:right="60"/>
              <w:jc w:val="right"/>
              <w:rPr>
                <w:rFonts w:cs="Arial"/>
                <w:sz w:val="20"/>
                <w:szCs w:val="20"/>
                <w:lang w:eastAsia="en-GB"/>
              </w:rPr>
            </w:pPr>
            <w:r w:rsidRPr="005D338D">
              <w:rPr>
                <w:rFonts w:cs="Arial"/>
                <w:sz w:val="20"/>
                <w:szCs w:val="20"/>
                <w:lang w:eastAsia="en-GB"/>
              </w:rPr>
              <w:t>2986.67</w:t>
            </w:r>
          </w:p>
        </w:tc>
        <w:tc>
          <w:tcPr>
            <w:tcW w:w="543" w:type="pct"/>
            <w:tcBorders>
              <w:top w:val="nil"/>
              <w:bottom w:val="nil"/>
            </w:tcBorders>
            <w:shd w:val="clear" w:color="auto" w:fill="FFFFFF"/>
          </w:tcPr>
          <w:p w:rsidR="00B22D1B" w:rsidRPr="00B22D1B" w:rsidRDefault="005D338D" w:rsidP="001E439B">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393.77</w:t>
            </w:r>
          </w:p>
        </w:tc>
        <w:tc>
          <w:tcPr>
            <w:tcW w:w="589" w:type="pct"/>
            <w:tcBorders>
              <w:top w:val="nil"/>
              <w:bottom w:val="nil"/>
            </w:tcBorders>
            <w:shd w:val="clear" w:color="auto" w:fill="FFFFFF"/>
          </w:tcPr>
          <w:p w:rsidR="00B22D1B" w:rsidRPr="00B22D1B" w:rsidRDefault="005D338D" w:rsidP="001E439B">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302.97</w:t>
            </w:r>
          </w:p>
        </w:tc>
      </w:tr>
      <w:tr w:rsidR="00380980" w:rsidRPr="00B22D1B" w:rsidTr="00C4456F">
        <w:trPr>
          <w:cantSplit/>
          <w:trHeight w:val="300"/>
        </w:trPr>
        <w:tc>
          <w:tcPr>
            <w:tcW w:w="2036" w:type="pct"/>
            <w:tcBorders>
              <w:top w:val="nil"/>
              <w:bottom w:val="single" w:sz="4" w:space="0" w:color="auto"/>
            </w:tcBorders>
            <w:shd w:val="clear" w:color="auto" w:fill="auto"/>
          </w:tcPr>
          <w:p w:rsidR="00380980" w:rsidRPr="00B22D1B" w:rsidRDefault="00380980" w:rsidP="00DB01B8">
            <w:pPr>
              <w:autoSpaceDE w:val="0"/>
              <w:autoSpaceDN w:val="0"/>
              <w:adjustRightInd w:val="0"/>
              <w:spacing w:after="0" w:line="360" w:lineRule="auto"/>
              <w:ind w:left="60" w:right="60"/>
              <w:rPr>
                <w:rFonts w:cs="Arial"/>
                <w:sz w:val="20"/>
                <w:szCs w:val="20"/>
                <w:lang w:eastAsia="en-GB"/>
              </w:rPr>
            </w:pPr>
            <w:r>
              <w:rPr>
                <w:rFonts w:cs="Arial"/>
                <w:sz w:val="20"/>
                <w:szCs w:val="20"/>
                <w:lang w:eastAsia="en-GB"/>
              </w:rPr>
              <w:t>Pre-/post-financial crisis</w:t>
            </w:r>
          </w:p>
        </w:tc>
        <w:tc>
          <w:tcPr>
            <w:tcW w:w="611" w:type="pct"/>
            <w:tcBorders>
              <w:top w:val="nil"/>
              <w:bottom w:val="single" w:sz="4" w:space="0" w:color="auto"/>
            </w:tcBorders>
          </w:tcPr>
          <w:p w:rsidR="00380980" w:rsidRDefault="00380980" w:rsidP="002E7917">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1149</w:t>
            </w:r>
          </w:p>
        </w:tc>
        <w:tc>
          <w:tcPr>
            <w:tcW w:w="611" w:type="pct"/>
            <w:tcBorders>
              <w:top w:val="nil"/>
              <w:bottom w:val="single" w:sz="4" w:space="0" w:color="auto"/>
            </w:tcBorders>
            <w:shd w:val="clear" w:color="auto" w:fill="FFFFFF"/>
          </w:tcPr>
          <w:p w:rsidR="00380980" w:rsidRDefault="00380980" w:rsidP="00DB01B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0</w:t>
            </w:r>
          </w:p>
        </w:tc>
        <w:tc>
          <w:tcPr>
            <w:tcW w:w="610" w:type="pct"/>
            <w:tcBorders>
              <w:top w:val="nil"/>
              <w:bottom w:val="single" w:sz="4" w:space="0" w:color="auto"/>
            </w:tcBorders>
            <w:shd w:val="clear" w:color="auto" w:fill="FFFFFF"/>
          </w:tcPr>
          <w:p w:rsidR="00380980" w:rsidRPr="005D338D" w:rsidRDefault="00380980" w:rsidP="00B22D1B">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w:t>
            </w:r>
          </w:p>
        </w:tc>
        <w:tc>
          <w:tcPr>
            <w:tcW w:w="543" w:type="pct"/>
            <w:tcBorders>
              <w:top w:val="nil"/>
              <w:bottom w:val="single" w:sz="4" w:space="0" w:color="auto"/>
            </w:tcBorders>
            <w:shd w:val="clear" w:color="auto" w:fill="FFFFFF"/>
          </w:tcPr>
          <w:p w:rsidR="00380980" w:rsidRDefault="00380980" w:rsidP="001E439B">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0.621</w:t>
            </w:r>
          </w:p>
        </w:tc>
        <w:tc>
          <w:tcPr>
            <w:tcW w:w="589" w:type="pct"/>
            <w:tcBorders>
              <w:top w:val="nil"/>
              <w:bottom w:val="single" w:sz="4" w:space="0" w:color="auto"/>
            </w:tcBorders>
            <w:shd w:val="clear" w:color="auto" w:fill="FFFFFF"/>
          </w:tcPr>
          <w:p w:rsidR="00380980" w:rsidRDefault="00380980" w:rsidP="001E439B">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0.485</w:t>
            </w:r>
          </w:p>
        </w:tc>
      </w:tr>
    </w:tbl>
    <w:p w:rsidR="00DB01B8" w:rsidRDefault="00DB01B8" w:rsidP="002F5457">
      <w:pPr>
        <w:spacing w:line="480" w:lineRule="auto"/>
      </w:pPr>
    </w:p>
    <w:p w:rsidR="00BE7C8B" w:rsidRDefault="001E439B" w:rsidP="00CA584C">
      <w:pPr>
        <w:spacing w:line="480" w:lineRule="auto"/>
        <w:ind w:firstLine="720"/>
      </w:pPr>
      <w:r>
        <w:t>Running</w:t>
      </w:r>
      <w:r w:rsidR="00783A8E">
        <w:t xml:space="preserve"> an OLS regression to see what explains this variation, we get the following results. </w:t>
      </w:r>
      <w:r w:rsidR="007E7164">
        <w:t xml:space="preserve">Model 1 includes all cases from 2005-09. </w:t>
      </w:r>
      <w:r w:rsidR="009E491F">
        <w:t>Overall, Model 1 is significant</w:t>
      </w:r>
      <w:r w:rsidR="00101B2A">
        <w:t xml:space="preserve"> (</w:t>
      </w:r>
      <w:proofErr w:type="gramStart"/>
      <w:r w:rsidR="00101B2A">
        <w:t>F(</w:t>
      </w:r>
      <w:proofErr w:type="gramEnd"/>
      <w:r w:rsidR="00101B2A">
        <w:t>6,1142) = 21.981, p&lt;.000)</w:t>
      </w:r>
      <w:r w:rsidR="009E491F">
        <w:t>, and explains around 10 percent of the observed variation (R</w:t>
      </w:r>
      <w:r w:rsidR="009E491F" w:rsidRPr="009E491F">
        <w:rPr>
          <w:vertAlign w:val="superscript"/>
        </w:rPr>
        <w:t>2</w:t>
      </w:r>
      <w:r w:rsidR="009E491F">
        <w:t xml:space="preserve">=.103). </w:t>
      </w:r>
      <w:r w:rsidR="006A738B">
        <w:t>W</w:t>
      </w:r>
      <w:r w:rsidR="007E7164">
        <w:t>e see that</w:t>
      </w:r>
      <w:r w:rsidR="006A738B">
        <w:t>,</w:t>
      </w:r>
      <w:r w:rsidR="0061469A">
        <w:t xml:space="preserve"> over this </w:t>
      </w:r>
      <w:r w:rsidR="0061469A">
        <w:lastRenderedPageBreak/>
        <w:t>timeframe</w:t>
      </w:r>
      <w:r w:rsidR="006A738B">
        <w:t>,</w:t>
      </w:r>
      <w:r w:rsidR="007E7164">
        <w:t xml:space="preserve"> the rate of construction and house price affordability </w:t>
      </w:r>
      <w:r w:rsidR="0061469A">
        <w:t>had</w:t>
      </w:r>
      <w:r w:rsidR="006A738B">
        <w:t xml:space="preserve"> a significant effect on authorities’ </w:t>
      </w:r>
      <w:r w:rsidR="007E7164">
        <w:t>propensity to deploy S106</w:t>
      </w:r>
      <w:r w:rsidR="00BE7C8B">
        <w:t>, with higher rates of new-build activity and higher income-to-price ratios (i.e. lower affordability) being associated with a higher use of S106</w:t>
      </w:r>
      <w:r w:rsidR="007E7164">
        <w:t>.</w:t>
      </w:r>
      <w:r w:rsidR="0061469A">
        <w:t xml:space="preserve"> </w:t>
      </w:r>
      <w:r w:rsidR="007E7164">
        <w:t xml:space="preserve">We </w:t>
      </w:r>
      <w:proofErr w:type="gramStart"/>
      <w:r w:rsidR="007E7164">
        <w:t xml:space="preserve">see also that </w:t>
      </w:r>
      <w:r w:rsidR="00A059AC">
        <w:t>issue salience, as measured by our</w:t>
      </w:r>
      <w:r w:rsidR="007E7164">
        <w:t xml:space="preserve"> financial crisis</w:t>
      </w:r>
      <w:r w:rsidR="00A059AC">
        <w:t>-related dummy variable,</w:t>
      </w:r>
      <w:r w:rsidR="007E7164">
        <w:t xml:space="preserve"> </w:t>
      </w:r>
      <w:r w:rsidR="0061469A">
        <w:t>had a significant</w:t>
      </w:r>
      <w:r w:rsidR="00BE7C8B">
        <w:t xml:space="preserve"> and positive associat</w:t>
      </w:r>
      <w:r w:rsidR="0061469A">
        <w:t>ion</w:t>
      </w:r>
      <w:r w:rsidR="00BE7C8B">
        <w:t xml:space="preserve"> with S106 outcomes</w:t>
      </w:r>
      <w:proofErr w:type="gramEnd"/>
      <w:r w:rsidR="00BE7C8B">
        <w:t>.</w:t>
      </w:r>
      <w:r w:rsidR="003D678F">
        <w:rPr>
          <w:rStyle w:val="FootnoteReference"/>
        </w:rPr>
        <w:footnoteReference w:id="27"/>
      </w:r>
      <w:r w:rsidR="0061469A">
        <w:t xml:space="preserve"> </w:t>
      </w:r>
      <w:r w:rsidR="00412E2F">
        <w:t>Given the significance of the salience measure, we can assume that the pre- and post-financial crisis periods are significantly different</w:t>
      </w:r>
      <w:r w:rsidR="00790950">
        <w:t>.</w:t>
      </w:r>
      <w:r w:rsidR="00EB61DF">
        <w:t xml:space="preserve"> </w:t>
      </w:r>
      <w:r w:rsidR="00412E2F">
        <w:t xml:space="preserve">We therefore run separate regression analyses for these periods, to probe these different dynamics. </w:t>
      </w:r>
      <w:r w:rsidR="002F7026">
        <w:t xml:space="preserve">Consequently, </w:t>
      </w:r>
      <w:r w:rsidR="00790950">
        <w:t>Model 2 presents an</w:t>
      </w:r>
      <w:r w:rsidR="00EB61DF">
        <w:t xml:space="preserve"> analys</w:t>
      </w:r>
      <w:r w:rsidR="00790950">
        <w:t>i</w:t>
      </w:r>
      <w:r w:rsidR="00EB61DF">
        <w:t>s of</w:t>
      </w:r>
      <w:r w:rsidR="00412E2F">
        <w:t xml:space="preserve"> pre-crisis cases from</w:t>
      </w:r>
      <w:r w:rsidR="00EB61DF">
        <w:t xml:space="preserve"> 2005-06</w:t>
      </w:r>
      <w:r w:rsidR="00790950">
        <w:t>, and Model 3 covers</w:t>
      </w:r>
      <w:r w:rsidR="00412E2F">
        <w:t xml:space="preserve"> the post-crisis</w:t>
      </w:r>
      <w:r w:rsidR="00EB61DF">
        <w:t xml:space="preserve"> 2007-09</w:t>
      </w:r>
      <w:r w:rsidR="00412E2F">
        <w:t xml:space="preserve"> period</w:t>
      </w:r>
      <w:r w:rsidR="00CA584C">
        <w:t>.</w:t>
      </w:r>
      <w:r w:rsidR="006A738B">
        <w:t xml:space="preserve"> </w:t>
      </w:r>
    </w:p>
    <w:p w:rsidR="00816580" w:rsidRDefault="00816580" w:rsidP="00816580">
      <w:pPr>
        <w:spacing w:line="480" w:lineRule="auto"/>
      </w:pPr>
    </w:p>
    <w:p w:rsidR="00816580" w:rsidRDefault="00816580" w:rsidP="00816580">
      <w:pPr>
        <w:spacing w:line="480" w:lineRule="auto"/>
      </w:pPr>
      <w:r>
        <w:t>Table 2: Model 2, pre-crisis cases (2005-06), descriptive statistics</w:t>
      </w:r>
    </w:p>
    <w:tbl>
      <w:tblPr>
        <w:tblW w:w="5000" w:type="pct"/>
        <w:tblBorders>
          <w:top w:val="single" w:sz="8" w:space="0" w:color="E0E0E0"/>
        </w:tblBorders>
        <w:tblCellMar>
          <w:left w:w="0" w:type="dxa"/>
          <w:right w:w="0" w:type="dxa"/>
        </w:tblCellMar>
        <w:tblLook w:val="0000" w:firstRow="0" w:lastRow="0" w:firstColumn="0" w:lastColumn="0" w:noHBand="0" w:noVBand="0"/>
      </w:tblPr>
      <w:tblGrid>
        <w:gridCol w:w="3658"/>
        <w:gridCol w:w="1193"/>
        <w:gridCol w:w="1085"/>
        <w:gridCol w:w="1083"/>
        <w:gridCol w:w="962"/>
        <w:gridCol w:w="1045"/>
      </w:tblGrid>
      <w:tr w:rsidR="00816580" w:rsidRPr="00B22D1B" w:rsidTr="00805F08">
        <w:trPr>
          <w:cantSplit/>
          <w:trHeight w:val="601"/>
        </w:trPr>
        <w:tc>
          <w:tcPr>
            <w:tcW w:w="2026" w:type="pct"/>
            <w:tcBorders>
              <w:top w:val="single" w:sz="4" w:space="0" w:color="auto"/>
              <w:bottom w:val="single" w:sz="4" w:space="0" w:color="auto"/>
            </w:tcBorders>
            <w:shd w:val="clear" w:color="auto" w:fill="auto"/>
            <w:vAlign w:val="bottom"/>
          </w:tcPr>
          <w:p w:rsidR="00816580" w:rsidRPr="00B22D1B" w:rsidRDefault="00816580" w:rsidP="00805F08">
            <w:pPr>
              <w:autoSpaceDE w:val="0"/>
              <w:autoSpaceDN w:val="0"/>
              <w:adjustRightInd w:val="0"/>
              <w:spacing w:after="0" w:line="360" w:lineRule="auto"/>
              <w:rPr>
                <w:sz w:val="20"/>
                <w:szCs w:val="20"/>
                <w:lang w:eastAsia="en-GB"/>
              </w:rPr>
            </w:pPr>
          </w:p>
        </w:tc>
        <w:tc>
          <w:tcPr>
            <w:tcW w:w="661" w:type="pct"/>
            <w:tcBorders>
              <w:top w:val="single" w:sz="4" w:space="0" w:color="auto"/>
              <w:bottom w:val="single" w:sz="4" w:space="0" w:color="auto"/>
            </w:tcBorders>
          </w:tcPr>
          <w:p w:rsidR="00816580" w:rsidRDefault="00816580" w:rsidP="00805F08">
            <w:pPr>
              <w:autoSpaceDE w:val="0"/>
              <w:autoSpaceDN w:val="0"/>
              <w:adjustRightInd w:val="0"/>
              <w:spacing w:after="0" w:line="360" w:lineRule="auto"/>
              <w:ind w:left="60" w:right="60"/>
              <w:jc w:val="center"/>
              <w:rPr>
                <w:rFonts w:cs="Arial"/>
                <w:sz w:val="20"/>
                <w:szCs w:val="20"/>
                <w:lang w:eastAsia="en-GB"/>
              </w:rPr>
            </w:pPr>
          </w:p>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Observations</w:t>
            </w:r>
          </w:p>
        </w:tc>
        <w:tc>
          <w:tcPr>
            <w:tcW w:w="601" w:type="pct"/>
            <w:tcBorders>
              <w:top w:val="single" w:sz="4" w:space="0" w:color="auto"/>
              <w:bottom w:val="single" w:sz="4" w:space="0" w:color="auto"/>
            </w:tcBorders>
            <w:shd w:val="clear" w:color="auto" w:fill="FFFFFF"/>
            <w:vAlign w:val="bottom"/>
          </w:tcPr>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Minimum</w:t>
            </w:r>
          </w:p>
        </w:tc>
        <w:tc>
          <w:tcPr>
            <w:tcW w:w="600" w:type="pct"/>
            <w:tcBorders>
              <w:top w:val="single" w:sz="4" w:space="0" w:color="auto"/>
              <w:bottom w:val="single" w:sz="4" w:space="0" w:color="auto"/>
            </w:tcBorders>
            <w:shd w:val="clear" w:color="auto" w:fill="FFFFFF"/>
            <w:vAlign w:val="bottom"/>
          </w:tcPr>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Maximum</w:t>
            </w:r>
          </w:p>
        </w:tc>
        <w:tc>
          <w:tcPr>
            <w:tcW w:w="533" w:type="pct"/>
            <w:tcBorders>
              <w:top w:val="single" w:sz="4" w:space="0" w:color="auto"/>
              <w:bottom w:val="single" w:sz="4" w:space="0" w:color="auto"/>
            </w:tcBorders>
            <w:shd w:val="clear" w:color="auto" w:fill="FFFFFF"/>
            <w:vAlign w:val="bottom"/>
          </w:tcPr>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Mean</w:t>
            </w:r>
          </w:p>
        </w:tc>
        <w:tc>
          <w:tcPr>
            <w:tcW w:w="579" w:type="pct"/>
            <w:tcBorders>
              <w:top w:val="single" w:sz="4" w:space="0" w:color="auto"/>
              <w:bottom w:val="single" w:sz="4" w:space="0" w:color="auto"/>
            </w:tcBorders>
            <w:shd w:val="clear" w:color="auto" w:fill="FFFFFF"/>
            <w:vAlign w:val="bottom"/>
          </w:tcPr>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Std. Deviation</w:t>
            </w:r>
          </w:p>
        </w:tc>
      </w:tr>
      <w:tr w:rsidR="00816580" w:rsidRPr="00B22D1B" w:rsidTr="00805F08">
        <w:trPr>
          <w:cantSplit/>
          <w:trHeight w:val="288"/>
        </w:trPr>
        <w:tc>
          <w:tcPr>
            <w:tcW w:w="2026" w:type="pct"/>
            <w:tcBorders>
              <w:top w:val="single" w:sz="4" w:space="0" w:color="auto"/>
            </w:tcBorders>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S106 prevalence</w:t>
            </w:r>
          </w:p>
        </w:tc>
        <w:tc>
          <w:tcPr>
            <w:tcW w:w="661" w:type="pct"/>
            <w:tcBorders>
              <w:top w:val="single" w:sz="4" w:space="0" w:color="auto"/>
            </w:tcBorders>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435</w:t>
            </w:r>
          </w:p>
        </w:tc>
        <w:tc>
          <w:tcPr>
            <w:tcW w:w="601" w:type="pct"/>
            <w:tcBorders>
              <w:top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0.00</w:t>
            </w:r>
          </w:p>
        </w:tc>
        <w:tc>
          <w:tcPr>
            <w:tcW w:w="600" w:type="pct"/>
            <w:tcBorders>
              <w:top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20</w:t>
            </w:r>
            <w:r w:rsidRPr="00B22D1B">
              <w:rPr>
                <w:rFonts w:cs="Arial"/>
                <w:sz w:val="20"/>
                <w:szCs w:val="20"/>
                <w:lang w:eastAsia="en-GB"/>
              </w:rPr>
              <w:t>.</w:t>
            </w:r>
            <w:r>
              <w:rPr>
                <w:rFonts w:cs="Arial"/>
                <w:sz w:val="20"/>
                <w:szCs w:val="20"/>
                <w:lang w:eastAsia="en-GB"/>
              </w:rPr>
              <w:t>34</w:t>
            </w:r>
          </w:p>
        </w:tc>
        <w:tc>
          <w:tcPr>
            <w:tcW w:w="533" w:type="pct"/>
            <w:tcBorders>
              <w:top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2.10</w:t>
            </w:r>
          </w:p>
        </w:tc>
        <w:tc>
          <w:tcPr>
            <w:tcW w:w="579" w:type="pct"/>
            <w:tcBorders>
              <w:top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2.69</w:t>
            </w:r>
          </w:p>
        </w:tc>
      </w:tr>
      <w:tr w:rsidR="00816580" w:rsidRPr="00B22D1B" w:rsidTr="00805F08">
        <w:trPr>
          <w:cantSplit/>
          <w:trHeight w:val="300"/>
        </w:trPr>
        <w:tc>
          <w:tcPr>
            <w:tcW w:w="2026" w:type="pct"/>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Left-wing orientation</w:t>
            </w:r>
          </w:p>
        </w:tc>
        <w:tc>
          <w:tcPr>
            <w:tcW w:w="661" w:type="pct"/>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435</w:t>
            </w:r>
          </w:p>
        </w:tc>
        <w:tc>
          <w:tcPr>
            <w:tcW w:w="601"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0.00</w:t>
            </w:r>
          </w:p>
        </w:tc>
        <w:tc>
          <w:tcPr>
            <w:tcW w:w="600"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85.87</w:t>
            </w:r>
          </w:p>
        </w:tc>
        <w:tc>
          <w:tcPr>
            <w:tcW w:w="533"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2</w:t>
            </w:r>
            <w:r>
              <w:rPr>
                <w:rFonts w:cs="Arial"/>
                <w:sz w:val="20"/>
                <w:szCs w:val="20"/>
                <w:lang w:eastAsia="en-GB"/>
              </w:rPr>
              <w:t>4.22</w:t>
            </w:r>
          </w:p>
        </w:tc>
        <w:tc>
          <w:tcPr>
            <w:tcW w:w="579"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2</w:t>
            </w:r>
            <w:r>
              <w:rPr>
                <w:rFonts w:cs="Arial"/>
                <w:sz w:val="20"/>
                <w:szCs w:val="20"/>
                <w:lang w:eastAsia="en-GB"/>
              </w:rPr>
              <w:t>2</w:t>
            </w:r>
            <w:r w:rsidRPr="00B22D1B">
              <w:rPr>
                <w:rFonts w:cs="Arial"/>
                <w:sz w:val="20"/>
                <w:szCs w:val="20"/>
                <w:lang w:eastAsia="en-GB"/>
              </w:rPr>
              <w:t>.</w:t>
            </w:r>
            <w:r>
              <w:rPr>
                <w:rFonts w:cs="Arial"/>
                <w:sz w:val="20"/>
                <w:szCs w:val="20"/>
                <w:lang w:eastAsia="en-GB"/>
              </w:rPr>
              <w:t>11</w:t>
            </w:r>
          </w:p>
        </w:tc>
      </w:tr>
      <w:tr w:rsidR="00816580" w:rsidRPr="00B22D1B" w:rsidTr="00805F08">
        <w:trPr>
          <w:cantSplit/>
          <w:trHeight w:val="300"/>
        </w:trPr>
        <w:tc>
          <w:tcPr>
            <w:tcW w:w="2026" w:type="pct"/>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 xml:space="preserve">Market buoyancy (construction) </w:t>
            </w:r>
          </w:p>
        </w:tc>
        <w:tc>
          <w:tcPr>
            <w:tcW w:w="661" w:type="pct"/>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435</w:t>
            </w:r>
          </w:p>
        </w:tc>
        <w:tc>
          <w:tcPr>
            <w:tcW w:w="601"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40.00</w:t>
            </w:r>
          </w:p>
        </w:tc>
        <w:tc>
          <w:tcPr>
            <w:tcW w:w="600"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2D6B3A">
              <w:rPr>
                <w:rFonts w:cs="Arial"/>
                <w:sz w:val="20"/>
                <w:szCs w:val="20"/>
                <w:lang w:eastAsia="en-GB"/>
              </w:rPr>
              <w:t>2986.67</w:t>
            </w:r>
          </w:p>
        </w:tc>
        <w:tc>
          <w:tcPr>
            <w:tcW w:w="533"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3</w:t>
            </w:r>
            <w:r>
              <w:rPr>
                <w:rFonts w:cs="Arial"/>
                <w:sz w:val="20"/>
                <w:szCs w:val="20"/>
                <w:lang w:eastAsia="en-GB"/>
              </w:rPr>
              <w:t>78.95</w:t>
            </w:r>
          </w:p>
        </w:tc>
        <w:tc>
          <w:tcPr>
            <w:tcW w:w="579"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2</w:t>
            </w:r>
            <w:r>
              <w:rPr>
                <w:rFonts w:cs="Arial"/>
                <w:sz w:val="20"/>
                <w:szCs w:val="20"/>
                <w:lang w:eastAsia="en-GB"/>
              </w:rPr>
              <w:t>78</w:t>
            </w:r>
            <w:r w:rsidRPr="00B22D1B">
              <w:rPr>
                <w:rFonts w:cs="Arial"/>
                <w:sz w:val="20"/>
                <w:szCs w:val="20"/>
                <w:lang w:eastAsia="en-GB"/>
              </w:rPr>
              <w:t>.</w:t>
            </w:r>
            <w:r>
              <w:rPr>
                <w:rFonts w:cs="Arial"/>
                <w:sz w:val="20"/>
                <w:szCs w:val="20"/>
                <w:lang w:eastAsia="en-GB"/>
              </w:rPr>
              <w:t>58</w:t>
            </w:r>
          </w:p>
        </w:tc>
      </w:tr>
      <w:tr w:rsidR="00816580" w:rsidRPr="00B22D1B" w:rsidTr="00805F08">
        <w:trPr>
          <w:cantSplit/>
          <w:trHeight w:val="300"/>
        </w:trPr>
        <w:tc>
          <w:tcPr>
            <w:tcW w:w="2026" w:type="pct"/>
            <w:tcBorders>
              <w:bottom w:val="nil"/>
            </w:tcBorders>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 xml:space="preserve">Housing waiting list </w:t>
            </w:r>
          </w:p>
        </w:tc>
        <w:tc>
          <w:tcPr>
            <w:tcW w:w="661" w:type="pct"/>
            <w:tcBorders>
              <w:bottom w:val="nil"/>
            </w:tcBorders>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435</w:t>
            </w:r>
          </w:p>
        </w:tc>
        <w:tc>
          <w:tcPr>
            <w:tcW w:w="601" w:type="pct"/>
            <w:tcBorders>
              <w:bottom w:val="nil"/>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522.00</w:t>
            </w:r>
          </w:p>
        </w:tc>
        <w:tc>
          <w:tcPr>
            <w:tcW w:w="600" w:type="pct"/>
            <w:tcBorders>
              <w:bottom w:val="nil"/>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F25599">
              <w:rPr>
                <w:rFonts w:cs="Arial"/>
                <w:sz w:val="20"/>
                <w:szCs w:val="20"/>
                <w:lang w:eastAsia="en-GB"/>
              </w:rPr>
              <w:t>71306.33</w:t>
            </w:r>
          </w:p>
        </w:tc>
        <w:tc>
          <w:tcPr>
            <w:tcW w:w="533" w:type="pct"/>
            <w:tcBorders>
              <w:bottom w:val="nil"/>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F25599">
              <w:rPr>
                <w:rFonts w:cs="Arial"/>
                <w:sz w:val="20"/>
                <w:szCs w:val="20"/>
                <w:lang w:eastAsia="en-GB"/>
              </w:rPr>
              <w:t>4039.59</w:t>
            </w:r>
          </w:p>
        </w:tc>
        <w:tc>
          <w:tcPr>
            <w:tcW w:w="579" w:type="pct"/>
            <w:tcBorders>
              <w:bottom w:val="nil"/>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F25599">
              <w:rPr>
                <w:rFonts w:cs="Arial"/>
                <w:sz w:val="20"/>
                <w:szCs w:val="20"/>
                <w:lang w:eastAsia="en-GB"/>
              </w:rPr>
              <w:t>5727.34</w:t>
            </w:r>
          </w:p>
        </w:tc>
      </w:tr>
      <w:tr w:rsidR="00816580" w:rsidRPr="00B22D1B" w:rsidTr="00805F08">
        <w:trPr>
          <w:cantSplit/>
          <w:trHeight w:val="300"/>
        </w:trPr>
        <w:tc>
          <w:tcPr>
            <w:tcW w:w="2026" w:type="pct"/>
            <w:tcBorders>
              <w:top w:val="nil"/>
              <w:bottom w:val="single" w:sz="4" w:space="0" w:color="auto"/>
            </w:tcBorders>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 xml:space="preserve">Housing affordability (income-price ratio) </w:t>
            </w:r>
          </w:p>
        </w:tc>
        <w:tc>
          <w:tcPr>
            <w:tcW w:w="661" w:type="pct"/>
            <w:tcBorders>
              <w:top w:val="nil"/>
              <w:bottom w:val="single" w:sz="4" w:space="0" w:color="auto"/>
            </w:tcBorders>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435</w:t>
            </w:r>
          </w:p>
        </w:tc>
        <w:tc>
          <w:tcPr>
            <w:tcW w:w="601" w:type="pct"/>
            <w:tcBorders>
              <w:top w:val="nil"/>
              <w:bottom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2.41</w:t>
            </w:r>
          </w:p>
        </w:tc>
        <w:tc>
          <w:tcPr>
            <w:tcW w:w="600" w:type="pct"/>
            <w:tcBorders>
              <w:top w:val="nil"/>
              <w:bottom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10</w:t>
            </w:r>
            <w:r w:rsidRPr="00B22D1B">
              <w:rPr>
                <w:rFonts w:cs="Arial"/>
                <w:sz w:val="20"/>
                <w:szCs w:val="20"/>
                <w:lang w:eastAsia="en-GB"/>
              </w:rPr>
              <w:t>.</w:t>
            </w:r>
            <w:r>
              <w:rPr>
                <w:rFonts w:cs="Arial"/>
                <w:sz w:val="20"/>
                <w:szCs w:val="20"/>
                <w:lang w:eastAsia="en-GB"/>
              </w:rPr>
              <w:t>69</w:t>
            </w:r>
          </w:p>
        </w:tc>
        <w:tc>
          <w:tcPr>
            <w:tcW w:w="533" w:type="pct"/>
            <w:tcBorders>
              <w:top w:val="nil"/>
              <w:bottom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6</w:t>
            </w:r>
            <w:r w:rsidRPr="00B22D1B">
              <w:rPr>
                <w:rFonts w:cs="Arial"/>
                <w:sz w:val="20"/>
                <w:szCs w:val="20"/>
                <w:lang w:eastAsia="en-GB"/>
              </w:rPr>
              <w:t>.</w:t>
            </w:r>
            <w:r>
              <w:rPr>
                <w:rFonts w:cs="Arial"/>
                <w:sz w:val="20"/>
                <w:szCs w:val="20"/>
                <w:lang w:eastAsia="en-GB"/>
              </w:rPr>
              <w:t>83</w:t>
            </w:r>
          </w:p>
        </w:tc>
        <w:tc>
          <w:tcPr>
            <w:tcW w:w="579" w:type="pct"/>
            <w:tcBorders>
              <w:top w:val="nil"/>
              <w:bottom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1.</w:t>
            </w:r>
            <w:r>
              <w:rPr>
                <w:rFonts w:cs="Arial"/>
                <w:sz w:val="20"/>
                <w:szCs w:val="20"/>
                <w:lang w:eastAsia="en-GB"/>
              </w:rPr>
              <w:t>51</w:t>
            </w:r>
          </w:p>
        </w:tc>
      </w:tr>
    </w:tbl>
    <w:p w:rsidR="00816580" w:rsidRDefault="00816580" w:rsidP="00816580">
      <w:pPr>
        <w:spacing w:line="480" w:lineRule="auto"/>
      </w:pPr>
    </w:p>
    <w:p w:rsidR="00816580" w:rsidRDefault="00816580" w:rsidP="00816580">
      <w:pPr>
        <w:spacing w:line="480" w:lineRule="auto"/>
      </w:pPr>
      <w:r>
        <w:t>Table 3: Model 3, post-crisis cases (2007-09), descriptive statistics</w:t>
      </w:r>
    </w:p>
    <w:tbl>
      <w:tblPr>
        <w:tblW w:w="5000" w:type="pct"/>
        <w:tblBorders>
          <w:top w:val="single" w:sz="8" w:space="0" w:color="E0E0E0"/>
        </w:tblBorders>
        <w:tblCellMar>
          <w:left w:w="0" w:type="dxa"/>
          <w:right w:w="0" w:type="dxa"/>
        </w:tblCellMar>
        <w:tblLook w:val="0000" w:firstRow="0" w:lastRow="0" w:firstColumn="0" w:lastColumn="0" w:noHBand="0" w:noVBand="0"/>
      </w:tblPr>
      <w:tblGrid>
        <w:gridCol w:w="3658"/>
        <w:gridCol w:w="1193"/>
        <w:gridCol w:w="1085"/>
        <w:gridCol w:w="1083"/>
        <w:gridCol w:w="962"/>
        <w:gridCol w:w="1045"/>
      </w:tblGrid>
      <w:tr w:rsidR="00816580" w:rsidRPr="00B22D1B" w:rsidTr="00805F08">
        <w:trPr>
          <w:cantSplit/>
          <w:trHeight w:val="601"/>
        </w:trPr>
        <w:tc>
          <w:tcPr>
            <w:tcW w:w="2026" w:type="pct"/>
            <w:tcBorders>
              <w:top w:val="single" w:sz="4" w:space="0" w:color="auto"/>
              <w:bottom w:val="single" w:sz="4" w:space="0" w:color="auto"/>
            </w:tcBorders>
            <w:shd w:val="clear" w:color="auto" w:fill="auto"/>
            <w:vAlign w:val="bottom"/>
          </w:tcPr>
          <w:p w:rsidR="00816580" w:rsidRPr="00B22D1B" w:rsidRDefault="00816580" w:rsidP="00805F08">
            <w:pPr>
              <w:autoSpaceDE w:val="0"/>
              <w:autoSpaceDN w:val="0"/>
              <w:adjustRightInd w:val="0"/>
              <w:spacing w:after="0" w:line="360" w:lineRule="auto"/>
              <w:rPr>
                <w:sz w:val="20"/>
                <w:szCs w:val="20"/>
                <w:lang w:eastAsia="en-GB"/>
              </w:rPr>
            </w:pPr>
          </w:p>
        </w:tc>
        <w:tc>
          <w:tcPr>
            <w:tcW w:w="661" w:type="pct"/>
            <w:tcBorders>
              <w:top w:val="single" w:sz="4" w:space="0" w:color="auto"/>
              <w:bottom w:val="single" w:sz="4" w:space="0" w:color="auto"/>
            </w:tcBorders>
          </w:tcPr>
          <w:p w:rsidR="00816580" w:rsidRDefault="00816580" w:rsidP="00805F08">
            <w:pPr>
              <w:autoSpaceDE w:val="0"/>
              <w:autoSpaceDN w:val="0"/>
              <w:adjustRightInd w:val="0"/>
              <w:spacing w:after="0" w:line="360" w:lineRule="auto"/>
              <w:ind w:left="60" w:right="60"/>
              <w:jc w:val="center"/>
              <w:rPr>
                <w:rFonts w:cs="Arial"/>
                <w:sz w:val="20"/>
                <w:szCs w:val="20"/>
                <w:lang w:eastAsia="en-GB"/>
              </w:rPr>
            </w:pPr>
          </w:p>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Observations</w:t>
            </w:r>
          </w:p>
        </w:tc>
        <w:tc>
          <w:tcPr>
            <w:tcW w:w="601" w:type="pct"/>
            <w:tcBorders>
              <w:top w:val="single" w:sz="4" w:space="0" w:color="auto"/>
              <w:bottom w:val="single" w:sz="4" w:space="0" w:color="auto"/>
            </w:tcBorders>
            <w:shd w:val="clear" w:color="auto" w:fill="FFFFFF"/>
            <w:vAlign w:val="bottom"/>
          </w:tcPr>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Minimum</w:t>
            </w:r>
          </w:p>
        </w:tc>
        <w:tc>
          <w:tcPr>
            <w:tcW w:w="600" w:type="pct"/>
            <w:tcBorders>
              <w:top w:val="single" w:sz="4" w:space="0" w:color="auto"/>
              <w:bottom w:val="single" w:sz="4" w:space="0" w:color="auto"/>
            </w:tcBorders>
            <w:shd w:val="clear" w:color="auto" w:fill="FFFFFF"/>
            <w:vAlign w:val="bottom"/>
          </w:tcPr>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Maximum</w:t>
            </w:r>
          </w:p>
        </w:tc>
        <w:tc>
          <w:tcPr>
            <w:tcW w:w="533" w:type="pct"/>
            <w:tcBorders>
              <w:top w:val="single" w:sz="4" w:space="0" w:color="auto"/>
              <w:bottom w:val="single" w:sz="4" w:space="0" w:color="auto"/>
            </w:tcBorders>
            <w:shd w:val="clear" w:color="auto" w:fill="FFFFFF"/>
            <w:vAlign w:val="bottom"/>
          </w:tcPr>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Mean</w:t>
            </w:r>
          </w:p>
        </w:tc>
        <w:tc>
          <w:tcPr>
            <w:tcW w:w="579" w:type="pct"/>
            <w:tcBorders>
              <w:top w:val="single" w:sz="4" w:space="0" w:color="auto"/>
              <w:bottom w:val="single" w:sz="4" w:space="0" w:color="auto"/>
            </w:tcBorders>
            <w:shd w:val="clear" w:color="auto" w:fill="FFFFFF"/>
            <w:vAlign w:val="bottom"/>
          </w:tcPr>
          <w:p w:rsidR="00816580" w:rsidRPr="00B22D1B" w:rsidRDefault="00816580" w:rsidP="00805F08">
            <w:pPr>
              <w:autoSpaceDE w:val="0"/>
              <w:autoSpaceDN w:val="0"/>
              <w:adjustRightInd w:val="0"/>
              <w:spacing w:after="0" w:line="360" w:lineRule="auto"/>
              <w:ind w:left="60" w:right="60"/>
              <w:jc w:val="center"/>
              <w:rPr>
                <w:rFonts w:cs="Arial"/>
                <w:sz w:val="20"/>
                <w:szCs w:val="20"/>
                <w:lang w:eastAsia="en-GB"/>
              </w:rPr>
            </w:pPr>
            <w:r w:rsidRPr="00B22D1B">
              <w:rPr>
                <w:rFonts w:cs="Arial"/>
                <w:sz w:val="20"/>
                <w:szCs w:val="20"/>
                <w:lang w:eastAsia="en-GB"/>
              </w:rPr>
              <w:t>Std. Deviation</w:t>
            </w:r>
          </w:p>
        </w:tc>
      </w:tr>
      <w:tr w:rsidR="00816580" w:rsidRPr="00B22D1B" w:rsidTr="00805F08">
        <w:trPr>
          <w:cantSplit/>
          <w:trHeight w:val="288"/>
        </w:trPr>
        <w:tc>
          <w:tcPr>
            <w:tcW w:w="2026" w:type="pct"/>
            <w:tcBorders>
              <w:top w:val="single" w:sz="4" w:space="0" w:color="auto"/>
            </w:tcBorders>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S106 prevalence</w:t>
            </w:r>
          </w:p>
        </w:tc>
        <w:tc>
          <w:tcPr>
            <w:tcW w:w="661" w:type="pct"/>
            <w:tcBorders>
              <w:top w:val="single" w:sz="4" w:space="0" w:color="auto"/>
            </w:tcBorders>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714</w:t>
            </w:r>
          </w:p>
        </w:tc>
        <w:tc>
          <w:tcPr>
            <w:tcW w:w="601" w:type="pct"/>
            <w:tcBorders>
              <w:top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0.00</w:t>
            </w:r>
          </w:p>
        </w:tc>
        <w:tc>
          <w:tcPr>
            <w:tcW w:w="600" w:type="pct"/>
            <w:tcBorders>
              <w:top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33</w:t>
            </w:r>
            <w:r w:rsidRPr="00B22D1B">
              <w:rPr>
                <w:rFonts w:cs="Arial"/>
                <w:sz w:val="20"/>
                <w:szCs w:val="20"/>
                <w:lang w:eastAsia="en-GB"/>
              </w:rPr>
              <w:t>.</w:t>
            </w:r>
            <w:r>
              <w:rPr>
                <w:rFonts w:cs="Arial"/>
                <w:sz w:val="20"/>
                <w:szCs w:val="20"/>
                <w:lang w:eastAsia="en-GB"/>
              </w:rPr>
              <w:t>18</w:t>
            </w:r>
          </w:p>
        </w:tc>
        <w:tc>
          <w:tcPr>
            <w:tcW w:w="533" w:type="pct"/>
            <w:tcBorders>
              <w:top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4.63</w:t>
            </w:r>
          </w:p>
        </w:tc>
        <w:tc>
          <w:tcPr>
            <w:tcW w:w="579" w:type="pct"/>
            <w:tcBorders>
              <w:top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5.80</w:t>
            </w:r>
          </w:p>
        </w:tc>
      </w:tr>
      <w:tr w:rsidR="00816580" w:rsidRPr="00B22D1B" w:rsidTr="00805F08">
        <w:trPr>
          <w:cantSplit/>
          <w:trHeight w:val="300"/>
        </w:trPr>
        <w:tc>
          <w:tcPr>
            <w:tcW w:w="2026" w:type="pct"/>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Left-wing orientation</w:t>
            </w:r>
          </w:p>
        </w:tc>
        <w:tc>
          <w:tcPr>
            <w:tcW w:w="661" w:type="pct"/>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714</w:t>
            </w:r>
          </w:p>
        </w:tc>
        <w:tc>
          <w:tcPr>
            <w:tcW w:w="601"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0.00</w:t>
            </w:r>
          </w:p>
        </w:tc>
        <w:tc>
          <w:tcPr>
            <w:tcW w:w="600"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85.70</w:t>
            </w:r>
          </w:p>
        </w:tc>
        <w:tc>
          <w:tcPr>
            <w:tcW w:w="533"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2</w:t>
            </w:r>
            <w:r>
              <w:rPr>
                <w:rFonts w:cs="Arial"/>
                <w:sz w:val="20"/>
                <w:szCs w:val="20"/>
                <w:lang w:eastAsia="en-GB"/>
              </w:rPr>
              <w:t>0.62</w:t>
            </w:r>
          </w:p>
        </w:tc>
        <w:tc>
          <w:tcPr>
            <w:tcW w:w="579"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2</w:t>
            </w:r>
            <w:r>
              <w:rPr>
                <w:rFonts w:cs="Arial"/>
                <w:sz w:val="20"/>
                <w:szCs w:val="20"/>
                <w:lang w:eastAsia="en-GB"/>
              </w:rPr>
              <w:t>0</w:t>
            </w:r>
            <w:r w:rsidRPr="00B22D1B">
              <w:rPr>
                <w:rFonts w:cs="Arial"/>
                <w:sz w:val="20"/>
                <w:szCs w:val="20"/>
                <w:lang w:eastAsia="en-GB"/>
              </w:rPr>
              <w:t>.</w:t>
            </w:r>
            <w:r>
              <w:rPr>
                <w:rFonts w:cs="Arial"/>
                <w:sz w:val="20"/>
                <w:szCs w:val="20"/>
                <w:lang w:eastAsia="en-GB"/>
              </w:rPr>
              <w:t>88</w:t>
            </w:r>
          </w:p>
        </w:tc>
      </w:tr>
      <w:tr w:rsidR="00816580" w:rsidRPr="00B22D1B" w:rsidTr="00805F08">
        <w:trPr>
          <w:cantSplit/>
          <w:trHeight w:val="300"/>
        </w:trPr>
        <w:tc>
          <w:tcPr>
            <w:tcW w:w="2026" w:type="pct"/>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 xml:space="preserve">Market buoyancy (construction) </w:t>
            </w:r>
          </w:p>
        </w:tc>
        <w:tc>
          <w:tcPr>
            <w:tcW w:w="661" w:type="pct"/>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714</w:t>
            </w:r>
          </w:p>
        </w:tc>
        <w:tc>
          <w:tcPr>
            <w:tcW w:w="601"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36.67</w:t>
            </w:r>
          </w:p>
        </w:tc>
        <w:tc>
          <w:tcPr>
            <w:tcW w:w="600"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2953</w:t>
            </w:r>
            <w:r w:rsidRPr="00B22D1B">
              <w:rPr>
                <w:rFonts w:cs="Arial"/>
                <w:sz w:val="20"/>
                <w:szCs w:val="20"/>
                <w:lang w:eastAsia="en-GB"/>
              </w:rPr>
              <w:t>.</w:t>
            </w:r>
            <w:r>
              <w:rPr>
                <w:rFonts w:cs="Arial"/>
                <w:sz w:val="20"/>
                <w:szCs w:val="20"/>
                <w:lang w:eastAsia="en-GB"/>
              </w:rPr>
              <w:t>33</w:t>
            </w:r>
          </w:p>
        </w:tc>
        <w:tc>
          <w:tcPr>
            <w:tcW w:w="533"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402.80</w:t>
            </w:r>
          </w:p>
        </w:tc>
        <w:tc>
          <w:tcPr>
            <w:tcW w:w="579" w:type="pct"/>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316</w:t>
            </w:r>
            <w:r w:rsidRPr="00B22D1B">
              <w:rPr>
                <w:rFonts w:cs="Arial"/>
                <w:sz w:val="20"/>
                <w:szCs w:val="20"/>
                <w:lang w:eastAsia="en-GB"/>
              </w:rPr>
              <w:t>.</w:t>
            </w:r>
            <w:r>
              <w:rPr>
                <w:rFonts w:cs="Arial"/>
                <w:sz w:val="20"/>
                <w:szCs w:val="20"/>
                <w:lang w:eastAsia="en-GB"/>
              </w:rPr>
              <w:t>75</w:t>
            </w:r>
          </w:p>
        </w:tc>
      </w:tr>
      <w:tr w:rsidR="00816580" w:rsidRPr="00B22D1B" w:rsidTr="00805F08">
        <w:trPr>
          <w:cantSplit/>
          <w:trHeight w:val="300"/>
        </w:trPr>
        <w:tc>
          <w:tcPr>
            <w:tcW w:w="2026" w:type="pct"/>
            <w:tcBorders>
              <w:bottom w:val="nil"/>
            </w:tcBorders>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t xml:space="preserve">Housing waiting list </w:t>
            </w:r>
          </w:p>
        </w:tc>
        <w:tc>
          <w:tcPr>
            <w:tcW w:w="661" w:type="pct"/>
            <w:tcBorders>
              <w:bottom w:val="nil"/>
            </w:tcBorders>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714</w:t>
            </w:r>
          </w:p>
        </w:tc>
        <w:tc>
          <w:tcPr>
            <w:tcW w:w="601" w:type="pct"/>
            <w:tcBorders>
              <w:bottom w:val="nil"/>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14</w:t>
            </w:r>
            <w:r w:rsidRPr="00B22D1B">
              <w:rPr>
                <w:rFonts w:cs="Arial"/>
                <w:sz w:val="20"/>
                <w:szCs w:val="20"/>
                <w:lang w:eastAsia="en-GB"/>
              </w:rPr>
              <w:t>.00</w:t>
            </w:r>
          </w:p>
        </w:tc>
        <w:tc>
          <w:tcPr>
            <w:tcW w:w="600" w:type="pct"/>
            <w:tcBorders>
              <w:bottom w:val="nil"/>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92702.00</w:t>
            </w:r>
          </w:p>
        </w:tc>
        <w:tc>
          <w:tcPr>
            <w:tcW w:w="533" w:type="pct"/>
            <w:tcBorders>
              <w:bottom w:val="nil"/>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A129F5">
              <w:rPr>
                <w:rFonts w:cs="Arial"/>
                <w:sz w:val="20"/>
                <w:szCs w:val="20"/>
                <w:lang w:eastAsia="en-GB"/>
              </w:rPr>
              <w:t>4839.5</w:t>
            </w:r>
            <w:r>
              <w:rPr>
                <w:rFonts w:cs="Arial"/>
                <w:sz w:val="20"/>
                <w:szCs w:val="20"/>
                <w:lang w:eastAsia="en-GB"/>
              </w:rPr>
              <w:t>6</w:t>
            </w:r>
          </w:p>
        </w:tc>
        <w:tc>
          <w:tcPr>
            <w:tcW w:w="579" w:type="pct"/>
            <w:tcBorders>
              <w:bottom w:val="nil"/>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A129F5">
              <w:rPr>
                <w:rFonts w:cs="Arial"/>
                <w:sz w:val="20"/>
                <w:szCs w:val="20"/>
                <w:lang w:eastAsia="en-GB"/>
              </w:rPr>
              <w:t>7073.11</w:t>
            </w:r>
          </w:p>
        </w:tc>
      </w:tr>
      <w:tr w:rsidR="00816580" w:rsidRPr="00B22D1B" w:rsidTr="00805F08">
        <w:trPr>
          <w:cantSplit/>
          <w:trHeight w:val="300"/>
        </w:trPr>
        <w:tc>
          <w:tcPr>
            <w:tcW w:w="2026" w:type="pct"/>
            <w:tcBorders>
              <w:top w:val="nil"/>
              <w:bottom w:val="single" w:sz="4" w:space="0" w:color="auto"/>
            </w:tcBorders>
            <w:shd w:val="clear" w:color="auto" w:fill="auto"/>
          </w:tcPr>
          <w:p w:rsidR="00816580" w:rsidRPr="00B22D1B" w:rsidRDefault="00816580" w:rsidP="00805F08">
            <w:pPr>
              <w:autoSpaceDE w:val="0"/>
              <w:autoSpaceDN w:val="0"/>
              <w:adjustRightInd w:val="0"/>
              <w:spacing w:after="0" w:line="360" w:lineRule="auto"/>
              <w:ind w:left="60" w:right="60"/>
              <w:rPr>
                <w:rFonts w:cs="Arial"/>
                <w:sz w:val="20"/>
                <w:szCs w:val="20"/>
                <w:lang w:eastAsia="en-GB"/>
              </w:rPr>
            </w:pPr>
            <w:r w:rsidRPr="00B22D1B">
              <w:rPr>
                <w:rFonts w:cs="Arial"/>
                <w:sz w:val="20"/>
                <w:szCs w:val="20"/>
                <w:lang w:eastAsia="en-GB"/>
              </w:rPr>
              <w:lastRenderedPageBreak/>
              <w:t xml:space="preserve">Housing affordability (income-price ratio) </w:t>
            </w:r>
          </w:p>
        </w:tc>
        <w:tc>
          <w:tcPr>
            <w:tcW w:w="661" w:type="pct"/>
            <w:tcBorders>
              <w:top w:val="nil"/>
              <w:bottom w:val="single" w:sz="4" w:space="0" w:color="auto"/>
            </w:tcBorders>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714</w:t>
            </w:r>
          </w:p>
        </w:tc>
        <w:tc>
          <w:tcPr>
            <w:tcW w:w="601" w:type="pct"/>
            <w:tcBorders>
              <w:top w:val="nil"/>
              <w:bottom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Pr>
                <w:rFonts w:cs="Arial"/>
                <w:sz w:val="20"/>
                <w:szCs w:val="20"/>
                <w:lang w:eastAsia="en-GB"/>
              </w:rPr>
              <w:t>3.03</w:t>
            </w:r>
          </w:p>
        </w:tc>
        <w:tc>
          <w:tcPr>
            <w:tcW w:w="600" w:type="pct"/>
            <w:tcBorders>
              <w:top w:val="nil"/>
              <w:bottom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1</w:t>
            </w:r>
            <w:r>
              <w:rPr>
                <w:rFonts w:cs="Arial"/>
                <w:sz w:val="20"/>
                <w:szCs w:val="20"/>
                <w:lang w:eastAsia="en-GB"/>
              </w:rPr>
              <w:t>4</w:t>
            </w:r>
            <w:r w:rsidRPr="00B22D1B">
              <w:rPr>
                <w:rFonts w:cs="Arial"/>
                <w:sz w:val="20"/>
                <w:szCs w:val="20"/>
                <w:lang w:eastAsia="en-GB"/>
              </w:rPr>
              <w:t>.8</w:t>
            </w:r>
            <w:r>
              <w:rPr>
                <w:rFonts w:cs="Arial"/>
                <w:sz w:val="20"/>
                <w:szCs w:val="20"/>
                <w:lang w:eastAsia="en-GB"/>
              </w:rPr>
              <w:t>5</w:t>
            </w:r>
          </w:p>
        </w:tc>
        <w:tc>
          <w:tcPr>
            <w:tcW w:w="533" w:type="pct"/>
            <w:tcBorders>
              <w:top w:val="nil"/>
              <w:bottom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7.</w:t>
            </w:r>
            <w:r>
              <w:rPr>
                <w:rFonts w:cs="Arial"/>
                <w:sz w:val="20"/>
                <w:szCs w:val="20"/>
                <w:lang w:eastAsia="en-GB"/>
              </w:rPr>
              <w:t>21</w:t>
            </w:r>
          </w:p>
        </w:tc>
        <w:tc>
          <w:tcPr>
            <w:tcW w:w="579" w:type="pct"/>
            <w:tcBorders>
              <w:top w:val="nil"/>
              <w:bottom w:val="single" w:sz="4" w:space="0" w:color="auto"/>
            </w:tcBorders>
            <w:shd w:val="clear" w:color="auto" w:fill="FFFFFF"/>
          </w:tcPr>
          <w:p w:rsidR="00816580" w:rsidRPr="00B22D1B" w:rsidRDefault="00816580" w:rsidP="00805F08">
            <w:pPr>
              <w:autoSpaceDE w:val="0"/>
              <w:autoSpaceDN w:val="0"/>
              <w:adjustRightInd w:val="0"/>
              <w:spacing w:after="0" w:line="360" w:lineRule="auto"/>
              <w:ind w:left="60" w:right="60"/>
              <w:jc w:val="right"/>
              <w:rPr>
                <w:rFonts w:cs="Arial"/>
                <w:sz w:val="20"/>
                <w:szCs w:val="20"/>
                <w:lang w:eastAsia="en-GB"/>
              </w:rPr>
            </w:pPr>
            <w:r w:rsidRPr="00B22D1B">
              <w:rPr>
                <w:rFonts w:cs="Arial"/>
                <w:sz w:val="20"/>
                <w:szCs w:val="20"/>
                <w:lang w:eastAsia="en-GB"/>
              </w:rPr>
              <w:t>1.</w:t>
            </w:r>
            <w:r>
              <w:rPr>
                <w:rFonts w:cs="Arial"/>
                <w:sz w:val="20"/>
                <w:szCs w:val="20"/>
                <w:lang w:eastAsia="en-GB"/>
              </w:rPr>
              <w:t>53</w:t>
            </w:r>
          </w:p>
        </w:tc>
      </w:tr>
    </w:tbl>
    <w:p w:rsidR="0027009F" w:rsidRDefault="0027009F" w:rsidP="0027009F">
      <w:pPr>
        <w:spacing w:line="480" w:lineRule="auto"/>
      </w:pPr>
    </w:p>
    <w:p w:rsidR="0027009F" w:rsidRPr="00C4456F" w:rsidRDefault="00816580" w:rsidP="0027009F">
      <w:pPr>
        <w:spacing w:line="480" w:lineRule="auto"/>
      </w:pPr>
      <w:r>
        <w:t>Table 4</w:t>
      </w:r>
      <w:r w:rsidR="0027009F">
        <w:t>: Explaining variation in local authorities’ discretionary intervention on affordable housing provision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1919"/>
        <w:gridCol w:w="1919"/>
        <w:gridCol w:w="1867"/>
      </w:tblGrid>
      <w:tr w:rsidR="00824506" w:rsidTr="0089016B">
        <w:tc>
          <w:tcPr>
            <w:tcW w:w="0" w:type="auto"/>
            <w:tcBorders>
              <w:top w:val="single" w:sz="4" w:space="0" w:color="auto"/>
              <w:bottom w:val="single" w:sz="4" w:space="0" w:color="auto"/>
            </w:tcBorders>
          </w:tcPr>
          <w:p w:rsidR="0027009F" w:rsidRDefault="0027009F" w:rsidP="0089016B">
            <w:pPr>
              <w:spacing w:line="480" w:lineRule="auto"/>
            </w:pPr>
          </w:p>
        </w:tc>
        <w:tc>
          <w:tcPr>
            <w:tcW w:w="0" w:type="auto"/>
            <w:tcBorders>
              <w:top w:val="single" w:sz="4" w:space="0" w:color="auto"/>
              <w:bottom w:val="single" w:sz="4" w:space="0" w:color="auto"/>
            </w:tcBorders>
          </w:tcPr>
          <w:p w:rsidR="0027009F" w:rsidRDefault="0027009F" w:rsidP="0089016B">
            <w:pPr>
              <w:spacing w:line="480" w:lineRule="auto"/>
            </w:pPr>
            <w:r>
              <w:t>Model 1:</w:t>
            </w:r>
          </w:p>
          <w:p w:rsidR="0027009F" w:rsidRDefault="0027009F" w:rsidP="0089016B">
            <w:pPr>
              <w:spacing w:line="480" w:lineRule="auto"/>
            </w:pPr>
            <w:r>
              <w:t xml:space="preserve">Coefficient </w:t>
            </w:r>
          </w:p>
          <w:p w:rsidR="0027009F" w:rsidRDefault="0027009F" w:rsidP="0089016B">
            <w:pPr>
              <w:spacing w:line="480" w:lineRule="auto"/>
            </w:pPr>
            <w:r>
              <w:t>(standard error)</w:t>
            </w:r>
          </w:p>
        </w:tc>
        <w:tc>
          <w:tcPr>
            <w:tcW w:w="0" w:type="auto"/>
            <w:tcBorders>
              <w:top w:val="single" w:sz="4" w:space="0" w:color="auto"/>
              <w:bottom w:val="single" w:sz="4" w:space="0" w:color="auto"/>
            </w:tcBorders>
          </w:tcPr>
          <w:p w:rsidR="0027009F" w:rsidRDefault="0027009F" w:rsidP="0089016B">
            <w:pPr>
              <w:spacing w:line="480" w:lineRule="auto"/>
            </w:pPr>
            <w:r>
              <w:t>Model 2:</w:t>
            </w:r>
          </w:p>
          <w:p w:rsidR="0027009F" w:rsidRDefault="0027009F" w:rsidP="0089016B">
            <w:pPr>
              <w:spacing w:line="480" w:lineRule="auto"/>
            </w:pPr>
            <w:r>
              <w:t xml:space="preserve">Coefficient </w:t>
            </w:r>
          </w:p>
          <w:p w:rsidR="0027009F" w:rsidRDefault="0027009F" w:rsidP="0089016B">
            <w:pPr>
              <w:spacing w:line="480" w:lineRule="auto"/>
            </w:pPr>
            <w:r>
              <w:t>(standard error)</w:t>
            </w:r>
          </w:p>
        </w:tc>
        <w:tc>
          <w:tcPr>
            <w:tcW w:w="0" w:type="auto"/>
            <w:tcBorders>
              <w:top w:val="single" w:sz="4" w:space="0" w:color="auto"/>
              <w:bottom w:val="single" w:sz="4" w:space="0" w:color="auto"/>
            </w:tcBorders>
          </w:tcPr>
          <w:p w:rsidR="0027009F" w:rsidRDefault="0027009F" w:rsidP="0089016B">
            <w:pPr>
              <w:spacing w:line="480" w:lineRule="auto"/>
            </w:pPr>
            <w:r>
              <w:t>Model 3:</w:t>
            </w:r>
          </w:p>
          <w:p w:rsidR="0027009F" w:rsidRDefault="0027009F" w:rsidP="0089016B">
            <w:pPr>
              <w:spacing w:line="480" w:lineRule="auto"/>
            </w:pPr>
            <w:r>
              <w:t xml:space="preserve">Coefficient </w:t>
            </w:r>
          </w:p>
          <w:p w:rsidR="0027009F" w:rsidRDefault="0027009F" w:rsidP="0089016B">
            <w:pPr>
              <w:spacing w:line="480" w:lineRule="auto"/>
            </w:pPr>
            <w:r>
              <w:t>(standard error)</w:t>
            </w:r>
          </w:p>
        </w:tc>
      </w:tr>
      <w:tr w:rsidR="00824506" w:rsidTr="0089016B">
        <w:tc>
          <w:tcPr>
            <w:tcW w:w="0" w:type="auto"/>
            <w:tcBorders>
              <w:top w:val="single" w:sz="4" w:space="0" w:color="auto"/>
            </w:tcBorders>
          </w:tcPr>
          <w:p w:rsidR="0027009F" w:rsidRDefault="0027009F" w:rsidP="0089016B">
            <w:pPr>
              <w:spacing w:line="480" w:lineRule="auto"/>
            </w:pPr>
            <w:r>
              <w:t>Left-wing</w:t>
            </w:r>
          </w:p>
        </w:tc>
        <w:tc>
          <w:tcPr>
            <w:tcW w:w="0" w:type="auto"/>
            <w:tcBorders>
              <w:top w:val="single" w:sz="4" w:space="0" w:color="auto"/>
            </w:tcBorders>
          </w:tcPr>
          <w:p w:rsidR="0027009F" w:rsidRDefault="0027009F" w:rsidP="00491D76">
            <w:pPr>
              <w:spacing w:line="480" w:lineRule="auto"/>
            </w:pPr>
            <w:r>
              <w:t>0.01</w:t>
            </w:r>
            <w:r w:rsidR="00A928F8">
              <w:t>3 (0.009</w:t>
            </w:r>
            <w:r>
              <w:t>)</w:t>
            </w:r>
          </w:p>
        </w:tc>
        <w:tc>
          <w:tcPr>
            <w:tcW w:w="0" w:type="auto"/>
            <w:tcBorders>
              <w:top w:val="single" w:sz="4" w:space="0" w:color="auto"/>
            </w:tcBorders>
          </w:tcPr>
          <w:p w:rsidR="0027009F" w:rsidRDefault="0027009F" w:rsidP="0089016B">
            <w:pPr>
              <w:spacing w:line="480" w:lineRule="auto"/>
            </w:pPr>
            <w:r>
              <w:t>0</w:t>
            </w:r>
            <w:r w:rsidR="00A928F8">
              <w:t>.021 (0.008</w:t>
            </w:r>
            <w:r>
              <w:t>)**</w:t>
            </w:r>
          </w:p>
        </w:tc>
        <w:tc>
          <w:tcPr>
            <w:tcW w:w="0" w:type="auto"/>
            <w:tcBorders>
              <w:top w:val="single" w:sz="4" w:space="0" w:color="auto"/>
            </w:tcBorders>
          </w:tcPr>
          <w:p w:rsidR="0027009F" w:rsidRDefault="0027009F" w:rsidP="006C77B7">
            <w:pPr>
              <w:spacing w:line="480" w:lineRule="auto"/>
            </w:pPr>
            <w:r>
              <w:t>0.0</w:t>
            </w:r>
            <w:r w:rsidR="006C77B7">
              <w:t>08</w:t>
            </w:r>
            <w:r>
              <w:t xml:space="preserve"> (0.013)</w:t>
            </w:r>
          </w:p>
        </w:tc>
      </w:tr>
      <w:tr w:rsidR="00824506" w:rsidTr="0089016B">
        <w:tc>
          <w:tcPr>
            <w:tcW w:w="0" w:type="auto"/>
          </w:tcPr>
          <w:p w:rsidR="0027009F" w:rsidRDefault="00824506" w:rsidP="00824506">
            <w:pPr>
              <w:spacing w:line="480" w:lineRule="auto"/>
            </w:pPr>
            <w:r>
              <w:t>Market buoyancy (c</w:t>
            </w:r>
            <w:r w:rsidR="0027009F">
              <w:t>onstruction</w:t>
            </w:r>
            <w:r>
              <w:t>)</w:t>
            </w:r>
          </w:p>
        </w:tc>
        <w:tc>
          <w:tcPr>
            <w:tcW w:w="0" w:type="auto"/>
          </w:tcPr>
          <w:p w:rsidR="0027009F" w:rsidRDefault="0027009F" w:rsidP="0089016B">
            <w:pPr>
              <w:spacing w:line="480" w:lineRule="auto"/>
            </w:pPr>
            <w:r>
              <w:t>0.001 (0.001)*</w:t>
            </w:r>
          </w:p>
        </w:tc>
        <w:tc>
          <w:tcPr>
            <w:tcW w:w="0" w:type="auto"/>
          </w:tcPr>
          <w:p w:rsidR="0027009F" w:rsidRDefault="0027009F" w:rsidP="0089016B">
            <w:pPr>
              <w:spacing w:line="480" w:lineRule="auto"/>
            </w:pPr>
            <w:r>
              <w:t>0.002 (0.001)**</w:t>
            </w:r>
          </w:p>
        </w:tc>
        <w:tc>
          <w:tcPr>
            <w:tcW w:w="0" w:type="auto"/>
          </w:tcPr>
          <w:p w:rsidR="0027009F" w:rsidRDefault="0027009F" w:rsidP="0089016B">
            <w:pPr>
              <w:spacing w:line="480" w:lineRule="auto"/>
            </w:pPr>
            <w:r>
              <w:t>0.001 (0.001)</w:t>
            </w:r>
          </w:p>
        </w:tc>
      </w:tr>
      <w:tr w:rsidR="00824506" w:rsidTr="0089016B">
        <w:tc>
          <w:tcPr>
            <w:tcW w:w="0" w:type="auto"/>
          </w:tcPr>
          <w:p w:rsidR="0027009F" w:rsidRDefault="0027009F" w:rsidP="0089016B">
            <w:pPr>
              <w:spacing w:line="480" w:lineRule="auto"/>
            </w:pPr>
            <w:r>
              <w:t>Waiting list</w:t>
            </w:r>
          </w:p>
        </w:tc>
        <w:tc>
          <w:tcPr>
            <w:tcW w:w="0" w:type="auto"/>
          </w:tcPr>
          <w:p w:rsidR="0027009F" w:rsidRDefault="0027009F" w:rsidP="00A928F8">
            <w:pPr>
              <w:spacing w:line="480" w:lineRule="auto"/>
            </w:pPr>
            <w:r>
              <w:t>-0.000</w:t>
            </w:r>
            <w:r w:rsidR="00491D76">
              <w:t>0</w:t>
            </w:r>
            <w:r w:rsidR="00A928F8">
              <w:t>11</w:t>
            </w:r>
            <w:r>
              <w:t xml:space="preserve"> (</w:t>
            </w:r>
            <w:r w:rsidRPr="0050351B">
              <w:t>0.000026</w:t>
            </w:r>
            <w:r>
              <w:t>)</w:t>
            </w:r>
          </w:p>
        </w:tc>
        <w:tc>
          <w:tcPr>
            <w:tcW w:w="0" w:type="auto"/>
          </w:tcPr>
          <w:p w:rsidR="0027009F" w:rsidRDefault="0027009F" w:rsidP="0089016B">
            <w:pPr>
              <w:spacing w:line="480" w:lineRule="auto"/>
            </w:pPr>
            <w:r>
              <w:t>-</w:t>
            </w:r>
            <w:r w:rsidR="00A928F8">
              <w:t>0.000044 (0.000027</w:t>
            </w:r>
            <w:r>
              <w:t>)</w:t>
            </w:r>
          </w:p>
        </w:tc>
        <w:tc>
          <w:tcPr>
            <w:tcW w:w="0" w:type="auto"/>
          </w:tcPr>
          <w:p w:rsidR="0027009F" w:rsidRDefault="0027009F" w:rsidP="00F60C0D">
            <w:pPr>
              <w:spacing w:line="480" w:lineRule="auto"/>
            </w:pPr>
            <w:r>
              <w:t>0.00000</w:t>
            </w:r>
            <w:r w:rsidR="006C77B7">
              <w:t>1</w:t>
            </w:r>
            <w:r>
              <w:t xml:space="preserve"> (0.000036)</w:t>
            </w:r>
          </w:p>
        </w:tc>
      </w:tr>
      <w:tr w:rsidR="00824506" w:rsidTr="0089016B">
        <w:tc>
          <w:tcPr>
            <w:tcW w:w="0" w:type="auto"/>
          </w:tcPr>
          <w:p w:rsidR="0027009F" w:rsidRDefault="0027009F" w:rsidP="0089016B">
            <w:pPr>
              <w:spacing w:line="480" w:lineRule="auto"/>
            </w:pPr>
            <w:r>
              <w:t>Affordability</w:t>
            </w:r>
            <w:r w:rsidR="00824506">
              <w:t xml:space="preserve"> (income-price ratio)</w:t>
            </w:r>
          </w:p>
        </w:tc>
        <w:tc>
          <w:tcPr>
            <w:tcW w:w="0" w:type="auto"/>
          </w:tcPr>
          <w:p w:rsidR="0027009F" w:rsidRDefault="0027009F" w:rsidP="00A928F8">
            <w:pPr>
              <w:spacing w:line="480" w:lineRule="auto"/>
            </w:pPr>
            <w:r>
              <w:t>0.7</w:t>
            </w:r>
            <w:r w:rsidR="00A928F8">
              <w:t>80</w:t>
            </w:r>
            <w:r>
              <w:t xml:space="preserve"> (0.112)***</w:t>
            </w:r>
          </w:p>
        </w:tc>
        <w:tc>
          <w:tcPr>
            <w:tcW w:w="0" w:type="auto"/>
          </w:tcPr>
          <w:p w:rsidR="0027009F" w:rsidRDefault="0027009F" w:rsidP="0089016B">
            <w:pPr>
              <w:spacing w:line="480" w:lineRule="auto"/>
            </w:pPr>
            <w:r>
              <w:t>0</w:t>
            </w:r>
            <w:r w:rsidR="00A928F8">
              <w:t>.683</w:t>
            </w:r>
            <w:r>
              <w:t xml:space="preserve"> (0.101)***</w:t>
            </w:r>
          </w:p>
        </w:tc>
        <w:tc>
          <w:tcPr>
            <w:tcW w:w="0" w:type="auto"/>
          </w:tcPr>
          <w:p w:rsidR="0027009F" w:rsidRDefault="0027009F" w:rsidP="006C77B7">
            <w:pPr>
              <w:spacing w:line="480" w:lineRule="auto"/>
            </w:pPr>
            <w:r>
              <w:t>0.83</w:t>
            </w:r>
            <w:r w:rsidR="006C77B7">
              <w:t>7</w:t>
            </w:r>
            <w:r>
              <w:t xml:space="preserve"> (0.16</w:t>
            </w:r>
            <w:r w:rsidR="006C77B7">
              <w:t>8</w:t>
            </w:r>
            <w:r>
              <w:t>)***</w:t>
            </w:r>
          </w:p>
        </w:tc>
      </w:tr>
      <w:tr w:rsidR="00824506" w:rsidTr="0089016B">
        <w:tc>
          <w:tcPr>
            <w:tcW w:w="0" w:type="auto"/>
            <w:tcBorders>
              <w:bottom w:val="single" w:sz="4" w:space="0" w:color="auto"/>
            </w:tcBorders>
          </w:tcPr>
          <w:p w:rsidR="0027009F" w:rsidRDefault="00824506" w:rsidP="0089016B">
            <w:pPr>
              <w:spacing w:line="480" w:lineRule="auto"/>
            </w:pPr>
            <w:r>
              <w:t>Salience (f</w:t>
            </w:r>
            <w:r w:rsidR="0027009F">
              <w:t>inancial crisis</w:t>
            </w:r>
            <w:r>
              <w:t xml:space="preserve"> dummy variable)</w:t>
            </w:r>
          </w:p>
        </w:tc>
        <w:tc>
          <w:tcPr>
            <w:tcW w:w="0" w:type="auto"/>
            <w:tcBorders>
              <w:bottom w:val="single" w:sz="4" w:space="0" w:color="auto"/>
            </w:tcBorders>
          </w:tcPr>
          <w:p w:rsidR="0027009F" w:rsidRDefault="0027009F" w:rsidP="00491D76">
            <w:pPr>
              <w:spacing w:line="480" w:lineRule="auto"/>
            </w:pPr>
            <w:r>
              <w:t>2.26</w:t>
            </w:r>
            <w:r w:rsidR="00A928F8">
              <w:t>2</w:t>
            </w:r>
            <w:r>
              <w:t xml:space="preserve"> (0.293)***</w:t>
            </w:r>
          </w:p>
        </w:tc>
        <w:tc>
          <w:tcPr>
            <w:tcW w:w="0" w:type="auto"/>
            <w:tcBorders>
              <w:bottom w:val="single" w:sz="4" w:space="0" w:color="auto"/>
            </w:tcBorders>
          </w:tcPr>
          <w:p w:rsidR="0027009F" w:rsidRDefault="0027009F" w:rsidP="0089016B">
            <w:pPr>
              <w:spacing w:line="480" w:lineRule="auto"/>
            </w:pPr>
            <w:r>
              <w:t>~</w:t>
            </w:r>
          </w:p>
        </w:tc>
        <w:tc>
          <w:tcPr>
            <w:tcW w:w="0" w:type="auto"/>
            <w:tcBorders>
              <w:bottom w:val="single" w:sz="4" w:space="0" w:color="auto"/>
            </w:tcBorders>
          </w:tcPr>
          <w:p w:rsidR="0027009F" w:rsidRDefault="0027009F" w:rsidP="0089016B">
            <w:pPr>
              <w:spacing w:line="480" w:lineRule="auto"/>
            </w:pPr>
            <w:r>
              <w:t>~</w:t>
            </w:r>
          </w:p>
        </w:tc>
      </w:tr>
      <w:tr w:rsidR="00824506" w:rsidTr="0089016B">
        <w:tc>
          <w:tcPr>
            <w:tcW w:w="0" w:type="auto"/>
            <w:tcBorders>
              <w:top w:val="single" w:sz="4" w:space="0" w:color="auto"/>
              <w:bottom w:val="single" w:sz="4" w:space="0" w:color="auto"/>
            </w:tcBorders>
          </w:tcPr>
          <w:p w:rsidR="0027009F" w:rsidRDefault="0027009F" w:rsidP="0089016B">
            <w:pPr>
              <w:spacing w:line="480" w:lineRule="auto"/>
            </w:pPr>
            <w:r>
              <w:t>x</w:t>
            </w:r>
            <w:r w:rsidRPr="004D22A3">
              <w:rPr>
                <w:vertAlign w:val="superscript"/>
              </w:rPr>
              <w:t>2</w:t>
            </w:r>
          </w:p>
        </w:tc>
        <w:tc>
          <w:tcPr>
            <w:tcW w:w="0" w:type="auto"/>
            <w:tcBorders>
              <w:top w:val="single" w:sz="4" w:space="0" w:color="auto"/>
              <w:bottom w:val="single" w:sz="4" w:space="0" w:color="auto"/>
            </w:tcBorders>
          </w:tcPr>
          <w:p w:rsidR="0027009F" w:rsidRDefault="0027009F" w:rsidP="00491D76">
            <w:pPr>
              <w:spacing w:line="480" w:lineRule="auto"/>
            </w:pPr>
            <w:r>
              <w:t>2</w:t>
            </w:r>
            <w:r w:rsidR="00A928F8">
              <w:t>1</w:t>
            </w:r>
            <w:r>
              <w:t>.</w:t>
            </w:r>
            <w:r w:rsidR="00A928F8">
              <w:t>981</w:t>
            </w:r>
            <w:r>
              <w:t>***</w:t>
            </w:r>
          </w:p>
        </w:tc>
        <w:tc>
          <w:tcPr>
            <w:tcW w:w="0" w:type="auto"/>
            <w:tcBorders>
              <w:top w:val="single" w:sz="4" w:space="0" w:color="auto"/>
              <w:bottom w:val="single" w:sz="4" w:space="0" w:color="auto"/>
            </w:tcBorders>
          </w:tcPr>
          <w:p w:rsidR="0027009F" w:rsidRDefault="001D27C1" w:rsidP="00A928F8">
            <w:pPr>
              <w:spacing w:line="480" w:lineRule="auto"/>
            </w:pPr>
            <w:r>
              <w:t>1</w:t>
            </w:r>
            <w:r w:rsidR="00A928F8">
              <w:t>0</w:t>
            </w:r>
            <w:r w:rsidR="0027009F">
              <w:t>.</w:t>
            </w:r>
            <w:r w:rsidR="00A928F8">
              <w:t>571</w:t>
            </w:r>
            <w:r w:rsidR="0027009F">
              <w:t>***</w:t>
            </w:r>
          </w:p>
        </w:tc>
        <w:tc>
          <w:tcPr>
            <w:tcW w:w="0" w:type="auto"/>
            <w:tcBorders>
              <w:top w:val="single" w:sz="4" w:space="0" w:color="auto"/>
              <w:bottom w:val="single" w:sz="4" w:space="0" w:color="auto"/>
            </w:tcBorders>
          </w:tcPr>
          <w:p w:rsidR="0027009F" w:rsidRDefault="006C77B7" w:rsidP="006C77B7">
            <w:pPr>
              <w:spacing w:line="480" w:lineRule="auto"/>
            </w:pPr>
            <w:r>
              <w:t>5</w:t>
            </w:r>
            <w:r w:rsidR="0027009F">
              <w:t>.</w:t>
            </w:r>
            <w:r>
              <w:t>909</w:t>
            </w:r>
            <w:r w:rsidR="0027009F">
              <w:t>***</w:t>
            </w:r>
          </w:p>
        </w:tc>
      </w:tr>
      <w:tr w:rsidR="00824506" w:rsidTr="0089016B">
        <w:tc>
          <w:tcPr>
            <w:tcW w:w="0" w:type="auto"/>
            <w:tcBorders>
              <w:top w:val="single" w:sz="4" w:space="0" w:color="auto"/>
              <w:bottom w:val="single" w:sz="4" w:space="0" w:color="auto"/>
            </w:tcBorders>
          </w:tcPr>
          <w:p w:rsidR="0027009F" w:rsidRDefault="0027009F" w:rsidP="0089016B">
            <w:pPr>
              <w:spacing w:line="480" w:lineRule="auto"/>
            </w:pPr>
            <w:r>
              <w:t>R</w:t>
            </w:r>
            <w:r w:rsidRPr="004D22A3">
              <w:rPr>
                <w:vertAlign w:val="superscript"/>
              </w:rPr>
              <w:t>2</w:t>
            </w:r>
          </w:p>
        </w:tc>
        <w:tc>
          <w:tcPr>
            <w:tcW w:w="0" w:type="auto"/>
            <w:tcBorders>
              <w:top w:val="single" w:sz="4" w:space="0" w:color="auto"/>
              <w:bottom w:val="single" w:sz="4" w:space="0" w:color="auto"/>
            </w:tcBorders>
          </w:tcPr>
          <w:p w:rsidR="0027009F" w:rsidRDefault="00A928F8" w:rsidP="0089016B">
            <w:pPr>
              <w:spacing w:line="480" w:lineRule="auto"/>
            </w:pPr>
            <w:r>
              <w:t>.104</w:t>
            </w:r>
          </w:p>
        </w:tc>
        <w:tc>
          <w:tcPr>
            <w:tcW w:w="0" w:type="auto"/>
            <w:tcBorders>
              <w:top w:val="single" w:sz="4" w:space="0" w:color="auto"/>
              <w:bottom w:val="single" w:sz="4" w:space="0" w:color="auto"/>
            </w:tcBorders>
          </w:tcPr>
          <w:p w:rsidR="0027009F" w:rsidRDefault="0027009F" w:rsidP="0089016B">
            <w:pPr>
              <w:spacing w:line="480" w:lineRule="auto"/>
            </w:pPr>
            <w:r>
              <w:t>.110</w:t>
            </w:r>
          </w:p>
        </w:tc>
        <w:tc>
          <w:tcPr>
            <w:tcW w:w="0" w:type="auto"/>
            <w:tcBorders>
              <w:top w:val="single" w:sz="4" w:space="0" w:color="auto"/>
              <w:bottom w:val="single" w:sz="4" w:space="0" w:color="auto"/>
            </w:tcBorders>
          </w:tcPr>
          <w:p w:rsidR="0027009F" w:rsidRDefault="0027009F" w:rsidP="0089016B">
            <w:pPr>
              <w:spacing w:line="480" w:lineRule="auto"/>
            </w:pPr>
            <w:r>
              <w:t>.040</w:t>
            </w:r>
          </w:p>
        </w:tc>
      </w:tr>
    </w:tbl>
    <w:p w:rsidR="0027009F" w:rsidRDefault="0027009F" w:rsidP="0027009F">
      <w:pPr>
        <w:spacing w:line="240" w:lineRule="auto"/>
      </w:pPr>
      <w:r w:rsidRPr="009A4B00">
        <w:t>Note: *p &lt; 0.05; **p &lt; 0.01; ***p &lt; 0.001</w:t>
      </w:r>
      <w:r>
        <w:t>.</w:t>
      </w:r>
      <w:r>
        <w:br/>
        <w:t xml:space="preserve">All VIF scores are below 1.8, i.e. no problems of </w:t>
      </w:r>
      <w:proofErr w:type="spellStart"/>
      <w:r>
        <w:t>multicollinearity</w:t>
      </w:r>
      <w:proofErr w:type="spellEnd"/>
      <w:r>
        <w:t>.</w:t>
      </w:r>
      <w:r>
        <w:br/>
      </w:r>
      <w:r w:rsidR="00A928F8">
        <w:t>All models control</w:t>
      </w:r>
      <w:r>
        <w:t xml:space="preserve"> for location (Predominantly Rural, Significant Rural, Predominantly Urban) using 2001 Census data. Recoding (1-3) from rural-urban</w:t>
      </w:r>
      <w:r w:rsidR="00101B2A">
        <w:t>. D</w:t>
      </w:r>
      <w:r w:rsidR="00A928F8">
        <w:t>isplays no significant effect</w:t>
      </w:r>
      <w:r>
        <w:t>.</w:t>
      </w:r>
      <w:r>
        <w:rPr>
          <w:rStyle w:val="FootnoteReference"/>
        </w:rPr>
        <w:footnoteReference w:id="28"/>
      </w:r>
      <w:r>
        <w:t xml:space="preserve"> </w:t>
      </w:r>
    </w:p>
    <w:p w:rsidR="007E7164" w:rsidRDefault="007E7164" w:rsidP="00DB01B8">
      <w:pPr>
        <w:spacing w:line="480" w:lineRule="auto"/>
      </w:pPr>
    </w:p>
    <w:p w:rsidR="0061469A" w:rsidRDefault="0061469A" w:rsidP="0061469A">
      <w:pPr>
        <w:spacing w:line="240" w:lineRule="auto"/>
      </w:pPr>
    </w:p>
    <w:p w:rsidR="002B6FC3" w:rsidRDefault="00FA097B" w:rsidP="00953F7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61469A">
        <w:rPr>
          <w:rFonts w:ascii="Times New Roman" w:hAnsi="Times New Roman" w:cs="Times New Roman"/>
          <w:sz w:val="24"/>
          <w:szCs w:val="24"/>
        </w:rPr>
        <w:t xml:space="preserve">Model 2 demonstrates that, in the pre-financial crisis period, local authority political orientation, rates of new-build construction, and house price affordability had a significant </w:t>
      </w:r>
      <w:r w:rsidR="0061469A">
        <w:rPr>
          <w:rFonts w:ascii="Times New Roman" w:hAnsi="Times New Roman" w:cs="Times New Roman"/>
          <w:sz w:val="24"/>
          <w:szCs w:val="24"/>
        </w:rPr>
        <w:lastRenderedPageBreak/>
        <w:t xml:space="preserve">effect on propensity to deploy S106 powers. </w:t>
      </w:r>
      <w:r w:rsidR="003C526C">
        <w:rPr>
          <w:rFonts w:ascii="Times New Roman" w:hAnsi="Times New Roman" w:cs="Times New Roman"/>
          <w:sz w:val="24"/>
          <w:szCs w:val="24"/>
        </w:rPr>
        <w:t>The model is significant</w:t>
      </w:r>
      <w:r w:rsidR="00D57E64">
        <w:rPr>
          <w:rFonts w:ascii="Times New Roman" w:hAnsi="Times New Roman" w:cs="Times New Roman"/>
          <w:sz w:val="24"/>
          <w:szCs w:val="24"/>
        </w:rPr>
        <w:t xml:space="preserve"> (</w:t>
      </w:r>
      <w:proofErr w:type="gramStart"/>
      <w:r w:rsidR="00D57E64">
        <w:rPr>
          <w:rFonts w:ascii="Times New Roman" w:hAnsi="Times New Roman" w:cs="Times New Roman"/>
          <w:sz w:val="24"/>
          <w:szCs w:val="24"/>
        </w:rPr>
        <w:t>F(</w:t>
      </w:r>
      <w:proofErr w:type="gramEnd"/>
      <w:r w:rsidR="00D57E64">
        <w:rPr>
          <w:rFonts w:ascii="Times New Roman" w:hAnsi="Times New Roman" w:cs="Times New Roman"/>
          <w:sz w:val="24"/>
          <w:szCs w:val="24"/>
        </w:rPr>
        <w:t>5, 429) = 10.571, p&lt;.000)</w:t>
      </w:r>
      <w:r w:rsidR="003C526C">
        <w:rPr>
          <w:rFonts w:ascii="Times New Roman" w:hAnsi="Times New Roman" w:cs="Times New Roman"/>
          <w:sz w:val="24"/>
          <w:szCs w:val="24"/>
        </w:rPr>
        <w:t>, explaining 11 percent of the observed variation (</w:t>
      </w:r>
      <w:r w:rsidR="003C526C">
        <w:t>R</w:t>
      </w:r>
      <w:r w:rsidR="003C526C" w:rsidRPr="009E491F">
        <w:rPr>
          <w:vertAlign w:val="superscript"/>
        </w:rPr>
        <w:t>2</w:t>
      </w:r>
      <w:r w:rsidR="003C526C">
        <w:t xml:space="preserve">=.110). </w:t>
      </w:r>
      <w:r w:rsidR="000C3150">
        <w:rPr>
          <w:rFonts w:ascii="Times New Roman" w:hAnsi="Times New Roman" w:cs="Times New Roman"/>
          <w:sz w:val="24"/>
          <w:szCs w:val="24"/>
        </w:rPr>
        <w:t xml:space="preserve">In this period, the more heavily </w:t>
      </w:r>
      <w:proofErr w:type="gramStart"/>
      <w:r w:rsidR="000C3150">
        <w:rPr>
          <w:rFonts w:ascii="Times New Roman" w:hAnsi="Times New Roman" w:cs="Times New Roman"/>
          <w:sz w:val="24"/>
          <w:szCs w:val="24"/>
        </w:rPr>
        <w:t>left-wing</w:t>
      </w:r>
      <w:proofErr w:type="gramEnd"/>
      <w:r w:rsidR="000C3150">
        <w:rPr>
          <w:rFonts w:ascii="Times New Roman" w:hAnsi="Times New Roman" w:cs="Times New Roman"/>
          <w:sz w:val="24"/>
          <w:szCs w:val="24"/>
        </w:rPr>
        <w:t xml:space="preserve"> an authority, the </w:t>
      </w:r>
      <w:r w:rsidR="005B1E44">
        <w:rPr>
          <w:rFonts w:ascii="Times New Roman" w:hAnsi="Times New Roman" w:cs="Times New Roman"/>
          <w:sz w:val="24"/>
          <w:szCs w:val="24"/>
        </w:rPr>
        <w:t xml:space="preserve">higher the volume of affordable housing that was mandated per large residential planning application. </w:t>
      </w:r>
      <w:r w:rsidR="003E47D8">
        <w:rPr>
          <w:rFonts w:ascii="Times New Roman" w:hAnsi="Times New Roman" w:cs="Times New Roman"/>
          <w:sz w:val="24"/>
          <w:szCs w:val="24"/>
        </w:rPr>
        <w:t>Higher</w:t>
      </w:r>
      <w:r w:rsidR="005B1E44">
        <w:rPr>
          <w:rFonts w:ascii="Times New Roman" w:hAnsi="Times New Roman" w:cs="Times New Roman"/>
          <w:sz w:val="24"/>
          <w:szCs w:val="24"/>
        </w:rPr>
        <w:t xml:space="preserve"> new-build construction rates and </w:t>
      </w:r>
      <w:r w:rsidR="003E47D8">
        <w:rPr>
          <w:rFonts w:ascii="Times New Roman" w:hAnsi="Times New Roman" w:cs="Times New Roman"/>
          <w:sz w:val="24"/>
          <w:szCs w:val="24"/>
        </w:rPr>
        <w:t>income-house price ratios</w:t>
      </w:r>
      <w:r w:rsidR="005B1E44">
        <w:rPr>
          <w:rFonts w:ascii="Times New Roman" w:hAnsi="Times New Roman" w:cs="Times New Roman"/>
          <w:sz w:val="24"/>
          <w:szCs w:val="24"/>
        </w:rPr>
        <w:t xml:space="preserve"> </w:t>
      </w:r>
      <w:r w:rsidR="003E47D8">
        <w:rPr>
          <w:rFonts w:ascii="Times New Roman" w:hAnsi="Times New Roman" w:cs="Times New Roman"/>
          <w:sz w:val="24"/>
          <w:szCs w:val="24"/>
        </w:rPr>
        <w:t>were also associated with higher propensity to deploy S106</w:t>
      </w:r>
      <w:r w:rsidR="005B1E44">
        <w:rPr>
          <w:rFonts w:ascii="Times New Roman" w:hAnsi="Times New Roman" w:cs="Times New Roman"/>
          <w:sz w:val="24"/>
          <w:szCs w:val="24"/>
        </w:rPr>
        <w:t xml:space="preserve">. Model </w:t>
      </w:r>
      <w:proofErr w:type="gramStart"/>
      <w:r w:rsidR="005B1E44">
        <w:rPr>
          <w:rFonts w:ascii="Times New Roman" w:hAnsi="Times New Roman" w:cs="Times New Roman"/>
          <w:sz w:val="24"/>
          <w:szCs w:val="24"/>
        </w:rPr>
        <w:t>3</w:t>
      </w:r>
      <w:proofErr w:type="gramEnd"/>
      <w:r w:rsidR="005B1E44">
        <w:rPr>
          <w:rFonts w:ascii="Times New Roman" w:hAnsi="Times New Roman" w:cs="Times New Roman"/>
          <w:sz w:val="24"/>
          <w:szCs w:val="24"/>
        </w:rPr>
        <w:t xml:space="preserve"> </w:t>
      </w:r>
      <w:r w:rsidR="00953F7A">
        <w:rPr>
          <w:rFonts w:ascii="Times New Roman" w:hAnsi="Times New Roman" w:cs="Times New Roman"/>
          <w:sz w:val="24"/>
          <w:szCs w:val="24"/>
        </w:rPr>
        <w:t>shows</w:t>
      </w:r>
      <w:r w:rsidR="002B6FC3">
        <w:rPr>
          <w:rFonts w:ascii="Times New Roman" w:hAnsi="Times New Roman" w:cs="Times New Roman"/>
          <w:sz w:val="24"/>
          <w:szCs w:val="24"/>
        </w:rPr>
        <w:t xml:space="preserve"> that</w:t>
      </w:r>
      <w:r w:rsidR="004F3288">
        <w:rPr>
          <w:rFonts w:ascii="Times New Roman" w:hAnsi="Times New Roman" w:cs="Times New Roman"/>
          <w:sz w:val="24"/>
          <w:szCs w:val="24"/>
        </w:rPr>
        <w:t xml:space="preserve"> significant</w:t>
      </w:r>
      <w:r w:rsidR="002B6FC3">
        <w:rPr>
          <w:rFonts w:ascii="Times New Roman" w:hAnsi="Times New Roman" w:cs="Times New Roman"/>
          <w:sz w:val="24"/>
          <w:szCs w:val="24"/>
        </w:rPr>
        <w:t xml:space="preserve"> changes occurred in the relationship between variables following the onset of the financial crisis. Here, we see that house price affordability is the only factor that exerts a significant influence over the outcome. The explanatory power of Model 3 is substantially lower</w:t>
      </w:r>
      <w:r w:rsidR="004C592F">
        <w:rPr>
          <w:rFonts w:ascii="Times New Roman" w:hAnsi="Times New Roman" w:cs="Times New Roman"/>
          <w:sz w:val="24"/>
          <w:szCs w:val="24"/>
        </w:rPr>
        <w:t xml:space="preserve"> than either of the preceding models, explaining only </w:t>
      </w:r>
      <w:r w:rsidR="002B6FC3">
        <w:rPr>
          <w:rFonts w:ascii="Times New Roman" w:hAnsi="Times New Roman" w:cs="Times New Roman"/>
          <w:sz w:val="24"/>
          <w:szCs w:val="24"/>
        </w:rPr>
        <w:t>four percent of the observed variation</w:t>
      </w:r>
      <w:r w:rsidR="004C592F">
        <w:rPr>
          <w:rFonts w:ascii="Times New Roman" w:hAnsi="Times New Roman" w:cs="Times New Roman"/>
          <w:sz w:val="24"/>
          <w:szCs w:val="24"/>
        </w:rPr>
        <w:t xml:space="preserve"> (</w:t>
      </w:r>
      <w:r w:rsidR="004C592F">
        <w:t>R</w:t>
      </w:r>
      <w:r w:rsidR="004C592F" w:rsidRPr="009E491F">
        <w:rPr>
          <w:vertAlign w:val="superscript"/>
        </w:rPr>
        <w:t>2</w:t>
      </w:r>
      <w:r w:rsidR="004C592F">
        <w:t>=.0.40)</w:t>
      </w:r>
      <w:r w:rsidR="00D67A83">
        <w:t>, but is nevertheless significant (</w:t>
      </w:r>
      <w:proofErr w:type="gramStart"/>
      <w:r w:rsidR="00D67A83">
        <w:t>F(</w:t>
      </w:r>
      <w:proofErr w:type="gramEnd"/>
      <w:r w:rsidR="00D67A83">
        <w:t>5, 708, 5.909, p.&lt;.000)</w:t>
      </w:r>
      <w:r w:rsidR="002B6FC3">
        <w:rPr>
          <w:rFonts w:ascii="Times New Roman" w:hAnsi="Times New Roman" w:cs="Times New Roman"/>
          <w:sz w:val="24"/>
          <w:szCs w:val="24"/>
        </w:rPr>
        <w:t>.</w:t>
      </w:r>
    </w:p>
    <w:p w:rsidR="002275BF" w:rsidRDefault="00D77EC7" w:rsidP="00AE475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above results demonstrate significant variation in the drivers of local authority propensity to deploy S106 powers pre- and post-financial crisis. </w:t>
      </w:r>
      <w:r w:rsidR="00D40D75">
        <w:rPr>
          <w:rFonts w:ascii="Times New Roman" w:hAnsi="Times New Roman" w:cs="Times New Roman"/>
          <w:sz w:val="24"/>
          <w:szCs w:val="24"/>
        </w:rPr>
        <w:t xml:space="preserve">Prior to the emergence of the financial </w:t>
      </w:r>
      <w:proofErr w:type="gramStart"/>
      <w:r w:rsidR="00D40D75">
        <w:rPr>
          <w:rFonts w:ascii="Times New Roman" w:hAnsi="Times New Roman" w:cs="Times New Roman"/>
          <w:sz w:val="24"/>
          <w:szCs w:val="24"/>
        </w:rPr>
        <w:t>crisis</w:t>
      </w:r>
      <w:proofErr w:type="gramEnd"/>
      <w:r w:rsidR="00D40D75">
        <w:rPr>
          <w:rFonts w:ascii="Times New Roman" w:hAnsi="Times New Roman" w:cs="Times New Roman"/>
          <w:sz w:val="24"/>
          <w:szCs w:val="24"/>
        </w:rPr>
        <w:t xml:space="preserve"> we see that the deployment of S106</w:t>
      </w:r>
      <w:r w:rsidR="002275BF">
        <w:rPr>
          <w:rFonts w:ascii="Times New Roman" w:hAnsi="Times New Roman" w:cs="Times New Roman"/>
          <w:sz w:val="24"/>
          <w:szCs w:val="24"/>
        </w:rPr>
        <w:t xml:space="preserve"> was a partisan issue, with the propensity to intervene rising for more left-wing authorities</w:t>
      </w:r>
      <w:r w:rsidR="002A4F8B">
        <w:rPr>
          <w:rFonts w:ascii="Times New Roman" w:hAnsi="Times New Roman" w:cs="Times New Roman"/>
          <w:sz w:val="24"/>
          <w:szCs w:val="24"/>
        </w:rPr>
        <w:t xml:space="preserve"> </w:t>
      </w:r>
      <w:r w:rsidR="00A503CD">
        <w:rPr>
          <w:rFonts w:ascii="Times New Roman" w:hAnsi="Times New Roman" w:cs="Times New Roman"/>
          <w:sz w:val="24"/>
          <w:szCs w:val="24"/>
        </w:rPr>
        <w:t>(</w:t>
      </w:r>
      <w:r w:rsidR="002A4F8B">
        <w:rPr>
          <w:rFonts w:ascii="Times New Roman" w:hAnsi="Times New Roman" w:cs="Times New Roman"/>
          <w:sz w:val="24"/>
          <w:szCs w:val="24"/>
        </w:rPr>
        <w:t>as predicted by H</w:t>
      </w:r>
      <w:r w:rsidR="002A4F8B" w:rsidRPr="002A4F8B">
        <w:rPr>
          <w:rFonts w:ascii="Times New Roman" w:hAnsi="Times New Roman" w:cs="Times New Roman"/>
          <w:sz w:val="24"/>
          <w:szCs w:val="24"/>
          <w:vertAlign w:val="subscript"/>
        </w:rPr>
        <w:t>1</w:t>
      </w:r>
      <w:r w:rsidR="00A503CD" w:rsidRPr="00A503CD">
        <w:rPr>
          <w:rFonts w:ascii="Times New Roman" w:hAnsi="Times New Roman" w:cs="Times New Roman"/>
          <w:sz w:val="24"/>
          <w:szCs w:val="24"/>
        </w:rPr>
        <w:t>)</w:t>
      </w:r>
      <w:r w:rsidR="00A503CD">
        <w:rPr>
          <w:rFonts w:ascii="Times New Roman" w:hAnsi="Times New Roman" w:cs="Times New Roman"/>
          <w:sz w:val="24"/>
          <w:szCs w:val="24"/>
          <w:vertAlign w:val="subscript"/>
        </w:rPr>
        <w:t>.</w:t>
      </w:r>
      <w:r w:rsidR="003E453C">
        <w:rPr>
          <w:rFonts w:ascii="Times New Roman" w:hAnsi="Times New Roman" w:cs="Times New Roman"/>
          <w:sz w:val="24"/>
          <w:szCs w:val="24"/>
        </w:rPr>
        <w:t xml:space="preserve"> </w:t>
      </w:r>
      <w:r w:rsidR="002275BF">
        <w:rPr>
          <w:rFonts w:ascii="Times New Roman" w:hAnsi="Times New Roman" w:cs="Times New Roman"/>
          <w:sz w:val="24"/>
          <w:szCs w:val="24"/>
        </w:rPr>
        <w:t>Throug</w:t>
      </w:r>
      <w:r w:rsidR="002A4F8B">
        <w:rPr>
          <w:rFonts w:ascii="Times New Roman" w:hAnsi="Times New Roman" w:cs="Times New Roman"/>
          <w:sz w:val="24"/>
          <w:szCs w:val="24"/>
        </w:rPr>
        <w:t>h 2005-06</w:t>
      </w:r>
      <w:r w:rsidR="002275BF">
        <w:rPr>
          <w:rFonts w:ascii="Times New Roman" w:hAnsi="Times New Roman" w:cs="Times New Roman"/>
          <w:sz w:val="24"/>
          <w:szCs w:val="24"/>
        </w:rPr>
        <w:t xml:space="preserve"> </w:t>
      </w:r>
      <w:r w:rsidR="002A4F8B">
        <w:rPr>
          <w:rFonts w:ascii="Times New Roman" w:hAnsi="Times New Roman" w:cs="Times New Roman"/>
          <w:sz w:val="24"/>
          <w:szCs w:val="24"/>
        </w:rPr>
        <w:t xml:space="preserve">propensity to intervene </w:t>
      </w:r>
      <w:proofErr w:type="gramStart"/>
      <w:r w:rsidR="002A4F8B">
        <w:rPr>
          <w:rFonts w:ascii="Times New Roman" w:hAnsi="Times New Roman" w:cs="Times New Roman"/>
          <w:sz w:val="24"/>
          <w:szCs w:val="24"/>
        </w:rPr>
        <w:t xml:space="preserve">was </w:t>
      </w:r>
      <w:r w:rsidR="00537958">
        <w:rPr>
          <w:rFonts w:ascii="Times New Roman" w:hAnsi="Times New Roman" w:cs="Times New Roman"/>
          <w:sz w:val="24"/>
          <w:szCs w:val="24"/>
        </w:rPr>
        <w:t xml:space="preserve">also </w:t>
      </w:r>
      <w:r w:rsidR="002A4F8B">
        <w:rPr>
          <w:rFonts w:ascii="Times New Roman" w:hAnsi="Times New Roman" w:cs="Times New Roman"/>
          <w:sz w:val="24"/>
          <w:szCs w:val="24"/>
        </w:rPr>
        <w:t>underpinned</w:t>
      </w:r>
      <w:proofErr w:type="gramEnd"/>
      <w:r w:rsidR="002A4F8B">
        <w:rPr>
          <w:rFonts w:ascii="Times New Roman" w:hAnsi="Times New Roman" w:cs="Times New Roman"/>
          <w:sz w:val="24"/>
          <w:szCs w:val="24"/>
        </w:rPr>
        <w:t xml:space="preserve"> by </w:t>
      </w:r>
      <w:r w:rsidR="002A4F8B" w:rsidRPr="002A4F8B">
        <w:rPr>
          <w:rFonts w:ascii="Times New Roman" w:hAnsi="Times New Roman" w:cs="Times New Roman"/>
          <w:i/>
          <w:sz w:val="24"/>
          <w:szCs w:val="24"/>
        </w:rPr>
        <w:t>rentier</w:t>
      </w:r>
      <w:r w:rsidR="002A4F8B">
        <w:rPr>
          <w:rFonts w:ascii="Times New Roman" w:hAnsi="Times New Roman" w:cs="Times New Roman"/>
          <w:sz w:val="24"/>
          <w:szCs w:val="24"/>
        </w:rPr>
        <w:t xml:space="preserve"> capacity, with buoyant local markets being associated with more use of S106 </w:t>
      </w:r>
      <w:r w:rsidR="00A503CD">
        <w:rPr>
          <w:rFonts w:ascii="Times New Roman" w:hAnsi="Times New Roman" w:cs="Times New Roman"/>
          <w:sz w:val="24"/>
          <w:szCs w:val="24"/>
        </w:rPr>
        <w:t>(</w:t>
      </w:r>
      <w:r w:rsidR="002A4F8B">
        <w:rPr>
          <w:rFonts w:ascii="Times New Roman" w:hAnsi="Times New Roman" w:cs="Times New Roman"/>
          <w:sz w:val="24"/>
          <w:szCs w:val="24"/>
        </w:rPr>
        <w:t>as predicted by H</w:t>
      </w:r>
      <w:r w:rsidR="002A4F8B" w:rsidRPr="002A4F8B">
        <w:rPr>
          <w:rFonts w:ascii="Times New Roman" w:hAnsi="Times New Roman" w:cs="Times New Roman"/>
          <w:sz w:val="24"/>
          <w:szCs w:val="24"/>
          <w:vertAlign w:val="subscript"/>
        </w:rPr>
        <w:t>2</w:t>
      </w:r>
      <w:r w:rsidR="00A503CD">
        <w:rPr>
          <w:rFonts w:ascii="Times New Roman" w:hAnsi="Times New Roman" w:cs="Times New Roman"/>
          <w:sz w:val="24"/>
          <w:szCs w:val="24"/>
        </w:rPr>
        <w:t>)</w:t>
      </w:r>
      <w:r w:rsidR="002A4F8B">
        <w:rPr>
          <w:rFonts w:ascii="Times New Roman" w:hAnsi="Times New Roman" w:cs="Times New Roman"/>
          <w:sz w:val="24"/>
          <w:szCs w:val="24"/>
        </w:rPr>
        <w:t>. We find the predictions of H</w:t>
      </w:r>
      <w:r w:rsidR="002A4F8B" w:rsidRPr="002A4F8B">
        <w:rPr>
          <w:rFonts w:ascii="Times New Roman" w:hAnsi="Times New Roman" w:cs="Times New Roman"/>
          <w:sz w:val="24"/>
          <w:szCs w:val="24"/>
          <w:vertAlign w:val="subscript"/>
        </w:rPr>
        <w:t>3</w:t>
      </w:r>
      <w:r w:rsidR="002A4F8B">
        <w:rPr>
          <w:rFonts w:ascii="Times New Roman" w:hAnsi="Times New Roman" w:cs="Times New Roman"/>
          <w:sz w:val="24"/>
          <w:szCs w:val="24"/>
        </w:rPr>
        <w:t xml:space="preserve"> to </w:t>
      </w:r>
      <w:proofErr w:type="gramStart"/>
      <w:r w:rsidR="002A4F8B">
        <w:rPr>
          <w:rFonts w:ascii="Times New Roman" w:hAnsi="Times New Roman" w:cs="Times New Roman"/>
          <w:sz w:val="24"/>
          <w:szCs w:val="24"/>
        </w:rPr>
        <w:t>have been partially fulfilled</w:t>
      </w:r>
      <w:proofErr w:type="gramEnd"/>
      <w:r w:rsidR="002A4F8B">
        <w:rPr>
          <w:rFonts w:ascii="Times New Roman" w:hAnsi="Times New Roman" w:cs="Times New Roman"/>
          <w:sz w:val="24"/>
          <w:szCs w:val="24"/>
        </w:rPr>
        <w:t xml:space="preserve"> in the 2005-06 period, with </w:t>
      </w:r>
      <w:r w:rsidR="002275BF">
        <w:rPr>
          <w:rFonts w:ascii="Times New Roman" w:hAnsi="Times New Roman" w:cs="Times New Roman"/>
          <w:sz w:val="24"/>
          <w:szCs w:val="24"/>
        </w:rPr>
        <w:t>local authorities responding to low levels of house price affordability by turning to S106. The lack of a significant relationship between local authority housing waiting lists and deployment of S106 planning powers</w:t>
      </w:r>
      <w:r w:rsidR="00537958">
        <w:rPr>
          <w:rFonts w:ascii="Times New Roman" w:hAnsi="Times New Roman" w:cs="Times New Roman"/>
          <w:sz w:val="24"/>
          <w:szCs w:val="24"/>
        </w:rPr>
        <w:t>, on the other hand,</w:t>
      </w:r>
      <w:r w:rsidR="002275BF">
        <w:rPr>
          <w:rFonts w:ascii="Times New Roman" w:hAnsi="Times New Roman" w:cs="Times New Roman"/>
          <w:sz w:val="24"/>
          <w:szCs w:val="24"/>
        </w:rPr>
        <w:t xml:space="preserve"> suggests that the policy tool </w:t>
      </w:r>
      <w:proofErr w:type="gramStart"/>
      <w:r w:rsidR="002275BF">
        <w:rPr>
          <w:rFonts w:ascii="Times New Roman" w:hAnsi="Times New Roman" w:cs="Times New Roman"/>
          <w:sz w:val="24"/>
          <w:szCs w:val="24"/>
        </w:rPr>
        <w:t>is being used</w:t>
      </w:r>
      <w:proofErr w:type="gramEnd"/>
      <w:r w:rsidR="002275BF">
        <w:rPr>
          <w:rFonts w:ascii="Times New Roman" w:hAnsi="Times New Roman" w:cs="Times New Roman"/>
          <w:sz w:val="24"/>
          <w:szCs w:val="24"/>
        </w:rPr>
        <w:t xml:space="preserve"> in response to the concerns of more affluent populations. Housing waiting lists capture a need for social housing from less affluent populations, while the income-to-house price ratio relates to more affluent populations’ capacity to access owner-occupation.</w:t>
      </w:r>
      <w:r w:rsidR="002A4F8B">
        <w:rPr>
          <w:rFonts w:ascii="Times New Roman" w:hAnsi="Times New Roman" w:cs="Times New Roman"/>
          <w:sz w:val="24"/>
          <w:szCs w:val="24"/>
        </w:rPr>
        <w:t xml:space="preserve"> The prediction of H</w:t>
      </w:r>
      <w:r w:rsidR="002A4F8B" w:rsidRPr="002A4F8B">
        <w:rPr>
          <w:rFonts w:ascii="Times New Roman" w:hAnsi="Times New Roman" w:cs="Times New Roman"/>
          <w:sz w:val="24"/>
          <w:szCs w:val="24"/>
          <w:vertAlign w:val="subscript"/>
        </w:rPr>
        <w:t>4</w:t>
      </w:r>
      <w:r w:rsidR="002A4F8B">
        <w:rPr>
          <w:rFonts w:ascii="Times New Roman" w:hAnsi="Times New Roman" w:cs="Times New Roman"/>
          <w:sz w:val="24"/>
          <w:szCs w:val="24"/>
        </w:rPr>
        <w:t xml:space="preserve"> </w:t>
      </w:r>
      <w:proofErr w:type="gramStart"/>
      <w:r w:rsidR="00F71790">
        <w:rPr>
          <w:rFonts w:ascii="Times New Roman" w:hAnsi="Times New Roman" w:cs="Times New Roman"/>
          <w:sz w:val="24"/>
          <w:szCs w:val="24"/>
        </w:rPr>
        <w:t>was confirmed</w:t>
      </w:r>
      <w:proofErr w:type="gramEnd"/>
      <w:r w:rsidR="00026B12">
        <w:rPr>
          <w:rFonts w:ascii="Times New Roman" w:hAnsi="Times New Roman" w:cs="Times New Roman"/>
          <w:sz w:val="24"/>
          <w:szCs w:val="24"/>
        </w:rPr>
        <w:t xml:space="preserve"> for 2005-06</w:t>
      </w:r>
      <w:r w:rsidR="00F71790">
        <w:rPr>
          <w:rFonts w:ascii="Times New Roman" w:hAnsi="Times New Roman" w:cs="Times New Roman"/>
          <w:sz w:val="24"/>
          <w:szCs w:val="24"/>
        </w:rPr>
        <w:t xml:space="preserve">, with </w:t>
      </w:r>
      <w:r w:rsidR="002A4F8B">
        <w:rPr>
          <w:rFonts w:ascii="Times New Roman" w:hAnsi="Times New Roman" w:cs="Times New Roman"/>
          <w:sz w:val="24"/>
          <w:szCs w:val="24"/>
        </w:rPr>
        <w:t xml:space="preserve">a significant </w:t>
      </w:r>
      <w:r w:rsidR="00F71790">
        <w:rPr>
          <w:rFonts w:ascii="Times New Roman" w:hAnsi="Times New Roman" w:cs="Times New Roman"/>
          <w:sz w:val="24"/>
          <w:szCs w:val="24"/>
        </w:rPr>
        <w:t xml:space="preserve">and positive </w:t>
      </w:r>
      <w:r w:rsidR="002A4F8B">
        <w:rPr>
          <w:rFonts w:ascii="Times New Roman" w:hAnsi="Times New Roman" w:cs="Times New Roman"/>
          <w:sz w:val="24"/>
          <w:szCs w:val="24"/>
        </w:rPr>
        <w:t>relationship between salience a</w:t>
      </w:r>
      <w:r w:rsidR="00F71790">
        <w:rPr>
          <w:rFonts w:ascii="Times New Roman" w:hAnsi="Times New Roman" w:cs="Times New Roman"/>
          <w:sz w:val="24"/>
          <w:szCs w:val="24"/>
        </w:rPr>
        <w:t>nd S106 propensity</w:t>
      </w:r>
      <w:r w:rsidR="002A4F8B">
        <w:rPr>
          <w:rFonts w:ascii="Times New Roman" w:hAnsi="Times New Roman" w:cs="Times New Roman"/>
          <w:sz w:val="24"/>
          <w:szCs w:val="24"/>
        </w:rPr>
        <w:t>.</w:t>
      </w:r>
    </w:p>
    <w:p w:rsidR="00026B12" w:rsidRDefault="003D4180" w:rsidP="009C7AE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After the emergence of the financial crisis, </w:t>
      </w:r>
      <w:r w:rsidR="001A5C54">
        <w:rPr>
          <w:rFonts w:ascii="Times New Roman" w:hAnsi="Times New Roman" w:cs="Times New Roman"/>
          <w:sz w:val="24"/>
          <w:szCs w:val="24"/>
        </w:rPr>
        <w:t>the deployment of S106 begins to display characteristics of a party competition issue.</w:t>
      </w:r>
      <w:r w:rsidR="00AD73DD">
        <w:rPr>
          <w:rStyle w:val="FootnoteReference"/>
          <w:rFonts w:ascii="Times New Roman" w:hAnsi="Times New Roman" w:cs="Times New Roman"/>
          <w:sz w:val="24"/>
          <w:szCs w:val="24"/>
        </w:rPr>
        <w:footnoteReference w:id="29"/>
      </w:r>
      <w:r w:rsidR="001A5C54">
        <w:rPr>
          <w:rFonts w:ascii="Times New Roman" w:hAnsi="Times New Roman" w:cs="Times New Roman"/>
          <w:sz w:val="24"/>
          <w:szCs w:val="24"/>
        </w:rPr>
        <w:t xml:space="preserve"> </w:t>
      </w:r>
      <w:r w:rsidR="00D662B5">
        <w:rPr>
          <w:rFonts w:ascii="Times New Roman" w:hAnsi="Times New Roman" w:cs="Times New Roman"/>
          <w:sz w:val="24"/>
          <w:szCs w:val="24"/>
        </w:rPr>
        <w:t xml:space="preserve">Through </w:t>
      </w:r>
      <w:proofErr w:type="gramStart"/>
      <w:r w:rsidR="00D662B5">
        <w:rPr>
          <w:rFonts w:ascii="Times New Roman" w:hAnsi="Times New Roman" w:cs="Times New Roman"/>
          <w:sz w:val="24"/>
          <w:szCs w:val="24"/>
        </w:rPr>
        <w:t>2007-09</w:t>
      </w:r>
      <w:proofErr w:type="gramEnd"/>
      <w:r w:rsidR="00D662B5">
        <w:rPr>
          <w:rFonts w:ascii="Times New Roman" w:hAnsi="Times New Roman" w:cs="Times New Roman"/>
          <w:sz w:val="24"/>
          <w:szCs w:val="24"/>
        </w:rPr>
        <w:t xml:space="preserve"> we see a substantial rise in the average deployment of S106, from 2.10 in the earlier period up to 4.63. In the context of t</w:t>
      </w:r>
      <w:r w:rsidR="00AD1B92">
        <w:rPr>
          <w:rFonts w:ascii="Times New Roman" w:hAnsi="Times New Roman" w:cs="Times New Roman"/>
          <w:sz w:val="24"/>
          <w:szCs w:val="24"/>
        </w:rPr>
        <w:t xml:space="preserve">his generalised </w:t>
      </w:r>
      <w:proofErr w:type="gramStart"/>
      <w:r w:rsidR="00AD1B92">
        <w:rPr>
          <w:rFonts w:ascii="Times New Roman" w:hAnsi="Times New Roman" w:cs="Times New Roman"/>
          <w:sz w:val="24"/>
          <w:szCs w:val="24"/>
        </w:rPr>
        <w:t>increase</w:t>
      </w:r>
      <w:proofErr w:type="gramEnd"/>
      <w:r w:rsidR="00D662B5">
        <w:rPr>
          <w:rFonts w:ascii="Times New Roman" w:hAnsi="Times New Roman" w:cs="Times New Roman"/>
          <w:sz w:val="24"/>
          <w:szCs w:val="24"/>
        </w:rPr>
        <w:t xml:space="preserve"> the expectations of H</w:t>
      </w:r>
      <w:r w:rsidR="00D662B5" w:rsidRPr="00D662B5">
        <w:rPr>
          <w:rFonts w:ascii="Times New Roman" w:hAnsi="Times New Roman" w:cs="Times New Roman"/>
          <w:sz w:val="24"/>
          <w:szCs w:val="24"/>
          <w:vertAlign w:val="subscript"/>
        </w:rPr>
        <w:t>1</w:t>
      </w:r>
      <w:r w:rsidR="00D662B5">
        <w:rPr>
          <w:rFonts w:ascii="Times New Roman" w:hAnsi="Times New Roman" w:cs="Times New Roman"/>
          <w:sz w:val="24"/>
          <w:szCs w:val="24"/>
        </w:rPr>
        <w:t xml:space="preserve"> </w:t>
      </w:r>
      <w:r w:rsidR="00AD73DD">
        <w:rPr>
          <w:rFonts w:ascii="Times New Roman" w:hAnsi="Times New Roman" w:cs="Times New Roman"/>
          <w:sz w:val="24"/>
          <w:szCs w:val="24"/>
        </w:rPr>
        <w:t>are</w:t>
      </w:r>
      <w:r w:rsidR="00D662B5">
        <w:rPr>
          <w:rFonts w:ascii="Times New Roman" w:hAnsi="Times New Roman" w:cs="Times New Roman"/>
          <w:sz w:val="24"/>
          <w:szCs w:val="24"/>
        </w:rPr>
        <w:t xml:space="preserve"> confounded</w:t>
      </w:r>
      <w:r w:rsidR="00AD1B92">
        <w:rPr>
          <w:rFonts w:ascii="Times New Roman" w:hAnsi="Times New Roman" w:cs="Times New Roman"/>
          <w:sz w:val="24"/>
          <w:szCs w:val="24"/>
        </w:rPr>
        <w:t>,</w:t>
      </w:r>
      <w:r w:rsidR="00D662B5">
        <w:rPr>
          <w:rFonts w:ascii="Times New Roman" w:hAnsi="Times New Roman" w:cs="Times New Roman"/>
          <w:sz w:val="24"/>
          <w:szCs w:val="24"/>
        </w:rPr>
        <w:t xml:space="preserve"> as left-wing</w:t>
      </w:r>
      <w:r w:rsidR="00422755">
        <w:rPr>
          <w:rFonts w:ascii="Times New Roman" w:hAnsi="Times New Roman" w:cs="Times New Roman"/>
          <w:sz w:val="24"/>
          <w:szCs w:val="24"/>
        </w:rPr>
        <w:t xml:space="preserve"> orientation is no longer </w:t>
      </w:r>
      <w:r w:rsidR="00D662B5">
        <w:rPr>
          <w:rFonts w:ascii="Times New Roman" w:hAnsi="Times New Roman" w:cs="Times New Roman"/>
          <w:sz w:val="24"/>
          <w:szCs w:val="24"/>
        </w:rPr>
        <w:t xml:space="preserve">significantly related to S106 use. </w:t>
      </w:r>
      <w:r w:rsidR="00422755">
        <w:rPr>
          <w:rFonts w:ascii="Times New Roman" w:hAnsi="Times New Roman" w:cs="Times New Roman"/>
          <w:sz w:val="24"/>
          <w:szCs w:val="24"/>
        </w:rPr>
        <w:t>The expectations of H</w:t>
      </w:r>
      <w:r w:rsidR="00422755" w:rsidRPr="00422755">
        <w:rPr>
          <w:rFonts w:ascii="Times New Roman" w:hAnsi="Times New Roman" w:cs="Times New Roman"/>
          <w:sz w:val="24"/>
          <w:szCs w:val="24"/>
          <w:vertAlign w:val="subscript"/>
        </w:rPr>
        <w:t>2</w:t>
      </w:r>
      <w:r w:rsidR="00422755">
        <w:rPr>
          <w:rFonts w:ascii="Times New Roman" w:hAnsi="Times New Roman" w:cs="Times New Roman"/>
          <w:sz w:val="24"/>
          <w:szCs w:val="24"/>
        </w:rPr>
        <w:t xml:space="preserve"> are also confounded, as market buoyancy </w:t>
      </w:r>
      <w:proofErr w:type="gramStart"/>
      <w:r w:rsidR="001643A5">
        <w:rPr>
          <w:rFonts w:ascii="Times New Roman" w:hAnsi="Times New Roman" w:cs="Times New Roman"/>
          <w:sz w:val="24"/>
          <w:szCs w:val="24"/>
        </w:rPr>
        <w:t>is no longer significantly related</w:t>
      </w:r>
      <w:proofErr w:type="gramEnd"/>
      <w:r w:rsidR="001643A5">
        <w:rPr>
          <w:rFonts w:ascii="Times New Roman" w:hAnsi="Times New Roman" w:cs="Times New Roman"/>
          <w:sz w:val="24"/>
          <w:szCs w:val="24"/>
        </w:rPr>
        <w:t xml:space="preserve"> to S106 propensity. It is possible that, during this later period, </w:t>
      </w:r>
      <w:r w:rsidR="00742C21">
        <w:rPr>
          <w:rFonts w:ascii="Times New Roman" w:hAnsi="Times New Roman" w:cs="Times New Roman"/>
          <w:sz w:val="24"/>
          <w:szCs w:val="24"/>
        </w:rPr>
        <w:t>increased issue salience meant that authorities</w:t>
      </w:r>
      <w:r w:rsidR="00026B12">
        <w:rPr>
          <w:rFonts w:ascii="Times New Roman" w:hAnsi="Times New Roman" w:cs="Times New Roman"/>
          <w:sz w:val="24"/>
          <w:szCs w:val="24"/>
        </w:rPr>
        <w:t xml:space="preserve"> regardless of partisan orientation</w:t>
      </w:r>
      <w:r w:rsidR="00742C21">
        <w:rPr>
          <w:rFonts w:ascii="Times New Roman" w:hAnsi="Times New Roman" w:cs="Times New Roman"/>
          <w:sz w:val="24"/>
          <w:szCs w:val="24"/>
        </w:rPr>
        <w:t xml:space="preserve"> felt pressure to</w:t>
      </w:r>
      <w:r w:rsidR="00026B12">
        <w:rPr>
          <w:rFonts w:ascii="Times New Roman" w:hAnsi="Times New Roman" w:cs="Times New Roman"/>
          <w:sz w:val="24"/>
          <w:szCs w:val="24"/>
        </w:rPr>
        <w:t xml:space="preserve"> act on affordable housing, and</w:t>
      </w:r>
      <w:r w:rsidR="00742C21">
        <w:rPr>
          <w:rFonts w:ascii="Times New Roman" w:hAnsi="Times New Roman" w:cs="Times New Roman"/>
          <w:sz w:val="24"/>
          <w:szCs w:val="24"/>
        </w:rPr>
        <w:t xml:space="preserve"> </w:t>
      </w:r>
      <w:r w:rsidR="00026B12">
        <w:rPr>
          <w:rFonts w:ascii="Times New Roman" w:hAnsi="Times New Roman" w:cs="Times New Roman"/>
          <w:sz w:val="24"/>
          <w:szCs w:val="24"/>
        </w:rPr>
        <w:t xml:space="preserve">to do so increasingly </w:t>
      </w:r>
      <w:r w:rsidR="00742C21">
        <w:rPr>
          <w:rFonts w:ascii="Times New Roman" w:hAnsi="Times New Roman" w:cs="Times New Roman"/>
          <w:sz w:val="24"/>
          <w:szCs w:val="24"/>
        </w:rPr>
        <w:t xml:space="preserve">speculatively </w:t>
      </w:r>
      <w:r w:rsidR="00026B12">
        <w:rPr>
          <w:rFonts w:ascii="Times New Roman" w:hAnsi="Times New Roman" w:cs="Times New Roman"/>
          <w:sz w:val="24"/>
          <w:szCs w:val="24"/>
        </w:rPr>
        <w:t>even when</w:t>
      </w:r>
      <w:r w:rsidR="00742C21">
        <w:rPr>
          <w:rFonts w:ascii="Times New Roman" w:hAnsi="Times New Roman" w:cs="Times New Roman"/>
          <w:sz w:val="24"/>
          <w:szCs w:val="24"/>
        </w:rPr>
        <w:t xml:space="preserve"> </w:t>
      </w:r>
      <w:r w:rsidR="00026B12">
        <w:rPr>
          <w:rFonts w:ascii="Times New Roman" w:hAnsi="Times New Roman" w:cs="Times New Roman"/>
          <w:sz w:val="24"/>
          <w:szCs w:val="24"/>
        </w:rPr>
        <w:t>enjoying lower levels of</w:t>
      </w:r>
      <w:r w:rsidR="00742C21">
        <w:rPr>
          <w:rFonts w:ascii="Times New Roman" w:hAnsi="Times New Roman" w:cs="Times New Roman"/>
          <w:sz w:val="24"/>
          <w:szCs w:val="24"/>
        </w:rPr>
        <w:t xml:space="preserve"> </w:t>
      </w:r>
      <w:r w:rsidR="00742C21" w:rsidRPr="00742C21">
        <w:rPr>
          <w:rFonts w:ascii="Times New Roman" w:hAnsi="Times New Roman" w:cs="Times New Roman"/>
          <w:i/>
          <w:sz w:val="24"/>
          <w:szCs w:val="24"/>
        </w:rPr>
        <w:t>rentier</w:t>
      </w:r>
      <w:r w:rsidR="00742C21">
        <w:rPr>
          <w:rFonts w:ascii="Times New Roman" w:hAnsi="Times New Roman" w:cs="Times New Roman"/>
          <w:sz w:val="24"/>
          <w:szCs w:val="24"/>
        </w:rPr>
        <w:t xml:space="preserve"> capacity. </w:t>
      </w:r>
    </w:p>
    <w:p w:rsidR="00742C21" w:rsidRDefault="00742C21" w:rsidP="00026B1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should note that </w:t>
      </w:r>
      <w:r w:rsidR="008703B3">
        <w:rPr>
          <w:rFonts w:ascii="Times New Roman" w:hAnsi="Times New Roman" w:cs="Times New Roman"/>
          <w:sz w:val="24"/>
          <w:szCs w:val="24"/>
        </w:rPr>
        <w:t>changes in the structure of the construction industry may have also contributed to the rise in the number of S106s being mandated per application</w:t>
      </w:r>
      <w:r w:rsidR="00026B12">
        <w:rPr>
          <w:rFonts w:ascii="Times New Roman" w:hAnsi="Times New Roman" w:cs="Times New Roman"/>
          <w:sz w:val="24"/>
          <w:szCs w:val="24"/>
        </w:rPr>
        <w:t xml:space="preserve"> in the post-crisis period</w:t>
      </w:r>
      <w:r w:rsidR="008703B3">
        <w:rPr>
          <w:rFonts w:ascii="Times New Roman" w:hAnsi="Times New Roman" w:cs="Times New Roman"/>
          <w:sz w:val="24"/>
          <w:szCs w:val="24"/>
        </w:rPr>
        <w:t xml:space="preserve">. Following the crisis, </w:t>
      </w:r>
      <w:proofErr w:type="gramStart"/>
      <w:r w:rsidR="008703B3">
        <w:rPr>
          <w:rFonts w:ascii="Times New Roman" w:hAnsi="Times New Roman" w:cs="Times New Roman"/>
          <w:sz w:val="24"/>
          <w:szCs w:val="24"/>
        </w:rPr>
        <w:t>the industry became increasingly dominated by a small number of large firms</w:t>
      </w:r>
      <w:r w:rsidR="00AD73DD">
        <w:rPr>
          <w:rFonts w:ascii="Times New Roman" w:hAnsi="Times New Roman" w:cs="Times New Roman"/>
          <w:sz w:val="24"/>
          <w:szCs w:val="24"/>
        </w:rPr>
        <w:t>, firms</w:t>
      </w:r>
      <w:r w:rsidR="008703B3">
        <w:rPr>
          <w:rFonts w:ascii="Times New Roman" w:hAnsi="Times New Roman" w:cs="Times New Roman"/>
          <w:sz w:val="24"/>
          <w:szCs w:val="24"/>
        </w:rPr>
        <w:t xml:space="preserve"> whose operations typically favour large</w:t>
      </w:r>
      <w:r w:rsidR="00026B12">
        <w:rPr>
          <w:rFonts w:ascii="Times New Roman" w:hAnsi="Times New Roman" w:cs="Times New Roman"/>
          <w:sz w:val="24"/>
          <w:szCs w:val="24"/>
        </w:rPr>
        <w:t>r</w:t>
      </w:r>
      <w:r w:rsidR="008703B3">
        <w:rPr>
          <w:rFonts w:ascii="Times New Roman" w:hAnsi="Times New Roman" w:cs="Times New Roman"/>
          <w:sz w:val="24"/>
          <w:szCs w:val="24"/>
        </w:rPr>
        <w:t>-scale developments</w:t>
      </w:r>
      <w:r w:rsidR="00AD73DD">
        <w:rPr>
          <w:rFonts w:ascii="Times New Roman" w:hAnsi="Times New Roman" w:cs="Times New Roman"/>
          <w:sz w:val="24"/>
          <w:szCs w:val="24"/>
        </w:rPr>
        <w:t xml:space="preserve"> (HBF 2017)</w:t>
      </w:r>
      <w:proofErr w:type="gramEnd"/>
      <w:r w:rsidR="008703B3">
        <w:rPr>
          <w:rFonts w:ascii="Times New Roman" w:hAnsi="Times New Roman" w:cs="Times New Roman"/>
          <w:sz w:val="24"/>
          <w:szCs w:val="24"/>
        </w:rPr>
        <w:t>.</w:t>
      </w:r>
      <w:r w:rsidR="00AD73DD">
        <w:rPr>
          <w:rFonts w:ascii="Times New Roman" w:hAnsi="Times New Roman" w:cs="Times New Roman"/>
          <w:sz w:val="24"/>
          <w:szCs w:val="24"/>
        </w:rPr>
        <w:t xml:space="preserve"> This structural change may plausibly have increased the average numbe</w:t>
      </w:r>
      <w:r w:rsidR="00026B12">
        <w:rPr>
          <w:rFonts w:ascii="Times New Roman" w:hAnsi="Times New Roman" w:cs="Times New Roman"/>
          <w:sz w:val="24"/>
          <w:szCs w:val="24"/>
        </w:rPr>
        <w:t xml:space="preserve">r of houses being included in </w:t>
      </w:r>
      <w:r w:rsidR="00AD73DD">
        <w:rPr>
          <w:rFonts w:ascii="Times New Roman" w:hAnsi="Times New Roman" w:cs="Times New Roman"/>
          <w:sz w:val="24"/>
          <w:szCs w:val="24"/>
        </w:rPr>
        <w:t>large residential planning application</w:t>
      </w:r>
      <w:r w:rsidR="00026B12">
        <w:rPr>
          <w:rFonts w:ascii="Times New Roman" w:hAnsi="Times New Roman" w:cs="Times New Roman"/>
          <w:sz w:val="24"/>
          <w:szCs w:val="24"/>
        </w:rPr>
        <w:t>s</w:t>
      </w:r>
      <w:r w:rsidR="00AD73DD">
        <w:rPr>
          <w:rFonts w:ascii="Times New Roman" w:hAnsi="Times New Roman" w:cs="Times New Roman"/>
          <w:sz w:val="24"/>
          <w:szCs w:val="24"/>
        </w:rPr>
        <w:t xml:space="preserve">; part of the increase in S106 per application </w:t>
      </w:r>
      <w:proofErr w:type="gramStart"/>
      <w:r w:rsidR="00AD73DD">
        <w:rPr>
          <w:rFonts w:ascii="Times New Roman" w:hAnsi="Times New Roman" w:cs="Times New Roman"/>
          <w:sz w:val="24"/>
          <w:szCs w:val="24"/>
        </w:rPr>
        <w:t>may</w:t>
      </w:r>
      <w:r w:rsidR="00026B12">
        <w:rPr>
          <w:rFonts w:ascii="Times New Roman" w:hAnsi="Times New Roman" w:cs="Times New Roman"/>
          <w:sz w:val="24"/>
          <w:szCs w:val="24"/>
        </w:rPr>
        <w:t>, therefore,</w:t>
      </w:r>
      <w:r w:rsidR="00AD73DD">
        <w:rPr>
          <w:rFonts w:ascii="Times New Roman" w:hAnsi="Times New Roman" w:cs="Times New Roman"/>
          <w:sz w:val="24"/>
          <w:szCs w:val="24"/>
        </w:rPr>
        <w:t xml:space="preserve"> be accounted</w:t>
      </w:r>
      <w:proofErr w:type="gramEnd"/>
      <w:r w:rsidR="00AD73DD">
        <w:rPr>
          <w:rFonts w:ascii="Times New Roman" w:hAnsi="Times New Roman" w:cs="Times New Roman"/>
          <w:sz w:val="24"/>
          <w:szCs w:val="24"/>
        </w:rPr>
        <w:t xml:space="preserve"> for by this </w:t>
      </w:r>
      <w:r w:rsidR="00504644">
        <w:rPr>
          <w:rFonts w:ascii="Times New Roman" w:hAnsi="Times New Roman" w:cs="Times New Roman"/>
          <w:sz w:val="24"/>
          <w:szCs w:val="24"/>
        </w:rPr>
        <w:t>dynamic</w:t>
      </w:r>
      <w:r w:rsidR="00AD73DD">
        <w:rPr>
          <w:rFonts w:ascii="Times New Roman" w:hAnsi="Times New Roman" w:cs="Times New Roman"/>
          <w:sz w:val="24"/>
          <w:szCs w:val="24"/>
        </w:rPr>
        <w:t xml:space="preserve">. Our inability, due to the data shortages noted above, to present a fine-grained analysis of these </w:t>
      </w:r>
      <w:r w:rsidR="00AD73DD">
        <w:rPr>
          <w:rFonts w:ascii="Times New Roman" w:hAnsi="Times New Roman" w:cs="Times New Roman"/>
          <w:sz w:val="24"/>
          <w:szCs w:val="24"/>
        </w:rPr>
        <w:lastRenderedPageBreak/>
        <w:t xml:space="preserve">dynamics serves to </w:t>
      </w:r>
      <w:r w:rsidR="00026B12">
        <w:rPr>
          <w:rFonts w:ascii="Times New Roman" w:hAnsi="Times New Roman" w:cs="Times New Roman"/>
          <w:sz w:val="24"/>
          <w:szCs w:val="24"/>
        </w:rPr>
        <w:t xml:space="preserve">again </w:t>
      </w:r>
      <w:r w:rsidR="00AD73DD">
        <w:rPr>
          <w:rFonts w:ascii="Times New Roman" w:hAnsi="Times New Roman" w:cs="Times New Roman"/>
          <w:sz w:val="24"/>
          <w:szCs w:val="24"/>
        </w:rPr>
        <w:t>highlight the need for more consistent and comprehensive data collection in this field.</w:t>
      </w:r>
      <w:r w:rsidR="003C57FF">
        <w:rPr>
          <w:rStyle w:val="FootnoteReference"/>
          <w:rFonts w:ascii="Times New Roman" w:hAnsi="Times New Roman" w:cs="Times New Roman"/>
          <w:sz w:val="24"/>
          <w:szCs w:val="24"/>
        </w:rPr>
        <w:footnoteReference w:id="30"/>
      </w:r>
      <w:r w:rsidR="00AD73DD">
        <w:rPr>
          <w:rFonts w:ascii="Times New Roman" w:hAnsi="Times New Roman" w:cs="Times New Roman"/>
          <w:sz w:val="24"/>
          <w:szCs w:val="24"/>
        </w:rPr>
        <w:t xml:space="preserve"> </w:t>
      </w:r>
    </w:p>
    <w:p w:rsidR="00C70BFE" w:rsidRPr="006D5885" w:rsidRDefault="00C70BFE" w:rsidP="006D5885">
      <w:pPr>
        <w:autoSpaceDE w:val="0"/>
        <w:autoSpaceDN w:val="0"/>
        <w:adjustRightInd w:val="0"/>
        <w:spacing w:after="0" w:line="480" w:lineRule="auto"/>
        <w:rPr>
          <w:rFonts w:ascii="Times New Roman" w:hAnsi="Times New Roman" w:cs="Times New Roman"/>
          <w:sz w:val="24"/>
          <w:szCs w:val="24"/>
        </w:rPr>
      </w:pPr>
    </w:p>
    <w:p w:rsidR="00AD71BF" w:rsidRDefault="00AD71BF" w:rsidP="00C4456F">
      <w:pPr>
        <w:spacing w:line="480" w:lineRule="auto"/>
      </w:pPr>
      <w:r>
        <w:rPr>
          <w:u w:val="single"/>
        </w:rPr>
        <w:t>Conclusion</w:t>
      </w:r>
    </w:p>
    <w:p w:rsidR="00C07A9C" w:rsidRDefault="0052068C" w:rsidP="00C4456F">
      <w:pPr>
        <w:spacing w:line="480" w:lineRule="auto"/>
      </w:pPr>
      <w:r>
        <w:t>Through our paper</w:t>
      </w:r>
      <w:r w:rsidR="000D1F76">
        <w:t>, we</w:t>
      </w:r>
      <w:r>
        <w:t xml:space="preserve"> have</w:t>
      </w:r>
      <w:r w:rsidR="000D1F76">
        <w:t xml:space="preserve"> present</w:t>
      </w:r>
      <w:r>
        <w:t>ed</w:t>
      </w:r>
      <w:r w:rsidR="000D1F76">
        <w:t xml:space="preserve"> an extension to</w:t>
      </w:r>
      <w:r w:rsidR="001F7985">
        <w:t xml:space="preserve"> existing</w:t>
      </w:r>
      <w:r w:rsidR="000D1F76">
        <w:t xml:space="preserve"> literature </w:t>
      </w:r>
      <w:r w:rsidR="001F7985">
        <w:t>by</w:t>
      </w:r>
      <w:r>
        <w:t xml:space="preserve"> offer</w:t>
      </w:r>
      <w:r w:rsidR="001F7985">
        <w:t>ing</w:t>
      </w:r>
      <w:r w:rsidR="000D1F76">
        <w:t xml:space="preserve"> a counter-point to the prevailing image of regulatory governance as depoliticised process. In identifying the drivers of variation in local authority deployment of S106 powers to compel market actors to include additional affordable housing in new-build developments</w:t>
      </w:r>
      <w:r>
        <w:t>, we</w:t>
      </w:r>
      <w:r w:rsidR="000D1F76">
        <w:t xml:space="preserve"> have revealed the inherently political nature of </w:t>
      </w:r>
      <w:r w:rsidR="00D172E5">
        <w:t xml:space="preserve">the </w:t>
      </w:r>
      <w:r w:rsidR="000D1F76">
        <w:t>observed outcomes. Whereas in the pre-financial crisis period affordable housing presented as a partisan issue, in the post-crisis p</w:t>
      </w:r>
      <w:r w:rsidR="00504644">
        <w:t xml:space="preserve">eriod we see it </w:t>
      </w:r>
      <w:r w:rsidR="000D1F76">
        <w:t xml:space="preserve">shifting into a </w:t>
      </w:r>
      <w:r w:rsidR="00E15EF1">
        <w:t>valence</w:t>
      </w:r>
      <w:r w:rsidR="000D1F76">
        <w:t xml:space="preserve"> issue. </w:t>
      </w:r>
      <w:r>
        <w:t>We identify issue salience as a factor that helps explain this transformation of issue-type; in the aftermath of the crisis, as the prominence of affordable housing rose substantially, local authorities regardless of partisan orientation moved to increase their deployment of S106.</w:t>
      </w:r>
      <w:r w:rsidR="001F7985">
        <w:t xml:space="preserve"> By highlighting the </w:t>
      </w:r>
      <w:r w:rsidR="00504644">
        <w:t>consistent</w:t>
      </w:r>
      <w:r w:rsidR="001F7985">
        <w:t xml:space="preserve"> influence of local house price affordability on the use of S106</w:t>
      </w:r>
      <w:r w:rsidR="00504644">
        <w:t xml:space="preserve"> and the lack of effect from housing waiting list size</w:t>
      </w:r>
      <w:r w:rsidR="001F7985">
        <w:t>, our findings also suggest that local authorities are responsive to the concerns of more affluent constituents.</w:t>
      </w:r>
    </w:p>
    <w:p w:rsidR="00B71F50" w:rsidRDefault="00D172E5" w:rsidP="00C4456F">
      <w:pPr>
        <w:spacing w:line="480" w:lineRule="auto"/>
      </w:pPr>
      <w:r>
        <w:tab/>
        <w:t xml:space="preserve">We present </w:t>
      </w:r>
      <w:r w:rsidR="00B00A62">
        <w:t>these insights into</w:t>
      </w:r>
      <w:r>
        <w:t xml:space="preserve"> the </w:t>
      </w:r>
      <w:r w:rsidR="00B00A62">
        <w:t xml:space="preserve">local </w:t>
      </w:r>
      <w:r>
        <w:t xml:space="preserve">political </w:t>
      </w:r>
      <w:r w:rsidR="00B00A62">
        <w:t xml:space="preserve">economy </w:t>
      </w:r>
      <w:r>
        <w:t>of the regulatory state as a point of entry for fu</w:t>
      </w:r>
      <w:r w:rsidR="00B1108C">
        <w:t>rther</w:t>
      </w:r>
      <w:r>
        <w:t xml:space="preserve"> research. The relationship between states and markets has undoubtedly become more complex with the embedding of regulatory networks of governance</w:t>
      </w:r>
      <w:r w:rsidR="00504644">
        <w:t xml:space="preserve"> in recent decades</w:t>
      </w:r>
      <w:r w:rsidR="003C6A4C">
        <w:t xml:space="preserve">. We know that politics shapes the way in which markets </w:t>
      </w:r>
      <w:proofErr w:type="gramStart"/>
      <w:r w:rsidR="003C6A4C">
        <w:t>are incorporated</w:t>
      </w:r>
      <w:proofErr w:type="gramEnd"/>
      <w:r w:rsidR="003C6A4C">
        <w:t xml:space="preserve"> into the delivery of public services</w:t>
      </w:r>
      <w:r w:rsidR="00B1108C">
        <w:t>; i</w:t>
      </w:r>
      <w:r w:rsidR="00504644">
        <w:t>n particular,</w:t>
      </w:r>
      <w:r w:rsidR="003C6A4C">
        <w:t xml:space="preserve"> Gingrich (2011) has shown that</w:t>
      </w:r>
      <w:r w:rsidR="00504644">
        <w:t xml:space="preserve"> left-wing governments tend to structure markets as mechanisms to enhance welfare state legitimacy, and right-wing governments to limit state provision and empower market actors</w:t>
      </w:r>
      <w:r w:rsidR="003C6A4C">
        <w:t xml:space="preserve">. Here, we have demonstrated that politics also shapes </w:t>
      </w:r>
      <w:r w:rsidR="00504644">
        <w:lastRenderedPageBreak/>
        <w:t xml:space="preserve">outcomes within a given </w:t>
      </w:r>
      <w:r w:rsidR="00B1108C">
        <w:t xml:space="preserve">regulatory </w:t>
      </w:r>
      <w:r w:rsidR="00504644">
        <w:t>state-market constellation</w:t>
      </w:r>
      <w:r w:rsidR="00B00A62">
        <w:t>, with issue salience shifting local</w:t>
      </w:r>
      <w:r w:rsidR="003A6ABA">
        <w:t xml:space="preserve"> authority</w:t>
      </w:r>
      <w:r w:rsidR="00B00A62">
        <w:t xml:space="preserve"> behaviour. </w:t>
      </w:r>
      <w:r w:rsidR="00D109D0">
        <w:t xml:space="preserve">While a challenge to gain analytic traction over, we know from existing studies that issue salience shapes the way in which local and national actors engage with a given policy issue (e.g. Epstein and Segal 2000, </w:t>
      </w:r>
      <w:proofErr w:type="spellStart"/>
      <w:r w:rsidR="00D109D0">
        <w:rPr>
          <w:rFonts w:ascii="Arial" w:hAnsi="Arial" w:cs="Arial"/>
          <w:color w:val="222222"/>
          <w:sz w:val="20"/>
          <w:szCs w:val="20"/>
          <w:shd w:val="clear" w:color="auto" w:fill="FFFFFF"/>
        </w:rPr>
        <w:t>Spendzharova</w:t>
      </w:r>
      <w:proofErr w:type="spellEnd"/>
      <w:r w:rsidR="00D109D0">
        <w:rPr>
          <w:rFonts w:ascii="Arial" w:hAnsi="Arial" w:cs="Arial"/>
          <w:color w:val="222222"/>
          <w:sz w:val="20"/>
          <w:szCs w:val="20"/>
          <w:shd w:val="clear" w:color="auto" w:fill="FFFFFF"/>
        </w:rPr>
        <w:t xml:space="preserve"> and </w:t>
      </w:r>
      <w:proofErr w:type="spellStart"/>
      <w:r w:rsidR="00D109D0">
        <w:rPr>
          <w:rFonts w:ascii="Arial" w:hAnsi="Arial" w:cs="Arial"/>
          <w:color w:val="222222"/>
          <w:sz w:val="20"/>
          <w:szCs w:val="20"/>
          <w:shd w:val="clear" w:color="auto" w:fill="FFFFFF"/>
        </w:rPr>
        <w:t>Versluis</w:t>
      </w:r>
      <w:proofErr w:type="spellEnd"/>
      <w:r w:rsidR="00D109D0">
        <w:rPr>
          <w:rFonts w:ascii="Arial" w:hAnsi="Arial" w:cs="Arial"/>
          <w:color w:val="222222"/>
          <w:sz w:val="20"/>
          <w:szCs w:val="20"/>
          <w:shd w:val="clear" w:color="auto" w:fill="FFFFFF"/>
        </w:rPr>
        <w:t xml:space="preserve"> 2013, </w:t>
      </w:r>
      <w:proofErr w:type="spellStart"/>
      <w:r w:rsidR="00D109D0">
        <w:rPr>
          <w:rFonts w:ascii="Arial" w:hAnsi="Arial" w:cs="Arial"/>
          <w:color w:val="222222"/>
          <w:sz w:val="20"/>
          <w:szCs w:val="20"/>
          <w:shd w:val="clear" w:color="auto" w:fill="FFFFFF"/>
        </w:rPr>
        <w:t>Klüver</w:t>
      </w:r>
      <w:proofErr w:type="spellEnd"/>
      <w:r w:rsidR="00D109D0">
        <w:rPr>
          <w:rFonts w:ascii="Arial" w:hAnsi="Arial" w:cs="Arial"/>
          <w:color w:val="222222"/>
          <w:sz w:val="20"/>
          <w:szCs w:val="20"/>
          <w:shd w:val="clear" w:color="auto" w:fill="FFFFFF"/>
        </w:rPr>
        <w:t xml:space="preserve"> and </w:t>
      </w:r>
      <w:proofErr w:type="spellStart"/>
      <w:r w:rsidR="00D109D0">
        <w:rPr>
          <w:rFonts w:ascii="Arial" w:hAnsi="Arial" w:cs="Arial"/>
          <w:color w:val="222222"/>
          <w:sz w:val="20"/>
          <w:szCs w:val="20"/>
          <w:shd w:val="clear" w:color="auto" w:fill="FFFFFF"/>
        </w:rPr>
        <w:t>Sagarzazu</w:t>
      </w:r>
      <w:proofErr w:type="spellEnd"/>
      <w:r w:rsidR="00D109D0">
        <w:rPr>
          <w:rFonts w:ascii="Arial" w:hAnsi="Arial" w:cs="Arial"/>
          <w:color w:val="222222"/>
          <w:sz w:val="20"/>
          <w:szCs w:val="20"/>
          <w:shd w:val="clear" w:color="auto" w:fill="FFFFFF"/>
        </w:rPr>
        <w:t xml:space="preserve"> 2016). </w:t>
      </w:r>
      <w:r w:rsidR="003A6ABA">
        <w:rPr>
          <w:rFonts w:ascii="Arial" w:hAnsi="Arial" w:cs="Arial"/>
          <w:color w:val="222222"/>
          <w:sz w:val="20"/>
          <w:szCs w:val="20"/>
          <w:shd w:val="clear" w:color="auto" w:fill="FFFFFF"/>
        </w:rPr>
        <w:t>Th</w:t>
      </w:r>
      <w:r w:rsidR="00E15EF1">
        <w:rPr>
          <w:rFonts w:ascii="Arial" w:hAnsi="Arial" w:cs="Arial"/>
          <w:color w:val="222222"/>
          <w:sz w:val="20"/>
          <w:szCs w:val="20"/>
          <w:shd w:val="clear" w:color="auto" w:fill="FFFFFF"/>
        </w:rPr>
        <w:t>is</w:t>
      </w:r>
      <w:r w:rsidR="003A6ABA">
        <w:rPr>
          <w:rFonts w:ascii="Arial" w:hAnsi="Arial" w:cs="Arial"/>
          <w:color w:val="222222"/>
          <w:sz w:val="20"/>
          <w:szCs w:val="20"/>
          <w:shd w:val="clear" w:color="auto" w:fill="FFFFFF"/>
        </w:rPr>
        <w:t xml:space="preserve"> relationship between issue salience, </w:t>
      </w:r>
      <w:proofErr w:type="spellStart"/>
      <w:r w:rsidR="003A6ABA">
        <w:rPr>
          <w:rFonts w:ascii="Arial" w:hAnsi="Arial" w:cs="Arial"/>
          <w:color w:val="222222"/>
          <w:sz w:val="20"/>
          <w:szCs w:val="20"/>
          <w:shd w:val="clear" w:color="auto" w:fill="FFFFFF"/>
        </w:rPr>
        <w:t>politicisiation</w:t>
      </w:r>
      <w:proofErr w:type="spellEnd"/>
      <w:r w:rsidR="003A6ABA">
        <w:rPr>
          <w:rFonts w:ascii="Arial" w:hAnsi="Arial" w:cs="Arial"/>
          <w:color w:val="222222"/>
          <w:sz w:val="20"/>
          <w:szCs w:val="20"/>
          <w:shd w:val="clear" w:color="auto" w:fill="FFFFFF"/>
        </w:rPr>
        <w:t>, and regulatory state outcomes is deserving of further research.</w:t>
      </w:r>
      <w:r w:rsidR="00C07A9C">
        <w:rPr>
          <w:rFonts w:ascii="Arial" w:hAnsi="Arial" w:cs="Arial"/>
          <w:color w:val="222222"/>
          <w:sz w:val="20"/>
          <w:szCs w:val="20"/>
          <w:shd w:val="clear" w:color="auto" w:fill="FFFFFF"/>
        </w:rPr>
        <w:t xml:space="preserve"> It seems plausible that the underlying relationship between rising issue salience and issue transformation from partisanship to party competition </w:t>
      </w:r>
      <w:proofErr w:type="gramStart"/>
      <w:r w:rsidR="00C07A9C">
        <w:rPr>
          <w:rFonts w:ascii="Arial" w:hAnsi="Arial" w:cs="Arial"/>
          <w:color w:val="222222"/>
          <w:sz w:val="20"/>
          <w:szCs w:val="20"/>
          <w:shd w:val="clear" w:color="auto" w:fill="FFFFFF"/>
        </w:rPr>
        <w:t>may be repeated</w:t>
      </w:r>
      <w:proofErr w:type="gramEnd"/>
      <w:r w:rsidR="00C07A9C">
        <w:rPr>
          <w:rFonts w:ascii="Arial" w:hAnsi="Arial" w:cs="Arial"/>
          <w:color w:val="222222"/>
          <w:sz w:val="20"/>
          <w:szCs w:val="20"/>
          <w:shd w:val="clear" w:color="auto" w:fill="FFFFFF"/>
        </w:rPr>
        <w:t xml:space="preserve"> elsewhere. Shifts in European political parties’ approaches to environmental issues as described by Carter (2013) seem, for example, to display these dynamics.</w:t>
      </w:r>
    </w:p>
    <w:p w:rsidR="001A1CEB" w:rsidRDefault="0052068C" w:rsidP="00BD4EAB">
      <w:pPr>
        <w:spacing w:line="480" w:lineRule="auto"/>
      </w:pPr>
      <w:r>
        <w:tab/>
      </w:r>
      <w:r w:rsidR="00507121">
        <w:t xml:space="preserve">Given the chronic under-supply of affordable housing within the English housing system, we view as positive the transformation of </w:t>
      </w:r>
      <w:r w:rsidR="00B1108C">
        <w:t>S106 deployment from a partisan to a</w:t>
      </w:r>
      <w:r w:rsidR="00507121">
        <w:t xml:space="preserve"> </w:t>
      </w:r>
      <w:r w:rsidR="00E15EF1">
        <w:t>valence</w:t>
      </w:r>
      <w:r w:rsidR="00B1108C">
        <w:t xml:space="preserve"> issue</w:t>
      </w:r>
      <w:r w:rsidR="00507121">
        <w:t xml:space="preserve">. We welcome the fact that, through the later years of the timeframe we have considered, a broad-based increase in S106 propensity served to erode the hitherto higher rates of intervention demonstrated by left-wing authorities. We very much regret the fact that data shortages mean that our analysis ends in 2009, and that we are unable to explore whether </w:t>
      </w:r>
      <w:r w:rsidR="00E15EF1">
        <w:t>S106 remains a valence</w:t>
      </w:r>
      <w:r w:rsidR="00507121">
        <w:t xml:space="preserve"> issue, or whether there has been a reversion to the earlier patterns of partisan difference.</w:t>
      </w:r>
      <w:r w:rsidR="001A1CEB">
        <w:t xml:space="preserve"> S106 constitutes a quantitatively important mechanism through which affordable housing </w:t>
      </w:r>
      <w:proofErr w:type="gramStart"/>
      <w:r w:rsidR="001A1CEB">
        <w:t>is supplied</w:t>
      </w:r>
      <w:proofErr w:type="gramEnd"/>
      <w:r w:rsidR="001A1CEB">
        <w:t xml:space="preserve"> within the English housing system, and the inability to systematically study the issue constitutes a democratic deficit. We strongly welcome the ONS commitment to support improvements in this regard</w:t>
      </w:r>
      <w:r w:rsidR="00D94B3D">
        <w:t xml:space="preserve"> (see ONS 2018, 2019b)</w:t>
      </w:r>
      <w:r w:rsidR="001A1CEB">
        <w:t>.</w:t>
      </w:r>
      <w:r w:rsidR="00507121">
        <w:t xml:space="preserve"> </w:t>
      </w:r>
    </w:p>
    <w:p w:rsidR="0062685F" w:rsidRDefault="00507121" w:rsidP="001A1CEB">
      <w:pPr>
        <w:spacing w:line="480" w:lineRule="auto"/>
        <w:ind w:firstLine="720"/>
      </w:pPr>
      <w:r>
        <w:t xml:space="preserve">We regard our finding that S106 seems to </w:t>
      </w:r>
      <w:proofErr w:type="gramStart"/>
      <w:r>
        <w:t>be aligned</w:t>
      </w:r>
      <w:proofErr w:type="gramEnd"/>
      <w:r>
        <w:t xml:space="preserve"> with more- rather than less-affluent constituents’ interests as important, and </w:t>
      </w:r>
      <w:r w:rsidR="002A04AD">
        <w:t xml:space="preserve">as </w:t>
      </w:r>
      <w:r w:rsidR="00B1108C">
        <w:t>requiring</w:t>
      </w:r>
      <w:r>
        <w:t xml:space="preserve"> redress. Give</w:t>
      </w:r>
      <w:r w:rsidR="00D172E5">
        <w:t>n the enhanced tendency of more-</w:t>
      </w:r>
      <w:r>
        <w:t>affluent constituents to vote, and the</w:t>
      </w:r>
      <w:r w:rsidR="00D172E5">
        <w:t xml:space="preserve"> enhanced capacity of more-</w:t>
      </w:r>
      <w:r w:rsidR="0093411A">
        <w:t>affluent groups and individuals to shape policy agendas and outcomes at both local and national levels,</w:t>
      </w:r>
      <w:r w:rsidR="0090299D">
        <w:rPr>
          <w:rStyle w:val="FootnoteReference"/>
        </w:rPr>
        <w:footnoteReference w:id="31"/>
      </w:r>
      <w:r w:rsidR="0093411A">
        <w:t xml:space="preserve"> this finding should perhaps not be surprising. Nevertheless, given the </w:t>
      </w:r>
      <w:r w:rsidR="00D172E5">
        <w:t>current tendency of rents t</w:t>
      </w:r>
      <w:r w:rsidR="00BD4EAB">
        <w:t xml:space="preserve">o rise </w:t>
      </w:r>
      <w:r w:rsidR="00BD4EAB">
        <w:lastRenderedPageBreak/>
        <w:t>significantly faster than</w:t>
      </w:r>
      <w:r w:rsidR="00D172E5">
        <w:t xml:space="preserve"> incomes, and for larger proportions of younger cohorts to remain within the private rental sector,</w:t>
      </w:r>
      <w:r w:rsidR="00BD4EAB">
        <w:rPr>
          <w:rStyle w:val="FootnoteReference"/>
        </w:rPr>
        <w:footnoteReference w:id="32"/>
      </w:r>
      <w:r w:rsidR="00D172E5">
        <w:t xml:space="preserve"> it is important that </w:t>
      </w:r>
      <w:r w:rsidR="00B768C7">
        <w:t xml:space="preserve">in the future </w:t>
      </w:r>
      <w:r w:rsidR="00D172E5">
        <w:t>S106 be more closely aligned with the needs of the less affluent.</w:t>
      </w:r>
      <w:r w:rsidR="00B768C7">
        <w:t xml:space="preserve"> Further investigation of the governance of affordable housing can inform this re-orientation, and advance our </w:t>
      </w:r>
      <w:r w:rsidR="005305C5">
        <w:t xml:space="preserve">broader </w:t>
      </w:r>
      <w:r w:rsidR="00B768C7">
        <w:t>understanding of the intersection of the state</w:t>
      </w:r>
      <w:r w:rsidR="005305C5">
        <w:t xml:space="preserve"> and</w:t>
      </w:r>
      <w:r w:rsidR="00B768C7">
        <w:t xml:space="preserve"> the market</w:t>
      </w:r>
      <w:r w:rsidR="005305C5">
        <w:t xml:space="preserve"> in shaping outcomes in this area</w:t>
      </w:r>
      <w:r w:rsidR="00B768C7">
        <w:t>.</w:t>
      </w:r>
    </w:p>
    <w:p w:rsidR="0062685F" w:rsidRDefault="0062685F" w:rsidP="00C4456F">
      <w:pPr>
        <w:spacing w:line="480" w:lineRule="auto"/>
      </w:pPr>
    </w:p>
    <w:p w:rsidR="0062685F" w:rsidRDefault="0062685F" w:rsidP="00C4456F">
      <w:pPr>
        <w:spacing w:line="480" w:lineRule="auto"/>
      </w:pPr>
    </w:p>
    <w:p w:rsidR="0062685F" w:rsidRDefault="0062685F" w:rsidP="00C4456F">
      <w:pPr>
        <w:spacing w:line="480" w:lineRule="auto"/>
        <w:rPr>
          <w:u w:val="single"/>
        </w:rPr>
      </w:pPr>
      <w:r>
        <w:rPr>
          <w:u w:val="single"/>
        </w:rPr>
        <w:br w:type="page"/>
      </w:r>
    </w:p>
    <w:p w:rsidR="0062685F" w:rsidRDefault="0062685F" w:rsidP="00C4456F">
      <w:pPr>
        <w:spacing w:line="480" w:lineRule="auto"/>
        <w:rPr>
          <w:u w:val="single"/>
        </w:rPr>
      </w:pPr>
      <w:r>
        <w:rPr>
          <w:u w:val="single"/>
        </w:rPr>
        <w:lastRenderedPageBreak/>
        <w:t>Bibliography</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Allan, J. and L. Scruggs. 2004. ‘Political partisanship and welfare state reform in advanced industrial societies’, </w:t>
      </w:r>
      <w:r w:rsidRPr="008C342C">
        <w:rPr>
          <w:rFonts w:eastAsia="Times New Roman" w:cs="Arial"/>
          <w:i/>
          <w:color w:val="222222"/>
          <w:lang w:eastAsia="en-GB"/>
        </w:rPr>
        <w:t>American Journal of Political Science</w:t>
      </w:r>
      <w:r w:rsidRPr="008C342C">
        <w:rPr>
          <w:rFonts w:eastAsia="Times New Roman" w:cs="Arial"/>
          <w:color w:val="222222"/>
          <w:lang w:eastAsia="en-GB"/>
        </w:rPr>
        <w:t xml:space="preserve">, 48, 3, 496-512. </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Allers</w:t>
      </w:r>
      <w:proofErr w:type="spellEnd"/>
      <w:r w:rsidRPr="008C342C">
        <w:rPr>
          <w:rFonts w:eastAsia="Times New Roman" w:cs="Arial"/>
          <w:color w:val="222222"/>
          <w:lang w:eastAsia="en-GB"/>
        </w:rPr>
        <w:t xml:space="preserve">, M., J. de </w:t>
      </w:r>
      <w:proofErr w:type="spellStart"/>
      <w:r w:rsidRPr="008C342C">
        <w:rPr>
          <w:rFonts w:eastAsia="Times New Roman" w:cs="Arial"/>
          <w:color w:val="222222"/>
          <w:lang w:eastAsia="en-GB"/>
        </w:rPr>
        <w:t>Haan</w:t>
      </w:r>
      <w:proofErr w:type="spellEnd"/>
      <w:r w:rsidRPr="008C342C">
        <w:rPr>
          <w:rFonts w:eastAsia="Times New Roman" w:cs="Arial"/>
          <w:color w:val="222222"/>
          <w:lang w:eastAsia="en-GB"/>
        </w:rPr>
        <w:t xml:space="preserve"> and C. </w:t>
      </w:r>
      <w:proofErr w:type="spellStart"/>
      <w:r w:rsidRPr="008C342C">
        <w:rPr>
          <w:rFonts w:eastAsia="Times New Roman" w:cs="Arial"/>
          <w:color w:val="222222"/>
          <w:lang w:eastAsia="en-GB"/>
        </w:rPr>
        <w:t>Sterks</w:t>
      </w:r>
      <w:proofErr w:type="spellEnd"/>
      <w:r w:rsidRPr="008C342C">
        <w:rPr>
          <w:rFonts w:eastAsia="Times New Roman" w:cs="Arial"/>
          <w:color w:val="222222"/>
          <w:lang w:eastAsia="en-GB"/>
        </w:rPr>
        <w:t xml:space="preserve">. 2001. ‘Partisan influence on the local tax burden in the Netherlands’, </w:t>
      </w:r>
      <w:r w:rsidRPr="008C342C">
        <w:rPr>
          <w:rFonts w:eastAsia="Times New Roman" w:cs="Arial"/>
          <w:i/>
          <w:color w:val="222222"/>
          <w:lang w:eastAsia="en-GB"/>
        </w:rPr>
        <w:t>Public Choice</w:t>
      </w:r>
      <w:r w:rsidRPr="008C342C">
        <w:rPr>
          <w:rFonts w:eastAsia="Times New Roman" w:cs="Arial"/>
          <w:color w:val="222222"/>
          <w:lang w:eastAsia="en-GB"/>
        </w:rPr>
        <w:t>, 106, 3, 351-363.</w:t>
      </w:r>
    </w:p>
    <w:p w:rsidR="0062685F" w:rsidRDefault="0062685F" w:rsidP="0062685F">
      <w:pPr>
        <w:spacing w:after="0" w:line="480" w:lineRule="auto"/>
        <w:ind w:left="777" w:hanging="720"/>
        <w:rPr>
          <w:rFonts w:eastAsia="Times New Roman" w:cs="Arial"/>
          <w:color w:val="222222"/>
          <w:lang w:eastAsia="en-GB"/>
        </w:rPr>
      </w:pPr>
      <w:r w:rsidRPr="00ED5D3E">
        <w:rPr>
          <w:rFonts w:eastAsia="Times New Roman" w:cs="Arial"/>
          <w:color w:val="222222"/>
          <w:lang w:eastAsia="en-GB"/>
        </w:rPr>
        <w:t xml:space="preserve">Ball, Michael, Phil </w:t>
      </w:r>
      <w:proofErr w:type="spellStart"/>
      <w:r w:rsidRPr="00ED5D3E">
        <w:rPr>
          <w:rFonts w:eastAsia="Times New Roman" w:cs="Arial"/>
          <w:color w:val="222222"/>
          <w:lang w:eastAsia="en-GB"/>
        </w:rPr>
        <w:t>Allmendinger</w:t>
      </w:r>
      <w:proofErr w:type="spellEnd"/>
      <w:r w:rsidRPr="00ED5D3E">
        <w:rPr>
          <w:rFonts w:eastAsia="Times New Roman" w:cs="Arial"/>
          <w:color w:val="222222"/>
          <w:lang w:eastAsia="en-GB"/>
        </w:rPr>
        <w:t>, and Cathy Hughes. 2008. ‘Housing supply and planning delay in the south of England’, University of Reading Business School Working Paper Series in Real Estate and Planning, No. 04/08, 1-20.</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Baron, D. and R. Myerson. 1982. ‘Regulating a monopolist with unknown costs’, </w:t>
      </w:r>
      <w:proofErr w:type="spellStart"/>
      <w:r w:rsidRPr="008C342C">
        <w:rPr>
          <w:rFonts w:eastAsia="Times New Roman" w:cs="Arial"/>
          <w:i/>
          <w:color w:val="222222"/>
          <w:lang w:eastAsia="en-GB"/>
        </w:rPr>
        <w:t>Econometrica</w:t>
      </w:r>
      <w:proofErr w:type="spellEnd"/>
      <w:r w:rsidRPr="008C342C">
        <w:rPr>
          <w:rFonts w:eastAsia="Times New Roman" w:cs="Arial"/>
          <w:color w:val="222222"/>
          <w:lang w:eastAsia="en-GB"/>
        </w:rPr>
        <w:t>, 50, 4, 911-930.</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Baumol</w:t>
      </w:r>
      <w:proofErr w:type="spellEnd"/>
      <w:r w:rsidRPr="008C342C">
        <w:rPr>
          <w:rFonts w:eastAsia="Times New Roman" w:cs="Arial"/>
          <w:color w:val="222222"/>
          <w:lang w:eastAsia="en-GB"/>
        </w:rPr>
        <w:t>, W. 2004. ‘Welfare economics and the theory of the state’. In C. Rowley (</w:t>
      </w:r>
      <w:proofErr w:type="spellStart"/>
      <w:proofErr w:type="gramStart"/>
      <w:r w:rsidRPr="008C342C">
        <w:rPr>
          <w:rFonts w:eastAsia="Times New Roman" w:cs="Arial"/>
          <w:color w:val="222222"/>
          <w:lang w:eastAsia="en-GB"/>
        </w:rPr>
        <w:t>ed</w:t>
      </w:r>
      <w:proofErr w:type="spellEnd"/>
      <w:proofErr w:type="gramEnd"/>
      <w:r w:rsidRPr="008C342C">
        <w:rPr>
          <w:rFonts w:eastAsia="Times New Roman" w:cs="Arial"/>
          <w:color w:val="222222"/>
          <w:lang w:eastAsia="en-GB"/>
        </w:rPr>
        <w:t xml:space="preserve">), </w:t>
      </w:r>
      <w:r w:rsidRPr="008C342C">
        <w:rPr>
          <w:rFonts w:eastAsia="Times New Roman" w:cs="Arial"/>
          <w:i/>
          <w:color w:val="222222"/>
          <w:lang w:eastAsia="en-GB"/>
        </w:rPr>
        <w:t>The Encyclopaedia of Public Choice</w:t>
      </w:r>
      <w:r w:rsidRPr="008C342C">
        <w:rPr>
          <w:rFonts w:eastAsia="Times New Roman" w:cs="Arial"/>
          <w:color w:val="222222"/>
          <w:lang w:eastAsia="en-GB"/>
        </w:rPr>
        <w:t>. New York: Kluwer, 937-940.</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Beblawi</w:t>
      </w:r>
      <w:proofErr w:type="spellEnd"/>
      <w:r w:rsidRPr="008C342C">
        <w:rPr>
          <w:rFonts w:eastAsia="Times New Roman" w:cs="Arial"/>
          <w:color w:val="222222"/>
          <w:lang w:eastAsia="en-GB"/>
        </w:rPr>
        <w:t xml:space="preserve">, H. and G. </w:t>
      </w:r>
      <w:proofErr w:type="spellStart"/>
      <w:r w:rsidRPr="008C342C">
        <w:rPr>
          <w:rFonts w:eastAsia="Times New Roman" w:cs="Arial"/>
          <w:color w:val="222222"/>
          <w:lang w:eastAsia="en-GB"/>
        </w:rPr>
        <w:t>Luciani</w:t>
      </w:r>
      <w:proofErr w:type="spellEnd"/>
      <w:r w:rsidRPr="008C342C">
        <w:rPr>
          <w:rFonts w:eastAsia="Times New Roman" w:cs="Arial"/>
          <w:color w:val="222222"/>
          <w:lang w:eastAsia="en-GB"/>
        </w:rPr>
        <w:t xml:space="preserve"> (</w:t>
      </w:r>
      <w:proofErr w:type="gramStart"/>
      <w:r w:rsidRPr="008C342C">
        <w:rPr>
          <w:rFonts w:eastAsia="Times New Roman" w:cs="Arial"/>
          <w:color w:val="222222"/>
          <w:lang w:eastAsia="en-GB"/>
        </w:rPr>
        <w:t>eds</w:t>
      </w:r>
      <w:proofErr w:type="gramEnd"/>
      <w:r w:rsidRPr="008C342C">
        <w:rPr>
          <w:rFonts w:eastAsia="Times New Roman" w:cs="Arial"/>
          <w:color w:val="222222"/>
          <w:lang w:eastAsia="en-GB"/>
        </w:rPr>
        <w:t xml:space="preserve">.). 2015. </w:t>
      </w:r>
      <w:r w:rsidRPr="008C342C">
        <w:rPr>
          <w:rFonts w:eastAsia="Times New Roman" w:cs="Arial"/>
          <w:i/>
          <w:color w:val="222222"/>
          <w:lang w:eastAsia="en-GB"/>
        </w:rPr>
        <w:t>The Rentier State</w:t>
      </w:r>
      <w:r w:rsidRPr="008C342C">
        <w:rPr>
          <w:rFonts w:eastAsia="Times New Roman" w:cs="Arial"/>
          <w:color w:val="222222"/>
          <w:lang w:eastAsia="en-GB"/>
        </w:rPr>
        <w:t>. London: Routledge.</w:t>
      </w:r>
    </w:p>
    <w:p w:rsidR="0062685F" w:rsidRDefault="0062685F" w:rsidP="0062685F">
      <w:pPr>
        <w:spacing w:after="0" w:line="480" w:lineRule="auto"/>
        <w:ind w:left="777" w:hanging="720"/>
        <w:rPr>
          <w:rFonts w:eastAsia="Times New Roman" w:cs="Arial"/>
          <w:color w:val="222222"/>
          <w:lang w:eastAsia="en-GB"/>
        </w:rPr>
      </w:pPr>
      <w:proofErr w:type="spellStart"/>
      <w:r>
        <w:rPr>
          <w:rFonts w:ascii="Arial" w:hAnsi="Arial" w:cs="Arial"/>
          <w:color w:val="222222"/>
          <w:sz w:val="20"/>
          <w:szCs w:val="20"/>
          <w:shd w:val="clear" w:color="auto" w:fill="FFFFFF"/>
        </w:rPr>
        <w:t>Benish</w:t>
      </w:r>
      <w:proofErr w:type="spellEnd"/>
      <w:r>
        <w:rPr>
          <w:rFonts w:ascii="Arial" w:hAnsi="Arial" w:cs="Arial"/>
          <w:color w:val="222222"/>
          <w:sz w:val="20"/>
          <w:szCs w:val="20"/>
          <w:shd w:val="clear" w:color="auto" w:fill="FFFFFF"/>
        </w:rPr>
        <w:t xml:space="preserve">, A., H. Haber, and R. </w:t>
      </w:r>
      <w:proofErr w:type="spellStart"/>
      <w:r>
        <w:rPr>
          <w:rFonts w:ascii="Arial" w:hAnsi="Arial" w:cs="Arial"/>
          <w:color w:val="222222"/>
          <w:sz w:val="20"/>
          <w:szCs w:val="20"/>
          <w:shd w:val="clear" w:color="auto" w:fill="FFFFFF"/>
        </w:rPr>
        <w:t>Eliahou</w:t>
      </w:r>
      <w:proofErr w:type="spellEnd"/>
      <w:r>
        <w:rPr>
          <w:rFonts w:ascii="Arial" w:hAnsi="Arial" w:cs="Arial"/>
          <w:color w:val="222222"/>
          <w:sz w:val="20"/>
          <w:szCs w:val="20"/>
          <w:shd w:val="clear" w:color="auto" w:fill="FFFFFF"/>
        </w:rPr>
        <w:t>. 2017. ‘The regulatory welfare state in pension markets: mitigating high charges for low-income savers in the United Kingdom and Israel’, </w:t>
      </w:r>
      <w:r>
        <w:rPr>
          <w:rFonts w:ascii="Arial" w:hAnsi="Arial" w:cs="Arial"/>
          <w:i/>
          <w:iCs/>
          <w:color w:val="222222"/>
          <w:sz w:val="20"/>
          <w:szCs w:val="20"/>
          <w:shd w:val="clear" w:color="auto" w:fill="FFFFFF"/>
        </w:rPr>
        <w:t>Journal of Social Policy</w:t>
      </w:r>
      <w:r>
        <w:rPr>
          <w:rFonts w:ascii="Arial" w:hAnsi="Arial" w:cs="Arial"/>
          <w:color w:val="222222"/>
          <w:sz w:val="20"/>
          <w:szCs w:val="20"/>
          <w:shd w:val="clear" w:color="auto" w:fill="FFFFFF"/>
        </w:rPr>
        <w:t>, 46</w:t>
      </w:r>
      <w:r>
        <w:rPr>
          <w:rFonts w:ascii="Arial" w:hAnsi="Arial" w:cs="Arial"/>
          <w:iCs/>
          <w:color w:val="222222"/>
          <w:sz w:val="20"/>
          <w:szCs w:val="20"/>
          <w:shd w:val="clear" w:color="auto" w:fill="FFFFFF"/>
        </w:rPr>
        <w:t xml:space="preserve">, </w:t>
      </w:r>
      <w:r>
        <w:rPr>
          <w:rFonts w:ascii="Arial" w:hAnsi="Arial" w:cs="Arial"/>
          <w:color w:val="222222"/>
          <w:sz w:val="20"/>
          <w:szCs w:val="20"/>
          <w:shd w:val="clear" w:color="auto" w:fill="FFFFFF"/>
        </w:rPr>
        <w:t>2, 313-330.</w:t>
      </w:r>
    </w:p>
    <w:p w:rsidR="0062685F" w:rsidRDefault="0062685F" w:rsidP="0062685F">
      <w:pPr>
        <w:spacing w:after="0" w:line="480" w:lineRule="auto"/>
        <w:ind w:left="777" w:hanging="720"/>
        <w:rPr>
          <w:rFonts w:eastAsia="Times New Roman" w:cs="Arial"/>
          <w:color w:val="222222"/>
          <w:lang w:eastAsia="en-GB"/>
        </w:rPr>
      </w:pPr>
      <w:r>
        <w:rPr>
          <w:rFonts w:ascii="Arial" w:hAnsi="Arial" w:cs="Arial"/>
          <w:color w:val="222222"/>
          <w:sz w:val="20"/>
          <w:szCs w:val="20"/>
          <w:shd w:val="clear" w:color="auto" w:fill="FFFFFF"/>
        </w:rPr>
        <w:t xml:space="preserve">Beveridge, R. 2012. ‘Consultants, </w:t>
      </w:r>
      <w:proofErr w:type="spellStart"/>
      <w:r>
        <w:rPr>
          <w:rFonts w:ascii="Arial" w:hAnsi="Arial" w:cs="Arial"/>
          <w:color w:val="222222"/>
          <w:sz w:val="20"/>
          <w:szCs w:val="20"/>
          <w:shd w:val="clear" w:color="auto" w:fill="FFFFFF"/>
        </w:rPr>
        <w:t>depoliticization</w:t>
      </w:r>
      <w:proofErr w:type="spellEnd"/>
      <w:r>
        <w:rPr>
          <w:rFonts w:ascii="Arial" w:hAnsi="Arial" w:cs="Arial"/>
          <w:color w:val="222222"/>
          <w:sz w:val="20"/>
          <w:szCs w:val="20"/>
          <w:shd w:val="clear" w:color="auto" w:fill="FFFFFF"/>
        </w:rPr>
        <w:t xml:space="preserve"> and </w:t>
      </w:r>
      <w:proofErr w:type="gramStart"/>
      <w:r>
        <w:rPr>
          <w:rFonts w:ascii="Arial" w:hAnsi="Arial" w:cs="Arial"/>
          <w:color w:val="222222"/>
          <w:sz w:val="20"/>
          <w:szCs w:val="20"/>
          <w:shd w:val="clear" w:color="auto" w:fill="FFFFFF"/>
        </w:rPr>
        <w:t>arena-shifting</w:t>
      </w:r>
      <w:proofErr w:type="gramEnd"/>
      <w:r>
        <w:rPr>
          <w:rFonts w:ascii="Arial" w:hAnsi="Arial" w:cs="Arial"/>
          <w:color w:val="222222"/>
          <w:sz w:val="20"/>
          <w:szCs w:val="20"/>
          <w:shd w:val="clear" w:color="auto" w:fill="FFFFFF"/>
        </w:rPr>
        <w:t xml:space="preserve"> in the policy process: privatizing water in Berlin’, </w:t>
      </w:r>
      <w:r>
        <w:rPr>
          <w:rFonts w:ascii="Arial" w:hAnsi="Arial" w:cs="Arial"/>
          <w:i/>
          <w:iCs/>
          <w:color w:val="222222"/>
          <w:sz w:val="20"/>
          <w:szCs w:val="20"/>
          <w:shd w:val="clear" w:color="auto" w:fill="FFFFFF"/>
        </w:rPr>
        <w:t>Policy Sciences</w:t>
      </w:r>
      <w:r w:rsidRPr="004247C4">
        <w:rPr>
          <w:rFonts w:ascii="Arial" w:hAnsi="Arial" w:cs="Arial"/>
          <w:color w:val="222222"/>
          <w:sz w:val="20"/>
          <w:szCs w:val="20"/>
          <w:shd w:val="clear" w:color="auto" w:fill="FFFFFF"/>
        </w:rPr>
        <w:t>, </w:t>
      </w:r>
      <w:r w:rsidRPr="004247C4">
        <w:rPr>
          <w:rFonts w:ascii="Arial" w:hAnsi="Arial" w:cs="Arial"/>
          <w:iCs/>
          <w:color w:val="222222"/>
          <w:sz w:val="20"/>
          <w:szCs w:val="20"/>
          <w:shd w:val="clear" w:color="auto" w:fill="FFFFFF"/>
        </w:rPr>
        <w:t>45</w:t>
      </w:r>
      <w:r>
        <w:rPr>
          <w:rFonts w:ascii="Arial" w:hAnsi="Arial" w:cs="Arial"/>
          <w:color w:val="222222"/>
          <w:sz w:val="20"/>
          <w:szCs w:val="20"/>
          <w:shd w:val="clear" w:color="auto" w:fill="FFFFFF"/>
        </w:rPr>
        <w:t>, 1, 47-68.</w:t>
      </w:r>
    </w:p>
    <w:p w:rsidR="00B75312" w:rsidRPr="00B75312" w:rsidRDefault="00B75312" w:rsidP="0062685F">
      <w:pPr>
        <w:spacing w:after="0" w:line="480" w:lineRule="auto"/>
        <w:ind w:left="777" w:hanging="720"/>
      </w:pPr>
      <w:proofErr w:type="spellStart"/>
      <w:r>
        <w:t>Bochel</w:t>
      </w:r>
      <w:proofErr w:type="spellEnd"/>
      <w:r>
        <w:t>, H. and M. Powell (</w:t>
      </w:r>
      <w:proofErr w:type="spellStart"/>
      <w:proofErr w:type="gramStart"/>
      <w:r>
        <w:t>eds</w:t>
      </w:r>
      <w:proofErr w:type="spellEnd"/>
      <w:proofErr w:type="gramEnd"/>
      <w:r>
        <w:t xml:space="preserve">). 2016. </w:t>
      </w:r>
      <w:r>
        <w:rPr>
          <w:i/>
        </w:rPr>
        <w:t>The Coalition Government and Social Policy</w:t>
      </w:r>
      <w:r>
        <w:t xml:space="preserve">. Bristol: Policy Press. </w:t>
      </w:r>
    </w:p>
    <w:p w:rsidR="00975D34" w:rsidRDefault="00975D34" w:rsidP="0062685F">
      <w:pPr>
        <w:spacing w:after="0" w:line="480" w:lineRule="auto"/>
        <w:ind w:left="777" w:hanging="720"/>
        <w:rPr>
          <w:rFonts w:eastAsia="Times New Roman" w:cs="Arial"/>
          <w:color w:val="222222"/>
          <w:lang w:eastAsia="en-GB"/>
        </w:rPr>
      </w:pPr>
      <w:r>
        <w:t>Brenner, N., B. Jessop, M. Jones, and G. MacLeod. 2003. ‘State space in question’. In N. Brenner, B. Jessop, M. Jones, and G. MacLeod (</w:t>
      </w:r>
      <w:proofErr w:type="spellStart"/>
      <w:proofErr w:type="gramStart"/>
      <w:r>
        <w:t>eds</w:t>
      </w:r>
      <w:proofErr w:type="spellEnd"/>
      <w:proofErr w:type="gramEnd"/>
      <w:r>
        <w:t xml:space="preserve">) </w:t>
      </w:r>
      <w:r w:rsidRPr="00975D34">
        <w:rPr>
          <w:i/>
        </w:rPr>
        <w:t>State/Space: A Reader</w:t>
      </w:r>
      <w:r>
        <w:t>. Oxford: Blackwell, 1–25.</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Brownill</w:t>
      </w:r>
      <w:proofErr w:type="spellEnd"/>
      <w:r w:rsidRPr="008C342C">
        <w:rPr>
          <w:rFonts w:eastAsia="Times New Roman" w:cs="Arial"/>
          <w:color w:val="222222"/>
          <w:lang w:eastAsia="en-GB"/>
        </w:rPr>
        <w:t xml:space="preserve">, S., Y. Cho, R. </w:t>
      </w:r>
      <w:proofErr w:type="spellStart"/>
      <w:r w:rsidRPr="008C342C">
        <w:rPr>
          <w:rFonts w:eastAsia="Times New Roman" w:cs="Arial"/>
          <w:color w:val="222222"/>
          <w:lang w:eastAsia="en-GB"/>
        </w:rPr>
        <w:t>Keivani</w:t>
      </w:r>
      <w:proofErr w:type="spellEnd"/>
      <w:r w:rsidRPr="008C342C">
        <w:rPr>
          <w:rFonts w:eastAsia="Times New Roman" w:cs="Arial"/>
          <w:color w:val="222222"/>
          <w:lang w:eastAsia="en-GB"/>
        </w:rPr>
        <w:t xml:space="preserve">, I. </w:t>
      </w:r>
      <w:proofErr w:type="spellStart"/>
      <w:r w:rsidRPr="008C342C">
        <w:rPr>
          <w:rFonts w:eastAsia="Times New Roman" w:cs="Arial"/>
          <w:color w:val="222222"/>
          <w:lang w:eastAsia="en-GB"/>
        </w:rPr>
        <w:t>Nase</w:t>
      </w:r>
      <w:proofErr w:type="spellEnd"/>
      <w:r w:rsidRPr="008C342C">
        <w:rPr>
          <w:rFonts w:eastAsia="Times New Roman" w:cs="Arial"/>
          <w:color w:val="222222"/>
          <w:lang w:eastAsia="en-GB"/>
        </w:rPr>
        <w:t xml:space="preserve">, L. Downing, D. </w:t>
      </w:r>
      <w:proofErr w:type="spellStart"/>
      <w:r w:rsidRPr="008C342C">
        <w:rPr>
          <w:rFonts w:eastAsia="Times New Roman" w:cs="Arial"/>
          <w:color w:val="222222"/>
          <w:lang w:eastAsia="en-GB"/>
        </w:rPr>
        <w:t>Valler</w:t>
      </w:r>
      <w:proofErr w:type="spellEnd"/>
      <w:r w:rsidRPr="008C342C">
        <w:rPr>
          <w:rFonts w:eastAsia="Times New Roman" w:cs="Arial"/>
          <w:color w:val="222222"/>
          <w:lang w:eastAsia="en-GB"/>
        </w:rPr>
        <w:t xml:space="preserve">, N. Whitehouse, and P. </w:t>
      </w:r>
      <w:proofErr w:type="spellStart"/>
      <w:r w:rsidRPr="008C342C">
        <w:rPr>
          <w:rFonts w:eastAsia="Times New Roman" w:cs="Arial"/>
          <w:color w:val="222222"/>
          <w:lang w:eastAsia="en-GB"/>
        </w:rPr>
        <w:t>Bernstock</w:t>
      </w:r>
      <w:proofErr w:type="spellEnd"/>
      <w:r w:rsidRPr="008C342C">
        <w:rPr>
          <w:rFonts w:eastAsia="Times New Roman" w:cs="Arial"/>
          <w:color w:val="222222"/>
          <w:lang w:eastAsia="en-GB"/>
        </w:rPr>
        <w:t xml:space="preserve">. 2015. </w:t>
      </w:r>
      <w:r w:rsidRPr="008C342C">
        <w:rPr>
          <w:rFonts w:eastAsia="Times New Roman" w:cs="Arial"/>
          <w:i/>
          <w:color w:val="222222"/>
          <w:lang w:eastAsia="en-GB"/>
        </w:rPr>
        <w:t>Rethinking Planning Obligations: Balancing Numbers and Affordability</w:t>
      </w:r>
      <w:r w:rsidRPr="008C342C">
        <w:rPr>
          <w:rFonts w:eastAsia="Times New Roman" w:cs="Arial"/>
          <w:color w:val="222222"/>
          <w:lang w:eastAsia="en-GB"/>
        </w:rPr>
        <w:t>. York: Joseph Rowntree Foundation.</w:t>
      </w:r>
    </w:p>
    <w:p w:rsidR="0062685F" w:rsidRPr="008C342C" w:rsidRDefault="0062685F" w:rsidP="0062685F">
      <w:pPr>
        <w:spacing w:after="0" w:line="480" w:lineRule="auto"/>
        <w:ind w:left="777" w:hanging="720"/>
        <w:rPr>
          <w:rFonts w:ascii="Arial" w:hAnsi="Arial" w:cs="Arial"/>
          <w:color w:val="333333"/>
          <w:sz w:val="21"/>
          <w:szCs w:val="21"/>
        </w:rPr>
      </w:pPr>
      <w:proofErr w:type="spellStart"/>
      <w:r w:rsidRPr="008C342C">
        <w:rPr>
          <w:rFonts w:ascii="Arial" w:hAnsi="Arial" w:cs="Arial"/>
          <w:color w:val="333333"/>
          <w:sz w:val="21"/>
          <w:szCs w:val="21"/>
        </w:rPr>
        <w:t>Bulkeley</w:t>
      </w:r>
      <w:proofErr w:type="spellEnd"/>
      <w:r w:rsidRPr="008C342C">
        <w:rPr>
          <w:rFonts w:ascii="Arial" w:hAnsi="Arial" w:cs="Arial"/>
          <w:color w:val="333333"/>
          <w:sz w:val="21"/>
          <w:szCs w:val="21"/>
        </w:rPr>
        <w:t xml:space="preserve">, H. and K. Kern. 2006. ‘Local government and the governing of climate change in Germany and the UK’, </w:t>
      </w:r>
      <w:r w:rsidRPr="008C342C">
        <w:rPr>
          <w:rFonts w:ascii="Arial" w:hAnsi="Arial" w:cs="Arial"/>
          <w:i/>
          <w:color w:val="333333"/>
          <w:sz w:val="21"/>
          <w:szCs w:val="21"/>
        </w:rPr>
        <w:t>Urban Studies</w:t>
      </w:r>
      <w:r w:rsidRPr="008C342C">
        <w:rPr>
          <w:rFonts w:ascii="Arial" w:hAnsi="Arial" w:cs="Arial"/>
          <w:color w:val="333333"/>
          <w:sz w:val="21"/>
          <w:szCs w:val="21"/>
        </w:rPr>
        <w:t>, 43, 12, 2237-2259.</w:t>
      </w:r>
    </w:p>
    <w:p w:rsidR="00C55DEF" w:rsidRDefault="00C55DEF" w:rsidP="0062685F">
      <w:pPr>
        <w:spacing w:after="0" w:line="480" w:lineRule="auto"/>
        <w:ind w:left="777" w:hanging="720"/>
        <w:rPr>
          <w:rFonts w:ascii="Arial" w:hAnsi="Arial" w:cs="Arial"/>
          <w:color w:val="333333"/>
          <w:sz w:val="21"/>
          <w:szCs w:val="21"/>
        </w:rPr>
      </w:pPr>
      <w:r>
        <w:rPr>
          <w:rFonts w:ascii="Arial" w:hAnsi="Arial" w:cs="Arial"/>
          <w:color w:val="333333"/>
          <w:sz w:val="21"/>
          <w:szCs w:val="21"/>
        </w:rPr>
        <w:lastRenderedPageBreak/>
        <w:t>Carter, N.</w:t>
      </w:r>
      <w:r w:rsidRPr="00C55DEF">
        <w:rPr>
          <w:rFonts w:ascii="Arial" w:hAnsi="Arial" w:cs="Arial"/>
          <w:color w:val="333333"/>
          <w:sz w:val="21"/>
          <w:szCs w:val="21"/>
        </w:rPr>
        <w:t xml:space="preserve"> 2013. </w:t>
      </w:r>
      <w:r>
        <w:rPr>
          <w:rFonts w:ascii="Arial" w:hAnsi="Arial" w:cs="Arial"/>
          <w:color w:val="333333"/>
          <w:sz w:val="21"/>
          <w:szCs w:val="21"/>
        </w:rPr>
        <w:t>‘</w:t>
      </w:r>
      <w:r w:rsidRPr="00C55DEF">
        <w:rPr>
          <w:rFonts w:ascii="Arial" w:hAnsi="Arial" w:cs="Arial"/>
          <w:color w:val="333333"/>
          <w:sz w:val="21"/>
          <w:szCs w:val="21"/>
        </w:rPr>
        <w:t>Greening the mainstream: party politics and the environment</w:t>
      </w:r>
      <w:r>
        <w:rPr>
          <w:rFonts w:ascii="Arial" w:hAnsi="Arial" w:cs="Arial"/>
          <w:color w:val="333333"/>
          <w:sz w:val="21"/>
          <w:szCs w:val="21"/>
        </w:rPr>
        <w:t>’,</w:t>
      </w:r>
      <w:r w:rsidRPr="00C55DEF">
        <w:rPr>
          <w:rFonts w:ascii="Arial" w:hAnsi="Arial" w:cs="Arial"/>
          <w:color w:val="333333"/>
          <w:sz w:val="21"/>
          <w:szCs w:val="21"/>
        </w:rPr>
        <w:t xml:space="preserve"> </w:t>
      </w:r>
      <w:r w:rsidRPr="00C55DEF">
        <w:rPr>
          <w:rFonts w:ascii="Arial" w:hAnsi="Arial" w:cs="Arial"/>
          <w:i/>
          <w:color w:val="333333"/>
          <w:sz w:val="21"/>
          <w:szCs w:val="21"/>
        </w:rPr>
        <w:t>Environmental Politics</w:t>
      </w:r>
      <w:r w:rsidRPr="00C55DEF">
        <w:rPr>
          <w:rFonts w:ascii="Arial" w:hAnsi="Arial" w:cs="Arial"/>
          <w:color w:val="333333"/>
          <w:sz w:val="21"/>
          <w:szCs w:val="21"/>
        </w:rPr>
        <w:t>, 22</w:t>
      </w:r>
      <w:r>
        <w:rPr>
          <w:rFonts w:ascii="Arial" w:hAnsi="Arial" w:cs="Arial"/>
          <w:color w:val="333333"/>
          <w:sz w:val="21"/>
          <w:szCs w:val="21"/>
        </w:rPr>
        <w:t>, 1</w:t>
      </w:r>
      <w:r w:rsidRPr="00C55DEF">
        <w:rPr>
          <w:rFonts w:ascii="Arial" w:hAnsi="Arial" w:cs="Arial"/>
          <w:color w:val="333333"/>
          <w:sz w:val="21"/>
          <w:szCs w:val="21"/>
        </w:rPr>
        <w:t>, 73-94.</w:t>
      </w:r>
    </w:p>
    <w:p w:rsidR="00C04107" w:rsidRDefault="00C04107" w:rsidP="00C04107">
      <w:pPr>
        <w:spacing w:after="0" w:line="480" w:lineRule="auto"/>
        <w:ind w:left="777" w:hanging="720"/>
        <w:rPr>
          <w:rFonts w:ascii="Arial" w:hAnsi="Arial" w:cs="Arial"/>
          <w:color w:val="333333"/>
          <w:sz w:val="21"/>
          <w:szCs w:val="21"/>
        </w:rPr>
      </w:pPr>
      <w:r>
        <w:rPr>
          <w:rFonts w:ascii="Arial" w:hAnsi="Arial" w:cs="Arial"/>
          <w:color w:val="333333"/>
          <w:sz w:val="21"/>
          <w:szCs w:val="21"/>
        </w:rPr>
        <w:t xml:space="preserve">Carter, N. and B Clements. 2015. ‘From “greenest government </w:t>
      </w:r>
      <w:r w:rsidRPr="00C04107">
        <w:rPr>
          <w:rFonts w:ascii="Arial" w:hAnsi="Arial" w:cs="Arial"/>
          <w:color w:val="333333"/>
          <w:sz w:val="21"/>
          <w:szCs w:val="21"/>
        </w:rPr>
        <w:t>ever</w:t>
      </w:r>
      <w:r>
        <w:rPr>
          <w:rFonts w:ascii="Arial" w:hAnsi="Arial" w:cs="Arial"/>
          <w:color w:val="333333"/>
          <w:sz w:val="21"/>
          <w:szCs w:val="21"/>
        </w:rPr>
        <w:t>”</w:t>
      </w:r>
      <w:r w:rsidRPr="00C04107">
        <w:rPr>
          <w:rFonts w:ascii="Arial" w:hAnsi="Arial" w:cs="Arial"/>
          <w:color w:val="333333"/>
          <w:sz w:val="21"/>
          <w:szCs w:val="21"/>
        </w:rPr>
        <w:t xml:space="preserve"> to </w:t>
      </w:r>
      <w:r>
        <w:rPr>
          <w:rFonts w:ascii="Arial" w:hAnsi="Arial" w:cs="Arial"/>
          <w:color w:val="333333"/>
          <w:sz w:val="21"/>
          <w:szCs w:val="21"/>
        </w:rPr>
        <w:t>“</w:t>
      </w:r>
      <w:r w:rsidRPr="00C04107">
        <w:rPr>
          <w:rFonts w:ascii="Arial" w:hAnsi="Arial" w:cs="Arial"/>
          <w:color w:val="333333"/>
          <w:sz w:val="21"/>
          <w:szCs w:val="21"/>
        </w:rPr>
        <w:t xml:space="preserve">get rid of all the </w:t>
      </w:r>
      <w:r>
        <w:rPr>
          <w:rFonts w:ascii="Arial" w:hAnsi="Arial" w:cs="Arial"/>
          <w:color w:val="333333"/>
          <w:sz w:val="21"/>
          <w:szCs w:val="21"/>
        </w:rPr>
        <w:t xml:space="preserve">green crap”: David Cameron, the </w:t>
      </w:r>
      <w:r w:rsidRPr="00C04107">
        <w:rPr>
          <w:rFonts w:ascii="Arial" w:hAnsi="Arial" w:cs="Arial"/>
          <w:color w:val="333333"/>
          <w:sz w:val="21"/>
          <w:szCs w:val="21"/>
        </w:rPr>
        <w:t>conservatives and the environment</w:t>
      </w:r>
      <w:r>
        <w:rPr>
          <w:rFonts w:ascii="Arial" w:hAnsi="Arial" w:cs="Arial"/>
          <w:color w:val="333333"/>
          <w:sz w:val="21"/>
          <w:szCs w:val="21"/>
        </w:rPr>
        <w:t>’,</w:t>
      </w:r>
      <w:r w:rsidRPr="00C04107">
        <w:rPr>
          <w:rFonts w:ascii="Arial" w:hAnsi="Arial" w:cs="Arial"/>
          <w:color w:val="333333"/>
          <w:sz w:val="21"/>
          <w:szCs w:val="21"/>
        </w:rPr>
        <w:t xml:space="preserve"> </w:t>
      </w:r>
      <w:r w:rsidRPr="00C04107">
        <w:rPr>
          <w:rFonts w:ascii="Arial" w:hAnsi="Arial" w:cs="Arial"/>
          <w:i/>
          <w:color w:val="333333"/>
          <w:sz w:val="21"/>
          <w:szCs w:val="21"/>
        </w:rPr>
        <w:t>British Politics</w:t>
      </w:r>
      <w:r>
        <w:rPr>
          <w:rFonts w:ascii="Arial" w:hAnsi="Arial" w:cs="Arial"/>
          <w:color w:val="333333"/>
          <w:sz w:val="21"/>
          <w:szCs w:val="21"/>
        </w:rPr>
        <w:t>,</w:t>
      </w:r>
      <w:r w:rsidRPr="00C04107">
        <w:rPr>
          <w:rFonts w:ascii="Arial" w:hAnsi="Arial" w:cs="Arial"/>
          <w:color w:val="333333"/>
          <w:sz w:val="21"/>
          <w:szCs w:val="21"/>
        </w:rPr>
        <w:t xml:space="preserve"> 10</w:t>
      </w:r>
      <w:r>
        <w:rPr>
          <w:rFonts w:ascii="Arial" w:hAnsi="Arial" w:cs="Arial"/>
          <w:color w:val="333333"/>
          <w:sz w:val="21"/>
          <w:szCs w:val="21"/>
        </w:rPr>
        <w:t xml:space="preserve">, 2, </w:t>
      </w:r>
      <w:r w:rsidRPr="00C04107">
        <w:rPr>
          <w:rFonts w:ascii="Arial" w:hAnsi="Arial" w:cs="Arial"/>
          <w:color w:val="333333"/>
          <w:sz w:val="21"/>
          <w:szCs w:val="21"/>
        </w:rPr>
        <w:t>204–225.</w:t>
      </w:r>
    </w:p>
    <w:p w:rsidR="000F2786" w:rsidRPr="000F2786" w:rsidRDefault="000F2786" w:rsidP="0062685F">
      <w:pPr>
        <w:spacing w:after="0" w:line="480" w:lineRule="auto"/>
        <w:ind w:left="777" w:hanging="720"/>
        <w:rPr>
          <w:rFonts w:ascii="Arial" w:hAnsi="Arial" w:cs="Arial"/>
          <w:color w:val="333333"/>
          <w:sz w:val="21"/>
          <w:szCs w:val="21"/>
        </w:rPr>
      </w:pPr>
      <w:r>
        <w:rPr>
          <w:rFonts w:ascii="Arial" w:hAnsi="Arial" w:cs="Arial"/>
          <w:color w:val="333333"/>
          <w:sz w:val="21"/>
          <w:szCs w:val="21"/>
        </w:rPr>
        <w:t xml:space="preserve">Clark, B. 2011. ‘Problems for first-time buyers’, </w:t>
      </w:r>
      <w:r>
        <w:rPr>
          <w:rFonts w:ascii="Arial" w:hAnsi="Arial" w:cs="Arial"/>
          <w:i/>
          <w:color w:val="333333"/>
          <w:sz w:val="21"/>
          <w:szCs w:val="21"/>
        </w:rPr>
        <w:t>Council of Mortgage Lenders Official Website</w:t>
      </w:r>
      <w:r>
        <w:rPr>
          <w:rFonts w:ascii="Arial" w:hAnsi="Arial" w:cs="Arial"/>
          <w:color w:val="333333"/>
          <w:sz w:val="21"/>
          <w:szCs w:val="21"/>
        </w:rPr>
        <w:t>, 15</w:t>
      </w:r>
      <w:r w:rsidRPr="000F2786">
        <w:rPr>
          <w:rFonts w:ascii="Arial" w:hAnsi="Arial" w:cs="Arial"/>
          <w:color w:val="333333"/>
          <w:sz w:val="21"/>
          <w:szCs w:val="21"/>
          <w:vertAlign w:val="superscript"/>
        </w:rPr>
        <w:t>th</w:t>
      </w:r>
      <w:r>
        <w:rPr>
          <w:rFonts w:ascii="Arial" w:hAnsi="Arial" w:cs="Arial"/>
          <w:color w:val="333333"/>
          <w:sz w:val="21"/>
          <w:szCs w:val="21"/>
        </w:rPr>
        <w:t xml:space="preserve"> February, available at </w:t>
      </w:r>
      <w:hyperlink r:id="rId12" w:history="1">
        <w:r>
          <w:rPr>
            <w:rStyle w:val="Hyperlink"/>
          </w:rPr>
          <w:t>https://www.cml.org.uk/news/news-and-views/303/</w:t>
        </w:r>
      </w:hyperlink>
      <w:r>
        <w:rPr>
          <w:rFonts w:ascii="Arial" w:hAnsi="Arial" w:cs="Arial"/>
          <w:color w:val="333333"/>
          <w:sz w:val="21"/>
          <w:szCs w:val="21"/>
        </w:rPr>
        <w:t>. Accessed 5</w:t>
      </w:r>
      <w:r w:rsidRPr="000F2786">
        <w:rPr>
          <w:rFonts w:ascii="Arial" w:hAnsi="Arial" w:cs="Arial"/>
          <w:color w:val="333333"/>
          <w:sz w:val="21"/>
          <w:szCs w:val="21"/>
          <w:vertAlign w:val="superscript"/>
        </w:rPr>
        <w:t>th</w:t>
      </w:r>
      <w:r>
        <w:rPr>
          <w:rFonts w:ascii="Arial" w:hAnsi="Arial" w:cs="Arial"/>
          <w:color w:val="333333"/>
          <w:sz w:val="21"/>
          <w:szCs w:val="21"/>
        </w:rPr>
        <w:t xml:space="preserve"> </w:t>
      </w:r>
      <w:proofErr w:type="gramStart"/>
      <w:r>
        <w:rPr>
          <w:rFonts w:ascii="Arial" w:hAnsi="Arial" w:cs="Arial"/>
          <w:color w:val="333333"/>
          <w:sz w:val="21"/>
          <w:szCs w:val="21"/>
        </w:rPr>
        <w:t>July,</w:t>
      </w:r>
      <w:proofErr w:type="gramEnd"/>
      <w:r>
        <w:rPr>
          <w:rFonts w:ascii="Arial" w:hAnsi="Arial" w:cs="Arial"/>
          <w:color w:val="333333"/>
          <w:sz w:val="21"/>
          <w:szCs w:val="21"/>
        </w:rPr>
        <w:t xml:space="preserve"> 2019.</w:t>
      </w:r>
    </w:p>
    <w:p w:rsidR="0062685F" w:rsidRDefault="0062685F" w:rsidP="0062685F">
      <w:pPr>
        <w:spacing w:after="0" w:line="480" w:lineRule="auto"/>
        <w:ind w:left="777" w:hanging="720"/>
        <w:rPr>
          <w:rFonts w:ascii="Arial" w:hAnsi="Arial" w:cs="Arial"/>
          <w:color w:val="333333"/>
          <w:sz w:val="21"/>
          <w:szCs w:val="21"/>
        </w:rPr>
      </w:pPr>
      <w:r>
        <w:rPr>
          <w:rFonts w:ascii="Arial" w:hAnsi="Arial" w:cs="Arial"/>
          <w:color w:val="333333"/>
          <w:sz w:val="21"/>
          <w:szCs w:val="21"/>
        </w:rPr>
        <w:t xml:space="preserve">Clegg, L. 2017. </w:t>
      </w:r>
      <w:r>
        <w:rPr>
          <w:rFonts w:ascii="Arial" w:hAnsi="Arial" w:cs="Arial"/>
          <w:i/>
          <w:color w:val="333333"/>
          <w:sz w:val="21"/>
          <w:szCs w:val="21"/>
        </w:rPr>
        <w:t>The World Bank and the Globalisation of Housing Finance: Mortgaging Development</w:t>
      </w:r>
      <w:r>
        <w:rPr>
          <w:rFonts w:ascii="Arial" w:hAnsi="Arial" w:cs="Arial"/>
          <w:color w:val="333333"/>
          <w:sz w:val="21"/>
          <w:szCs w:val="21"/>
        </w:rPr>
        <w:t>. Cheltenham: Edward Elgar.</w:t>
      </w:r>
    </w:p>
    <w:p w:rsidR="001700D6" w:rsidRPr="009977A8" w:rsidRDefault="001700D6" w:rsidP="001700D6">
      <w:pPr>
        <w:spacing w:after="0" w:line="480" w:lineRule="auto"/>
        <w:ind w:left="777" w:hanging="720"/>
        <w:rPr>
          <w:rFonts w:ascii="Arial" w:hAnsi="Arial" w:cs="Arial"/>
          <w:color w:val="333333"/>
          <w:sz w:val="21"/>
          <w:szCs w:val="21"/>
        </w:rPr>
      </w:pPr>
      <w:r>
        <w:rPr>
          <w:rFonts w:ascii="Arial" w:hAnsi="Arial" w:cs="Arial"/>
          <w:color w:val="333333"/>
          <w:sz w:val="21"/>
          <w:szCs w:val="21"/>
        </w:rPr>
        <w:t xml:space="preserve">Clegg, L. 2019. ‘Economic geography and the regulatory state: Asymmetric marketization of social housing in England’, </w:t>
      </w:r>
      <w:r>
        <w:rPr>
          <w:rFonts w:ascii="Arial" w:hAnsi="Arial" w:cs="Arial"/>
          <w:i/>
          <w:color w:val="333333"/>
          <w:sz w:val="21"/>
          <w:szCs w:val="21"/>
        </w:rPr>
        <w:t>Environment and Planning A</w:t>
      </w:r>
      <w:r>
        <w:rPr>
          <w:rFonts w:ascii="Arial" w:hAnsi="Arial" w:cs="Arial"/>
          <w:color w:val="333333"/>
          <w:sz w:val="21"/>
          <w:szCs w:val="21"/>
        </w:rPr>
        <w:t xml:space="preserve">, </w:t>
      </w:r>
      <w:proofErr w:type="spellStart"/>
      <w:r>
        <w:rPr>
          <w:rFonts w:ascii="Arial" w:hAnsi="Arial" w:cs="Arial"/>
          <w:color w:val="333333"/>
          <w:sz w:val="21"/>
          <w:szCs w:val="21"/>
        </w:rPr>
        <w:t>earlyView</w:t>
      </w:r>
      <w:proofErr w:type="spellEnd"/>
      <w:r>
        <w:rPr>
          <w:rFonts w:ascii="Arial" w:hAnsi="Arial" w:cs="Arial"/>
          <w:color w:val="333333"/>
          <w:sz w:val="21"/>
          <w:szCs w:val="21"/>
        </w:rPr>
        <w:t>, 1-20.</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ascii="Arial" w:hAnsi="Arial" w:cs="Arial"/>
          <w:color w:val="333333"/>
          <w:sz w:val="21"/>
          <w:szCs w:val="21"/>
        </w:rPr>
        <w:t xml:space="preserve">Cochrane, A. 1991. ‘The changing state of local government: restructuring for the 1990s’, </w:t>
      </w:r>
      <w:r w:rsidRPr="008C342C">
        <w:rPr>
          <w:rFonts w:ascii="Arial" w:hAnsi="Arial" w:cs="Arial"/>
          <w:i/>
          <w:color w:val="333333"/>
          <w:sz w:val="21"/>
          <w:szCs w:val="21"/>
        </w:rPr>
        <w:t>Public Administration</w:t>
      </w:r>
      <w:r w:rsidRPr="008C342C">
        <w:rPr>
          <w:rFonts w:ascii="Arial" w:hAnsi="Arial" w:cs="Arial"/>
          <w:color w:val="333333"/>
          <w:sz w:val="21"/>
          <w:szCs w:val="21"/>
        </w:rPr>
        <w:t>, 69, 3, 281-302.</w:t>
      </w:r>
      <w:r w:rsidRPr="008C342C">
        <w:rPr>
          <w:rFonts w:ascii="Arial" w:hAnsi="Arial" w:cs="Arial"/>
          <w:vanish/>
          <w:color w:val="333333"/>
          <w:sz w:val="21"/>
          <w:szCs w:val="21"/>
        </w:rPr>
        <w:t>Cochrane A 1991 The changing state of local government: restructuring for the 1990s Public Administration 69 3 281-302 Cochrane A 1991 The changing state of local government: restructuring for the 1990s Public Administration 69 3 281-302</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Cole, I. and R. </w:t>
      </w:r>
      <w:proofErr w:type="spellStart"/>
      <w:r w:rsidRPr="008C342C">
        <w:rPr>
          <w:rFonts w:eastAsia="Times New Roman" w:cs="Arial"/>
          <w:color w:val="222222"/>
          <w:lang w:eastAsia="en-GB"/>
        </w:rPr>
        <w:t>Furbey</w:t>
      </w:r>
      <w:proofErr w:type="spellEnd"/>
      <w:r w:rsidRPr="008C342C">
        <w:rPr>
          <w:rFonts w:eastAsia="Times New Roman" w:cs="Arial"/>
          <w:color w:val="222222"/>
          <w:lang w:eastAsia="en-GB"/>
        </w:rPr>
        <w:t xml:space="preserve">. 1994. </w:t>
      </w:r>
      <w:r w:rsidRPr="008C342C">
        <w:rPr>
          <w:rFonts w:eastAsia="Times New Roman" w:cs="Arial"/>
          <w:i/>
          <w:color w:val="222222"/>
          <w:lang w:eastAsia="en-GB"/>
        </w:rPr>
        <w:t>The Eclipse of Council Housing</w:t>
      </w:r>
      <w:r w:rsidRPr="008C342C">
        <w:rPr>
          <w:rFonts w:eastAsia="Times New Roman" w:cs="Arial"/>
          <w:color w:val="222222"/>
          <w:lang w:eastAsia="en-GB"/>
        </w:rPr>
        <w:t>. London: Routledge.</w:t>
      </w:r>
    </w:p>
    <w:p w:rsidR="0062685F" w:rsidRPr="000233AC" w:rsidRDefault="0062685F" w:rsidP="0062685F">
      <w:pPr>
        <w:spacing w:after="0" w:line="480" w:lineRule="auto"/>
        <w:ind w:left="777" w:hanging="720"/>
        <w:rPr>
          <w:rFonts w:eastAsia="Times New Roman" w:cs="Arial"/>
          <w:color w:val="222222"/>
          <w:lang w:eastAsia="en-GB"/>
        </w:rPr>
      </w:pPr>
      <w:r>
        <w:rPr>
          <w:rFonts w:eastAsia="Times New Roman" w:cs="Arial"/>
          <w:color w:val="222222"/>
          <w:lang w:eastAsia="en-GB"/>
        </w:rPr>
        <w:t xml:space="preserve">Communities and Local Government Select Committee. 2009. </w:t>
      </w:r>
      <w:r>
        <w:rPr>
          <w:rFonts w:eastAsia="Times New Roman" w:cs="Arial"/>
          <w:i/>
          <w:color w:val="222222"/>
          <w:lang w:eastAsia="en-GB"/>
        </w:rPr>
        <w:t>Housing and the Credit Crunch</w:t>
      </w:r>
      <w:r>
        <w:rPr>
          <w:rFonts w:eastAsia="Times New Roman" w:cs="Arial"/>
          <w:color w:val="222222"/>
          <w:lang w:eastAsia="en-GB"/>
        </w:rPr>
        <w:t>. London: House of Commons Library.</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Damro</w:t>
      </w:r>
      <w:proofErr w:type="spellEnd"/>
      <w:r w:rsidRPr="008C342C">
        <w:rPr>
          <w:rFonts w:eastAsia="Times New Roman" w:cs="Arial"/>
          <w:color w:val="222222"/>
          <w:lang w:eastAsia="en-GB"/>
        </w:rPr>
        <w:t xml:space="preserve">, C. 2012. ‘Market power Europe’, </w:t>
      </w:r>
      <w:r w:rsidRPr="008C342C">
        <w:rPr>
          <w:rFonts w:eastAsia="Times New Roman" w:cs="Arial"/>
          <w:i/>
          <w:color w:val="222222"/>
          <w:lang w:eastAsia="en-GB"/>
        </w:rPr>
        <w:t>Journal of European Public Policy</w:t>
      </w:r>
      <w:r w:rsidRPr="008C342C">
        <w:rPr>
          <w:rFonts w:eastAsia="Times New Roman" w:cs="Arial"/>
          <w:color w:val="222222"/>
          <w:lang w:eastAsia="en-GB"/>
        </w:rPr>
        <w:t>, 19, 5, 682-699.</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Dinas</w:t>
      </w:r>
      <w:proofErr w:type="spellEnd"/>
      <w:r w:rsidRPr="008C342C">
        <w:rPr>
          <w:rFonts w:eastAsia="Times New Roman" w:cs="Arial"/>
          <w:color w:val="222222"/>
          <w:lang w:eastAsia="en-GB"/>
        </w:rPr>
        <w:t xml:space="preserve">, E. and K. </w:t>
      </w:r>
      <w:proofErr w:type="spellStart"/>
      <w:r w:rsidRPr="008C342C">
        <w:rPr>
          <w:rFonts w:eastAsia="Times New Roman" w:cs="Arial"/>
          <w:color w:val="222222"/>
          <w:lang w:eastAsia="en-GB"/>
        </w:rPr>
        <w:t>Gemenis</w:t>
      </w:r>
      <w:proofErr w:type="spellEnd"/>
      <w:r w:rsidRPr="008C342C">
        <w:rPr>
          <w:rFonts w:eastAsia="Times New Roman" w:cs="Arial"/>
          <w:color w:val="222222"/>
          <w:lang w:eastAsia="en-GB"/>
        </w:rPr>
        <w:t xml:space="preserve">. 2010. ‘Measuring parties’ ideological positions with manifesto data: A critical evaluation of the competing methods’, </w:t>
      </w:r>
      <w:r w:rsidRPr="008C342C">
        <w:rPr>
          <w:rFonts w:eastAsia="Times New Roman" w:cs="Arial"/>
          <w:i/>
          <w:color w:val="222222"/>
          <w:lang w:eastAsia="en-GB"/>
        </w:rPr>
        <w:t>Party Politics</w:t>
      </w:r>
      <w:r w:rsidRPr="008C342C">
        <w:rPr>
          <w:rFonts w:eastAsia="Times New Roman" w:cs="Arial"/>
          <w:color w:val="222222"/>
          <w:lang w:eastAsia="en-GB"/>
        </w:rPr>
        <w:t>, 16, 4, 427-450.</w:t>
      </w:r>
    </w:p>
    <w:p w:rsidR="0062685F" w:rsidRPr="00F50CE0" w:rsidRDefault="0062685F" w:rsidP="0062685F">
      <w:pPr>
        <w:spacing w:after="0" w:line="480" w:lineRule="auto"/>
        <w:ind w:left="777" w:hanging="720"/>
        <w:rPr>
          <w:rFonts w:eastAsia="Times New Roman" w:cs="Arial"/>
          <w:color w:val="222222"/>
          <w:lang w:eastAsia="en-GB"/>
        </w:rPr>
      </w:pPr>
      <w:r w:rsidRPr="00F50CE0">
        <w:rPr>
          <w:rFonts w:eastAsia="Times New Roman" w:cs="Arial"/>
          <w:color w:val="222222"/>
          <w:lang w:eastAsia="en-GB"/>
        </w:rPr>
        <w:t xml:space="preserve">Donald, B., A. </w:t>
      </w:r>
      <w:proofErr w:type="spellStart"/>
      <w:r w:rsidRPr="00F50CE0">
        <w:rPr>
          <w:rFonts w:eastAsia="Times New Roman" w:cs="Arial"/>
          <w:color w:val="222222"/>
          <w:lang w:eastAsia="en-GB"/>
        </w:rPr>
        <w:t>Glasmeier</w:t>
      </w:r>
      <w:proofErr w:type="spellEnd"/>
      <w:r w:rsidRPr="00F50CE0">
        <w:rPr>
          <w:rFonts w:eastAsia="Times New Roman" w:cs="Arial"/>
          <w:color w:val="222222"/>
          <w:lang w:eastAsia="en-GB"/>
        </w:rPr>
        <w:t xml:space="preserve">, M. </w:t>
      </w:r>
      <w:proofErr w:type="spellStart"/>
      <w:r w:rsidRPr="00F50CE0">
        <w:rPr>
          <w:rFonts w:eastAsia="Times New Roman" w:cs="Arial"/>
          <w:color w:val="222222"/>
          <w:lang w:eastAsia="en-GB"/>
        </w:rPr>
        <w:t>Gray</w:t>
      </w:r>
      <w:proofErr w:type="spellEnd"/>
      <w:r w:rsidRPr="00F50CE0">
        <w:rPr>
          <w:rFonts w:eastAsia="Times New Roman" w:cs="Arial"/>
          <w:color w:val="222222"/>
          <w:lang w:eastAsia="en-GB"/>
        </w:rPr>
        <w:t xml:space="preserve">, and L. </w:t>
      </w:r>
      <w:proofErr w:type="spellStart"/>
      <w:r w:rsidRPr="00F50CE0">
        <w:rPr>
          <w:rFonts w:eastAsia="Times New Roman" w:cs="Arial"/>
          <w:color w:val="222222"/>
          <w:lang w:eastAsia="en-GB"/>
        </w:rPr>
        <w:t>Lobao</w:t>
      </w:r>
      <w:proofErr w:type="spellEnd"/>
      <w:r w:rsidRPr="00F50CE0">
        <w:rPr>
          <w:rFonts w:eastAsia="Times New Roman" w:cs="Arial"/>
          <w:color w:val="222222"/>
          <w:lang w:eastAsia="en-GB"/>
        </w:rPr>
        <w:t xml:space="preserve">. 2014. ‘Austerity in the city’, </w:t>
      </w:r>
      <w:r w:rsidRPr="00F50CE0">
        <w:rPr>
          <w:rFonts w:eastAsia="Times New Roman" w:cs="Arial"/>
          <w:i/>
          <w:color w:val="222222"/>
          <w:lang w:eastAsia="en-GB"/>
        </w:rPr>
        <w:t>Cambridge Journal of Regions, Economy, and Society</w:t>
      </w:r>
      <w:r w:rsidRPr="00F50CE0">
        <w:rPr>
          <w:rFonts w:eastAsia="Times New Roman" w:cs="Arial"/>
          <w:color w:val="222222"/>
          <w:lang w:eastAsia="en-GB"/>
        </w:rPr>
        <w:t>, 7, 1, 3-15.</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Downs, A. 1957. ‘An economic theory of political action in a democracy’, </w:t>
      </w:r>
      <w:r w:rsidRPr="008C342C">
        <w:rPr>
          <w:rFonts w:eastAsia="Times New Roman" w:cs="Arial"/>
          <w:i/>
          <w:color w:val="222222"/>
          <w:lang w:eastAsia="en-GB"/>
        </w:rPr>
        <w:t>Journal of Political Economy</w:t>
      </w:r>
      <w:r w:rsidRPr="008C342C">
        <w:rPr>
          <w:rFonts w:eastAsia="Times New Roman" w:cs="Arial"/>
          <w:color w:val="222222"/>
          <w:lang w:eastAsia="en-GB"/>
        </w:rPr>
        <w:t>, 65, 2, 135-150.</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Dubash</w:t>
      </w:r>
      <w:proofErr w:type="spellEnd"/>
      <w:r w:rsidRPr="008C342C">
        <w:rPr>
          <w:rFonts w:eastAsia="Times New Roman" w:cs="Arial"/>
          <w:color w:val="222222"/>
          <w:lang w:eastAsia="en-GB"/>
        </w:rPr>
        <w:t xml:space="preserve">, N. and B. Morgan. 2012. ‘Understanding the Rise of the Regulatory State of the South’, </w:t>
      </w:r>
      <w:r w:rsidRPr="008C342C">
        <w:rPr>
          <w:rFonts w:eastAsia="Times New Roman" w:cs="Arial"/>
          <w:i/>
          <w:color w:val="222222"/>
          <w:lang w:eastAsia="en-GB"/>
        </w:rPr>
        <w:t>Regulation &amp; Governance</w:t>
      </w:r>
      <w:r w:rsidRPr="008C342C">
        <w:rPr>
          <w:rFonts w:eastAsia="Times New Roman" w:cs="Arial"/>
          <w:color w:val="222222"/>
          <w:lang w:eastAsia="en-GB"/>
        </w:rPr>
        <w:t>, 6, 3, 261-281.</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lastRenderedPageBreak/>
        <w:t>Drezner</w:t>
      </w:r>
      <w:proofErr w:type="spellEnd"/>
      <w:r w:rsidRPr="008C342C">
        <w:rPr>
          <w:rFonts w:eastAsia="Times New Roman" w:cs="Arial"/>
          <w:color w:val="222222"/>
          <w:lang w:eastAsia="en-GB"/>
        </w:rPr>
        <w:t xml:space="preserve">, D. 2007. </w:t>
      </w:r>
      <w:r w:rsidRPr="008C342C">
        <w:rPr>
          <w:rFonts w:eastAsia="Times New Roman" w:cs="Arial"/>
          <w:i/>
          <w:color w:val="222222"/>
          <w:lang w:eastAsia="en-GB"/>
        </w:rPr>
        <w:t>All Politics is Global: Explaining International Regulatory Regimes</w:t>
      </w:r>
      <w:r w:rsidRPr="008C342C">
        <w:rPr>
          <w:rFonts w:eastAsia="Times New Roman" w:cs="Arial"/>
          <w:color w:val="222222"/>
          <w:lang w:eastAsia="en-GB"/>
        </w:rPr>
        <w:t>. Princeton: University Press.</w:t>
      </w:r>
    </w:p>
    <w:p w:rsidR="00B47211" w:rsidRPr="00B47211" w:rsidRDefault="00B47211" w:rsidP="0062685F">
      <w:pPr>
        <w:spacing w:after="0" w:line="480" w:lineRule="auto"/>
        <w:ind w:left="777" w:hanging="720"/>
        <w:rPr>
          <w:rFonts w:eastAsia="Times New Roman" w:cs="Arial"/>
          <w:color w:val="222222"/>
          <w:lang w:eastAsia="en-GB"/>
        </w:rPr>
      </w:pPr>
      <w:r>
        <w:rPr>
          <w:rFonts w:eastAsia="Times New Roman" w:cs="Arial"/>
          <w:color w:val="222222"/>
          <w:lang w:eastAsia="en-GB"/>
        </w:rPr>
        <w:t xml:space="preserve">Epstein, L. and J. Segal. 2000. ‘Measuring issue salience’, </w:t>
      </w:r>
      <w:r>
        <w:rPr>
          <w:rFonts w:eastAsia="Times New Roman" w:cs="Arial"/>
          <w:i/>
          <w:color w:val="222222"/>
          <w:lang w:eastAsia="en-GB"/>
        </w:rPr>
        <w:t>American Journal of Political Science</w:t>
      </w:r>
      <w:r>
        <w:rPr>
          <w:rFonts w:eastAsia="Times New Roman" w:cs="Arial"/>
          <w:color w:val="222222"/>
          <w:lang w:eastAsia="en-GB"/>
        </w:rPr>
        <w:t>, 44, 1, 66-83.</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Esping</w:t>
      </w:r>
      <w:proofErr w:type="spellEnd"/>
      <w:r w:rsidRPr="008C342C">
        <w:rPr>
          <w:rFonts w:eastAsia="Times New Roman" w:cs="Arial"/>
          <w:color w:val="222222"/>
          <w:lang w:eastAsia="en-GB"/>
        </w:rPr>
        <w:t xml:space="preserve">-Andersen, G. 1985. </w:t>
      </w:r>
      <w:r w:rsidRPr="008C342C">
        <w:rPr>
          <w:rFonts w:eastAsia="Times New Roman" w:cs="Arial"/>
          <w:i/>
          <w:color w:val="222222"/>
          <w:lang w:eastAsia="en-GB"/>
        </w:rPr>
        <w:t xml:space="preserve">Politics </w:t>
      </w:r>
      <w:proofErr w:type="gramStart"/>
      <w:r w:rsidRPr="008C342C">
        <w:rPr>
          <w:rFonts w:eastAsia="Times New Roman" w:cs="Arial"/>
          <w:i/>
          <w:color w:val="222222"/>
          <w:lang w:eastAsia="en-GB"/>
        </w:rPr>
        <w:t>Against</w:t>
      </w:r>
      <w:proofErr w:type="gramEnd"/>
      <w:r w:rsidRPr="008C342C">
        <w:rPr>
          <w:rFonts w:eastAsia="Times New Roman" w:cs="Arial"/>
          <w:i/>
          <w:color w:val="222222"/>
          <w:lang w:eastAsia="en-GB"/>
        </w:rPr>
        <w:t xml:space="preserve"> Markets</w:t>
      </w:r>
      <w:r w:rsidRPr="008C342C">
        <w:rPr>
          <w:rFonts w:eastAsia="Times New Roman" w:cs="Arial"/>
          <w:color w:val="222222"/>
          <w:lang w:eastAsia="en-GB"/>
        </w:rPr>
        <w:t>. Princeton: University Press.</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Everett, M. and L. Smith. 2016. ‘Planning Obligations: Section 106 Agreements’, </w:t>
      </w:r>
      <w:r w:rsidRPr="008C342C">
        <w:rPr>
          <w:rFonts w:eastAsia="Times New Roman" w:cs="Arial"/>
          <w:i/>
          <w:color w:val="222222"/>
          <w:lang w:eastAsia="en-GB"/>
        </w:rPr>
        <w:t>House of Commons Library Briefing Paper Series</w:t>
      </w:r>
      <w:r w:rsidRPr="008C342C">
        <w:rPr>
          <w:rFonts w:eastAsia="Times New Roman" w:cs="Arial"/>
          <w:color w:val="222222"/>
          <w:lang w:eastAsia="en-GB"/>
        </w:rPr>
        <w:t>, No. 7200, 1-17.</w:t>
      </w:r>
    </w:p>
    <w:p w:rsidR="00707612" w:rsidRPr="00707612" w:rsidRDefault="00707612" w:rsidP="0062685F">
      <w:pPr>
        <w:spacing w:after="0" w:line="480" w:lineRule="auto"/>
        <w:ind w:left="777" w:hanging="720"/>
        <w:rPr>
          <w:rFonts w:eastAsia="Times New Roman" w:cs="Arial"/>
          <w:color w:val="222222"/>
          <w:lang w:eastAsia="en-GB"/>
        </w:rPr>
      </w:pPr>
      <w:proofErr w:type="spellStart"/>
      <w:r>
        <w:rPr>
          <w:rFonts w:eastAsia="Times New Roman" w:cs="Arial"/>
          <w:color w:val="222222"/>
          <w:lang w:eastAsia="en-GB"/>
        </w:rPr>
        <w:t>Farstad</w:t>
      </w:r>
      <w:proofErr w:type="spellEnd"/>
      <w:r>
        <w:rPr>
          <w:rFonts w:eastAsia="Times New Roman" w:cs="Arial"/>
          <w:color w:val="222222"/>
          <w:lang w:eastAsia="en-GB"/>
        </w:rPr>
        <w:t>, F. 2018. ‘What explains variation in parties’ climate change stance?</w:t>
      </w:r>
      <w:proofErr w:type="gramStart"/>
      <w:r>
        <w:rPr>
          <w:rFonts w:eastAsia="Times New Roman" w:cs="Arial"/>
          <w:color w:val="222222"/>
          <w:lang w:eastAsia="en-GB"/>
        </w:rPr>
        <w:t>’,</w:t>
      </w:r>
      <w:proofErr w:type="gramEnd"/>
      <w:r>
        <w:rPr>
          <w:rFonts w:eastAsia="Times New Roman" w:cs="Arial"/>
          <w:color w:val="222222"/>
          <w:lang w:eastAsia="en-GB"/>
        </w:rPr>
        <w:t xml:space="preserve"> </w:t>
      </w:r>
      <w:r>
        <w:rPr>
          <w:rFonts w:eastAsia="Times New Roman" w:cs="Arial"/>
          <w:i/>
          <w:color w:val="222222"/>
          <w:lang w:eastAsia="en-GB"/>
        </w:rPr>
        <w:t>Party Politics</w:t>
      </w:r>
      <w:r>
        <w:rPr>
          <w:rFonts w:eastAsia="Times New Roman" w:cs="Arial"/>
          <w:color w:val="222222"/>
          <w:lang w:eastAsia="en-GB"/>
        </w:rPr>
        <w:t>, 24, 6, 698-707.</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Fears, C., W. Wilson, and C. Barton. 2016. ‘What is affordable housing?</w:t>
      </w:r>
      <w:proofErr w:type="gramStart"/>
      <w:r w:rsidRPr="008C342C">
        <w:rPr>
          <w:rFonts w:eastAsia="Times New Roman" w:cs="Arial"/>
          <w:color w:val="222222"/>
          <w:lang w:eastAsia="en-GB"/>
        </w:rPr>
        <w:t>’,</w:t>
      </w:r>
      <w:proofErr w:type="gramEnd"/>
      <w:r w:rsidRPr="008C342C">
        <w:rPr>
          <w:rFonts w:eastAsia="Times New Roman" w:cs="Arial"/>
          <w:color w:val="222222"/>
          <w:lang w:eastAsia="en-GB"/>
        </w:rPr>
        <w:t xml:space="preserve"> </w:t>
      </w:r>
      <w:r w:rsidRPr="008C342C">
        <w:rPr>
          <w:rFonts w:eastAsia="Times New Roman" w:cs="Arial"/>
          <w:i/>
          <w:color w:val="222222"/>
          <w:lang w:eastAsia="en-GB"/>
        </w:rPr>
        <w:t>House of Commons Library Briefing Paper Series</w:t>
      </w:r>
      <w:r w:rsidRPr="008C342C">
        <w:rPr>
          <w:rFonts w:eastAsia="Times New Roman" w:cs="Arial"/>
          <w:color w:val="222222"/>
          <w:lang w:eastAsia="en-GB"/>
        </w:rPr>
        <w:t>, No. 7747, 1-15.</w:t>
      </w:r>
    </w:p>
    <w:p w:rsidR="002F03AC" w:rsidRPr="002F03AC" w:rsidRDefault="002F03AC" w:rsidP="002F03AC">
      <w:pPr>
        <w:spacing w:after="0" w:line="480" w:lineRule="auto"/>
        <w:ind w:left="777" w:hanging="720"/>
        <w:rPr>
          <w:rFonts w:eastAsia="Times New Roman" w:cs="Arial"/>
          <w:color w:val="222222"/>
          <w:lang w:eastAsia="en-GB"/>
        </w:rPr>
      </w:pPr>
      <w:proofErr w:type="spellStart"/>
      <w:r w:rsidRPr="002F03AC">
        <w:rPr>
          <w:rFonts w:eastAsia="Times New Roman" w:cs="Arial"/>
          <w:color w:val="222222"/>
          <w:lang w:eastAsia="en-GB"/>
        </w:rPr>
        <w:t>Fenno</w:t>
      </w:r>
      <w:proofErr w:type="spellEnd"/>
      <w:r w:rsidRPr="002F03AC">
        <w:rPr>
          <w:rFonts w:eastAsia="Times New Roman" w:cs="Arial"/>
          <w:color w:val="222222"/>
          <w:lang w:eastAsia="en-GB"/>
        </w:rPr>
        <w:t xml:space="preserve">, R. 1978. </w:t>
      </w:r>
      <w:r w:rsidRPr="00F71440">
        <w:rPr>
          <w:rFonts w:eastAsia="Times New Roman" w:cs="Arial"/>
          <w:i/>
          <w:color w:val="222222"/>
          <w:lang w:eastAsia="en-GB"/>
        </w:rPr>
        <w:t>Home Style: Representatives in their Districts</w:t>
      </w:r>
      <w:r w:rsidRPr="002F03AC">
        <w:rPr>
          <w:rFonts w:eastAsia="Times New Roman" w:cs="Arial"/>
          <w:color w:val="222222"/>
          <w:lang w:eastAsia="en-GB"/>
        </w:rPr>
        <w:t>. Boston: Little.</w:t>
      </w:r>
    </w:p>
    <w:p w:rsidR="0062685F" w:rsidRDefault="0062685F" w:rsidP="0062685F">
      <w:pPr>
        <w:spacing w:after="0" w:line="480" w:lineRule="auto"/>
        <w:ind w:left="777" w:hanging="720"/>
        <w:rPr>
          <w:rFonts w:eastAsia="Times New Roman" w:cs="Arial"/>
          <w:color w:val="222222"/>
          <w:lang w:eastAsia="en-GB"/>
        </w:rPr>
      </w:pPr>
      <w:proofErr w:type="spellStart"/>
      <w:r w:rsidRPr="00B173EF">
        <w:rPr>
          <w:rFonts w:eastAsia="Times New Roman" w:cs="Arial"/>
          <w:color w:val="222222"/>
          <w:lang w:eastAsia="en-GB"/>
        </w:rPr>
        <w:t>Flem</w:t>
      </w:r>
      <w:r>
        <w:rPr>
          <w:rFonts w:eastAsia="Times New Roman" w:cs="Arial"/>
          <w:color w:val="222222"/>
          <w:lang w:eastAsia="en-GB"/>
        </w:rPr>
        <w:t>m</w:t>
      </w:r>
      <w:r w:rsidRPr="00B173EF">
        <w:rPr>
          <w:rFonts w:eastAsia="Times New Roman" w:cs="Arial"/>
          <w:color w:val="222222"/>
          <w:lang w:eastAsia="en-GB"/>
        </w:rPr>
        <w:t>ing</w:t>
      </w:r>
      <w:proofErr w:type="spellEnd"/>
      <w:r w:rsidRPr="00B173EF">
        <w:rPr>
          <w:rFonts w:eastAsia="Times New Roman" w:cs="Arial"/>
          <w:color w:val="222222"/>
          <w:lang w:eastAsia="en-GB"/>
        </w:rPr>
        <w:t>, S. C., and Short, J. R. 1984. ‘Committee rules OK? An examination of planning committee action on officer recommendations’, Environment and Planning A, 16, 7, 965-973.</w:t>
      </w:r>
    </w:p>
    <w:p w:rsidR="0062685F" w:rsidRDefault="0062685F" w:rsidP="0062685F">
      <w:pPr>
        <w:spacing w:after="0" w:line="480" w:lineRule="auto"/>
        <w:ind w:left="777" w:hanging="720"/>
        <w:rPr>
          <w:rFonts w:eastAsia="Times New Roman" w:cs="Arial"/>
          <w:color w:val="222222"/>
          <w:lang w:eastAsia="en-GB"/>
        </w:rPr>
      </w:pPr>
      <w:r>
        <w:t xml:space="preserve">Flinders, M., 2004. ‘Distributed Public Governance in Britain’, </w:t>
      </w:r>
      <w:r w:rsidRPr="002325AF">
        <w:rPr>
          <w:i/>
        </w:rPr>
        <w:t>Public Administration</w:t>
      </w:r>
      <w:r>
        <w:t>, 82, 4, 883–909.</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Gardner, A. 2017. ‘Big change, little change? Punctuation, increments and multi-layer institutional change for English local authorities under austerity’, </w:t>
      </w:r>
      <w:r w:rsidRPr="008C342C">
        <w:rPr>
          <w:rFonts w:eastAsia="Times New Roman" w:cs="Arial"/>
          <w:i/>
          <w:color w:val="222222"/>
          <w:lang w:eastAsia="en-GB"/>
        </w:rPr>
        <w:t>Local Government Studies</w:t>
      </w:r>
      <w:r w:rsidRPr="008C342C">
        <w:rPr>
          <w:rFonts w:eastAsia="Times New Roman" w:cs="Arial"/>
          <w:color w:val="222222"/>
          <w:lang w:eastAsia="en-GB"/>
        </w:rPr>
        <w:t>, 43, 2, 150-169.</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Garrett, G. 1998. </w:t>
      </w:r>
      <w:r w:rsidRPr="008C342C">
        <w:rPr>
          <w:rFonts w:eastAsia="Times New Roman" w:cs="Arial"/>
          <w:i/>
          <w:color w:val="222222"/>
          <w:lang w:eastAsia="en-GB"/>
        </w:rPr>
        <w:t>Partisan Politics in the Global Economy</w:t>
      </w:r>
      <w:r w:rsidRPr="008C342C">
        <w:rPr>
          <w:rFonts w:eastAsia="Times New Roman" w:cs="Arial"/>
          <w:color w:val="222222"/>
          <w:lang w:eastAsia="en-GB"/>
        </w:rPr>
        <w:t>. Cambridge: University Press.</w:t>
      </w:r>
    </w:p>
    <w:p w:rsidR="0090299D" w:rsidRDefault="0090299D" w:rsidP="0062685F">
      <w:pPr>
        <w:spacing w:after="0" w:line="480" w:lineRule="auto"/>
        <w:ind w:left="777" w:hanging="720"/>
        <w:rPr>
          <w:rFonts w:eastAsia="Times New Roman" w:cs="Arial"/>
          <w:color w:val="222222"/>
          <w:lang w:eastAsia="en-GB"/>
        </w:rPr>
      </w:pPr>
      <w:proofErr w:type="spellStart"/>
      <w:r w:rsidRPr="0090299D">
        <w:rPr>
          <w:rFonts w:eastAsia="Times New Roman" w:cs="Arial"/>
          <w:color w:val="222222"/>
          <w:lang w:eastAsia="en-GB"/>
        </w:rPr>
        <w:t>Gilens</w:t>
      </w:r>
      <w:proofErr w:type="spellEnd"/>
      <w:r w:rsidRPr="0090299D">
        <w:rPr>
          <w:rFonts w:eastAsia="Times New Roman" w:cs="Arial"/>
          <w:color w:val="222222"/>
          <w:lang w:eastAsia="en-GB"/>
        </w:rPr>
        <w:t xml:space="preserve">, M., 2012. </w:t>
      </w:r>
      <w:r w:rsidRPr="0090299D">
        <w:rPr>
          <w:rFonts w:eastAsia="Times New Roman" w:cs="Arial"/>
          <w:i/>
          <w:color w:val="222222"/>
          <w:lang w:eastAsia="en-GB"/>
        </w:rPr>
        <w:t>Affluence and influence: Economic inequality and political power in America</w:t>
      </w:r>
      <w:r w:rsidRPr="0090299D">
        <w:rPr>
          <w:rFonts w:eastAsia="Times New Roman" w:cs="Arial"/>
          <w:color w:val="222222"/>
          <w:lang w:eastAsia="en-GB"/>
        </w:rPr>
        <w:t>. Princeton</w:t>
      </w:r>
      <w:r>
        <w:rPr>
          <w:rFonts w:eastAsia="Times New Roman" w:cs="Arial"/>
          <w:color w:val="222222"/>
          <w:lang w:eastAsia="en-GB"/>
        </w:rPr>
        <w:t>:</w:t>
      </w:r>
      <w:r w:rsidRPr="0090299D">
        <w:rPr>
          <w:rFonts w:eastAsia="Times New Roman" w:cs="Arial"/>
          <w:color w:val="222222"/>
          <w:lang w:eastAsia="en-GB"/>
        </w:rPr>
        <w:t xml:space="preserve"> University Press.</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Girth, A., A. </w:t>
      </w:r>
      <w:proofErr w:type="spellStart"/>
      <w:r w:rsidRPr="008C342C">
        <w:rPr>
          <w:rFonts w:eastAsia="Times New Roman" w:cs="Arial"/>
          <w:color w:val="222222"/>
          <w:lang w:eastAsia="en-GB"/>
        </w:rPr>
        <w:t>Hefetz</w:t>
      </w:r>
      <w:proofErr w:type="spellEnd"/>
      <w:r w:rsidRPr="008C342C">
        <w:rPr>
          <w:rFonts w:eastAsia="Times New Roman" w:cs="Arial"/>
          <w:color w:val="222222"/>
          <w:lang w:eastAsia="en-GB"/>
        </w:rPr>
        <w:t xml:space="preserve">, J. Johnston and M. Warner. 2012. ‘Outsourcing public service delivery: Management responses in </w:t>
      </w:r>
      <w:proofErr w:type="spellStart"/>
      <w:r w:rsidRPr="008C342C">
        <w:rPr>
          <w:rFonts w:eastAsia="Times New Roman" w:cs="Arial"/>
          <w:color w:val="222222"/>
          <w:lang w:eastAsia="en-GB"/>
        </w:rPr>
        <w:t>noncompetitive</w:t>
      </w:r>
      <w:proofErr w:type="spellEnd"/>
      <w:r w:rsidRPr="008C342C">
        <w:rPr>
          <w:rFonts w:eastAsia="Times New Roman" w:cs="Arial"/>
          <w:color w:val="222222"/>
          <w:lang w:eastAsia="en-GB"/>
        </w:rPr>
        <w:t xml:space="preserve"> markets’, </w:t>
      </w:r>
      <w:r w:rsidRPr="008C342C">
        <w:rPr>
          <w:rFonts w:eastAsia="Times New Roman" w:cs="Arial"/>
          <w:i/>
          <w:color w:val="222222"/>
          <w:lang w:eastAsia="en-GB"/>
        </w:rPr>
        <w:t>Public Administration Review</w:t>
      </w:r>
      <w:r w:rsidRPr="008C342C">
        <w:rPr>
          <w:rFonts w:eastAsia="Times New Roman" w:cs="Arial"/>
          <w:color w:val="222222"/>
          <w:lang w:eastAsia="en-GB"/>
        </w:rPr>
        <w:t>, 72, 6, 887-900.</w:t>
      </w:r>
    </w:p>
    <w:p w:rsidR="001A200E" w:rsidRDefault="001A200E" w:rsidP="0062685F">
      <w:pPr>
        <w:spacing w:after="0" w:line="480" w:lineRule="auto"/>
        <w:ind w:left="777" w:hanging="720"/>
        <w:rPr>
          <w:rFonts w:eastAsia="Times New Roman" w:cs="Arial"/>
          <w:color w:val="222222"/>
          <w:lang w:eastAsia="en-GB"/>
        </w:rPr>
      </w:pPr>
      <w:r>
        <w:rPr>
          <w:rFonts w:ascii="Arial" w:hAnsi="Arial" w:cs="Arial"/>
          <w:color w:val="222222"/>
          <w:sz w:val="20"/>
          <w:szCs w:val="20"/>
          <w:shd w:val="clear" w:color="auto" w:fill="FFFFFF"/>
        </w:rPr>
        <w:t xml:space="preserve">Givens, T. and A. </w:t>
      </w:r>
      <w:proofErr w:type="spellStart"/>
      <w:r>
        <w:rPr>
          <w:rFonts w:ascii="Arial" w:hAnsi="Arial" w:cs="Arial"/>
          <w:color w:val="222222"/>
          <w:sz w:val="20"/>
          <w:szCs w:val="20"/>
          <w:shd w:val="clear" w:color="auto" w:fill="FFFFFF"/>
        </w:rPr>
        <w:t>Luedtke</w:t>
      </w:r>
      <w:proofErr w:type="spellEnd"/>
      <w:r>
        <w:rPr>
          <w:rFonts w:ascii="Arial" w:hAnsi="Arial" w:cs="Arial"/>
          <w:color w:val="222222"/>
          <w:sz w:val="20"/>
          <w:szCs w:val="20"/>
          <w:shd w:val="clear" w:color="auto" w:fill="FFFFFF"/>
        </w:rPr>
        <w:t>. 2005. ‘European immigration policies in comparative perspective: Issue salience, partisanship and immigrant rights’, </w:t>
      </w:r>
      <w:r>
        <w:rPr>
          <w:rFonts w:ascii="Arial" w:hAnsi="Arial" w:cs="Arial"/>
          <w:i/>
          <w:iCs/>
          <w:color w:val="222222"/>
          <w:sz w:val="20"/>
          <w:szCs w:val="20"/>
          <w:shd w:val="clear" w:color="auto" w:fill="FFFFFF"/>
        </w:rPr>
        <w:t>Comparative European Politics</w:t>
      </w:r>
      <w:r>
        <w:rPr>
          <w:rFonts w:ascii="Arial" w:hAnsi="Arial" w:cs="Arial"/>
          <w:color w:val="222222"/>
          <w:sz w:val="20"/>
          <w:szCs w:val="20"/>
          <w:shd w:val="clear" w:color="auto" w:fill="FFFFFF"/>
        </w:rPr>
        <w:t>, </w:t>
      </w:r>
      <w:r w:rsidRPr="001A200E">
        <w:rPr>
          <w:rFonts w:ascii="Arial" w:hAnsi="Arial" w:cs="Arial"/>
          <w:iCs/>
          <w:color w:val="222222"/>
          <w:sz w:val="20"/>
          <w:szCs w:val="20"/>
          <w:shd w:val="clear" w:color="auto" w:fill="FFFFFF"/>
        </w:rPr>
        <w:t>3</w:t>
      </w:r>
      <w:r>
        <w:rPr>
          <w:rFonts w:ascii="Arial" w:hAnsi="Arial" w:cs="Arial"/>
          <w:color w:val="222222"/>
          <w:sz w:val="20"/>
          <w:szCs w:val="20"/>
          <w:shd w:val="clear" w:color="auto" w:fill="FFFFFF"/>
        </w:rPr>
        <w:t>, 1, 1-22.</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lastRenderedPageBreak/>
        <w:t xml:space="preserve">Goodwin, M. and J. Painter. 1996. ‘Local governance, the crises of Fordism and the changing geographies of regulation’, </w:t>
      </w:r>
      <w:r w:rsidRPr="008C342C">
        <w:rPr>
          <w:rFonts w:eastAsia="Times New Roman" w:cs="Arial"/>
          <w:i/>
          <w:color w:val="222222"/>
          <w:lang w:eastAsia="en-GB"/>
        </w:rPr>
        <w:t>Transactions of the Institute of British Geographers</w:t>
      </w:r>
      <w:r w:rsidRPr="008C342C">
        <w:rPr>
          <w:rFonts w:eastAsia="Times New Roman" w:cs="Arial"/>
          <w:color w:val="222222"/>
          <w:lang w:eastAsia="en-GB"/>
        </w:rPr>
        <w:t>, 21, 4, 635-648.</w:t>
      </w:r>
    </w:p>
    <w:p w:rsidR="0062685F" w:rsidRPr="008C342C" w:rsidRDefault="0062685F" w:rsidP="0062685F">
      <w:pPr>
        <w:spacing w:after="0" w:line="480" w:lineRule="auto"/>
        <w:ind w:left="777" w:hanging="720"/>
      </w:pPr>
      <w:r w:rsidRPr="008C342C">
        <w:rPr>
          <w:rFonts w:eastAsia="Times New Roman" w:cs="Arial"/>
          <w:color w:val="222222"/>
          <w:lang w:eastAsia="en-GB"/>
        </w:rPr>
        <w:t>Haber, H. 2015. ‘Regulation as social policy: Home evictions and repossessions in the UK and Sweden’, Public Administration, 93, 3, 806-821.</w:t>
      </w:r>
      <w:r w:rsidRPr="008C342C">
        <w:t xml:space="preserve"> </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Haber, H. 2017. ‘Rise of the “regulatory welfare state”? Social regulation in utilities in Israel’, Social Policy and Administration, 51, 3, 442-463.</w:t>
      </w:r>
    </w:p>
    <w:p w:rsidR="0062685F" w:rsidRDefault="0062685F" w:rsidP="0062685F">
      <w:pPr>
        <w:spacing w:after="0" w:line="480" w:lineRule="auto"/>
        <w:ind w:left="777" w:hanging="720"/>
        <w:rPr>
          <w:rFonts w:eastAsia="Times New Roman" w:cs="Arial"/>
          <w:color w:val="222222"/>
          <w:lang w:eastAsia="en-GB"/>
        </w:rPr>
      </w:pPr>
      <w:r>
        <w:rPr>
          <w:rFonts w:ascii="Arial" w:hAnsi="Arial" w:cs="Arial"/>
          <w:color w:val="222222"/>
          <w:sz w:val="20"/>
          <w:szCs w:val="20"/>
          <w:shd w:val="clear" w:color="auto" w:fill="FFFFFF"/>
        </w:rPr>
        <w:t xml:space="preserve">Hansson, L. and J. Holmgren. 2011. ‘Bypassing public procurement regulation: A study of rationality in local </w:t>
      </w:r>
      <w:proofErr w:type="spellStart"/>
      <w:r>
        <w:rPr>
          <w:rFonts w:ascii="Arial" w:hAnsi="Arial" w:cs="Arial"/>
          <w:color w:val="222222"/>
          <w:sz w:val="20"/>
          <w:szCs w:val="20"/>
          <w:shd w:val="clear" w:color="auto" w:fill="FFFFFF"/>
        </w:rPr>
        <w:t>decisionmaking</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Regulation &amp; Governance</w:t>
      </w:r>
      <w:r>
        <w:rPr>
          <w:rFonts w:ascii="Arial" w:hAnsi="Arial" w:cs="Arial"/>
          <w:color w:val="222222"/>
          <w:sz w:val="20"/>
          <w:szCs w:val="20"/>
          <w:shd w:val="clear" w:color="auto" w:fill="FFFFFF"/>
        </w:rPr>
        <w:t> 5, 3, 368-385.</w:t>
      </w:r>
    </w:p>
    <w:p w:rsidR="0062685F" w:rsidRDefault="0062685F" w:rsidP="0062685F">
      <w:pPr>
        <w:spacing w:after="0" w:line="480" w:lineRule="auto"/>
        <w:ind w:left="777" w:hanging="720"/>
        <w:rPr>
          <w:rFonts w:eastAsia="Times New Roman" w:cs="Arial"/>
          <w:color w:val="222222"/>
          <w:lang w:eastAsia="en-GB"/>
        </w:rPr>
      </w:pPr>
      <w:proofErr w:type="spellStart"/>
      <w:r>
        <w:rPr>
          <w:rFonts w:ascii="Arial" w:hAnsi="Arial" w:cs="Arial"/>
          <w:color w:val="222222"/>
          <w:sz w:val="20"/>
          <w:szCs w:val="20"/>
          <w:shd w:val="clear" w:color="auto" w:fill="FFFFFF"/>
        </w:rPr>
        <w:t>Hantke-Domas</w:t>
      </w:r>
      <w:proofErr w:type="spellEnd"/>
      <w:r>
        <w:rPr>
          <w:rFonts w:ascii="Arial" w:hAnsi="Arial" w:cs="Arial"/>
          <w:color w:val="222222"/>
          <w:sz w:val="20"/>
          <w:szCs w:val="20"/>
          <w:shd w:val="clear" w:color="auto" w:fill="FFFFFF"/>
        </w:rPr>
        <w:t>, M. 2003. ‘The public interest theory of regulation: non-existence or misinterpretation?</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European journal of law and economics</w:t>
      </w:r>
      <w:r>
        <w:rPr>
          <w:rFonts w:ascii="Arial" w:hAnsi="Arial" w:cs="Arial"/>
          <w:color w:val="222222"/>
          <w:sz w:val="20"/>
          <w:szCs w:val="20"/>
          <w:shd w:val="clear" w:color="auto" w:fill="FFFFFF"/>
        </w:rPr>
        <w:t>, </w:t>
      </w:r>
      <w:r w:rsidRPr="00132A80">
        <w:rPr>
          <w:rFonts w:ascii="Arial" w:hAnsi="Arial" w:cs="Arial"/>
          <w:iCs/>
          <w:color w:val="222222"/>
          <w:sz w:val="20"/>
          <w:szCs w:val="20"/>
          <w:shd w:val="clear" w:color="auto" w:fill="FFFFFF"/>
        </w:rPr>
        <w:t>15</w:t>
      </w:r>
      <w:r>
        <w:rPr>
          <w:rFonts w:ascii="Arial" w:hAnsi="Arial" w:cs="Arial"/>
          <w:color w:val="222222"/>
          <w:sz w:val="20"/>
          <w:szCs w:val="20"/>
          <w:shd w:val="clear" w:color="auto" w:fill="FFFFFF"/>
        </w:rPr>
        <w:t>, 2, 165-194.</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Haufler</w:t>
      </w:r>
      <w:proofErr w:type="spellEnd"/>
      <w:r w:rsidRPr="008C342C">
        <w:rPr>
          <w:rFonts w:eastAsia="Times New Roman" w:cs="Arial"/>
          <w:color w:val="222222"/>
          <w:lang w:eastAsia="en-GB"/>
        </w:rPr>
        <w:t xml:space="preserve">, A. and I. </w:t>
      </w:r>
      <w:proofErr w:type="spellStart"/>
      <w:r w:rsidRPr="008C342C">
        <w:rPr>
          <w:rFonts w:eastAsia="Times New Roman" w:cs="Arial"/>
          <w:color w:val="222222"/>
          <w:lang w:eastAsia="en-GB"/>
        </w:rPr>
        <w:t>Wooton</w:t>
      </w:r>
      <w:proofErr w:type="spellEnd"/>
      <w:r w:rsidRPr="008C342C">
        <w:rPr>
          <w:rFonts w:eastAsia="Times New Roman" w:cs="Arial"/>
          <w:color w:val="222222"/>
          <w:lang w:eastAsia="en-GB"/>
        </w:rPr>
        <w:t xml:space="preserve">. 1999. ‘Country size and tax competition for foreign direct investment’, </w:t>
      </w:r>
      <w:r w:rsidRPr="008C342C">
        <w:rPr>
          <w:rFonts w:eastAsia="Times New Roman" w:cs="Arial"/>
          <w:i/>
          <w:color w:val="222222"/>
          <w:lang w:eastAsia="en-GB"/>
        </w:rPr>
        <w:t>Journal of Public Economics</w:t>
      </w:r>
      <w:r w:rsidRPr="008C342C">
        <w:rPr>
          <w:rFonts w:eastAsia="Times New Roman" w:cs="Arial"/>
          <w:color w:val="222222"/>
          <w:lang w:eastAsia="en-GB"/>
        </w:rPr>
        <w:t>, 71, 1, 121-139.</w:t>
      </w:r>
    </w:p>
    <w:p w:rsidR="0062685F" w:rsidRPr="00FE7FE9" w:rsidRDefault="0062685F" w:rsidP="0062685F">
      <w:pPr>
        <w:spacing w:after="0" w:line="480" w:lineRule="auto"/>
        <w:ind w:left="777" w:hanging="720"/>
        <w:rPr>
          <w:rFonts w:eastAsia="Times New Roman" w:cs="Arial"/>
          <w:color w:val="222222"/>
          <w:lang w:eastAsia="en-GB"/>
        </w:rPr>
      </w:pPr>
      <w:r w:rsidRPr="001F1463">
        <w:rPr>
          <w:rFonts w:eastAsia="Times New Roman" w:cs="Arial"/>
          <w:color w:val="222222"/>
          <w:lang w:eastAsia="en-GB"/>
        </w:rPr>
        <w:t>Housing, Communities, and Local Government Select Committee</w:t>
      </w:r>
      <w:r>
        <w:rPr>
          <w:rFonts w:eastAsia="Times New Roman" w:cs="Arial"/>
          <w:color w:val="222222"/>
          <w:lang w:eastAsia="en-GB"/>
        </w:rPr>
        <w:t xml:space="preserve">. 2018. </w:t>
      </w:r>
      <w:r>
        <w:rPr>
          <w:rFonts w:eastAsia="Times New Roman" w:cs="Arial"/>
          <w:i/>
          <w:color w:val="222222"/>
          <w:lang w:eastAsia="en-GB"/>
        </w:rPr>
        <w:t>Land Value Capture</w:t>
      </w:r>
      <w:r>
        <w:rPr>
          <w:rFonts w:eastAsia="Times New Roman" w:cs="Arial"/>
          <w:color w:val="222222"/>
          <w:lang w:eastAsia="en-GB"/>
        </w:rPr>
        <w:t>. London: House of Commons Library.</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Hefetz</w:t>
      </w:r>
      <w:proofErr w:type="spellEnd"/>
      <w:r w:rsidRPr="008C342C">
        <w:rPr>
          <w:rFonts w:eastAsia="Times New Roman" w:cs="Arial"/>
          <w:color w:val="222222"/>
          <w:lang w:eastAsia="en-GB"/>
        </w:rPr>
        <w:t xml:space="preserve">, A. and M. Warner. 2004. ‘Privatization and its reverse: Explaining the dynamics of the government contracting process’, </w:t>
      </w:r>
      <w:r w:rsidRPr="008C342C">
        <w:rPr>
          <w:rFonts w:eastAsia="Times New Roman" w:cs="Arial"/>
          <w:i/>
          <w:color w:val="222222"/>
          <w:lang w:eastAsia="en-GB"/>
        </w:rPr>
        <w:t>Journal of Public Administration Research and Theory</w:t>
      </w:r>
      <w:r w:rsidRPr="008C342C">
        <w:rPr>
          <w:rFonts w:eastAsia="Times New Roman" w:cs="Arial"/>
          <w:color w:val="222222"/>
          <w:lang w:eastAsia="en-GB"/>
        </w:rPr>
        <w:t>, 14, 2, 171-190.</w:t>
      </w:r>
    </w:p>
    <w:p w:rsidR="0062685F" w:rsidRDefault="0062685F" w:rsidP="0062685F">
      <w:pPr>
        <w:spacing w:after="0" w:line="480" w:lineRule="auto"/>
        <w:ind w:left="777" w:hanging="720"/>
        <w:rPr>
          <w:rFonts w:eastAsia="Times New Roman" w:cs="Arial"/>
          <w:color w:val="222222"/>
          <w:lang w:eastAsia="en-GB"/>
        </w:rPr>
      </w:pPr>
      <w:proofErr w:type="spellStart"/>
      <w:r w:rsidRPr="00916D98">
        <w:rPr>
          <w:rFonts w:eastAsia="Times New Roman" w:cs="Arial"/>
          <w:color w:val="222222"/>
          <w:lang w:eastAsia="en-GB"/>
        </w:rPr>
        <w:t>Heims</w:t>
      </w:r>
      <w:proofErr w:type="spellEnd"/>
      <w:r w:rsidRPr="00916D98">
        <w:rPr>
          <w:rFonts w:eastAsia="Times New Roman" w:cs="Arial"/>
          <w:color w:val="222222"/>
          <w:lang w:eastAsia="en-GB"/>
        </w:rPr>
        <w:t>, E. 2015. ‘Explaining coordination between national regulators in EU agencies: The role of formal and informal social organisation’, Public Administration, 94, 4, 881-896.</w:t>
      </w:r>
    </w:p>
    <w:p w:rsidR="0062685F" w:rsidRDefault="0062685F" w:rsidP="0062685F">
      <w:pPr>
        <w:spacing w:after="0" w:line="480" w:lineRule="auto"/>
        <w:ind w:left="777" w:hanging="720"/>
        <w:rPr>
          <w:rFonts w:eastAsia="Times New Roman" w:cs="Arial"/>
          <w:color w:val="222222"/>
          <w:lang w:eastAsia="en-GB"/>
        </w:rPr>
      </w:pPr>
      <w:proofErr w:type="spellStart"/>
      <w:r>
        <w:rPr>
          <w:rFonts w:ascii="Arial" w:hAnsi="Arial" w:cs="Arial"/>
          <w:color w:val="222222"/>
          <w:sz w:val="20"/>
          <w:szCs w:val="20"/>
          <w:shd w:val="clear" w:color="auto" w:fill="FFFFFF"/>
        </w:rPr>
        <w:t>Heims</w:t>
      </w:r>
      <w:proofErr w:type="spellEnd"/>
      <w:r>
        <w:rPr>
          <w:rFonts w:ascii="Arial" w:hAnsi="Arial" w:cs="Arial"/>
          <w:color w:val="222222"/>
          <w:sz w:val="20"/>
          <w:szCs w:val="20"/>
          <w:shd w:val="clear" w:color="auto" w:fill="FFFFFF"/>
        </w:rPr>
        <w:t>, E. 2017. ‘Regulatory co-ordination in the EU: A cross-sector comparison’, </w:t>
      </w:r>
      <w:r>
        <w:rPr>
          <w:rFonts w:ascii="Arial" w:hAnsi="Arial" w:cs="Arial"/>
          <w:i/>
          <w:iCs/>
          <w:color w:val="222222"/>
          <w:sz w:val="20"/>
          <w:szCs w:val="20"/>
          <w:shd w:val="clear" w:color="auto" w:fill="FFFFFF"/>
        </w:rPr>
        <w:t>Journal of European Public Policy</w:t>
      </w:r>
      <w:r>
        <w:rPr>
          <w:rFonts w:ascii="Arial" w:hAnsi="Arial" w:cs="Arial"/>
          <w:color w:val="222222"/>
          <w:sz w:val="20"/>
          <w:szCs w:val="20"/>
          <w:shd w:val="clear" w:color="auto" w:fill="FFFFFF"/>
        </w:rPr>
        <w:t>, </w:t>
      </w:r>
      <w:r w:rsidRPr="00EF4D75">
        <w:rPr>
          <w:rFonts w:ascii="Arial" w:hAnsi="Arial" w:cs="Arial"/>
          <w:iCs/>
          <w:color w:val="222222"/>
          <w:sz w:val="20"/>
          <w:szCs w:val="20"/>
          <w:shd w:val="clear" w:color="auto" w:fill="FFFFFF"/>
        </w:rPr>
        <w:t>24</w:t>
      </w:r>
      <w:r>
        <w:rPr>
          <w:rFonts w:ascii="Arial" w:hAnsi="Arial" w:cs="Arial"/>
          <w:color w:val="222222"/>
          <w:sz w:val="20"/>
          <w:szCs w:val="20"/>
          <w:shd w:val="clear" w:color="auto" w:fill="FFFFFF"/>
        </w:rPr>
        <w:t>, 8, 1116-1134.</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Hirsch, W. 1995. ‘Contracting out by urban governments’, </w:t>
      </w:r>
      <w:r w:rsidRPr="008C342C">
        <w:rPr>
          <w:rFonts w:eastAsia="Times New Roman" w:cs="Arial"/>
          <w:i/>
          <w:color w:val="222222"/>
          <w:lang w:eastAsia="en-GB"/>
        </w:rPr>
        <w:t>Urban Affairs Quarterly</w:t>
      </w:r>
      <w:r w:rsidRPr="008C342C">
        <w:rPr>
          <w:rFonts w:eastAsia="Times New Roman" w:cs="Arial"/>
          <w:color w:val="222222"/>
          <w:lang w:eastAsia="en-GB"/>
        </w:rPr>
        <w:t>, 30, 3, 458-472.</w:t>
      </w:r>
    </w:p>
    <w:p w:rsidR="002A0346" w:rsidRDefault="002A0346" w:rsidP="0062685F">
      <w:pPr>
        <w:spacing w:after="0" w:line="480" w:lineRule="auto"/>
        <w:ind w:left="777" w:hanging="720"/>
        <w:rPr>
          <w:rFonts w:eastAsia="Times New Roman" w:cs="Arial"/>
          <w:color w:val="222222"/>
          <w:lang w:eastAsia="en-GB"/>
        </w:rPr>
      </w:pPr>
      <w:proofErr w:type="spellStart"/>
      <w:r w:rsidRPr="002A0346">
        <w:rPr>
          <w:rFonts w:eastAsia="Times New Roman" w:cs="Arial"/>
          <w:color w:val="222222"/>
          <w:lang w:eastAsia="en-GB"/>
        </w:rPr>
        <w:t>Hoolachan</w:t>
      </w:r>
      <w:proofErr w:type="spellEnd"/>
      <w:r w:rsidRPr="002A0346">
        <w:rPr>
          <w:rFonts w:eastAsia="Times New Roman" w:cs="Arial"/>
          <w:color w:val="222222"/>
          <w:lang w:eastAsia="en-GB"/>
        </w:rPr>
        <w:t>, J.</w:t>
      </w:r>
      <w:r>
        <w:rPr>
          <w:rFonts w:eastAsia="Times New Roman" w:cs="Arial"/>
          <w:color w:val="222222"/>
          <w:lang w:eastAsia="en-GB"/>
        </w:rPr>
        <w:t xml:space="preserve"> and K.</w:t>
      </w:r>
      <w:r w:rsidRPr="002A0346">
        <w:rPr>
          <w:rFonts w:eastAsia="Times New Roman" w:cs="Arial"/>
          <w:color w:val="222222"/>
          <w:lang w:eastAsia="en-GB"/>
        </w:rPr>
        <w:t xml:space="preserve"> McKee</w:t>
      </w:r>
      <w:r>
        <w:rPr>
          <w:rFonts w:eastAsia="Times New Roman" w:cs="Arial"/>
          <w:color w:val="222222"/>
          <w:lang w:eastAsia="en-GB"/>
        </w:rPr>
        <w:t>. 2019</w:t>
      </w:r>
      <w:r w:rsidRPr="002A0346">
        <w:rPr>
          <w:rFonts w:eastAsia="Times New Roman" w:cs="Arial"/>
          <w:color w:val="222222"/>
          <w:lang w:eastAsia="en-GB"/>
        </w:rPr>
        <w:t xml:space="preserve">. </w:t>
      </w:r>
      <w:r>
        <w:rPr>
          <w:rFonts w:eastAsia="Times New Roman" w:cs="Arial"/>
          <w:color w:val="222222"/>
          <w:lang w:eastAsia="en-GB"/>
        </w:rPr>
        <w:t>‘</w:t>
      </w:r>
      <w:r w:rsidRPr="002A0346">
        <w:rPr>
          <w:rFonts w:eastAsia="Times New Roman" w:cs="Arial"/>
          <w:color w:val="222222"/>
          <w:lang w:eastAsia="en-GB"/>
        </w:rPr>
        <w:t>Inter-generational housing inequalities:</w:t>
      </w:r>
      <w:r>
        <w:rPr>
          <w:rFonts w:eastAsia="Times New Roman" w:cs="Arial"/>
          <w:color w:val="222222"/>
          <w:lang w:eastAsia="en-GB"/>
        </w:rPr>
        <w:t xml:space="preserve"> “</w:t>
      </w:r>
      <w:r w:rsidRPr="002A0346">
        <w:rPr>
          <w:rFonts w:eastAsia="Times New Roman" w:cs="Arial"/>
          <w:color w:val="222222"/>
          <w:lang w:eastAsia="en-GB"/>
        </w:rPr>
        <w:t>Baby Boomers</w:t>
      </w:r>
      <w:r>
        <w:rPr>
          <w:rFonts w:eastAsia="Times New Roman" w:cs="Arial"/>
          <w:color w:val="222222"/>
          <w:lang w:eastAsia="en-GB"/>
        </w:rPr>
        <w:t>”</w:t>
      </w:r>
      <w:r w:rsidRPr="002A0346">
        <w:rPr>
          <w:rFonts w:eastAsia="Times New Roman" w:cs="Arial"/>
          <w:color w:val="222222"/>
          <w:lang w:eastAsia="en-GB"/>
        </w:rPr>
        <w:t xml:space="preserve"> versus the </w:t>
      </w:r>
      <w:r>
        <w:rPr>
          <w:rFonts w:eastAsia="Times New Roman" w:cs="Arial"/>
          <w:color w:val="222222"/>
          <w:lang w:eastAsia="en-GB"/>
        </w:rPr>
        <w:t>“</w:t>
      </w:r>
      <w:r w:rsidRPr="002A0346">
        <w:rPr>
          <w:rFonts w:eastAsia="Times New Roman" w:cs="Arial"/>
          <w:color w:val="222222"/>
          <w:lang w:eastAsia="en-GB"/>
        </w:rPr>
        <w:t>Millennials</w:t>
      </w:r>
      <w:r>
        <w:rPr>
          <w:rFonts w:eastAsia="Times New Roman" w:cs="Arial"/>
          <w:color w:val="222222"/>
          <w:lang w:eastAsia="en-GB"/>
        </w:rPr>
        <w:t xml:space="preserve">”’, </w:t>
      </w:r>
      <w:r w:rsidRPr="002A0346">
        <w:rPr>
          <w:rFonts w:eastAsia="Times New Roman" w:cs="Arial"/>
          <w:i/>
          <w:color w:val="222222"/>
          <w:lang w:eastAsia="en-GB"/>
        </w:rPr>
        <w:t>Urban Studies</w:t>
      </w:r>
      <w:r w:rsidRPr="002A0346">
        <w:rPr>
          <w:rFonts w:eastAsia="Times New Roman" w:cs="Arial"/>
          <w:color w:val="222222"/>
          <w:lang w:eastAsia="en-GB"/>
        </w:rPr>
        <w:t>, 56</w:t>
      </w:r>
      <w:r>
        <w:rPr>
          <w:rFonts w:eastAsia="Times New Roman" w:cs="Arial"/>
          <w:color w:val="222222"/>
          <w:lang w:eastAsia="en-GB"/>
        </w:rPr>
        <w:t>, 1</w:t>
      </w:r>
      <w:r w:rsidRPr="002A0346">
        <w:rPr>
          <w:rFonts w:eastAsia="Times New Roman" w:cs="Arial"/>
          <w:color w:val="222222"/>
          <w:lang w:eastAsia="en-GB"/>
        </w:rPr>
        <w:t>, 210-225.</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Huber, E. and J. Stephens. 2001. ‘Welfare state and production regimes in an era of retrenchment’. In P. Pierson (</w:t>
      </w:r>
      <w:proofErr w:type="spellStart"/>
      <w:proofErr w:type="gramStart"/>
      <w:r w:rsidRPr="008C342C">
        <w:rPr>
          <w:rFonts w:eastAsia="Times New Roman" w:cs="Arial"/>
          <w:color w:val="222222"/>
          <w:lang w:eastAsia="en-GB"/>
        </w:rPr>
        <w:t>ed</w:t>
      </w:r>
      <w:proofErr w:type="spellEnd"/>
      <w:proofErr w:type="gramEnd"/>
      <w:r w:rsidRPr="008C342C">
        <w:rPr>
          <w:rFonts w:eastAsia="Times New Roman" w:cs="Arial"/>
          <w:color w:val="222222"/>
          <w:lang w:eastAsia="en-GB"/>
        </w:rPr>
        <w:t xml:space="preserve">) </w:t>
      </w:r>
      <w:r w:rsidRPr="008C342C">
        <w:rPr>
          <w:rFonts w:eastAsia="Times New Roman" w:cs="Arial"/>
          <w:i/>
          <w:color w:val="222222"/>
          <w:lang w:eastAsia="en-GB"/>
        </w:rPr>
        <w:t>The New Politics of the Welfare State</w:t>
      </w:r>
      <w:r w:rsidRPr="008C342C">
        <w:rPr>
          <w:rFonts w:eastAsia="Times New Roman" w:cs="Arial"/>
          <w:color w:val="222222"/>
          <w:lang w:eastAsia="en-GB"/>
        </w:rPr>
        <w:t>. Oxford: University Press, 107-145.</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lastRenderedPageBreak/>
        <w:t>Imrie</w:t>
      </w:r>
      <w:proofErr w:type="spellEnd"/>
      <w:r w:rsidRPr="008C342C">
        <w:rPr>
          <w:rFonts w:eastAsia="Times New Roman" w:cs="Arial"/>
          <w:color w:val="222222"/>
          <w:lang w:eastAsia="en-GB"/>
        </w:rPr>
        <w:t xml:space="preserve">, R. and M. </w:t>
      </w:r>
      <w:proofErr w:type="spellStart"/>
      <w:r w:rsidRPr="008C342C">
        <w:rPr>
          <w:rFonts w:eastAsia="Times New Roman" w:cs="Arial"/>
          <w:color w:val="222222"/>
          <w:lang w:eastAsia="en-GB"/>
        </w:rPr>
        <w:t>Raco</w:t>
      </w:r>
      <w:proofErr w:type="spellEnd"/>
      <w:r w:rsidRPr="008C342C">
        <w:rPr>
          <w:rFonts w:eastAsia="Times New Roman" w:cs="Arial"/>
          <w:color w:val="222222"/>
          <w:lang w:eastAsia="en-GB"/>
        </w:rPr>
        <w:t xml:space="preserve">. 1999. ‘How new is the new local governance? Lessons from the United Kingdom’, </w:t>
      </w:r>
      <w:r w:rsidRPr="008C342C">
        <w:rPr>
          <w:rFonts w:eastAsia="Times New Roman" w:cs="Arial"/>
          <w:i/>
          <w:color w:val="222222"/>
          <w:lang w:eastAsia="en-GB"/>
        </w:rPr>
        <w:t>Transactions of the Institute of British Geographers</w:t>
      </w:r>
      <w:r w:rsidRPr="008C342C">
        <w:rPr>
          <w:rFonts w:eastAsia="Times New Roman" w:cs="Arial"/>
          <w:color w:val="222222"/>
          <w:lang w:eastAsia="en-GB"/>
        </w:rPr>
        <w:t>, 24, 1, 45-63.</w:t>
      </w:r>
    </w:p>
    <w:p w:rsidR="00B75312" w:rsidRDefault="00B75312" w:rsidP="0062685F">
      <w:pPr>
        <w:spacing w:after="0" w:line="480" w:lineRule="auto"/>
        <w:ind w:left="777" w:hanging="720"/>
        <w:rPr>
          <w:rFonts w:eastAsia="Times New Roman" w:cs="Arial"/>
          <w:color w:val="222222"/>
          <w:lang w:eastAsia="en-GB"/>
        </w:rPr>
      </w:pPr>
      <w:r w:rsidRPr="00B75312">
        <w:rPr>
          <w:rFonts w:eastAsia="Times New Roman" w:cs="Arial"/>
          <w:color w:val="222222"/>
          <w:lang w:eastAsia="en-GB"/>
        </w:rPr>
        <w:t xml:space="preserve">Jacobs, K. and </w:t>
      </w:r>
      <w:r w:rsidR="0019017F">
        <w:rPr>
          <w:rFonts w:eastAsia="Times New Roman" w:cs="Arial"/>
          <w:color w:val="222222"/>
          <w:lang w:eastAsia="en-GB"/>
        </w:rPr>
        <w:t xml:space="preserve">T. </w:t>
      </w:r>
      <w:proofErr w:type="spellStart"/>
      <w:r w:rsidRPr="00B75312">
        <w:rPr>
          <w:rFonts w:eastAsia="Times New Roman" w:cs="Arial"/>
          <w:color w:val="222222"/>
          <w:lang w:eastAsia="en-GB"/>
        </w:rPr>
        <w:t>Manzi</w:t>
      </w:r>
      <w:proofErr w:type="spellEnd"/>
      <w:r w:rsidR="0019017F">
        <w:rPr>
          <w:rFonts w:eastAsia="Times New Roman" w:cs="Arial"/>
          <w:color w:val="222222"/>
          <w:lang w:eastAsia="en-GB"/>
        </w:rPr>
        <w:t>.</w:t>
      </w:r>
      <w:r w:rsidRPr="00B75312">
        <w:rPr>
          <w:rFonts w:eastAsia="Times New Roman" w:cs="Arial"/>
          <w:color w:val="222222"/>
          <w:lang w:eastAsia="en-GB"/>
        </w:rPr>
        <w:t xml:space="preserve"> 2017. </w:t>
      </w:r>
      <w:r w:rsidR="0019017F">
        <w:rPr>
          <w:rFonts w:eastAsia="Times New Roman" w:cs="Arial"/>
          <w:color w:val="222222"/>
          <w:lang w:eastAsia="en-GB"/>
        </w:rPr>
        <w:t>‘“</w:t>
      </w:r>
      <w:r w:rsidRPr="00B75312">
        <w:rPr>
          <w:rFonts w:eastAsia="Times New Roman" w:cs="Arial"/>
          <w:color w:val="222222"/>
          <w:lang w:eastAsia="en-GB"/>
        </w:rPr>
        <w:t>The party’s over</w:t>
      </w:r>
      <w:r w:rsidR="0019017F">
        <w:rPr>
          <w:rFonts w:eastAsia="Times New Roman" w:cs="Arial"/>
          <w:color w:val="222222"/>
          <w:lang w:eastAsia="en-GB"/>
        </w:rPr>
        <w:t>”</w:t>
      </w:r>
      <w:r w:rsidRPr="00B75312">
        <w:rPr>
          <w:rFonts w:eastAsia="Times New Roman" w:cs="Arial"/>
          <w:color w:val="222222"/>
          <w:lang w:eastAsia="en-GB"/>
        </w:rPr>
        <w:t>: critical junctures, crises and the politics of housing policy</w:t>
      </w:r>
      <w:r w:rsidR="0019017F">
        <w:rPr>
          <w:rFonts w:eastAsia="Times New Roman" w:cs="Arial"/>
          <w:color w:val="222222"/>
          <w:lang w:eastAsia="en-GB"/>
        </w:rPr>
        <w:t>’,</w:t>
      </w:r>
      <w:r w:rsidRPr="00B75312">
        <w:rPr>
          <w:rFonts w:eastAsia="Times New Roman" w:cs="Arial"/>
          <w:color w:val="222222"/>
          <w:lang w:eastAsia="en-GB"/>
        </w:rPr>
        <w:t xml:space="preserve"> </w:t>
      </w:r>
      <w:r w:rsidRPr="0019017F">
        <w:rPr>
          <w:rFonts w:eastAsia="Times New Roman" w:cs="Arial"/>
          <w:i/>
          <w:color w:val="222222"/>
          <w:lang w:eastAsia="en-GB"/>
        </w:rPr>
        <w:t xml:space="preserve">Housing </w:t>
      </w:r>
      <w:r w:rsidR="0019017F">
        <w:rPr>
          <w:rFonts w:eastAsia="Times New Roman" w:cs="Arial"/>
          <w:i/>
          <w:color w:val="222222"/>
          <w:lang w:eastAsia="en-GB"/>
        </w:rPr>
        <w:t>S</w:t>
      </w:r>
      <w:r w:rsidRPr="0019017F">
        <w:rPr>
          <w:rFonts w:eastAsia="Times New Roman" w:cs="Arial"/>
          <w:i/>
          <w:color w:val="222222"/>
          <w:lang w:eastAsia="en-GB"/>
        </w:rPr>
        <w:t>tudies</w:t>
      </w:r>
      <w:r w:rsidRPr="00B75312">
        <w:rPr>
          <w:rFonts w:eastAsia="Times New Roman" w:cs="Arial"/>
          <w:color w:val="222222"/>
          <w:lang w:eastAsia="en-GB"/>
        </w:rPr>
        <w:t>, 32</w:t>
      </w:r>
      <w:r w:rsidR="0019017F">
        <w:rPr>
          <w:rFonts w:eastAsia="Times New Roman" w:cs="Arial"/>
          <w:color w:val="222222"/>
          <w:lang w:eastAsia="en-GB"/>
        </w:rPr>
        <w:t xml:space="preserve">, </w:t>
      </w:r>
      <w:r w:rsidRPr="00B75312">
        <w:rPr>
          <w:rFonts w:eastAsia="Times New Roman" w:cs="Arial"/>
          <w:color w:val="222222"/>
          <w:lang w:eastAsia="en-GB"/>
        </w:rPr>
        <w:t>1</w:t>
      </w:r>
      <w:r w:rsidR="0019017F">
        <w:rPr>
          <w:rFonts w:eastAsia="Times New Roman" w:cs="Arial"/>
          <w:color w:val="222222"/>
          <w:lang w:eastAsia="en-GB"/>
        </w:rPr>
        <w:t xml:space="preserve">, </w:t>
      </w:r>
      <w:r w:rsidRPr="00B75312">
        <w:rPr>
          <w:rFonts w:eastAsia="Times New Roman" w:cs="Arial"/>
          <w:color w:val="222222"/>
          <w:lang w:eastAsia="en-GB"/>
        </w:rPr>
        <w:t>17-34.</w:t>
      </w:r>
    </w:p>
    <w:p w:rsidR="0062685F" w:rsidRPr="008C342C" w:rsidRDefault="004627B5" w:rsidP="0062685F">
      <w:pPr>
        <w:spacing w:after="0" w:line="480" w:lineRule="auto"/>
        <w:ind w:left="777" w:hanging="720"/>
        <w:rPr>
          <w:rFonts w:eastAsia="Times New Roman" w:cs="Arial"/>
          <w:color w:val="222222"/>
          <w:lang w:eastAsia="en-GB"/>
        </w:rPr>
      </w:pPr>
      <w:proofErr w:type="spellStart"/>
      <w:r>
        <w:rPr>
          <w:rFonts w:eastAsia="Times New Roman" w:cs="Arial"/>
          <w:color w:val="222222"/>
          <w:lang w:eastAsia="en-GB"/>
        </w:rPr>
        <w:t>Jayasuriya</w:t>
      </w:r>
      <w:proofErr w:type="spellEnd"/>
      <w:r>
        <w:rPr>
          <w:rFonts w:eastAsia="Times New Roman" w:cs="Arial"/>
          <w:color w:val="222222"/>
          <w:lang w:eastAsia="en-GB"/>
        </w:rPr>
        <w:t>, K</w:t>
      </w:r>
      <w:r w:rsidR="0062685F" w:rsidRPr="008C342C">
        <w:rPr>
          <w:rFonts w:eastAsia="Times New Roman" w:cs="Arial"/>
          <w:color w:val="222222"/>
          <w:lang w:eastAsia="en-GB"/>
        </w:rPr>
        <w:t xml:space="preserve">. 2009. ‘Regulatory regionalism in the Asia-Pacific: drivers, instruments and actors’, </w:t>
      </w:r>
      <w:r w:rsidR="0062685F" w:rsidRPr="008C342C">
        <w:rPr>
          <w:rFonts w:eastAsia="Times New Roman" w:cs="Arial"/>
          <w:i/>
          <w:color w:val="222222"/>
          <w:lang w:eastAsia="en-GB"/>
        </w:rPr>
        <w:t>Australian Journal of International Affairs</w:t>
      </w:r>
      <w:r w:rsidR="0062685F" w:rsidRPr="008C342C">
        <w:rPr>
          <w:rFonts w:eastAsia="Times New Roman" w:cs="Arial"/>
          <w:color w:val="222222"/>
          <w:lang w:eastAsia="en-GB"/>
        </w:rPr>
        <w:t>, 63, 3, 335-347.</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John, P. 2014. ‘The great survivor: The persistence and resilience of English local government’, </w:t>
      </w:r>
      <w:r w:rsidRPr="008C342C">
        <w:rPr>
          <w:rFonts w:eastAsia="Times New Roman" w:cs="Arial"/>
          <w:i/>
          <w:color w:val="222222"/>
          <w:lang w:eastAsia="en-GB"/>
        </w:rPr>
        <w:t>Local Government Studies</w:t>
      </w:r>
      <w:r w:rsidRPr="008C342C">
        <w:rPr>
          <w:rFonts w:eastAsia="Times New Roman" w:cs="Arial"/>
          <w:color w:val="222222"/>
          <w:lang w:eastAsia="en-GB"/>
        </w:rPr>
        <w:t>, 40, 5, 687-704.</w:t>
      </w:r>
    </w:p>
    <w:p w:rsidR="0062685F" w:rsidRDefault="0062685F" w:rsidP="0062685F">
      <w:pPr>
        <w:spacing w:after="0" w:line="480" w:lineRule="auto"/>
        <w:ind w:left="777" w:hanging="720"/>
        <w:rPr>
          <w:rFonts w:eastAsia="Times New Roman" w:cs="Arial"/>
          <w:color w:val="222222"/>
          <w:lang w:eastAsia="en-GB"/>
        </w:rPr>
      </w:pPr>
      <w:r w:rsidRPr="00297CC5">
        <w:rPr>
          <w:rFonts w:eastAsia="Times New Roman" w:cs="Arial"/>
          <w:color w:val="222222"/>
          <w:lang w:eastAsia="en-GB"/>
        </w:rPr>
        <w:t xml:space="preserve">Jonas, A. and R. </w:t>
      </w:r>
      <w:proofErr w:type="spellStart"/>
      <w:r w:rsidRPr="00297CC5">
        <w:rPr>
          <w:rFonts w:eastAsia="Times New Roman" w:cs="Arial"/>
          <w:color w:val="222222"/>
          <w:lang w:eastAsia="en-GB"/>
        </w:rPr>
        <w:t>Pincetl</w:t>
      </w:r>
      <w:proofErr w:type="spellEnd"/>
      <w:r w:rsidRPr="00297CC5">
        <w:rPr>
          <w:rFonts w:eastAsia="Times New Roman" w:cs="Arial"/>
          <w:color w:val="222222"/>
          <w:lang w:eastAsia="en-GB"/>
        </w:rPr>
        <w:t xml:space="preserve">. 2006. ‘Rescaling regions in the state’, </w:t>
      </w:r>
      <w:r w:rsidRPr="00297CC5">
        <w:rPr>
          <w:rFonts w:eastAsia="Times New Roman" w:cs="Arial"/>
          <w:i/>
          <w:color w:val="222222"/>
          <w:lang w:eastAsia="en-GB"/>
        </w:rPr>
        <w:t>Political Geography</w:t>
      </w:r>
      <w:r w:rsidRPr="00297CC5">
        <w:rPr>
          <w:rFonts w:eastAsia="Times New Roman" w:cs="Arial"/>
          <w:color w:val="222222"/>
          <w:lang w:eastAsia="en-GB"/>
        </w:rPr>
        <w:t>, 25, 5, 482-505.</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Jordana</w:t>
      </w:r>
      <w:proofErr w:type="spellEnd"/>
      <w:r w:rsidRPr="008C342C">
        <w:rPr>
          <w:rFonts w:eastAsia="Times New Roman" w:cs="Arial"/>
          <w:color w:val="222222"/>
          <w:lang w:eastAsia="en-GB"/>
        </w:rPr>
        <w:t>, J. and D. Levi-</w:t>
      </w:r>
      <w:proofErr w:type="spellStart"/>
      <w:r w:rsidRPr="008C342C">
        <w:rPr>
          <w:rFonts w:eastAsia="Times New Roman" w:cs="Arial"/>
          <w:color w:val="222222"/>
          <w:lang w:eastAsia="en-GB"/>
        </w:rPr>
        <w:t>Faur</w:t>
      </w:r>
      <w:proofErr w:type="spellEnd"/>
      <w:r w:rsidRPr="008C342C">
        <w:rPr>
          <w:rFonts w:eastAsia="Times New Roman" w:cs="Arial"/>
          <w:color w:val="222222"/>
          <w:lang w:eastAsia="en-GB"/>
        </w:rPr>
        <w:t xml:space="preserve">. 2005. ‘The diffusion of regulatory capitalism in Latin America: Sectoral and national channels in the making of a new order’, </w:t>
      </w:r>
      <w:r w:rsidRPr="008C342C">
        <w:rPr>
          <w:rFonts w:eastAsia="Times New Roman" w:cs="Arial"/>
          <w:i/>
          <w:color w:val="222222"/>
          <w:lang w:eastAsia="en-GB"/>
        </w:rPr>
        <w:t>Annals of the American Academy of Political and Social Science</w:t>
      </w:r>
      <w:r w:rsidRPr="008C342C">
        <w:rPr>
          <w:rFonts w:eastAsia="Times New Roman" w:cs="Arial"/>
          <w:color w:val="222222"/>
          <w:lang w:eastAsia="en-GB"/>
        </w:rPr>
        <w:t>, 598, 1, 102-124.</w:t>
      </w:r>
    </w:p>
    <w:p w:rsidR="0062685F" w:rsidRDefault="0062685F" w:rsidP="0062685F">
      <w:pPr>
        <w:spacing w:after="0" w:line="480" w:lineRule="auto"/>
        <w:ind w:left="777" w:hanging="720"/>
        <w:rPr>
          <w:rFonts w:eastAsia="Times New Roman" w:cs="Arial"/>
          <w:color w:val="222222"/>
          <w:lang w:eastAsia="en-GB"/>
        </w:rPr>
      </w:pPr>
      <w:proofErr w:type="spellStart"/>
      <w:r>
        <w:rPr>
          <w:rFonts w:ascii="Arial" w:hAnsi="Arial" w:cs="Arial"/>
          <w:color w:val="222222"/>
          <w:sz w:val="20"/>
          <w:szCs w:val="20"/>
          <w:shd w:val="clear" w:color="auto" w:fill="FFFFFF"/>
        </w:rPr>
        <w:t>Jordana</w:t>
      </w:r>
      <w:proofErr w:type="spellEnd"/>
      <w:r>
        <w:rPr>
          <w:rFonts w:ascii="Arial" w:hAnsi="Arial" w:cs="Arial"/>
          <w:color w:val="222222"/>
          <w:sz w:val="20"/>
          <w:szCs w:val="20"/>
          <w:shd w:val="clear" w:color="auto" w:fill="FFFFFF"/>
        </w:rPr>
        <w:t xml:space="preserve">, J., X. </w:t>
      </w:r>
      <w:proofErr w:type="spellStart"/>
      <w:r>
        <w:rPr>
          <w:rFonts w:ascii="Arial" w:hAnsi="Arial" w:cs="Arial"/>
          <w:color w:val="222222"/>
          <w:sz w:val="20"/>
          <w:szCs w:val="20"/>
          <w:shd w:val="clear" w:color="auto" w:fill="FFFFFF"/>
        </w:rPr>
        <w:t>Fernández</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i</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Marín</w:t>
      </w:r>
      <w:proofErr w:type="spellEnd"/>
      <w:r>
        <w:rPr>
          <w:rFonts w:ascii="Arial" w:hAnsi="Arial" w:cs="Arial"/>
          <w:color w:val="222222"/>
          <w:sz w:val="20"/>
          <w:szCs w:val="20"/>
          <w:shd w:val="clear" w:color="auto" w:fill="FFFFFF"/>
        </w:rPr>
        <w:t xml:space="preserve">, and A. </w:t>
      </w:r>
      <w:proofErr w:type="spellStart"/>
      <w:r>
        <w:rPr>
          <w:rFonts w:ascii="Arial" w:hAnsi="Arial" w:cs="Arial"/>
          <w:color w:val="222222"/>
          <w:sz w:val="20"/>
          <w:szCs w:val="20"/>
          <w:shd w:val="clear" w:color="auto" w:fill="FFFFFF"/>
        </w:rPr>
        <w:t>Bianculli</w:t>
      </w:r>
      <w:proofErr w:type="spellEnd"/>
      <w:r>
        <w:rPr>
          <w:rFonts w:ascii="Arial" w:hAnsi="Arial" w:cs="Arial"/>
          <w:color w:val="222222"/>
          <w:sz w:val="20"/>
          <w:szCs w:val="20"/>
          <w:shd w:val="clear" w:color="auto" w:fill="FFFFFF"/>
        </w:rPr>
        <w:t>. 2018. ‘Agency proliferation and the globalization of the regulatory state: Introducing a data set on the institutional features of regulatory agencies’, </w:t>
      </w:r>
      <w:r>
        <w:rPr>
          <w:rFonts w:ascii="Arial" w:hAnsi="Arial" w:cs="Arial"/>
          <w:i/>
          <w:iCs/>
          <w:color w:val="222222"/>
          <w:sz w:val="20"/>
          <w:szCs w:val="20"/>
          <w:shd w:val="clear" w:color="auto" w:fill="FFFFFF"/>
        </w:rPr>
        <w:t>Regulation &amp; Governance</w:t>
      </w:r>
      <w:r>
        <w:rPr>
          <w:rFonts w:ascii="Arial" w:hAnsi="Arial" w:cs="Arial"/>
          <w:color w:val="222222"/>
          <w:sz w:val="20"/>
          <w:szCs w:val="20"/>
          <w:shd w:val="clear" w:color="auto" w:fill="FFFFFF"/>
        </w:rPr>
        <w:t>, </w:t>
      </w:r>
      <w:r w:rsidRPr="00244AEB">
        <w:rPr>
          <w:rFonts w:ascii="Arial" w:hAnsi="Arial" w:cs="Arial"/>
          <w:iCs/>
          <w:color w:val="222222"/>
          <w:sz w:val="20"/>
          <w:szCs w:val="20"/>
          <w:shd w:val="clear" w:color="auto" w:fill="FFFFFF"/>
        </w:rPr>
        <w:t>12</w:t>
      </w:r>
      <w:r>
        <w:rPr>
          <w:rFonts w:ascii="Arial" w:hAnsi="Arial" w:cs="Arial"/>
          <w:color w:val="222222"/>
          <w:sz w:val="20"/>
          <w:szCs w:val="20"/>
          <w:shd w:val="clear" w:color="auto" w:fill="FFFFFF"/>
        </w:rPr>
        <w:t>, 4, 524-540.</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Kittel, B. and H. </w:t>
      </w:r>
      <w:proofErr w:type="spellStart"/>
      <w:r w:rsidRPr="008C342C">
        <w:rPr>
          <w:rFonts w:eastAsia="Times New Roman" w:cs="Arial"/>
          <w:color w:val="222222"/>
          <w:lang w:eastAsia="en-GB"/>
        </w:rPr>
        <w:t>Obinger</w:t>
      </w:r>
      <w:proofErr w:type="spellEnd"/>
      <w:r w:rsidRPr="008C342C">
        <w:rPr>
          <w:rFonts w:eastAsia="Times New Roman" w:cs="Arial"/>
          <w:color w:val="222222"/>
          <w:lang w:eastAsia="en-GB"/>
        </w:rPr>
        <w:t xml:space="preserve">. 2003. ‘Political parties, institutions, and the dynamics of social expenditure in times of austerity’, </w:t>
      </w:r>
      <w:r w:rsidRPr="008C342C">
        <w:rPr>
          <w:rFonts w:eastAsia="Times New Roman" w:cs="Arial"/>
          <w:i/>
          <w:color w:val="222222"/>
          <w:lang w:eastAsia="en-GB"/>
        </w:rPr>
        <w:t>Journal of European Public Policy</w:t>
      </w:r>
      <w:r w:rsidRPr="008C342C">
        <w:rPr>
          <w:rFonts w:eastAsia="Times New Roman" w:cs="Arial"/>
          <w:color w:val="222222"/>
          <w:lang w:eastAsia="en-GB"/>
        </w:rPr>
        <w:t>, 10, 1, 20-45.</w:t>
      </w:r>
    </w:p>
    <w:p w:rsidR="0062685F" w:rsidRDefault="0062685F" w:rsidP="0062685F">
      <w:pPr>
        <w:spacing w:after="0" w:line="480" w:lineRule="auto"/>
        <w:ind w:left="777" w:hanging="720"/>
        <w:rPr>
          <w:rFonts w:eastAsia="Times New Roman" w:cs="Arial"/>
          <w:color w:val="222222"/>
          <w:lang w:eastAsia="en-GB"/>
        </w:rPr>
      </w:pPr>
      <w:proofErr w:type="spellStart"/>
      <w:r>
        <w:rPr>
          <w:rFonts w:ascii="Arial" w:hAnsi="Arial" w:cs="Arial"/>
          <w:color w:val="222222"/>
          <w:sz w:val="20"/>
          <w:szCs w:val="20"/>
          <w:shd w:val="clear" w:color="auto" w:fill="FFFFFF"/>
        </w:rPr>
        <w:t>Klüver</w:t>
      </w:r>
      <w:proofErr w:type="spellEnd"/>
      <w:r>
        <w:rPr>
          <w:rFonts w:ascii="Arial" w:hAnsi="Arial" w:cs="Arial"/>
          <w:color w:val="222222"/>
          <w:sz w:val="20"/>
          <w:szCs w:val="20"/>
          <w:shd w:val="clear" w:color="auto" w:fill="FFFFFF"/>
        </w:rPr>
        <w:t xml:space="preserve">, H. and I. </w:t>
      </w:r>
      <w:proofErr w:type="spellStart"/>
      <w:r>
        <w:rPr>
          <w:rFonts w:ascii="Arial" w:hAnsi="Arial" w:cs="Arial"/>
          <w:color w:val="222222"/>
          <w:sz w:val="20"/>
          <w:szCs w:val="20"/>
          <w:shd w:val="clear" w:color="auto" w:fill="FFFFFF"/>
        </w:rPr>
        <w:t>Sagarzazu</w:t>
      </w:r>
      <w:proofErr w:type="spellEnd"/>
      <w:r>
        <w:rPr>
          <w:rFonts w:ascii="Arial" w:hAnsi="Arial" w:cs="Arial"/>
          <w:color w:val="222222"/>
          <w:sz w:val="20"/>
          <w:szCs w:val="20"/>
          <w:shd w:val="clear" w:color="auto" w:fill="FFFFFF"/>
        </w:rPr>
        <w:t>. 2016. ‘Setting the agenda or responding to voters? Political parties, voters and issue attention’ </w:t>
      </w:r>
      <w:r>
        <w:rPr>
          <w:rFonts w:ascii="Arial" w:hAnsi="Arial" w:cs="Arial"/>
          <w:i/>
          <w:iCs/>
          <w:color w:val="222222"/>
          <w:sz w:val="20"/>
          <w:szCs w:val="20"/>
          <w:shd w:val="clear" w:color="auto" w:fill="FFFFFF"/>
        </w:rPr>
        <w:t>West European Politics</w:t>
      </w:r>
      <w:r>
        <w:rPr>
          <w:rFonts w:ascii="Arial" w:hAnsi="Arial" w:cs="Arial"/>
          <w:color w:val="222222"/>
          <w:sz w:val="20"/>
          <w:szCs w:val="20"/>
          <w:shd w:val="clear" w:color="auto" w:fill="FFFFFF"/>
        </w:rPr>
        <w:t>, </w:t>
      </w:r>
      <w:r w:rsidRPr="00E53B2A">
        <w:rPr>
          <w:rFonts w:ascii="Arial" w:hAnsi="Arial" w:cs="Arial"/>
          <w:iCs/>
          <w:color w:val="222222"/>
          <w:sz w:val="20"/>
          <w:szCs w:val="20"/>
          <w:shd w:val="clear" w:color="auto" w:fill="FFFFFF"/>
        </w:rPr>
        <w:t>39</w:t>
      </w:r>
      <w:r>
        <w:rPr>
          <w:rFonts w:ascii="Arial" w:hAnsi="Arial" w:cs="Arial"/>
          <w:color w:val="222222"/>
          <w:sz w:val="20"/>
          <w:szCs w:val="20"/>
          <w:shd w:val="clear" w:color="auto" w:fill="FFFFFF"/>
        </w:rPr>
        <w:t>, 2, 380-398.</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Kodrzycki</w:t>
      </w:r>
      <w:proofErr w:type="spellEnd"/>
      <w:r w:rsidRPr="008C342C">
        <w:rPr>
          <w:rFonts w:eastAsia="Times New Roman" w:cs="Arial"/>
          <w:color w:val="222222"/>
          <w:lang w:eastAsia="en-GB"/>
        </w:rPr>
        <w:t xml:space="preserve">, Y. 1994. ‘Privatization of local public services: Lessons for New England’, </w:t>
      </w:r>
      <w:r w:rsidRPr="008C342C">
        <w:rPr>
          <w:rFonts w:eastAsia="Times New Roman" w:cs="Arial"/>
          <w:i/>
          <w:color w:val="222222"/>
          <w:lang w:eastAsia="en-GB"/>
        </w:rPr>
        <w:t>New England Economic Review</w:t>
      </w:r>
      <w:r w:rsidRPr="008C342C">
        <w:rPr>
          <w:rFonts w:eastAsia="Times New Roman" w:cs="Arial"/>
          <w:color w:val="222222"/>
          <w:lang w:eastAsia="en-GB"/>
        </w:rPr>
        <w:t>, 4, 5, 31-46.</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Leisering</w:t>
      </w:r>
      <w:proofErr w:type="spellEnd"/>
      <w:r w:rsidRPr="008C342C">
        <w:rPr>
          <w:rFonts w:eastAsia="Times New Roman" w:cs="Arial"/>
          <w:color w:val="222222"/>
          <w:lang w:eastAsia="en-GB"/>
        </w:rPr>
        <w:t xml:space="preserve">, L. and D. </w:t>
      </w:r>
      <w:proofErr w:type="spellStart"/>
      <w:r w:rsidRPr="008C342C">
        <w:rPr>
          <w:rFonts w:eastAsia="Times New Roman" w:cs="Arial"/>
          <w:color w:val="222222"/>
          <w:lang w:eastAsia="en-GB"/>
        </w:rPr>
        <w:t>Mabbett</w:t>
      </w:r>
      <w:proofErr w:type="spellEnd"/>
      <w:r w:rsidRPr="008C342C">
        <w:rPr>
          <w:rFonts w:eastAsia="Times New Roman" w:cs="Arial"/>
          <w:color w:val="222222"/>
          <w:lang w:eastAsia="en-GB"/>
        </w:rPr>
        <w:t xml:space="preserve">. 2011. ‘Towards a new regulatory state in old age security? Exploring the issues’, in L. </w:t>
      </w:r>
      <w:proofErr w:type="spellStart"/>
      <w:r w:rsidRPr="008C342C">
        <w:rPr>
          <w:rFonts w:eastAsia="Times New Roman" w:cs="Arial"/>
          <w:color w:val="222222"/>
          <w:lang w:eastAsia="en-GB"/>
        </w:rPr>
        <w:t>Leisering</w:t>
      </w:r>
      <w:proofErr w:type="spellEnd"/>
      <w:r w:rsidRPr="008C342C">
        <w:rPr>
          <w:rFonts w:eastAsia="Times New Roman" w:cs="Arial"/>
          <w:color w:val="222222"/>
          <w:lang w:eastAsia="en-GB"/>
        </w:rPr>
        <w:t xml:space="preserve"> (</w:t>
      </w:r>
      <w:proofErr w:type="spellStart"/>
      <w:proofErr w:type="gramStart"/>
      <w:r w:rsidRPr="008C342C">
        <w:rPr>
          <w:rFonts w:eastAsia="Times New Roman" w:cs="Arial"/>
          <w:color w:val="222222"/>
          <w:lang w:eastAsia="en-GB"/>
        </w:rPr>
        <w:t>ed</w:t>
      </w:r>
      <w:proofErr w:type="spellEnd"/>
      <w:proofErr w:type="gramEnd"/>
      <w:r w:rsidRPr="008C342C">
        <w:rPr>
          <w:rFonts w:eastAsia="Times New Roman" w:cs="Arial"/>
          <w:color w:val="222222"/>
          <w:lang w:eastAsia="en-GB"/>
        </w:rPr>
        <w:t>), The New Regulatory State: Regulating Pensions in Germany and the UK. Basingstoke: Palgrave, 1-30.</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 xml:space="preserve">Laver, M. and J. Garry. 2000. ‘Estimating policy positions from political texts’, </w:t>
      </w:r>
      <w:r w:rsidRPr="008C342C">
        <w:rPr>
          <w:rFonts w:eastAsia="Times New Roman" w:cs="Arial"/>
          <w:i/>
          <w:color w:val="222222"/>
          <w:lang w:eastAsia="en-GB"/>
        </w:rPr>
        <w:t>American Journal of Political Science</w:t>
      </w:r>
      <w:r w:rsidRPr="008C342C">
        <w:rPr>
          <w:rFonts w:eastAsia="Times New Roman" w:cs="Arial"/>
          <w:color w:val="222222"/>
          <w:lang w:eastAsia="en-GB"/>
        </w:rPr>
        <w:t>, 44, 3, 619-634.</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lastRenderedPageBreak/>
        <w:t>Levi-</w:t>
      </w:r>
      <w:proofErr w:type="spellStart"/>
      <w:r w:rsidRPr="008C342C">
        <w:rPr>
          <w:rFonts w:eastAsia="Times New Roman" w:cs="Arial"/>
          <w:color w:val="222222"/>
          <w:lang w:eastAsia="en-GB"/>
        </w:rPr>
        <w:t>Faur</w:t>
      </w:r>
      <w:proofErr w:type="spellEnd"/>
      <w:r w:rsidRPr="008C342C">
        <w:rPr>
          <w:rFonts w:eastAsia="Times New Roman" w:cs="Arial"/>
          <w:color w:val="222222"/>
          <w:lang w:eastAsia="en-GB"/>
        </w:rPr>
        <w:t xml:space="preserve">, D. 2005. ‘The global diffusion of regulatory capitalism’, </w:t>
      </w:r>
      <w:r w:rsidRPr="008C342C">
        <w:rPr>
          <w:rFonts w:eastAsia="Times New Roman" w:cs="Arial"/>
          <w:i/>
          <w:color w:val="222222"/>
          <w:lang w:eastAsia="en-GB"/>
        </w:rPr>
        <w:t>Annals of the American Academy of Political and Social Science</w:t>
      </w:r>
      <w:r w:rsidRPr="008C342C">
        <w:rPr>
          <w:rFonts w:eastAsia="Times New Roman" w:cs="Arial"/>
          <w:color w:val="222222"/>
          <w:lang w:eastAsia="en-GB"/>
        </w:rPr>
        <w:t>, 598, 1, 12-32.</w:t>
      </w:r>
    </w:p>
    <w:p w:rsidR="0062685F" w:rsidRPr="008C342C" w:rsidRDefault="0062685F" w:rsidP="0062685F">
      <w:pPr>
        <w:spacing w:after="0" w:line="480" w:lineRule="auto"/>
        <w:ind w:left="777" w:hanging="720"/>
        <w:rPr>
          <w:rFonts w:eastAsia="Times New Roman" w:cs="Arial"/>
          <w:color w:val="222222"/>
          <w:lang w:eastAsia="en-GB"/>
        </w:rPr>
      </w:pPr>
      <w:r w:rsidRPr="008C342C">
        <w:rPr>
          <w:rFonts w:eastAsia="Times New Roman" w:cs="Arial"/>
          <w:color w:val="222222"/>
          <w:lang w:eastAsia="en-GB"/>
        </w:rPr>
        <w:t>Levi-</w:t>
      </w:r>
      <w:proofErr w:type="spellStart"/>
      <w:r w:rsidRPr="008C342C">
        <w:rPr>
          <w:rFonts w:eastAsia="Times New Roman" w:cs="Arial"/>
          <w:color w:val="222222"/>
          <w:lang w:eastAsia="en-GB"/>
        </w:rPr>
        <w:t>Faur</w:t>
      </w:r>
      <w:proofErr w:type="spellEnd"/>
      <w:r w:rsidRPr="008C342C">
        <w:rPr>
          <w:rFonts w:eastAsia="Times New Roman" w:cs="Arial"/>
          <w:color w:val="222222"/>
          <w:lang w:eastAsia="en-GB"/>
        </w:rPr>
        <w:t xml:space="preserve">, David, and </w:t>
      </w:r>
      <w:proofErr w:type="spellStart"/>
      <w:r w:rsidRPr="008C342C">
        <w:rPr>
          <w:rFonts w:eastAsia="Times New Roman" w:cs="Arial"/>
          <w:color w:val="222222"/>
          <w:lang w:eastAsia="en-GB"/>
        </w:rPr>
        <w:t>Jacint</w:t>
      </w:r>
      <w:proofErr w:type="spellEnd"/>
      <w:r w:rsidRPr="008C342C">
        <w:rPr>
          <w:rFonts w:eastAsia="Times New Roman" w:cs="Arial"/>
          <w:color w:val="222222"/>
          <w:lang w:eastAsia="en-GB"/>
        </w:rPr>
        <w:t xml:space="preserve"> </w:t>
      </w:r>
      <w:proofErr w:type="spellStart"/>
      <w:r w:rsidRPr="008C342C">
        <w:rPr>
          <w:rFonts w:eastAsia="Times New Roman" w:cs="Arial"/>
          <w:color w:val="222222"/>
          <w:lang w:eastAsia="en-GB"/>
        </w:rPr>
        <w:t>Jordana</w:t>
      </w:r>
      <w:proofErr w:type="spellEnd"/>
      <w:r w:rsidRPr="008C342C">
        <w:rPr>
          <w:rFonts w:eastAsia="Times New Roman" w:cs="Arial"/>
          <w:color w:val="222222"/>
          <w:lang w:eastAsia="en-GB"/>
        </w:rPr>
        <w:t xml:space="preserve">. 2006. ‘Toward a Latin American regulatory state? The diffusion of autonomous regulatory agencies across countries and sectors’, </w:t>
      </w:r>
      <w:r w:rsidRPr="008C342C">
        <w:rPr>
          <w:rFonts w:eastAsia="Times New Roman" w:cs="Arial"/>
          <w:i/>
          <w:color w:val="222222"/>
          <w:lang w:eastAsia="en-GB"/>
        </w:rPr>
        <w:t>International Journal of Public Administration</w:t>
      </w:r>
      <w:r w:rsidRPr="008C342C">
        <w:rPr>
          <w:rFonts w:eastAsia="Times New Roman" w:cs="Arial"/>
          <w:color w:val="222222"/>
          <w:lang w:eastAsia="en-GB"/>
        </w:rPr>
        <w:t>, 29, 4, 335-366.</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Majone</w:t>
      </w:r>
      <w:proofErr w:type="spellEnd"/>
      <w:r w:rsidRPr="008C342C">
        <w:rPr>
          <w:rFonts w:eastAsia="Times New Roman" w:cs="Arial"/>
          <w:color w:val="222222"/>
          <w:lang w:eastAsia="en-GB"/>
        </w:rPr>
        <w:t xml:space="preserve">, G. 1994. ‘The rise of the regulatory state in Europe’, </w:t>
      </w:r>
      <w:r w:rsidRPr="008C342C">
        <w:rPr>
          <w:rFonts w:eastAsia="Times New Roman" w:cs="Arial"/>
          <w:i/>
          <w:iCs/>
          <w:color w:val="222222"/>
          <w:lang w:eastAsia="en-GB"/>
        </w:rPr>
        <w:t>West European Politics</w:t>
      </w:r>
      <w:r w:rsidRPr="008C342C">
        <w:rPr>
          <w:rFonts w:eastAsia="Times New Roman" w:cs="Arial"/>
          <w:color w:val="222222"/>
          <w:lang w:eastAsia="en-GB"/>
        </w:rPr>
        <w:t xml:space="preserve">, </w:t>
      </w:r>
      <w:r w:rsidRPr="008C342C">
        <w:rPr>
          <w:rFonts w:eastAsia="Times New Roman" w:cs="Arial"/>
          <w:iCs/>
          <w:color w:val="222222"/>
          <w:lang w:eastAsia="en-GB"/>
        </w:rPr>
        <w:t>17</w:t>
      </w:r>
      <w:r w:rsidRPr="008C342C">
        <w:rPr>
          <w:rFonts w:eastAsia="Times New Roman" w:cs="Arial"/>
          <w:color w:val="222222"/>
          <w:lang w:eastAsia="en-GB"/>
        </w:rPr>
        <w:t>, 3, 77-101.</w:t>
      </w:r>
    </w:p>
    <w:p w:rsidR="0062685F" w:rsidRPr="008C342C" w:rsidRDefault="0062685F" w:rsidP="0062685F">
      <w:pPr>
        <w:spacing w:after="0" w:line="480" w:lineRule="auto"/>
        <w:ind w:left="777" w:hanging="720"/>
        <w:rPr>
          <w:rFonts w:eastAsia="Times New Roman" w:cs="Arial"/>
          <w:color w:val="222222"/>
          <w:lang w:eastAsia="en-GB"/>
        </w:rPr>
      </w:pPr>
      <w:proofErr w:type="spellStart"/>
      <w:r w:rsidRPr="008C342C">
        <w:rPr>
          <w:rFonts w:eastAsia="Times New Roman" w:cs="Arial"/>
          <w:color w:val="222222"/>
          <w:lang w:eastAsia="en-GB"/>
        </w:rPr>
        <w:t>Majone</w:t>
      </w:r>
      <w:proofErr w:type="spellEnd"/>
      <w:r w:rsidRPr="008C342C">
        <w:rPr>
          <w:rFonts w:eastAsia="Times New Roman" w:cs="Arial"/>
          <w:color w:val="222222"/>
          <w:lang w:eastAsia="en-GB"/>
        </w:rPr>
        <w:t xml:space="preserve">, G. 1997. ‘From the positive to the regulatory state: causes and consequences of changes in the mode of governance’, </w:t>
      </w:r>
      <w:r w:rsidRPr="008C342C">
        <w:rPr>
          <w:rFonts w:eastAsia="Times New Roman" w:cs="Arial"/>
          <w:i/>
          <w:iCs/>
          <w:color w:val="222222"/>
          <w:lang w:eastAsia="en-GB"/>
        </w:rPr>
        <w:t>Journal of Public Policy</w:t>
      </w:r>
      <w:r w:rsidRPr="008C342C">
        <w:rPr>
          <w:rFonts w:eastAsia="Times New Roman" w:cs="Arial"/>
          <w:color w:val="222222"/>
          <w:lang w:eastAsia="en-GB"/>
        </w:rPr>
        <w:t xml:space="preserve">, </w:t>
      </w:r>
      <w:r w:rsidRPr="008C342C">
        <w:rPr>
          <w:rFonts w:eastAsia="Times New Roman" w:cs="Arial"/>
          <w:iCs/>
          <w:color w:val="222222"/>
          <w:lang w:eastAsia="en-GB"/>
        </w:rPr>
        <w:t>17</w:t>
      </w:r>
      <w:r w:rsidRPr="008C342C">
        <w:rPr>
          <w:rFonts w:eastAsia="Times New Roman" w:cs="Arial"/>
          <w:color w:val="222222"/>
          <w:lang w:eastAsia="en-GB"/>
        </w:rPr>
        <w:t>, 2, 139-167.</w:t>
      </w:r>
    </w:p>
    <w:p w:rsidR="0062685F" w:rsidRPr="008C342C" w:rsidRDefault="0062685F" w:rsidP="0062685F">
      <w:pPr>
        <w:spacing w:line="480" w:lineRule="auto"/>
        <w:ind w:left="777" w:hanging="720"/>
      </w:pPr>
      <w:proofErr w:type="spellStart"/>
      <w:r w:rsidRPr="008C342C">
        <w:t>Majone</w:t>
      </w:r>
      <w:proofErr w:type="spellEnd"/>
      <w:r w:rsidRPr="008C342C">
        <w:t xml:space="preserve">, G. 2014. ‘From regulatory state to a democratic deficit’, </w:t>
      </w:r>
      <w:r w:rsidRPr="008C342C">
        <w:rPr>
          <w:i/>
        </w:rPr>
        <w:t>Journal of Common Market Studies</w:t>
      </w:r>
      <w:r w:rsidRPr="008C342C">
        <w:t>, 52, 6, 1216-1223.</w:t>
      </w:r>
    </w:p>
    <w:p w:rsidR="0062685F" w:rsidRPr="008C342C" w:rsidRDefault="0062685F" w:rsidP="0062685F">
      <w:pPr>
        <w:spacing w:line="480" w:lineRule="auto"/>
        <w:ind w:left="777" w:hanging="720"/>
      </w:pPr>
      <w:r w:rsidRPr="008C342C">
        <w:t xml:space="preserve">Marsh, D., D. Richards, and M. Smith. 2003. ‘Unequal plurality: Towards an asymmetric power model of British politics’, </w:t>
      </w:r>
      <w:r w:rsidRPr="008C342C">
        <w:rPr>
          <w:i/>
        </w:rPr>
        <w:t>Government and Opposition</w:t>
      </w:r>
      <w:r w:rsidRPr="008C342C">
        <w:t>, 38, 3, 306-332.</w:t>
      </w:r>
    </w:p>
    <w:p w:rsidR="00015A09" w:rsidRDefault="00015A09" w:rsidP="0062685F">
      <w:pPr>
        <w:spacing w:line="480" w:lineRule="auto"/>
        <w:ind w:left="777" w:hanging="720"/>
      </w:pPr>
      <w:r>
        <w:t xml:space="preserve">Mayhew, D. 1991. </w:t>
      </w:r>
      <w:r w:rsidRPr="00F71440">
        <w:rPr>
          <w:i/>
        </w:rPr>
        <w:t>Divided We Govern</w:t>
      </w:r>
      <w:r>
        <w:t>. New Haven: Yale University Press.</w:t>
      </w:r>
    </w:p>
    <w:p w:rsidR="0062685F" w:rsidRPr="008C342C" w:rsidRDefault="0062685F" w:rsidP="0062685F">
      <w:pPr>
        <w:spacing w:line="480" w:lineRule="auto"/>
        <w:ind w:left="777" w:hanging="720"/>
      </w:pPr>
      <w:r w:rsidRPr="008C342C">
        <w:t xml:space="preserve">McFarland, A. 1987. ‘Interest groups and theories of power in America’, </w:t>
      </w:r>
      <w:r w:rsidRPr="008C342C">
        <w:rPr>
          <w:i/>
        </w:rPr>
        <w:t>British Journal of Political Science</w:t>
      </w:r>
      <w:r w:rsidRPr="008C342C">
        <w:t>, 17, 2, 129-147.</w:t>
      </w:r>
    </w:p>
    <w:p w:rsidR="0062685F" w:rsidRDefault="0062685F" w:rsidP="0062685F">
      <w:pPr>
        <w:spacing w:line="480" w:lineRule="auto"/>
        <w:ind w:left="777" w:hanging="720"/>
      </w:pPr>
      <w:proofErr w:type="spellStart"/>
      <w:r>
        <w:rPr>
          <w:rFonts w:ascii="Arial" w:hAnsi="Arial" w:cs="Arial"/>
          <w:color w:val="222222"/>
          <w:sz w:val="20"/>
          <w:szCs w:val="20"/>
          <w:shd w:val="clear" w:color="auto" w:fill="FFFFFF"/>
        </w:rPr>
        <w:t>Miraftab</w:t>
      </w:r>
      <w:proofErr w:type="spellEnd"/>
      <w:r>
        <w:rPr>
          <w:rFonts w:ascii="Arial" w:hAnsi="Arial" w:cs="Arial"/>
          <w:color w:val="222222"/>
          <w:sz w:val="20"/>
          <w:szCs w:val="20"/>
          <w:shd w:val="clear" w:color="auto" w:fill="FFFFFF"/>
        </w:rPr>
        <w:t>, F. 2004. ‘Making neo-liberal governance: The disempowering work of empowerment’, </w:t>
      </w:r>
      <w:r>
        <w:rPr>
          <w:rFonts w:ascii="Arial" w:hAnsi="Arial" w:cs="Arial"/>
          <w:i/>
          <w:iCs/>
          <w:color w:val="222222"/>
          <w:sz w:val="20"/>
          <w:szCs w:val="20"/>
          <w:shd w:val="clear" w:color="auto" w:fill="FFFFFF"/>
        </w:rPr>
        <w:t>International planning studies</w:t>
      </w:r>
      <w:r w:rsidRPr="00A57EEE">
        <w:rPr>
          <w:rFonts w:ascii="Arial" w:hAnsi="Arial" w:cs="Arial"/>
          <w:color w:val="222222"/>
          <w:sz w:val="20"/>
          <w:szCs w:val="20"/>
          <w:shd w:val="clear" w:color="auto" w:fill="FFFFFF"/>
        </w:rPr>
        <w:t>, </w:t>
      </w:r>
      <w:r w:rsidRPr="00A57EEE">
        <w:rPr>
          <w:rFonts w:ascii="Arial" w:hAnsi="Arial" w:cs="Arial"/>
          <w:iCs/>
          <w:color w:val="222222"/>
          <w:sz w:val="20"/>
          <w:szCs w:val="20"/>
          <w:shd w:val="clear" w:color="auto" w:fill="FFFFFF"/>
        </w:rPr>
        <w:t>9</w:t>
      </w:r>
      <w:r>
        <w:rPr>
          <w:rFonts w:ascii="Arial" w:hAnsi="Arial" w:cs="Arial"/>
          <w:color w:val="222222"/>
          <w:sz w:val="20"/>
          <w:szCs w:val="20"/>
          <w:shd w:val="clear" w:color="auto" w:fill="FFFFFF"/>
        </w:rPr>
        <w:t>, 4, 239-259.</w:t>
      </w:r>
    </w:p>
    <w:p w:rsidR="0062685F" w:rsidRPr="008C342C" w:rsidRDefault="0062685F" w:rsidP="0062685F">
      <w:pPr>
        <w:spacing w:line="480" w:lineRule="auto"/>
        <w:ind w:left="777" w:hanging="720"/>
      </w:pPr>
      <w:proofErr w:type="spellStart"/>
      <w:r w:rsidRPr="008C342C">
        <w:t>Mok</w:t>
      </w:r>
      <w:proofErr w:type="spellEnd"/>
      <w:r w:rsidRPr="008C342C">
        <w:t xml:space="preserve">, K. H. 2008. ‘Varieties of regulatory regimes in Asia: The liberalization of the higher education market and changing governance in Hong Kong, Singapore and Malaysia’, </w:t>
      </w:r>
      <w:r w:rsidRPr="008C342C">
        <w:rPr>
          <w:i/>
        </w:rPr>
        <w:t>Pacific Review</w:t>
      </w:r>
      <w:r w:rsidRPr="008C342C">
        <w:t>, 21, 2, 147-170.</w:t>
      </w:r>
    </w:p>
    <w:p w:rsidR="0062685F" w:rsidRDefault="0062685F" w:rsidP="0062685F">
      <w:pPr>
        <w:spacing w:line="480" w:lineRule="auto"/>
        <w:ind w:left="777" w:hanging="720"/>
      </w:pPr>
      <w:r w:rsidRPr="008C342C">
        <w:t xml:space="preserve">Monk, S., T. Crook, D. Lister, R. </w:t>
      </w:r>
      <w:proofErr w:type="spellStart"/>
      <w:r w:rsidRPr="008C342C">
        <w:t>Lovatt</w:t>
      </w:r>
      <w:proofErr w:type="spellEnd"/>
      <w:r w:rsidRPr="008C342C">
        <w:t xml:space="preserve">, A. </w:t>
      </w:r>
      <w:proofErr w:type="spellStart"/>
      <w:r w:rsidRPr="008C342C">
        <w:t>Luanaigh</w:t>
      </w:r>
      <w:proofErr w:type="spellEnd"/>
      <w:r w:rsidRPr="008C342C">
        <w:t xml:space="preserve">, S. Rowley, and C. Whitehead. 2006. </w:t>
      </w:r>
      <w:r w:rsidRPr="008C342C">
        <w:rPr>
          <w:i/>
        </w:rPr>
        <w:t xml:space="preserve">Delivering Affordable Housing </w:t>
      </w:r>
      <w:proofErr w:type="gramStart"/>
      <w:r w:rsidRPr="008C342C">
        <w:rPr>
          <w:i/>
        </w:rPr>
        <w:t>Through</w:t>
      </w:r>
      <w:proofErr w:type="gramEnd"/>
      <w:r w:rsidRPr="008C342C">
        <w:rPr>
          <w:i/>
        </w:rPr>
        <w:t xml:space="preserve"> Section 106</w:t>
      </w:r>
      <w:r w:rsidRPr="008C342C">
        <w:t>. Yo</w:t>
      </w:r>
      <w:r>
        <w:t>rk: Joseph Rowntree Foundation.</w:t>
      </w:r>
    </w:p>
    <w:p w:rsidR="0062685F" w:rsidRPr="008C342C" w:rsidRDefault="0062685F" w:rsidP="0062685F">
      <w:pPr>
        <w:spacing w:line="480" w:lineRule="auto"/>
        <w:ind w:left="777" w:hanging="720"/>
      </w:pPr>
      <w:proofErr w:type="spellStart"/>
      <w:r w:rsidRPr="008C342C">
        <w:t>Obinger</w:t>
      </w:r>
      <w:proofErr w:type="spellEnd"/>
      <w:r w:rsidRPr="008C342C">
        <w:t xml:space="preserve">, H., C. Schmitt and R. </w:t>
      </w:r>
      <w:proofErr w:type="spellStart"/>
      <w:r w:rsidRPr="008C342C">
        <w:t>Zohlnhöfer</w:t>
      </w:r>
      <w:proofErr w:type="spellEnd"/>
      <w:r w:rsidRPr="008C342C">
        <w:t xml:space="preserve">. 2014. ‘Partisan politics and privatization in OECD countries’, </w:t>
      </w:r>
      <w:r w:rsidRPr="008C342C">
        <w:rPr>
          <w:i/>
        </w:rPr>
        <w:t>Comparative Political Studies</w:t>
      </w:r>
      <w:r w:rsidRPr="008C342C">
        <w:t>, 47, 9, 1294-1323.</w:t>
      </w:r>
    </w:p>
    <w:p w:rsidR="0062685F" w:rsidRPr="00940D91" w:rsidRDefault="0062685F" w:rsidP="0062685F">
      <w:pPr>
        <w:spacing w:line="480" w:lineRule="auto"/>
        <w:ind w:left="777" w:hanging="720"/>
        <w:rPr>
          <w:i/>
        </w:rPr>
      </w:pPr>
      <w:r>
        <w:lastRenderedPageBreak/>
        <w:t xml:space="preserve">Office for National Statistics (ONS). 2017. </w:t>
      </w:r>
      <w:r w:rsidRPr="00940D91">
        <w:rPr>
          <w:i/>
        </w:rPr>
        <w:t xml:space="preserve">Local </w:t>
      </w:r>
      <w:r>
        <w:rPr>
          <w:i/>
        </w:rPr>
        <w:t>G</w:t>
      </w:r>
      <w:r w:rsidRPr="00940D91">
        <w:rPr>
          <w:i/>
        </w:rPr>
        <w:t xml:space="preserve">overnment </w:t>
      </w:r>
      <w:r>
        <w:rPr>
          <w:i/>
        </w:rPr>
        <w:t>R</w:t>
      </w:r>
      <w:r w:rsidRPr="00940D91">
        <w:rPr>
          <w:i/>
        </w:rPr>
        <w:t>eorganisation 2009</w:t>
      </w:r>
      <w:r>
        <w:t xml:space="preserve">. </w:t>
      </w:r>
      <w:r w:rsidRPr="00940D91">
        <w:t>London: ONS.</w:t>
      </w:r>
    </w:p>
    <w:p w:rsidR="0062685F" w:rsidRDefault="0062685F" w:rsidP="0062685F">
      <w:pPr>
        <w:spacing w:line="480" w:lineRule="auto"/>
        <w:ind w:left="777" w:hanging="720"/>
      </w:pPr>
      <w:r>
        <w:t xml:space="preserve">Office for National Statistics (ONS). 2018. </w:t>
      </w:r>
      <w:r w:rsidR="00A73D59">
        <w:t>‘</w:t>
      </w:r>
      <w:r>
        <w:t>Ripe for development: Building better housing statistics for the UK</w:t>
      </w:r>
      <w:r w:rsidR="00A73D59">
        <w:t>’,</w:t>
      </w:r>
      <w:r>
        <w:t xml:space="preserve"> </w:t>
      </w:r>
      <w:hyperlink r:id="rId13" w:history="1">
        <w:r w:rsidRPr="00AD6075">
          <w:rPr>
            <w:rStyle w:val="Hyperlink"/>
          </w:rPr>
          <w:t>https://blog.ons.gov.uk/2018/05/30/ripe-for-development-building-better-housing-statistics-for-the-uk/</w:t>
        </w:r>
      </w:hyperlink>
      <w:r>
        <w:t xml:space="preserve"> (Accessed 20.07.2018).</w:t>
      </w:r>
    </w:p>
    <w:p w:rsidR="00A73D59" w:rsidRDefault="00A73D59" w:rsidP="0062685F">
      <w:pPr>
        <w:spacing w:line="480" w:lineRule="auto"/>
        <w:ind w:left="777" w:hanging="720"/>
      </w:pPr>
      <w:r>
        <w:t>Office for National Statistics (ONS). 2019</w:t>
      </w:r>
      <w:r w:rsidR="001A1CEB">
        <w:t>a</w:t>
      </w:r>
      <w:r>
        <w:t xml:space="preserve">. </w:t>
      </w:r>
      <w:r>
        <w:rPr>
          <w:i/>
        </w:rPr>
        <w:t>Housing Affordability in England and Wales</w:t>
      </w:r>
      <w:r>
        <w:t>. London: ONS.</w:t>
      </w:r>
    </w:p>
    <w:p w:rsidR="001A1CEB" w:rsidRPr="00A73D59" w:rsidRDefault="001A1CEB" w:rsidP="0062685F">
      <w:pPr>
        <w:spacing w:line="480" w:lineRule="auto"/>
        <w:ind w:left="777" w:hanging="720"/>
      </w:pPr>
      <w:r>
        <w:t xml:space="preserve">Office for National Statistics (ONS). 2019b. ‘Strengthening our housing and planning statistics’, </w:t>
      </w:r>
      <w:hyperlink r:id="rId14" w:history="1">
        <w:r>
          <w:rPr>
            <w:rStyle w:val="Hyperlink"/>
          </w:rPr>
          <w:t>https://blog.ons.gov.uk/2019/04/04/strengthening-our-housing-and-planning-statistics/</w:t>
        </w:r>
      </w:hyperlink>
      <w:r>
        <w:t xml:space="preserve"> (Accessed 11.07.2019).</w:t>
      </w:r>
    </w:p>
    <w:p w:rsidR="00835069" w:rsidRDefault="00835069" w:rsidP="0062685F">
      <w:pPr>
        <w:spacing w:line="480" w:lineRule="auto"/>
        <w:ind w:left="777" w:hanging="720"/>
      </w:pPr>
      <w:proofErr w:type="spellStart"/>
      <w:r w:rsidRPr="00835069">
        <w:t>Oppermann</w:t>
      </w:r>
      <w:proofErr w:type="spellEnd"/>
      <w:r w:rsidRPr="00835069">
        <w:t xml:space="preserve">, K. and </w:t>
      </w:r>
      <w:r>
        <w:t xml:space="preserve">H. </w:t>
      </w:r>
      <w:proofErr w:type="spellStart"/>
      <w:r>
        <w:t>Viehrig</w:t>
      </w:r>
      <w:proofErr w:type="spellEnd"/>
      <w:r>
        <w:t xml:space="preserve"> </w:t>
      </w:r>
      <w:r w:rsidRPr="00835069">
        <w:t>(</w:t>
      </w:r>
      <w:proofErr w:type="spellStart"/>
      <w:proofErr w:type="gramStart"/>
      <w:r w:rsidRPr="00835069">
        <w:t>eds</w:t>
      </w:r>
      <w:proofErr w:type="spellEnd"/>
      <w:proofErr w:type="gramEnd"/>
      <w:r w:rsidRPr="00835069">
        <w:t>) (2011)</w:t>
      </w:r>
      <w:r>
        <w:t>.</w:t>
      </w:r>
      <w:r w:rsidRPr="00835069">
        <w:t xml:space="preserve"> </w:t>
      </w:r>
      <w:r w:rsidRPr="00F71440">
        <w:rPr>
          <w:i/>
        </w:rPr>
        <w:t>Issue Salience in International Politics</w:t>
      </w:r>
      <w:r>
        <w:t>.</w:t>
      </w:r>
      <w:r w:rsidRPr="00835069">
        <w:t xml:space="preserve"> London: Routledge</w:t>
      </w:r>
      <w:r>
        <w:t>.</w:t>
      </w:r>
    </w:p>
    <w:p w:rsidR="0062685F" w:rsidRPr="008C342C" w:rsidRDefault="0062685F" w:rsidP="0062685F">
      <w:pPr>
        <w:spacing w:line="480" w:lineRule="auto"/>
        <w:ind w:left="777" w:hanging="720"/>
      </w:pPr>
      <w:proofErr w:type="spellStart"/>
      <w:r w:rsidRPr="008C342C">
        <w:t>Ottaviano</w:t>
      </w:r>
      <w:proofErr w:type="spellEnd"/>
      <w:r w:rsidRPr="008C342C">
        <w:t xml:space="preserve">, G. and T. van </w:t>
      </w:r>
      <w:proofErr w:type="spellStart"/>
      <w:r w:rsidRPr="008C342C">
        <w:t>Ypersele</w:t>
      </w:r>
      <w:proofErr w:type="spellEnd"/>
      <w:r w:rsidRPr="008C342C">
        <w:t xml:space="preserve">. 2005. ‘Market size and tax competition’, </w:t>
      </w:r>
      <w:r w:rsidRPr="008C342C">
        <w:rPr>
          <w:i/>
        </w:rPr>
        <w:t>Journal of International Economics</w:t>
      </w:r>
      <w:r w:rsidRPr="008C342C">
        <w:t>, 67, 1, 25-46.</w:t>
      </w:r>
    </w:p>
    <w:p w:rsidR="0062685F" w:rsidRPr="008C342C" w:rsidRDefault="0062685F" w:rsidP="0062685F">
      <w:pPr>
        <w:spacing w:line="480" w:lineRule="auto"/>
        <w:ind w:left="777" w:hanging="720"/>
      </w:pPr>
      <w:r w:rsidRPr="008C342C">
        <w:t xml:space="preserve">Papadopoulos, Y. 2010. ‘Accountability and multi-level governance: more accountability, less democracy’, </w:t>
      </w:r>
      <w:r w:rsidRPr="008C342C">
        <w:rPr>
          <w:i/>
        </w:rPr>
        <w:t>West European Politics</w:t>
      </w:r>
      <w:r w:rsidRPr="008C342C">
        <w:t>, 33, 5, 1030-1049.</w:t>
      </w:r>
    </w:p>
    <w:p w:rsidR="0062685F" w:rsidRDefault="0062685F" w:rsidP="0062685F">
      <w:pPr>
        <w:spacing w:line="480" w:lineRule="auto"/>
        <w:ind w:left="777" w:hanging="720"/>
      </w:pPr>
      <w:r>
        <w:t xml:space="preserve">Papadopoulos, Y. 2017. ‘Multilevel governance and </w:t>
      </w:r>
      <w:proofErr w:type="spellStart"/>
      <w:r>
        <w:t>depoliticization</w:t>
      </w:r>
      <w:proofErr w:type="spellEnd"/>
      <w:r>
        <w:t>’. In P. Fawcett, M. Flinders, C. Hay, and M. Wood (</w:t>
      </w:r>
      <w:proofErr w:type="spellStart"/>
      <w:proofErr w:type="gramStart"/>
      <w:r>
        <w:t>eds</w:t>
      </w:r>
      <w:proofErr w:type="spellEnd"/>
      <w:proofErr w:type="gramEnd"/>
      <w:r>
        <w:t xml:space="preserve">) </w:t>
      </w:r>
      <w:r>
        <w:rPr>
          <w:i/>
        </w:rPr>
        <w:t xml:space="preserve">Anti-Politics, </w:t>
      </w:r>
      <w:proofErr w:type="spellStart"/>
      <w:r>
        <w:rPr>
          <w:i/>
        </w:rPr>
        <w:t>Depoliticization</w:t>
      </w:r>
      <w:proofErr w:type="spellEnd"/>
      <w:r>
        <w:rPr>
          <w:i/>
        </w:rPr>
        <w:t>, and Governance</w:t>
      </w:r>
      <w:r>
        <w:t>. Oxford: University Press, 134-66.</w:t>
      </w:r>
    </w:p>
    <w:p w:rsidR="00AC3CD0" w:rsidRDefault="00AC3CD0" w:rsidP="00AC3CD0">
      <w:pPr>
        <w:spacing w:line="480" w:lineRule="auto"/>
        <w:ind w:left="777" w:hanging="720"/>
      </w:pPr>
      <w:proofErr w:type="spellStart"/>
      <w:r>
        <w:t>Pardos</w:t>
      </w:r>
      <w:proofErr w:type="spellEnd"/>
      <w:r>
        <w:t xml:space="preserve">-Prado, S. 2012. ‘Valence beyond consensus: party competence and policy dispersion from a comparative perspective’, </w:t>
      </w:r>
      <w:r w:rsidRPr="00AC3CD0">
        <w:rPr>
          <w:i/>
        </w:rPr>
        <w:t>Electoral Studies</w:t>
      </w:r>
      <w:r>
        <w:t>, 31, 3, 342–352.</w:t>
      </w:r>
    </w:p>
    <w:p w:rsidR="0062685F" w:rsidRDefault="0062685F" w:rsidP="0062685F">
      <w:pPr>
        <w:spacing w:line="480" w:lineRule="auto"/>
        <w:ind w:left="777" w:hanging="720"/>
      </w:pPr>
      <w:r w:rsidRPr="00297CC5">
        <w:t xml:space="preserve">Paul, D. 2005. </w:t>
      </w:r>
      <w:r w:rsidRPr="00297CC5">
        <w:rPr>
          <w:i/>
        </w:rPr>
        <w:t>Rescaling International Political Economy</w:t>
      </w:r>
      <w:r w:rsidRPr="00297CC5">
        <w:t>. London: Routledge.</w:t>
      </w:r>
    </w:p>
    <w:p w:rsidR="00305709" w:rsidRDefault="00305709" w:rsidP="0062685F">
      <w:pPr>
        <w:spacing w:line="480" w:lineRule="auto"/>
        <w:ind w:left="777" w:hanging="720"/>
      </w:pPr>
      <w:r>
        <w:t>Peck, J. and A. Tickell (2002) ‘</w:t>
      </w:r>
      <w:proofErr w:type="spellStart"/>
      <w:r>
        <w:t>Neoliberalizing</w:t>
      </w:r>
      <w:proofErr w:type="spellEnd"/>
      <w:r>
        <w:t xml:space="preserve"> space’, </w:t>
      </w:r>
      <w:r w:rsidRPr="00305709">
        <w:rPr>
          <w:i/>
        </w:rPr>
        <w:t>Antipode</w:t>
      </w:r>
      <w:r>
        <w:t>, 34, 3, 380–404</w:t>
      </w:r>
    </w:p>
    <w:p w:rsidR="0062685F" w:rsidRDefault="0062685F" w:rsidP="0062685F">
      <w:pPr>
        <w:spacing w:line="480" w:lineRule="auto"/>
        <w:ind w:left="777" w:hanging="720"/>
      </w:pPr>
      <w:r w:rsidRPr="0051747A">
        <w:lastRenderedPageBreak/>
        <w:t xml:space="preserve">Pérez </w:t>
      </w:r>
      <w:proofErr w:type="spellStart"/>
      <w:r w:rsidRPr="0051747A">
        <w:t>Durán</w:t>
      </w:r>
      <w:proofErr w:type="spellEnd"/>
      <w:r w:rsidRPr="0051747A">
        <w:t xml:space="preserve">, I. 2018. </w:t>
      </w:r>
      <w:r>
        <w:t>‘</w:t>
      </w:r>
      <w:r w:rsidRPr="0051747A">
        <w:t>Interest group representation in the formal design of European Union agencies</w:t>
      </w:r>
      <w:r>
        <w:t>’,</w:t>
      </w:r>
      <w:r w:rsidRPr="0051747A">
        <w:t xml:space="preserve"> Regulation &amp; Governance, 12</w:t>
      </w:r>
      <w:r>
        <w:t>, 2</w:t>
      </w:r>
      <w:r w:rsidRPr="0051747A">
        <w:t>, 238-262.</w:t>
      </w:r>
    </w:p>
    <w:p w:rsidR="0062685F" w:rsidRDefault="0062685F" w:rsidP="0062685F">
      <w:pPr>
        <w:spacing w:line="480" w:lineRule="auto"/>
        <w:ind w:left="777" w:hanging="720"/>
      </w:pPr>
      <w:r w:rsidRPr="00661646">
        <w:t xml:space="preserve">Reed, M. and </w:t>
      </w:r>
      <w:r>
        <w:t xml:space="preserve">S. </w:t>
      </w:r>
      <w:proofErr w:type="spellStart"/>
      <w:r>
        <w:t>Bruyneel</w:t>
      </w:r>
      <w:proofErr w:type="spellEnd"/>
      <w:r w:rsidRPr="00661646">
        <w:t xml:space="preserve">. 2010. ‘Rescaling environmental governance, rethinking the state: A three-dimensional review’, </w:t>
      </w:r>
      <w:r w:rsidRPr="00661646">
        <w:rPr>
          <w:i/>
        </w:rPr>
        <w:t>Progress in Human Geography</w:t>
      </w:r>
      <w:r w:rsidRPr="00661646">
        <w:t>, 34, 5, 646-653.</w:t>
      </w:r>
    </w:p>
    <w:p w:rsidR="0062685F" w:rsidRPr="008C342C" w:rsidRDefault="0062685F" w:rsidP="0062685F">
      <w:pPr>
        <w:spacing w:line="480" w:lineRule="auto"/>
        <w:ind w:left="777" w:hanging="720"/>
      </w:pPr>
      <w:r w:rsidRPr="008C342C">
        <w:t xml:space="preserve">Rhodes, R. 1994. ‘The hollowing out of the state: The changing nature of the public service in Britain’, </w:t>
      </w:r>
      <w:r w:rsidRPr="008C342C">
        <w:rPr>
          <w:i/>
        </w:rPr>
        <w:t>The Political Quarterly</w:t>
      </w:r>
      <w:r w:rsidRPr="008C342C">
        <w:t>, 65, 2, 138-151.</w:t>
      </w:r>
    </w:p>
    <w:p w:rsidR="0062685F" w:rsidRPr="00E56EEB" w:rsidRDefault="0062685F" w:rsidP="0062685F">
      <w:pPr>
        <w:spacing w:line="480" w:lineRule="auto"/>
        <w:ind w:left="777" w:hanging="720"/>
      </w:pPr>
      <w:r>
        <w:t xml:space="preserve">Roger Hannah. 2018. </w:t>
      </w:r>
      <w:r>
        <w:rPr>
          <w:i/>
        </w:rPr>
        <w:t>Section 106 and Affordable Housing</w:t>
      </w:r>
      <w:r>
        <w:t>. Manchester: Roger Hannah.</w:t>
      </w:r>
    </w:p>
    <w:p w:rsidR="0062685F" w:rsidRPr="008C342C" w:rsidRDefault="0062685F" w:rsidP="0062685F">
      <w:pPr>
        <w:spacing w:line="480" w:lineRule="auto"/>
        <w:ind w:left="777" w:hanging="720"/>
      </w:pPr>
      <w:proofErr w:type="spellStart"/>
      <w:r w:rsidRPr="008C342C">
        <w:t>Sanjo</w:t>
      </w:r>
      <w:proofErr w:type="spellEnd"/>
      <w:r w:rsidRPr="008C342C">
        <w:t xml:space="preserve">, Y. 2012. ‘Country risk, country size, and tax competition for foreign direct investment’, </w:t>
      </w:r>
      <w:r w:rsidRPr="008C342C">
        <w:rPr>
          <w:i/>
        </w:rPr>
        <w:t>International Review of Economics and Finance</w:t>
      </w:r>
      <w:r w:rsidRPr="008C342C">
        <w:t>, 21, 1, 292-301.</w:t>
      </w:r>
    </w:p>
    <w:p w:rsidR="0062685F" w:rsidRPr="008C342C" w:rsidRDefault="0062685F" w:rsidP="0062685F">
      <w:pPr>
        <w:spacing w:line="480" w:lineRule="auto"/>
        <w:ind w:left="777" w:hanging="720"/>
      </w:pPr>
      <w:r w:rsidRPr="008C342C">
        <w:t xml:space="preserve">Schmidt, M. 1996. ‘When parties matter: A review of the possibilities and limits of partisan influence on public policy’, </w:t>
      </w:r>
      <w:r w:rsidRPr="008C342C">
        <w:rPr>
          <w:i/>
        </w:rPr>
        <w:t>European Journal of Political Research</w:t>
      </w:r>
      <w:r w:rsidRPr="008C342C">
        <w:t>, 30, 2, 155-183.</w:t>
      </w:r>
    </w:p>
    <w:p w:rsidR="0062685F" w:rsidRPr="008C342C" w:rsidRDefault="0062685F" w:rsidP="0062685F">
      <w:pPr>
        <w:spacing w:line="480" w:lineRule="auto"/>
        <w:ind w:left="777" w:hanging="720"/>
      </w:pPr>
      <w:r w:rsidRPr="008C342C">
        <w:t xml:space="preserve">Shaw, M. 2000. </w:t>
      </w:r>
      <w:r w:rsidRPr="008C342C">
        <w:rPr>
          <w:i/>
        </w:rPr>
        <w:t xml:space="preserve">Theory of the Global State: </w:t>
      </w:r>
      <w:proofErr w:type="spellStart"/>
      <w:r w:rsidRPr="008C342C">
        <w:rPr>
          <w:i/>
        </w:rPr>
        <w:t>Globality</w:t>
      </w:r>
      <w:proofErr w:type="spellEnd"/>
      <w:r w:rsidRPr="008C342C">
        <w:rPr>
          <w:i/>
        </w:rPr>
        <w:t xml:space="preserve"> as an Unfinished Revolution</w:t>
      </w:r>
      <w:r w:rsidRPr="008C342C">
        <w:t>. Cambridge: University Press.</w:t>
      </w:r>
    </w:p>
    <w:p w:rsidR="0062685F" w:rsidRPr="00F65BF5" w:rsidRDefault="0062685F" w:rsidP="0062685F">
      <w:pPr>
        <w:spacing w:line="480" w:lineRule="auto"/>
        <w:ind w:left="777" w:hanging="720"/>
      </w:pPr>
      <w:proofErr w:type="spellStart"/>
      <w:r>
        <w:t>Snaith</w:t>
      </w:r>
      <w:proofErr w:type="spellEnd"/>
      <w:r>
        <w:t>, H. 2017. ‘</w:t>
      </w:r>
      <w:proofErr w:type="spellStart"/>
      <w:r>
        <w:t>Depoliticization</w:t>
      </w:r>
      <w:proofErr w:type="spellEnd"/>
      <w:r>
        <w:t xml:space="preserve"> as a coordination problem’. In P. Fawcett, M. Flinders, C. Hay, and M. Wood (</w:t>
      </w:r>
      <w:proofErr w:type="spellStart"/>
      <w:proofErr w:type="gramStart"/>
      <w:r>
        <w:t>eds</w:t>
      </w:r>
      <w:proofErr w:type="spellEnd"/>
      <w:proofErr w:type="gramEnd"/>
      <w:r>
        <w:t xml:space="preserve">) </w:t>
      </w:r>
      <w:r>
        <w:rPr>
          <w:i/>
        </w:rPr>
        <w:t xml:space="preserve">Anti-Politics, </w:t>
      </w:r>
      <w:proofErr w:type="spellStart"/>
      <w:r>
        <w:rPr>
          <w:i/>
        </w:rPr>
        <w:t>Depoliticization</w:t>
      </w:r>
      <w:proofErr w:type="spellEnd"/>
      <w:r>
        <w:rPr>
          <w:i/>
        </w:rPr>
        <w:t>, and Governance</w:t>
      </w:r>
      <w:r>
        <w:t>. Oxford: University Press, 169-94.</w:t>
      </w:r>
    </w:p>
    <w:p w:rsidR="00B31BAA" w:rsidRDefault="00B31BAA" w:rsidP="0062685F">
      <w:pPr>
        <w:spacing w:line="480" w:lineRule="auto"/>
        <w:ind w:left="777" w:hanging="720"/>
      </w:pPr>
      <w:proofErr w:type="spellStart"/>
      <w:r>
        <w:rPr>
          <w:rFonts w:ascii="Arial" w:hAnsi="Arial" w:cs="Arial"/>
          <w:color w:val="222222"/>
          <w:sz w:val="20"/>
          <w:szCs w:val="20"/>
          <w:shd w:val="clear" w:color="auto" w:fill="FFFFFF"/>
        </w:rPr>
        <w:t>Spendzharova</w:t>
      </w:r>
      <w:proofErr w:type="spellEnd"/>
      <w:r>
        <w:rPr>
          <w:rFonts w:ascii="Arial" w:hAnsi="Arial" w:cs="Arial"/>
          <w:color w:val="222222"/>
          <w:sz w:val="20"/>
          <w:szCs w:val="20"/>
          <w:shd w:val="clear" w:color="auto" w:fill="FFFFFF"/>
        </w:rPr>
        <w:t xml:space="preserve">, A. and E. </w:t>
      </w:r>
      <w:proofErr w:type="spellStart"/>
      <w:r>
        <w:rPr>
          <w:rFonts w:ascii="Arial" w:hAnsi="Arial" w:cs="Arial"/>
          <w:color w:val="222222"/>
          <w:sz w:val="20"/>
          <w:szCs w:val="20"/>
          <w:shd w:val="clear" w:color="auto" w:fill="FFFFFF"/>
        </w:rPr>
        <w:t>Versluis</w:t>
      </w:r>
      <w:proofErr w:type="spellEnd"/>
      <w:r>
        <w:rPr>
          <w:rFonts w:ascii="Arial" w:hAnsi="Arial" w:cs="Arial"/>
          <w:color w:val="222222"/>
          <w:sz w:val="20"/>
          <w:szCs w:val="20"/>
          <w:shd w:val="clear" w:color="auto" w:fill="FFFFFF"/>
        </w:rPr>
        <w:t>. 2013. ‘Issue salience in the European Policy Process: what impact on transposition?</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European Public Policy</w:t>
      </w:r>
      <w:r>
        <w:rPr>
          <w:rFonts w:ascii="Arial" w:hAnsi="Arial" w:cs="Arial"/>
          <w:color w:val="222222"/>
          <w:sz w:val="20"/>
          <w:szCs w:val="20"/>
          <w:shd w:val="clear" w:color="auto" w:fill="FFFFFF"/>
        </w:rPr>
        <w:t>, </w:t>
      </w:r>
      <w:r w:rsidRPr="00F71440">
        <w:rPr>
          <w:rFonts w:ascii="Arial" w:hAnsi="Arial" w:cs="Arial"/>
          <w:iCs/>
          <w:color w:val="222222"/>
          <w:sz w:val="20"/>
          <w:szCs w:val="20"/>
          <w:shd w:val="clear" w:color="auto" w:fill="FFFFFF"/>
        </w:rPr>
        <w:t>20</w:t>
      </w:r>
      <w:r>
        <w:rPr>
          <w:rFonts w:ascii="Arial" w:hAnsi="Arial" w:cs="Arial"/>
          <w:color w:val="222222"/>
          <w:sz w:val="20"/>
          <w:szCs w:val="20"/>
          <w:shd w:val="clear" w:color="auto" w:fill="FFFFFF"/>
        </w:rPr>
        <w:t>, 10, 1499-1516.</w:t>
      </w:r>
    </w:p>
    <w:p w:rsidR="0062685F" w:rsidRPr="008C342C" w:rsidRDefault="0062685F" w:rsidP="0062685F">
      <w:pPr>
        <w:spacing w:line="480" w:lineRule="auto"/>
        <w:ind w:left="777" w:hanging="720"/>
      </w:pPr>
      <w:r w:rsidRPr="008C342C">
        <w:t>Stephens, M. 2013. ‘Social Housing in the UK’, in J. Chen and M. Stephens (</w:t>
      </w:r>
      <w:proofErr w:type="spellStart"/>
      <w:proofErr w:type="gramStart"/>
      <w:r w:rsidRPr="008C342C">
        <w:t>eds</w:t>
      </w:r>
      <w:proofErr w:type="spellEnd"/>
      <w:proofErr w:type="gramEnd"/>
      <w:r w:rsidRPr="008C342C">
        <w:t xml:space="preserve">), </w:t>
      </w:r>
      <w:r w:rsidRPr="008C342C">
        <w:rPr>
          <w:i/>
        </w:rPr>
        <w:t>The Future of Public Housing: Ongoing Trends in East and West</w:t>
      </w:r>
      <w:r w:rsidRPr="008C342C">
        <w:t>. Cambridge, MA: Lincoln Institute of Land Policy, 199-214.</w:t>
      </w:r>
    </w:p>
    <w:p w:rsidR="0062685F" w:rsidRPr="008C342C" w:rsidRDefault="0062685F" w:rsidP="0062685F">
      <w:pPr>
        <w:spacing w:line="480" w:lineRule="auto"/>
        <w:ind w:left="777" w:hanging="720"/>
      </w:pPr>
      <w:r w:rsidRPr="008C342C">
        <w:t xml:space="preserve">Stigler, G. 1971. ‘The theory of economic regulation’, </w:t>
      </w:r>
      <w:r w:rsidRPr="008C342C">
        <w:rPr>
          <w:i/>
        </w:rPr>
        <w:t>Bell Journal of Economics and Management Science</w:t>
      </w:r>
      <w:r w:rsidRPr="008C342C">
        <w:t>, 2, 1, 3-21.</w:t>
      </w:r>
    </w:p>
    <w:p w:rsidR="0062685F" w:rsidRPr="008C342C" w:rsidRDefault="0062685F" w:rsidP="0062685F">
      <w:pPr>
        <w:spacing w:line="480" w:lineRule="auto"/>
        <w:ind w:left="777" w:hanging="720"/>
      </w:pPr>
      <w:r w:rsidRPr="008C342C">
        <w:lastRenderedPageBreak/>
        <w:t xml:space="preserve">Stigler, G. and C. </w:t>
      </w:r>
      <w:proofErr w:type="spellStart"/>
      <w:r w:rsidRPr="008C342C">
        <w:t>Friedland</w:t>
      </w:r>
      <w:proofErr w:type="spellEnd"/>
      <w:r w:rsidRPr="008C342C">
        <w:t xml:space="preserve">. 1962. ‘What can regulators regulate? The case of electricity’, </w:t>
      </w:r>
      <w:r w:rsidRPr="008C342C">
        <w:rPr>
          <w:i/>
        </w:rPr>
        <w:t>Journal of Law and Economics</w:t>
      </w:r>
      <w:r w:rsidRPr="008C342C">
        <w:t>, 5, 1, 1-16.</w:t>
      </w:r>
    </w:p>
    <w:p w:rsidR="0062685F" w:rsidRDefault="0062685F" w:rsidP="0062685F">
      <w:pPr>
        <w:spacing w:line="480" w:lineRule="auto"/>
        <w:ind w:left="777" w:hanging="720"/>
      </w:pPr>
      <w:proofErr w:type="spellStart"/>
      <w:r>
        <w:t>Toke</w:t>
      </w:r>
      <w:proofErr w:type="spellEnd"/>
      <w:r>
        <w:t>, D. 2003</w:t>
      </w:r>
      <w:r w:rsidRPr="00A53A77">
        <w:t xml:space="preserve">. </w:t>
      </w:r>
      <w:r>
        <w:t>‘</w:t>
      </w:r>
      <w:r w:rsidRPr="00A53A77">
        <w:t>Wind power in the UK: How planning conditions and financial arrangements affect outcomes</w:t>
      </w:r>
      <w:r>
        <w:t>’,</w:t>
      </w:r>
      <w:r w:rsidRPr="00A53A77">
        <w:t xml:space="preserve"> </w:t>
      </w:r>
      <w:r w:rsidRPr="00A53A77">
        <w:rPr>
          <w:i/>
        </w:rPr>
        <w:t>International Journal of Sustainable Energy</w:t>
      </w:r>
      <w:r w:rsidRPr="00A53A77">
        <w:t>, 23</w:t>
      </w:r>
      <w:r>
        <w:t>, 4</w:t>
      </w:r>
      <w:r w:rsidRPr="00A53A77">
        <w:t>, 207-216.</w:t>
      </w:r>
    </w:p>
    <w:p w:rsidR="0062685F" w:rsidRDefault="0062685F" w:rsidP="0062685F">
      <w:pPr>
        <w:spacing w:line="480" w:lineRule="auto"/>
        <w:ind w:left="777" w:hanging="720"/>
      </w:pPr>
      <w:proofErr w:type="spellStart"/>
      <w:r>
        <w:t>Toke</w:t>
      </w:r>
      <w:proofErr w:type="spellEnd"/>
      <w:r>
        <w:t>, D. 2005</w:t>
      </w:r>
      <w:r w:rsidRPr="008D17EC">
        <w:t xml:space="preserve">. </w:t>
      </w:r>
      <w:r>
        <w:t>‘</w:t>
      </w:r>
      <w:r w:rsidRPr="008D17EC">
        <w:t xml:space="preserve">Explaining wind power planning outcomes: </w:t>
      </w:r>
      <w:r>
        <w:t>S</w:t>
      </w:r>
      <w:r w:rsidRPr="008D17EC">
        <w:t>ome findings from a study in England and Wales</w:t>
      </w:r>
      <w:r>
        <w:t>’,</w:t>
      </w:r>
      <w:r w:rsidRPr="008D17EC">
        <w:t xml:space="preserve"> </w:t>
      </w:r>
      <w:r w:rsidRPr="008D17EC">
        <w:rPr>
          <w:i/>
        </w:rPr>
        <w:t xml:space="preserve">Energy </w:t>
      </w:r>
      <w:r>
        <w:rPr>
          <w:i/>
        </w:rPr>
        <w:t>P</w:t>
      </w:r>
      <w:r w:rsidRPr="008D17EC">
        <w:rPr>
          <w:i/>
        </w:rPr>
        <w:t>olicy</w:t>
      </w:r>
      <w:r w:rsidRPr="008D17EC">
        <w:t>, 33</w:t>
      </w:r>
      <w:r>
        <w:t>, 12</w:t>
      </w:r>
      <w:r w:rsidRPr="008D17EC">
        <w:t>, 1527-1539.</w:t>
      </w:r>
    </w:p>
    <w:p w:rsidR="00D575F6" w:rsidRDefault="00D575F6" w:rsidP="00D575F6">
      <w:pPr>
        <w:spacing w:line="480" w:lineRule="auto"/>
        <w:ind w:left="777" w:hanging="720"/>
      </w:pPr>
      <w:proofErr w:type="spellStart"/>
      <w:r>
        <w:t>Toshkov</w:t>
      </w:r>
      <w:proofErr w:type="spellEnd"/>
      <w:r>
        <w:t xml:space="preserve">, D. 2007. ‘In search of the worlds of compliance: culture and transposition performance in the European Union’, </w:t>
      </w:r>
      <w:r w:rsidRPr="00FE5EC8">
        <w:rPr>
          <w:i/>
        </w:rPr>
        <w:t>Journal of European Public Policy</w:t>
      </w:r>
      <w:r>
        <w:t>, 14, 6, 933–59.</w:t>
      </w:r>
    </w:p>
    <w:p w:rsidR="0062685F" w:rsidRPr="008C342C" w:rsidRDefault="0062685F" w:rsidP="0062685F">
      <w:pPr>
        <w:spacing w:line="480" w:lineRule="auto"/>
        <w:ind w:left="777" w:hanging="720"/>
      </w:pPr>
      <w:proofErr w:type="gramStart"/>
      <w:r w:rsidRPr="008C342C">
        <w:t>van</w:t>
      </w:r>
      <w:proofErr w:type="gramEnd"/>
      <w:r w:rsidRPr="008C342C">
        <w:t xml:space="preserve"> </w:t>
      </w:r>
      <w:proofErr w:type="spellStart"/>
      <w:r w:rsidRPr="008C342C">
        <w:t>Kersbergen</w:t>
      </w:r>
      <w:proofErr w:type="spellEnd"/>
      <w:r w:rsidRPr="008C342C">
        <w:t xml:space="preserve">, K. 1995. </w:t>
      </w:r>
      <w:r w:rsidRPr="008C342C">
        <w:rPr>
          <w:i/>
        </w:rPr>
        <w:t>Social Capitalism</w:t>
      </w:r>
      <w:r w:rsidRPr="008C342C">
        <w:t>. London: Routledge.</w:t>
      </w:r>
    </w:p>
    <w:p w:rsidR="00721621" w:rsidRDefault="00721621" w:rsidP="00DA7706">
      <w:pPr>
        <w:spacing w:line="480" w:lineRule="auto"/>
        <w:ind w:left="777" w:hanging="720"/>
      </w:pPr>
      <w:proofErr w:type="spellStart"/>
      <w:r>
        <w:t>Versluis</w:t>
      </w:r>
      <w:proofErr w:type="spellEnd"/>
      <w:r>
        <w:t xml:space="preserve">, E. 2007. ‘Even rules, uneven practices: opening the ‘black box’ of EU law in action’, </w:t>
      </w:r>
      <w:r w:rsidRPr="00F71440">
        <w:rPr>
          <w:i/>
        </w:rPr>
        <w:t>West European Politics</w:t>
      </w:r>
      <w:r>
        <w:t>, 30, 1, 50–67.</w:t>
      </w:r>
    </w:p>
    <w:p w:rsidR="0062685F" w:rsidRPr="008C342C" w:rsidRDefault="0062685F" w:rsidP="0062685F">
      <w:pPr>
        <w:spacing w:line="480" w:lineRule="auto"/>
        <w:ind w:left="777" w:hanging="720"/>
      </w:pPr>
      <w:r w:rsidRPr="008C342C">
        <w:t xml:space="preserve">Warner, M. and A. </w:t>
      </w:r>
      <w:proofErr w:type="spellStart"/>
      <w:r w:rsidRPr="008C342C">
        <w:t>Hefetz</w:t>
      </w:r>
      <w:proofErr w:type="spellEnd"/>
      <w:r w:rsidRPr="008C342C">
        <w:t xml:space="preserve">. 2003. ‘Rural—urban differences in privatization: limits to the competitive state’, </w:t>
      </w:r>
      <w:r w:rsidRPr="008C342C">
        <w:rPr>
          <w:i/>
        </w:rPr>
        <w:t>Environment and Planning C: Government and Policy</w:t>
      </w:r>
      <w:r w:rsidRPr="008C342C">
        <w:t>, 21, 5, 703-718.</w:t>
      </w:r>
    </w:p>
    <w:p w:rsidR="00A73D59" w:rsidRPr="00A73D59" w:rsidRDefault="00A73D59" w:rsidP="0062685F">
      <w:pPr>
        <w:spacing w:line="480" w:lineRule="auto"/>
        <w:ind w:left="777" w:hanging="720"/>
        <w:rPr>
          <w:i/>
        </w:rPr>
      </w:pPr>
      <w:r>
        <w:t xml:space="preserve">Weekes, T. 2018. ‘Flatling wages, surging rents, and a national affordability crisis’, </w:t>
      </w:r>
      <w:hyperlink r:id="rId15" w:history="1">
        <w:r>
          <w:rPr>
            <w:rStyle w:val="Hyperlink"/>
          </w:rPr>
          <w:t>https://blog.shelter.org.uk/2018/08/flatlining-wages-surging-rents-and-a-national-affordability-crisis/</w:t>
        </w:r>
      </w:hyperlink>
      <w:r>
        <w:t>. Accessed 13</w:t>
      </w:r>
      <w:r w:rsidRPr="00A73D59">
        <w:rPr>
          <w:vertAlign w:val="superscript"/>
        </w:rPr>
        <w:t>th</w:t>
      </w:r>
      <w:r>
        <w:t xml:space="preserve"> </w:t>
      </w:r>
      <w:proofErr w:type="gramStart"/>
      <w:r>
        <w:t>June,</w:t>
      </w:r>
      <w:proofErr w:type="gramEnd"/>
      <w:r>
        <w:t xml:space="preserve"> 2019. </w:t>
      </w:r>
    </w:p>
    <w:p w:rsidR="0062685F" w:rsidRPr="002E6BC0" w:rsidRDefault="0062685F" w:rsidP="0062685F">
      <w:pPr>
        <w:spacing w:line="480" w:lineRule="auto"/>
        <w:ind w:left="777" w:hanging="720"/>
      </w:pPr>
      <w:r>
        <w:t xml:space="preserve">Wilson, W. and C. Barton. 2018. </w:t>
      </w:r>
      <w:r>
        <w:rPr>
          <w:i/>
        </w:rPr>
        <w:t>Tackling the under-supply of housing in England</w:t>
      </w:r>
      <w:r>
        <w:t>. (London: House of Commons Library).</w:t>
      </w:r>
    </w:p>
    <w:p w:rsidR="0062685F" w:rsidRPr="008C342C" w:rsidRDefault="0062685F" w:rsidP="0062685F">
      <w:pPr>
        <w:spacing w:line="480" w:lineRule="auto"/>
        <w:ind w:left="777" w:hanging="720"/>
      </w:pPr>
      <w:r w:rsidRPr="008C342C">
        <w:t xml:space="preserve">Yates, D. 1996. </w:t>
      </w:r>
      <w:r w:rsidRPr="008C342C">
        <w:rPr>
          <w:i/>
        </w:rPr>
        <w:t>The Rentier State in Africa</w:t>
      </w:r>
      <w:r w:rsidRPr="008C342C">
        <w:t>. New Jersey: Africa World Press.</w:t>
      </w:r>
    </w:p>
    <w:p w:rsidR="006402C8" w:rsidRPr="00FC5C87" w:rsidRDefault="0062685F" w:rsidP="00204F4D">
      <w:pPr>
        <w:spacing w:line="480" w:lineRule="auto"/>
        <w:ind w:left="777" w:hanging="720"/>
      </w:pPr>
      <w:proofErr w:type="spellStart"/>
      <w:r w:rsidRPr="008C342C">
        <w:t>Zohlnhofer</w:t>
      </w:r>
      <w:proofErr w:type="spellEnd"/>
      <w:r w:rsidRPr="008C342C">
        <w:t xml:space="preserve">, R. and H. </w:t>
      </w:r>
      <w:proofErr w:type="spellStart"/>
      <w:r w:rsidRPr="008C342C">
        <w:t>Obinger</w:t>
      </w:r>
      <w:proofErr w:type="spellEnd"/>
      <w:r w:rsidRPr="008C342C">
        <w:t xml:space="preserve">. 2006. ‘Selling Off the “Family Silver": The Politics of Privatization’, </w:t>
      </w:r>
      <w:r w:rsidRPr="008C342C">
        <w:rPr>
          <w:i/>
        </w:rPr>
        <w:t>World Political Science</w:t>
      </w:r>
      <w:r w:rsidRPr="008C342C">
        <w:t>, 2, 1, 29-52.</w:t>
      </w:r>
    </w:p>
    <w:sectPr w:rsidR="006402C8" w:rsidRPr="00FC5C8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62" w:rsidRDefault="00B00A62" w:rsidP="00430BFE">
      <w:pPr>
        <w:spacing w:after="0" w:line="240" w:lineRule="auto"/>
      </w:pPr>
      <w:r>
        <w:separator/>
      </w:r>
    </w:p>
  </w:endnote>
  <w:endnote w:type="continuationSeparator" w:id="0">
    <w:p w:rsidR="00B00A62" w:rsidRDefault="00B00A62" w:rsidP="0043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303599"/>
      <w:docPartObj>
        <w:docPartGallery w:val="Page Numbers (Bottom of Page)"/>
        <w:docPartUnique/>
      </w:docPartObj>
    </w:sdtPr>
    <w:sdtEndPr>
      <w:rPr>
        <w:noProof/>
      </w:rPr>
    </w:sdtEndPr>
    <w:sdtContent>
      <w:p w:rsidR="00B00A62" w:rsidRDefault="00B00A62">
        <w:pPr>
          <w:pStyle w:val="Footer"/>
          <w:jc w:val="center"/>
        </w:pPr>
        <w:r>
          <w:fldChar w:fldCharType="begin"/>
        </w:r>
        <w:r>
          <w:instrText xml:space="preserve"> PAGE   \* MERGEFORMAT </w:instrText>
        </w:r>
        <w:r>
          <w:fldChar w:fldCharType="separate"/>
        </w:r>
        <w:r w:rsidR="001904FA">
          <w:rPr>
            <w:noProof/>
          </w:rPr>
          <w:t>20</w:t>
        </w:r>
        <w:r>
          <w:rPr>
            <w:noProof/>
          </w:rPr>
          <w:fldChar w:fldCharType="end"/>
        </w:r>
      </w:p>
    </w:sdtContent>
  </w:sdt>
  <w:p w:rsidR="00B00A62" w:rsidRDefault="00B00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62" w:rsidRDefault="00B00A62" w:rsidP="00430BFE">
      <w:pPr>
        <w:spacing w:after="0" w:line="240" w:lineRule="auto"/>
      </w:pPr>
      <w:r>
        <w:separator/>
      </w:r>
    </w:p>
  </w:footnote>
  <w:footnote w:type="continuationSeparator" w:id="0">
    <w:p w:rsidR="00B00A62" w:rsidRDefault="00B00A62" w:rsidP="00430BFE">
      <w:pPr>
        <w:spacing w:after="0" w:line="240" w:lineRule="auto"/>
      </w:pPr>
      <w:r>
        <w:continuationSeparator/>
      </w:r>
    </w:p>
  </w:footnote>
  <w:footnote w:id="1">
    <w:p w:rsidR="00B00A62" w:rsidRDefault="00B00A62" w:rsidP="009C6FBE">
      <w:pPr>
        <w:pStyle w:val="FootnoteText"/>
      </w:pPr>
      <w:r>
        <w:rPr>
          <w:rStyle w:val="FootnoteReference"/>
        </w:rPr>
        <w:footnoteRef/>
      </w:r>
      <w:r>
        <w:t xml:space="preserve"> Following the regulation for welfare literature, throughout the paper we use the term ‘regulatory governance’ in this more expansive sense. </w:t>
      </w:r>
    </w:p>
  </w:footnote>
  <w:footnote w:id="2">
    <w:p w:rsidR="00DB7989" w:rsidRDefault="00DB7989">
      <w:pPr>
        <w:pStyle w:val="FootnoteText"/>
      </w:pPr>
      <w:r>
        <w:rPr>
          <w:rStyle w:val="FootnoteReference"/>
        </w:rPr>
        <w:footnoteRef/>
      </w:r>
      <w:r>
        <w:t xml:space="preserve"> These definitions draw on those offered in </w:t>
      </w:r>
      <w:proofErr w:type="spellStart"/>
      <w:r>
        <w:t>Farstad</w:t>
      </w:r>
      <w:proofErr w:type="spellEnd"/>
      <w:r>
        <w:t xml:space="preserve"> (2018: 704).</w:t>
      </w:r>
    </w:p>
  </w:footnote>
  <w:footnote w:id="3">
    <w:p w:rsidR="00B00A62" w:rsidRDefault="00B00A62">
      <w:pPr>
        <w:pStyle w:val="FootnoteText"/>
      </w:pPr>
      <w:r>
        <w:rPr>
          <w:rStyle w:val="FootnoteReference"/>
        </w:rPr>
        <w:footnoteRef/>
      </w:r>
      <w:r>
        <w:t xml:space="preserve"> For the purpose of this paper, we take an expansive definition of ‘affordable housing’ to refer to </w:t>
      </w:r>
      <w:r w:rsidRPr="0096314E">
        <w:rPr>
          <w:i/>
        </w:rPr>
        <w:t xml:space="preserve">low-cost accommodation </w:t>
      </w:r>
      <w:r>
        <w:rPr>
          <w:i/>
        </w:rPr>
        <w:t>whose provision is influenced by</w:t>
      </w:r>
      <w:r w:rsidRPr="0096314E">
        <w:rPr>
          <w:i/>
        </w:rPr>
        <w:t xml:space="preserve"> regulatory intervention </w:t>
      </w:r>
      <w:r>
        <w:rPr>
          <w:i/>
        </w:rPr>
        <w:t xml:space="preserve">to serve </w:t>
      </w:r>
      <w:r w:rsidRPr="0096314E">
        <w:rPr>
          <w:i/>
        </w:rPr>
        <w:t xml:space="preserve">people whose needs are not adequately </w:t>
      </w:r>
      <w:r>
        <w:rPr>
          <w:i/>
        </w:rPr>
        <w:t>met</w:t>
      </w:r>
      <w:r w:rsidRPr="0096314E">
        <w:rPr>
          <w:i/>
        </w:rPr>
        <w:t xml:space="preserve"> through the commercial housing market</w:t>
      </w:r>
      <w:r>
        <w:rPr>
          <w:i/>
        </w:rPr>
        <w:t>.</w:t>
      </w:r>
      <w:r>
        <w:t xml:space="preserve"> This definition is in line with statutory definitions provided in the Housing and Regeneration Act 2008 and the Housing and Planning Act 2016 (for overviews, see Fears et al. 2016: 4-6).  </w:t>
      </w:r>
    </w:p>
  </w:footnote>
  <w:footnote w:id="4">
    <w:p w:rsidR="00B00A62" w:rsidRDefault="00B00A62">
      <w:pPr>
        <w:pStyle w:val="FootnoteText"/>
      </w:pPr>
      <w:r>
        <w:rPr>
          <w:rStyle w:val="FootnoteReference"/>
        </w:rPr>
        <w:footnoteRef/>
      </w:r>
      <w:r>
        <w:t xml:space="preserve"> Reflections on the discretionary power of local authorities over this form of planning decision is provided by, for example, </w:t>
      </w:r>
      <w:proofErr w:type="spellStart"/>
      <w:r>
        <w:t>Flemming</w:t>
      </w:r>
      <w:proofErr w:type="spellEnd"/>
      <w:r>
        <w:t xml:space="preserve"> and Short (1984) </w:t>
      </w:r>
      <w:proofErr w:type="gramStart"/>
      <w:r>
        <w:t>and Ball et</w:t>
      </w:r>
      <w:proofErr w:type="gramEnd"/>
      <w:r>
        <w:t xml:space="preserve"> al (2008).</w:t>
      </w:r>
    </w:p>
  </w:footnote>
  <w:footnote w:id="5">
    <w:p w:rsidR="00B00A62" w:rsidRDefault="00B00A62" w:rsidP="00D232D1">
      <w:pPr>
        <w:pStyle w:val="FootnoteText"/>
      </w:pPr>
      <w:r>
        <w:rPr>
          <w:rStyle w:val="FootnoteReference"/>
        </w:rPr>
        <w:footnoteRef/>
      </w:r>
      <w:r>
        <w:t xml:space="preserve"> See, for example, Wilson and Barton (2018).</w:t>
      </w:r>
    </w:p>
  </w:footnote>
  <w:footnote w:id="6">
    <w:p w:rsidR="00B00A62" w:rsidRDefault="00B00A62">
      <w:pPr>
        <w:pStyle w:val="FootnoteText"/>
      </w:pPr>
      <w:r>
        <w:rPr>
          <w:rStyle w:val="FootnoteReference"/>
        </w:rPr>
        <w:footnoteRef/>
      </w:r>
      <w:r>
        <w:t xml:space="preserve"> Within literature on regulatory governance, the local level remains somewhat under-explored. </w:t>
      </w:r>
      <w:r w:rsidRPr="008C342C">
        <w:t>The most prominent contributions</w:t>
      </w:r>
      <w:r>
        <w:t xml:space="preserve"> on the ‘rescaling’ of regulatory governance</w:t>
      </w:r>
      <w:r w:rsidRPr="008C342C">
        <w:t xml:space="preserve"> have tended to focus on shifts in decision-making power ‘upwards’ and ‘sideways’ to supra-national institutions or quasi-independent agencies respectively (cf. Rhodes 1994, Shaw 2000, Marsh et al. 2003).</w:t>
      </w:r>
    </w:p>
  </w:footnote>
  <w:footnote w:id="7">
    <w:p w:rsidR="00B00A62" w:rsidRDefault="00B00A62">
      <w:pPr>
        <w:pStyle w:val="FootnoteText"/>
      </w:pPr>
      <w:r>
        <w:rPr>
          <w:rStyle w:val="FootnoteReference"/>
        </w:rPr>
        <w:footnoteRef/>
      </w:r>
      <w:r>
        <w:t xml:space="preserve"> As is detailed below, sub-optimality and buoyancy are not mutually exclusive features of a given market. In short, sub-optimality refers to the under-provision of housing that is affordable and accessible, whereas buoyancy refers to the volume of new-build construction. </w:t>
      </w:r>
    </w:p>
  </w:footnote>
  <w:footnote w:id="8">
    <w:p w:rsidR="00B00A62" w:rsidRDefault="00B00A62">
      <w:pPr>
        <w:pStyle w:val="FootnoteText"/>
      </w:pPr>
      <w:r>
        <w:rPr>
          <w:rStyle w:val="FootnoteReference"/>
        </w:rPr>
        <w:footnoteRef/>
      </w:r>
      <w:r>
        <w:t xml:space="preserve"> For a useful review, see Schmidt (1996).</w:t>
      </w:r>
    </w:p>
  </w:footnote>
  <w:footnote w:id="9">
    <w:p w:rsidR="00B00A62" w:rsidRDefault="00B00A62">
      <w:pPr>
        <w:pStyle w:val="FootnoteText"/>
      </w:pPr>
      <w:r>
        <w:rPr>
          <w:rStyle w:val="FootnoteReference"/>
        </w:rPr>
        <w:footnoteRef/>
      </w:r>
      <w:r>
        <w:t xml:space="preserve"> While investigations into more recent dynamics suggest that the partisan influence on social spending levels has declined over time (Huber and Stephens 2001, Kittel and </w:t>
      </w:r>
      <w:proofErr w:type="spellStart"/>
      <w:r>
        <w:t>Obinger</w:t>
      </w:r>
      <w:proofErr w:type="spellEnd"/>
      <w:r>
        <w:t xml:space="preserve"> 2003), Allan and Scruggs (2004) find partisanship to have had a significant influence over levels of unemployment and sickness benefit across industrial democracies throughout the period 1975-99.</w:t>
      </w:r>
    </w:p>
  </w:footnote>
  <w:footnote w:id="10">
    <w:p w:rsidR="00B00A62" w:rsidRDefault="00B00A62" w:rsidP="00DF6B1C">
      <w:pPr>
        <w:pStyle w:val="FootnoteText"/>
      </w:pPr>
      <w:r>
        <w:rPr>
          <w:rStyle w:val="FootnoteReference"/>
        </w:rPr>
        <w:footnoteRef/>
      </w:r>
      <w:r>
        <w:t xml:space="preserve"> Further detail </w:t>
      </w:r>
      <w:proofErr w:type="gramStart"/>
      <w:r>
        <w:t>is provided</w:t>
      </w:r>
      <w:proofErr w:type="gramEnd"/>
      <w:r>
        <w:t xml:space="preserve"> in the section below on local authority Planning Committees and planning officers.</w:t>
      </w:r>
    </w:p>
  </w:footnote>
  <w:footnote w:id="11">
    <w:p w:rsidR="00B00A62" w:rsidRDefault="00B00A62" w:rsidP="00CF7785">
      <w:pPr>
        <w:pStyle w:val="FootnoteText"/>
      </w:pPr>
      <w:r>
        <w:rPr>
          <w:rStyle w:val="FootnoteReference"/>
        </w:rPr>
        <w:footnoteRef/>
      </w:r>
      <w:r>
        <w:t xml:space="preserve"> Within this literature, e</w:t>
      </w:r>
      <w:r w:rsidRPr="008C342C">
        <w:t>nterpris</w:t>
      </w:r>
      <w:r>
        <w:t xml:space="preserve">es </w:t>
      </w:r>
      <w:proofErr w:type="gramStart"/>
      <w:r>
        <w:t>are found</w:t>
      </w:r>
      <w:proofErr w:type="gramEnd"/>
      <w:r>
        <w:t xml:space="preserve"> to judge that the higher</w:t>
      </w:r>
      <w:r w:rsidRPr="008C342C">
        <w:t xml:space="preserve"> demand </w:t>
      </w:r>
      <w:r>
        <w:t>from larger states’ larger markets</w:t>
      </w:r>
      <w:r w:rsidRPr="008C342C">
        <w:t xml:space="preserve"> will allow for higher prices and</w:t>
      </w:r>
      <w:r>
        <w:t xml:space="preserve"> higher overall</w:t>
      </w:r>
      <w:r w:rsidRPr="008C342C">
        <w:t xml:space="preserve"> profits</w:t>
      </w:r>
      <w:r>
        <w:t xml:space="preserve">. Consequently, gaining access to a large and buoyant market makes corporations more </w:t>
      </w:r>
      <w:r w:rsidRPr="008C342C">
        <w:t>willing to opt-in to higher tax regimes (</w:t>
      </w:r>
      <w:proofErr w:type="spellStart"/>
      <w:r w:rsidRPr="008C342C">
        <w:t>Haufler</w:t>
      </w:r>
      <w:proofErr w:type="spellEnd"/>
      <w:r w:rsidRPr="008C342C">
        <w:t xml:space="preserve"> and Wooten 1999, </w:t>
      </w:r>
      <w:proofErr w:type="spellStart"/>
      <w:r w:rsidRPr="008C342C">
        <w:t>Ottaviano</w:t>
      </w:r>
      <w:proofErr w:type="spellEnd"/>
      <w:r w:rsidRPr="008C342C">
        <w:t xml:space="preserve"> and </w:t>
      </w:r>
      <w:proofErr w:type="spellStart"/>
      <w:r w:rsidRPr="008C342C">
        <w:t>va</w:t>
      </w:r>
      <w:proofErr w:type="spellEnd"/>
      <w:r w:rsidRPr="008C342C">
        <w:t xml:space="preserve"> </w:t>
      </w:r>
      <w:proofErr w:type="spellStart"/>
      <w:r w:rsidRPr="008C342C">
        <w:t>Ypersele</w:t>
      </w:r>
      <w:proofErr w:type="spellEnd"/>
      <w:r w:rsidRPr="008C342C">
        <w:t xml:space="preserve"> 2005, </w:t>
      </w:r>
      <w:proofErr w:type="spellStart"/>
      <w:r w:rsidRPr="008C342C">
        <w:t>Sanjo</w:t>
      </w:r>
      <w:proofErr w:type="spellEnd"/>
      <w:r w:rsidRPr="008C342C">
        <w:t xml:space="preserve"> 2012).</w:t>
      </w:r>
    </w:p>
  </w:footnote>
  <w:footnote w:id="12">
    <w:p w:rsidR="00B00A62" w:rsidRDefault="00B00A62" w:rsidP="006E1F8E">
      <w:pPr>
        <w:pStyle w:val="FootnoteText"/>
      </w:pPr>
      <w:r>
        <w:rPr>
          <w:rStyle w:val="FootnoteReference"/>
        </w:rPr>
        <w:footnoteRef/>
      </w:r>
      <w:r>
        <w:t xml:space="preserve"> As noted in the introductory section of the paper, market buoyancy and market sub-optimality are not mutually exclusive conditions. Markets can simultaneously be buoyant (in terms of offering significant opportunity for profit-generation) and generators of sub-optimal outcomes (as defined here in terms of iniquitous distributional patterns that permit scope for welfare-enhancing intervention).</w:t>
      </w:r>
    </w:p>
  </w:footnote>
  <w:footnote w:id="13">
    <w:p w:rsidR="00B00A62" w:rsidRDefault="00B00A62" w:rsidP="00515515">
      <w:pPr>
        <w:pStyle w:val="FootnoteText"/>
      </w:pPr>
      <w:r>
        <w:rPr>
          <w:rStyle w:val="FootnoteReference"/>
        </w:rPr>
        <w:footnoteRef/>
      </w:r>
      <w:r>
        <w:t xml:space="preserve"> This conceptualisation is much broader than the understanding of market failure often employed within Economics, which tend to focus on equilibrium distortions generated by factors including monopoly, asymmetric information, and externalities. For the avoidance of confusion, we use the term ‘sub-optimal market performance’ rather than ‘market failure’ throughout the paper, and use the term in the more expansive sense offered by the public interest theory literature.</w:t>
      </w:r>
    </w:p>
  </w:footnote>
  <w:footnote w:id="14">
    <w:p w:rsidR="00B00A62" w:rsidRDefault="00B00A62">
      <w:pPr>
        <w:pStyle w:val="FootnoteText"/>
      </w:pPr>
      <w:r>
        <w:rPr>
          <w:rStyle w:val="FootnoteReference"/>
        </w:rPr>
        <w:footnoteRef/>
      </w:r>
      <w:r>
        <w:t xml:space="preserve"> Affordable housing mandated under S106 may specifically take the form of ‘social rental’ (with guideline rates set through the national rent regime), ‘affordable rental’ (with rents not exceeding 80 percent of the local market rates), or ‘intermediate housing’ (including homes for sale through shared ownership and low-cost homes for sale). See Department for Communities and Local Government Official Website, available at </w:t>
      </w:r>
      <w:hyperlink r:id="rId1" w:history="1">
        <w:r w:rsidRPr="00DF248E">
          <w:rPr>
            <w:rStyle w:val="Hyperlink"/>
          </w:rPr>
          <w:t>https://www.gov.uk/guidance/definitions-of-general-housing-terms</w:t>
        </w:r>
      </w:hyperlink>
      <w:r>
        <w:t>. Accessed 24</w:t>
      </w:r>
      <w:r w:rsidRPr="003B35A8">
        <w:rPr>
          <w:vertAlign w:val="superscript"/>
        </w:rPr>
        <w:t>th</w:t>
      </w:r>
      <w:r>
        <w:t xml:space="preserve"> </w:t>
      </w:r>
      <w:proofErr w:type="gramStart"/>
      <w:r>
        <w:t>August,</w:t>
      </w:r>
      <w:proofErr w:type="gramEnd"/>
      <w:r>
        <w:t xml:space="preserve"> 2017.  </w:t>
      </w:r>
    </w:p>
  </w:footnote>
  <w:footnote w:id="15">
    <w:p w:rsidR="00B00A62" w:rsidRDefault="00B00A62">
      <w:pPr>
        <w:pStyle w:val="FootnoteText"/>
      </w:pPr>
      <w:r>
        <w:rPr>
          <w:rStyle w:val="FootnoteReference"/>
        </w:rPr>
        <w:footnoteRef/>
      </w:r>
      <w:r>
        <w:t xml:space="preserve"> As is made clear by Monk et al. (2006) and </w:t>
      </w:r>
      <w:proofErr w:type="spellStart"/>
      <w:r>
        <w:t>Brownill</w:t>
      </w:r>
      <w:proofErr w:type="spellEnd"/>
      <w:r>
        <w:t xml:space="preserve"> et al. (2015), the comparability over time of S106 completion data </w:t>
      </w:r>
      <w:proofErr w:type="gramStart"/>
      <w:r>
        <w:t>has been significantly questioned</w:t>
      </w:r>
      <w:proofErr w:type="gramEnd"/>
      <w:r>
        <w:t xml:space="preserve"> owing to changing operational definitions of affordable housing, changing reporting requirements from central government, and changing recording practices by local authorities. As such, Figure 3 </w:t>
      </w:r>
      <w:proofErr w:type="gramStart"/>
      <w:r>
        <w:t>is presented</w:t>
      </w:r>
      <w:proofErr w:type="gramEnd"/>
      <w:r>
        <w:t xml:space="preserve"> as an indication of overall trends.</w:t>
      </w:r>
    </w:p>
  </w:footnote>
  <w:footnote w:id="16">
    <w:p w:rsidR="00B00A62" w:rsidRPr="00106FB0" w:rsidRDefault="00B00A62" w:rsidP="00844F9E">
      <w:pPr>
        <w:pStyle w:val="CommentText"/>
        <w:rPr>
          <w:lang w:val="en-GB"/>
        </w:rPr>
      </w:pPr>
      <w:r>
        <w:rPr>
          <w:rStyle w:val="FootnoteReference"/>
        </w:rPr>
        <w:footnoteRef/>
      </w:r>
      <w:r>
        <w:t xml:space="preserve"> </w:t>
      </w:r>
      <w:r>
        <w:t xml:space="preserve">For an overview of affordable housing supply, see Ministry of Housing, Communities and Local Government Table 1000: Additional affordable housing provided by type of scheme, England. Ministry of Housing, Communities and Local Government official website, available at </w:t>
      </w:r>
      <w:hyperlink r:id="rId2" w:history="1">
        <w:r w:rsidRPr="00E262F4">
          <w:rPr>
            <w:rStyle w:val="Hyperlink"/>
          </w:rPr>
          <w:t>https://www.gov.uk/government/statistical-data-sets/live-tables-on-affordable-housing-supply</w:t>
        </w:r>
      </w:hyperlink>
      <w:r>
        <w:t>. Accessed 25</w:t>
      </w:r>
      <w:r w:rsidRPr="002D7822">
        <w:rPr>
          <w:vertAlign w:val="superscript"/>
        </w:rPr>
        <w:t>th</w:t>
      </w:r>
      <w:r>
        <w:t xml:space="preserve"> April, 2018.</w:t>
      </w:r>
      <w:r>
        <w:rPr>
          <w:lang w:val="en-GB"/>
        </w:rPr>
        <w:t xml:space="preserve"> For an overview of the changing role of Housing Associations within the English housing system, see Clegg (2019).</w:t>
      </w:r>
    </w:p>
  </w:footnote>
  <w:footnote w:id="17">
    <w:p w:rsidR="00B00A62" w:rsidRDefault="00B00A62" w:rsidP="00003A69">
      <w:pPr>
        <w:pStyle w:val="FootnoteText"/>
      </w:pPr>
      <w:r>
        <w:rPr>
          <w:rStyle w:val="FootnoteReference"/>
        </w:rPr>
        <w:footnoteRef/>
      </w:r>
      <w:r>
        <w:t xml:space="preserve"> Section N: Provision of Affordable Housing, Column HSN17aa: Granted Planning Permission. National Archives official website, available at </w:t>
      </w:r>
      <w:hyperlink r:id="rId3" w:history="1">
        <w:r w:rsidRPr="00CC6280">
          <w:rPr>
            <w:rStyle w:val="Hyperlink"/>
          </w:rPr>
          <w:t>http://webarchive.nationalarchives.gov.uk/20120919151731/http://www.communities.gov.uk/housing/housingresearch/housingstatistics/housingstatisticsby/localauthorityhousing/dataforms/</w:t>
        </w:r>
      </w:hyperlink>
      <w:r>
        <w:t>. Accessed 4</w:t>
      </w:r>
      <w:r w:rsidRPr="00922183">
        <w:rPr>
          <w:vertAlign w:val="superscript"/>
        </w:rPr>
        <w:t>th</w:t>
      </w:r>
      <w:r>
        <w:t xml:space="preserve"> </w:t>
      </w:r>
      <w:proofErr w:type="gramStart"/>
      <w:r>
        <w:t>July,</w:t>
      </w:r>
      <w:proofErr w:type="gramEnd"/>
      <w:r>
        <w:t xml:space="preserve"> 2017. </w:t>
      </w:r>
    </w:p>
  </w:footnote>
  <w:footnote w:id="18">
    <w:p w:rsidR="00B00A62" w:rsidRPr="005F6459" w:rsidRDefault="00B00A62" w:rsidP="00003A69">
      <w:pPr>
        <w:pStyle w:val="FootnoteText"/>
      </w:pPr>
      <w:r w:rsidRPr="005F6459">
        <w:rPr>
          <w:rStyle w:val="FootnoteReference"/>
        </w:rPr>
        <w:footnoteRef/>
      </w:r>
      <w:r w:rsidRPr="005F6459">
        <w:t xml:space="preserve"> Taken from the </w:t>
      </w:r>
      <w:r w:rsidRPr="005F6459">
        <w:rPr>
          <w:szCs w:val="17"/>
          <w:shd w:val="clear" w:color="auto" w:fill="FFFFFF"/>
        </w:rPr>
        <w:t xml:space="preserve">Department of </w:t>
      </w:r>
      <w:r>
        <w:rPr>
          <w:szCs w:val="17"/>
          <w:shd w:val="clear" w:color="auto" w:fill="FFFFFF"/>
        </w:rPr>
        <w:t xml:space="preserve">Housing, </w:t>
      </w:r>
      <w:r w:rsidRPr="005F6459">
        <w:rPr>
          <w:szCs w:val="17"/>
          <w:shd w:val="clear" w:color="auto" w:fill="FFFFFF"/>
        </w:rPr>
        <w:t>Commun</w:t>
      </w:r>
      <w:r>
        <w:rPr>
          <w:szCs w:val="17"/>
          <w:shd w:val="clear" w:color="auto" w:fill="FFFFFF"/>
        </w:rPr>
        <w:t xml:space="preserve">ities and Local Government Table P131: </w:t>
      </w:r>
      <w:r w:rsidRPr="00E402D9">
        <w:rPr>
          <w:szCs w:val="17"/>
          <w:shd w:val="clear" w:color="auto" w:fill="FFFFFF"/>
        </w:rPr>
        <w:t>Planning applications decided, granted, and speed of decisions, by development type and local planning authority</w:t>
      </w:r>
      <w:r>
        <w:rPr>
          <w:szCs w:val="17"/>
          <w:shd w:val="clear" w:color="auto" w:fill="FFFFFF"/>
        </w:rPr>
        <w:t xml:space="preserve">, Column: All major decisions, number. National Archives official website, available at </w:t>
      </w:r>
      <w:hyperlink r:id="rId4" w:history="1">
        <w:r w:rsidRPr="009B7FE5">
          <w:rPr>
            <w:rStyle w:val="Hyperlink"/>
            <w:szCs w:val="17"/>
            <w:shd w:val="clear" w:color="auto" w:fill="FFFFFF"/>
          </w:rPr>
          <w:t>http://webarchive.nationalarchives.gov.uk/20121103072007/ http://www.communities.gov.uk/planningandbuilding/planningbuilding/planningstatistics/developmentcontrolstatistics/</w:t>
        </w:r>
      </w:hyperlink>
      <w:r>
        <w:rPr>
          <w:szCs w:val="17"/>
          <w:shd w:val="clear" w:color="auto" w:fill="FFFFFF"/>
        </w:rPr>
        <w:t>. Accessed 4</w:t>
      </w:r>
      <w:r w:rsidRPr="00922183">
        <w:rPr>
          <w:szCs w:val="17"/>
          <w:shd w:val="clear" w:color="auto" w:fill="FFFFFF"/>
          <w:vertAlign w:val="superscript"/>
        </w:rPr>
        <w:t>th</w:t>
      </w:r>
      <w:r>
        <w:rPr>
          <w:szCs w:val="17"/>
          <w:shd w:val="clear" w:color="auto" w:fill="FFFFFF"/>
        </w:rPr>
        <w:t xml:space="preserve"> </w:t>
      </w:r>
      <w:proofErr w:type="gramStart"/>
      <w:r>
        <w:rPr>
          <w:szCs w:val="17"/>
          <w:shd w:val="clear" w:color="auto" w:fill="FFFFFF"/>
        </w:rPr>
        <w:t>July,</w:t>
      </w:r>
      <w:proofErr w:type="gramEnd"/>
      <w:r>
        <w:rPr>
          <w:szCs w:val="17"/>
          <w:shd w:val="clear" w:color="auto" w:fill="FFFFFF"/>
        </w:rPr>
        <w:t xml:space="preserve"> 2017.</w:t>
      </w:r>
    </w:p>
  </w:footnote>
  <w:footnote w:id="19">
    <w:p w:rsidR="00B00A62" w:rsidRDefault="00B00A62">
      <w:pPr>
        <w:pStyle w:val="FootnoteText"/>
      </w:pPr>
      <w:r>
        <w:rPr>
          <w:rStyle w:val="FootnoteReference"/>
        </w:rPr>
        <w:footnoteRef/>
      </w:r>
      <w:r>
        <w:t xml:space="preserve"> </w:t>
      </w:r>
      <w:proofErr w:type="gramStart"/>
      <w:r>
        <w:t>To illustrate this point, if local authority ‘a’ consistently received applications for developments of around 100 houses, one might expect the number of S106 units per application to be in the 10s; if local authority ‘b’ consistently received applications for developments of around 20 houses, one might expect the number of S106 units per application to be in the single figures.</w:t>
      </w:r>
      <w:proofErr w:type="gramEnd"/>
    </w:p>
  </w:footnote>
  <w:footnote w:id="20">
    <w:p w:rsidR="00B00A62" w:rsidRDefault="00B00A62">
      <w:pPr>
        <w:pStyle w:val="FootnoteText"/>
      </w:pPr>
      <w:r>
        <w:rPr>
          <w:rStyle w:val="FootnoteReference"/>
        </w:rPr>
        <w:footnoteRef/>
      </w:r>
      <w:r>
        <w:t xml:space="preserve"> For reasons of parsimony, I use ‘2005’ to refer to the financial year 2004/05. Unless otherwise noted, all references to a given year of data observations refer to the corresponding financial year.</w:t>
      </w:r>
    </w:p>
  </w:footnote>
  <w:footnote w:id="21">
    <w:p w:rsidR="00B00A62" w:rsidRDefault="00B00A62" w:rsidP="00003A69">
      <w:pPr>
        <w:pStyle w:val="FootnoteText"/>
      </w:pPr>
      <w:r>
        <w:rPr>
          <w:rStyle w:val="FootnoteReference"/>
        </w:rPr>
        <w:footnoteRef/>
      </w:r>
      <w:r>
        <w:t xml:space="preserve"> From 2005 through to 2011, data on the use of S106 planning powers </w:t>
      </w:r>
      <w:proofErr w:type="gramStart"/>
      <w:r>
        <w:t>was collated</w:t>
      </w:r>
      <w:proofErr w:type="gramEnd"/>
      <w:r>
        <w:t xml:space="preserve"> in the Housing Strategy Statistical Appendix. Under the HSSA Section N, Column 13a records ‘Provision of affordable housing through planning obligations: Number of units granted planning permission’. From 2011/12, data on Local Authority-level affordable housing provision </w:t>
      </w:r>
      <w:proofErr w:type="gramStart"/>
      <w:r>
        <w:t>was collated</w:t>
      </w:r>
      <w:proofErr w:type="gramEnd"/>
      <w:r>
        <w:t xml:space="preserve"> through the Local Authority Housing Statistics (LAHS) compendium. LAHS Section I, Columns i10a-i10f provide disaggregated data on total number of affordable housing units granted planning </w:t>
      </w:r>
      <w:proofErr w:type="gramStart"/>
      <w:r>
        <w:t>permission,</w:t>
      </w:r>
      <w:proofErr w:type="gramEnd"/>
      <w:r>
        <w:t xml:space="preserve"> and Section I Columns i11a-i16a provide data on in-year developer contributions received in the form of free land and a range of financial contributions. LAHS does not include data on the number of new units granted planning permission under planning obligations.</w:t>
      </w:r>
    </w:p>
  </w:footnote>
  <w:footnote w:id="22">
    <w:p w:rsidR="00B00A62" w:rsidRDefault="00B00A62" w:rsidP="0082607A">
      <w:pPr>
        <w:pStyle w:val="FootnoteText"/>
      </w:pPr>
      <w:r>
        <w:rPr>
          <w:rStyle w:val="FootnoteReference"/>
        </w:rPr>
        <w:footnoteRef/>
      </w:r>
      <w:r>
        <w:t xml:space="preserve"> Column: </w:t>
      </w:r>
      <w:proofErr w:type="spellStart"/>
      <w:r>
        <w:t>Lab_Share</w:t>
      </w:r>
      <w:proofErr w:type="spellEnd"/>
      <w:r>
        <w:t xml:space="preserve">. The Elections Centre official website, available at </w:t>
      </w:r>
      <w:hyperlink r:id="rId5" w:history="1">
        <w:r w:rsidRPr="00CC6280">
          <w:rPr>
            <w:rStyle w:val="Hyperlink"/>
          </w:rPr>
          <w:t>http://www.electionscentre.co.uk/?page_id=3802</w:t>
        </w:r>
      </w:hyperlink>
      <w:r>
        <w:t>. Accessed 5</w:t>
      </w:r>
      <w:r w:rsidRPr="00922183">
        <w:rPr>
          <w:vertAlign w:val="superscript"/>
        </w:rPr>
        <w:t>th</w:t>
      </w:r>
      <w:r>
        <w:t xml:space="preserve"> </w:t>
      </w:r>
      <w:proofErr w:type="gramStart"/>
      <w:r>
        <w:t>July,</w:t>
      </w:r>
      <w:proofErr w:type="gramEnd"/>
      <w:r>
        <w:t xml:space="preserve"> 2017. </w:t>
      </w:r>
    </w:p>
  </w:footnote>
  <w:footnote w:id="23">
    <w:p w:rsidR="00B00A62" w:rsidRDefault="00B00A62" w:rsidP="006D5A3A">
      <w:pPr>
        <w:pStyle w:val="FootnoteText"/>
      </w:pPr>
      <w:r>
        <w:rPr>
          <w:rStyle w:val="FootnoteReference"/>
        </w:rPr>
        <w:footnoteRef/>
      </w:r>
      <w:r>
        <w:t xml:space="preserve"> DHCLG </w:t>
      </w:r>
      <w:r>
        <w:rPr>
          <w:szCs w:val="17"/>
          <w:shd w:val="clear" w:color="auto" w:fill="FFFFFF"/>
        </w:rPr>
        <w:t xml:space="preserve">Table 253: Permanent dwellings </w:t>
      </w:r>
      <w:r w:rsidRPr="002F212D">
        <w:rPr>
          <w:szCs w:val="17"/>
          <w:shd w:val="clear" w:color="auto" w:fill="FFFFFF"/>
        </w:rPr>
        <w:t>completed by tenure and district</w:t>
      </w:r>
      <w:r>
        <w:rPr>
          <w:szCs w:val="17"/>
          <w:shd w:val="clear" w:color="auto" w:fill="FFFFFF"/>
        </w:rPr>
        <w:t xml:space="preserve">, Column: Dwellings completed by private enterprise. DHCLG official website, available at </w:t>
      </w:r>
      <w:hyperlink r:id="rId6" w:history="1">
        <w:r w:rsidRPr="00CC6280">
          <w:rPr>
            <w:rStyle w:val="Hyperlink"/>
            <w:szCs w:val="17"/>
            <w:shd w:val="clear" w:color="auto" w:fill="FFFFFF"/>
          </w:rPr>
          <w:t>https://www.gov.uk/government/statistical-data-sets/live-tables-on-house-building</w:t>
        </w:r>
      </w:hyperlink>
      <w:r>
        <w:rPr>
          <w:szCs w:val="17"/>
          <w:shd w:val="clear" w:color="auto" w:fill="FFFFFF"/>
        </w:rPr>
        <w:t>. Accessed 5</w:t>
      </w:r>
      <w:r w:rsidRPr="002F212D">
        <w:rPr>
          <w:szCs w:val="17"/>
          <w:shd w:val="clear" w:color="auto" w:fill="FFFFFF"/>
          <w:vertAlign w:val="superscript"/>
        </w:rPr>
        <w:t>th</w:t>
      </w:r>
      <w:r>
        <w:rPr>
          <w:szCs w:val="17"/>
          <w:shd w:val="clear" w:color="auto" w:fill="FFFFFF"/>
        </w:rPr>
        <w:t xml:space="preserve"> </w:t>
      </w:r>
      <w:proofErr w:type="gramStart"/>
      <w:r>
        <w:rPr>
          <w:szCs w:val="17"/>
          <w:shd w:val="clear" w:color="auto" w:fill="FFFFFF"/>
        </w:rPr>
        <w:t>July,</w:t>
      </w:r>
      <w:proofErr w:type="gramEnd"/>
      <w:r>
        <w:rPr>
          <w:szCs w:val="17"/>
          <w:shd w:val="clear" w:color="auto" w:fill="FFFFFF"/>
        </w:rPr>
        <w:t xml:space="preserve"> 2017.</w:t>
      </w:r>
    </w:p>
  </w:footnote>
  <w:footnote w:id="24">
    <w:p w:rsidR="00B00A62" w:rsidRDefault="00B00A62" w:rsidP="00BA2ED4">
      <w:pPr>
        <w:pStyle w:val="FootnoteText"/>
      </w:pPr>
      <w:r>
        <w:rPr>
          <w:rStyle w:val="FootnoteReference"/>
        </w:rPr>
        <w:footnoteRef/>
      </w:r>
      <w:r>
        <w:t xml:space="preserve"> ONS </w:t>
      </w:r>
      <w:r w:rsidRPr="00E80AF1">
        <w:rPr>
          <w:szCs w:val="17"/>
          <w:shd w:val="clear" w:color="auto" w:fill="FFFFFF"/>
        </w:rPr>
        <w:t>‘Ratio of house price to residence-based earnings</w:t>
      </w:r>
      <w:r>
        <w:rPr>
          <w:szCs w:val="17"/>
          <w:shd w:val="clear" w:color="auto" w:fill="FFFFFF"/>
        </w:rPr>
        <w:t>’</w:t>
      </w:r>
      <w:r w:rsidRPr="00E80AF1">
        <w:rPr>
          <w:szCs w:val="17"/>
          <w:shd w:val="clear" w:color="auto" w:fill="FFFFFF"/>
        </w:rPr>
        <w:t xml:space="preserve"> dataset, Table 5c</w:t>
      </w:r>
      <w:r>
        <w:rPr>
          <w:szCs w:val="17"/>
          <w:shd w:val="clear" w:color="auto" w:fill="FFFFFF"/>
        </w:rPr>
        <w:t xml:space="preserve">: </w:t>
      </w:r>
      <w:r w:rsidRPr="005043DA">
        <w:rPr>
          <w:szCs w:val="17"/>
          <w:shd w:val="clear" w:color="auto" w:fill="FFFFFF"/>
        </w:rPr>
        <w:t>Ratio of median house price to median gross annual residence-based earnings by local authority</w:t>
      </w:r>
      <w:r>
        <w:rPr>
          <w:szCs w:val="17"/>
          <w:shd w:val="clear" w:color="auto" w:fill="FFFFFF"/>
        </w:rPr>
        <w:t xml:space="preserve">. ONS official website, available at </w:t>
      </w:r>
      <w:hyperlink r:id="rId7" w:history="1">
        <w:r w:rsidRPr="00CC6280">
          <w:rPr>
            <w:rStyle w:val="Hyperlink"/>
            <w:szCs w:val="17"/>
            <w:shd w:val="clear" w:color="auto" w:fill="FFFFFF"/>
          </w:rPr>
          <w:t>https://www.ons.gov.uk/peoplepopulationandcommunity/housing/datasets/ratioofhousepricetoresidencebasedearningslowerquartileandmedian</w:t>
        </w:r>
      </w:hyperlink>
      <w:r>
        <w:rPr>
          <w:szCs w:val="17"/>
          <w:shd w:val="clear" w:color="auto" w:fill="FFFFFF"/>
        </w:rPr>
        <w:t>. Accessed 7</w:t>
      </w:r>
      <w:r w:rsidRPr="005043DA">
        <w:rPr>
          <w:szCs w:val="17"/>
          <w:shd w:val="clear" w:color="auto" w:fill="FFFFFF"/>
          <w:vertAlign w:val="superscript"/>
        </w:rPr>
        <w:t>th</w:t>
      </w:r>
      <w:r>
        <w:rPr>
          <w:szCs w:val="17"/>
          <w:shd w:val="clear" w:color="auto" w:fill="FFFFFF"/>
        </w:rPr>
        <w:t xml:space="preserve"> </w:t>
      </w:r>
      <w:proofErr w:type="gramStart"/>
      <w:r>
        <w:rPr>
          <w:szCs w:val="17"/>
          <w:shd w:val="clear" w:color="auto" w:fill="FFFFFF"/>
        </w:rPr>
        <w:t>July,</w:t>
      </w:r>
      <w:proofErr w:type="gramEnd"/>
      <w:r>
        <w:rPr>
          <w:szCs w:val="17"/>
          <w:shd w:val="clear" w:color="auto" w:fill="FFFFFF"/>
        </w:rPr>
        <w:t xml:space="preserve"> 2017.</w:t>
      </w:r>
    </w:p>
  </w:footnote>
  <w:footnote w:id="25">
    <w:p w:rsidR="00B00A62" w:rsidRDefault="00B00A62" w:rsidP="00BA2ED4">
      <w:pPr>
        <w:pStyle w:val="FootnoteText"/>
      </w:pPr>
      <w:r>
        <w:rPr>
          <w:rStyle w:val="FootnoteReference"/>
        </w:rPr>
        <w:footnoteRef/>
      </w:r>
      <w:r>
        <w:t xml:space="preserve"> DHCLG Table 600 </w:t>
      </w:r>
      <w:r w:rsidRPr="00F91050">
        <w:t>Numbers of households on local auth</w:t>
      </w:r>
      <w:r>
        <w:t>orities' housing waiting lists</w:t>
      </w:r>
      <w:r w:rsidRPr="00F91050">
        <w:t xml:space="preserve"> by district</w:t>
      </w:r>
      <w:r>
        <w:t xml:space="preserve">. DHCLG official website, available at </w:t>
      </w:r>
      <w:hyperlink r:id="rId8" w:history="1">
        <w:r w:rsidRPr="00CC6280">
          <w:rPr>
            <w:rStyle w:val="Hyperlink"/>
          </w:rPr>
          <w:t>https://www.gov.uk/government/statistical-data-sets/live-tables-on-rents-lettings-and-tenancies</w:t>
        </w:r>
      </w:hyperlink>
      <w:r>
        <w:t>. Accessed 5</w:t>
      </w:r>
      <w:r w:rsidRPr="00F91050">
        <w:rPr>
          <w:vertAlign w:val="superscript"/>
        </w:rPr>
        <w:t>th</w:t>
      </w:r>
      <w:r>
        <w:t xml:space="preserve"> </w:t>
      </w:r>
      <w:proofErr w:type="gramStart"/>
      <w:r>
        <w:t>July,</w:t>
      </w:r>
      <w:proofErr w:type="gramEnd"/>
      <w:r>
        <w:t xml:space="preserve"> 2017.</w:t>
      </w:r>
    </w:p>
  </w:footnote>
  <w:footnote w:id="26">
    <w:p w:rsidR="00B00A62" w:rsidRDefault="00B00A62">
      <w:pPr>
        <w:pStyle w:val="FootnoteText"/>
      </w:pPr>
      <w:r>
        <w:rPr>
          <w:rStyle w:val="FootnoteReference"/>
        </w:rPr>
        <w:footnoteRef/>
      </w:r>
      <w:r>
        <w:t xml:space="preserve"> For overviews of shifts in housing policy through this time, see </w:t>
      </w:r>
      <w:proofErr w:type="spellStart"/>
      <w:r>
        <w:t>Bochel</w:t>
      </w:r>
      <w:proofErr w:type="spellEnd"/>
      <w:r>
        <w:t xml:space="preserve"> and Powell (2016), and Jacobs and </w:t>
      </w:r>
      <w:proofErr w:type="spellStart"/>
      <w:r>
        <w:t>Manzi</w:t>
      </w:r>
      <w:proofErr w:type="spellEnd"/>
      <w:r>
        <w:t xml:space="preserve"> (2017).</w:t>
      </w:r>
    </w:p>
  </w:footnote>
  <w:footnote w:id="27">
    <w:p w:rsidR="003D678F" w:rsidRDefault="003D678F">
      <w:pPr>
        <w:pStyle w:val="FootnoteText"/>
      </w:pPr>
      <w:r>
        <w:rPr>
          <w:rStyle w:val="FootnoteReference"/>
        </w:rPr>
        <w:footnoteRef/>
      </w:r>
      <w:r>
        <w:t xml:space="preserve"> To check the robustness of this finding, we re-ran the model this time including only 2008 and 2009 in the sample of cases classified as demonstrating higher issue salience. Given no meaningful change to the results, our confidence in the robustness of this relationship between salience and S106 propensity </w:t>
      </w:r>
      <w:proofErr w:type="gramStart"/>
      <w:r>
        <w:t>is further enhanced</w:t>
      </w:r>
      <w:proofErr w:type="gramEnd"/>
      <w:r>
        <w:t>.</w:t>
      </w:r>
    </w:p>
  </w:footnote>
  <w:footnote w:id="28">
    <w:p w:rsidR="00B00A62" w:rsidRPr="00FA3DCC" w:rsidRDefault="00B00A62" w:rsidP="0027009F">
      <w:pPr>
        <w:pStyle w:val="FootnoteText"/>
      </w:pPr>
      <w:r>
        <w:rPr>
          <w:rStyle w:val="FootnoteReference"/>
        </w:rPr>
        <w:footnoteRef/>
      </w:r>
      <w:r>
        <w:t xml:space="preserve"> Data on local authority classification taken from Department for Environment, Food and Rural Affairs ‘Census 2001 Rural Urban Classification’ series, ‘2001 Local Authority Classification – pre-April 2009 Boundaries’ dataset, ‘Classification’ column, available at </w:t>
      </w:r>
      <w:hyperlink r:id="rId9" w:history="1">
        <w:r w:rsidRPr="00A54886">
          <w:rPr>
            <w:rStyle w:val="Hyperlink"/>
          </w:rPr>
          <w:t>https://www.gov.uk/government/statistics/2001-rural-urban-definition-la-classification-and-other-geographies</w:t>
        </w:r>
      </w:hyperlink>
      <w:r>
        <w:t>. Accessed 5</w:t>
      </w:r>
      <w:r w:rsidRPr="009F05BB">
        <w:rPr>
          <w:vertAlign w:val="superscript"/>
        </w:rPr>
        <w:t>th</w:t>
      </w:r>
      <w:r>
        <w:t xml:space="preserve"> </w:t>
      </w:r>
      <w:proofErr w:type="gramStart"/>
      <w:r>
        <w:t>December,</w:t>
      </w:r>
      <w:proofErr w:type="gramEnd"/>
      <w:r>
        <w:t xml:space="preserve"> 2018.  </w:t>
      </w:r>
    </w:p>
  </w:footnote>
  <w:footnote w:id="29">
    <w:p w:rsidR="00B00A62" w:rsidRDefault="00B00A62">
      <w:pPr>
        <w:pStyle w:val="FootnoteText"/>
      </w:pPr>
      <w:r>
        <w:rPr>
          <w:rStyle w:val="FootnoteReference"/>
        </w:rPr>
        <w:footnoteRef/>
      </w:r>
      <w:r>
        <w:t xml:space="preserve"> Decisions taken when operationalising our independent variables make is difficult to clearly differentiate between ‘pre-‘ and ‘post-‘crisis dynamics. Given our use of three-year rolling averages, this line in the sand is inherently blurred; </w:t>
      </w:r>
      <w:r w:rsidRPr="00AD73DD">
        <w:t>outcomes from 2007</w:t>
      </w:r>
      <w:r>
        <w:t xml:space="preserve"> are paired with independent variable measures from 2005-07 (i.e. mainly from the pre-crisis period),</w:t>
      </w:r>
      <w:r w:rsidRPr="00AD73DD">
        <w:t xml:space="preserve"> </w:t>
      </w:r>
      <w:r>
        <w:t>and outcomes from</w:t>
      </w:r>
      <w:r w:rsidRPr="00AD73DD">
        <w:t xml:space="preserve"> 2008 are paired with independent variable measures </w:t>
      </w:r>
      <w:r>
        <w:t>from</w:t>
      </w:r>
      <w:r w:rsidRPr="00AD73DD">
        <w:t xml:space="preserve"> 2006-08</w:t>
      </w:r>
      <w:r>
        <w:t xml:space="preserve"> (i.e. partly from the pre-crisis period</w:t>
      </w:r>
      <w:r w:rsidRPr="00AD73DD">
        <w:t xml:space="preserve">). To enhance the extent to which we are able to identify pre- and post-financial crisis changes, we re-ran our </w:t>
      </w:r>
      <w:r>
        <w:t xml:space="preserve">2007-09 </w:t>
      </w:r>
      <w:r w:rsidRPr="00AD73DD">
        <w:t xml:space="preserve">analysis using contemporaneous independent and dependent variable measures. A rationale for this </w:t>
      </w:r>
      <w:r>
        <w:t>revision</w:t>
      </w:r>
      <w:r w:rsidRPr="00AD73DD">
        <w:t xml:space="preserve"> is provided by the suggestion in existing literature that re-negotiation of planning agreements became increasingly common as the impact of the financial crisis became apparent (Housing, Communities, and Local Government Select Committee 2018: 20)</w:t>
      </w:r>
      <w:r>
        <w:t>. In line with this tendency,</w:t>
      </w:r>
      <w:r w:rsidRPr="00AD73DD">
        <w:t xml:space="preserve"> the negotiation timeframe</w:t>
      </w:r>
      <w:r>
        <w:t xml:space="preserve"> for S106 </w:t>
      </w:r>
      <w:proofErr w:type="gramStart"/>
      <w:r>
        <w:t xml:space="preserve">may </w:t>
      </w:r>
      <w:r w:rsidRPr="00AD73DD">
        <w:t>have been co</w:t>
      </w:r>
      <w:r>
        <w:t>nstricted</w:t>
      </w:r>
      <w:proofErr w:type="gramEnd"/>
      <w:r>
        <w:t xml:space="preserve"> post-crisis. The results generated by the use of contemporaneous outcome and independent variables are</w:t>
      </w:r>
      <w:r w:rsidRPr="00AD73DD">
        <w:t xml:space="preserve"> not meaningfully </w:t>
      </w:r>
      <w:r>
        <w:t>different from results generated by Model 3</w:t>
      </w:r>
      <w:r w:rsidRPr="00AD73DD">
        <w:t xml:space="preserve">. </w:t>
      </w:r>
      <w:r>
        <w:t>However, t</w:t>
      </w:r>
      <w:r w:rsidRPr="00AD73DD">
        <w:t xml:space="preserve">his </w:t>
      </w:r>
      <w:r>
        <w:t>revision</w:t>
      </w:r>
      <w:r w:rsidRPr="00AD73DD">
        <w:t xml:space="preserve"> enhances the </w:t>
      </w:r>
      <w:r>
        <w:t>confidence with which we can discuss ‘post-‘financial crisis dynamics</w:t>
      </w:r>
      <w:r w:rsidRPr="00AD73DD">
        <w:t>.</w:t>
      </w:r>
    </w:p>
  </w:footnote>
  <w:footnote w:id="30">
    <w:p w:rsidR="00B00A62" w:rsidRDefault="00B00A62">
      <w:pPr>
        <w:pStyle w:val="FootnoteText"/>
      </w:pPr>
      <w:r>
        <w:rPr>
          <w:rStyle w:val="FootnoteReference"/>
        </w:rPr>
        <w:footnoteRef/>
      </w:r>
      <w:r>
        <w:t xml:space="preserve"> </w:t>
      </w:r>
      <w:r w:rsidRPr="003C57FF">
        <w:t>The Office for National Statistics’ commitment to extend and harmonise data collection in relation to housing and planning in England should lay foundations for fruitful future analysis of the policy area (ONS 2018).</w:t>
      </w:r>
    </w:p>
  </w:footnote>
  <w:footnote w:id="31">
    <w:p w:rsidR="0090299D" w:rsidRDefault="0090299D">
      <w:pPr>
        <w:pStyle w:val="FootnoteText"/>
      </w:pPr>
      <w:r>
        <w:rPr>
          <w:rStyle w:val="FootnoteReference"/>
        </w:rPr>
        <w:footnoteRef/>
      </w:r>
      <w:r>
        <w:t xml:space="preserve"> See, for example, </w:t>
      </w:r>
      <w:proofErr w:type="spellStart"/>
      <w:r>
        <w:t>Gilens</w:t>
      </w:r>
      <w:proofErr w:type="spellEnd"/>
      <w:r>
        <w:t xml:space="preserve"> (2012).</w:t>
      </w:r>
    </w:p>
  </w:footnote>
  <w:footnote w:id="32">
    <w:p w:rsidR="00B00A62" w:rsidRDefault="00B00A62">
      <w:pPr>
        <w:pStyle w:val="FootnoteText"/>
      </w:pPr>
      <w:r>
        <w:rPr>
          <w:rStyle w:val="FootnoteReference"/>
        </w:rPr>
        <w:footnoteRef/>
      </w:r>
      <w:r>
        <w:t xml:space="preserve"> See, for example, Weekes 2018, </w:t>
      </w:r>
      <w:proofErr w:type="spellStart"/>
      <w:r>
        <w:t>Hoolachan</w:t>
      </w:r>
      <w:proofErr w:type="spellEnd"/>
      <w:r>
        <w:t xml:space="preserve"> and McKee 2019, and ONS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87"/>
    <w:rsid w:val="00003A69"/>
    <w:rsid w:val="00003D2A"/>
    <w:rsid w:val="00015985"/>
    <w:rsid w:val="00015A09"/>
    <w:rsid w:val="00026B12"/>
    <w:rsid w:val="000306D0"/>
    <w:rsid w:val="00035C92"/>
    <w:rsid w:val="0003766F"/>
    <w:rsid w:val="000459CD"/>
    <w:rsid w:val="00066657"/>
    <w:rsid w:val="0006708B"/>
    <w:rsid w:val="00071902"/>
    <w:rsid w:val="0007617A"/>
    <w:rsid w:val="00092FD7"/>
    <w:rsid w:val="00093C1D"/>
    <w:rsid w:val="00097457"/>
    <w:rsid w:val="000A196A"/>
    <w:rsid w:val="000A6BA7"/>
    <w:rsid w:val="000C3150"/>
    <w:rsid w:val="000C7598"/>
    <w:rsid w:val="000D1F76"/>
    <w:rsid w:val="000D56F9"/>
    <w:rsid w:val="000E07B9"/>
    <w:rsid w:val="000E272F"/>
    <w:rsid w:val="000F2786"/>
    <w:rsid w:val="000F3741"/>
    <w:rsid w:val="00100FC3"/>
    <w:rsid w:val="00101B2A"/>
    <w:rsid w:val="00104419"/>
    <w:rsid w:val="00105672"/>
    <w:rsid w:val="00106FB0"/>
    <w:rsid w:val="001120DD"/>
    <w:rsid w:val="001140FF"/>
    <w:rsid w:val="00114713"/>
    <w:rsid w:val="00122C5B"/>
    <w:rsid w:val="001249BA"/>
    <w:rsid w:val="00125780"/>
    <w:rsid w:val="00127A35"/>
    <w:rsid w:val="00132AC7"/>
    <w:rsid w:val="00137292"/>
    <w:rsid w:val="00160664"/>
    <w:rsid w:val="00163CFC"/>
    <w:rsid w:val="00163F55"/>
    <w:rsid w:val="001643A5"/>
    <w:rsid w:val="001666AA"/>
    <w:rsid w:val="001700D6"/>
    <w:rsid w:val="00177533"/>
    <w:rsid w:val="0019017F"/>
    <w:rsid w:val="001904FA"/>
    <w:rsid w:val="001953C2"/>
    <w:rsid w:val="00195B8E"/>
    <w:rsid w:val="001A1CEB"/>
    <w:rsid w:val="001A200E"/>
    <w:rsid w:val="001A5C54"/>
    <w:rsid w:val="001A6317"/>
    <w:rsid w:val="001B3B72"/>
    <w:rsid w:val="001B52FA"/>
    <w:rsid w:val="001C44FD"/>
    <w:rsid w:val="001C6C62"/>
    <w:rsid w:val="001D217B"/>
    <w:rsid w:val="001D27C1"/>
    <w:rsid w:val="001D4695"/>
    <w:rsid w:val="001E439B"/>
    <w:rsid w:val="001E7FE2"/>
    <w:rsid w:val="001F303B"/>
    <w:rsid w:val="001F7985"/>
    <w:rsid w:val="00204F4D"/>
    <w:rsid w:val="00216575"/>
    <w:rsid w:val="002275BF"/>
    <w:rsid w:val="00237EFA"/>
    <w:rsid w:val="00255313"/>
    <w:rsid w:val="002557FA"/>
    <w:rsid w:val="002561E2"/>
    <w:rsid w:val="00256386"/>
    <w:rsid w:val="00260008"/>
    <w:rsid w:val="00261570"/>
    <w:rsid w:val="0027009F"/>
    <w:rsid w:val="00287185"/>
    <w:rsid w:val="002A0346"/>
    <w:rsid w:val="002A04AD"/>
    <w:rsid w:val="002A4F8B"/>
    <w:rsid w:val="002B05D8"/>
    <w:rsid w:val="002B6FC3"/>
    <w:rsid w:val="002D6B3A"/>
    <w:rsid w:val="002E02CA"/>
    <w:rsid w:val="002E30CF"/>
    <w:rsid w:val="002E53F8"/>
    <w:rsid w:val="002E6789"/>
    <w:rsid w:val="002E7917"/>
    <w:rsid w:val="002F03AC"/>
    <w:rsid w:val="002F1008"/>
    <w:rsid w:val="002F5457"/>
    <w:rsid w:val="002F7026"/>
    <w:rsid w:val="00305709"/>
    <w:rsid w:val="00314105"/>
    <w:rsid w:val="0031489F"/>
    <w:rsid w:val="00326051"/>
    <w:rsid w:val="00334504"/>
    <w:rsid w:val="00342F72"/>
    <w:rsid w:val="00346CC0"/>
    <w:rsid w:val="00346E79"/>
    <w:rsid w:val="00355DE2"/>
    <w:rsid w:val="00371AF4"/>
    <w:rsid w:val="00371F12"/>
    <w:rsid w:val="003765B7"/>
    <w:rsid w:val="00380980"/>
    <w:rsid w:val="003A0DEB"/>
    <w:rsid w:val="003A1E03"/>
    <w:rsid w:val="003A6ABA"/>
    <w:rsid w:val="003A7A8B"/>
    <w:rsid w:val="003C454F"/>
    <w:rsid w:val="003C526C"/>
    <w:rsid w:val="003C57FF"/>
    <w:rsid w:val="003C6A4C"/>
    <w:rsid w:val="003D17C4"/>
    <w:rsid w:val="003D4180"/>
    <w:rsid w:val="003D678F"/>
    <w:rsid w:val="003E453C"/>
    <w:rsid w:val="003E47D8"/>
    <w:rsid w:val="003F73B4"/>
    <w:rsid w:val="003F7522"/>
    <w:rsid w:val="00401518"/>
    <w:rsid w:val="00405A74"/>
    <w:rsid w:val="00412882"/>
    <w:rsid w:val="00412E2F"/>
    <w:rsid w:val="004145D9"/>
    <w:rsid w:val="00414E51"/>
    <w:rsid w:val="00416E33"/>
    <w:rsid w:val="0042178B"/>
    <w:rsid w:val="00422755"/>
    <w:rsid w:val="00425A45"/>
    <w:rsid w:val="00430BFE"/>
    <w:rsid w:val="00432BD4"/>
    <w:rsid w:val="00433BAE"/>
    <w:rsid w:val="00436AAF"/>
    <w:rsid w:val="00440444"/>
    <w:rsid w:val="00450139"/>
    <w:rsid w:val="004613A6"/>
    <w:rsid w:val="004627B5"/>
    <w:rsid w:val="00491D76"/>
    <w:rsid w:val="00497DF4"/>
    <w:rsid w:val="004A18C4"/>
    <w:rsid w:val="004B51F0"/>
    <w:rsid w:val="004C592F"/>
    <w:rsid w:val="004C7E6B"/>
    <w:rsid w:val="004E060D"/>
    <w:rsid w:val="004F3288"/>
    <w:rsid w:val="00501EA5"/>
    <w:rsid w:val="00502BCB"/>
    <w:rsid w:val="0050351B"/>
    <w:rsid w:val="00504644"/>
    <w:rsid w:val="005070C5"/>
    <w:rsid w:val="00507100"/>
    <w:rsid w:val="00507121"/>
    <w:rsid w:val="00515515"/>
    <w:rsid w:val="0052068C"/>
    <w:rsid w:val="00522B3D"/>
    <w:rsid w:val="00522C61"/>
    <w:rsid w:val="00525037"/>
    <w:rsid w:val="005305C5"/>
    <w:rsid w:val="00537958"/>
    <w:rsid w:val="005707F1"/>
    <w:rsid w:val="0057093F"/>
    <w:rsid w:val="00585E32"/>
    <w:rsid w:val="00586D71"/>
    <w:rsid w:val="00590B30"/>
    <w:rsid w:val="00591A8D"/>
    <w:rsid w:val="00596553"/>
    <w:rsid w:val="005A2D33"/>
    <w:rsid w:val="005B1E44"/>
    <w:rsid w:val="005B38F4"/>
    <w:rsid w:val="005B5A3E"/>
    <w:rsid w:val="005B5E53"/>
    <w:rsid w:val="005B66CA"/>
    <w:rsid w:val="005B7957"/>
    <w:rsid w:val="005C097A"/>
    <w:rsid w:val="005C3301"/>
    <w:rsid w:val="005D11BC"/>
    <w:rsid w:val="005D14C4"/>
    <w:rsid w:val="005D2536"/>
    <w:rsid w:val="005D338D"/>
    <w:rsid w:val="005D62F2"/>
    <w:rsid w:val="005D792D"/>
    <w:rsid w:val="005E344E"/>
    <w:rsid w:val="00612F20"/>
    <w:rsid w:val="00614068"/>
    <w:rsid w:val="0061469A"/>
    <w:rsid w:val="0062371A"/>
    <w:rsid w:val="0062685F"/>
    <w:rsid w:val="00633529"/>
    <w:rsid w:val="006402C8"/>
    <w:rsid w:val="006408FD"/>
    <w:rsid w:val="00667D45"/>
    <w:rsid w:val="006815CC"/>
    <w:rsid w:val="00681A4C"/>
    <w:rsid w:val="00685385"/>
    <w:rsid w:val="0069379D"/>
    <w:rsid w:val="006941B3"/>
    <w:rsid w:val="006A4BF3"/>
    <w:rsid w:val="006A738B"/>
    <w:rsid w:val="006B2C57"/>
    <w:rsid w:val="006B6BE7"/>
    <w:rsid w:val="006B7F27"/>
    <w:rsid w:val="006C1D1E"/>
    <w:rsid w:val="006C77B7"/>
    <w:rsid w:val="006D5885"/>
    <w:rsid w:val="006D5A3A"/>
    <w:rsid w:val="006D63CF"/>
    <w:rsid w:val="006E1F8E"/>
    <w:rsid w:val="006F2216"/>
    <w:rsid w:val="006F2282"/>
    <w:rsid w:val="006F7A4A"/>
    <w:rsid w:val="0070274D"/>
    <w:rsid w:val="00707612"/>
    <w:rsid w:val="00721621"/>
    <w:rsid w:val="00726CA8"/>
    <w:rsid w:val="00734D80"/>
    <w:rsid w:val="007371F0"/>
    <w:rsid w:val="00742C21"/>
    <w:rsid w:val="00753E3D"/>
    <w:rsid w:val="00757C36"/>
    <w:rsid w:val="00765997"/>
    <w:rsid w:val="0077720F"/>
    <w:rsid w:val="00783A8E"/>
    <w:rsid w:val="00785E69"/>
    <w:rsid w:val="007907AA"/>
    <w:rsid w:val="00790950"/>
    <w:rsid w:val="00791DC4"/>
    <w:rsid w:val="00794086"/>
    <w:rsid w:val="007A7CA1"/>
    <w:rsid w:val="007D2A30"/>
    <w:rsid w:val="007D3591"/>
    <w:rsid w:val="007D6C75"/>
    <w:rsid w:val="007D7D15"/>
    <w:rsid w:val="007E55D6"/>
    <w:rsid w:val="007E7164"/>
    <w:rsid w:val="007F71EB"/>
    <w:rsid w:val="008044DD"/>
    <w:rsid w:val="00806D21"/>
    <w:rsid w:val="00816580"/>
    <w:rsid w:val="00820349"/>
    <w:rsid w:val="00822090"/>
    <w:rsid w:val="00824506"/>
    <w:rsid w:val="0082607A"/>
    <w:rsid w:val="00835069"/>
    <w:rsid w:val="00844F9E"/>
    <w:rsid w:val="0086657C"/>
    <w:rsid w:val="008703B3"/>
    <w:rsid w:val="008731C2"/>
    <w:rsid w:val="00881E20"/>
    <w:rsid w:val="00883B6A"/>
    <w:rsid w:val="0088653F"/>
    <w:rsid w:val="0089016B"/>
    <w:rsid w:val="008956FA"/>
    <w:rsid w:val="0089590B"/>
    <w:rsid w:val="008D45B8"/>
    <w:rsid w:val="008F6107"/>
    <w:rsid w:val="008F773C"/>
    <w:rsid w:val="0090299D"/>
    <w:rsid w:val="00933D3A"/>
    <w:rsid w:val="0093411A"/>
    <w:rsid w:val="00953F7A"/>
    <w:rsid w:val="00954BEA"/>
    <w:rsid w:val="00960734"/>
    <w:rsid w:val="00961796"/>
    <w:rsid w:val="009735C1"/>
    <w:rsid w:val="00975028"/>
    <w:rsid w:val="00975D34"/>
    <w:rsid w:val="00991FC9"/>
    <w:rsid w:val="009B188D"/>
    <w:rsid w:val="009C4D40"/>
    <w:rsid w:val="009C6FBE"/>
    <w:rsid w:val="009C7AE5"/>
    <w:rsid w:val="009D5978"/>
    <w:rsid w:val="009E491F"/>
    <w:rsid w:val="009F7F49"/>
    <w:rsid w:val="00A00191"/>
    <w:rsid w:val="00A00753"/>
    <w:rsid w:val="00A059AC"/>
    <w:rsid w:val="00A129F5"/>
    <w:rsid w:val="00A12AEA"/>
    <w:rsid w:val="00A17842"/>
    <w:rsid w:val="00A23178"/>
    <w:rsid w:val="00A503CD"/>
    <w:rsid w:val="00A607D9"/>
    <w:rsid w:val="00A611ED"/>
    <w:rsid w:val="00A61949"/>
    <w:rsid w:val="00A640BF"/>
    <w:rsid w:val="00A73D59"/>
    <w:rsid w:val="00A83805"/>
    <w:rsid w:val="00A86417"/>
    <w:rsid w:val="00A928F8"/>
    <w:rsid w:val="00A96A52"/>
    <w:rsid w:val="00AA0389"/>
    <w:rsid w:val="00AA1092"/>
    <w:rsid w:val="00AB24F5"/>
    <w:rsid w:val="00AC2E44"/>
    <w:rsid w:val="00AC3CD0"/>
    <w:rsid w:val="00AC44DA"/>
    <w:rsid w:val="00AD056B"/>
    <w:rsid w:val="00AD1B92"/>
    <w:rsid w:val="00AD1FA6"/>
    <w:rsid w:val="00AD6544"/>
    <w:rsid w:val="00AD692C"/>
    <w:rsid w:val="00AD71BF"/>
    <w:rsid w:val="00AD73DD"/>
    <w:rsid w:val="00AE4751"/>
    <w:rsid w:val="00AE530B"/>
    <w:rsid w:val="00AE65E1"/>
    <w:rsid w:val="00AF206A"/>
    <w:rsid w:val="00AF2F55"/>
    <w:rsid w:val="00B00A62"/>
    <w:rsid w:val="00B1108C"/>
    <w:rsid w:val="00B15ED5"/>
    <w:rsid w:val="00B22D1B"/>
    <w:rsid w:val="00B25AA2"/>
    <w:rsid w:val="00B31BAA"/>
    <w:rsid w:val="00B3573F"/>
    <w:rsid w:val="00B468F7"/>
    <w:rsid w:val="00B47211"/>
    <w:rsid w:val="00B56571"/>
    <w:rsid w:val="00B57743"/>
    <w:rsid w:val="00B60E2A"/>
    <w:rsid w:val="00B619B6"/>
    <w:rsid w:val="00B649C8"/>
    <w:rsid w:val="00B71F50"/>
    <w:rsid w:val="00B74C7D"/>
    <w:rsid w:val="00B75312"/>
    <w:rsid w:val="00B768C7"/>
    <w:rsid w:val="00B84706"/>
    <w:rsid w:val="00B95BB3"/>
    <w:rsid w:val="00B96085"/>
    <w:rsid w:val="00B96AC9"/>
    <w:rsid w:val="00BA2ED4"/>
    <w:rsid w:val="00BB4A5D"/>
    <w:rsid w:val="00BC7779"/>
    <w:rsid w:val="00BD4EAB"/>
    <w:rsid w:val="00BE2DF3"/>
    <w:rsid w:val="00BE3A6C"/>
    <w:rsid w:val="00BE7C8B"/>
    <w:rsid w:val="00BE7E04"/>
    <w:rsid w:val="00BF080C"/>
    <w:rsid w:val="00BF3EA6"/>
    <w:rsid w:val="00BF7AC4"/>
    <w:rsid w:val="00BF7BF1"/>
    <w:rsid w:val="00C00907"/>
    <w:rsid w:val="00C04107"/>
    <w:rsid w:val="00C07A9C"/>
    <w:rsid w:val="00C12CDB"/>
    <w:rsid w:val="00C145EA"/>
    <w:rsid w:val="00C25160"/>
    <w:rsid w:val="00C30404"/>
    <w:rsid w:val="00C36152"/>
    <w:rsid w:val="00C379A2"/>
    <w:rsid w:val="00C4456F"/>
    <w:rsid w:val="00C509A6"/>
    <w:rsid w:val="00C5451F"/>
    <w:rsid w:val="00C55DEF"/>
    <w:rsid w:val="00C6746A"/>
    <w:rsid w:val="00C70BFE"/>
    <w:rsid w:val="00C80DDE"/>
    <w:rsid w:val="00C81089"/>
    <w:rsid w:val="00CA584C"/>
    <w:rsid w:val="00CC005D"/>
    <w:rsid w:val="00CD1EA6"/>
    <w:rsid w:val="00CD4FD0"/>
    <w:rsid w:val="00CD56A6"/>
    <w:rsid w:val="00CE3C89"/>
    <w:rsid w:val="00CE7266"/>
    <w:rsid w:val="00CF30FF"/>
    <w:rsid w:val="00CF7785"/>
    <w:rsid w:val="00D109D0"/>
    <w:rsid w:val="00D12FDD"/>
    <w:rsid w:val="00D1485E"/>
    <w:rsid w:val="00D172E5"/>
    <w:rsid w:val="00D232D1"/>
    <w:rsid w:val="00D30670"/>
    <w:rsid w:val="00D34996"/>
    <w:rsid w:val="00D40D75"/>
    <w:rsid w:val="00D44E32"/>
    <w:rsid w:val="00D575F6"/>
    <w:rsid w:val="00D57E64"/>
    <w:rsid w:val="00D617E7"/>
    <w:rsid w:val="00D618F8"/>
    <w:rsid w:val="00D662B5"/>
    <w:rsid w:val="00D67A83"/>
    <w:rsid w:val="00D73959"/>
    <w:rsid w:val="00D74CE4"/>
    <w:rsid w:val="00D77EC7"/>
    <w:rsid w:val="00D94B3D"/>
    <w:rsid w:val="00D9759E"/>
    <w:rsid w:val="00DA7706"/>
    <w:rsid w:val="00DB01B8"/>
    <w:rsid w:val="00DB7989"/>
    <w:rsid w:val="00DC7613"/>
    <w:rsid w:val="00DD052E"/>
    <w:rsid w:val="00DD059D"/>
    <w:rsid w:val="00DF6B1C"/>
    <w:rsid w:val="00E0676D"/>
    <w:rsid w:val="00E06C25"/>
    <w:rsid w:val="00E12DC4"/>
    <w:rsid w:val="00E15EF1"/>
    <w:rsid w:val="00E22715"/>
    <w:rsid w:val="00E26105"/>
    <w:rsid w:val="00E36142"/>
    <w:rsid w:val="00E42E5C"/>
    <w:rsid w:val="00E566D0"/>
    <w:rsid w:val="00E64A25"/>
    <w:rsid w:val="00E774A8"/>
    <w:rsid w:val="00E8025E"/>
    <w:rsid w:val="00E825F7"/>
    <w:rsid w:val="00E85390"/>
    <w:rsid w:val="00E95437"/>
    <w:rsid w:val="00EA564B"/>
    <w:rsid w:val="00EB61DF"/>
    <w:rsid w:val="00ED4554"/>
    <w:rsid w:val="00EE23CD"/>
    <w:rsid w:val="00F11E63"/>
    <w:rsid w:val="00F13709"/>
    <w:rsid w:val="00F25599"/>
    <w:rsid w:val="00F32CCD"/>
    <w:rsid w:val="00F415E0"/>
    <w:rsid w:val="00F52FF6"/>
    <w:rsid w:val="00F60C0D"/>
    <w:rsid w:val="00F71440"/>
    <w:rsid w:val="00F71790"/>
    <w:rsid w:val="00F841CB"/>
    <w:rsid w:val="00F84339"/>
    <w:rsid w:val="00F905EB"/>
    <w:rsid w:val="00F97EB7"/>
    <w:rsid w:val="00FA097B"/>
    <w:rsid w:val="00FB31D4"/>
    <w:rsid w:val="00FB66D2"/>
    <w:rsid w:val="00FC1054"/>
    <w:rsid w:val="00FC5C87"/>
    <w:rsid w:val="00FD78A7"/>
    <w:rsid w:val="00FE7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48E8"/>
  <w15:chartTrackingRefBased/>
  <w15:docId w15:val="{FE985C16-EFC2-4A06-9F68-D0FA4F53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0B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0BFE"/>
    <w:rPr>
      <w:sz w:val="20"/>
      <w:szCs w:val="20"/>
    </w:rPr>
  </w:style>
  <w:style w:type="character" w:styleId="FootnoteReference">
    <w:name w:val="footnote reference"/>
    <w:basedOn w:val="DefaultParagraphFont"/>
    <w:uiPriority w:val="99"/>
    <w:semiHidden/>
    <w:unhideWhenUsed/>
    <w:rsid w:val="00430BFE"/>
    <w:rPr>
      <w:vertAlign w:val="superscript"/>
    </w:rPr>
  </w:style>
  <w:style w:type="character" w:styleId="CommentReference">
    <w:name w:val="annotation reference"/>
    <w:uiPriority w:val="99"/>
    <w:semiHidden/>
    <w:unhideWhenUsed/>
    <w:rsid w:val="008731C2"/>
    <w:rPr>
      <w:sz w:val="16"/>
      <w:szCs w:val="16"/>
    </w:rPr>
  </w:style>
  <w:style w:type="paragraph" w:styleId="Header">
    <w:name w:val="header"/>
    <w:basedOn w:val="Normal"/>
    <w:link w:val="HeaderChar"/>
    <w:uiPriority w:val="99"/>
    <w:unhideWhenUsed/>
    <w:rsid w:val="00590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B30"/>
  </w:style>
  <w:style w:type="paragraph" w:styleId="Footer">
    <w:name w:val="footer"/>
    <w:basedOn w:val="Normal"/>
    <w:link w:val="FooterChar"/>
    <w:uiPriority w:val="99"/>
    <w:unhideWhenUsed/>
    <w:rsid w:val="00590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B30"/>
  </w:style>
  <w:style w:type="paragraph" w:styleId="BalloonText">
    <w:name w:val="Balloon Text"/>
    <w:basedOn w:val="Normal"/>
    <w:link w:val="BalloonTextChar"/>
    <w:uiPriority w:val="99"/>
    <w:semiHidden/>
    <w:unhideWhenUsed/>
    <w:rsid w:val="005B7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57"/>
    <w:rPr>
      <w:rFonts w:ascii="Segoe UI" w:hAnsi="Segoe UI" w:cs="Segoe UI"/>
      <w:sz w:val="18"/>
      <w:szCs w:val="18"/>
    </w:rPr>
  </w:style>
  <w:style w:type="character" w:styleId="Hyperlink">
    <w:name w:val="Hyperlink"/>
    <w:uiPriority w:val="99"/>
    <w:unhideWhenUsed/>
    <w:rsid w:val="00844F9E"/>
    <w:rPr>
      <w:color w:val="0563C1"/>
      <w:u w:val="single"/>
    </w:rPr>
  </w:style>
  <w:style w:type="paragraph" w:styleId="CommentText">
    <w:name w:val="annotation text"/>
    <w:basedOn w:val="Normal"/>
    <w:link w:val="CommentTextChar"/>
    <w:uiPriority w:val="99"/>
    <w:unhideWhenUsed/>
    <w:rsid w:val="00844F9E"/>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844F9E"/>
    <w:rPr>
      <w:rFonts w:ascii="Calibri" w:eastAsia="Calibri" w:hAnsi="Calibri" w:cs="Times New Roman"/>
      <w:sz w:val="20"/>
      <w:szCs w:val="20"/>
      <w:lang w:val="x-none" w:eastAsia="x-none"/>
    </w:rPr>
  </w:style>
  <w:style w:type="table" w:styleId="TableGrid">
    <w:name w:val="Table Grid"/>
    <w:basedOn w:val="TableNormal"/>
    <w:uiPriority w:val="39"/>
    <w:rsid w:val="00C4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tatistical-data-sets/live-tables-on-dwelling-stock-including-vacants" TargetMode="External"/><Relationship Id="rId13" Type="http://schemas.openxmlformats.org/officeDocument/2006/relationships/hyperlink" Target="https://blog.ons.gov.uk/2018/05/30/ripe-for-development-building-better-housing-statistics-for-the-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cml.org.uk/news/news-and-views/3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blog.shelter.org.uk/2018/08/flatlining-wages-surging-rents-and-a-national-affordability-crisis/" TargetMode="External"/><Relationship Id="rId10" Type="http://schemas.openxmlformats.org/officeDocument/2006/relationships/hyperlink" Target="https://www.gov.uk/government/statistical-data-sets/live-tables-on-house-building"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blog.ons.gov.uk/2019/04/04/strengthening-our-housing-and-planning-statistic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statistical-data-sets/live-tables-on-rents-lettings-and-tenancies" TargetMode="External"/><Relationship Id="rId3" Type="http://schemas.openxmlformats.org/officeDocument/2006/relationships/hyperlink" Target="http://webarchive.nationalarchives.gov.uk/20120919151731/http://www.communities.gov.uk/housing/housingresearch/housingstatistics/housingstatisticsby/localauthorityhousing/dataforms/" TargetMode="External"/><Relationship Id="rId7" Type="http://schemas.openxmlformats.org/officeDocument/2006/relationships/hyperlink" Target="https://www.ons.gov.uk/peoplepopulationandcommunity/housing/datasets/ratioofhousepricetoresidencebasedearningslowerquartileandmedian" TargetMode="External"/><Relationship Id="rId2" Type="http://schemas.openxmlformats.org/officeDocument/2006/relationships/hyperlink" Target="https://www.gov.uk/government/statistical-data-sets/live-tables-on-affordable-housing-supply" TargetMode="External"/><Relationship Id="rId1" Type="http://schemas.openxmlformats.org/officeDocument/2006/relationships/hyperlink" Target="https://www.gov.uk/guidance/definitions-of-general-housing-terms" TargetMode="External"/><Relationship Id="rId6" Type="http://schemas.openxmlformats.org/officeDocument/2006/relationships/hyperlink" Target="https://www.gov.uk/government/statistical-data-sets/live-tables-on-house-building" TargetMode="External"/><Relationship Id="rId5" Type="http://schemas.openxmlformats.org/officeDocument/2006/relationships/hyperlink" Target="http://www.electionscentre.co.uk/?page_id=3802" TargetMode="External"/><Relationship Id="rId4" Type="http://schemas.openxmlformats.org/officeDocument/2006/relationships/hyperlink" Target="http://webarchive.nationalarchives.gov.uk/20121103072007/%20http://www.communities.gov.uk/planningandbuilding/planningbuilding/planningstatistics/developmentcontrolstatistics/" TargetMode="External"/><Relationship Id="rId9" Type="http://schemas.openxmlformats.org/officeDocument/2006/relationships/hyperlink" Target="https://www.gov.uk/government/statistics/2001-rural-urban-definition-la-classification-and-other-geographi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https://www.gov.uk/government/uploads/system/uploads/attachment_data/file/639718/LiveTable209.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'101'!$C$6</c:f>
              <c:strCache>
                <c:ptCount val="1"/>
                <c:pt idx="0">
                  <c:v> Owner occupied</c:v>
                </c:pt>
              </c:strCache>
            </c:strRef>
          </c:tx>
          <c:spPr>
            <a:ln w="25381">
              <a:solidFill>
                <a:srgbClr val="000000"/>
              </a:solidFill>
              <a:prstDash val="sysDash"/>
            </a:ln>
          </c:spPr>
          <c:marker>
            <c:symbol val="none"/>
          </c:marker>
          <c:cat>
            <c:numRef>
              <c:f>'101'!$A$13:$A$46</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'101'!$C$13:$C$46</c:f>
              <c:numCache>
                <c:formatCode>_-* #,##0_-;\-* #,##0_-;_-* "-"??_-;_-@_-</c:formatCode>
                <c:ptCount val="34"/>
                <c:pt idx="0">
                  <c:v>12207</c:v>
                </c:pt>
                <c:pt idx="1">
                  <c:v>12639</c:v>
                </c:pt>
                <c:pt idx="2">
                  <c:v>13029</c:v>
                </c:pt>
                <c:pt idx="3">
                  <c:v>13396</c:v>
                </c:pt>
                <c:pt idx="4">
                  <c:v>13758</c:v>
                </c:pt>
                <c:pt idx="5">
                  <c:v>14117</c:v>
                </c:pt>
                <c:pt idx="6">
                  <c:v>14284</c:v>
                </c:pt>
                <c:pt idx="7">
                  <c:v>14747</c:v>
                </c:pt>
                <c:pt idx="8">
                  <c:v>15168</c:v>
                </c:pt>
                <c:pt idx="9">
                  <c:v>15469</c:v>
                </c:pt>
                <c:pt idx="10">
                  <c:v>15531</c:v>
                </c:pt>
                <c:pt idx="11">
                  <c:v>15751</c:v>
                </c:pt>
                <c:pt idx="12">
                  <c:v>15918</c:v>
                </c:pt>
                <c:pt idx="13">
                  <c:v>16106</c:v>
                </c:pt>
                <c:pt idx="14">
                  <c:v>16278</c:v>
                </c:pt>
                <c:pt idx="15">
                  <c:v>16435</c:v>
                </c:pt>
                <c:pt idx="16">
                  <c:v>16649</c:v>
                </c:pt>
                <c:pt idx="17">
                  <c:v>16907</c:v>
                </c:pt>
                <c:pt idx="18">
                  <c:v>17189</c:v>
                </c:pt>
                <c:pt idx="19">
                  <c:v>17437</c:v>
                </c:pt>
                <c:pt idx="20">
                  <c:v>17603</c:v>
                </c:pt>
                <c:pt idx="21">
                  <c:v>17761</c:v>
                </c:pt>
                <c:pt idx="22">
                  <c:v>17714</c:v>
                </c:pt>
                <c:pt idx="23">
                  <c:v>17979</c:v>
                </c:pt>
                <c:pt idx="24">
                  <c:v>18130</c:v>
                </c:pt>
                <c:pt idx="25">
                  <c:v>18116</c:v>
                </c:pt>
                <c:pt idx="26">
                  <c:v>18180</c:v>
                </c:pt>
                <c:pt idx="27">
                  <c:v>18184</c:v>
                </c:pt>
                <c:pt idx="28">
                  <c:v>18064</c:v>
                </c:pt>
                <c:pt idx="29">
                  <c:v>17984</c:v>
                </c:pt>
                <c:pt idx="30">
                  <c:v>17900</c:v>
                </c:pt>
                <c:pt idx="31">
                  <c:v>17790</c:v>
                </c:pt>
                <c:pt idx="32">
                  <c:v>17715</c:v>
                </c:pt>
                <c:pt idx="33">
                  <c:v>17712</c:v>
                </c:pt>
              </c:numCache>
            </c:numRef>
          </c:val>
          <c:smooth val="0"/>
          <c:extLst>
            <c:ext xmlns:c16="http://schemas.microsoft.com/office/drawing/2014/chart" uri="{C3380CC4-5D6E-409C-BE32-E72D297353CC}">
              <c16:uniqueId val="{00000000-947E-4F94-BA65-828F047E0292}"/>
            </c:ext>
          </c:extLst>
        </c:ser>
        <c:ser>
          <c:idx val="1"/>
          <c:order val="1"/>
          <c:tx>
            <c:strRef>
              <c:f>'101'!$D$6</c:f>
              <c:strCache>
                <c:ptCount val="1"/>
                <c:pt idx="0">
                  <c:v>Private rental</c:v>
                </c:pt>
              </c:strCache>
            </c:strRef>
          </c:tx>
          <c:spPr>
            <a:ln w="25381">
              <a:solidFill>
                <a:srgbClr val="000000"/>
              </a:solidFill>
              <a:prstDash val="solid"/>
            </a:ln>
          </c:spPr>
          <c:marker>
            <c:symbol val="none"/>
          </c:marker>
          <c:cat>
            <c:numRef>
              <c:f>'101'!$A$13:$A$46</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'101'!$D$13:$D$46</c:f>
              <c:numCache>
                <c:formatCode>_-* #,##0_-;\-* #,##0_-;_-* "-"??_-;_-@_-</c:formatCode>
                <c:ptCount val="34"/>
                <c:pt idx="0">
                  <c:v>2324</c:v>
                </c:pt>
                <c:pt idx="1">
                  <c:v>2236</c:v>
                </c:pt>
                <c:pt idx="2">
                  <c:v>2153</c:v>
                </c:pt>
                <c:pt idx="3">
                  <c:v>2068</c:v>
                </c:pt>
                <c:pt idx="4">
                  <c:v>1988</c:v>
                </c:pt>
                <c:pt idx="5">
                  <c:v>1911</c:v>
                </c:pt>
                <c:pt idx="6">
                  <c:v>2160</c:v>
                </c:pt>
                <c:pt idx="7">
                  <c:v>2097</c:v>
                </c:pt>
                <c:pt idx="8">
                  <c:v>2089</c:v>
                </c:pt>
                <c:pt idx="9">
                  <c:v>2144</c:v>
                </c:pt>
                <c:pt idx="10">
                  <c:v>2010</c:v>
                </c:pt>
                <c:pt idx="11">
                  <c:v>2079</c:v>
                </c:pt>
                <c:pt idx="12">
                  <c:v>2141</c:v>
                </c:pt>
                <c:pt idx="13">
                  <c:v>2205</c:v>
                </c:pt>
                <c:pt idx="14">
                  <c:v>2277</c:v>
                </c:pt>
                <c:pt idx="15">
                  <c:v>2355</c:v>
                </c:pt>
                <c:pt idx="16">
                  <c:v>2387</c:v>
                </c:pt>
                <c:pt idx="17">
                  <c:v>2394</c:v>
                </c:pt>
                <c:pt idx="18">
                  <c:v>2356</c:v>
                </c:pt>
                <c:pt idx="19">
                  <c:v>2387</c:v>
                </c:pt>
                <c:pt idx="20">
                  <c:v>2441</c:v>
                </c:pt>
                <c:pt idx="21">
                  <c:v>2512</c:v>
                </c:pt>
                <c:pt idx="22">
                  <c:v>2888</c:v>
                </c:pt>
                <c:pt idx="23">
                  <c:v>2956</c:v>
                </c:pt>
                <c:pt idx="24">
                  <c:v>3122</c:v>
                </c:pt>
                <c:pt idx="25">
                  <c:v>3410</c:v>
                </c:pt>
                <c:pt idx="26">
                  <c:v>3632</c:v>
                </c:pt>
                <c:pt idx="27">
                  <c:v>3920</c:v>
                </c:pt>
                <c:pt idx="28">
                  <c:v>4244</c:v>
                </c:pt>
                <c:pt idx="29">
                  <c:v>4491</c:v>
                </c:pt>
                <c:pt idx="30">
                  <c:v>4726</c:v>
                </c:pt>
                <c:pt idx="31">
                  <c:v>4962</c:v>
                </c:pt>
                <c:pt idx="32">
                  <c:v>5172</c:v>
                </c:pt>
                <c:pt idx="33">
                  <c:v>5343</c:v>
                </c:pt>
              </c:numCache>
            </c:numRef>
          </c:val>
          <c:smooth val="0"/>
          <c:extLst>
            <c:ext xmlns:c16="http://schemas.microsoft.com/office/drawing/2014/chart" uri="{C3380CC4-5D6E-409C-BE32-E72D297353CC}">
              <c16:uniqueId val="{00000001-947E-4F94-BA65-828F047E0292}"/>
            </c:ext>
          </c:extLst>
        </c:ser>
        <c:ser>
          <c:idx val="2"/>
          <c:order val="2"/>
          <c:tx>
            <c:strRef>
              <c:f>'101'!$E$6</c:f>
              <c:strCache>
                <c:ptCount val="1"/>
                <c:pt idx="0">
                  <c:v>Housing Association</c:v>
                </c:pt>
              </c:strCache>
            </c:strRef>
          </c:tx>
          <c:spPr>
            <a:ln w="25381">
              <a:solidFill>
                <a:srgbClr val="000000"/>
              </a:solidFill>
              <a:prstDash val="lgDash"/>
            </a:ln>
          </c:spPr>
          <c:marker>
            <c:symbol val="none"/>
          </c:marker>
          <c:cat>
            <c:numRef>
              <c:f>'101'!$A$13:$A$46</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'101'!$E$13:$E$46</c:f>
              <c:numCache>
                <c:formatCode>_-* #,##0_-;\-* #,##0_-;_-* "-"??_-;_-@_-</c:formatCode>
                <c:ptCount val="34"/>
                <c:pt idx="0">
                  <c:v>471</c:v>
                </c:pt>
                <c:pt idx="1">
                  <c:v>484</c:v>
                </c:pt>
                <c:pt idx="2">
                  <c:v>501</c:v>
                </c:pt>
                <c:pt idx="3">
                  <c:v>521</c:v>
                </c:pt>
                <c:pt idx="4">
                  <c:v>543</c:v>
                </c:pt>
                <c:pt idx="5">
                  <c:v>557</c:v>
                </c:pt>
                <c:pt idx="6">
                  <c:v>593</c:v>
                </c:pt>
                <c:pt idx="7">
                  <c:v>622</c:v>
                </c:pt>
                <c:pt idx="8">
                  <c:v>661</c:v>
                </c:pt>
                <c:pt idx="9">
                  <c:v>712</c:v>
                </c:pt>
                <c:pt idx="10">
                  <c:v>711</c:v>
                </c:pt>
                <c:pt idx="11">
                  <c:v>744</c:v>
                </c:pt>
                <c:pt idx="12">
                  <c:v>823</c:v>
                </c:pt>
                <c:pt idx="13">
                  <c:v>897</c:v>
                </c:pt>
                <c:pt idx="14">
                  <c:v>990</c:v>
                </c:pt>
                <c:pt idx="15">
                  <c:v>1093</c:v>
                </c:pt>
                <c:pt idx="16">
                  <c:v>1147</c:v>
                </c:pt>
                <c:pt idx="17">
                  <c:v>1221</c:v>
                </c:pt>
                <c:pt idx="18">
                  <c:v>1336</c:v>
                </c:pt>
                <c:pt idx="19">
                  <c:v>1477</c:v>
                </c:pt>
                <c:pt idx="20">
                  <c:v>1637</c:v>
                </c:pt>
                <c:pt idx="21">
                  <c:v>1712</c:v>
                </c:pt>
                <c:pt idx="22">
                  <c:v>1967</c:v>
                </c:pt>
                <c:pt idx="23">
                  <c:v>2039</c:v>
                </c:pt>
                <c:pt idx="24">
                  <c:v>2140</c:v>
                </c:pt>
                <c:pt idx="25">
                  <c:v>2205</c:v>
                </c:pt>
                <c:pt idx="26">
                  <c:v>2303</c:v>
                </c:pt>
                <c:pt idx="27">
                  <c:v>2440</c:v>
                </c:pt>
                <c:pt idx="28">
                  <c:v>2531</c:v>
                </c:pt>
                <c:pt idx="29">
                  <c:v>2591</c:v>
                </c:pt>
                <c:pt idx="30">
                  <c:v>2694</c:v>
                </c:pt>
                <c:pt idx="31">
                  <c:v>2747</c:v>
                </c:pt>
                <c:pt idx="32">
                  <c:v>2775</c:v>
                </c:pt>
                <c:pt idx="33">
                  <c:v>2788</c:v>
                </c:pt>
              </c:numCache>
            </c:numRef>
          </c:val>
          <c:smooth val="0"/>
          <c:extLst>
            <c:ext xmlns:c16="http://schemas.microsoft.com/office/drawing/2014/chart" uri="{C3380CC4-5D6E-409C-BE32-E72D297353CC}">
              <c16:uniqueId val="{00000002-947E-4F94-BA65-828F047E0292}"/>
            </c:ext>
          </c:extLst>
        </c:ser>
        <c:ser>
          <c:idx val="3"/>
          <c:order val="3"/>
          <c:tx>
            <c:strRef>
              <c:f>'101'!$F$6</c:f>
              <c:strCache>
                <c:ptCount val="1"/>
                <c:pt idx="0">
                  <c:v>Local Authorities</c:v>
                </c:pt>
              </c:strCache>
            </c:strRef>
          </c:tx>
          <c:spPr>
            <a:ln w="12690">
              <a:solidFill>
                <a:srgbClr val="000000"/>
              </a:solidFill>
              <a:prstDash val="sysDash"/>
            </a:ln>
          </c:spPr>
          <c:marker>
            <c:symbol val="none"/>
          </c:marker>
          <c:cat>
            <c:numRef>
              <c:f>'101'!$A$13:$A$46</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'101'!$F$13:$F$46</c:f>
              <c:numCache>
                <c:formatCode>_-* #,##0_-;\-* #,##0_-;_-* "-"??_-;_-@_-</c:formatCode>
                <c:ptCount val="34"/>
                <c:pt idx="0">
                  <c:v>6578</c:v>
                </c:pt>
                <c:pt idx="1">
                  <c:v>6382</c:v>
                </c:pt>
                <c:pt idx="2">
                  <c:v>6245</c:v>
                </c:pt>
                <c:pt idx="3">
                  <c:v>6141</c:v>
                </c:pt>
                <c:pt idx="4">
                  <c:v>6039</c:v>
                </c:pt>
                <c:pt idx="5">
                  <c:v>5952</c:v>
                </c:pt>
                <c:pt idx="6">
                  <c:v>5768</c:v>
                </c:pt>
                <c:pt idx="7">
                  <c:v>5581</c:v>
                </c:pt>
                <c:pt idx="8">
                  <c:v>5356</c:v>
                </c:pt>
                <c:pt idx="9">
                  <c:v>5185</c:v>
                </c:pt>
                <c:pt idx="10">
                  <c:v>5133</c:v>
                </c:pt>
                <c:pt idx="11">
                  <c:v>5043</c:v>
                </c:pt>
                <c:pt idx="12">
                  <c:v>4920</c:v>
                </c:pt>
                <c:pt idx="13">
                  <c:v>4789</c:v>
                </c:pt>
                <c:pt idx="14">
                  <c:v>4648</c:v>
                </c:pt>
                <c:pt idx="15">
                  <c:v>4517</c:v>
                </c:pt>
                <c:pt idx="16">
                  <c:v>4415</c:v>
                </c:pt>
                <c:pt idx="17">
                  <c:v>4277</c:v>
                </c:pt>
                <c:pt idx="18">
                  <c:v>4114</c:v>
                </c:pt>
                <c:pt idx="19">
                  <c:v>3917</c:v>
                </c:pt>
                <c:pt idx="20">
                  <c:v>3682</c:v>
                </c:pt>
                <c:pt idx="21">
                  <c:v>3540</c:v>
                </c:pt>
                <c:pt idx="22">
                  <c:v>3162</c:v>
                </c:pt>
                <c:pt idx="23">
                  <c:v>2984</c:v>
                </c:pt>
                <c:pt idx="24">
                  <c:v>2798</c:v>
                </c:pt>
                <c:pt idx="25">
                  <c:v>2702</c:v>
                </c:pt>
                <c:pt idx="26">
                  <c:v>2583</c:v>
                </c:pt>
                <c:pt idx="27">
                  <c:v>2427</c:v>
                </c:pt>
                <c:pt idx="28">
                  <c:v>2355</c:v>
                </c:pt>
                <c:pt idx="29">
                  <c:v>2316</c:v>
                </c:pt>
                <c:pt idx="30">
                  <c:v>2230</c:v>
                </c:pt>
                <c:pt idx="31">
                  <c:v>2193</c:v>
                </c:pt>
                <c:pt idx="32">
                  <c:v>2180</c:v>
                </c:pt>
                <c:pt idx="33">
                  <c:v>2166</c:v>
                </c:pt>
              </c:numCache>
            </c:numRef>
          </c:val>
          <c:smooth val="0"/>
          <c:extLst>
            <c:ext xmlns:c16="http://schemas.microsoft.com/office/drawing/2014/chart" uri="{C3380CC4-5D6E-409C-BE32-E72D297353CC}">
              <c16:uniqueId val="{00000003-947E-4F94-BA65-828F047E0292}"/>
            </c:ext>
          </c:extLst>
        </c:ser>
        <c:dLbls>
          <c:showLegendKey val="0"/>
          <c:showVal val="0"/>
          <c:showCatName val="0"/>
          <c:showSerName val="0"/>
          <c:showPercent val="0"/>
          <c:showBubbleSize val="0"/>
        </c:dLbls>
        <c:smooth val="0"/>
        <c:axId val="149681928"/>
        <c:axId val="1"/>
      </c:lineChart>
      <c:catAx>
        <c:axId val="149681928"/>
        <c:scaling>
          <c:orientation val="minMax"/>
        </c:scaling>
        <c:delete val="0"/>
        <c:axPos val="b"/>
        <c:numFmt formatCode="General" sourceLinked="1"/>
        <c:majorTickMark val="out"/>
        <c:minorTickMark val="none"/>
        <c:tickLblPos val="nextTo"/>
        <c:spPr>
          <a:ln w="3173">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2"/>
        <c:tickMarkSkip val="1"/>
        <c:noMultiLvlLbl val="0"/>
      </c:catAx>
      <c:valAx>
        <c:axId val="1"/>
        <c:scaling>
          <c:orientation val="minMax"/>
        </c:scaling>
        <c:delete val="0"/>
        <c:axPos val="l"/>
        <c:numFmt formatCode="_-* #,##0_-;\-* #,##0_-;_-* &quot;-&quot;??_-;_-@_-" sourceLinked="1"/>
        <c:majorTickMark val="out"/>
        <c:minorTickMark val="none"/>
        <c:tickLblPos val="nextTo"/>
        <c:spPr>
          <a:ln w="3173">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en-US"/>
          </a:p>
        </c:txPr>
        <c:crossAx val="149681928"/>
        <c:crosses val="autoZero"/>
        <c:crossBetween val="between"/>
      </c:valAx>
      <c:spPr>
        <a:solidFill>
          <a:srgbClr val="FFFFFF"/>
        </a:solidFill>
        <a:ln w="25381">
          <a:noFill/>
        </a:ln>
      </c:spPr>
    </c:plotArea>
    <c:legend>
      <c:legendPos val="r"/>
      <c:layout>
        <c:manualLayout>
          <c:xMode val="edge"/>
          <c:yMode val="edge"/>
          <c:x val="0.29040097205346294"/>
          <c:y val="0.95700245700245701"/>
          <c:w val="0.41130012150668288"/>
          <c:h val="2.7027027027027029E-2"/>
        </c:manualLayout>
      </c:layout>
      <c:overlay val="0"/>
      <c:spPr>
        <a:noFill/>
        <a:ln w="25381">
          <a:noFill/>
        </a:ln>
      </c:spPr>
      <c:txPr>
        <a:bodyPr/>
        <a:lstStyle/>
        <a:p>
          <a:pPr>
            <a:defRPr sz="919"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3">
      <a:solidFill>
        <a:srgbClr val="808080"/>
      </a:solidFill>
      <a:prstDash val="solid"/>
    </a:ln>
  </c:spPr>
  <c:txPr>
    <a:bodyPr/>
    <a:lstStyle/>
    <a:p>
      <a:pPr>
        <a:defRPr sz="999"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lineChart>
        <c:grouping val="standard"/>
        <c:varyColors val="1"/>
        <c:ser>
          <c:idx val="0"/>
          <c:order val="0"/>
          <c:spPr>
            <a:ln>
              <a:solidFill>
                <a:schemeClr val="tx1"/>
              </a:solidFill>
            </a:ln>
          </c:spPr>
          <c:marker>
            <c:symbol val="none"/>
          </c:marker>
          <c:cat>
            <c:numRef>
              <c:f>LiveTable209!$B$5:$B$38</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LiveTable209!$C$5:$C$38</c:f>
              <c:numCache>
                <c:formatCode>[$-10409]#,##0;\(#,##0\)</c:formatCode>
                <c:ptCount val="34"/>
                <c:pt idx="0">
                  <c:v>74840</c:v>
                </c:pt>
                <c:pt idx="1">
                  <c:v>54880</c:v>
                </c:pt>
                <c:pt idx="2">
                  <c:v>31660</c:v>
                </c:pt>
                <c:pt idx="3">
                  <c:v>29900</c:v>
                </c:pt>
                <c:pt idx="4">
                  <c:v>29200</c:v>
                </c:pt>
                <c:pt idx="5">
                  <c:v>23310</c:v>
                </c:pt>
                <c:pt idx="6">
                  <c:v>19670</c:v>
                </c:pt>
                <c:pt idx="7">
                  <c:v>16620</c:v>
                </c:pt>
                <c:pt idx="8">
                  <c:v>16130</c:v>
                </c:pt>
                <c:pt idx="9">
                  <c:v>14700</c:v>
                </c:pt>
                <c:pt idx="10">
                  <c:v>12960</c:v>
                </c:pt>
                <c:pt idx="11">
                  <c:v>7110</c:v>
                </c:pt>
                <c:pt idx="12">
                  <c:v>2580</c:v>
                </c:pt>
                <c:pt idx="13">
                  <c:v>1450</c:v>
                </c:pt>
                <c:pt idx="14">
                  <c:v>850</c:v>
                </c:pt>
                <c:pt idx="15">
                  <c:v>760</c:v>
                </c:pt>
                <c:pt idx="16">
                  <c:v>450</c:v>
                </c:pt>
                <c:pt idx="17">
                  <c:v>320</c:v>
                </c:pt>
                <c:pt idx="18">
                  <c:v>180</c:v>
                </c:pt>
                <c:pt idx="19">
                  <c:v>60</c:v>
                </c:pt>
                <c:pt idx="20">
                  <c:v>180</c:v>
                </c:pt>
                <c:pt idx="21">
                  <c:v>60</c:v>
                </c:pt>
                <c:pt idx="22">
                  <c:v>200</c:v>
                </c:pt>
                <c:pt idx="23">
                  <c:v>190</c:v>
                </c:pt>
                <c:pt idx="24">
                  <c:v>100</c:v>
                </c:pt>
                <c:pt idx="25">
                  <c:v>300</c:v>
                </c:pt>
                <c:pt idx="26">
                  <c:v>250</c:v>
                </c:pt>
                <c:pt idx="27">
                  <c:v>220</c:v>
                </c:pt>
                <c:pt idx="28">
                  <c:v>490</c:v>
                </c:pt>
                <c:pt idx="29">
                  <c:v>370</c:v>
                </c:pt>
                <c:pt idx="30">
                  <c:v>1140</c:v>
                </c:pt>
                <c:pt idx="31">
                  <c:v>1960</c:v>
                </c:pt>
                <c:pt idx="32">
                  <c:v>1360</c:v>
                </c:pt>
                <c:pt idx="33">
                  <c:v>910</c:v>
                </c:pt>
              </c:numCache>
            </c:numRef>
          </c:val>
          <c:smooth val="1"/>
          <c:extLst>
            <c:ext xmlns:c16="http://schemas.microsoft.com/office/drawing/2014/chart" uri="{C3380CC4-5D6E-409C-BE32-E72D297353CC}">
              <c16:uniqueId val="{00000000-4085-4603-857B-85ED3A9D3B5B}"/>
            </c:ext>
          </c:extLst>
        </c:ser>
        <c:dLbls>
          <c:showLegendKey val="0"/>
          <c:showVal val="0"/>
          <c:showCatName val="0"/>
          <c:showSerName val="0"/>
          <c:showPercent val="0"/>
          <c:showBubbleSize val="0"/>
        </c:dLbls>
        <c:smooth val="0"/>
        <c:axId val="340365144"/>
        <c:axId val="340360776"/>
      </c:lineChart>
      <c:catAx>
        <c:axId val="340365144"/>
        <c:scaling>
          <c:orientation val="minMax"/>
        </c:scaling>
        <c:delete val="1"/>
        <c:axPos val="b"/>
        <c:numFmt formatCode="General" sourceLinked="1"/>
        <c:majorTickMark val="cross"/>
        <c:minorTickMark val="cross"/>
        <c:tickLblPos val="nextTo"/>
        <c:crossAx val="340360776"/>
        <c:crosses val="autoZero"/>
        <c:auto val="1"/>
        <c:lblAlgn val="ctr"/>
        <c:lblOffset val="100"/>
        <c:noMultiLvlLbl val="1"/>
      </c:catAx>
      <c:valAx>
        <c:axId val="340360776"/>
        <c:scaling>
          <c:orientation val="minMax"/>
        </c:scaling>
        <c:delete val="1"/>
        <c:axPos val="l"/>
        <c:numFmt formatCode="[$-10409]#,##0;\(#,##0\)" sourceLinked="1"/>
        <c:majorTickMark val="cross"/>
        <c:minorTickMark val="cross"/>
        <c:tickLblPos val="nextTo"/>
        <c:crossAx val="340365144"/>
        <c:crosses val="autoZero"/>
        <c:crossBetween val="between"/>
      </c:valAx>
    </c:plotArea>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Total affordable completions</c:v>
          </c:tx>
          <c:spPr>
            <a:ln w="25396">
              <a:solidFill>
                <a:srgbClr val="000000"/>
              </a:solidFill>
              <a:prstDash val="solid"/>
            </a:ln>
          </c:spPr>
          <c:marker>
            <c:symbol val="none"/>
          </c:marker>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#,##0</c:formatCode>
                <c:ptCount val="6"/>
                <c:pt idx="0">
                  <c:v>33154</c:v>
                </c:pt>
                <c:pt idx="1">
                  <c:v>39108</c:v>
                </c:pt>
                <c:pt idx="2">
                  <c:v>39808</c:v>
                </c:pt>
                <c:pt idx="3">
                  <c:v>48208</c:v>
                </c:pt>
                <c:pt idx="4">
                  <c:v>51525</c:v>
                </c:pt>
                <c:pt idx="5">
                  <c:v>51858</c:v>
                </c:pt>
              </c:numCache>
            </c:numRef>
          </c:val>
          <c:smooth val="0"/>
          <c:extLst>
            <c:ext xmlns:c16="http://schemas.microsoft.com/office/drawing/2014/chart" uri="{C3380CC4-5D6E-409C-BE32-E72D297353CC}">
              <c16:uniqueId val="{00000000-F501-4ABA-8D80-10147D7D70D1}"/>
            </c:ext>
          </c:extLst>
        </c:ser>
        <c:ser>
          <c:idx val="1"/>
          <c:order val="1"/>
          <c:tx>
            <c:v>S106 affordable completions</c:v>
          </c:tx>
          <c:spPr>
            <a:ln w="25396">
              <a:solidFill>
                <a:srgbClr val="000000"/>
              </a:solidFill>
              <a:prstDash val="lgDash"/>
            </a:ln>
          </c:spPr>
          <c:marker>
            <c:symbol val="none"/>
          </c:marker>
          <c:cat>
            <c:numRef>
              <c:f>Sheet1!$A$2:$A$7</c:f>
              <c:numCache>
                <c:formatCode>General</c:formatCode>
                <c:ptCount val="6"/>
                <c:pt idx="0">
                  <c:v>2005</c:v>
                </c:pt>
                <c:pt idx="1">
                  <c:v>2006</c:v>
                </c:pt>
                <c:pt idx="2">
                  <c:v>2007</c:v>
                </c:pt>
                <c:pt idx="3">
                  <c:v>2008</c:v>
                </c:pt>
                <c:pt idx="4">
                  <c:v>2009</c:v>
                </c:pt>
                <c:pt idx="5">
                  <c:v>2010</c:v>
                </c:pt>
              </c:numCache>
            </c:numRef>
          </c:cat>
          <c:val>
            <c:numRef>
              <c:f>Sheet1!$C$2:$C$7</c:f>
              <c:numCache>
                <c:formatCode>#,##0</c:formatCode>
                <c:ptCount val="6"/>
                <c:pt idx="0">
                  <c:v>18175</c:v>
                </c:pt>
                <c:pt idx="1">
                  <c:v>23869</c:v>
                </c:pt>
                <c:pt idx="2">
                  <c:v>25838</c:v>
                </c:pt>
                <c:pt idx="3">
                  <c:v>27273</c:v>
                </c:pt>
                <c:pt idx="4">
                  <c:v>32286</c:v>
                </c:pt>
                <c:pt idx="5">
                  <c:v>29065</c:v>
                </c:pt>
              </c:numCache>
            </c:numRef>
          </c:val>
          <c:smooth val="0"/>
          <c:extLst>
            <c:ext xmlns:c16="http://schemas.microsoft.com/office/drawing/2014/chart" uri="{C3380CC4-5D6E-409C-BE32-E72D297353CC}">
              <c16:uniqueId val="{00000001-F501-4ABA-8D80-10147D7D70D1}"/>
            </c:ext>
          </c:extLst>
        </c:ser>
        <c:dLbls>
          <c:showLegendKey val="0"/>
          <c:showVal val="0"/>
          <c:showCatName val="0"/>
          <c:showSerName val="0"/>
          <c:showPercent val="0"/>
          <c:showBubbleSize val="0"/>
        </c:dLbls>
        <c:smooth val="0"/>
        <c:axId val="149192912"/>
        <c:axId val="1"/>
      </c:lineChart>
      <c:catAx>
        <c:axId val="149192912"/>
        <c:scaling>
          <c:orientation val="minMax"/>
        </c:scaling>
        <c:delete val="0"/>
        <c:axPos val="b"/>
        <c:numFmt formatCode="General" sourceLinked="1"/>
        <c:majorTickMark val="out"/>
        <c:minorTickMark val="none"/>
        <c:tickLblPos val="nextTo"/>
        <c:spPr>
          <a:ln w="3174">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numFmt formatCode="#,##0" sourceLinked="1"/>
        <c:majorTickMark val="out"/>
        <c:minorTickMark val="none"/>
        <c:tickLblPos val="nextTo"/>
        <c:spPr>
          <a:ln w="3174">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49192912"/>
        <c:crosses val="autoZero"/>
        <c:crossBetween val="between"/>
      </c:valAx>
      <c:spPr>
        <a:solidFill>
          <a:srgbClr val="FFFFFF"/>
        </a:solidFill>
        <a:ln w="25396">
          <a:noFill/>
        </a:ln>
      </c:spPr>
    </c:plotArea>
    <c:legend>
      <c:legendPos val="r"/>
      <c:layout>
        <c:manualLayout>
          <c:xMode val="edge"/>
          <c:yMode val="edge"/>
          <c:x val="0.671264367816092"/>
          <c:y val="0.13043478260869565"/>
          <c:w val="0.32873563218390806"/>
          <c:h val="9.4629156010230184E-2"/>
        </c:manualLayout>
      </c:layout>
      <c:overlay val="0"/>
      <c:spPr>
        <a:noFill/>
        <a:ln w="25396">
          <a:noFill/>
        </a:ln>
      </c:spP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4">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6DCA-1F80-4B3B-81F7-FB6883E9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10043</Words>
  <Characters>57251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Clegg</dc:creator>
  <cp:keywords/>
  <dc:description/>
  <cp:lastModifiedBy>Liam Clegg</cp:lastModifiedBy>
  <cp:revision>3</cp:revision>
  <cp:lastPrinted>2019-07-09T11:17:00Z</cp:lastPrinted>
  <dcterms:created xsi:type="dcterms:W3CDTF">2019-08-20T09:15:00Z</dcterms:created>
  <dcterms:modified xsi:type="dcterms:W3CDTF">2019-08-20T09:39:00Z</dcterms:modified>
</cp:coreProperties>
</file>