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1CCE1" w14:textId="7714F7DF" w:rsidR="00AE1D64" w:rsidRPr="00686635" w:rsidRDefault="00AE1D64" w:rsidP="00021665">
      <w:pPr>
        <w:spacing w:line="360" w:lineRule="auto"/>
        <w:rPr>
          <w:rFonts w:ascii="Times New Roman" w:hAnsi="Times New Roman" w:cs="Times New Roman"/>
          <w:bCs/>
          <w:sz w:val="24"/>
          <w:szCs w:val="24"/>
        </w:rPr>
      </w:pPr>
      <w:r w:rsidRPr="00686635">
        <w:rPr>
          <w:rFonts w:ascii="Times New Roman" w:hAnsi="Times New Roman" w:cs="Times New Roman"/>
          <w:bCs/>
          <w:sz w:val="24"/>
          <w:szCs w:val="24"/>
        </w:rPr>
        <w:t xml:space="preserve">Victoria’s Victorians, </w:t>
      </w:r>
      <w:r w:rsidR="00021665" w:rsidRPr="00686635">
        <w:rPr>
          <w:rFonts w:ascii="Times New Roman" w:hAnsi="Times New Roman" w:cs="Times New Roman"/>
          <w:bCs/>
          <w:sz w:val="24"/>
          <w:szCs w:val="24"/>
        </w:rPr>
        <w:t>or how contemporariness strikes</w:t>
      </w:r>
      <w:r w:rsidR="00021665" w:rsidRPr="00686635">
        <w:rPr>
          <w:rFonts w:ascii="Times New Roman" w:hAnsi="Times New Roman" w:cs="Times New Roman"/>
          <w:bCs/>
          <w:sz w:val="24"/>
          <w:szCs w:val="24"/>
        </w:rPr>
        <w:br/>
        <w:t>Trev Broughton</w:t>
      </w:r>
    </w:p>
    <w:p w14:paraId="518D01F5" w14:textId="73C3B231" w:rsidR="00137216" w:rsidRPr="00686635" w:rsidRDefault="00137216" w:rsidP="00021665">
      <w:pPr>
        <w:spacing w:line="336" w:lineRule="auto"/>
        <w:rPr>
          <w:rFonts w:ascii="Times New Roman" w:hAnsi="Times New Roman" w:cs="Times New Roman"/>
          <w:sz w:val="24"/>
          <w:szCs w:val="24"/>
        </w:rPr>
      </w:pPr>
      <w:r w:rsidRPr="00686635">
        <w:rPr>
          <w:rFonts w:ascii="Times New Roman" w:hAnsi="Times New Roman" w:cs="Times New Roman"/>
          <w:sz w:val="24"/>
          <w:szCs w:val="24"/>
        </w:rPr>
        <w:t xml:space="preserve">The year 2019 represents a veritable traffic jam of bicentenaries. Not only </w:t>
      </w:r>
      <w:r w:rsidR="00B966CE" w:rsidRPr="00686635">
        <w:rPr>
          <w:rFonts w:ascii="Times New Roman" w:hAnsi="Times New Roman" w:cs="Times New Roman"/>
          <w:sz w:val="24"/>
          <w:szCs w:val="24"/>
        </w:rPr>
        <w:t xml:space="preserve">are </w:t>
      </w:r>
      <w:r w:rsidRPr="00686635">
        <w:rPr>
          <w:rFonts w:ascii="Times New Roman" w:hAnsi="Times New Roman" w:cs="Times New Roman"/>
          <w:sz w:val="24"/>
          <w:szCs w:val="24"/>
        </w:rPr>
        <w:t xml:space="preserve">we commemorating the birth of Queen </w:t>
      </w:r>
      <w:r w:rsidR="007137FF" w:rsidRPr="00686635">
        <w:rPr>
          <w:rFonts w:ascii="Times New Roman" w:hAnsi="Times New Roman" w:cs="Times New Roman"/>
          <w:sz w:val="24"/>
          <w:szCs w:val="24"/>
        </w:rPr>
        <w:t>Victoria and her c</w:t>
      </w:r>
      <w:r w:rsidRPr="00686635">
        <w:rPr>
          <w:rFonts w:ascii="Times New Roman" w:hAnsi="Times New Roman" w:cs="Times New Roman"/>
          <w:sz w:val="24"/>
          <w:szCs w:val="24"/>
        </w:rPr>
        <w:t xml:space="preserve">onsort </w:t>
      </w:r>
      <w:r w:rsidR="007137FF" w:rsidRPr="00686635">
        <w:rPr>
          <w:rFonts w:ascii="Times New Roman" w:hAnsi="Times New Roman" w:cs="Times New Roman"/>
          <w:sz w:val="24"/>
          <w:szCs w:val="24"/>
        </w:rPr>
        <w:t xml:space="preserve">Prince </w:t>
      </w:r>
      <w:r w:rsidRPr="00686635">
        <w:rPr>
          <w:rFonts w:ascii="Times New Roman" w:hAnsi="Times New Roman" w:cs="Times New Roman"/>
          <w:sz w:val="24"/>
          <w:szCs w:val="24"/>
        </w:rPr>
        <w:t xml:space="preserve">Albert, but a range of notabilities, from George Eliot and John Ruskin to Charles Kingsley and Joseph </w:t>
      </w:r>
      <w:proofErr w:type="spellStart"/>
      <w:r w:rsidRPr="00686635">
        <w:rPr>
          <w:rFonts w:ascii="Times New Roman" w:hAnsi="Times New Roman" w:cs="Times New Roman"/>
          <w:sz w:val="24"/>
          <w:szCs w:val="24"/>
        </w:rPr>
        <w:t>Bazalgette</w:t>
      </w:r>
      <w:proofErr w:type="spellEnd"/>
      <w:r w:rsidRPr="00686635">
        <w:rPr>
          <w:rFonts w:ascii="Times New Roman" w:hAnsi="Times New Roman" w:cs="Times New Roman"/>
          <w:sz w:val="24"/>
          <w:szCs w:val="24"/>
        </w:rPr>
        <w:t>.</w:t>
      </w:r>
      <w:r w:rsidRPr="00686635">
        <w:rPr>
          <w:rStyle w:val="FootnoteReference"/>
          <w:rFonts w:ascii="Times New Roman" w:hAnsi="Times New Roman" w:cs="Times New Roman"/>
          <w:sz w:val="24"/>
          <w:szCs w:val="24"/>
        </w:rPr>
        <w:footnoteReference w:id="1"/>
      </w:r>
      <w:r w:rsidR="00760B81"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While we’re used to the upsurge of commemoration, republication and renewed scholarly, institutional, and commercial capital that goes into </w:t>
      </w:r>
      <w:r w:rsidR="00760B81" w:rsidRPr="00686635">
        <w:rPr>
          <w:rFonts w:ascii="Times New Roman" w:hAnsi="Times New Roman" w:cs="Times New Roman"/>
          <w:sz w:val="24"/>
          <w:szCs w:val="24"/>
        </w:rPr>
        <w:t xml:space="preserve">such </w:t>
      </w:r>
      <w:r w:rsidRPr="00686635">
        <w:rPr>
          <w:rFonts w:ascii="Times New Roman" w:hAnsi="Times New Roman" w:cs="Times New Roman"/>
          <w:sz w:val="24"/>
          <w:szCs w:val="24"/>
        </w:rPr>
        <w:t xml:space="preserve">anniversaries, we might pause to ponder </w:t>
      </w:r>
      <w:r w:rsidR="00760B81" w:rsidRPr="00686635">
        <w:rPr>
          <w:rFonts w:ascii="Times New Roman" w:hAnsi="Times New Roman" w:cs="Times New Roman"/>
          <w:sz w:val="24"/>
          <w:szCs w:val="24"/>
        </w:rPr>
        <w:t>their meaning</w:t>
      </w:r>
      <w:r w:rsidR="00021665" w:rsidRPr="00686635">
        <w:rPr>
          <w:rFonts w:ascii="Times New Roman" w:hAnsi="Times New Roman" w:cs="Times New Roman"/>
          <w:sz w:val="24"/>
          <w:szCs w:val="24"/>
        </w:rPr>
        <w:t xml:space="preserve"> </w:t>
      </w:r>
      <w:r w:rsidRPr="00686635">
        <w:rPr>
          <w:rFonts w:ascii="Times New Roman" w:hAnsi="Times New Roman" w:cs="Times New Roman"/>
          <w:i/>
          <w:sz w:val="24"/>
          <w:szCs w:val="24"/>
        </w:rPr>
        <w:t>in relation to each other.</w:t>
      </w:r>
      <w:r w:rsidRPr="00686635">
        <w:rPr>
          <w:rFonts w:ascii="Times New Roman" w:hAnsi="Times New Roman" w:cs="Times New Roman"/>
          <w:sz w:val="24"/>
          <w:szCs w:val="24"/>
        </w:rPr>
        <w:t xml:space="preserve"> Would Queen Victoria have been surprised </w:t>
      </w:r>
      <w:r w:rsidR="003B7C08" w:rsidRPr="00686635">
        <w:rPr>
          <w:rFonts w:ascii="Times New Roman" w:hAnsi="Times New Roman" w:cs="Times New Roman"/>
          <w:sz w:val="24"/>
          <w:szCs w:val="24"/>
        </w:rPr>
        <w:t xml:space="preserve">to </w:t>
      </w:r>
      <w:r w:rsidRPr="00686635">
        <w:rPr>
          <w:rFonts w:ascii="Times New Roman" w:hAnsi="Times New Roman" w:cs="Times New Roman"/>
          <w:sz w:val="24"/>
          <w:szCs w:val="24"/>
        </w:rPr>
        <w:t xml:space="preserve">find herself lining up in the bicentennial queue with the sewer king </w:t>
      </w:r>
      <w:proofErr w:type="spellStart"/>
      <w:r w:rsidRPr="00686635">
        <w:rPr>
          <w:rFonts w:ascii="Times New Roman" w:hAnsi="Times New Roman" w:cs="Times New Roman"/>
          <w:sz w:val="24"/>
          <w:szCs w:val="24"/>
        </w:rPr>
        <w:t>Bazalgette</w:t>
      </w:r>
      <w:proofErr w:type="spellEnd"/>
      <w:r w:rsidRPr="00686635">
        <w:rPr>
          <w:rFonts w:ascii="Times New Roman" w:hAnsi="Times New Roman" w:cs="Times New Roman"/>
          <w:sz w:val="24"/>
          <w:szCs w:val="24"/>
        </w:rPr>
        <w:t>, the Chartist Ernest Jones,</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or t</w:t>
      </w:r>
      <w:r w:rsidR="0098618F" w:rsidRPr="00686635">
        <w:rPr>
          <w:rFonts w:ascii="Times New Roman" w:hAnsi="Times New Roman" w:cs="Times New Roman"/>
          <w:sz w:val="24"/>
          <w:szCs w:val="24"/>
        </w:rPr>
        <w:t>he scandalous Mary Ann Cross, né</w:t>
      </w:r>
      <w:r w:rsidRPr="00686635">
        <w:rPr>
          <w:rFonts w:ascii="Times New Roman" w:hAnsi="Times New Roman" w:cs="Times New Roman"/>
          <w:sz w:val="24"/>
          <w:szCs w:val="24"/>
        </w:rPr>
        <w:t>e Evans?</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This paper grapples with </w:t>
      </w:r>
      <w:r w:rsidR="009D5614" w:rsidRPr="00686635">
        <w:rPr>
          <w:rFonts w:ascii="Times New Roman" w:hAnsi="Times New Roman" w:cs="Times New Roman"/>
          <w:sz w:val="24"/>
          <w:szCs w:val="24"/>
        </w:rPr>
        <w:t xml:space="preserve">some of the ways in </w:t>
      </w:r>
      <w:r w:rsidRPr="00686635">
        <w:rPr>
          <w:rFonts w:ascii="Times New Roman" w:hAnsi="Times New Roman" w:cs="Times New Roman"/>
          <w:sz w:val="24"/>
          <w:szCs w:val="24"/>
        </w:rPr>
        <w:t xml:space="preserve">which members of a Victorian birth cohort – and for the sake of argument let us say </w:t>
      </w:r>
      <w:r w:rsidRPr="00686635">
        <w:rPr>
          <w:rFonts w:ascii="Times New Roman" w:hAnsi="Times New Roman" w:cs="Times New Roman"/>
          <w:i/>
          <w:sz w:val="24"/>
          <w:szCs w:val="24"/>
        </w:rPr>
        <w:t xml:space="preserve">the </w:t>
      </w:r>
      <w:r w:rsidRPr="00686635">
        <w:rPr>
          <w:rFonts w:ascii="Times New Roman" w:hAnsi="Times New Roman" w:cs="Times New Roman"/>
          <w:sz w:val="24"/>
          <w:szCs w:val="24"/>
        </w:rPr>
        <w:t xml:space="preserve">Victorian birth cohort, that of Victoria herself </w:t>
      </w:r>
      <w:r w:rsidR="00A11DE8"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would have had opportunities to recognize themselves as such: to have a consciousness of </w:t>
      </w:r>
      <w:r w:rsidR="009D5614" w:rsidRPr="00686635">
        <w:rPr>
          <w:rFonts w:ascii="Times New Roman" w:hAnsi="Times New Roman" w:cs="Times New Roman"/>
          <w:sz w:val="24"/>
          <w:szCs w:val="24"/>
        </w:rPr>
        <w:t>contemporaneity</w:t>
      </w:r>
      <w:r w:rsidRPr="00686635">
        <w:rPr>
          <w:rFonts w:ascii="Times New Roman" w:hAnsi="Times New Roman" w:cs="Times New Roman"/>
          <w:sz w:val="24"/>
          <w:szCs w:val="24"/>
        </w:rPr>
        <w:t>. Did</w:t>
      </w:r>
      <w:r w:rsidR="00021665" w:rsidRPr="00686635">
        <w:rPr>
          <w:rFonts w:ascii="Times New Roman" w:hAnsi="Times New Roman" w:cs="Times New Roman"/>
          <w:sz w:val="24"/>
          <w:szCs w:val="24"/>
        </w:rPr>
        <w:t xml:space="preserve"> </w:t>
      </w:r>
      <w:r w:rsidR="000D1266" w:rsidRPr="00686635">
        <w:rPr>
          <w:rFonts w:ascii="Times New Roman" w:hAnsi="Times New Roman" w:cs="Times New Roman"/>
          <w:sz w:val="24"/>
          <w:szCs w:val="24"/>
        </w:rPr>
        <w:t xml:space="preserve">biological </w:t>
      </w:r>
      <w:r w:rsidRPr="00686635">
        <w:rPr>
          <w:rFonts w:ascii="Times New Roman" w:hAnsi="Times New Roman" w:cs="Times New Roman"/>
          <w:sz w:val="24"/>
          <w:szCs w:val="24"/>
        </w:rPr>
        <w:t>congruence – the coincidence of inhabiting the same</w:t>
      </w:r>
      <w:r w:rsidR="000D1266" w:rsidRPr="00686635">
        <w:rPr>
          <w:rFonts w:ascii="Times New Roman" w:hAnsi="Times New Roman" w:cs="Times New Roman"/>
          <w:sz w:val="24"/>
          <w:szCs w:val="24"/>
        </w:rPr>
        <w:t xml:space="preserve"> historical</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moment at roughly the same age – ever crystallize itself as a sense of shared identity, and in what circumstances?</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Was Victorian contemporaneity an intimate relationship or a distant one, or not a relationship at all?</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What would ‘my generation’ or ‘my contemporaries’ have meant</w:t>
      </w:r>
      <w:r w:rsidR="00760B81" w:rsidRPr="00686635">
        <w:rPr>
          <w:rFonts w:ascii="Times New Roman" w:hAnsi="Times New Roman" w:cs="Times New Roman"/>
          <w:sz w:val="24"/>
          <w:szCs w:val="24"/>
        </w:rPr>
        <w:t>, if anything?</w:t>
      </w:r>
    </w:p>
    <w:p w14:paraId="253473B5" w14:textId="37ED1768" w:rsidR="00CE2E50" w:rsidRPr="00686635" w:rsidRDefault="00137216" w:rsidP="00CE2E50">
      <w:pPr>
        <w:spacing w:line="360" w:lineRule="auto"/>
        <w:rPr>
          <w:rFonts w:ascii="Times New Roman" w:hAnsi="Times New Roman" w:cs="Times New Roman"/>
          <w:sz w:val="24"/>
          <w:szCs w:val="24"/>
        </w:rPr>
      </w:pPr>
      <w:r w:rsidRPr="00686635">
        <w:rPr>
          <w:rFonts w:ascii="Times New Roman" w:hAnsi="Times New Roman" w:cs="Times New Roman"/>
          <w:sz w:val="24"/>
          <w:szCs w:val="24"/>
        </w:rPr>
        <w:t>Martin Hewitt has argued, in his B</w:t>
      </w:r>
      <w:r w:rsidR="00FB5076" w:rsidRPr="00686635">
        <w:rPr>
          <w:rFonts w:ascii="Times New Roman" w:hAnsi="Times New Roman" w:cs="Times New Roman"/>
          <w:sz w:val="24"/>
          <w:szCs w:val="24"/>
        </w:rPr>
        <w:t>ritish Association for Victorian Studies</w:t>
      </w:r>
      <w:r w:rsidR="003B7C08" w:rsidRPr="00686635">
        <w:rPr>
          <w:rFonts w:ascii="Times New Roman" w:hAnsi="Times New Roman" w:cs="Times New Roman"/>
          <w:sz w:val="24"/>
          <w:szCs w:val="24"/>
        </w:rPr>
        <w:t xml:space="preserve"> keynote</w:t>
      </w:r>
      <w:r w:rsidRPr="00686635">
        <w:rPr>
          <w:rFonts w:ascii="Times New Roman" w:hAnsi="Times New Roman" w:cs="Times New Roman"/>
          <w:sz w:val="24"/>
          <w:szCs w:val="24"/>
        </w:rPr>
        <w:t xml:space="preserve"> lecture of 2015, that ‘</w:t>
      </w:r>
      <w:r w:rsidR="004316F9" w:rsidRPr="00686635">
        <w:rPr>
          <w:rFonts w:ascii="Times New Roman" w:hAnsi="Times New Roman" w:cs="Times New Roman"/>
          <w:sz w:val="24"/>
          <w:szCs w:val="24"/>
        </w:rPr>
        <w:t>there was nothing in Victorian self-conceptions to match the readiness with which they themselves interpreted the contemporary history of the European continent in broad generational patterns.’</w:t>
      </w:r>
      <w:r w:rsidR="00FB39EB" w:rsidRPr="00686635">
        <w:rPr>
          <w:rStyle w:val="FootnoteReference"/>
          <w:rFonts w:ascii="Times New Roman" w:hAnsi="Times New Roman" w:cs="Times New Roman"/>
          <w:sz w:val="24"/>
          <w:szCs w:val="24"/>
        </w:rPr>
        <w:footnoteReference w:id="2"/>
      </w:r>
      <w:r w:rsidR="004316F9" w:rsidRPr="00686635">
        <w:rPr>
          <w:rFonts w:ascii="Times New Roman" w:hAnsi="Times New Roman" w:cs="Times New Roman"/>
          <w:sz w:val="24"/>
          <w:szCs w:val="24"/>
        </w:rPr>
        <w:t xml:space="preserve"> </w:t>
      </w:r>
      <w:r w:rsidR="00760B81" w:rsidRPr="00686635">
        <w:rPr>
          <w:rFonts w:ascii="Times New Roman" w:hAnsi="Times New Roman" w:cs="Times New Roman"/>
          <w:sz w:val="24"/>
          <w:szCs w:val="24"/>
        </w:rPr>
        <w:t xml:space="preserve">This absence </w:t>
      </w:r>
      <w:r w:rsidRPr="00686635">
        <w:rPr>
          <w:rFonts w:ascii="Times New Roman" w:hAnsi="Times New Roman" w:cs="Times New Roman"/>
          <w:sz w:val="24"/>
          <w:szCs w:val="24"/>
        </w:rPr>
        <w:t>is a world away from the current situation in which generations are routinely p</w:t>
      </w:r>
      <w:r w:rsidR="009C56B3" w:rsidRPr="00686635">
        <w:rPr>
          <w:rFonts w:ascii="Times New Roman" w:hAnsi="Times New Roman" w:cs="Times New Roman"/>
          <w:sz w:val="24"/>
          <w:szCs w:val="24"/>
        </w:rPr>
        <w:t>itted against each other, scape</w:t>
      </w:r>
      <w:r w:rsidRPr="00686635">
        <w:rPr>
          <w:rFonts w:ascii="Times New Roman" w:hAnsi="Times New Roman" w:cs="Times New Roman"/>
          <w:sz w:val="24"/>
          <w:szCs w:val="24"/>
        </w:rPr>
        <w:t xml:space="preserve">goated, caricatured, embraced and </w:t>
      </w:r>
      <w:r w:rsidR="004053E2" w:rsidRPr="00686635">
        <w:rPr>
          <w:rFonts w:ascii="Times New Roman" w:hAnsi="Times New Roman" w:cs="Times New Roman"/>
          <w:sz w:val="24"/>
          <w:szCs w:val="24"/>
        </w:rPr>
        <w:t xml:space="preserve">actively </w:t>
      </w:r>
      <w:r w:rsidRPr="00686635">
        <w:rPr>
          <w:rFonts w:ascii="Times New Roman" w:hAnsi="Times New Roman" w:cs="Times New Roman"/>
          <w:sz w:val="24"/>
          <w:szCs w:val="24"/>
        </w:rPr>
        <w:t>disavowed.</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This array of socio-cultural reflexes </w:t>
      </w:r>
      <w:r w:rsidR="00760B81" w:rsidRPr="00686635">
        <w:rPr>
          <w:rFonts w:ascii="Times New Roman" w:hAnsi="Times New Roman" w:cs="Times New Roman"/>
          <w:sz w:val="24"/>
          <w:szCs w:val="24"/>
        </w:rPr>
        <w:t xml:space="preserve">is </w:t>
      </w:r>
      <w:r w:rsidRPr="00686635">
        <w:rPr>
          <w:rFonts w:ascii="Times New Roman" w:hAnsi="Times New Roman" w:cs="Times New Roman"/>
          <w:sz w:val="24"/>
          <w:szCs w:val="24"/>
        </w:rPr>
        <w:t>made possible by the proliferation of tech</w:t>
      </w:r>
      <w:r w:rsidR="00760B81" w:rsidRPr="00686635">
        <w:rPr>
          <w:rFonts w:ascii="Times New Roman" w:hAnsi="Times New Roman" w:cs="Times New Roman"/>
          <w:sz w:val="24"/>
          <w:szCs w:val="24"/>
        </w:rPr>
        <w:t>nologies of contemporaneity:</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high school </w:t>
      </w:r>
      <w:proofErr w:type="spellStart"/>
      <w:r w:rsidRPr="00686635">
        <w:rPr>
          <w:rFonts w:ascii="Times New Roman" w:hAnsi="Times New Roman" w:cs="Times New Roman"/>
          <w:sz w:val="24"/>
          <w:szCs w:val="24"/>
        </w:rPr>
        <w:t>year books</w:t>
      </w:r>
      <w:proofErr w:type="spellEnd"/>
      <w:r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alumnae databases, the algorithms patrolling our medical records and consumption habits</w:t>
      </w:r>
      <w:r w:rsidR="009D5614" w:rsidRPr="00686635">
        <w:rPr>
          <w:rFonts w:ascii="Times New Roman" w:hAnsi="Times New Roman" w:cs="Times New Roman"/>
          <w:sz w:val="24"/>
          <w:szCs w:val="24"/>
        </w:rPr>
        <w:t>, our insurance needs</w:t>
      </w:r>
      <w:r w:rsidRPr="00686635">
        <w:rPr>
          <w:rFonts w:ascii="Times New Roman" w:hAnsi="Times New Roman" w:cs="Times New Roman"/>
          <w:sz w:val="24"/>
          <w:szCs w:val="24"/>
        </w:rPr>
        <w:t xml:space="preserve"> and pensions.</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In the nineteenth</w:t>
      </w:r>
      <w:r w:rsidR="003B7C08" w:rsidRPr="00686635">
        <w:rPr>
          <w:rFonts w:ascii="Times New Roman" w:hAnsi="Times New Roman" w:cs="Times New Roman"/>
          <w:sz w:val="24"/>
          <w:szCs w:val="24"/>
        </w:rPr>
        <w:t xml:space="preserve"> </w:t>
      </w:r>
      <w:r w:rsidRPr="00686635">
        <w:rPr>
          <w:rFonts w:ascii="Times New Roman" w:hAnsi="Times New Roman" w:cs="Times New Roman"/>
          <w:sz w:val="24"/>
          <w:szCs w:val="24"/>
        </w:rPr>
        <w:t>century, by contrast, the legal and bureaucratic infrastructure of age identity was relatively sketchy and uneven</w:t>
      </w:r>
      <w:r w:rsidR="00A14176"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00FE08D9" w:rsidRPr="00686635">
        <w:rPr>
          <w:rFonts w:ascii="Times New Roman" w:hAnsi="Times New Roman" w:cs="Times New Roman"/>
          <w:sz w:val="24"/>
          <w:szCs w:val="24"/>
        </w:rPr>
        <w:t xml:space="preserve">The </w:t>
      </w:r>
      <w:r w:rsidR="002649B6" w:rsidRPr="00686635">
        <w:rPr>
          <w:rFonts w:ascii="Times New Roman" w:hAnsi="Times New Roman" w:cs="Times New Roman"/>
          <w:sz w:val="24"/>
          <w:szCs w:val="24"/>
        </w:rPr>
        <w:t xml:space="preserve">commonplace variety of contemporariness </w:t>
      </w:r>
      <w:r w:rsidR="00FE08D9" w:rsidRPr="00686635">
        <w:rPr>
          <w:rFonts w:ascii="Times New Roman" w:hAnsi="Times New Roman" w:cs="Times New Roman"/>
          <w:sz w:val="24"/>
          <w:szCs w:val="24"/>
        </w:rPr>
        <w:t>now widely enforced</w:t>
      </w:r>
      <w:r w:rsidR="002649B6" w:rsidRPr="00686635">
        <w:rPr>
          <w:rFonts w:ascii="Times New Roman" w:hAnsi="Times New Roman" w:cs="Times New Roman"/>
          <w:sz w:val="24"/>
          <w:szCs w:val="24"/>
        </w:rPr>
        <w:t xml:space="preserve"> in Britain</w:t>
      </w:r>
      <w:r w:rsidR="00FE08D9" w:rsidRPr="00686635">
        <w:rPr>
          <w:rFonts w:ascii="Times New Roman" w:hAnsi="Times New Roman" w:cs="Times New Roman"/>
          <w:sz w:val="24"/>
          <w:szCs w:val="24"/>
        </w:rPr>
        <w:t xml:space="preserve"> by compulsory </w:t>
      </w:r>
      <w:r w:rsidR="003B5D27" w:rsidRPr="00686635">
        <w:rPr>
          <w:rFonts w:ascii="Times New Roman" w:hAnsi="Times New Roman" w:cs="Times New Roman"/>
          <w:sz w:val="24"/>
          <w:szCs w:val="24"/>
        </w:rPr>
        <w:t xml:space="preserve">elementary and secondary </w:t>
      </w:r>
      <w:r w:rsidR="00FE08D9" w:rsidRPr="00686635">
        <w:rPr>
          <w:rFonts w:ascii="Times New Roman" w:hAnsi="Times New Roman" w:cs="Times New Roman"/>
          <w:sz w:val="24"/>
          <w:szCs w:val="24"/>
        </w:rPr>
        <w:t>education, and often perpetuated by further and higher education, would</w:t>
      </w:r>
      <w:r w:rsidR="002E6BCF" w:rsidRPr="00686635">
        <w:rPr>
          <w:rFonts w:ascii="Times New Roman" w:hAnsi="Times New Roman" w:cs="Times New Roman"/>
          <w:sz w:val="24"/>
          <w:szCs w:val="24"/>
        </w:rPr>
        <w:t>,</w:t>
      </w:r>
      <w:r w:rsidR="00FE08D9" w:rsidRPr="00686635">
        <w:rPr>
          <w:rFonts w:ascii="Times New Roman" w:hAnsi="Times New Roman" w:cs="Times New Roman"/>
          <w:sz w:val="24"/>
          <w:szCs w:val="24"/>
        </w:rPr>
        <w:t xml:space="preserve"> in the nineteenth</w:t>
      </w:r>
      <w:r w:rsidR="003B7C08" w:rsidRPr="00686635">
        <w:rPr>
          <w:rFonts w:ascii="Times New Roman" w:hAnsi="Times New Roman" w:cs="Times New Roman"/>
          <w:sz w:val="24"/>
          <w:szCs w:val="24"/>
        </w:rPr>
        <w:t xml:space="preserve"> </w:t>
      </w:r>
      <w:r w:rsidR="00FE08D9" w:rsidRPr="00686635">
        <w:rPr>
          <w:rFonts w:ascii="Times New Roman" w:hAnsi="Times New Roman" w:cs="Times New Roman"/>
          <w:sz w:val="24"/>
          <w:szCs w:val="24"/>
        </w:rPr>
        <w:t>century</w:t>
      </w:r>
      <w:r w:rsidR="002E6BCF" w:rsidRPr="00686635">
        <w:rPr>
          <w:rFonts w:ascii="Times New Roman" w:hAnsi="Times New Roman" w:cs="Times New Roman"/>
          <w:sz w:val="24"/>
          <w:szCs w:val="24"/>
        </w:rPr>
        <w:t>,</w:t>
      </w:r>
      <w:r w:rsidR="00FE08D9" w:rsidRPr="00686635">
        <w:rPr>
          <w:rFonts w:ascii="Times New Roman" w:hAnsi="Times New Roman" w:cs="Times New Roman"/>
          <w:sz w:val="24"/>
          <w:szCs w:val="24"/>
        </w:rPr>
        <w:t xml:space="preserve"> have </w:t>
      </w:r>
      <w:r w:rsidR="00FB39EB" w:rsidRPr="00686635">
        <w:rPr>
          <w:rFonts w:ascii="Times New Roman" w:hAnsi="Times New Roman" w:cs="Times New Roman"/>
          <w:sz w:val="24"/>
          <w:szCs w:val="24"/>
        </w:rPr>
        <w:t xml:space="preserve">been strongest </w:t>
      </w:r>
      <w:r w:rsidR="003B5D27" w:rsidRPr="00686635">
        <w:rPr>
          <w:rFonts w:ascii="Times New Roman" w:hAnsi="Times New Roman" w:cs="Times New Roman"/>
          <w:sz w:val="24"/>
          <w:szCs w:val="24"/>
        </w:rPr>
        <w:t>among</w:t>
      </w:r>
      <w:r w:rsidR="009B2DB8" w:rsidRPr="00686635">
        <w:rPr>
          <w:rFonts w:ascii="Times New Roman" w:hAnsi="Times New Roman" w:cs="Times New Roman"/>
          <w:sz w:val="24"/>
          <w:szCs w:val="24"/>
        </w:rPr>
        <w:t xml:space="preserve"> </w:t>
      </w:r>
      <w:r w:rsidR="00FE08D9" w:rsidRPr="00686635">
        <w:rPr>
          <w:rFonts w:ascii="Times New Roman" w:hAnsi="Times New Roman" w:cs="Times New Roman"/>
          <w:sz w:val="24"/>
          <w:szCs w:val="24"/>
        </w:rPr>
        <w:t>a few elite, and mainly all male, schools and colleges</w:t>
      </w:r>
      <w:r w:rsidR="002E6BCF" w:rsidRPr="00686635">
        <w:rPr>
          <w:rFonts w:ascii="Times New Roman" w:hAnsi="Times New Roman" w:cs="Times New Roman"/>
          <w:sz w:val="24"/>
          <w:szCs w:val="24"/>
        </w:rPr>
        <w:t xml:space="preserve"> and </w:t>
      </w:r>
      <w:r w:rsidR="002E6BCF" w:rsidRPr="00686635">
        <w:rPr>
          <w:rFonts w:ascii="Times New Roman" w:hAnsi="Times New Roman" w:cs="Times New Roman"/>
          <w:sz w:val="24"/>
          <w:szCs w:val="24"/>
        </w:rPr>
        <w:lastRenderedPageBreak/>
        <w:t xml:space="preserve">the informal networks they sustained </w:t>
      </w:r>
      <w:r w:rsidR="00A11DE8" w:rsidRPr="00686635">
        <w:rPr>
          <w:rFonts w:ascii="Times New Roman" w:hAnsi="Times New Roman" w:cs="Times New Roman"/>
          <w:sz w:val="24"/>
          <w:szCs w:val="24"/>
        </w:rPr>
        <w:t>–</w:t>
      </w:r>
      <w:r w:rsidR="002E6BCF" w:rsidRPr="00686635">
        <w:rPr>
          <w:rFonts w:ascii="Times New Roman" w:hAnsi="Times New Roman" w:cs="Times New Roman"/>
          <w:sz w:val="24"/>
          <w:szCs w:val="24"/>
        </w:rPr>
        <w:t xml:space="preserve">creating, as Hewitt puts </w:t>
      </w:r>
      <w:r w:rsidR="004F10E5" w:rsidRPr="00686635">
        <w:rPr>
          <w:rFonts w:ascii="Times New Roman" w:hAnsi="Times New Roman" w:cs="Times New Roman"/>
          <w:sz w:val="24"/>
          <w:szCs w:val="24"/>
        </w:rPr>
        <w:t xml:space="preserve">it </w:t>
      </w:r>
      <w:r w:rsidR="002E6BCF" w:rsidRPr="00686635">
        <w:rPr>
          <w:rFonts w:ascii="Times New Roman" w:hAnsi="Times New Roman" w:cs="Times New Roman"/>
          <w:sz w:val="24"/>
          <w:szCs w:val="24"/>
        </w:rPr>
        <w:t>in his essay</w:t>
      </w:r>
      <w:r w:rsidR="00AC69A3" w:rsidRPr="00686635">
        <w:rPr>
          <w:rFonts w:ascii="Times New Roman" w:hAnsi="Times New Roman" w:cs="Times New Roman"/>
          <w:sz w:val="24"/>
          <w:szCs w:val="24"/>
        </w:rPr>
        <w:t xml:space="preserve"> in this Roundtable</w:t>
      </w:r>
      <w:r w:rsidR="002E6BCF" w:rsidRPr="00686635">
        <w:rPr>
          <w:rFonts w:ascii="Times New Roman" w:hAnsi="Times New Roman" w:cs="Times New Roman"/>
          <w:sz w:val="24"/>
          <w:szCs w:val="24"/>
        </w:rPr>
        <w:t>, ‘</w:t>
      </w:r>
      <w:r w:rsidR="00CE2E50" w:rsidRPr="00686635">
        <w:rPr>
          <w:rFonts w:ascii="Times New Roman" w:hAnsi="Times New Roman" w:cs="Times New Roman"/>
          <w:sz w:val="24"/>
          <w:szCs w:val="24"/>
        </w:rPr>
        <w:t>powerful but intimate affinities</w:t>
      </w:r>
      <w:r w:rsidR="002E6BCF" w:rsidRPr="00686635">
        <w:rPr>
          <w:rFonts w:ascii="Times New Roman" w:hAnsi="Times New Roman" w:cs="Times New Roman"/>
          <w:sz w:val="24"/>
          <w:szCs w:val="24"/>
        </w:rPr>
        <w:t xml:space="preserve"> […] </w:t>
      </w:r>
      <w:r w:rsidR="00CE2E50" w:rsidRPr="00686635">
        <w:rPr>
          <w:rFonts w:ascii="Times New Roman" w:hAnsi="Times New Roman" w:cs="Times New Roman"/>
          <w:sz w:val="24"/>
          <w:szCs w:val="24"/>
        </w:rPr>
        <w:t>not obviously generalizable beyond those involved.</w:t>
      </w:r>
      <w:r w:rsidR="002E6BCF" w:rsidRPr="00686635">
        <w:rPr>
          <w:rFonts w:ascii="Times New Roman" w:hAnsi="Times New Roman" w:cs="Times New Roman"/>
          <w:sz w:val="24"/>
          <w:szCs w:val="24"/>
        </w:rPr>
        <w:t>’</w:t>
      </w:r>
      <w:r w:rsidR="008B7840" w:rsidRPr="00686635">
        <w:rPr>
          <w:rFonts w:ascii="Times New Roman" w:hAnsi="Times New Roman" w:cs="Times New Roman"/>
          <w:sz w:val="24"/>
          <w:szCs w:val="24"/>
        </w:rPr>
        <w:t xml:space="preserve"> </w:t>
      </w:r>
      <w:r w:rsidR="002E6BCF" w:rsidRPr="00686635">
        <w:rPr>
          <w:rFonts w:ascii="Times New Roman" w:hAnsi="Times New Roman" w:cs="Times New Roman"/>
          <w:sz w:val="24"/>
          <w:szCs w:val="24"/>
        </w:rPr>
        <w:t xml:space="preserve">Even if we include, as Hewitt </w:t>
      </w:r>
      <w:r w:rsidR="00FB39EB" w:rsidRPr="00686635">
        <w:rPr>
          <w:rFonts w:ascii="Times New Roman" w:hAnsi="Times New Roman" w:cs="Times New Roman"/>
          <w:sz w:val="24"/>
          <w:szCs w:val="24"/>
        </w:rPr>
        <w:t>and Helen Rogers do</w:t>
      </w:r>
      <w:r w:rsidR="002E6BCF" w:rsidRPr="00686635">
        <w:rPr>
          <w:rFonts w:ascii="Times New Roman" w:hAnsi="Times New Roman" w:cs="Times New Roman"/>
          <w:sz w:val="24"/>
          <w:szCs w:val="24"/>
        </w:rPr>
        <w:t xml:space="preserve">, </w:t>
      </w:r>
      <w:r w:rsidR="00FB39EB" w:rsidRPr="00686635">
        <w:rPr>
          <w:rFonts w:ascii="Times New Roman" w:hAnsi="Times New Roman" w:cs="Times New Roman"/>
          <w:sz w:val="24"/>
          <w:szCs w:val="24"/>
        </w:rPr>
        <w:t>the unevenly</w:t>
      </w:r>
      <w:r w:rsidR="00C44041" w:rsidRPr="00686635">
        <w:rPr>
          <w:rFonts w:ascii="Times New Roman" w:hAnsi="Times New Roman" w:cs="Times New Roman"/>
          <w:sz w:val="24"/>
          <w:szCs w:val="24"/>
        </w:rPr>
        <w:t>-</w:t>
      </w:r>
      <w:r w:rsidR="00FB39EB" w:rsidRPr="00686635">
        <w:rPr>
          <w:rFonts w:ascii="Times New Roman" w:hAnsi="Times New Roman" w:cs="Times New Roman"/>
          <w:sz w:val="24"/>
          <w:szCs w:val="24"/>
        </w:rPr>
        <w:t xml:space="preserve">distributed provision of schooling for working-class girls and boys, and </w:t>
      </w:r>
      <w:r w:rsidR="002E6BCF" w:rsidRPr="00686635">
        <w:rPr>
          <w:rFonts w:ascii="Times New Roman" w:hAnsi="Times New Roman" w:cs="Times New Roman"/>
          <w:sz w:val="24"/>
          <w:szCs w:val="24"/>
        </w:rPr>
        <w:t>the burgeoning networks of young men’s associations</w:t>
      </w:r>
      <w:r w:rsidR="00A06943" w:rsidRPr="00686635">
        <w:rPr>
          <w:rFonts w:ascii="Times New Roman" w:hAnsi="Times New Roman" w:cs="Times New Roman"/>
          <w:sz w:val="24"/>
          <w:szCs w:val="24"/>
        </w:rPr>
        <w:t>,</w:t>
      </w:r>
      <w:r w:rsidR="008B7840" w:rsidRPr="00686635">
        <w:rPr>
          <w:rFonts w:ascii="Times New Roman" w:hAnsi="Times New Roman" w:cs="Times New Roman"/>
          <w:sz w:val="24"/>
          <w:szCs w:val="24"/>
        </w:rPr>
        <w:t xml:space="preserve"> </w:t>
      </w:r>
      <w:r w:rsidR="002E6BCF" w:rsidRPr="00686635">
        <w:rPr>
          <w:rFonts w:ascii="Times New Roman" w:hAnsi="Times New Roman" w:cs="Times New Roman"/>
          <w:sz w:val="24"/>
          <w:szCs w:val="24"/>
        </w:rPr>
        <w:t xml:space="preserve">and mechanics institutes, with their ‘centripetal effect’ on men of a similar age, the place in such clusters </w:t>
      </w:r>
      <w:r w:rsidR="00E73FE0" w:rsidRPr="00686635">
        <w:rPr>
          <w:rFonts w:ascii="Times New Roman" w:hAnsi="Times New Roman" w:cs="Times New Roman"/>
          <w:sz w:val="24"/>
          <w:szCs w:val="24"/>
        </w:rPr>
        <w:t>of age</w:t>
      </w:r>
      <w:r w:rsidR="00DC4629" w:rsidRPr="00686635">
        <w:rPr>
          <w:rFonts w:ascii="Times New Roman" w:hAnsi="Times New Roman" w:cs="Times New Roman"/>
          <w:sz w:val="24"/>
          <w:szCs w:val="24"/>
        </w:rPr>
        <w:t>-</w:t>
      </w:r>
      <w:r w:rsidR="00E73FE0" w:rsidRPr="00686635">
        <w:rPr>
          <w:rFonts w:ascii="Times New Roman" w:hAnsi="Times New Roman" w:cs="Times New Roman"/>
          <w:sz w:val="24"/>
          <w:szCs w:val="24"/>
        </w:rPr>
        <w:t xml:space="preserve">peers </w:t>
      </w:r>
      <w:r w:rsidR="002E6BCF" w:rsidRPr="00686635">
        <w:rPr>
          <w:rFonts w:ascii="Times New Roman" w:hAnsi="Times New Roman" w:cs="Times New Roman"/>
          <w:sz w:val="24"/>
          <w:szCs w:val="24"/>
        </w:rPr>
        <w:t xml:space="preserve">of women and of many working-class men was </w:t>
      </w:r>
      <w:r w:rsidR="0004326C" w:rsidRPr="00686635">
        <w:rPr>
          <w:rFonts w:ascii="Times New Roman" w:hAnsi="Times New Roman" w:cs="Times New Roman"/>
          <w:sz w:val="24"/>
          <w:szCs w:val="24"/>
        </w:rPr>
        <w:t xml:space="preserve">at best </w:t>
      </w:r>
      <w:r w:rsidR="00C44041" w:rsidRPr="00686635">
        <w:rPr>
          <w:rFonts w:ascii="Times New Roman" w:hAnsi="Times New Roman" w:cs="Times New Roman"/>
          <w:sz w:val="24"/>
          <w:szCs w:val="24"/>
        </w:rPr>
        <w:t xml:space="preserve">relatively </w:t>
      </w:r>
      <w:r w:rsidR="004053E2" w:rsidRPr="00686635">
        <w:rPr>
          <w:rFonts w:ascii="Times New Roman" w:hAnsi="Times New Roman" w:cs="Times New Roman"/>
          <w:sz w:val="24"/>
          <w:szCs w:val="24"/>
        </w:rPr>
        <w:t>tenuous.</w:t>
      </w:r>
      <w:r w:rsidR="002E6BCF" w:rsidRPr="00686635">
        <w:rPr>
          <w:rFonts w:ascii="Times New Roman" w:hAnsi="Times New Roman" w:cs="Times New Roman"/>
          <w:sz w:val="24"/>
          <w:szCs w:val="24"/>
        </w:rPr>
        <w:t xml:space="preserve"> </w:t>
      </w:r>
    </w:p>
    <w:p w14:paraId="4524D5C4" w14:textId="3797736C" w:rsidR="000C3FA2" w:rsidRPr="00686635" w:rsidRDefault="000C3FA2" w:rsidP="000C3FA2">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t>As the essays by Simon Rennie</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on Ernest Jones (</w:t>
      </w:r>
      <w:r w:rsidR="001E3C98" w:rsidRPr="00686635">
        <w:rPr>
          <w:rFonts w:ascii="Times New Roman" w:hAnsi="Times New Roman" w:cs="Times New Roman"/>
          <w:sz w:val="24"/>
          <w:szCs w:val="24"/>
        </w:rPr>
        <w:t xml:space="preserve">in Roundtable I, </w:t>
      </w:r>
      <w:r w:rsidR="001E3C98" w:rsidRPr="00686635">
        <w:rPr>
          <w:rFonts w:ascii="Times New Roman" w:hAnsi="Times New Roman" w:cs="Times New Roman"/>
          <w:i/>
          <w:sz w:val="24"/>
          <w:szCs w:val="24"/>
        </w:rPr>
        <w:t xml:space="preserve">JVC </w:t>
      </w:r>
      <w:r w:rsidR="001E3C98" w:rsidRPr="00686635">
        <w:rPr>
          <w:rFonts w:ascii="Times New Roman" w:hAnsi="Times New Roman" w:cs="Times New Roman"/>
          <w:sz w:val="24"/>
          <w:szCs w:val="24"/>
        </w:rPr>
        <w:t>24 3</w:t>
      </w:r>
      <w:r w:rsidRPr="00686635">
        <w:rPr>
          <w:rFonts w:ascii="Times New Roman" w:hAnsi="Times New Roman" w:cs="Times New Roman"/>
          <w:sz w:val="24"/>
          <w:szCs w:val="24"/>
        </w:rPr>
        <w:t>) and by Helen Rogers’ on working-class lives</w:t>
      </w:r>
      <w:r w:rsidR="001E3C98" w:rsidRPr="00686635">
        <w:rPr>
          <w:rFonts w:ascii="Times New Roman" w:hAnsi="Times New Roman" w:cs="Times New Roman"/>
          <w:sz w:val="24"/>
          <w:szCs w:val="24"/>
        </w:rPr>
        <w:t xml:space="preserve"> (in Roundtable II below) suggest</w:t>
      </w:r>
      <w:r w:rsidRPr="00686635">
        <w:rPr>
          <w:rFonts w:ascii="Times New Roman" w:hAnsi="Times New Roman" w:cs="Times New Roman"/>
          <w:sz w:val="24"/>
          <w:szCs w:val="24"/>
        </w:rPr>
        <w:t>,</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other temporalities, and other ways of gauging the significance of one’s age, lingered</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among the cohort born in 1819.</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We might take the example of Victoria’s contemporary James Hopkinson, cabinet maker. Born in 1819, Hopkinson defines himself in his autobiography primarily through his trade, his Christian faith and (unusually for the time) his experiences of courtship and marriage. His recollections of age identity mainly concern his progress through the successive rites of apprenticeship: a temporality in which marital status, homosocial hierarchies, and the achievement of moral and financial independence are all implicated. </w:t>
      </w:r>
    </w:p>
    <w:p w14:paraId="31298B22" w14:textId="77777777" w:rsidR="000C3FA2" w:rsidRPr="00686635" w:rsidRDefault="000C3FA2" w:rsidP="000C3FA2">
      <w:pPr>
        <w:spacing w:before="240" w:line="336" w:lineRule="auto"/>
        <w:ind w:left="709"/>
        <w:rPr>
          <w:rFonts w:ascii="Times New Roman" w:hAnsi="Times New Roman" w:cs="Times New Roman"/>
          <w:sz w:val="24"/>
          <w:szCs w:val="24"/>
        </w:rPr>
      </w:pPr>
      <w:r w:rsidRPr="00686635">
        <w:rPr>
          <w:rFonts w:ascii="Times New Roman" w:hAnsi="Times New Roman" w:cs="Times New Roman"/>
          <w:sz w:val="24"/>
          <w:szCs w:val="24"/>
        </w:rPr>
        <w:t>‘At length the day arrived when I was bound apprentice. I remember amongst other things I was to abstain from Matrimony until I was 21[…].</w:t>
      </w:r>
    </w:p>
    <w:p w14:paraId="21CB6368" w14:textId="77777777" w:rsidR="000C3FA2" w:rsidRPr="00686635" w:rsidRDefault="000C3FA2" w:rsidP="000C3FA2">
      <w:pPr>
        <w:spacing w:before="240" w:line="336" w:lineRule="auto"/>
        <w:ind w:left="709"/>
        <w:rPr>
          <w:rFonts w:ascii="Times New Roman" w:hAnsi="Times New Roman" w:cs="Times New Roman"/>
          <w:sz w:val="24"/>
          <w:szCs w:val="24"/>
        </w:rPr>
      </w:pPr>
      <w:r w:rsidRPr="00686635">
        <w:rPr>
          <w:rFonts w:ascii="Times New Roman" w:hAnsi="Times New Roman" w:cs="Times New Roman"/>
          <w:sz w:val="24"/>
          <w:szCs w:val="24"/>
        </w:rPr>
        <w:t xml:space="preserve">[…] But being the youngest [apprentice] I had to make the fires and sweep the shop &amp;c which continued for about 8 months when a younger one came at which I was very glad. I was nearly 17 at this time and often caught myself looking at the girls. </w:t>
      </w:r>
    </w:p>
    <w:p w14:paraId="12B14E46" w14:textId="77777777" w:rsidR="000C3FA2" w:rsidRPr="00686635" w:rsidRDefault="000C3FA2" w:rsidP="000C3FA2">
      <w:pPr>
        <w:spacing w:before="240" w:line="336" w:lineRule="auto"/>
        <w:ind w:left="709"/>
        <w:rPr>
          <w:rFonts w:ascii="Times New Roman" w:hAnsi="Times New Roman" w:cs="Times New Roman"/>
          <w:sz w:val="24"/>
          <w:szCs w:val="24"/>
        </w:rPr>
      </w:pPr>
      <w:r w:rsidRPr="00686635">
        <w:rPr>
          <w:rFonts w:ascii="Times New Roman" w:hAnsi="Times New Roman" w:cs="Times New Roman"/>
          <w:sz w:val="24"/>
          <w:szCs w:val="24"/>
        </w:rPr>
        <w:t>[…] As my 21</w:t>
      </w:r>
      <w:r w:rsidRPr="00686635">
        <w:rPr>
          <w:rFonts w:ascii="Times New Roman" w:hAnsi="Times New Roman" w:cs="Times New Roman"/>
          <w:sz w:val="24"/>
          <w:szCs w:val="24"/>
          <w:vertAlign w:val="superscript"/>
        </w:rPr>
        <w:t>st</w:t>
      </w:r>
      <w:r w:rsidRPr="00686635">
        <w:rPr>
          <w:rFonts w:ascii="Times New Roman" w:hAnsi="Times New Roman" w:cs="Times New Roman"/>
          <w:sz w:val="24"/>
          <w:szCs w:val="24"/>
        </w:rPr>
        <w:t xml:space="preserve"> Birthday drew nearer the lads and men in the shop were very fond of talking about the grand supper I should have to give them as soon as I </w:t>
      </w:r>
      <w:r w:rsidRPr="00686635">
        <w:rPr>
          <w:rFonts w:ascii="Times New Roman" w:hAnsi="Times New Roman" w:cs="Times New Roman"/>
          <w:i/>
          <w:sz w:val="24"/>
          <w:szCs w:val="24"/>
        </w:rPr>
        <w:t xml:space="preserve">became a </w:t>
      </w:r>
      <w:proofErr w:type="gramStart"/>
      <w:r w:rsidRPr="00686635">
        <w:rPr>
          <w:rFonts w:ascii="Times New Roman" w:hAnsi="Times New Roman" w:cs="Times New Roman"/>
          <w:i/>
          <w:sz w:val="24"/>
          <w:szCs w:val="24"/>
        </w:rPr>
        <w:t>full blown</w:t>
      </w:r>
      <w:proofErr w:type="gramEnd"/>
      <w:r w:rsidRPr="00686635">
        <w:rPr>
          <w:rFonts w:ascii="Times New Roman" w:hAnsi="Times New Roman" w:cs="Times New Roman"/>
          <w:i/>
          <w:sz w:val="24"/>
          <w:szCs w:val="24"/>
        </w:rPr>
        <w:t xml:space="preserve"> man</w:t>
      </w:r>
      <w:r w:rsidRPr="00686635">
        <w:rPr>
          <w:rFonts w:ascii="Times New Roman" w:hAnsi="Times New Roman" w:cs="Times New Roman"/>
          <w:sz w:val="24"/>
          <w:szCs w:val="24"/>
        </w:rPr>
        <w:t>.’</w:t>
      </w:r>
      <w:r w:rsidRPr="00686635">
        <w:rPr>
          <w:rStyle w:val="FootnoteReference"/>
          <w:rFonts w:ascii="Times New Roman" w:hAnsi="Times New Roman" w:cs="Times New Roman"/>
          <w:sz w:val="24"/>
          <w:szCs w:val="24"/>
        </w:rPr>
        <w:footnoteReference w:id="3"/>
      </w:r>
    </w:p>
    <w:p w14:paraId="37147D77" w14:textId="4726BCCC" w:rsidR="000C3FA2" w:rsidRPr="00686635" w:rsidRDefault="000C3FA2" w:rsidP="000C3FA2">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t xml:space="preserve">Hopkinson’s sense of embeddedness in a generation thus revolves around his conditions of work, and their implications for his status in the family, the firm and hence the community. This sense of location extends to his representation of historical events: his ‘public’ memories are mainly of riots, Chartist demonstrations and the Preston lock-out, all of which matter to him more acutely for their impact on the conditions of trade rather than for their political </w:t>
      </w:r>
      <w:r w:rsidRPr="00686635">
        <w:rPr>
          <w:rFonts w:ascii="Times New Roman" w:hAnsi="Times New Roman" w:cs="Times New Roman"/>
          <w:sz w:val="24"/>
          <w:szCs w:val="24"/>
        </w:rPr>
        <w:lastRenderedPageBreak/>
        <w:t xml:space="preserve">meanings. The rivalrous contemporariness of apprenticeship is something to grow out of, into the stable </w:t>
      </w:r>
      <w:r w:rsidR="00A57CEA" w:rsidRPr="00686635">
        <w:rPr>
          <w:rFonts w:ascii="Times New Roman" w:hAnsi="Times New Roman" w:cs="Times New Roman"/>
          <w:sz w:val="24"/>
          <w:szCs w:val="24"/>
        </w:rPr>
        <w:t xml:space="preserve">(and implicitly timeless) </w:t>
      </w:r>
      <w:r w:rsidRPr="00686635">
        <w:rPr>
          <w:rFonts w:ascii="Times New Roman" w:hAnsi="Times New Roman" w:cs="Times New Roman"/>
          <w:sz w:val="24"/>
          <w:szCs w:val="24"/>
        </w:rPr>
        <w:t xml:space="preserve">self-determination of the ‘full blown man.’ His place in Victoria’s generation could scarcely matter less to him: his awareness of it transpires only in </w:t>
      </w:r>
      <w:r w:rsidR="00C15C77" w:rsidRPr="00686635">
        <w:rPr>
          <w:rFonts w:ascii="Times New Roman" w:hAnsi="Times New Roman" w:cs="Times New Roman"/>
          <w:sz w:val="24"/>
          <w:szCs w:val="24"/>
        </w:rPr>
        <w:t>proverbial</w:t>
      </w:r>
      <w:r w:rsidRPr="00686635">
        <w:rPr>
          <w:rFonts w:ascii="Times New Roman" w:hAnsi="Times New Roman" w:cs="Times New Roman"/>
          <w:sz w:val="24"/>
          <w:szCs w:val="24"/>
        </w:rPr>
        <w:t xml:space="preserve"> (and generationally skewed) fashion: ‘About that time my young lady and myself decided to have a week holiday […].We were </w:t>
      </w:r>
      <w:r w:rsidRPr="00686635">
        <w:rPr>
          <w:rFonts w:ascii="Times New Roman" w:hAnsi="Times New Roman" w:cs="Times New Roman"/>
          <w:i/>
          <w:sz w:val="24"/>
          <w:szCs w:val="24"/>
        </w:rPr>
        <w:t xml:space="preserve">both very happy </w:t>
      </w:r>
      <w:r w:rsidRPr="00686635">
        <w:rPr>
          <w:rFonts w:ascii="Times New Roman" w:hAnsi="Times New Roman" w:cs="Times New Roman"/>
          <w:sz w:val="24"/>
          <w:szCs w:val="24"/>
        </w:rPr>
        <w:t>and would not have thanked Queen Victoria to have been our aunt.’</w:t>
      </w:r>
      <w:r w:rsidRPr="00686635">
        <w:rPr>
          <w:rStyle w:val="FootnoteReference"/>
          <w:rFonts w:ascii="Times New Roman" w:hAnsi="Times New Roman" w:cs="Times New Roman"/>
          <w:sz w:val="24"/>
          <w:szCs w:val="24"/>
        </w:rPr>
        <w:footnoteReference w:id="4"/>
      </w:r>
      <w:r w:rsidRPr="00686635">
        <w:rPr>
          <w:rFonts w:ascii="Times New Roman" w:hAnsi="Times New Roman" w:cs="Times New Roman"/>
          <w:sz w:val="24"/>
          <w:szCs w:val="24"/>
        </w:rPr>
        <w:t xml:space="preserve"> </w:t>
      </w:r>
    </w:p>
    <w:p w14:paraId="15077EC0" w14:textId="0DDA2792" w:rsidR="006C4F7C" w:rsidRPr="00686635" w:rsidRDefault="001776CB" w:rsidP="001776CB">
      <w:pPr>
        <w:spacing w:line="336" w:lineRule="auto"/>
        <w:rPr>
          <w:rFonts w:ascii="Times New Roman" w:hAnsi="Times New Roman" w:cs="Times New Roman"/>
          <w:sz w:val="24"/>
          <w:szCs w:val="24"/>
        </w:rPr>
      </w:pPr>
      <w:r w:rsidRPr="00686635">
        <w:rPr>
          <w:rFonts w:ascii="Times New Roman" w:hAnsi="Times New Roman" w:cs="Times New Roman"/>
          <w:sz w:val="24"/>
          <w:szCs w:val="24"/>
        </w:rPr>
        <w:t xml:space="preserve">Many working people did not even know their own age or birthdates, while, as Mark </w:t>
      </w:r>
      <w:proofErr w:type="spellStart"/>
      <w:r w:rsidRPr="00686635">
        <w:rPr>
          <w:rFonts w:ascii="Times New Roman" w:hAnsi="Times New Roman" w:cs="Times New Roman"/>
          <w:sz w:val="24"/>
          <w:szCs w:val="24"/>
        </w:rPr>
        <w:t>Curthoys</w:t>
      </w:r>
      <w:proofErr w:type="spellEnd"/>
      <w:r w:rsidRPr="00686635">
        <w:rPr>
          <w:rFonts w:ascii="Times New Roman" w:hAnsi="Times New Roman" w:cs="Times New Roman"/>
          <w:sz w:val="24"/>
          <w:szCs w:val="24"/>
        </w:rPr>
        <w:t xml:space="preserve"> of the </w:t>
      </w:r>
      <w:r w:rsidRPr="00686635">
        <w:rPr>
          <w:rFonts w:ascii="Times New Roman" w:hAnsi="Times New Roman" w:cs="Times New Roman"/>
          <w:i/>
          <w:sz w:val="24"/>
          <w:szCs w:val="24"/>
        </w:rPr>
        <w:t xml:space="preserve">Oxford Dictionary of National Biography </w:t>
      </w:r>
      <w:r w:rsidRPr="00686635">
        <w:rPr>
          <w:rFonts w:ascii="Times New Roman" w:hAnsi="Times New Roman" w:cs="Times New Roman"/>
          <w:sz w:val="24"/>
          <w:szCs w:val="24"/>
        </w:rPr>
        <w:t>has pointed out, women feature disproportionately in the category of worthies ‘born 1819’ for whom a definite date, or even year, of birth is uncertain.</w:t>
      </w:r>
      <w:r w:rsidRPr="00686635">
        <w:rPr>
          <w:rStyle w:val="FootnoteReference"/>
          <w:rFonts w:ascii="Times New Roman" w:hAnsi="Times New Roman" w:cs="Times New Roman"/>
          <w:sz w:val="24"/>
          <w:szCs w:val="24"/>
        </w:rPr>
        <w:footnoteReference w:id="5"/>
      </w:r>
      <w:r w:rsidRPr="00686635">
        <w:rPr>
          <w:rFonts w:ascii="Times New Roman" w:hAnsi="Times New Roman" w:cs="Times New Roman"/>
          <w:sz w:val="24"/>
          <w:szCs w:val="24"/>
        </w:rPr>
        <w:t xml:space="preserve"> </w:t>
      </w:r>
      <w:r w:rsidR="006C4F7C" w:rsidRPr="00686635">
        <w:rPr>
          <w:rFonts w:ascii="Times New Roman" w:hAnsi="Times New Roman" w:cs="Times New Roman"/>
          <w:sz w:val="24"/>
          <w:szCs w:val="24"/>
        </w:rPr>
        <w:t xml:space="preserve">Even when individuals were aware of their own ages, other metrics of seniority – place within the family, number of years of apprenticeship served (as in Hopkinson’s case), length of time since conversion or baptism or migration – may have trumped chronological age as a salient identity. </w:t>
      </w:r>
    </w:p>
    <w:p w14:paraId="67B4810F" w14:textId="3C17CA85" w:rsidR="00C52071" w:rsidRPr="00686635" w:rsidRDefault="00A95819" w:rsidP="00C52071">
      <w:pPr>
        <w:spacing w:line="336" w:lineRule="auto"/>
        <w:rPr>
          <w:rFonts w:ascii="Times New Roman" w:hAnsi="Times New Roman" w:cs="Times New Roman"/>
          <w:sz w:val="24"/>
          <w:szCs w:val="24"/>
        </w:rPr>
      </w:pPr>
      <w:r w:rsidRPr="00686635">
        <w:rPr>
          <w:rFonts w:ascii="Times New Roman" w:hAnsi="Times New Roman" w:cs="Times New Roman"/>
          <w:sz w:val="24"/>
          <w:szCs w:val="24"/>
        </w:rPr>
        <w:t xml:space="preserve">Neither family name nor birthdate survive for navvy ‘Bill’ of the ‘as told to’ narrative </w:t>
      </w:r>
      <w:r w:rsidRPr="00686635">
        <w:rPr>
          <w:rFonts w:ascii="Times New Roman" w:hAnsi="Times New Roman" w:cs="Times New Roman"/>
          <w:i/>
          <w:sz w:val="24"/>
          <w:szCs w:val="24"/>
        </w:rPr>
        <w:t xml:space="preserve">Autobiography of a Working Man, </w:t>
      </w:r>
      <w:r w:rsidRPr="00686635">
        <w:rPr>
          <w:rFonts w:ascii="Times New Roman" w:hAnsi="Times New Roman" w:cs="Times New Roman"/>
          <w:sz w:val="24"/>
          <w:szCs w:val="24"/>
        </w:rPr>
        <w:t xml:space="preserve">though he – and his reader – are invited to estimate  his age from a combination of working-life and regnal dates: ‘Now, I’ve been working all about the country, ever since the year before the Queen was </w:t>
      </w:r>
      <w:proofErr w:type="spellStart"/>
      <w:r w:rsidRPr="00686635">
        <w:rPr>
          <w:rFonts w:ascii="Times New Roman" w:hAnsi="Times New Roman" w:cs="Times New Roman"/>
          <w:sz w:val="24"/>
          <w:szCs w:val="24"/>
        </w:rPr>
        <w:t>crownded</w:t>
      </w:r>
      <w:proofErr w:type="spellEnd"/>
      <w:r w:rsidRPr="00686635">
        <w:rPr>
          <w:rFonts w:ascii="Times New Roman" w:hAnsi="Times New Roman" w:cs="Times New Roman"/>
          <w:sz w:val="24"/>
          <w:szCs w:val="24"/>
        </w:rPr>
        <w:t>’.</w:t>
      </w:r>
      <w:r w:rsidRPr="00686635">
        <w:rPr>
          <w:rStyle w:val="FootnoteReference"/>
          <w:rFonts w:ascii="Times New Roman" w:hAnsi="Times New Roman" w:cs="Times New Roman"/>
          <w:sz w:val="24"/>
          <w:szCs w:val="24"/>
        </w:rPr>
        <w:footnoteReference w:id="6"/>
      </w:r>
      <w:r w:rsidRPr="00686635">
        <w:rPr>
          <w:rFonts w:ascii="Times New Roman" w:hAnsi="Times New Roman" w:cs="Times New Roman"/>
          <w:sz w:val="24"/>
          <w:szCs w:val="24"/>
        </w:rPr>
        <w:t xml:space="preserve"> </w:t>
      </w:r>
      <w:r w:rsidR="001776CB" w:rsidRPr="00686635">
        <w:rPr>
          <w:rFonts w:ascii="Times New Roman" w:hAnsi="Times New Roman" w:cs="Times New Roman"/>
          <w:sz w:val="24"/>
          <w:szCs w:val="24"/>
        </w:rPr>
        <w:t xml:space="preserve">Viewed from this perspective, Victoria’s own generation was perhaps the last to elude the widespread operation of the state apparatus of age identity: the year of her accession was also that in which civil registration of births, marriages and deaths of individuals was instituted in England and Wales (1855 in Scotland, 1864 in Ireland), though it was not until 1874 that the registration of births became compulsory. </w:t>
      </w:r>
      <w:r w:rsidR="006C4F7C" w:rsidRPr="00686635">
        <w:rPr>
          <w:rFonts w:ascii="Times New Roman" w:hAnsi="Times New Roman" w:cs="Times New Roman"/>
          <w:sz w:val="24"/>
          <w:szCs w:val="24"/>
        </w:rPr>
        <w:t>To put it another way, b</w:t>
      </w:r>
      <w:r w:rsidR="001776CB" w:rsidRPr="00686635">
        <w:rPr>
          <w:rFonts w:ascii="Times New Roman" w:hAnsi="Times New Roman" w:cs="Times New Roman"/>
          <w:sz w:val="24"/>
          <w:szCs w:val="24"/>
        </w:rPr>
        <w:t>y the time the 1819 cohort reached adulthood</w:t>
      </w:r>
      <w:r w:rsidR="00E80CD5" w:rsidRPr="00686635">
        <w:rPr>
          <w:rFonts w:ascii="Times New Roman" w:hAnsi="Times New Roman" w:cs="Times New Roman"/>
          <w:sz w:val="24"/>
          <w:szCs w:val="24"/>
        </w:rPr>
        <w:t xml:space="preserve">, </w:t>
      </w:r>
      <w:r w:rsidR="001776CB" w:rsidRPr="00686635">
        <w:rPr>
          <w:rFonts w:ascii="Times New Roman" w:hAnsi="Times New Roman" w:cs="Times New Roman"/>
          <w:sz w:val="24"/>
          <w:szCs w:val="24"/>
        </w:rPr>
        <w:t xml:space="preserve">age was </w:t>
      </w:r>
      <w:r w:rsidR="006C4F7C" w:rsidRPr="00686635">
        <w:rPr>
          <w:rFonts w:ascii="Times New Roman" w:hAnsi="Times New Roman" w:cs="Times New Roman"/>
          <w:sz w:val="24"/>
          <w:szCs w:val="24"/>
        </w:rPr>
        <w:t>only latterly and gradually</w:t>
      </w:r>
      <w:r w:rsidR="009B2DB8" w:rsidRPr="00686635">
        <w:rPr>
          <w:rFonts w:ascii="Times New Roman" w:hAnsi="Times New Roman" w:cs="Times New Roman"/>
          <w:sz w:val="24"/>
          <w:szCs w:val="24"/>
        </w:rPr>
        <w:t xml:space="preserve"> </w:t>
      </w:r>
      <w:r w:rsidR="001776CB" w:rsidRPr="00686635">
        <w:rPr>
          <w:rFonts w:ascii="Times New Roman" w:hAnsi="Times New Roman" w:cs="Times New Roman"/>
          <w:sz w:val="24"/>
          <w:szCs w:val="24"/>
        </w:rPr>
        <w:t xml:space="preserve">becoming a </w:t>
      </w:r>
      <w:r w:rsidR="00871E3C" w:rsidRPr="00686635">
        <w:rPr>
          <w:rFonts w:ascii="Times New Roman" w:hAnsi="Times New Roman" w:cs="Times New Roman"/>
          <w:sz w:val="24"/>
          <w:szCs w:val="24"/>
        </w:rPr>
        <w:t>pervasive</w:t>
      </w:r>
      <w:r w:rsidR="00F452F0" w:rsidRPr="00686635">
        <w:rPr>
          <w:rFonts w:ascii="Times New Roman" w:hAnsi="Times New Roman" w:cs="Times New Roman"/>
          <w:sz w:val="24"/>
          <w:szCs w:val="24"/>
        </w:rPr>
        <w:t xml:space="preserve"> and serviceable</w:t>
      </w:r>
      <w:r w:rsidR="00871E3C" w:rsidRPr="00686635">
        <w:rPr>
          <w:rFonts w:ascii="Times New Roman" w:hAnsi="Times New Roman" w:cs="Times New Roman"/>
          <w:sz w:val="24"/>
          <w:szCs w:val="24"/>
        </w:rPr>
        <w:t xml:space="preserve"> </w:t>
      </w:r>
      <w:r w:rsidR="006C4F7C" w:rsidRPr="00686635">
        <w:rPr>
          <w:rFonts w:ascii="Times New Roman" w:hAnsi="Times New Roman" w:cs="Times New Roman"/>
          <w:sz w:val="24"/>
          <w:szCs w:val="24"/>
        </w:rPr>
        <w:t>index of one’s relationship to historical time</w:t>
      </w:r>
      <w:r w:rsidR="00F452F0" w:rsidRPr="00686635">
        <w:rPr>
          <w:rFonts w:ascii="Times New Roman" w:hAnsi="Times New Roman" w:cs="Times New Roman"/>
          <w:sz w:val="24"/>
          <w:szCs w:val="24"/>
        </w:rPr>
        <w:t xml:space="preserve"> and cultural change</w:t>
      </w:r>
      <w:r w:rsidR="006C4F7C" w:rsidRPr="00686635">
        <w:rPr>
          <w:rFonts w:ascii="Times New Roman" w:hAnsi="Times New Roman" w:cs="Times New Roman"/>
          <w:sz w:val="24"/>
          <w:szCs w:val="24"/>
        </w:rPr>
        <w:t>.</w:t>
      </w:r>
      <w:r w:rsidR="009B2DB8" w:rsidRPr="00686635">
        <w:rPr>
          <w:rFonts w:ascii="Times New Roman" w:hAnsi="Times New Roman" w:cs="Times New Roman"/>
          <w:sz w:val="24"/>
          <w:szCs w:val="24"/>
        </w:rPr>
        <w:t xml:space="preserve"> </w:t>
      </w:r>
      <w:r w:rsidR="006C4F7C" w:rsidRPr="00686635">
        <w:rPr>
          <w:rFonts w:ascii="Times New Roman" w:hAnsi="Times New Roman" w:cs="Times New Roman"/>
          <w:sz w:val="24"/>
          <w:szCs w:val="24"/>
        </w:rPr>
        <w:t>Those born in 1819, one might say, came of age with ‘age’.</w:t>
      </w:r>
      <w:r w:rsidR="009B2DB8" w:rsidRPr="00686635">
        <w:rPr>
          <w:rFonts w:ascii="Times New Roman" w:hAnsi="Times New Roman" w:cs="Times New Roman"/>
          <w:sz w:val="24"/>
          <w:szCs w:val="24"/>
        </w:rPr>
        <w:t xml:space="preserve"> </w:t>
      </w:r>
      <w:r w:rsidR="00C52071" w:rsidRPr="00686635">
        <w:rPr>
          <w:rFonts w:ascii="Times New Roman" w:hAnsi="Times New Roman" w:cs="Times New Roman"/>
          <w:sz w:val="24"/>
          <w:szCs w:val="24"/>
        </w:rPr>
        <w:t xml:space="preserve">Between the beginning and end of Victoria’s life, I </w:t>
      </w:r>
      <w:r w:rsidR="00F452F0" w:rsidRPr="00686635">
        <w:rPr>
          <w:rFonts w:ascii="Times New Roman" w:hAnsi="Times New Roman" w:cs="Times New Roman"/>
          <w:sz w:val="24"/>
          <w:szCs w:val="24"/>
        </w:rPr>
        <w:t>suggest,</w:t>
      </w:r>
      <w:r w:rsidR="00C52071" w:rsidRPr="00686635">
        <w:rPr>
          <w:rFonts w:ascii="Times New Roman" w:hAnsi="Times New Roman" w:cs="Times New Roman"/>
          <w:sz w:val="24"/>
          <w:szCs w:val="24"/>
        </w:rPr>
        <w:t xml:space="preserve"> there was a gradual embedding of age- and generational- identification into the </w:t>
      </w:r>
      <w:proofErr w:type="spellStart"/>
      <w:r w:rsidR="00C52071" w:rsidRPr="00686635">
        <w:rPr>
          <w:rFonts w:ascii="Times New Roman" w:hAnsi="Times New Roman" w:cs="Times New Roman"/>
          <w:sz w:val="24"/>
          <w:szCs w:val="24"/>
        </w:rPr>
        <w:t>micropractices</w:t>
      </w:r>
      <w:proofErr w:type="spellEnd"/>
      <w:r w:rsidR="00C52071" w:rsidRPr="00686635">
        <w:rPr>
          <w:rFonts w:ascii="Times New Roman" w:hAnsi="Times New Roman" w:cs="Times New Roman"/>
          <w:sz w:val="24"/>
          <w:szCs w:val="24"/>
        </w:rPr>
        <w:t xml:space="preserve"> and cultural lexicons of her subjects. </w:t>
      </w:r>
      <w:r w:rsidR="00F452F0" w:rsidRPr="00686635">
        <w:rPr>
          <w:rFonts w:ascii="Times New Roman" w:hAnsi="Times New Roman" w:cs="Times New Roman"/>
          <w:sz w:val="24"/>
          <w:szCs w:val="24"/>
        </w:rPr>
        <w:t>What enabled</w:t>
      </w:r>
      <w:r w:rsidR="009B2DB8" w:rsidRPr="00686635">
        <w:rPr>
          <w:rFonts w:ascii="Times New Roman" w:hAnsi="Times New Roman" w:cs="Times New Roman"/>
          <w:sz w:val="24"/>
          <w:szCs w:val="24"/>
        </w:rPr>
        <w:t xml:space="preserve"> </w:t>
      </w:r>
      <w:r w:rsidR="00F452F0" w:rsidRPr="00686635">
        <w:rPr>
          <w:rFonts w:ascii="Times New Roman" w:hAnsi="Times New Roman" w:cs="Times New Roman"/>
          <w:sz w:val="24"/>
          <w:szCs w:val="24"/>
        </w:rPr>
        <w:t>‘Victoria’s Victorians’ t</w:t>
      </w:r>
      <w:r w:rsidR="00C52071" w:rsidRPr="00686635">
        <w:rPr>
          <w:rFonts w:ascii="Times New Roman" w:hAnsi="Times New Roman" w:cs="Times New Roman"/>
          <w:sz w:val="24"/>
          <w:szCs w:val="24"/>
        </w:rPr>
        <w:t>o recognize their co-evals, their contemporaries, or a generation</w:t>
      </w:r>
      <w:r w:rsidR="00F452F0" w:rsidRPr="00686635">
        <w:rPr>
          <w:rFonts w:ascii="Times New Roman" w:hAnsi="Times New Roman" w:cs="Times New Roman"/>
          <w:sz w:val="24"/>
          <w:szCs w:val="24"/>
        </w:rPr>
        <w:t>?</w:t>
      </w:r>
      <w:r w:rsidR="00C52071" w:rsidRPr="00686635">
        <w:rPr>
          <w:rFonts w:ascii="Times New Roman" w:hAnsi="Times New Roman" w:cs="Times New Roman"/>
          <w:sz w:val="24"/>
          <w:szCs w:val="24"/>
        </w:rPr>
        <w:t xml:space="preserve"> I’d like very tentatively to sketch some of the </w:t>
      </w:r>
      <w:r w:rsidR="00C52071" w:rsidRPr="00686635">
        <w:rPr>
          <w:rFonts w:ascii="Times New Roman" w:hAnsi="Times New Roman" w:cs="Times New Roman"/>
          <w:sz w:val="24"/>
          <w:szCs w:val="24"/>
        </w:rPr>
        <w:lastRenderedPageBreak/>
        <w:t>mechanisms by which contemporariness may have become at least faintly legible: developments in print and manuscript, and the emergence of celebrity culture</w:t>
      </w:r>
      <w:r w:rsidR="0043116E" w:rsidRPr="00686635">
        <w:rPr>
          <w:rFonts w:ascii="Times New Roman" w:hAnsi="Times New Roman" w:cs="Times New Roman"/>
          <w:sz w:val="24"/>
          <w:szCs w:val="24"/>
        </w:rPr>
        <w:t>.</w:t>
      </w:r>
    </w:p>
    <w:p w14:paraId="555C5E27" w14:textId="7C72D68D" w:rsidR="001776CB" w:rsidRPr="00686635" w:rsidRDefault="006C4F7C" w:rsidP="001776CB">
      <w:pPr>
        <w:spacing w:line="336" w:lineRule="auto"/>
        <w:rPr>
          <w:rFonts w:ascii="Times New Roman" w:hAnsi="Times New Roman" w:cs="Times New Roman"/>
          <w:sz w:val="24"/>
          <w:szCs w:val="24"/>
        </w:rPr>
      </w:pPr>
      <w:r w:rsidRPr="00686635">
        <w:rPr>
          <w:rFonts w:ascii="Times New Roman" w:hAnsi="Times New Roman" w:cs="Times New Roman"/>
          <w:sz w:val="24"/>
          <w:szCs w:val="24"/>
        </w:rPr>
        <w:t>T</w:t>
      </w:r>
      <w:r w:rsidR="001776CB" w:rsidRPr="00686635">
        <w:rPr>
          <w:rFonts w:ascii="Times New Roman" w:hAnsi="Times New Roman" w:cs="Times New Roman"/>
          <w:sz w:val="24"/>
          <w:szCs w:val="24"/>
        </w:rPr>
        <w:t>he mid-century</w:t>
      </w:r>
      <w:r w:rsidR="00F452F0" w:rsidRPr="00686635">
        <w:rPr>
          <w:rFonts w:ascii="Times New Roman" w:hAnsi="Times New Roman" w:cs="Times New Roman"/>
          <w:sz w:val="24"/>
          <w:szCs w:val="24"/>
        </w:rPr>
        <w:t>, when our cohort was in its thirties,</w:t>
      </w:r>
      <w:r w:rsidR="009B2DB8" w:rsidRPr="00686635">
        <w:rPr>
          <w:rFonts w:ascii="Times New Roman" w:hAnsi="Times New Roman" w:cs="Times New Roman"/>
          <w:sz w:val="24"/>
          <w:szCs w:val="24"/>
        </w:rPr>
        <w:t xml:space="preserve"> </w:t>
      </w:r>
      <w:r w:rsidR="00C52071" w:rsidRPr="00686635">
        <w:rPr>
          <w:rFonts w:ascii="Times New Roman" w:hAnsi="Times New Roman" w:cs="Times New Roman"/>
          <w:sz w:val="24"/>
          <w:szCs w:val="24"/>
        </w:rPr>
        <w:t>se</w:t>
      </w:r>
      <w:r w:rsidR="00871E3C" w:rsidRPr="00686635">
        <w:rPr>
          <w:rFonts w:ascii="Times New Roman" w:hAnsi="Times New Roman" w:cs="Times New Roman"/>
          <w:sz w:val="24"/>
          <w:szCs w:val="24"/>
        </w:rPr>
        <w:t>es</w:t>
      </w:r>
      <w:r w:rsidR="001776CB" w:rsidRPr="00686635">
        <w:rPr>
          <w:rFonts w:ascii="Times New Roman" w:hAnsi="Times New Roman" w:cs="Times New Roman"/>
          <w:sz w:val="24"/>
          <w:szCs w:val="24"/>
        </w:rPr>
        <w:t xml:space="preserve"> the earliest citation in the </w:t>
      </w:r>
      <w:r w:rsidR="001776CB" w:rsidRPr="00686635">
        <w:rPr>
          <w:rFonts w:ascii="Times New Roman" w:hAnsi="Times New Roman" w:cs="Times New Roman"/>
          <w:i/>
          <w:sz w:val="24"/>
          <w:szCs w:val="24"/>
        </w:rPr>
        <w:t xml:space="preserve">Oxford English Dictionary </w:t>
      </w:r>
      <w:r w:rsidR="001776CB" w:rsidRPr="00686635">
        <w:rPr>
          <w:rFonts w:ascii="Times New Roman" w:hAnsi="Times New Roman" w:cs="Times New Roman"/>
          <w:sz w:val="24"/>
          <w:szCs w:val="24"/>
        </w:rPr>
        <w:t xml:space="preserve">for phrases such as ‘birthday treat’ (1851), ‘birthday party’(1852) and ‘birthday book’ (1859); it was also the moment when William Powell Frith, one of our 1819 subjects, painted and exhibited his luxuriant celebration of a family birthday tea ‘Many Happy Returns of the Day’ (1856). Frith </w:t>
      </w:r>
      <w:proofErr w:type="gramStart"/>
      <w:r w:rsidR="001776CB" w:rsidRPr="00686635">
        <w:rPr>
          <w:rFonts w:ascii="Times New Roman" w:hAnsi="Times New Roman" w:cs="Times New Roman"/>
          <w:sz w:val="24"/>
          <w:szCs w:val="24"/>
        </w:rPr>
        <w:t>at this time</w:t>
      </w:r>
      <w:proofErr w:type="gramEnd"/>
      <w:r w:rsidR="001776CB" w:rsidRPr="00686635">
        <w:rPr>
          <w:rFonts w:ascii="Times New Roman" w:hAnsi="Times New Roman" w:cs="Times New Roman"/>
          <w:sz w:val="24"/>
          <w:szCs w:val="24"/>
        </w:rPr>
        <w:t xml:space="preserve"> was inventing himself as a painter of ‘modern life’, and it seems likely that </w:t>
      </w:r>
      <w:r w:rsidR="0080554B" w:rsidRPr="00686635">
        <w:rPr>
          <w:rFonts w:ascii="Times New Roman" w:hAnsi="Times New Roman" w:cs="Times New Roman"/>
          <w:sz w:val="24"/>
          <w:szCs w:val="24"/>
        </w:rPr>
        <w:t xml:space="preserve">inside </w:t>
      </w:r>
      <w:r w:rsidR="001776CB" w:rsidRPr="00686635">
        <w:rPr>
          <w:rFonts w:ascii="Times New Roman" w:hAnsi="Times New Roman" w:cs="Times New Roman"/>
          <w:sz w:val="24"/>
          <w:szCs w:val="24"/>
        </w:rPr>
        <w:t>securely prosperous circles</w:t>
      </w:r>
      <w:r w:rsidR="0080554B" w:rsidRPr="00686635">
        <w:rPr>
          <w:rFonts w:ascii="Times New Roman" w:hAnsi="Times New Roman" w:cs="Times New Roman"/>
          <w:sz w:val="24"/>
          <w:szCs w:val="24"/>
        </w:rPr>
        <w:t>,</w:t>
      </w:r>
      <w:r w:rsidR="001776CB" w:rsidRPr="00686635">
        <w:rPr>
          <w:rFonts w:ascii="Times New Roman" w:hAnsi="Times New Roman" w:cs="Times New Roman"/>
          <w:sz w:val="24"/>
          <w:szCs w:val="24"/>
        </w:rPr>
        <w:t xml:space="preserve"> </w:t>
      </w:r>
      <w:r w:rsidR="0080554B" w:rsidRPr="00686635">
        <w:rPr>
          <w:rFonts w:ascii="Times New Roman" w:hAnsi="Times New Roman" w:cs="Times New Roman"/>
          <w:sz w:val="24"/>
          <w:szCs w:val="24"/>
        </w:rPr>
        <w:t xml:space="preserve">elaborate birthday rituals, though </w:t>
      </w:r>
      <w:proofErr w:type="spellStart"/>
      <w:r w:rsidR="0080554B" w:rsidRPr="00686635">
        <w:rPr>
          <w:rFonts w:ascii="Times New Roman" w:hAnsi="Times New Roman" w:cs="Times New Roman"/>
          <w:sz w:val="24"/>
          <w:szCs w:val="24"/>
        </w:rPr>
        <w:t>newfangled</w:t>
      </w:r>
      <w:proofErr w:type="spellEnd"/>
      <w:r w:rsidR="0080554B" w:rsidRPr="00686635">
        <w:rPr>
          <w:rFonts w:ascii="Times New Roman" w:hAnsi="Times New Roman" w:cs="Times New Roman"/>
          <w:sz w:val="24"/>
          <w:szCs w:val="24"/>
        </w:rPr>
        <w:t>, were becoming more commonplace</w:t>
      </w:r>
      <w:r w:rsidR="001776CB" w:rsidRPr="00686635">
        <w:rPr>
          <w:rFonts w:ascii="Times New Roman" w:hAnsi="Times New Roman" w:cs="Times New Roman"/>
          <w:sz w:val="24"/>
          <w:szCs w:val="24"/>
        </w:rPr>
        <w:t>.</w:t>
      </w:r>
      <w:r w:rsidR="001E3C98" w:rsidRPr="00686635">
        <w:rPr>
          <w:rStyle w:val="FootnoteReference"/>
          <w:rFonts w:ascii="Times New Roman" w:hAnsi="Times New Roman" w:cs="Times New Roman"/>
          <w:sz w:val="24"/>
          <w:szCs w:val="24"/>
        </w:rPr>
        <w:footnoteReference w:id="7"/>
      </w:r>
      <w:r w:rsidR="001776CB" w:rsidRPr="00686635">
        <w:rPr>
          <w:rFonts w:ascii="Times New Roman" w:hAnsi="Times New Roman" w:cs="Times New Roman"/>
          <w:sz w:val="24"/>
          <w:szCs w:val="24"/>
        </w:rPr>
        <w:t xml:space="preserve"> </w:t>
      </w:r>
    </w:p>
    <w:p w14:paraId="6043B9B9" w14:textId="2E5B1D3F" w:rsidR="000B3667" w:rsidRPr="00686635" w:rsidRDefault="0043116E" w:rsidP="00021665">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t>T</w:t>
      </w:r>
      <w:r w:rsidR="00877C93" w:rsidRPr="00686635">
        <w:rPr>
          <w:rFonts w:ascii="Times New Roman" w:hAnsi="Times New Roman" w:cs="Times New Roman"/>
          <w:sz w:val="24"/>
          <w:szCs w:val="24"/>
        </w:rPr>
        <w:t xml:space="preserve">he fashion for anniversaries and jubilees </w:t>
      </w:r>
      <w:r w:rsidR="00A13819" w:rsidRPr="00686635">
        <w:rPr>
          <w:rFonts w:ascii="Times New Roman" w:hAnsi="Times New Roman" w:cs="Times New Roman"/>
          <w:sz w:val="24"/>
          <w:szCs w:val="24"/>
        </w:rPr>
        <w:t xml:space="preserve">– which reached a crescendo toward the end of the nineteenth century </w:t>
      </w:r>
      <w:r w:rsidR="00A11DE8" w:rsidRPr="00686635">
        <w:rPr>
          <w:rFonts w:ascii="Times New Roman" w:hAnsi="Times New Roman" w:cs="Times New Roman"/>
          <w:sz w:val="24"/>
          <w:szCs w:val="24"/>
        </w:rPr>
        <w:t>–</w:t>
      </w:r>
      <w:r w:rsidR="00A13819" w:rsidRPr="00686635">
        <w:rPr>
          <w:rFonts w:ascii="Times New Roman" w:hAnsi="Times New Roman" w:cs="Times New Roman"/>
          <w:sz w:val="24"/>
          <w:szCs w:val="24"/>
        </w:rPr>
        <w:t xml:space="preserve"> </w:t>
      </w:r>
      <w:r w:rsidR="00877C93" w:rsidRPr="00686635">
        <w:rPr>
          <w:rFonts w:ascii="Times New Roman" w:hAnsi="Times New Roman" w:cs="Times New Roman"/>
          <w:sz w:val="24"/>
          <w:szCs w:val="24"/>
        </w:rPr>
        <w:t xml:space="preserve">may itself have </w:t>
      </w:r>
      <w:r w:rsidR="00A13819" w:rsidRPr="00686635">
        <w:rPr>
          <w:rFonts w:ascii="Times New Roman" w:hAnsi="Times New Roman" w:cs="Times New Roman"/>
          <w:sz w:val="24"/>
          <w:szCs w:val="24"/>
        </w:rPr>
        <w:t>provided a focus</w:t>
      </w:r>
      <w:r w:rsidR="00021665" w:rsidRPr="00686635">
        <w:rPr>
          <w:rFonts w:ascii="Times New Roman" w:hAnsi="Times New Roman" w:cs="Times New Roman"/>
          <w:sz w:val="24"/>
          <w:szCs w:val="24"/>
        </w:rPr>
        <w:t xml:space="preserve"> </w:t>
      </w:r>
      <w:r w:rsidR="00A13819" w:rsidRPr="00686635">
        <w:rPr>
          <w:rFonts w:ascii="Times New Roman" w:hAnsi="Times New Roman" w:cs="Times New Roman"/>
          <w:sz w:val="24"/>
          <w:szCs w:val="24"/>
        </w:rPr>
        <w:t xml:space="preserve">around which ideas of age and </w:t>
      </w:r>
      <w:r w:rsidR="00877C93" w:rsidRPr="00686635">
        <w:rPr>
          <w:rFonts w:ascii="Times New Roman" w:hAnsi="Times New Roman" w:cs="Times New Roman"/>
          <w:sz w:val="24"/>
          <w:szCs w:val="24"/>
        </w:rPr>
        <w:t xml:space="preserve">contemporaneity coalesced. </w:t>
      </w:r>
      <w:r w:rsidR="00A13819" w:rsidRPr="00686635">
        <w:rPr>
          <w:rFonts w:ascii="Times New Roman" w:hAnsi="Times New Roman" w:cs="Times New Roman"/>
          <w:sz w:val="24"/>
          <w:szCs w:val="24"/>
        </w:rPr>
        <w:t>Over Victoria’s lifetime</w:t>
      </w:r>
      <w:r w:rsidR="003B7C08" w:rsidRPr="00686635">
        <w:rPr>
          <w:rFonts w:ascii="Times New Roman" w:hAnsi="Times New Roman" w:cs="Times New Roman"/>
          <w:sz w:val="24"/>
          <w:szCs w:val="24"/>
        </w:rPr>
        <w:t>,</w:t>
      </w:r>
      <w:r w:rsidR="00A13819" w:rsidRPr="00686635">
        <w:rPr>
          <w:rFonts w:ascii="Times New Roman" w:hAnsi="Times New Roman" w:cs="Times New Roman"/>
          <w:sz w:val="24"/>
          <w:szCs w:val="24"/>
        </w:rPr>
        <w:t xml:space="preserve"> n</w:t>
      </w:r>
      <w:r w:rsidR="00877C93" w:rsidRPr="00686635">
        <w:rPr>
          <w:rFonts w:ascii="Times New Roman" w:hAnsi="Times New Roman" w:cs="Times New Roman"/>
          <w:sz w:val="24"/>
          <w:szCs w:val="24"/>
        </w:rPr>
        <w:t>ational and civic festivals – indexed to official calendars of various kinds –</w:t>
      </w:r>
      <w:r w:rsidR="003B7C08" w:rsidRPr="00686635">
        <w:rPr>
          <w:rFonts w:ascii="Times New Roman" w:hAnsi="Times New Roman" w:cs="Times New Roman"/>
          <w:sz w:val="24"/>
          <w:szCs w:val="24"/>
        </w:rPr>
        <w:t xml:space="preserve"> </w:t>
      </w:r>
      <w:r w:rsidR="00A13819" w:rsidRPr="00686635">
        <w:rPr>
          <w:rFonts w:ascii="Times New Roman" w:hAnsi="Times New Roman" w:cs="Times New Roman"/>
          <w:sz w:val="24"/>
          <w:szCs w:val="24"/>
        </w:rPr>
        <w:t xml:space="preserve">had </w:t>
      </w:r>
      <w:r w:rsidR="00877C93" w:rsidRPr="00686635">
        <w:rPr>
          <w:rFonts w:ascii="Times New Roman" w:hAnsi="Times New Roman" w:cs="Times New Roman"/>
          <w:sz w:val="24"/>
          <w:szCs w:val="24"/>
        </w:rPr>
        <w:t xml:space="preserve">gradually </w:t>
      </w:r>
      <w:r w:rsidR="00A13819" w:rsidRPr="00686635">
        <w:rPr>
          <w:rFonts w:ascii="Times New Roman" w:hAnsi="Times New Roman" w:cs="Times New Roman"/>
          <w:sz w:val="24"/>
          <w:szCs w:val="24"/>
        </w:rPr>
        <w:t>and unevenly supe</w:t>
      </w:r>
      <w:r w:rsidR="00877C93" w:rsidRPr="00686635">
        <w:rPr>
          <w:rFonts w:ascii="Times New Roman" w:hAnsi="Times New Roman" w:cs="Times New Roman"/>
          <w:sz w:val="24"/>
          <w:szCs w:val="24"/>
        </w:rPr>
        <w:t>rseded seasonal and religious cycles of observance, superimposing new modes of time-keeping</w:t>
      </w:r>
      <w:r w:rsidR="00A13819" w:rsidRPr="00686635">
        <w:rPr>
          <w:rFonts w:ascii="Times New Roman" w:hAnsi="Times New Roman" w:cs="Times New Roman"/>
          <w:sz w:val="24"/>
          <w:szCs w:val="24"/>
        </w:rPr>
        <w:t xml:space="preserve"> over</w:t>
      </w:r>
      <w:r w:rsidR="00877C93" w:rsidRPr="00686635">
        <w:rPr>
          <w:rFonts w:ascii="Times New Roman" w:hAnsi="Times New Roman" w:cs="Times New Roman"/>
          <w:sz w:val="24"/>
          <w:szCs w:val="24"/>
        </w:rPr>
        <w:t xml:space="preserve"> older</w:t>
      </w:r>
      <w:r w:rsidR="00A13819" w:rsidRPr="00686635">
        <w:rPr>
          <w:rFonts w:ascii="Times New Roman" w:hAnsi="Times New Roman" w:cs="Times New Roman"/>
          <w:sz w:val="24"/>
          <w:szCs w:val="24"/>
        </w:rPr>
        <w:t xml:space="preserve"> calendars and chronologies</w:t>
      </w:r>
      <w:r w:rsidR="00877C93" w:rsidRPr="00686635">
        <w:rPr>
          <w:rFonts w:ascii="Times New Roman" w:hAnsi="Times New Roman" w:cs="Times New Roman"/>
          <w:sz w:val="24"/>
          <w:szCs w:val="24"/>
        </w:rPr>
        <w:t>.</w:t>
      </w:r>
      <w:r w:rsidR="008B7840" w:rsidRPr="00686635">
        <w:rPr>
          <w:rFonts w:ascii="Times New Roman" w:hAnsi="Times New Roman" w:cs="Times New Roman"/>
          <w:sz w:val="24"/>
          <w:szCs w:val="24"/>
        </w:rPr>
        <w:t xml:space="preserve"> </w:t>
      </w:r>
      <w:r w:rsidR="000D671F" w:rsidRPr="00686635">
        <w:rPr>
          <w:rFonts w:ascii="Times New Roman" w:hAnsi="Times New Roman" w:cs="Times New Roman"/>
          <w:sz w:val="24"/>
          <w:szCs w:val="24"/>
        </w:rPr>
        <w:t xml:space="preserve">One site in which such </w:t>
      </w:r>
      <w:r w:rsidR="0098618F" w:rsidRPr="00686635">
        <w:rPr>
          <w:rFonts w:ascii="Times New Roman" w:hAnsi="Times New Roman" w:cs="Times New Roman"/>
          <w:sz w:val="24"/>
          <w:szCs w:val="24"/>
        </w:rPr>
        <w:t>dissona</w:t>
      </w:r>
      <w:r w:rsidR="00A13819" w:rsidRPr="00686635">
        <w:rPr>
          <w:rFonts w:ascii="Times New Roman" w:hAnsi="Times New Roman" w:cs="Times New Roman"/>
          <w:sz w:val="24"/>
          <w:szCs w:val="24"/>
        </w:rPr>
        <w:t>nt</w:t>
      </w:r>
      <w:r w:rsidR="000D671F" w:rsidRPr="00686635">
        <w:rPr>
          <w:rFonts w:ascii="Times New Roman" w:hAnsi="Times New Roman" w:cs="Times New Roman"/>
          <w:sz w:val="24"/>
          <w:szCs w:val="24"/>
        </w:rPr>
        <w:t xml:space="preserve"> temporalities </w:t>
      </w:r>
      <w:r w:rsidR="002B05BA" w:rsidRPr="00686635">
        <w:rPr>
          <w:rFonts w:ascii="Times New Roman" w:hAnsi="Times New Roman" w:cs="Times New Roman"/>
          <w:sz w:val="24"/>
          <w:szCs w:val="24"/>
        </w:rPr>
        <w:t xml:space="preserve">could be observed was in the </w:t>
      </w:r>
      <w:r w:rsidR="009D4901" w:rsidRPr="00686635">
        <w:rPr>
          <w:rFonts w:ascii="Times New Roman" w:hAnsi="Times New Roman" w:cs="Times New Roman"/>
          <w:sz w:val="24"/>
          <w:szCs w:val="24"/>
        </w:rPr>
        <w:t>wa</w:t>
      </w:r>
      <w:r w:rsidR="00552595" w:rsidRPr="00686635">
        <w:rPr>
          <w:rFonts w:ascii="Times New Roman" w:hAnsi="Times New Roman" w:cs="Times New Roman"/>
          <w:sz w:val="24"/>
          <w:szCs w:val="24"/>
        </w:rPr>
        <w:t>ning influence of the traditional</w:t>
      </w:r>
      <w:r w:rsidR="004E3240" w:rsidRPr="00686635">
        <w:rPr>
          <w:rFonts w:ascii="Times New Roman" w:hAnsi="Times New Roman" w:cs="Times New Roman"/>
          <w:sz w:val="24"/>
          <w:szCs w:val="24"/>
        </w:rPr>
        <w:t xml:space="preserve"> a</w:t>
      </w:r>
      <w:r w:rsidR="002B05BA" w:rsidRPr="00686635">
        <w:rPr>
          <w:rFonts w:ascii="Times New Roman" w:hAnsi="Times New Roman" w:cs="Times New Roman"/>
          <w:sz w:val="24"/>
          <w:szCs w:val="24"/>
        </w:rPr>
        <w:t xml:space="preserve">lmanacs </w:t>
      </w:r>
      <w:r w:rsidR="007E774B" w:rsidRPr="00686635">
        <w:rPr>
          <w:rFonts w:ascii="Times New Roman" w:hAnsi="Times New Roman" w:cs="Times New Roman"/>
          <w:sz w:val="24"/>
          <w:szCs w:val="24"/>
        </w:rPr>
        <w:t>and the emergence</w:t>
      </w:r>
      <w:r w:rsidR="003B7C08" w:rsidRPr="00686635">
        <w:rPr>
          <w:rFonts w:ascii="Times New Roman" w:hAnsi="Times New Roman" w:cs="Times New Roman"/>
          <w:sz w:val="24"/>
          <w:szCs w:val="24"/>
        </w:rPr>
        <w:t xml:space="preserve"> of</w:t>
      </w:r>
      <w:r w:rsidR="007E774B" w:rsidRPr="00686635">
        <w:rPr>
          <w:rFonts w:ascii="Times New Roman" w:hAnsi="Times New Roman" w:cs="Times New Roman"/>
          <w:sz w:val="24"/>
          <w:szCs w:val="24"/>
        </w:rPr>
        <w:t xml:space="preserve"> new a</w:t>
      </w:r>
      <w:r w:rsidR="00A13819" w:rsidRPr="00686635">
        <w:rPr>
          <w:rFonts w:ascii="Times New Roman" w:hAnsi="Times New Roman" w:cs="Times New Roman"/>
          <w:sz w:val="24"/>
          <w:szCs w:val="24"/>
        </w:rPr>
        <w:t xml:space="preserve">lmanacs of </w:t>
      </w:r>
      <w:r w:rsidR="000B3667" w:rsidRPr="00686635">
        <w:rPr>
          <w:rFonts w:ascii="Times New Roman" w:hAnsi="Times New Roman" w:cs="Times New Roman"/>
          <w:sz w:val="24"/>
          <w:szCs w:val="24"/>
        </w:rPr>
        <w:t xml:space="preserve">serviceable </w:t>
      </w:r>
      <w:r w:rsidR="00A13819" w:rsidRPr="00686635">
        <w:rPr>
          <w:rFonts w:ascii="Times New Roman" w:hAnsi="Times New Roman" w:cs="Times New Roman"/>
          <w:sz w:val="24"/>
          <w:szCs w:val="24"/>
        </w:rPr>
        <w:t>facts.</w:t>
      </w:r>
      <w:r w:rsidR="007E774B" w:rsidRPr="00686635">
        <w:rPr>
          <w:rFonts w:ascii="Times New Roman" w:hAnsi="Times New Roman" w:cs="Times New Roman"/>
          <w:sz w:val="24"/>
          <w:szCs w:val="24"/>
        </w:rPr>
        <w:t xml:space="preserve"> Where </w:t>
      </w:r>
      <w:r w:rsidR="00EB5001" w:rsidRPr="00686635">
        <w:rPr>
          <w:rFonts w:ascii="Times New Roman" w:hAnsi="Times New Roman" w:cs="Times New Roman"/>
          <w:sz w:val="24"/>
          <w:szCs w:val="24"/>
        </w:rPr>
        <w:t>the older form – a body of work monopol</w:t>
      </w:r>
      <w:r w:rsidR="00DC399E" w:rsidRPr="00686635">
        <w:rPr>
          <w:rFonts w:ascii="Times New Roman" w:hAnsi="Times New Roman" w:cs="Times New Roman"/>
          <w:sz w:val="24"/>
          <w:szCs w:val="24"/>
        </w:rPr>
        <w:t>ize</w:t>
      </w:r>
      <w:r w:rsidR="00EB5001" w:rsidRPr="00686635">
        <w:rPr>
          <w:rFonts w:ascii="Times New Roman" w:hAnsi="Times New Roman" w:cs="Times New Roman"/>
          <w:sz w:val="24"/>
          <w:szCs w:val="24"/>
        </w:rPr>
        <w:t>d by the Stationer’s Company</w:t>
      </w:r>
      <w:r w:rsidR="00554C92" w:rsidRPr="00686635">
        <w:rPr>
          <w:rFonts w:ascii="Times New Roman" w:hAnsi="Times New Roman" w:cs="Times New Roman"/>
          <w:sz w:val="24"/>
          <w:szCs w:val="24"/>
        </w:rPr>
        <w:t>, which therefore had</w:t>
      </w:r>
      <w:r w:rsidR="00EB5001" w:rsidRPr="00686635">
        <w:rPr>
          <w:rFonts w:ascii="Times New Roman" w:hAnsi="Times New Roman" w:cs="Times New Roman"/>
          <w:sz w:val="24"/>
          <w:szCs w:val="24"/>
        </w:rPr>
        <w:t xml:space="preserve"> little incentive to modern</w:t>
      </w:r>
      <w:r w:rsidR="00DC399E" w:rsidRPr="00686635">
        <w:rPr>
          <w:rFonts w:ascii="Times New Roman" w:hAnsi="Times New Roman" w:cs="Times New Roman"/>
          <w:sz w:val="24"/>
          <w:szCs w:val="24"/>
        </w:rPr>
        <w:t>ize</w:t>
      </w:r>
      <w:r w:rsidR="00EB5001" w:rsidRPr="00686635">
        <w:rPr>
          <w:rFonts w:ascii="Times New Roman" w:hAnsi="Times New Roman" w:cs="Times New Roman"/>
          <w:sz w:val="24"/>
          <w:szCs w:val="24"/>
        </w:rPr>
        <w:t xml:space="preserve"> </w:t>
      </w:r>
      <w:r w:rsidR="00A11DE8"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00552595" w:rsidRPr="00686635">
        <w:rPr>
          <w:rFonts w:ascii="Times New Roman" w:hAnsi="Times New Roman" w:cs="Times New Roman"/>
          <w:sz w:val="24"/>
          <w:szCs w:val="24"/>
        </w:rPr>
        <w:t xml:space="preserve">instructed (implicitly) </w:t>
      </w:r>
      <w:r w:rsidR="004E3240" w:rsidRPr="00686635">
        <w:rPr>
          <w:rFonts w:ascii="Times New Roman" w:hAnsi="Times New Roman" w:cs="Times New Roman"/>
          <w:sz w:val="24"/>
          <w:szCs w:val="24"/>
        </w:rPr>
        <w:t xml:space="preserve">rural </w:t>
      </w:r>
      <w:r w:rsidR="00552595" w:rsidRPr="00686635">
        <w:rPr>
          <w:rFonts w:ascii="Times New Roman" w:hAnsi="Times New Roman" w:cs="Times New Roman"/>
          <w:sz w:val="24"/>
          <w:szCs w:val="24"/>
        </w:rPr>
        <w:t>readers</w:t>
      </w:r>
      <w:r w:rsidR="007E774B" w:rsidRPr="00686635">
        <w:rPr>
          <w:rFonts w:ascii="Times New Roman" w:hAnsi="Times New Roman" w:cs="Times New Roman"/>
          <w:sz w:val="24"/>
          <w:szCs w:val="24"/>
        </w:rPr>
        <w:t xml:space="preserve"> and merchants</w:t>
      </w:r>
      <w:r w:rsidR="00552595" w:rsidRPr="00686635">
        <w:rPr>
          <w:rFonts w:ascii="Times New Roman" w:hAnsi="Times New Roman" w:cs="Times New Roman"/>
          <w:sz w:val="24"/>
          <w:szCs w:val="24"/>
        </w:rPr>
        <w:t xml:space="preserve"> in </w:t>
      </w:r>
      <w:r w:rsidR="004E3240" w:rsidRPr="00686635">
        <w:rPr>
          <w:rFonts w:ascii="Times New Roman" w:hAnsi="Times New Roman" w:cs="Times New Roman"/>
          <w:sz w:val="24"/>
          <w:szCs w:val="24"/>
        </w:rPr>
        <w:t xml:space="preserve">vital details of tides and fairs and agricultural </w:t>
      </w:r>
      <w:r w:rsidR="00552595" w:rsidRPr="00686635">
        <w:rPr>
          <w:rFonts w:ascii="Times New Roman" w:hAnsi="Times New Roman" w:cs="Times New Roman"/>
          <w:sz w:val="24"/>
          <w:szCs w:val="24"/>
        </w:rPr>
        <w:t>season</w:t>
      </w:r>
      <w:r w:rsidR="007E774B" w:rsidRPr="00686635">
        <w:rPr>
          <w:rFonts w:ascii="Times New Roman" w:hAnsi="Times New Roman" w:cs="Times New Roman"/>
          <w:sz w:val="24"/>
          <w:szCs w:val="24"/>
        </w:rPr>
        <w:t>s</w:t>
      </w:r>
      <w:r w:rsidR="00552595" w:rsidRPr="00686635">
        <w:rPr>
          <w:rFonts w:ascii="Times New Roman" w:hAnsi="Times New Roman" w:cs="Times New Roman"/>
          <w:sz w:val="24"/>
          <w:szCs w:val="24"/>
        </w:rPr>
        <w:t xml:space="preserve">, as well as </w:t>
      </w:r>
      <w:r w:rsidR="007E774B" w:rsidRPr="00686635">
        <w:rPr>
          <w:rFonts w:ascii="Times New Roman" w:hAnsi="Times New Roman" w:cs="Times New Roman"/>
          <w:sz w:val="24"/>
          <w:szCs w:val="24"/>
        </w:rPr>
        <w:t>perpetuating the</w:t>
      </w:r>
      <w:r w:rsidR="00552595" w:rsidRPr="00686635">
        <w:rPr>
          <w:rFonts w:ascii="Times New Roman" w:hAnsi="Times New Roman" w:cs="Times New Roman"/>
          <w:sz w:val="24"/>
          <w:szCs w:val="24"/>
        </w:rPr>
        <w:t xml:space="preserve"> more dubious claims of what William St Clair calls the ‘tolerated illegitimate</w:t>
      </w:r>
      <w:r w:rsidR="004E3240" w:rsidRPr="00686635">
        <w:rPr>
          <w:rFonts w:ascii="Times New Roman" w:hAnsi="Times New Roman" w:cs="Times New Roman"/>
          <w:sz w:val="24"/>
          <w:szCs w:val="24"/>
        </w:rPr>
        <w:t xml:space="preserve"> </w:t>
      </w:r>
      <w:r w:rsidR="00552595" w:rsidRPr="00686635">
        <w:rPr>
          <w:rFonts w:ascii="Times New Roman" w:hAnsi="Times New Roman" w:cs="Times New Roman"/>
          <w:sz w:val="24"/>
          <w:szCs w:val="24"/>
        </w:rPr>
        <w:t>supernatural,’</w:t>
      </w:r>
      <w:r w:rsidR="00EB5001" w:rsidRPr="00686635">
        <w:rPr>
          <w:rFonts w:ascii="Times New Roman" w:hAnsi="Times New Roman" w:cs="Times New Roman"/>
          <w:sz w:val="24"/>
          <w:szCs w:val="24"/>
        </w:rPr>
        <w:t xml:space="preserve"> the new format, wrenched from the control of the Stationers, appealed to a more enlightened, and implicitly a more urban, populace.</w:t>
      </w:r>
      <w:r w:rsidR="004E3240" w:rsidRPr="00686635">
        <w:rPr>
          <w:rStyle w:val="FootnoteReference"/>
          <w:rFonts w:ascii="Times New Roman" w:hAnsi="Times New Roman" w:cs="Times New Roman"/>
          <w:sz w:val="24"/>
          <w:szCs w:val="24"/>
        </w:rPr>
        <w:footnoteReference w:id="8"/>
      </w:r>
      <w:r w:rsidR="00021665" w:rsidRPr="00686635">
        <w:rPr>
          <w:rFonts w:ascii="Times New Roman" w:hAnsi="Times New Roman" w:cs="Times New Roman"/>
          <w:sz w:val="24"/>
          <w:szCs w:val="24"/>
        </w:rPr>
        <w:t xml:space="preserve"> </w:t>
      </w:r>
      <w:r w:rsidR="007859BE" w:rsidRPr="00686635">
        <w:rPr>
          <w:rFonts w:ascii="Times New Roman" w:hAnsi="Times New Roman" w:cs="Times New Roman"/>
          <w:sz w:val="24"/>
          <w:szCs w:val="24"/>
        </w:rPr>
        <w:t xml:space="preserve">Though the time-honoured </w:t>
      </w:r>
      <w:r w:rsidR="00A13819" w:rsidRPr="00686635">
        <w:rPr>
          <w:rFonts w:ascii="Times New Roman" w:hAnsi="Times New Roman" w:cs="Times New Roman"/>
          <w:sz w:val="24"/>
          <w:szCs w:val="24"/>
        </w:rPr>
        <w:t xml:space="preserve">prognostications </w:t>
      </w:r>
      <w:r w:rsidR="007859BE" w:rsidRPr="00686635">
        <w:rPr>
          <w:rFonts w:ascii="Times New Roman" w:hAnsi="Times New Roman" w:cs="Times New Roman"/>
          <w:sz w:val="24"/>
          <w:szCs w:val="24"/>
        </w:rPr>
        <w:t xml:space="preserve">of </w:t>
      </w:r>
      <w:r w:rsidR="00015484" w:rsidRPr="00686635">
        <w:rPr>
          <w:rFonts w:ascii="Times New Roman" w:hAnsi="Times New Roman" w:cs="Times New Roman"/>
          <w:sz w:val="24"/>
          <w:szCs w:val="24"/>
        </w:rPr>
        <w:t xml:space="preserve">Old Moore’s Almanack </w:t>
      </w:r>
      <w:r w:rsidR="00A13819" w:rsidRPr="00686635">
        <w:rPr>
          <w:rFonts w:ascii="Times New Roman" w:hAnsi="Times New Roman" w:cs="Times New Roman"/>
          <w:sz w:val="24"/>
          <w:szCs w:val="24"/>
        </w:rPr>
        <w:t>and its fellows</w:t>
      </w:r>
      <w:r w:rsidR="007859BE" w:rsidRPr="00686635">
        <w:rPr>
          <w:rFonts w:ascii="Times New Roman" w:hAnsi="Times New Roman" w:cs="Times New Roman"/>
          <w:sz w:val="24"/>
          <w:szCs w:val="24"/>
        </w:rPr>
        <w:t xml:space="preserve"> never disappeared, the big hitters in the publishing world – Cassell, Knight, Chambers – disseminated </w:t>
      </w:r>
      <w:r w:rsidR="00EB5001" w:rsidRPr="00686635">
        <w:rPr>
          <w:rFonts w:ascii="Times New Roman" w:hAnsi="Times New Roman" w:cs="Times New Roman"/>
          <w:sz w:val="24"/>
          <w:szCs w:val="24"/>
        </w:rPr>
        <w:t>compendia of</w:t>
      </w:r>
      <w:r w:rsidR="007859BE" w:rsidRPr="00686635">
        <w:rPr>
          <w:rFonts w:ascii="Times New Roman" w:hAnsi="Times New Roman" w:cs="Times New Roman"/>
          <w:sz w:val="24"/>
          <w:szCs w:val="24"/>
        </w:rPr>
        <w:t xml:space="preserve"> ‘useful’ knowledge for the modern citizen. </w:t>
      </w:r>
      <w:r w:rsidR="00737771" w:rsidRPr="00686635">
        <w:rPr>
          <w:rFonts w:ascii="Times New Roman" w:hAnsi="Times New Roman" w:cs="Times New Roman"/>
          <w:sz w:val="24"/>
          <w:szCs w:val="24"/>
        </w:rPr>
        <w:t xml:space="preserve">Out, gradually, went </w:t>
      </w:r>
      <w:r w:rsidR="007859BE" w:rsidRPr="00686635">
        <w:rPr>
          <w:rFonts w:ascii="Times New Roman" w:hAnsi="Times New Roman" w:cs="Times New Roman"/>
          <w:sz w:val="24"/>
          <w:szCs w:val="24"/>
        </w:rPr>
        <w:t xml:space="preserve">the picturesque prophecies and </w:t>
      </w:r>
      <w:proofErr w:type="spellStart"/>
      <w:r w:rsidR="007859BE" w:rsidRPr="00686635">
        <w:rPr>
          <w:rFonts w:ascii="Times New Roman" w:hAnsi="Times New Roman" w:cs="Times New Roman"/>
          <w:sz w:val="24"/>
          <w:szCs w:val="24"/>
        </w:rPr>
        <w:t>horologies</w:t>
      </w:r>
      <w:proofErr w:type="spellEnd"/>
      <w:r w:rsidR="007859BE" w:rsidRPr="00686635">
        <w:rPr>
          <w:rFonts w:ascii="Times New Roman" w:hAnsi="Times New Roman" w:cs="Times New Roman"/>
          <w:sz w:val="24"/>
          <w:szCs w:val="24"/>
        </w:rPr>
        <w:t xml:space="preserve">, in came </w:t>
      </w:r>
      <w:r w:rsidR="00E9167F" w:rsidRPr="00686635">
        <w:rPr>
          <w:rFonts w:ascii="Times New Roman" w:hAnsi="Times New Roman" w:cs="Times New Roman"/>
          <w:sz w:val="24"/>
          <w:szCs w:val="24"/>
        </w:rPr>
        <w:t>facts</w:t>
      </w:r>
      <w:r w:rsidR="00737771" w:rsidRPr="00686635">
        <w:rPr>
          <w:rFonts w:ascii="Times New Roman" w:hAnsi="Times New Roman" w:cs="Times New Roman"/>
          <w:sz w:val="24"/>
          <w:szCs w:val="24"/>
        </w:rPr>
        <w:t xml:space="preserve"> and </w:t>
      </w:r>
      <w:r w:rsidR="007859BE" w:rsidRPr="00686635">
        <w:rPr>
          <w:rFonts w:ascii="Times New Roman" w:hAnsi="Times New Roman" w:cs="Times New Roman"/>
          <w:sz w:val="24"/>
          <w:szCs w:val="24"/>
        </w:rPr>
        <w:t>tables of significant dates as well as calendars of</w:t>
      </w:r>
      <w:r w:rsidR="00554C92" w:rsidRPr="00686635">
        <w:rPr>
          <w:rFonts w:ascii="Times New Roman" w:hAnsi="Times New Roman" w:cs="Times New Roman"/>
          <w:sz w:val="24"/>
          <w:szCs w:val="24"/>
        </w:rPr>
        <w:t xml:space="preserve"> recent events</w:t>
      </w:r>
      <w:r w:rsidR="007859BE" w:rsidRPr="00686635">
        <w:rPr>
          <w:rFonts w:ascii="Times New Roman" w:hAnsi="Times New Roman" w:cs="Times New Roman"/>
          <w:sz w:val="24"/>
          <w:szCs w:val="24"/>
        </w:rPr>
        <w:t>.</w:t>
      </w:r>
      <w:r w:rsidR="005E22A6" w:rsidRPr="00686635">
        <w:rPr>
          <w:rFonts w:ascii="Times New Roman" w:hAnsi="Times New Roman" w:cs="Times New Roman"/>
          <w:sz w:val="24"/>
          <w:szCs w:val="24"/>
        </w:rPr>
        <w:t xml:space="preserve"> </w:t>
      </w:r>
    </w:p>
    <w:p w14:paraId="2D99D64D" w14:textId="63CEF40A" w:rsidR="00EB5001" w:rsidRPr="00686635" w:rsidRDefault="005E22A6" w:rsidP="00021665">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lastRenderedPageBreak/>
        <w:t>Tables of regnal dates survived the transition</w:t>
      </w:r>
      <w:r w:rsidR="007E774B" w:rsidRPr="00686635">
        <w:rPr>
          <w:rFonts w:ascii="Times New Roman" w:hAnsi="Times New Roman" w:cs="Times New Roman"/>
          <w:sz w:val="24"/>
          <w:szCs w:val="24"/>
        </w:rPr>
        <w:t xml:space="preserve"> from traditional to modern</w:t>
      </w:r>
      <w:r w:rsidRPr="00686635">
        <w:rPr>
          <w:rFonts w:ascii="Times New Roman" w:hAnsi="Times New Roman" w:cs="Times New Roman"/>
          <w:sz w:val="24"/>
          <w:szCs w:val="24"/>
        </w:rPr>
        <w:t xml:space="preserve">, </w:t>
      </w:r>
      <w:r w:rsidR="007E774B" w:rsidRPr="00686635">
        <w:rPr>
          <w:rFonts w:ascii="Times New Roman" w:hAnsi="Times New Roman" w:cs="Times New Roman"/>
          <w:sz w:val="24"/>
          <w:szCs w:val="24"/>
        </w:rPr>
        <w:t>so that th</w:t>
      </w:r>
      <w:r w:rsidR="007859BE" w:rsidRPr="00686635">
        <w:rPr>
          <w:rFonts w:ascii="Times New Roman" w:hAnsi="Times New Roman" w:cs="Times New Roman"/>
          <w:sz w:val="24"/>
          <w:szCs w:val="24"/>
        </w:rPr>
        <w:t xml:space="preserve">e life of Victoria played a small but consistent role in </w:t>
      </w:r>
      <w:r w:rsidR="007E774B" w:rsidRPr="00686635">
        <w:rPr>
          <w:rFonts w:ascii="Times New Roman" w:hAnsi="Times New Roman" w:cs="Times New Roman"/>
          <w:sz w:val="24"/>
          <w:szCs w:val="24"/>
        </w:rPr>
        <w:t xml:space="preserve">both old and </w:t>
      </w:r>
      <w:r w:rsidR="007859BE" w:rsidRPr="00686635">
        <w:rPr>
          <w:rFonts w:ascii="Times New Roman" w:hAnsi="Times New Roman" w:cs="Times New Roman"/>
          <w:sz w:val="24"/>
          <w:szCs w:val="24"/>
        </w:rPr>
        <w:t>new format</w:t>
      </w:r>
      <w:r w:rsidR="007E774B" w:rsidRPr="00686635">
        <w:rPr>
          <w:rFonts w:ascii="Times New Roman" w:hAnsi="Times New Roman" w:cs="Times New Roman"/>
          <w:sz w:val="24"/>
          <w:szCs w:val="24"/>
        </w:rPr>
        <w:t>s</w:t>
      </w:r>
      <w:r w:rsidR="007859BE" w:rsidRPr="00686635">
        <w:rPr>
          <w:rFonts w:ascii="Times New Roman" w:hAnsi="Times New Roman" w:cs="Times New Roman"/>
          <w:sz w:val="24"/>
          <w:szCs w:val="24"/>
        </w:rPr>
        <w:t>.</w:t>
      </w:r>
      <w:r w:rsidR="007E774B" w:rsidRPr="00686635">
        <w:rPr>
          <w:rStyle w:val="FootnoteReference"/>
          <w:rFonts w:ascii="Times New Roman" w:hAnsi="Times New Roman" w:cs="Times New Roman"/>
          <w:sz w:val="24"/>
          <w:szCs w:val="24"/>
        </w:rPr>
        <w:footnoteReference w:id="9"/>
      </w:r>
      <w:r w:rsidR="007859BE" w:rsidRPr="00686635">
        <w:rPr>
          <w:rFonts w:ascii="Times New Roman" w:hAnsi="Times New Roman" w:cs="Times New Roman"/>
          <w:sz w:val="24"/>
          <w:szCs w:val="24"/>
        </w:rPr>
        <w:t xml:space="preserve"> Even before her accession, Princess Alexandrina Victoria’s birthday was noted in </w:t>
      </w:r>
      <w:r w:rsidR="00EB5001" w:rsidRPr="00686635">
        <w:rPr>
          <w:rFonts w:ascii="Times New Roman" w:hAnsi="Times New Roman" w:cs="Times New Roman"/>
          <w:sz w:val="24"/>
          <w:szCs w:val="24"/>
        </w:rPr>
        <w:t xml:space="preserve">both </w:t>
      </w:r>
      <w:r w:rsidR="00EB5001" w:rsidRPr="00686635">
        <w:rPr>
          <w:rFonts w:ascii="Times New Roman" w:hAnsi="Times New Roman" w:cs="Times New Roman"/>
          <w:i/>
          <w:sz w:val="24"/>
          <w:szCs w:val="24"/>
        </w:rPr>
        <w:t xml:space="preserve">Old Moore’s </w:t>
      </w:r>
      <w:r w:rsidR="00EB5001" w:rsidRPr="00686635">
        <w:rPr>
          <w:rFonts w:ascii="Times New Roman" w:hAnsi="Times New Roman" w:cs="Times New Roman"/>
          <w:sz w:val="24"/>
          <w:szCs w:val="24"/>
        </w:rPr>
        <w:t xml:space="preserve">and in </w:t>
      </w:r>
      <w:r w:rsidR="007859BE" w:rsidRPr="00686635">
        <w:rPr>
          <w:rFonts w:ascii="Times New Roman" w:hAnsi="Times New Roman" w:cs="Times New Roman"/>
          <w:sz w:val="24"/>
          <w:szCs w:val="24"/>
        </w:rPr>
        <w:t xml:space="preserve">early editions of the Society for the Diffusion of Useful Knowledge’s </w:t>
      </w:r>
      <w:r w:rsidR="006F476C" w:rsidRPr="00686635">
        <w:rPr>
          <w:rFonts w:ascii="Times New Roman" w:hAnsi="Times New Roman" w:cs="Times New Roman"/>
          <w:sz w:val="24"/>
          <w:szCs w:val="24"/>
        </w:rPr>
        <w:t xml:space="preserve">long-running </w:t>
      </w:r>
      <w:r w:rsidR="007859BE" w:rsidRPr="00686635">
        <w:rPr>
          <w:rFonts w:ascii="Times New Roman" w:hAnsi="Times New Roman" w:cs="Times New Roman"/>
          <w:i/>
          <w:sz w:val="24"/>
          <w:szCs w:val="24"/>
        </w:rPr>
        <w:t>British Almanac</w:t>
      </w:r>
      <w:r w:rsidR="007859BE" w:rsidRPr="00686635">
        <w:rPr>
          <w:rFonts w:ascii="Times New Roman" w:hAnsi="Times New Roman" w:cs="Times New Roman"/>
          <w:sz w:val="24"/>
          <w:szCs w:val="24"/>
        </w:rPr>
        <w:t xml:space="preserve">, as she quietly ascended the line of succession to the Crown. </w:t>
      </w:r>
      <w:r w:rsidR="000B3667" w:rsidRPr="00686635">
        <w:rPr>
          <w:rFonts w:ascii="Times New Roman" w:hAnsi="Times New Roman" w:cs="Times New Roman"/>
          <w:sz w:val="24"/>
          <w:szCs w:val="24"/>
        </w:rPr>
        <w:t>After her accession,</w:t>
      </w:r>
      <w:r w:rsidR="00D24CAA" w:rsidRPr="00686635">
        <w:rPr>
          <w:rFonts w:ascii="Times New Roman" w:hAnsi="Times New Roman" w:cs="Times New Roman"/>
          <w:sz w:val="24"/>
          <w:szCs w:val="24"/>
        </w:rPr>
        <w:t xml:space="preserve"> her birthday c</w:t>
      </w:r>
      <w:r w:rsidR="006F476C" w:rsidRPr="00686635">
        <w:rPr>
          <w:rFonts w:ascii="Times New Roman" w:hAnsi="Times New Roman" w:cs="Times New Roman"/>
          <w:sz w:val="24"/>
          <w:szCs w:val="24"/>
        </w:rPr>
        <w:t xml:space="preserve">ropped up in </w:t>
      </w:r>
      <w:proofErr w:type="gramStart"/>
      <w:r w:rsidR="006F476C" w:rsidRPr="00686635">
        <w:rPr>
          <w:rFonts w:ascii="Times New Roman" w:hAnsi="Times New Roman" w:cs="Times New Roman"/>
          <w:sz w:val="24"/>
          <w:szCs w:val="24"/>
        </w:rPr>
        <w:t>a number of</w:t>
      </w:r>
      <w:proofErr w:type="gramEnd"/>
      <w:r w:rsidR="006F476C" w:rsidRPr="00686635">
        <w:rPr>
          <w:rFonts w:ascii="Times New Roman" w:hAnsi="Times New Roman" w:cs="Times New Roman"/>
          <w:sz w:val="24"/>
          <w:szCs w:val="24"/>
        </w:rPr>
        <w:t xml:space="preserve"> sections of the </w:t>
      </w:r>
      <w:r w:rsidR="006F476C" w:rsidRPr="00686635">
        <w:rPr>
          <w:rFonts w:ascii="Times New Roman" w:hAnsi="Times New Roman" w:cs="Times New Roman"/>
          <w:i/>
          <w:sz w:val="24"/>
          <w:szCs w:val="24"/>
        </w:rPr>
        <w:t>British</w:t>
      </w:r>
      <w:r w:rsidR="006F476C"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00D24CAA" w:rsidRPr="00686635">
        <w:rPr>
          <w:rFonts w:ascii="Times New Roman" w:hAnsi="Times New Roman" w:cs="Times New Roman"/>
          <w:sz w:val="24"/>
          <w:szCs w:val="24"/>
        </w:rPr>
        <w:t xml:space="preserve">from the ‘Miscellaneous Register of the Royal Family’ to the public holiday enjoyed by the Custom-House, Excise, Stamps and Taxes Offices, to civic </w:t>
      </w:r>
      <w:r w:rsidR="004F33F3" w:rsidRPr="00686635">
        <w:rPr>
          <w:rFonts w:ascii="Times New Roman" w:hAnsi="Times New Roman" w:cs="Times New Roman"/>
          <w:sz w:val="24"/>
          <w:szCs w:val="24"/>
        </w:rPr>
        <w:t>celebrations</w:t>
      </w:r>
      <w:r w:rsidR="00D24CAA" w:rsidRPr="00686635">
        <w:rPr>
          <w:rFonts w:ascii="Times New Roman" w:hAnsi="Times New Roman" w:cs="Times New Roman"/>
          <w:sz w:val="24"/>
          <w:szCs w:val="24"/>
        </w:rPr>
        <w:t xml:space="preserve"> </w:t>
      </w:r>
      <w:r w:rsidR="00753554" w:rsidRPr="00686635">
        <w:rPr>
          <w:rFonts w:ascii="Times New Roman" w:hAnsi="Times New Roman" w:cs="Times New Roman"/>
          <w:sz w:val="24"/>
          <w:szCs w:val="24"/>
        </w:rPr>
        <w:t xml:space="preserve">launching </w:t>
      </w:r>
      <w:r w:rsidR="00D24CAA" w:rsidRPr="00686635">
        <w:rPr>
          <w:rFonts w:ascii="Times New Roman" w:hAnsi="Times New Roman" w:cs="Times New Roman"/>
          <w:sz w:val="24"/>
          <w:szCs w:val="24"/>
        </w:rPr>
        <w:t>‘Public Improvements’.</w:t>
      </w:r>
      <w:r w:rsidR="00D24CAA" w:rsidRPr="00686635">
        <w:rPr>
          <w:rStyle w:val="FootnoteReference"/>
          <w:rFonts w:ascii="Times New Roman" w:hAnsi="Times New Roman" w:cs="Times New Roman"/>
          <w:sz w:val="24"/>
          <w:szCs w:val="24"/>
        </w:rPr>
        <w:footnoteReference w:id="10"/>
      </w:r>
      <w:r w:rsidR="00D24CAA" w:rsidRPr="00686635">
        <w:rPr>
          <w:rFonts w:ascii="Times New Roman" w:hAnsi="Times New Roman" w:cs="Times New Roman"/>
          <w:sz w:val="24"/>
          <w:szCs w:val="24"/>
        </w:rPr>
        <w:t xml:space="preserve"> </w:t>
      </w:r>
    </w:p>
    <w:p w14:paraId="1B418EC5" w14:textId="148FC9E4" w:rsidR="00672407" w:rsidRPr="00686635" w:rsidRDefault="00672407" w:rsidP="00021665">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t>As the category of ‘useful knowledge’ proliferated to include entertaining as well as strictly instrumental modes of knowing, contemporary anniversaries took their place alongside other forms of cultural literacy.</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Devotees </w:t>
      </w:r>
      <w:r w:rsidR="000B3667" w:rsidRPr="00686635">
        <w:rPr>
          <w:rFonts w:ascii="Times New Roman" w:hAnsi="Times New Roman" w:cs="Times New Roman"/>
          <w:sz w:val="24"/>
          <w:szCs w:val="24"/>
        </w:rPr>
        <w:t xml:space="preserve">of Robert Chambers’ two volume almanac of ‘popular antiquities,’ the </w:t>
      </w:r>
      <w:r w:rsidR="000B3667" w:rsidRPr="00686635">
        <w:rPr>
          <w:rFonts w:ascii="Times New Roman" w:hAnsi="Times New Roman" w:cs="Times New Roman"/>
          <w:i/>
          <w:iCs/>
          <w:sz w:val="24"/>
          <w:szCs w:val="24"/>
        </w:rPr>
        <w:t xml:space="preserve">Book of Days, </w:t>
      </w:r>
      <w:r w:rsidRPr="00686635">
        <w:rPr>
          <w:rFonts w:ascii="Times New Roman" w:hAnsi="Times New Roman" w:cs="Times New Roman"/>
          <w:iCs/>
          <w:sz w:val="24"/>
          <w:szCs w:val="24"/>
        </w:rPr>
        <w:t xml:space="preserve">were encouraged to imbibe a daily dose of general knowledge as they might a daily chapter of the Bible. Doing so, they would </w:t>
      </w:r>
      <w:r w:rsidR="000B3667" w:rsidRPr="00686635">
        <w:rPr>
          <w:rFonts w:ascii="Times New Roman" w:hAnsi="Times New Roman" w:cs="Times New Roman"/>
          <w:iCs/>
          <w:sz w:val="24"/>
          <w:szCs w:val="24"/>
        </w:rPr>
        <w:t>have encountered a range of worthies, dead and alive, who shared their day, and sometimes also their year</w:t>
      </w:r>
      <w:r w:rsidR="004053E2" w:rsidRPr="00686635">
        <w:rPr>
          <w:rFonts w:ascii="Times New Roman" w:hAnsi="Times New Roman" w:cs="Times New Roman"/>
          <w:iCs/>
          <w:sz w:val="24"/>
          <w:szCs w:val="24"/>
        </w:rPr>
        <w:t>,</w:t>
      </w:r>
      <w:r w:rsidR="000B3667" w:rsidRPr="00686635">
        <w:rPr>
          <w:rFonts w:ascii="Times New Roman" w:hAnsi="Times New Roman" w:cs="Times New Roman"/>
          <w:iCs/>
          <w:sz w:val="24"/>
          <w:szCs w:val="24"/>
        </w:rPr>
        <w:t xml:space="preserve"> of birth.</w:t>
      </w:r>
      <w:r w:rsidR="00021665" w:rsidRPr="00686635">
        <w:rPr>
          <w:rFonts w:ascii="Times New Roman" w:hAnsi="Times New Roman" w:cs="Times New Roman"/>
          <w:iCs/>
          <w:sz w:val="24"/>
          <w:szCs w:val="24"/>
        </w:rPr>
        <w:t xml:space="preserve"> </w:t>
      </w:r>
      <w:r w:rsidR="000B3667" w:rsidRPr="00686635">
        <w:rPr>
          <w:rFonts w:ascii="Times New Roman" w:hAnsi="Times New Roman" w:cs="Times New Roman"/>
          <w:iCs/>
          <w:sz w:val="24"/>
          <w:szCs w:val="24"/>
        </w:rPr>
        <w:t xml:space="preserve">On 24 May </w:t>
      </w:r>
      <w:r w:rsidR="000204DB" w:rsidRPr="00686635">
        <w:rPr>
          <w:rFonts w:ascii="Times New Roman" w:hAnsi="Times New Roman" w:cs="Times New Roman"/>
          <w:iCs/>
          <w:sz w:val="24"/>
          <w:szCs w:val="24"/>
        </w:rPr>
        <w:t xml:space="preserve">readers </w:t>
      </w:r>
      <w:r w:rsidR="000B3667" w:rsidRPr="00686635">
        <w:rPr>
          <w:rFonts w:ascii="Times New Roman" w:hAnsi="Times New Roman" w:cs="Times New Roman"/>
          <w:iCs/>
          <w:sz w:val="24"/>
          <w:szCs w:val="24"/>
        </w:rPr>
        <w:t xml:space="preserve">born in 1819 would have marked </w:t>
      </w:r>
      <w:r w:rsidR="00A11DE8" w:rsidRPr="00686635">
        <w:rPr>
          <w:rFonts w:ascii="Times New Roman" w:hAnsi="Times New Roman" w:cs="Times New Roman"/>
          <w:iCs/>
          <w:sz w:val="24"/>
          <w:szCs w:val="24"/>
        </w:rPr>
        <w:t>–</w:t>
      </w:r>
      <w:r w:rsidR="000B3667" w:rsidRPr="00686635">
        <w:rPr>
          <w:rFonts w:ascii="Times New Roman" w:hAnsi="Times New Roman" w:cs="Times New Roman"/>
          <w:iCs/>
          <w:sz w:val="24"/>
          <w:szCs w:val="24"/>
        </w:rPr>
        <w:t xml:space="preserve"> alongside </w:t>
      </w:r>
      <w:r w:rsidR="000B3667" w:rsidRPr="00686635">
        <w:rPr>
          <w:rFonts w:ascii="Times New Roman" w:hAnsi="Times New Roman" w:cs="Times New Roman"/>
          <w:sz w:val="24"/>
          <w:szCs w:val="24"/>
        </w:rPr>
        <w:t>folksy anecdotes about</w:t>
      </w:r>
      <w:r w:rsidR="00021665" w:rsidRPr="00686635">
        <w:rPr>
          <w:rFonts w:ascii="Times New Roman" w:hAnsi="Times New Roman" w:cs="Times New Roman"/>
          <w:sz w:val="24"/>
          <w:szCs w:val="24"/>
        </w:rPr>
        <w:t xml:space="preserve"> </w:t>
      </w:r>
      <w:r w:rsidR="000B3667" w:rsidRPr="00686635">
        <w:rPr>
          <w:rFonts w:ascii="Times New Roman" w:hAnsi="Times New Roman" w:cs="Times New Roman"/>
          <w:sz w:val="24"/>
          <w:szCs w:val="24"/>
        </w:rPr>
        <w:t xml:space="preserve">a quack oculist, and superstitions about animals </w:t>
      </w:r>
      <w:r w:rsidR="00A11DE8" w:rsidRPr="00686635">
        <w:rPr>
          <w:rFonts w:ascii="Times New Roman" w:hAnsi="Times New Roman" w:cs="Times New Roman"/>
          <w:sz w:val="24"/>
          <w:szCs w:val="24"/>
        </w:rPr>
        <w:t>–</w:t>
      </w:r>
      <w:r w:rsidR="000B3667" w:rsidRPr="00686635">
        <w:rPr>
          <w:rFonts w:ascii="Times New Roman" w:hAnsi="Times New Roman" w:cs="Times New Roman"/>
          <w:sz w:val="24"/>
          <w:szCs w:val="24"/>
        </w:rPr>
        <w:t xml:space="preserve"> the death of Pope Gregory VII on that day in 1085,</w:t>
      </w:r>
      <w:r w:rsidR="008B7840" w:rsidRPr="00686635">
        <w:rPr>
          <w:rFonts w:ascii="Times New Roman" w:hAnsi="Times New Roman" w:cs="Times New Roman"/>
          <w:sz w:val="24"/>
          <w:szCs w:val="24"/>
        </w:rPr>
        <w:t xml:space="preserve"> </w:t>
      </w:r>
      <w:r w:rsidR="000B3667" w:rsidRPr="00686635">
        <w:rPr>
          <w:rFonts w:ascii="Times New Roman" w:hAnsi="Times New Roman" w:cs="Times New Roman"/>
          <w:iCs/>
          <w:sz w:val="24"/>
          <w:szCs w:val="24"/>
        </w:rPr>
        <w:t>but also the birthdays of their close contemporaries the Queen</w:t>
      </w:r>
      <w:r w:rsidR="00021665" w:rsidRPr="00686635">
        <w:rPr>
          <w:rFonts w:ascii="Times New Roman" w:hAnsi="Times New Roman" w:cs="Times New Roman"/>
          <w:iCs/>
          <w:sz w:val="24"/>
          <w:szCs w:val="24"/>
        </w:rPr>
        <w:t xml:space="preserve"> </w:t>
      </w:r>
      <w:r w:rsidR="000B3667" w:rsidRPr="00686635">
        <w:rPr>
          <w:rFonts w:ascii="Times New Roman" w:hAnsi="Times New Roman" w:cs="Times New Roman"/>
          <w:iCs/>
          <w:sz w:val="24"/>
          <w:szCs w:val="24"/>
        </w:rPr>
        <w:t>(b. 1819</w:t>
      </w:r>
      <w:r w:rsidR="00984AE9" w:rsidRPr="00686635">
        <w:rPr>
          <w:rFonts w:ascii="Times New Roman" w:hAnsi="Times New Roman" w:cs="Times New Roman"/>
          <w:iCs/>
          <w:sz w:val="24"/>
          <w:szCs w:val="24"/>
        </w:rPr>
        <w:t>)</w:t>
      </w:r>
      <w:r w:rsidR="000B3667" w:rsidRPr="00686635">
        <w:rPr>
          <w:rFonts w:ascii="Times New Roman" w:hAnsi="Times New Roman" w:cs="Times New Roman"/>
          <w:iCs/>
          <w:sz w:val="24"/>
          <w:szCs w:val="24"/>
        </w:rPr>
        <w:t>, the comic writer</w:t>
      </w:r>
      <w:r w:rsidR="00021665" w:rsidRPr="00686635">
        <w:rPr>
          <w:rFonts w:ascii="Times New Roman" w:hAnsi="Times New Roman" w:cs="Times New Roman"/>
          <w:iCs/>
          <w:sz w:val="24"/>
          <w:szCs w:val="24"/>
        </w:rPr>
        <w:t xml:space="preserve"> </w:t>
      </w:r>
      <w:r w:rsidR="000B3667" w:rsidRPr="00686635">
        <w:rPr>
          <w:rFonts w:ascii="Times New Roman" w:hAnsi="Times New Roman" w:cs="Times New Roman"/>
          <w:iCs/>
          <w:sz w:val="24"/>
          <w:szCs w:val="24"/>
        </w:rPr>
        <w:t>Albert Smith (1816) and the artist John Henry Foley</w:t>
      </w:r>
      <w:r w:rsidR="003B7C08" w:rsidRPr="00686635">
        <w:rPr>
          <w:rFonts w:ascii="Times New Roman" w:hAnsi="Times New Roman" w:cs="Times New Roman"/>
          <w:iCs/>
          <w:sz w:val="24"/>
          <w:szCs w:val="24"/>
        </w:rPr>
        <w:t xml:space="preserve"> </w:t>
      </w:r>
      <w:r w:rsidR="000B3667" w:rsidRPr="00686635">
        <w:rPr>
          <w:rFonts w:ascii="Times New Roman" w:hAnsi="Times New Roman" w:cs="Times New Roman"/>
          <w:iCs/>
          <w:sz w:val="24"/>
          <w:szCs w:val="24"/>
        </w:rPr>
        <w:t>(1818).</w:t>
      </w:r>
      <w:r w:rsidR="00833AEE" w:rsidRPr="00686635">
        <w:rPr>
          <w:rStyle w:val="FootnoteReference"/>
          <w:rFonts w:ascii="Times New Roman" w:hAnsi="Times New Roman" w:cs="Times New Roman"/>
          <w:sz w:val="24"/>
          <w:szCs w:val="24"/>
        </w:rPr>
        <w:footnoteReference w:id="11"/>
      </w:r>
      <w:r w:rsidR="008B7840" w:rsidRPr="00686635">
        <w:rPr>
          <w:rFonts w:ascii="Times New Roman" w:hAnsi="Times New Roman" w:cs="Times New Roman"/>
          <w:iCs/>
          <w:sz w:val="24"/>
          <w:szCs w:val="24"/>
        </w:rPr>
        <w:t xml:space="preserve"> </w:t>
      </w:r>
      <w:r w:rsidR="00AA1C3D" w:rsidRPr="00686635">
        <w:rPr>
          <w:rFonts w:ascii="Times New Roman" w:hAnsi="Times New Roman" w:cs="Times New Roman"/>
          <w:sz w:val="24"/>
          <w:szCs w:val="24"/>
        </w:rPr>
        <w:t>Knowledge of Victoria’s age and date of birth thus took its place in the vast daily diet of cultural literacy</w:t>
      </w:r>
      <w:r w:rsidR="00021665" w:rsidRPr="00686635">
        <w:rPr>
          <w:rFonts w:ascii="Times New Roman" w:hAnsi="Times New Roman" w:cs="Times New Roman"/>
          <w:sz w:val="24"/>
          <w:szCs w:val="24"/>
        </w:rPr>
        <w:t xml:space="preserve"> </w:t>
      </w:r>
      <w:r w:rsidR="00AA1C3D" w:rsidRPr="00686635">
        <w:rPr>
          <w:rFonts w:ascii="Times New Roman" w:hAnsi="Times New Roman" w:cs="Times New Roman"/>
          <w:sz w:val="24"/>
          <w:szCs w:val="24"/>
        </w:rPr>
        <w:t xml:space="preserve">Chambers offered his </w:t>
      </w:r>
      <w:r w:rsidR="005F2030" w:rsidRPr="00686635">
        <w:rPr>
          <w:rFonts w:ascii="Times New Roman" w:hAnsi="Times New Roman" w:cs="Times New Roman"/>
          <w:sz w:val="24"/>
          <w:szCs w:val="24"/>
        </w:rPr>
        <w:t xml:space="preserve">middling-class </w:t>
      </w:r>
      <w:r w:rsidR="00AA1C3D" w:rsidRPr="00686635">
        <w:rPr>
          <w:rFonts w:ascii="Times New Roman" w:hAnsi="Times New Roman" w:cs="Times New Roman"/>
          <w:sz w:val="24"/>
          <w:szCs w:val="24"/>
        </w:rPr>
        <w:t xml:space="preserve">readers, inviting them to measure their own </w:t>
      </w:r>
      <w:r w:rsidR="005F2030" w:rsidRPr="00686635">
        <w:rPr>
          <w:rFonts w:ascii="Times New Roman" w:hAnsi="Times New Roman" w:cs="Times New Roman"/>
          <w:sz w:val="24"/>
          <w:szCs w:val="24"/>
        </w:rPr>
        <w:t>age-identity</w:t>
      </w:r>
      <w:r w:rsidR="00021665" w:rsidRPr="00686635">
        <w:rPr>
          <w:rFonts w:ascii="Times New Roman" w:hAnsi="Times New Roman" w:cs="Times New Roman"/>
          <w:sz w:val="24"/>
          <w:szCs w:val="24"/>
        </w:rPr>
        <w:t xml:space="preserve"> </w:t>
      </w:r>
      <w:r w:rsidR="00AA1C3D" w:rsidRPr="00686635">
        <w:rPr>
          <w:rFonts w:ascii="Times New Roman" w:hAnsi="Times New Roman" w:cs="Times New Roman"/>
          <w:sz w:val="24"/>
          <w:szCs w:val="24"/>
        </w:rPr>
        <w:t xml:space="preserve">against hers, and </w:t>
      </w:r>
      <w:r w:rsidR="005F2030" w:rsidRPr="00686635">
        <w:rPr>
          <w:rFonts w:ascii="Times New Roman" w:hAnsi="Times New Roman" w:cs="Times New Roman"/>
          <w:sz w:val="24"/>
          <w:szCs w:val="24"/>
        </w:rPr>
        <w:t>to situate both against a sweeping –</w:t>
      </w:r>
      <w:r w:rsidR="003B7C08" w:rsidRPr="00686635">
        <w:rPr>
          <w:rFonts w:ascii="Times New Roman" w:hAnsi="Times New Roman" w:cs="Times New Roman"/>
          <w:sz w:val="24"/>
          <w:szCs w:val="24"/>
        </w:rPr>
        <w:t xml:space="preserve"> </w:t>
      </w:r>
      <w:r w:rsidR="005F2030" w:rsidRPr="00686635">
        <w:rPr>
          <w:rFonts w:ascii="Times New Roman" w:hAnsi="Times New Roman" w:cs="Times New Roman"/>
          <w:sz w:val="24"/>
          <w:szCs w:val="24"/>
        </w:rPr>
        <w:t>if</w:t>
      </w:r>
      <w:r w:rsidR="00021665" w:rsidRPr="00686635">
        <w:rPr>
          <w:rFonts w:ascii="Times New Roman" w:hAnsi="Times New Roman" w:cs="Times New Roman"/>
          <w:sz w:val="24"/>
          <w:szCs w:val="24"/>
        </w:rPr>
        <w:t xml:space="preserve"> </w:t>
      </w:r>
      <w:r w:rsidR="005F2030" w:rsidRPr="00686635">
        <w:rPr>
          <w:rFonts w:ascii="Times New Roman" w:hAnsi="Times New Roman" w:cs="Times New Roman"/>
          <w:sz w:val="24"/>
          <w:szCs w:val="24"/>
        </w:rPr>
        <w:t xml:space="preserve">rather miscellaneous </w:t>
      </w:r>
      <w:r w:rsidR="00A11DE8"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005F2030" w:rsidRPr="00686635">
        <w:rPr>
          <w:rFonts w:ascii="Times New Roman" w:hAnsi="Times New Roman" w:cs="Times New Roman"/>
          <w:sz w:val="24"/>
          <w:szCs w:val="24"/>
        </w:rPr>
        <w:t xml:space="preserve">backdrop </w:t>
      </w:r>
      <w:r w:rsidR="00AA1C3D" w:rsidRPr="00686635">
        <w:rPr>
          <w:rFonts w:ascii="Times New Roman" w:hAnsi="Times New Roman" w:cs="Times New Roman"/>
          <w:sz w:val="24"/>
          <w:szCs w:val="24"/>
        </w:rPr>
        <w:t xml:space="preserve">of contemporary </w:t>
      </w:r>
      <w:r w:rsidR="005F2030" w:rsidRPr="00686635">
        <w:rPr>
          <w:rFonts w:ascii="Times New Roman" w:hAnsi="Times New Roman" w:cs="Times New Roman"/>
          <w:sz w:val="24"/>
          <w:szCs w:val="24"/>
        </w:rPr>
        <w:t>history</w:t>
      </w:r>
      <w:r w:rsidR="00984AE9" w:rsidRPr="00686635">
        <w:rPr>
          <w:rFonts w:ascii="Times New Roman" w:hAnsi="Times New Roman" w:cs="Times New Roman"/>
          <w:sz w:val="24"/>
          <w:szCs w:val="24"/>
        </w:rPr>
        <w:t>, folklore</w:t>
      </w:r>
      <w:r w:rsidR="005F2030" w:rsidRPr="00686635">
        <w:rPr>
          <w:rFonts w:ascii="Times New Roman" w:hAnsi="Times New Roman" w:cs="Times New Roman"/>
          <w:sz w:val="24"/>
          <w:szCs w:val="24"/>
        </w:rPr>
        <w:t xml:space="preserve"> </w:t>
      </w:r>
      <w:r w:rsidR="00AA1C3D" w:rsidRPr="00686635">
        <w:rPr>
          <w:rFonts w:ascii="Times New Roman" w:hAnsi="Times New Roman" w:cs="Times New Roman"/>
          <w:sz w:val="24"/>
          <w:szCs w:val="24"/>
        </w:rPr>
        <w:t>and antiquity.</w:t>
      </w:r>
    </w:p>
    <w:p w14:paraId="52A32D58" w14:textId="375C4AF8" w:rsidR="000B3667" w:rsidRPr="00686635" w:rsidRDefault="00D24CAA" w:rsidP="00021665">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t xml:space="preserve">The </w:t>
      </w:r>
      <w:r w:rsidR="004F33F3" w:rsidRPr="00686635">
        <w:rPr>
          <w:rFonts w:ascii="Times New Roman" w:hAnsi="Times New Roman" w:cs="Times New Roman"/>
          <w:sz w:val="24"/>
          <w:szCs w:val="24"/>
        </w:rPr>
        <w:t xml:space="preserve">national </w:t>
      </w:r>
      <w:r w:rsidRPr="00686635">
        <w:rPr>
          <w:rFonts w:ascii="Times New Roman" w:hAnsi="Times New Roman" w:cs="Times New Roman"/>
          <w:sz w:val="24"/>
          <w:szCs w:val="24"/>
        </w:rPr>
        <w:t xml:space="preserve">commemoration of royal births </w:t>
      </w:r>
      <w:r w:rsidR="000B3667" w:rsidRPr="00686635">
        <w:rPr>
          <w:rFonts w:ascii="Times New Roman" w:hAnsi="Times New Roman" w:cs="Times New Roman"/>
          <w:sz w:val="24"/>
          <w:szCs w:val="24"/>
        </w:rPr>
        <w:t xml:space="preserve">and regnal dates </w:t>
      </w:r>
      <w:r w:rsidRPr="00686635">
        <w:rPr>
          <w:rFonts w:ascii="Times New Roman" w:hAnsi="Times New Roman" w:cs="Times New Roman"/>
          <w:sz w:val="24"/>
          <w:szCs w:val="24"/>
        </w:rPr>
        <w:t xml:space="preserve">was not, of course, invented in the nineteenth-century, </w:t>
      </w:r>
      <w:r w:rsidR="004F33F3" w:rsidRPr="00686635">
        <w:rPr>
          <w:rFonts w:ascii="Times New Roman" w:hAnsi="Times New Roman" w:cs="Times New Roman"/>
          <w:sz w:val="24"/>
          <w:szCs w:val="24"/>
        </w:rPr>
        <w:t xml:space="preserve">but Victoria’s life-narrative – including her age and ageing </w:t>
      </w:r>
      <w:r w:rsidR="00A11DE8"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004F33F3" w:rsidRPr="00686635">
        <w:rPr>
          <w:rFonts w:ascii="Times New Roman" w:hAnsi="Times New Roman" w:cs="Times New Roman"/>
          <w:sz w:val="24"/>
          <w:szCs w:val="24"/>
        </w:rPr>
        <w:t>was</w:t>
      </w:r>
      <w:r w:rsidR="005F2030" w:rsidRPr="00686635">
        <w:rPr>
          <w:rFonts w:ascii="Times New Roman" w:hAnsi="Times New Roman" w:cs="Times New Roman"/>
          <w:sz w:val="24"/>
          <w:szCs w:val="24"/>
        </w:rPr>
        <w:t>, I suggest,</w:t>
      </w:r>
      <w:r w:rsidR="004F33F3" w:rsidRPr="00686635">
        <w:rPr>
          <w:rFonts w:ascii="Times New Roman" w:hAnsi="Times New Roman" w:cs="Times New Roman"/>
          <w:sz w:val="24"/>
          <w:szCs w:val="24"/>
        </w:rPr>
        <w:t xml:space="preserve"> more densely implicated in the rituals and routines of cultural life than her predecessors’</w:t>
      </w:r>
      <w:r w:rsidR="00326285" w:rsidRPr="00686635">
        <w:rPr>
          <w:rFonts w:ascii="Times New Roman" w:hAnsi="Times New Roman" w:cs="Times New Roman"/>
          <w:sz w:val="24"/>
          <w:szCs w:val="24"/>
        </w:rPr>
        <w:t xml:space="preserve">. </w:t>
      </w:r>
      <w:r w:rsidR="00E9167F" w:rsidRPr="00686635">
        <w:rPr>
          <w:rFonts w:ascii="Times New Roman" w:hAnsi="Times New Roman" w:cs="Times New Roman"/>
          <w:sz w:val="24"/>
          <w:szCs w:val="24"/>
        </w:rPr>
        <w:t>I</w:t>
      </w:r>
      <w:r w:rsidR="005F2030" w:rsidRPr="00686635">
        <w:rPr>
          <w:rFonts w:ascii="Times New Roman" w:hAnsi="Times New Roman" w:cs="Times New Roman"/>
          <w:sz w:val="24"/>
          <w:szCs w:val="24"/>
        </w:rPr>
        <w:t>f thi</w:t>
      </w:r>
      <w:r w:rsidR="00B97CA0" w:rsidRPr="00686635">
        <w:rPr>
          <w:rFonts w:ascii="Times New Roman" w:hAnsi="Times New Roman" w:cs="Times New Roman"/>
          <w:sz w:val="24"/>
          <w:szCs w:val="24"/>
        </w:rPr>
        <w:t>s sketch affords a tendentious impression of age-consciousness, it is worth remembering that t</w:t>
      </w:r>
      <w:r w:rsidR="005F2030" w:rsidRPr="00686635">
        <w:rPr>
          <w:rFonts w:ascii="Times New Roman" w:hAnsi="Times New Roman" w:cs="Times New Roman"/>
          <w:sz w:val="24"/>
          <w:szCs w:val="24"/>
        </w:rPr>
        <w:t xml:space="preserve">he </w:t>
      </w:r>
      <w:r w:rsidR="00B97CA0" w:rsidRPr="00686635">
        <w:rPr>
          <w:rFonts w:ascii="Times New Roman" w:hAnsi="Times New Roman" w:cs="Times New Roman"/>
          <w:sz w:val="24"/>
          <w:szCs w:val="24"/>
        </w:rPr>
        <w:t>modern</w:t>
      </w:r>
      <w:r w:rsidR="00DC399E" w:rsidRPr="00686635">
        <w:rPr>
          <w:rFonts w:ascii="Times New Roman" w:hAnsi="Times New Roman" w:cs="Times New Roman"/>
          <w:sz w:val="24"/>
          <w:szCs w:val="24"/>
        </w:rPr>
        <w:t>iza</w:t>
      </w:r>
      <w:r w:rsidR="00B97CA0" w:rsidRPr="00686635">
        <w:rPr>
          <w:rFonts w:ascii="Times New Roman" w:hAnsi="Times New Roman" w:cs="Times New Roman"/>
          <w:sz w:val="24"/>
          <w:szCs w:val="24"/>
        </w:rPr>
        <w:t>tion and dissemination of almanacs and of</w:t>
      </w:r>
      <w:r w:rsidR="00021665" w:rsidRPr="00686635">
        <w:rPr>
          <w:rFonts w:ascii="Times New Roman" w:hAnsi="Times New Roman" w:cs="Times New Roman"/>
          <w:sz w:val="24"/>
          <w:szCs w:val="24"/>
        </w:rPr>
        <w:t xml:space="preserve"> </w:t>
      </w:r>
      <w:r w:rsidR="00B97CA0" w:rsidRPr="00686635">
        <w:rPr>
          <w:rFonts w:ascii="Times New Roman" w:hAnsi="Times New Roman" w:cs="Times New Roman"/>
          <w:sz w:val="24"/>
          <w:szCs w:val="24"/>
        </w:rPr>
        <w:t>‘useful’ information were at the forefront of the nineteenth-century campaign not just to liberalize the book market but to democrat</w:t>
      </w:r>
      <w:r w:rsidR="00DC399E" w:rsidRPr="00686635">
        <w:rPr>
          <w:rFonts w:ascii="Times New Roman" w:hAnsi="Times New Roman" w:cs="Times New Roman"/>
          <w:sz w:val="24"/>
          <w:szCs w:val="24"/>
        </w:rPr>
        <w:t>ize</w:t>
      </w:r>
      <w:r w:rsidR="00B97CA0" w:rsidRPr="00686635">
        <w:rPr>
          <w:rFonts w:ascii="Times New Roman" w:hAnsi="Times New Roman" w:cs="Times New Roman"/>
          <w:sz w:val="24"/>
          <w:szCs w:val="24"/>
        </w:rPr>
        <w:t xml:space="preserve"> knowledge. </w:t>
      </w:r>
      <w:r w:rsidR="00E9167F" w:rsidRPr="00686635">
        <w:rPr>
          <w:rFonts w:ascii="Times New Roman" w:hAnsi="Times New Roman" w:cs="Times New Roman"/>
          <w:sz w:val="24"/>
          <w:szCs w:val="24"/>
        </w:rPr>
        <w:t xml:space="preserve">Cognizance of when Victoria was born was part </w:t>
      </w:r>
      <w:r w:rsidR="00E9167F" w:rsidRPr="00686635">
        <w:rPr>
          <w:rFonts w:ascii="Times New Roman" w:hAnsi="Times New Roman" w:cs="Times New Roman"/>
          <w:sz w:val="24"/>
          <w:szCs w:val="24"/>
        </w:rPr>
        <w:lastRenderedPageBreak/>
        <w:t>of a citizen’s cultural capital: part of that knowledge</w:t>
      </w:r>
      <w:r w:rsidR="008B7840" w:rsidRPr="00686635">
        <w:rPr>
          <w:rFonts w:ascii="Times New Roman" w:hAnsi="Times New Roman" w:cs="Times New Roman"/>
          <w:sz w:val="24"/>
          <w:szCs w:val="24"/>
        </w:rPr>
        <w:t xml:space="preserve"> </w:t>
      </w:r>
      <w:r w:rsidR="00E9167F" w:rsidRPr="00686635">
        <w:rPr>
          <w:rFonts w:ascii="Times New Roman" w:hAnsi="Times New Roman" w:cs="Times New Roman"/>
          <w:sz w:val="24"/>
          <w:szCs w:val="24"/>
        </w:rPr>
        <w:t>coming to be understood as ‘general’.</w:t>
      </w:r>
      <w:r w:rsidR="00326285" w:rsidRPr="00686635">
        <w:rPr>
          <w:rFonts w:ascii="Times New Roman" w:hAnsi="Times New Roman" w:cs="Times New Roman"/>
          <w:sz w:val="24"/>
          <w:szCs w:val="24"/>
        </w:rPr>
        <w:t xml:space="preserve"> From 1860 the distribution of Birthday Honours reinforced the visibility of Victoria’s annual cycle, while the institution of the monarch’s birthday – actual or official – as a public holiday harnessed colonial to metropolitan practice in Canada (where Victoria Day is still celebrated) and some other parts of the Empire.</w:t>
      </w:r>
    </w:p>
    <w:p w14:paraId="1AE6CAB6" w14:textId="19319854" w:rsidR="00224324" w:rsidRPr="00686635" w:rsidRDefault="00224324" w:rsidP="00021665">
      <w:pPr>
        <w:spacing w:before="240" w:line="336" w:lineRule="auto"/>
        <w:rPr>
          <w:rFonts w:ascii="Times New Roman" w:hAnsi="Times New Roman" w:cs="Times New Roman"/>
          <w:i/>
          <w:sz w:val="24"/>
          <w:szCs w:val="24"/>
        </w:rPr>
      </w:pPr>
      <w:r w:rsidRPr="00686635">
        <w:rPr>
          <w:rFonts w:ascii="Times New Roman" w:hAnsi="Times New Roman" w:cs="Times New Roman"/>
          <w:sz w:val="24"/>
          <w:szCs w:val="24"/>
        </w:rPr>
        <w:t xml:space="preserve">The noting of public anniversaries such as the Queen’s birthday, I </w:t>
      </w:r>
      <w:r w:rsidR="00326285" w:rsidRPr="00686635">
        <w:rPr>
          <w:rFonts w:ascii="Times New Roman" w:hAnsi="Times New Roman" w:cs="Times New Roman"/>
          <w:sz w:val="24"/>
          <w:szCs w:val="24"/>
        </w:rPr>
        <w:t>would argue</w:t>
      </w:r>
      <w:r w:rsidRPr="00686635">
        <w:rPr>
          <w:rFonts w:ascii="Times New Roman" w:hAnsi="Times New Roman" w:cs="Times New Roman"/>
          <w:sz w:val="24"/>
          <w:szCs w:val="24"/>
        </w:rPr>
        <w:t xml:space="preserve">, chimed with other technologies of self-improvement and regimes of daily self-accounting. As it happens, the production in the late eighteenth century of printed diaries was in part driven by publishers’ attempts to </w:t>
      </w:r>
      <w:r w:rsidR="00326285" w:rsidRPr="00686635">
        <w:rPr>
          <w:rFonts w:ascii="Times New Roman" w:hAnsi="Times New Roman" w:cs="Times New Roman"/>
          <w:sz w:val="24"/>
          <w:szCs w:val="24"/>
        </w:rPr>
        <w:t>intervene in</w:t>
      </w:r>
      <w:r w:rsidR="008B7840" w:rsidRPr="00686635">
        <w:rPr>
          <w:rFonts w:ascii="Times New Roman" w:hAnsi="Times New Roman" w:cs="Times New Roman"/>
          <w:sz w:val="24"/>
          <w:szCs w:val="24"/>
        </w:rPr>
        <w:t xml:space="preserve"> </w:t>
      </w:r>
      <w:r w:rsidRPr="00686635">
        <w:rPr>
          <w:rFonts w:ascii="Times New Roman" w:hAnsi="Times New Roman" w:cs="Times New Roman"/>
          <w:sz w:val="24"/>
          <w:szCs w:val="24"/>
        </w:rPr>
        <w:t>the almanac market by interleaving existing memoranda with blank pages</w:t>
      </w:r>
      <w:r w:rsidR="00326285" w:rsidRPr="00686635">
        <w:rPr>
          <w:rFonts w:ascii="Times New Roman" w:hAnsi="Times New Roman" w:cs="Times New Roman"/>
          <w:sz w:val="24"/>
          <w:szCs w:val="24"/>
        </w:rPr>
        <w:t xml:space="preserve"> for personal notes</w:t>
      </w:r>
      <w:r w:rsidRPr="00686635">
        <w:rPr>
          <w:rFonts w:ascii="Times New Roman" w:hAnsi="Times New Roman" w:cs="Times New Roman"/>
          <w:sz w:val="24"/>
          <w:szCs w:val="24"/>
        </w:rPr>
        <w:t>:</w:t>
      </w:r>
      <w:r w:rsidR="00021665" w:rsidRPr="00686635">
        <w:rPr>
          <w:rFonts w:ascii="Times New Roman" w:hAnsi="Times New Roman" w:cs="Times New Roman"/>
          <w:sz w:val="24"/>
          <w:szCs w:val="24"/>
        </w:rPr>
        <w:t xml:space="preserve"> </w:t>
      </w:r>
      <w:r w:rsidR="00794C31" w:rsidRPr="00686635">
        <w:rPr>
          <w:rFonts w:ascii="Times New Roman" w:hAnsi="Times New Roman" w:cs="Times New Roman"/>
          <w:sz w:val="24"/>
          <w:szCs w:val="24"/>
        </w:rPr>
        <w:t xml:space="preserve">useful knowledge and </w:t>
      </w:r>
      <w:r w:rsidR="0098618F" w:rsidRPr="00686635">
        <w:rPr>
          <w:rFonts w:ascii="Times New Roman" w:hAnsi="Times New Roman" w:cs="Times New Roman"/>
          <w:sz w:val="24"/>
          <w:szCs w:val="24"/>
        </w:rPr>
        <w:t xml:space="preserve">routines of </w:t>
      </w:r>
      <w:r w:rsidR="00794C31" w:rsidRPr="00686635">
        <w:rPr>
          <w:rFonts w:ascii="Times New Roman" w:hAnsi="Times New Roman" w:cs="Times New Roman"/>
          <w:sz w:val="24"/>
          <w:szCs w:val="24"/>
        </w:rPr>
        <w:t xml:space="preserve">self-inscription </w:t>
      </w:r>
      <w:r w:rsidR="00326285" w:rsidRPr="00686635">
        <w:rPr>
          <w:rFonts w:ascii="Times New Roman" w:hAnsi="Times New Roman" w:cs="Times New Roman"/>
          <w:sz w:val="24"/>
          <w:szCs w:val="24"/>
        </w:rPr>
        <w:t xml:space="preserve">thus </w:t>
      </w:r>
      <w:r w:rsidR="00794C31" w:rsidRPr="00686635">
        <w:rPr>
          <w:rFonts w:ascii="Times New Roman" w:hAnsi="Times New Roman" w:cs="Times New Roman"/>
          <w:sz w:val="24"/>
          <w:szCs w:val="24"/>
        </w:rPr>
        <w:t>developed in tandem.</w:t>
      </w:r>
      <w:r w:rsidRPr="00686635">
        <w:rPr>
          <w:rStyle w:val="FootnoteReference"/>
          <w:rFonts w:ascii="Times New Roman" w:hAnsi="Times New Roman" w:cs="Times New Roman"/>
          <w:sz w:val="24"/>
          <w:szCs w:val="24"/>
        </w:rPr>
        <w:footnoteReference w:id="12"/>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By the nineteenth</w:t>
      </w:r>
      <w:r w:rsidR="00A11DE8"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century, </w:t>
      </w:r>
      <w:r w:rsidR="00794C31" w:rsidRPr="00686635">
        <w:rPr>
          <w:rFonts w:ascii="Times New Roman" w:hAnsi="Times New Roman" w:cs="Times New Roman"/>
          <w:sz w:val="24"/>
          <w:szCs w:val="24"/>
        </w:rPr>
        <w:t>printed diaries were themselves a staple of the book trade</w:t>
      </w:r>
      <w:r w:rsidR="00B6626C" w:rsidRPr="00686635">
        <w:rPr>
          <w:rFonts w:ascii="Times New Roman" w:hAnsi="Times New Roman" w:cs="Times New Roman"/>
          <w:sz w:val="24"/>
          <w:szCs w:val="24"/>
        </w:rPr>
        <w:t>,</w:t>
      </w:r>
      <w:r w:rsidR="00794C31" w:rsidRPr="00686635">
        <w:rPr>
          <w:rFonts w:ascii="Times New Roman" w:hAnsi="Times New Roman" w:cs="Times New Roman"/>
          <w:sz w:val="24"/>
          <w:szCs w:val="24"/>
        </w:rPr>
        <w:t xml:space="preserve"> and diary-keeping was commonplace wherever literacy and a modicum of leisure coincided</w:t>
      </w:r>
      <w:r w:rsidR="00F76097" w:rsidRPr="00686635">
        <w:rPr>
          <w:rFonts w:ascii="Times New Roman" w:hAnsi="Times New Roman" w:cs="Times New Roman"/>
          <w:sz w:val="24"/>
          <w:szCs w:val="24"/>
        </w:rPr>
        <w:t>.</w:t>
      </w:r>
      <w:r w:rsidR="00794C31" w:rsidRPr="00686635">
        <w:rPr>
          <w:rFonts w:ascii="Times New Roman" w:hAnsi="Times New Roman" w:cs="Times New Roman"/>
          <w:sz w:val="24"/>
          <w:szCs w:val="24"/>
        </w:rPr>
        <w:t xml:space="preserve"> </w:t>
      </w:r>
      <w:r w:rsidR="00F76097" w:rsidRPr="00686635">
        <w:rPr>
          <w:rFonts w:ascii="Times New Roman" w:hAnsi="Times New Roman" w:cs="Times New Roman"/>
          <w:sz w:val="24"/>
          <w:szCs w:val="24"/>
        </w:rPr>
        <w:t xml:space="preserve">The hybridization of general knowledge with personal accounting persisted, however, in such volumes as </w:t>
      </w:r>
      <w:r w:rsidR="00F76097" w:rsidRPr="00686635">
        <w:rPr>
          <w:rFonts w:ascii="Times New Roman" w:hAnsi="Times New Roman" w:cs="Times New Roman"/>
          <w:i/>
          <w:sz w:val="24"/>
          <w:szCs w:val="24"/>
        </w:rPr>
        <w:t xml:space="preserve">Letts’s Pocket Diary and Personal Almanac for 1862. </w:t>
      </w:r>
      <w:r w:rsidR="00F76097" w:rsidRPr="00686635">
        <w:rPr>
          <w:rFonts w:ascii="Times New Roman" w:hAnsi="Times New Roman" w:cs="Times New Roman"/>
          <w:sz w:val="24"/>
          <w:szCs w:val="24"/>
        </w:rPr>
        <w:t>As Rebecca Steinitz notes, the proliferation of such products saw the almanac transformed into a text ‘organized around the concept of organization</w:t>
      </w:r>
      <w:r w:rsidR="00107A89" w:rsidRPr="00686635">
        <w:rPr>
          <w:rFonts w:ascii="Times New Roman" w:hAnsi="Times New Roman" w:cs="Times New Roman"/>
          <w:sz w:val="24"/>
          <w:szCs w:val="24"/>
        </w:rPr>
        <w:t>’, and the diary itself emerging as a way of navigating, and harnessing</w:t>
      </w:r>
      <w:r w:rsidR="00330C92" w:rsidRPr="00686635">
        <w:rPr>
          <w:rFonts w:ascii="Times New Roman" w:hAnsi="Times New Roman" w:cs="Times New Roman"/>
          <w:sz w:val="24"/>
          <w:szCs w:val="24"/>
        </w:rPr>
        <w:t>, competing temporalities:</w:t>
      </w:r>
      <w:r w:rsidR="008B7840" w:rsidRPr="00686635">
        <w:rPr>
          <w:rFonts w:ascii="Times New Roman" w:hAnsi="Times New Roman" w:cs="Times New Roman"/>
          <w:sz w:val="24"/>
          <w:szCs w:val="24"/>
        </w:rPr>
        <w:t xml:space="preserve"> </w:t>
      </w:r>
      <w:proofErr w:type="spellStart"/>
      <w:r w:rsidR="00330C92" w:rsidRPr="00686635">
        <w:rPr>
          <w:rFonts w:ascii="Times New Roman" w:hAnsi="Times New Roman" w:cs="Times New Roman"/>
          <w:sz w:val="24"/>
          <w:szCs w:val="24"/>
        </w:rPr>
        <w:t>yearliness</w:t>
      </w:r>
      <w:proofErr w:type="spellEnd"/>
      <w:r w:rsidR="00330C92" w:rsidRPr="00686635">
        <w:rPr>
          <w:rFonts w:ascii="Times New Roman" w:hAnsi="Times New Roman" w:cs="Times New Roman"/>
          <w:sz w:val="24"/>
          <w:szCs w:val="24"/>
        </w:rPr>
        <w:t xml:space="preserve"> as well as dailiness</w:t>
      </w:r>
      <w:r w:rsidR="00107A89" w:rsidRPr="00686635">
        <w:rPr>
          <w:rFonts w:ascii="Times New Roman" w:hAnsi="Times New Roman" w:cs="Times New Roman"/>
          <w:sz w:val="24"/>
          <w:szCs w:val="24"/>
        </w:rPr>
        <w:t>.</w:t>
      </w:r>
      <w:r w:rsidR="00F76097" w:rsidRPr="00686635">
        <w:rPr>
          <w:rStyle w:val="FootnoteReference"/>
          <w:rFonts w:ascii="Times New Roman" w:hAnsi="Times New Roman" w:cs="Times New Roman"/>
          <w:sz w:val="24"/>
          <w:szCs w:val="24"/>
        </w:rPr>
        <w:footnoteReference w:id="13"/>
      </w:r>
      <w:r w:rsidR="009B2DB8" w:rsidRPr="00686635">
        <w:rPr>
          <w:rFonts w:ascii="Times New Roman" w:hAnsi="Times New Roman" w:cs="Times New Roman"/>
          <w:sz w:val="24"/>
          <w:szCs w:val="24"/>
        </w:rPr>
        <w:t xml:space="preserve"> </w:t>
      </w:r>
      <w:r w:rsidR="00AE2933" w:rsidRPr="00686635">
        <w:rPr>
          <w:rFonts w:ascii="Times New Roman" w:hAnsi="Times New Roman" w:cs="Times New Roman"/>
          <w:sz w:val="24"/>
          <w:szCs w:val="24"/>
        </w:rPr>
        <w:t>Victoria’s contemporaries and successors would make use of a wide range of self-accounting practices, interweaving private events and personal understandings of age identity,</w:t>
      </w:r>
      <w:r w:rsidR="009B2DB8" w:rsidRPr="00686635">
        <w:rPr>
          <w:rFonts w:ascii="Times New Roman" w:hAnsi="Times New Roman" w:cs="Times New Roman"/>
          <w:sz w:val="24"/>
          <w:szCs w:val="24"/>
        </w:rPr>
        <w:t xml:space="preserve"> </w:t>
      </w:r>
      <w:r w:rsidR="00AE2933" w:rsidRPr="00686635">
        <w:rPr>
          <w:rFonts w:ascii="Times New Roman" w:hAnsi="Times New Roman" w:cs="Times New Roman"/>
          <w:sz w:val="24"/>
          <w:szCs w:val="24"/>
        </w:rPr>
        <w:t xml:space="preserve">with the public festivities and civic commemorations </w:t>
      </w:r>
      <w:r w:rsidR="00124D8D" w:rsidRPr="00686635">
        <w:rPr>
          <w:rFonts w:ascii="Times New Roman" w:hAnsi="Times New Roman" w:cs="Times New Roman"/>
          <w:sz w:val="24"/>
          <w:szCs w:val="24"/>
        </w:rPr>
        <w:t>celebrated in print.</w:t>
      </w:r>
      <w:r w:rsidR="009B2DB8" w:rsidRPr="00686635">
        <w:rPr>
          <w:rFonts w:ascii="Times New Roman" w:hAnsi="Times New Roman" w:cs="Times New Roman"/>
          <w:sz w:val="24"/>
          <w:szCs w:val="24"/>
        </w:rPr>
        <w:t xml:space="preserve"> </w:t>
      </w:r>
    </w:p>
    <w:p w14:paraId="1108CA02" w14:textId="3B069FDB" w:rsidR="0059272E" w:rsidRPr="00686635" w:rsidRDefault="0059272E" w:rsidP="00021665">
      <w:pPr>
        <w:spacing w:line="336" w:lineRule="auto"/>
        <w:rPr>
          <w:rFonts w:ascii="Times New Roman" w:hAnsi="Times New Roman" w:cs="Times New Roman"/>
          <w:sz w:val="24"/>
          <w:szCs w:val="24"/>
        </w:rPr>
      </w:pPr>
      <w:bookmarkStart w:id="0" w:name="diary2"/>
      <w:proofErr w:type="gramStart"/>
      <w:r w:rsidRPr="00686635">
        <w:rPr>
          <w:rFonts w:ascii="Times New Roman" w:hAnsi="Times New Roman" w:cs="Times New Roman"/>
          <w:sz w:val="24"/>
          <w:szCs w:val="24"/>
        </w:rPr>
        <w:t>Of course</w:t>
      </w:r>
      <w:proofErr w:type="gramEnd"/>
      <w:r w:rsidRPr="00686635">
        <w:rPr>
          <w:rFonts w:ascii="Times New Roman" w:hAnsi="Times New Roman" w:cs="Times New Roman"/>
          <w:sz w:val="24"/>
          <w:szCs w:val="24"/>
        </w:rPr>
        <w:t xml:space="preserve"> diarists had been recording their own birthdays and those of their monarchs since at least Pepys.</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What becomes more commonplace, I would hazard, is the</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familiar integration of regnal events with</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personal self-narration, and the triangulation of age with historical moment via the apparently arbitrary juxtapositions of the diary </w:t>
      </w:r>
      <w:r w:rsidR="00B87B28" w:rsidRPr="00686635">
        <w:rPr>
          <w:rFonts w:ascii="Times New Roman" w:hAnsi="Times New Roman" w:cs="Times New Roman"/>
          <w:sz w:val="24"/>
          <w:szCs w:val="24"/>
        </w:rPr>
        <w:t xml:space="preserve">as a hybrid </w:t>
      </w:r>
      <w:r w:rsidRPr="00686635">
        <w:rPr>
          <w:rFonts w:ascii="Times New Roman" w:hAnsi="Times New Roman" w:cs="Times New Roman"/>
          <w:sz w:val="24"/>
          <w:szCs w:val="24"/>
        </w:rPr>
        <w:t>form.</w:t>
      </w:r>
      <w:r w:rsidR="00B87B28" w:rsidRPr="00686635">
        <w:rPr>
          <w:rFonts w:ascii="Times New Roman" w:hAnsi="Times New Roman" w:cs="Times New Roman"/>
          <w:sz w:val="24"/>
          <w:szCs w:val="24"/>
        </w:rPr>
        <w:t xml:space="preserve"> One of the most famous journal entries of the nineteenth century illustrates the point. Anne and Emily Brontë’s co-written ‘diary-paper’ of 1837 begins with an account of the whereabouts of all the household members, before slipping, mid-sentence into the sisters’ imaginary worlds of </w:t>
      </w:r>
      <w:proofErr w:type="spellStart"/>
      <w:r w:rsidR="00B87B28" w:rsidRPr="00686635">
        <w:rPr>
          <w:rFonts w:ascii="Times New Roman" w:hAnsi="Times New Roman" w:cs="Times New Roman"/>
          <w:sz w:val="24"/>
          <w:szCs w:val="24"/>
        </w:rPr>
        <w:t>Gondal</w:t>
      </w:r>
      <w:proofErr w:type="spellEnd"/>
      <w:r w:rsidR="00B87B28" w:rsidRPr="00686635">
        <w:rPr>
          <w:rFonts w:ascii="Times New Roman" w:hAnsi="Times New Roman" w:cs="Times New Roman"/>
          <w:sz w:val="24"/>
          <w:szCs w:val="24"/>
        </w:rPr>
        <w:t xml:space="preserve"> and </w:t>
      </w:r>
      <w:proofErr w:type="spellStart"/>
      <w:r w:rsidR="00B87B28" w:rsidRPr="00686635">
        <w:rPr>
          <w:rFonts w:ascii="Times New Roman" w:hAnsi="Times New Roman" w:cs="Times New Roman"/>
          <w:sz w:val="24"/>
          <w:szCs w:val="24"/>
        </w:rPr>
        <w:t>Gaaldine</w:t>
      </w:r>
      <w:proofErr w:type="spellEnd"/>
      <w:r w:rsidR="00B87B28" w:rsidRPr="00686635">
        <w:rPr>
          <w:rFonts w:ascii="Times New Roman" w:hAnsi="Times New Roman" w:cs="Times New Roman"/>
          <w:sz w:val="24"/>
          <w:szCs w:val="24"/>
        </w:rPr>
        <w:t>, and hence to Victoria’s succession:</w:t>
      </w:r>
    </w:p>
    <w:p w14:paraId="2BC72954" w14:textId="6B8BCB55" w:rsidR="00AA3F1C" w:rsidRPr="00686635" w:rsidRDefault="00AE2933" w:rsidP="00C868A6">
      <w:pPr>
        <w:spacing w:line="336" w:lineRule="auto"/>
        <w:ind w:left="851"/>
        <w:rPr>
          <w:rFonts w:ascii="Times New Roman" w:hAnsi="Times New Roman" w:cs="Times New Roman"/>
          <w:sz w:val="24"/>
          <w:szCs w:val="24"/>
        </w:rPr>
      </w:pPr>
      <w:r w:rsidRPr="00686635">
        <w:rPr>
          <w:rFonts w:ascii="Times New Roman" w:hAnsi="Times New Roman" w:cs="Times New Roman"/>
          <w:sz w:val="24"/>
          <w:szCs w:val="24"/>
        </w:rPr>
        <w:lastRenderedPageBreak/>
        <w:t xml:space="preserve">Tabby in the </w:t>
      </w:r>
      <w:proofErr w:type="spellStart"/>
      <w:r w:rsidRPr="00686635">
        <w:rPr>
          <w:rFonts w:ascii="Times New Roman" w:hAnsi="Times New Roman" w:cs="Times New Roman"/>
          <w:sz w:val="24"/>
          <w:szCs w:val="24"/>
        </w:rPr>
        <w:t>kitch</w:t>
      </w:r>
      <w:r w:rsidR="00821F7F" w:rsidRPr="00686635">
        <w:rPr>
          <w:rFonts w:ascii="Times New Roman" w:hAnsi="Times New Roman" w:cs="Times New Roman"/>
          <w:sz w:val="24"/>
          <w:szCs w:val="24"/>
        </w:rPr>
        <w:t>i</w:t>
      </w:r>
      <w:r w:rsidRPr="00686635">
        <w:rPr>
          <w:rFonts w:ascii="Times New Roman" w:hAnsi="Times New Roman" w:cs="Times New Roman"/>
          <w:sz w:val="24"/>
          <w:szCs w:val="24"/>
        </w:rPr>
        <w:t>n</w:t>
      </w:r>
      <w:proofErr w:type="spellEnd"/>
      <w:r w:rsidRPr="00686635">
        <w:rPr>
          <w:rFonts w:ascii="Times New Roman" w:hAnsi="Times New Roman" w:cs="Times New Roman"/>
          <w:sz w:val="24"/>
          <w:szCs w:val="24"/>
        </w:rPr>
        <w:t xml:space="preserve">–the </w:t>
      </w:r>
      <w:proofErr w:type="spellStart"/>
      <w:r w:rsidRPr="00686635">
        <w:rPr>
          <w:rFonts w:ascii="Times New Roman" w:hAnsi="Times New Roman" w:cs="Times New Roman"/>
          <w:sz w:val="24"/>
          <w:szCs w:val="24"/>
        </w:rPr>
        <w:t>Emp</w:t>
      </w:r>
      <w:r w:rsidR="00B87B28" w:rsidRPr="00686635">
        <w:rPr>
          <w:rFonts w:ascii="Times New Roman" w:hAnsi="Times New Roman" w:cs="Times New Roman"/>
          <w:sz w:val="24"/>
          <w:szCs w:val="24"/>
        </w:rPr>
        <w:t>r</w:t>
      </w:r>
      <w:r w:rsidRPr="00686635">
        <w:rPr>
          <w:rFonts w:ascii="Times New Roman" w:hAnsi="Times New Roman" w:cs="Times New Roman"/>
          <w:sz w:val="24"/>
          <w:szCs w:val="24"/>
        </w:rPr>
        <w:t>erors</w:t>
      </w:r>
      <w:proofErr w:type="spellEnd"/>
      <w:r w:rsidRPr="00686635">
        <w:rPr>
          <w:rFonts w:ascii="Times New Roman" w:hAnsi="Times New Roman" w:cs="Times New Roman"/>
          <w:sz w:val="24"/>
          <w:szCs w:val="24"/>
        </w:rPr>
        <w:t xml:space="preserve"> and Empresses of </w:t>
      </w:r>
      <w:proofErr w:type="spellStart"/>
      <w:r w:rsidRPr="00686635">
        <w:rPr>
          <w:rFonts w:ascii="Times New Roman" w:hAnsi="Times New Roman" w:cs="Times New Roman"/>
          <w:sz w:val="24"/>
          <w:szCs w:val="24"/>
        </w:rPr>
        <w:t>Gondal</w:t>
      </w:r>
      <w:proofErr w:type="spellEnd"/>
      <w:r w:rsidRPr="00686635">
        <w:rPr>
          <w:rFonts w:ascii="Times New Roman" w:hAnsi="Times New Roman" w:cs="Times New Roman"/>
          <w:sz w:val="24"/>
          <w:szCs w:val="24"/>
        </w:rPr>
        <w:t xml:space="preserve"> and </w:t>
      </w:r>
      <w:proofErr w:type="spellStart"/>
      <w:r w:rsidRPr="00686635">
        <w:rPr>
          <w:rFonts w:ascii="Times New Roman" w:hAnsi="Times New Roman" w:cs="Times New Roman"/>
          <w:sz w:val="24"/>
          <w:szCs w:val="24"/>
        </w:rPr>
        <w:t>Gaaldine</w:t>
      </w:r>
      <w:proofErr w:type="spellEnd"/>
      <w:r w:rsidRPr="00686635">
        <w:rPr>
          <w:rFonts w:ascii="Times New Roman" w:hAnsi="Times New Roman" w:cs="Times New Roman"/>
          <w:sz w:val="24"/>
          <w:szCs w:val="24"/>
        </w:rPr>
        <w:t xml:space="preserve"> preparing to depart from </w:t>
      </w:r>
      <w:proofErr w:type="spellStart"/>
      <w:r w:rsidRPr="00686635">
        <w:rPr>
          <w:rFonts w:ascii="Times New Roman" w:hAnsi="Times New Roman" w:cs="Times New Roman"/>
          <w:sz w:val="24"/>
          <w:szCs w:val="24"/>
        </w:rPr>
        <w:t>Gaaldine</w:t>
      </w:r>
      <w:proofErr w:type="spellEnd"/>
      <w:r w:rsidRPr="00686635">
        <w:rPr>
          <w:rFonts w:ascii="Times New Roman" w:hAnsi="Times New Roman" w:cs="Times New Roman"/>
          <w:sz w:val="24"/>
          <w:szCs w:val="24"/>
        </w:rPr>
        <w:t xml:space="preserve"> to </w:t>
      </w:r>
      <w:proofErr w:type="spellStart"/>
      <w:r w:rsidRPr="00686635">
        <w:rPr>
          <w:rFonts w:ascii="Times New Roman" w:hAnsi="Times New Roman" w:cs="Times New Roman"/>
          <w:sz w:val="24"/>
          <w:szCs w:val="24"/>
        </w:rPr>
        <w:t>Gondal</w:t>
      </w:r>
      <w:proofErr w:type="spellEnd"/>
      <w:r w:rsidRPr="00686635">
        <w:rPr>
          <w:rFonts w:ascii="Times New Roman" w:hAnsi="Times New Roman" w:cs="Times New Roman"/>
          <w:sz w:val="24"/>
          <w:szCs w:val="24"/>
        </w:rPr>
        <w:t xml:space="preserve"> to prepare for the coronation which will be on the 12th </w:t>
      </w:r>
      <w:r w:rsidR="00AA3F1C" w:rsidRPr="00686635">
        <w:rPr>
          <w:rFonts w:ascii="Times New Roman" w:hAnsi="Times New Roman" w:cs="Times New Roman"/>
          <w:sz w:val="24"/>
          <w:szCs w:val="24"/>
        </w:rPr>
        <w:t xml:space="preserve">of </w:t>
      </w:r>
      <w:r w:rsidRPr="00686635">
        <w:rPr>
          <w:rFonts w:ascii="Times New Roman" w:hAnsi="Times New Roman" w:cs="Times New Roman"/>
          <w:sz w:val="24"/>
          <w:szCs w:val="24"/>
        </w:rPr>
        <w:t xml:space="preserve">July Queen </w:t>
      </w:r>
      <w:proofErr w:type="spellStart"/>
      <w:r w:rsidRPr="00686635">
        <w:rPr>
          <w:rFonts w:ascii="Times New Roman" w:hAnsi="Times New Roman" w:cs="Times New Roman"/>
          <w:sz w:val="24"/>
          <w:szCs w:val="24"/>
        </w:rPr>
        <w:t>Vi</w:t>
      </w:r>
      <w:r w:rsidR="00AA3F1C" w:rsidRPr="00686635">
        <w:rPr>
          <w:rFonts w:ascii="Times New Roman" w:hAnsi="Times New Roman" w:cs="Times New Roman"/>
          <w:sz w:val="24"/>
          <w:szCs w:val="24"/>
        </w:rPr>
        <w:t>ctiora</w:t>
      </w:r>
      <w:proofErr w:type="spellEnd"/>
      <w:r w:rsidRPr="00686635">
        <w:rPr>
          <w:rFonts w:ascii="Times New Roman" w:hAnsi="Times New Roman" w:cs="Times New Roman"/>
          <w:sz w:val="24"/>
          <w:szCs w:val="24"/>
        </w:rPr>
        <w:t xml:space="preserve"> </w:t>
      </w:r>
      <w:r w:rsidR="00C868A6">
        <w:rPr>
          <w:rFonts w:ascii="Times New Roman" w:hAnsi="Times New Roman" w:cs="Times New Roman"/>
          <w:sz w:val="24"/>
          <w:szCs w:val="24"/>
        </w:rPr>
        <w:t>[sic]</w:t>
      </w:r>
      <w:r w:rsidRPr="00686635">
        <w:rPr>
          <w:rFonts w:ascii="Times New Roman" w:hAnsi="Times New Roman" w:cs="Times New Roman"/>
          <w:sz w:val="24"/>
          <w:szCs w:val="24"/>
        </w:rPr>
        <w:t>ascended the throne this month.</w:t>
      </w:r>
      <w:r w:rsidR="00AA3F1C" w:rsidRPr="00686635">
        <w:rPr>
          <w:rFonts w:ascii="Times New Roman" w:hAnsi="Times New Roman" w:cs="Times New Roman"/>
          <w:sz w:val="24"/>
          <w:szCs w:val="24"/>
        </w:rPr>
        <w:t xml:space="preserve"> […A]</w:t>
      </w:r>
      <w:proofErr w:type="spellStart"/>
      <w:r w:rsidRPr="00686635">
        <w:rPr>
          <w:rFonts w:ascii="Times New Roman" w:hAnsi="Times New Roman" w:cs="Times New Roman"/>
          <w:sz w:val="24"/>
          <w:szCs w:val="24"/>
        </w:rPr>
        <w:t>ll</w:t>
      </w:r>
      <w:proofErr w:type="spellEnd"/>
      <w:r w:rsidRPr="00686635">
        <w:rPr>
          <w:rFonts w:ascii="Times New Roman" w:hAnsi="Times New Roman" w:cs="Times New Roman"/>
          <w:sz w:val="24"/>
          <w:szCs w:val="24"/>
        </w:rPr>
        <w:t xml:space="preserve"> tight and right in which condition it is hoped we shall all be </w:t>
      </w:r>
      <w:r w:rsidR="00AA3F1C" w:rsidRPr="00686635">
        <w:rPr>
          <w:rFonts w:ascii="Times New Roman" w:hAnsi="Times New Roman" w:cs="Times New Roman"/>
          <w:sz w:val="24"/>
          <w:szCs w:val="24"/>
        </w:rPr>
        <w:t xml:space="preserve">on </w:t>
      </w:r>
      <w:r w:rsidRPr="00686635">
        <w:rPr>
          <w:rFonts w:ascii="Times New Roman" w:hAnsi="Times New Roman" w:cs="Times New Roman"/>
          <w:sz w:val="24"/>
          <w:szCs w:val="24"/>
        </w:rPr>
        <w:t xml:space="preserve">this day 4 years at which time Charlotte will be 25 and 2 months </w:t>
      </w:r>
      <w:r w:rsidR="00AA3F1C" w:rsidRPr="00686635">
        <w:rPr>
          <w:rFonts w:ascii="Times New Roman" w:hAnsi="Times New Roman" w:cs="Times New Roman"/>
          <w:sz w:val="24"/>
          <w:szCs w:val="24"/>
        </w:rPr>
        <w:t xml:space="preserve">-- </w:t>
      </w:r>
      <w:proofErr w:type="spellStart"/>
      <w:r w:rsidRPr="00686635">
        <w:rPr>
          <w:rFonts w:ascii="Times New Roman" w:hAnsi="Times New Roman" w:cs="Times New Roman"/>
          <w:sz w:val="24"/>
          <w:szCs w:val="24"/>
        </w:rPr>
        <w:t>Branwell</w:t>
      </w:r>
      <w:proofErr w:type="spellEnd"/>
      <w:r w:rsidRPr="00686635">
        <w:rPr>
          <w:rFonts w:ascii="Times New Roman" w:hAnsi="Times New Roman" w:cs="Times New Roman"/>
          <w:sz w:val="24"/>
          <w:szCs w:val="24"/>
        </w:rPr>
        <w:t xml:space="preserve"> just 24 it being his birthday–myself 22 and 10 months and a </w:t>
      </w:r>
      <w:proofErr w:type="spellStart"/>
      <w:r w:rsidRPr="00686635">
        <w:rPr>
          <w:rFonts w:ascii="Times New Roman" w:hAnsi="Times New Roman" w:cs="Times New Roman"/>
          <w:sz w:val="24"/>
          <w:szCs w:val="24"/>
        </w:rPr>
        <w:t>p</w:t>
      </w:r>
      <w:r w:rsidR="00AA3F1C" w:rsidRPr="00686635">
        <w:rPr>
          <w:rFonts w:ascii="Times New Roman" w:hAnsi="Times New Roman" w:cs="Times New Roman"/>
          <w:sz w:val="24"/>
          <w:szCs w:val="24"/>
        </w:rPr>
        <w:t>ei</w:t>
      </w:r>
      <w:r w:rsidRPr="00686635">
        <w:rPr>
          <w:rFonts w:ascii="Times New Roman" w:hAnsi="Times New Roman" w:cs="Times New Roman"/>
          <w:sz w:val="24"/>
          <w:szCs w:val="24"/>
        </w:rPr>
        <w:t>ce</w:t>
      </w:r>
      <w:proofErr w:type="spellEnd"/>
      <w:r w:rsidRPr="00686635">
        <w:rPr>
          <w:rFonts w:ascii="Times New Roman" w:hAnsi="Times New Roman" w:cs="Times New Roman"/>
          <w:sz w:val="24"/>
          <w:szCs w:val="24"/>
        </w:rPr>
        <w:t xml:space="preserve"> Anne 21 and nearly a half I wonder where we shall be and how we shall be and what kind of a day it will be the</w:t>
      </w:r>
      <w:r w:rsidR="00AA3F1C" w:rsidRPr="00686635">
        <w:rPr>
          <w:rFonts w:ascii="Times New Roman" w:hAnsi="Times New Roman" w:cs="Times New Roman"/>
          <w:sz w:val="24"/>
          <w:szCs w:val="24"/>
        </w:rPr>
        <w:t xml:space="preserve"> </w:t>
      </w:r>
      <w:r w:rsidRPr="00686635">
        <w:rPr>
          <w:rFonts w:ascii="Times New Roman" w:hAnsi="Times New Roman" w:cs="Times New Roman"/>
          <w:sz w:val="24"/>
          <w:szCs w:val="24"/>
        </w:rPr>
        <w:t>let us hope for the best</w:t>
      </w:r>
      <w:bookmarkEnd w:id="0"/>
      <w:r w:rsidR="00C04A89" w:rsidRPr="00686635">
        <w:rPr>
          <w:rFonts w:ascii="Times New Roman" w:hAnsi="Times New Roman" w:cs="Times New Roman"/>
          <w:sz w:val="24"/>
          <w:szCs w:val="24"/>
        </w:rPr>
        <w:t>[.]</w:t>
      </w:r>
      <w:r w:rsidR="00AA3F1C" w:rsidRPr="00686635">
        <w:rPr>
          <w:rStyle w:val="FootnoteReference"/>
          <w:rFonts w:ascii="Times New Roman" w:hAnsi="Times New Roman" w:cs="Times New Roman"/>
          <w:sz w:val="24"/>
          <w:szCs w:val="24"/>
        </w:rPr>
        <w:footnoteReference w:id="14"/>
      </w:r>
    </w:p>
    <w:p w14:paraId="377D0E2D" w14:textId="124F30EC" w:rsidR="00AA3F1C" w:rsidRPr="00686635" w:rsidRDefault="00C04A89" w:rsidP="00021665">
      <w:pPr>
        <w:spacing w:line="336" w:lineRule="auto"/>
        <w:rPr>
          <w:rFonts w:ascii="Times New Roman" w:hAnsi="Times New Roman" w:cs="Times New Roman"/>
          <w:sz w:val="24"/>
          <w:szCs w:val="24"/>
        </w:rPr>
      </w:pPr>
      <w:r w:rsidRPr="00686635">
        <w:rPr>
          <w:rFonts w:ascii="Times New Roman" w:hAnsi="Times New Roman" w:cs="Times New Roman"/>
          <w:sz w:val="24"/>
          <w:szCs w:val="24"/>
        </w:rPr>
        <w:t xml:space="preserve">The text’s firm anchor in the here and now (‘all tight and right’) enables it to function as a repository for hopes and fantasies for the future: a future </w:t>
      </w:r>
      <w:r w:rsidR="00B043BF" w:rsidRPr="00686635">
        <w:rPr>
          <w:rFonts w:ascii="Times New Roman" w:hAnsi="Times New Roman" w:cs="Times New Roman"/>
          <w:sz w:val="24"/>
          <w:szCs w:val="24"/>
        </w:rPr>
        <w:t xml:space="preserve">parsed mainly </w:t>
      </w:r>
      <w:r w:rsidRPr="00686635">
        <w:rPr>
          <w:rFonts w:ascii="Times New Roman" w:hAnsi="Times New Roman" w:cs="Times New Roman"/>
          <w:sz w:val="24"/>
          <w:szCs w:val="24"/>
        </w:rPr>
        <w:t xml:space="preserve">in </w:t>
      </w:r>
      <w:r w:rsidR="00B043BF" w:rsidRPr="00686635">
        <w:rPr>
          <w:rFonts w:ascii="Times New Roman" w:hAnsi="Times New Roman" w:cs="Times New Roman"/>
          <w:sz w:val="24"/>
          <w:szCs w:val="24"/>
        </w:rPr>
        <w:t xml:space="preserve">unknowns (‘where we shall be and how…’) but also in the reassuring precision of </w:t>
      </w:r>
      <w:r w:rsidRPr="00686635">
        <w:rPr>
          <w:rFonts w:ascii="Times New Roman" w:hAnsi="Times New Roman" w:cs="Times New Roman"/>
          <w:sz w:val="24"/>
          <w:szCs w:val="24"/>
        </w:rPr>
        <w:t>exact ages.</w:t>
      </w:r>
      <w:r w:rsidR="009B2DB8" w:rsidRPr="00686635">
        <w:rPr>
          <w:rFonts w:ascii="Times New Roman" w:hAnsi="Times New Roman" w:cs="Times New Roman"/>
          <w:sz w:val="24"/>
          <w:szCs w:val="24"/>
        </w:rPr>
        <w:t xml:space="preserve"> </w:t>
      </w:r>
      <w:proofErr w:type="gramStart"/>
      <w:r w:rsidRPr="00686635">
        <w:rPr>
          <w:rFonts w:ascii="Times New Roman" w:hAnsi="Times New Roman" w:cs="Times New Roman"/>
          <w:sz w:val="24"/>
          <w:szCs w:val="24"/>
        </w:rPr>
        <w:t>The royal succession</w:t>
      </w:r>
      <w:r w:rsidR="00B043BF" w:rsidRPr="00686635">
        <w:rPr>
          <w:rFonts w:ascii="Times New Roman" w:hAnsi="Times New Roman" w:cs="Times New Roman"/>
          <w:sz w:val="24"/>
          <w:szCs w:val="24"/>
        </w:rPr>
        <w:t>,</w:t>
      </w:r>
      <w:proofErr w:type="gramEnd"/>
      <w:r w:rsidR="00B043BF" w:rsidRPr="00686635">
        <w:rPr>
          <w:rFonts w:ascii="Times New Roman" w:hAnsi="Times New Roman" w:cs="Times New Roman"/>
          <w:sz w:val="24"/>
          <w:szCs w:val="24"/>
        </w:rPr>
        <w:t xml:space="preserve"> situated grammatically </w:t>
      </w:r>
      <w:r w:rsidRPr="00686635">
        <w:rPr>
          <w:rFonts w:ascii="Times New Roman" w:hAnsi="Times New Roman" w:cs="Times New Roman"/>
          <w:sz w:val="24"/>
          <w:szCs w:val="24"/>
        </w:rPr>
        <w:t xml:space="preserve">between the </w:t>
      </w:r>
      <w:r w:rsidR="00B043BF" w:rsidRPr="00686635">
        <w:rPr>
          <w:rFonts w:ascii="Times New Roman" w:hAnsi="Times New Roman" w:cs="Times New Roman"/>
          <w:sz w:val="24"/>
          <w:szCs w:val="24"/>
        </w:rPr>
        <w:t xml:space="preserve">fictional world of </w:t>
      </w:r>
      <w:proofErr w:type="spellStart"/>
      <w:r w:rsidR="00B043BF" w:rsidRPr="00686635">
        <w:rPr>
          <w:rFonts w:ascii="Times New Roman" w:hAnsi="Times New Roman" w:cs="Times New Roman"/>
          <w:sz w:val="24"/>
          <w:szCs w:val="24"/>
        </w:rPr>
        <w:t>Gondal</w:t>
      </w:r>
      <w:proofErr w:type="spellEnd"/>
      <w:r w:rsidR="009B2DB8" w:rsidRPr="00686635">
        <w:rPr>
          <w:rFonts w:ascii="Times New Roman" w:hAnsi="Times New Roman" w:cs="Times New Roman"/>
          <w:sz w:val="24"/>
          <w:szCs w:val="24"/>
        </w:rPr>
        <w:t xml:space="preserve"> </w:t>
      </w:r>
      <w:r w:rsidR="00B043BF" w:rsidRPr="00686635">
        <w:rPr>
          <w:rFonts w:ascii="Times New Roman" w:hAnsi="Times New Roman" w:cs="Times New Roman"/>
          <w:sz w:val="24"/>
          <w:szCs w:val="24"/>
        </w:rPr>
        <w:t xml:space="preserve">and the </w:t>
      </w:r>
      <w:r w:rsidRPr="00686635">
        <w:rPr>
          <w:rFonts w:ascii="Times New Roman" w:hAnsi="Times New Roman" w:cs="Times New Roman"/>
          <w:sz w:val="24"/>
          <w:szCs w:val="24"/>
        </w:rPr>
        <w:t>mundane</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world of the parsonage </w:t>
      </w:r>
      <w:r w:rsidR="00B043BF" w:rsidRPr="00686635">
        <w:rPr>
          <w:rFonts w:ascii="Times New Roman" w:hAnsi="Times New Roman" w:cs="Times New Roman"/>
          <w:sz w:val="24"/>
          <w:szCs w:val="24"/>
        </w:rPr>
        <w:t xml:space="preserve">offers a glimpse of an intermediate space – a kind of imagined community – and an intermediate temporality linking the </w:t>
      </w:r>
      <w:r w:rsidR="00CC0175" w:rsidRPr="00686635">
        <w:rPr>
          <w:rFonts w:ascii="Times New Roman" w:hAnsi="Times New Roman" w:cs="Times New Roman"/>
          <w:sz w:val="24"/>
          <w:szCs w:val="24"/>
        </w:rPr>
        <w:t>‘now’ of</w:t>
      </w:r>
      <w:r w:rsidR="00B043BF" w:rsidRPr="00686635">
        <w:rPr>
          <w:rFonts w:ascii="Times New Roman" w:hAnsi="Times New Roman" w:cs="Times New Roman"/>
          <w:sz w:val="24"/>
          <w:szCs w:val="24"/>
        </w:rPr>
        <w:t xml:space="preserve"> personal time and actuality of historical time.</w:t>
      </w:r>
      <w:r w:rsidR="009B2DB8" w:rsidRPr="00686635">
        <w:rPr>
          <w:rFonts w:ascii="Times New Roman" w:hAnsi="Times New Roman" w:cs="Times New Roman"/>
          <w:sz w:val="24"/>
          <w:szCs w:val="24"/>
        </w:rPr>
        <w:t xml:space="preserve"> </w:t>
      </w:r>
      <w:r w:rsidR="00CC0175" w:rsidRPr="00686635">
        <w:rPr>
          <w:rFonts w:ascii="Times New Roman" w:hAnsi="Times New Roman" w:cs="Times New Roman"/>
          <w:sz w:val="24"/>
          <w:szCs w:val="24"/>
        </w:rPr>
        <w:t xml:space="preserve"> </w:t>
      </w:r>
    </w:p>
    <w:p w14:paraId="74023669" w14:textId="480EFF5D" w:rsidR="003F286A" w:rsidRPr="00686635" w:rsidRDefault="00B043BF" w:rsidP="00021665">
      <w:pPr>
        <w:spacing w:line="336" w:lineRule="auto"/>
        <w:rPr>
          <w:rFonts w:ascii="Times New Roman" w:hAnsi="Times New Roman" w:cs="Times New Roman"/>
          <w:sz w:val="24"/>
          <w:szCs w:val="24"/>
        </w:rPr>
      </w:pPr>
      <w:r w:rsidRPr="00686635">
        <w:rPr>
          <w:rFonts w:ascii="Times New Roman" w:hAnsi="Times New Roman" w:cs="Times New Roman"/>
          <w:sz w:val="24"/>
          <w:szCs w:val="24"/>
        </w:rPr>
        <w:t>Though neither were born in 1819, both</w:t>
      </w:r>
      <w:r w:rsidR="009B2DB8" w:rsidRPr="00686635">
        <w:rPr>
          <w:rFonts w:ascii="Times New Roman" w:hAnsi="Times New Roman" w:cs="Times New Roman"/>
          <w:sz w:val="24"/>
          <w:szCs w:val="24"/>
        </w:rPr>
        <w:t xml:space="preserve"> </w:t>
      </w:r>
      <w:r w:rsidRPr="00686635">
        <w:rPr>
          <w:rFonts w:ascii="Times New Roman" w:hAnsi="Times New Roman" w:cs="Times New Roman"/>
          <w:sz w:val="24"/>
          <w:szCs w:val="24"/>
        </w:rPr>
        <w:t xml:space="preserve">Anne and Emily were born within a year of Victoria: a coincidence which surely helps to account for their sharpened sense of equivalence here. </w:t>
      </w:r>
      <w:r w:rsidR="00794C31" w:rsidRPr="00686635">
        <w:rPr>
          <w:rFonts w:ascii="Times New Roman" w:hAnsi="Times New Roman" w:cs="Times New Roman"/>
          <w:sz w:val="24"/>
          <w:szCs w:val="24"/>
        </w:rPr>
        <w:t>A</w:t>
      </w:r>
      <w:r w:rsidR="00B176F4" w:rsidRPr="00686635">
        <w:rPr>
          <w:rFonts w:ascii="Times New Roman" w:hAnsi="Times New Roman" w:cs="Times New Roman"/>
          <w:sz w:val="24"/>
          <w:szCs w:val="24"/>
        </w:rPr>
        <w:t>nother</w:t>
      </w:r>
      <w:r w:rsidR="00794C31" w:rsidRPr="00686635">
        <w:rPr>
          <w:rFonts w:ascii="Times New Roman" w:hAnsi="Times New Roman" w:cs="Times New Roman"/>
          <w:sz w:val="24"/>
          <w:szCs w:val="24"/>
        </w:rPr>
        <w:t xml:space="preserve"> choice instance of the convergence of my themes – age-identity, contemporaneity, useful knowledge and self-accounting</w:t>
      </w:r>
      <w:r w:rsidR="003B7C08" w:rsidRPr="00686635">
        <w:rPr>
          <w:rFonts w:ascii="Times New Roman" w:hAnsi="Times New Roman" w:cs="Times New Roman"/>
          <w:sz w:val="24"/>
          <w:szCs w:val="24"/>
        </w:rPr>
        <w:t xml:space="preserve"> – </w:t>
      </w:r>
      <w:r w:rsidR="00794C31" w:rsidRPr="00686635">
        <w:rPr>
          <w:rFonts w:ascii="Times New Roman" w:hAnsi="Times New Roman" w:cs="Times New Roman"/>
          <w:sz w:val="24"/>
          <w:szCs w:val="24"/>
        </w:rPr>
        <w:t>is afforded by Quaker diarist Caroline Fox.</w:t>
      </w:r>
      <w:r w:rsidR="00021665" w:rsidRPr="00686635">
        <w:rPr>
          <w:rFonts w:ascii="Times New Roman" w:hAnsi="Times New Roman" w:cs="Times New Roman"/>
          <w:sz w:val="24"/>
          <w:szCs w:val="24"/>
        </w:rPr>
        <w:t xml:space="preserve"> </w:t>
      </w:r>
      <w:r w:rsidR="00794C31" w:rsidRPr="00686635">
        <w:rPr>
          <w:rFonts w:ascii="Times New Roman" w:hAnsi="Times New Roman" w:cs="Times New Roman"/>
          <w:sz w:val="24"/>
          <w:szCs w:val="24"/>
        </w:rPr>
        <w:t>Born on May 24 1819, Fox was an exact contemporary of the Queen, and due to</w:t>
      </w:r>
      <w:r w:rsidR="00021665" w:rsidRPr="00686635">
        <w:rPr>
          <w:rFonts w:ascii="Times New Roman" w:hAnsi="Times New Roman" w:cs="Times New Roman"/>
          <w:sz w:val="24"/>
          <w:szCs w:val="24"/>
        </w:rPr>
        <w:t xml:space="preserve"> </w:t>
      </w:r>
      <w:r w:rsidR="003F286A" w:rsidRPr="00686635">
        <w:rPr>
          <w:rFonts w:ascii="Times New Roman" w:hAnsi="Times New Roman" w:cs="Times New Roman"/>
          <w:sz w:val="24"/>
          <w:szCs w:val="24"/>
        </w:rPr>
        <w:t>her influential family’s prominence in scie</w:t>
      </w:r>
      <w:r w:rsidR="00794C31" w:rsidRPr="00686635">
        <w:rPr>
          <w:rFonts w:ascii="Times New Roman" w:hAnsi="Times New Roman" w:cs="Times New Roman"/>
          <w:sz w:val="24"/>
          <w:szCs w:val="24"/>
        </w:rPr>
        <w:t xml:space="preserve">ntific and philanthropic networks, </w:t>
      </w:r>
      <w:r w:rsidR="003F286A" w:rsidRPr="00686635">
        <w:rPr>
          <w:rFonts w:ascii="Times New Roman" w:hAnsi="Times New Roman" w:cs="Times New Roman"/>
          <w:sz w:val="24"/>
          <w:szCs w:val="24"/>
        </w:rPr>
        <w:t xml:space="preserve">was close enough to court circles to record personal impressions of both Victoria and Albert and to punctuate her diaries with (second-hand) royal sayings and doings. </w:t>
      </w:r>
      <w:r w:rsidR="00B176F4" w:rsidRPr="00686635">
        <w:rPr>
          <w:rFonts w:ascii="Times New Roman" w:hAnsi="Times New Roman" w:cs="Times New Roman"/>
          <w:sz w:val="24"/>
          <w:szCs w:val="24"/>
        </w:rPr>
        <w:t xml:space="preserve">The accounts she receives through hearsay of Victoria’s education, her virtues and her sense of duty offer Fox an implicit gauge against which to calibrate her own maturation, qualities and achievements. </w:t>
      </w:r>
      <w:r w:rsidR="003F286A" w:rsidRPr="00686635">
        <w:rPr>
          <w:rFonts w:ascii="Times New Roman" w:hAnsi="Times New Roman" w:cs="Times New Roman"/>
          <w:sz w:val="24"/>
          <w:szCs w:val="24"/>
        </w:rPr>
        <w:t xml:space="preserve">Key red-letter </w:t>
      </w:r>
      <w:r w:rsidR="00ED52CB" w:rsidRPr="00686635">
        <w:rPr>
          <w:rFonts w:ascii="Times New Roman" w:hAnsi="Times New Roman" w:cs="Times New Roman"/>
          <w:sz w:val="24"/>
          <w:szCs w:val="24"/>
        </w:rPr>
        <w:t>episodes</w:t>
      </w:r>
      <w:r w:rsidR="003F286A" w:rsidRPr="00686635">
        <w:rPr>
          <w:rFonts w:ascii="Times New Roman" w:hAnsi="Times New Roman" w:cs="Times New Roman"/>
          <w:sz w:val="24"/>
          <w:szCs w:val="24"/>
        </w:rPr>
        <w:t xml:space="preserve"> </w:t>
      </w:r>
      <w:r w:rsidR="003B7C08" w:rsidRPr="00686635">
        <w:rPr>
          <w:rFonts w:ascii="Times New Roman" w:hAnsi="Times New Roman" w:cs="Times New Roman"/>
          <w:sz w:val="24"/>
          <w:szCs w:val="24"/>
        </w:rPr>
        <w:t>(</w:t>
      </w:r>
      <w:r w:rsidR="003F286A" w:rsidRPr="00686635">
        <w:rPr>
          <w:rFonts w:ascii="Times New Roman" w:hAnsi="Times New Roman" w:cs="Times New Roman"/>
          <w:sz w:val="24"/>
          <w:szCs w:val="24"/>
        </w:rPr>
        <w:t xml:space="preserve">such the young Princess’s </w:t>
      </w:r>
      <w:r w:rsidR="003B7C08" w:rsidRPr="00686635">
        <w:rPr>
          <w:rFonts w:ascii="Times New Roman" w:hAnsi="Times New Roman" w:cs="Times New Roman"/>
          <w:sz w:val="24"/>
          <w:szCs w:val="24"/>
        </w:rPr>
        <w:t>18</w:t>
      </w:r>
      <w:r w:rsidR="00ED52CB" w:rsidRPr="00686635">
        <w:rPr>
          <w:rFonts w:ascii="Times New Roman" w:hAnsi="Times New Roman" w:cs="Times New Roman"/>
          <w:sz w:val="24"/>
          <w:szCs w:val="24"/>
        </w:rPr>
        <w:t>29</w:t>
      </w:r>
      <w:r w:rsidR="003B7C08" w:rsidRPr="00686635">
        <w:rPr>
          <w:rFonts w:ascii="Times New Roman" w:hAnsi="Times New Roman" w:cs="Times New Roman"/>
          <w:sz w:val="24"/>
          <w:szCs w:val="24"/>
        </w:rPr>
        <w:t xml:space="preserve"> </w:t>
      </w:r>
      <w:r w:rsidR="003F286A" w:rsidRPr="00686635">
        <w:rPr>
          <w:rFonts w:ascii="Times New Roman" w:hAnsi="Times New Roman" w:cs="Times New Roman"/>
          <w:sz w:val="24"/>
          <w:szCs w:val="24"/>
        </w:rPr>
        <w:t>realization of her proximity to the throne, the coronation festivities of 1838, the assassination attempt of 1842</w:t>
      </w:r>
      <w:r w:rsidR="003B7C08" w:rsidRPr="00686635">
        <w:rPr>
          <w:rFonts w:ascii="Times New Roman" w:hAnsi="Times New Roman" w:cs="Times New Roman"/>
          <w:sz w:val="24"/>
          <w:szCs w:val="24"/>
        </w:rPr>
        <w:t>)</w:t>
      </w:r>
      <w:r w:rsidR="008B7840" w:rsidRPr="00686635">
        <w:rPr>
          <w:rFonts w:ascii="Times New Roman" w:hAnsi="Times New Roman" w:cs="Times New Roman"/>
          <w:sz w:val="24"/>
          <w:szCs w:val="24"/>
        </w:rPr>
        <w:t xml:space="preserve"> </w:t>
      </w:r>
      <w:r w:rsidR="003F286A" w:rsidRPr="00686635">
        <w:rPr>
          <w:rFonts w:ascii="Times New Roman" w:hAnsi="Times New Roman" w:cs="Times New Roman"/>
          <w:sz w:val="24"/>
          <w:szCs w:val="24"/>
        </w:rPr>
        <w:t>that would soon congeal into the familiar narrative of Victoria’s destiny</w:t>
      </w:r>
      <w:r w:rsidR="00ED52CB" w:rsidRPr="00686635">
        <w:rPr>
          <w:rFonts w:ascii="Times New Roman" w:hAnsi="Times New Roman" w:cs="Times New Roman"/>
          <w:sz w:val="24"/>
          <w:szCs w:val="24"/>
        </w:rPr>
        <w:t>,</w:t>
      </w:r>
      <w:r w:rsidR="00B176F4" w:rsidRPr="00686635">
        <w:rPr>
          <w:rFonts w:ascii="Times New Roman" w:hAnsi="Times New Roman" w:cs="Times New Roman"/>
          <w:sz w:val="24"/>
          <w:szCs w:val="24"/>
        </w:rPr>
        <w:t xml:space="preserve"> </w:t>
      </w:r>
      <w:r w:rsidR="003F286A" w:rsidRPr="00686635">
        <w:rPr>
          <w:rFonts w:ascii="Times New Roman" w:hAnsi="Times New Roman" w:cs="Times New Roman"/>
          <w:sz w:val="24"/>
          <w:szCs w:val="24"/>
        </w:rPr>
        <w:t xml:space="preserve">come to Fox </w:t>
      </w:r>
      <w:r w:rsidR="00856E3D" w:rsidRPr="00686635">
        <w:rPr>
          <w:rFonts w:ascii="Times New Roman" w:hAnsi="Times New Roman" w:cs="Times New Roman"/>
          <w:sz w:val="24"/>
          <w:szCs w:val="24"/>
        </w:rPr>
        <w:t>in her</w:t>
      </w:r>
      <w:r w:rsidR="003F286A" w:rsidRPr="00686635">
        <w:rPr>
          <w:rFonts w:ascii="Times New Roman" w:hAnsi="Times New Roman" w:cs="Times New Roman"/>
          <w:sz w:val="24"/>
          <w:szCs w:val="24"/>
        </w:rPr>
        <w:t xml:space="preserve"> ring-side seat of courtly gossip and are duly recorded in her diaries and letters alongside her own social encounters and spiritual reflections. </w:t>
      </w:r>
      <w:r w:rsidR="00856E3D" w:rsidRPr="00686635">
        <w:rPr>
          <w:rFonts w:ascii="Times New Roman" w:hAnsi="Times New Roman" w:cs="Times New Roman"/>
          <w:sz w:val="24"/>
          <w:szCs w:val="24"/>
        </w:rPr>
        <w:t>Witness a</w:t>
      </w:r>
      <w:r w:rsidR="00794C31" w:rsidRPr="00686635">
        <w:rPr>
          <w:rFonts w:ascii="Times New Roman" w:hAnsi="Times New Roman" w:cs="Times New Roman"/>
          <w:sz w:val="24"/>
          <w:szCs w:val="24"/>
        </w:rPr>
        <w:t>n entry for 1840</w:t>
      </w:r>
      <w:r w:rsidR="00856E3D" w:rsidRPr="00686635">
        <w:rPr>
          <w:rFonts w:ascii="Times New Roman" w:hAnsi="Times New Roman" w:cs="Times New Roman"/>
          <w:sz w:val="24"/>
          <w:szCs w:val="24"/>
        </w:rPr>
        <w:t xml:space="preserve">: </w:t>
      </w:r>
    </w:p>
    <w:p w14:paraId="13EE5541" w14:textId="0C0D072E" w:rsidR="003F286A" w:rsidRPr="00686635" w:rsidRDefault="003F286A" w:rsidP="00021665">
      <w:pPr>
        <w:spacing w:line="336" w:lineRule="auto"/>
        <w:ind w:left="709"/>
        <w:rPr>
          <w:rFonts w:ascii="Times New Roman" w:hAnsi="Times New Roman" w:cs="Times New Roman"/>
          <w:sz w:val="24"/>
          <w:szCs w:val="24"/>
        </w:rPr>
      </w:pPr>
      <w:r w:rsidRPr="00686635">
        <w:rPr>
          <w:rFonts w:ascii="Times New Roman" w:hAnsi="Times New Roman" w:cs="Times New Roman"/>
          <w:sz w:val="24"/>
          <w:szCs w:val="24"/>
        </w:rPr>
        <w:lastRenderedPageBreak/>
        <w:t>Feb. 10. – The Queen’s wedding day.</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Neck ribands arrived, with Victoria and Albert and loves and doves daintily woven in. Falmouth very gay with flags.</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Mr Sterling called – a very agreeable man, with a most Lamb-liking for town life.</w:t>
      </w:r>
      <w:r w:rsidRPr="00686635">
        <w:rPr>
          <w:rStyle w:val="FootnoteReference"/>
          <w:rFonts w:ascii="Times New Roman" w:hAnsi="Times New Roman" w:cs="Times New Roman"/>
          <w:sz w:val="24"/>
          <w:szCs w:val="24"/>
        </w:rPr>
        <w:footnoteReference w:id="15"/>
      </w:r>
    </w:p>
    <w:p w14:paraId="394962E0" w14:textId="7C509DEA" w:rsidR="003F286A" w:rsidRPr="00686635" w:rsidRDefault="003F286A" w:rsidP="00021665">
      <w:pPr>
        <w:spacing w:line="336" w:lineRule="auto"/>
        <w:rPr>
          <w:rFonts w:ascii="Times New Roman" w:hAnsi="Times New Roman" w:cs="Times New Roman"/>
          <w:sz w:val="24"/>
          <w:szCs w:val="24"/>
        </w:rPr>
      </w:pPr>
      <w:r w:rsidRPr="00686635">
        <w:rPr>
          <w:rFonts w:ascii="Times New Roman" w:hAnsi="Times New Roman" w:cs="Times New Roman"/>
          <w:sz w:val="24"/>
          <w:szCs w:val="24"/>
        </w:rPr>
        <w:t xml:space="preserve">The neck ribands surely represent a particularly </w:t>
      </w:r>
      <w:proofErr w:type="spellStart"/>
      <w:r w:rsidRPr="00686635">
        <w:rPr>
          <w:rFonts w:ascii="Times New Roman" w:hAnsi="Times New Roman" w:cs="Times New Roman"/>
          <w:sz w:val="24"/>
          <w:szCs w:val="24"/>
        </w:rPr>
        <w:t>unquakerish</w:t>
      </w:r>
      <w:proofErr w:type="spellEnd"/>
      <w:r w:rsidRPr="00686635">
        <w:rPr>
          <w:rFonts w:ascii="Times New Roman" w:hAnsi="Times New Roman" w:cs="Times New Roman"/>
          <w:sz w:val="24"/>
          <w:szCs w:val="24"/>
        </w:rPr>
        <w:t xml:space="preserve"> adornment for the daughter of a</w:t>
      </w:r>
      <w:r w:rsidR="008B7840" w:rsidRPr="00686635">
        <w:rPr>
          <w:rFonts w:ascii="Times New Roman" w:hAnsi="Times New Roman" w:cs="Times New Roman"/>
          <w:sz w:val="24"/>
          <w:szCs w:val="24"/>
        </w:rPr>
        <w:t xml:space="preserve"> </w:t>
      </w:r>
      <w:r w:rsidR="003B7C08" w:rsidRPr="00686635">
        <w:rPr>
          <w:rFonts w:ascii="Times New Roman" w:hAnsi="Times New Roman" w:cs="Times New Roman"/>
          <w:sz w:val="24"/>
          <w:szCs w:val="24"/>
        </w:rPr>
        <w:t xml:space="preserve">Quaker </w:t>
      </w:r>
      <w:r w:rsidRPr="00686635">
        <w:rPr>
          <w:rFonts w:ascii="Times New Roman" w:hAnsi="Times New Roman" w:cs="Times New Roman"/>
          <w:sz w:val="24"/>
          <w:szCs w:val="24"/>
        </w:rPr>
        <w:t>minister (her mother), and especially for the second cousin of Elizabeth Fry, who – it is recorded in the journals – made a point of</w:t>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explaining to Prince Albert why she would not rise for a toast even to the Queen.</w:t>
      </w:r>
      <w:r w:rsidRPr="00686635">
        <w:rPr>
          <w:rStyle w:val="FootnoteReference"/>
          <w:rFonts w:ascii="Times New Roman" w:hAnsi="Times New Roman" w:cs="Times New Roman"/>
          <w:sz w:val="24"/>
          <w:szCs w:val="24"/>
        </w:rPr>
        <w:footnoteReference w:id="16"/>
      </w:r>
      <w:r w:rsidR="00021665" w:rsidRPr="00686635">
        <w:rPr>
          <w:rFonts w:ascii="Times New Roman" w:hAnsi="Times New Roman" w:cs="Times New Roman"/>
          <w:sz w:val="24"/>
          <w:szCs w:val="24"/>
        </w:rPr>
        <w:t xml:space="preserve"> </w:t>
      </w:r>
      <w:r w:rsidRPr="00686635">
        <w:rPr>
          <w:rFonts w:ascii="Times New Roman" w:hAnsi="Times New Roman" w:cs="Times New Roman"/>
          <w:sz w:val="24"/>
          <w:szCs w:val="24"/>
        </w:rPr>
        <w:t>But this entry also records Fox’s meeting with the (married) John Sterling, who by most accounts was the great love of her life.</w:t>
      </w:r>
      <w:r w:rsidR="00021665" w:rsidRPr="00686635">
        <w:rPr>
          <w:rFonts w:ascii="Times New Roman" w:hAnsi="Times New Roman" w:cs="Times New Roman"/>
          <w:sz w:val="24"/>
          <w:szCs w:val="24"/>
        </w:rPr>
        <w:t xml:space="preserve"> </w:t>
      </w:r>
      <w:r w:rsidR="00AA3A1C" w:rsidRPr="00686635">
        <w:rPr>
          <w:rFonts w:ascii="Times New Roman" w:hAnsi="Times New Roman" w:cs="Times New Roman"/>
          <w:sz w:val="24"/>
          <w:szCs w:val="24"/>
        </w:rPr>
        <w:t>The entry inscribes a red-letter day on two counts.</w:t>
      </w:r>
      <w:r w:rsidR="00021665" w:rsidRPr="00686635">
        <w:rPr>
          <w:rFonts w:ascii="Times New Roman" w:hAnsi="Times New Roman" w:cs="Times New Roman"/>
          <w:sz w:val="24"/>
          <w:szCs w:val="24"/>
        </w:rPr>
        <w:t xml:space="preserve"> </w:t>
      </w:r>
      <w:r w:rsidR="00AA3A1C" w:rsidRPr="00686635">
        <w:rPr>
          <w:rFonts w:ascii="Times New Roman" w:hAnsi="Times New Roman" w:cs="Times New Roman"/>
          <w:sz w:val="24"/>
          <w:szCs w:val="24"/>
        </w:rPr>
        <w:t>On the Queen’s wedding day, Victoria’s exact contemporary meets the amiable John Sterling.</w:t>
      </w:r>
      <w:r w:rsidR="008B7840" w:rsidRPr="00686635">
        <w:rPr>
          <w:rFonts w:ascii="Times New Roman" w:hAnsi="Times New Roman" w:cs="Times New Roman"/>
          <w:sz w:val="24"/>
          <w:szCs w:val="24"/>
        </w:rPr>
        <w:t xml:space="preserve"> </w:t>
      </w:r>
      <w:r w:rsidR="00AA3A1C" w:rsidRPr="00686635">
        <w:rPr>
          <w:rFonts w:ascii="Times New Roman" w:hAnsi="Times New Roman" w:cs="Times New Roman"/>
          <w:sz w:val="24"/>
          <w:szCs w:val="24"/>
        </w:rPr>
        <w:t xml:space="preserve">Loves and doves are in the air. </w:t>
      </w:r>
      <w:r w:rsidRPr="00686635">
        <w:rPr>
          <w:rFonts w:ascii="Times New Roman" w:hAnsi="Times New Roman" w:cs="Times New Roman"/>
          <w:sz w:val="24"/>
          <w:szCs w:val="24"/>
        </w:rPr>
        <w:t>When</w:t>
      </w:r>
      <w:r w:rsidR="00AA3A1C" w:rsidRPr="00686635">
        <w:rPr>
          <w:rFonts w:ascii="Times New Roman" w:hAnsi="Times New Roman" w:cs="Times New Roman"/>
          <w:sz w:val="24"/>
          <w:szCs w:val="24"/>
        </w:rPr>
        <w:t>, I am tempted to ask,</w:t>
      </w:r>
      <w:r w:rsidRPr="00686635">
        <w:rPr>
          <w:rFonts w:ascii="Times New Roman" w:hAnsi="Times New Roman" w:cs="Times New Roman"/>
          <w:sz w:val="24"/>
          <w:szCs w:val="24"/>
        </w:rPr>
        <w:t xml:space="preserve"> is a coincidence not a coincidence? </w:t>
      </w:r>
      <w:r w:rsidR="00AA3A1C" w:rsidRPr="00686635">
        <w:rPr>
          <w:rFonts w:ascii="Times New Roman" w:hAnsi="Times New Roman" w:cs="Times New Roman"/>
          <w:sz w:val="24"/>
          <w:szCs w:val="24"/>
        </w:rPr>
        <w:t>Perhaps w</w:t>
      </w:r>
      <w:r w:rsidRPr="00686635">
        <w:rPr>
          <w:rFonts w:ascii="Times New Roman" w:hAnsi="Times New Roman" w:cs="Times New Roman"/>
          <w:sz w:val="24"/>
          <w:szCs w:val="24"/>
        </w:rPr>
        <w:t xml:space="preserve">hen it is overdetermined by the alignment of biological age, cultural expectation and </w:t>
      </w:r>
      <w:r w:rsidR="00B176F4" w:rsidRPr="00686635">
        <w:rPr>
          <w:rFonts w:ascii="Times New Roman" w:hAnsi="Times New Roman" w:cs="Times New Roman"/>
          <w:sz w:val="24"/>
          <w:szCs w:val="24"/>
        </w:rPr>
        <w:t>the self-consciousness of diary-writing.</w:t>
      </w:r>
      <w:r w:rsidRPr="00686635">
        <w:rPr>
          <w:rFonts w:ascii="Times New Roman" w:hAnsi="Times New Roman" w:cs="Times New Roman"/>
          <w:sz w:val="24"/>
          <w:szCs w:val="24"/>
        </w:rPr>
        <w:t xml:space="preserve"> Maybe </w:t>
      </w:r>
      <w:r w:rsidR="00AA3A1C" w:rsidRPr="00686635">
        <w:rPr>
          <w:rFonts w:ascii="Times New Roman" w:hAnsi="Times New Roman" w:cs="Times New Roman"/>
          <w:sz w:val="24"/>
          <w:szCs w:val="24"/>
        </w:rPr>
        <w:t xml:space="preserve">a sense of </w:t>
      </w:r>
      <w:r w:rsidRPr="00686635">
        <w:rPr>
          <w:rFonts w:ascii="Times New Roman" w:hAnsi="Times New Roman" w:cs="Times New Roman"/>
          <w:sz w:val="24"/>
          <w:szCs w:val="24"/>
        </w:rPr>
        <w:t xml:space="preserve">contemporariness </w:t>
      </w:r>
      <w:r w:rsidR="0023107D" w:rsidRPr="00686635">
        <w:rPr>
          <w:rFonts w:ascii="Times New Roman" w:hAnsi="Times New Roman" w:cs="Times New Roman"/>
          <w:sz w:val="24"/>
          <w:szCs w:val="24"/>
        </w:rPr>
        <w:t xml:space="preserve">can </w:t>
      </w:r>
      <w:r w:rsidRPr="00686635">
        <w:rPr>
          <w:rFonts w:ascii="Times New Roman" w:hAnsi="Times New Roman" w:cs="Times New Roman"/>
          <w:sz w:val="24"/>
          <w:szCs w:val="24"/>
        </w:rPr>
        <w:t>feed on such tentative alignments.</w:t>
      </w:r>
    </w:p>
    <w:p w14:paraId="1DBAE9C2" w14:textId="66454415" w:rsidR="002649B6" w:rsidRPr="00686635" w:rsidRDefault="006C4128" w:rsidP="00021665">
      <w:pPr>
        <w:spacing w:before="240" w:line="336" w:lineRule="auto"/>
        <w:rPr>
          <w:rFonts w:ascii="Times New Roman" w:hAnsi="Times New Roman" w:cs="Times New Roman"/>
          <w:i/>
          <w:sz w:val="24"/>
          <w:szCs w:val="24"/>
        </w:rPr>
      </w:pPr>
      <w:r w:rsidRPr="00686635">
        <w:rPr>
          <w:rFonts w:ascii="Times New Roman" w:hAnsi="Times New Roman" w:cs="Times New Roman"/>
          <w:sz w:val="24"/>
          <w:szCs w:val="24"/>
        </w:rPr>
        <w:t>It is worth considering, then, whether t</w:t>
      </w:r>
      <w:r w:rsidR="002649B6" w:rsidRPr="00686635">
        <w:rPr>
          <w:rFonts w:ascii="Times New Roman" w:hAnsi="Times New Roman" w:cs="Times New Roman"/>
          <w:sz w:val="24"/>
          <w:szCs w:val="24"/>
        </w:rPr>
        <w:t xml:space="preserve">he ubiquity of representations of Victoria, and as the century progressed increasingly of her </w:t>
      </w:r>
      <w:r w:rsidR="0023107D" w:rsidRPr="00686635">
        <w:rPr>
          <w:rFonts w:ascii="Times New Roman" w:hAnsi="Times New Roman" w:cs="Times New Roman"/>
          <w:sz w:val="24"/>
          <w:szCs w:val="24"/>
        </w:rPr>
        <w:t>l</w:t>
      </w:r>
      <w:r w:rsidR="002649B6" w:rsidRPr="00686635">
        <w:rPr>
          <w:rFonts w:ascii="Times New Roman" w:hAnsi="Times New Roman" w:cs="Times New Roman"/>
          <w:sz w:val="24"/>
          <w:szCs w:val="24"/>
        </w:rPr>
        <w:t xml:space="preserve">ife </w:t>
      </w:r>
      <w:r w:rsidR="00A11DE8" w:rsidRPr="00686635">
        <w:rPr>
          <w:rFonts w:ascii="Times New Roman" w:hAnsi="Times New Roman" w:cs="Times New Roman"/>
          <w:sz w:val="24"/>
          <w:szCs w:val="24"/>
        </w:rPr>
        <w:t>–</w:t>
      </w:r>
      <w:r w:rsidR="002649B6" w:rsidRPr="00686635">
        <w:rPr>
          <w:rFonts w:ascii="Times New Roman" w:hAnsi="Times New Roman" w:cs="Times New Roman"/>
          <w:sz w:val="24"/>
          <w:szCs w:val="24"/>
        </w:rPr>
        <w:t xml:space="preserve"> especially at moments of special celebration and national self-congratulation such as the Golden Jubilee of 1887, or the Diamond of 1897, may have disseminated cohort-consciousness among citizens roughly coeval to the Queen.</w:t>
      </w:r>
      <w:r w:rsidR="00021665" w:rsidRPr="00686635">
        <w:rPr>
          <w:rFonts w:ascii="Times New Roman" w:hAnsi="Times New Roman" w:cs="Times New Roman"/>
          <w:sz w:val="24"/>
          <w:szCs w:val="24"/>
        </w:rPr>
        <w:t xml:space="preserve"> </w:t>
      </w:r>
      <w:r w:rsidR="002649B6" w:rsidRPr="00686635">
        <w:rPr>
          <w:rFonts w:ascii="Times New Roman" w:hAnsi="Times New Roman" w:cs="Times New Roman"/>
          <w:sz w:val="24"/>
          <w:szCs w:val="24"/>
        </w:rPr>
        <w:t>Although nine years younger than Victoria, in her Life writings</w:t>
      </w:r>
      <w:r w:rsidR="00021665" w:rsidRPr="00686635">
        <w:rPr>
          <w:rFonts w:ascii="Times New Roman" w:hAnsi="Times New Roman" w:cs="Times New Roman"/>
          <w:sz w:val="24"/>
          <w:szCs w:val="24"/>
        </w:rPr>
        <w:t xml:space="preserve"> </w:t>
      </w:r>
      <w:r w:rsidR="002649B6" w:rsidRPr="00686635">
        <w:rPr>
          <w:rFonts w:ascii="Times New Roman" w:hAnsi="Times New Roman" w:cs="Times New Roman"/>
          <w:sz w:val="24"/>
          <w:szCs w:val="24"/>
        </w:rPr>
        <w:t>one can see the biographer Margaret Oliphant co-ordinating aspects of the Queen’s life with her own, and vice versa</w:t>
      </w:r>
      <w:r w:rsidR="00021665" w:rsidRPr="00686635">
        <w:rPr>
          <w:rFonts w:ascii="Times New Roman" w:hAnsi="Times New Roman" w:cs="Times New Roman"/>
          <w:sz w:val="24"/>
          <w:szCs w:val="24"/>
        </w:rPr>
        <w:t xml:space="preserve"> </w:t>
      </w:r>
      <w:r w:rsidR="00A11DE8" w:rsidRPr="00686635">
        <w:rPr>
          <w:rFonts w:ascii="Times New Roman" w:hAnsi="Times New Roman" w:cs="Times New Roman"/>
          <w:sz w:val="24"/>
          <w:szCs w:val="24"/>
        </w:rPr>
        <w:t>–</w:t>
      </w:r>
      <w:r w:rsidR="002649B6" w:rsidRPr="00686635">
        <w:rPr>
          <w:rFonts w:ascii="Times New Roman" w:hAnsi="Times New Roman" w:cs="Times New Roman"/>
          <w:sz w:val="24"/>
          <w:szCs w:val="24"/>
        </w:rPr>
        <w:t xml:space="preserve"> their widowhood, their responsibility for fatherless children, their loneliness, their struggles with responsibility.</w:t>
      </w:r>
      <w:r w:rsidR="00021665" w:rsidRPr="00686635">
        <w:rPr>
          <w:rFonts w:ascii="Times New Roman" w:hAnsi="Times New Roman" w:cs="Times New Roman"/>
          <w:sz w:val="24"/>
          <w:szCs w:val="24"/>
        </w:rPr>
        <w:t xml:space="preserve"> </w:t>
      </w:r>
      <w:r w:rsidR="002649B6" w:rsidRPr="00686635">
        <w:rPr>
          <w:rFonts w:ascii="Times New Roman" w:hAnsi="Times New Roman" w:cs="Times New Roman"/>
          <w:sz w:val="24"/>
          <w:szCs w:val="24"/>
        </w:rPr>
        <w:t xml:space="preserve">As the </w:t>
      </w:r>
      <w:proofErr w:type="spellStart"/>
      <w:r w:rsidR="002649B6" w:rsidRPr="00686635">
        <w:rPr>
          <w:rFonts w:ascii="Times New Roman" w:hAnsi="Times New Roman" w:cs="Times New Roman"/>
          <w:i/>
          <w:sz w:val="24"/>
          <w:szCs w:val="24"/>
        </w:rPr>
        <w:t>grande</w:t>
      </w:r>
      <w:proofErr w:type="spellEnd"/>
      <w:r w:rsidR="002649B6" w:rsidRPr="00686635">
        <w:rPr>
          <w:rFonts w:ascii="Times New Roman" w:hAnsi="Times New Roman" w:cs="Times New Roman"/>
          <w:i/>
          <w:sz w:val="24"/>
          <w:szCs w:val="24"/>
        </w:rPr>
        <w:t xml:space="preserve"> dame </w:t>
      </w:r>
      <w:r w:rsidR="002649B6" w:rsidRPr="00686635">
        <w:rPr>
          <w:rFonts w:ascii="Times New Roman" w:hAnsi="Times New Roman" w:cs="Times New Roman"/>
          <w:sz w:val="24"/>
          <w:szCs w:val="24"/>
        </w:rPr>
        <w:t xml:space="preserve">of </w:t>
      </w:r>
      <w:r w:rsidR="002649B6" w:rsidRPr="00686635">
        <w:rPr>
          <w:rFonts w:ascii="Times New Roman" w:hAnsi="Times New Roman" w:cs="Times New Roman"/>
          <w:i/>
          <w:sz w:val="24"/>
          <w:szCs w:val="24"/>
        </w:rPr>
        <w:t xml:space="preserve">Blackwood’s Magazine </w:t>
      </w:r>
      <w:r w:rsidR="002649B6" w:rsidRPr="00686635">
        <w:rPr>
          <w:rFonts w:ascii="Times New Roman" w:hAnsi="Times New Roman" w:cs="Times New Roman"/>
          <w:sz w:val="24"/>
          <w:szCs w:val="24"/>
        </w:rPr>
        <w:t>she was for decades called upon to mark key events in the Royal chronicle, either as reviewer or as poet.</w:t>
      </w:r>
      <w:r w:rsidR="00021665" w:rsidRPr="00686635">
        <w:rPr>
          <w:rFonts w:ascii="Times New Roman" w:hAnsi="Times New Roman" w:cs="Times New Roman"/>
          <w:sz w:val="24"/>
          <w:szCs w:val="24"/>
        </w:rPr>
        <w:t xml:space="preserve"> </w:t>
      </w:r>
      <w:r w:rsidR="00CC3457" w:rsidRPr="00686635">
        <w:rPr>
          <w:rFonts w:ascii="Times New Roman" w:hAnsi="Times New Roman" w:cs="Times New Roman"/>
          <w:sz w:val="24"/>
          <w:szCs w:val="24"/>
        </w:rPr>
        <w:t xml:space="preserve">Her </w:t>
      </w:r>
      <w:r w:rsidR="003F286A" w:rsidRPr="00686635">
        <w:rPr>
          <w:rFonts w:ascii="Times New Roman" w:hAnsi="Times New Roman" w:cs="Times New Roman"/>
          <w:sz w:val="24"/>
          <w:szCs w:val="24"/>
        </w:rPr>
        <w:t xml:space="preserve">very </w:t>
      </w:r>
      <w:r w:rsidR="00CC3457" w:rsidRPr="00686635">
        <w:rPr>
          <w:rFonts w:ascii="Times New Roman" w:hAnsi="Times New Roman" w:cs="Times New Roman"/>
          <w:sz w:val="24"/>
          <w:szCs w:val="24"/>
        </w:rPr>
        <w:t>last work</w:t>
      </w:r>
      <w:r w:rsidR="00EB34B7" w:rsidRPr="00686635">
        <w:rPr>
          <w:rFonts w:ascii="Times New Roman" w:hAnsi="Times New Roman" w:cs="Times New Roman"/>
          <w:sz w:val="24"/>
          <w:szCs w:val="24"/>
        </w:rPr>
        <w:t xml:space="preserve"> </w:t>
      </w:r>
      <w:r w:rsidR="00CC3457" w:rsidRPr="00686635">
        <w:rPr>
          <w:rFonts w:ascii="Times New Roman" w:hAnsi="Times New Roman" w:cs="Times New Roman"/>
          <w:sz w:val="24"/>
          <w:szCs w:val="24"/>
        </w:rPr>
        <w:t>was a</w:t>
      </w:r>
      <w:r w:rsidR="00021665" w:rsidRPr="00686635">
        <w:rPr>
          <w:rFonts w:ascii="Times New Roman" w:hAnsi="Times New Roman" w:cs="Times New Roman"/>
          <w:sz w:val="24"/>
          <w:szCs w:val="24"/>
        </w:rPr>
        <w:t xml:space="preserve"> </w:t>
      </w:r>
      <w:r w:rsidR="00CC3457" w:rsidRPr="00686635">
        <w:rPr>
          <w:rFonts w:ascii="Times New Roman" w:hAnsi="Times New Roman" w:cs="Times New Roman"/>
          <w:sz w:val="24"/>
          <w:szCs w:val="24"/>
        </w:rPr>
        <w:t xml:space="preserve">‘rant’ in verse </w:t>
      </w:r>
      <w:r w:rsidR="00EB34B7" w:rsidRPr="00686635">
        <w:rPr>
          <w:rFonts w:ascii="Times New Roman" w:hAnsi="Times New Roman" w:cs="Times New Roman"/>
          <w:sz w:val="24"/>
          <w:szCs w:val="24"/>
        </w:rPr>
        <w:t>to celebrate the Diamond Jubilee, and her death</w:t>
      </w:r>
      <w:r w:rsidR="00021665" w:rsidRPr="00686635">
        <w:rPr>
          <w:rFonts w:ascii="Times New Roman" w:hAnsi="Times New Roman" w:cs="Times New Roman"/>
          <w:sz w:val="24"/>
          <w:szCs w:val="24"/>
        </w:rPr>
        <w:t xml:space="preserve"> </w:t>
      </w:r>
      <w:r w:rsidR="003B7C08" w:rsidRPr="00686635">
        <w:rPr>
          <w:rFonts w:ascii="Times New Roman" w:hAnsi="Times New Roman" w:cs="Times New Roman"/>
          <w:sz w:val="24"/>
          <w:szCs w:val="24"/>
        </w:rPr>
        <w:t xml:space="preserve">in 1897 </w:t>
      </w:r>
      <w:r w:rsidR="00EB34B7" w:rsidRPr="00686635">
        <w:rPr>
          <w:rFonts w:ascii="Times New Roman" w:hAnsi="Times New Roman" w:cs="Times New Roman"/>
          <w:sz w:val="24"/>
          <w:szCs w:val="24"/>
        </w:rPr>
        <w:t>(her biographer claimed) was timed so as to fulfil a desire to ‘live over the great day [of the 22</w:t>
      </w:r>
      <w:r w:rsidR="00EB34B7" w:rsidRPr="00686635">
        <w:rPr>
          <w:rFonts w:ascii="Times New Roman" w:hAnsi="Times New Roman" w:cs="Times New Roman"/>
          <w:sz w:val="24"/>
          <w:szCs w:val="24"/>
          <w:vertAlign w:val="superscript"/>
        </w:rPr>
        <w:t>nd</w:t>
      </w:r>
      <w:r w:rsidR="00A11DE8" w:rsidRPr="00686635">
        <w:rPr>
          <w:rFonts w:ascii="Times New Roman" w:hAnsi="Times New Roman" w:cs="Times New Roman"/>
          <w:sz w:val="24"/>
          <w:szCs w:val="24"/>
        </w:rPr>
        <w:t xml:space="preserve"> June]</w:t>
      </w:r>
      <w:r w:rsidR="00EB34B7" w:rsidRPr="00686635">
        <w:rPr>
          <w:rFonts w:ascii="Times New Roman" w:hAnsi="Times New Roman" w:cs="Times New Roman"/>
          <w:sz w:val="24"/>
          <w:szCs w:val="24"/>
        </w:rPr>
        <w:t>.’</w:t>
      </w:r>
      <w:r w:rsidR="00EB34B7" w:rsidRPr="00686635">
        <w:rPr>
          <w:rStyle w:val="FootnoteReference"/>
          <w:rFonts w:ascii="Times New Roman" w:hAnsi="Times New Roman" w:cs="Times New Roman"/>
          <w:sz w:val="24"/>
          <w:szCs w:val="24"/>
        </w:rPr>
        <w:footnoteReference w:id="17"/>
      </w:r>
      <w:r w:rsidR="000F58BF" w:rsidRPr="00686635">
        <w:rPr>
          <w:rFonts w:ascii="Times New Roman" w:hAnsi="Times New Roman" w:cs="Times New Roman"/>
          <w:sz w:val="24"/>
          <w:szCs w:val="24"/>
        </w:rPr>
        <w:t xml:space="preserve"> Oliphant punctuated the </w:t>
      </w:r>
      <w:r w:rsidR="009C3EAF" w:rsidRPr="00686635">
        <w:rPr>
          <w:rFonts w:ascii="Times New Roman" w:hAnsi="Times New Roman" w:cs="Times New Roman"/>
          <w:sz w:val="24"/>
          <w:szCs w:val="24"/>
        </w:rPr>
        <w:t>Royal story with her reviews, eulogies and commemorative biographies; in turn her own life was increasingly marked by her sense of identification</w:t>
      </w:r>
      <w:r w:rsidR="00021665" w:rsidRPr="00686635">
        <w:rPr>
          <w:rFonts w:ascii="Times New Roman" w:hAnsi="Times New Roman" w:cs="Times New Roman"/>
          <w:sz w:val="24"/>
          <w:szCs w:val="24"/>
        </w:rPr>
        <w:t xml:space="preserve"> </w:t>
      </w:r>
      <w:r w:rsidR="009C3EAF" w:rsidRPr="00686635">
        <w:rPr>
          <w:rFonts w:ascii="Times New Roman" w:hAnsi="Times New Roman" w:cs="Times New Roman"/>
          <w:sz w:val="24"/>
          <w:szCs w:val="24"/>
        </w:rPr>
        <w:t>with ‘the Lady enshrined with duty and love,/Pacing forth on her way/ In weakness of age […]’</w:t>
      </w:r>
      <w:r w:rsidR="009C3EAF" w:rsidRPr="00686635">
        <w:rPr>
          <w:rStyle w:val="FootnoteReference"/>
          <w:rFonts w:ascii="Times New Roman" w:hAnsi="Times New Roman" w:cs="Times New Roman"/>
          <w:sz w:val="24"/>
          <w:szCs w:val="24"/>
        </w:rPr>
        <w:footnoteReference w:id="18"/>
      </w:r>
      <w:r w:rsidR="008B7840" w:rsidRPr="00686635">
        <w:rPr>
          <w:rFonts w:ascii="Times New Roman" w:hAnsi="Times New Roman" w:cs="Times New Roman"/>
          <w:sz w:val="24"/>
          <w:szCs w:val="24"/>
        </w:rPr>
        <w:t xml:space="preserve"> </w:t>
      </w:r>
      <w:r w:rsidR="00330C92" w:rsidRPr="00686635">
        <w:rPr>
          <w:rFonts w:ascii="Times New Roman" w:hAnsi="Times New Roman" w:cs="Times New Roman"/>
          <w:sz w:val="24"/>
          <w:szCs w:val="24"/>
        </w:rPr>
        <w:t>Social observer Arthur Munby, also nine years younger than his sovereign</w:t>
      </w:r>
      <w:r w:rsidR="0023107D" w:rsidRPr="00686635">
        <w:rPr>
          <w:rFonts w:ascii="Times New Roman" w:hAnsi="Times New Roman" w:cs="Times New Roman"/>
          <w:sz w:val="24"/>
          <w:szCs w:val="24"/>
        </w:rPr>
        <w:t>,</w:t>
      </w:r>
      <w:r w:rsidR="00330C92" w:rsidRPr="00686635">
        <w:rPr>
          <w:rFonts w:ascii="Times New Roman" w:hAnsi="Times New Roman" w:cs="Times New Roman"/>
          <w:sz w:val="24"/>
          <w:szCs w:val="24"/>
        </w:rPr>
        <w:t xml:space="preserve"> was an assiduous diarist and reader of diaries: </w:t>
      </w:r>
      <w:r w:rsidR="00171E4A" w:rsidRPr="00686635">
        <w:rPr>
          <w:rFonts w:ascii="Times New Roman" w:hAnsi="Times New Roman" w:cs="Times New Roman"/>
          <w:sz w:val="24"/>
          <w:szCs w:val="24"/>
        </w:rPr>
        <w:t>as Steinitz notes, his journals find</w:t>
      </w:r>
      <w:r w:rsidR="008B7840" w:rsidRPr="00686635">
        <w:rPr>
          <w:rFonts w:ascii="Times New Roman" w:hAnsi="Times New Roman" w:cs="Times New Roman"/>
          <w:sz w:val="24"/>
          <w:szCs w:val="24"/>
        </w:rPr>
        <w:t xml:space="preserve"> </w:t>
      </w:r>
      <w:r w:rsidR="00330C92" w:rsidRPr="00686635">
        <w:rPr>
          <w:rFonts w:ascii="Times New Roman" w:hAnsi="Times New Roman" w:cs="Times New Roman"/>
          <w:sz w:val="24"/>
          <w:szCs w:val="24"/>
        </w:rPr>
        <w:t xml:space="preserve">him commenting </w:t>
      </w:r>
      <w:r w:rsidR="00171E4A" w:rsidRPr="00686635">
        <w:rPr>
          <w:rFonts w:ascii="Times New Roman" w:hAnsi="Times New Roman" w:cs="Times New Roman"/>
          <w:sz w:val="24"/>
          <w:szCs w:val="24"/>
        </w:rPr>
        <w:t xml:space="preserve">twice in </w:t>
      </w:r>
      <w:r w:rsidR="00171E4A" w:rsidRPr="00686635">
        <w:rPr>
          <w:rFonts w:ascii="Times New Roman" w:hAnsi="Times New Roman" w:cs="Times New Roman"/>
          <w:sz w:val="24"/>
          <w:szCs w:val="24"/>
        </w:rPr>
        <w:lastRenderedPageBreak/>
        <w:t xml:space="preserve">1868 </w:t>
      </w:r>
      <w:r w:rsidR="00330C92" w:rsidRPr="00686635">
        <w:rPr>
          <w:rFonts w:ascii="Times New Roman" w:hAnsi="Times New Roman" w:cs="Times New Roman"/>
          <w:sz w:val="24"/>
          <w:szCs w:val="24"/>
        </w:rPr>
        <w:t>on Victoria’s</w:t>
      </w:r>
      <w:r w:rsidR="008B7840" w:rsidRPr="00686635">
        <w:rPr>
          <w:rFonts w:ascii="Times New Roman" w:hAnsi="Times New Roman" w:cs="Times New Roman"/>
          <w:sz w:val="24"/>
          <w:szCs w:val="24"/>
        </w:rPr>
        <w:t xml:space="preserve"> </w:t>
      </w:r>
      <w:r w:rsidR="00330C92" w:rsidRPr="00686635">
        <w:rPr>
          <w:rFonts w:ascii="Times New Roman" w:hAnsi="Times New Roman" w:cs="Times New Roman"/>
          <w:sz w:val="24"/>
          <w:szCs w:val="24"/>
        </w:rPr>
        <w:t xml:space="preserve">recently published </w:t>
      </w:r>
      <w:r w:rsidR="00330C92" w:rsidRPr="00686635">
        <w:rPr>
          <w:rFonts w:ascii="Times New Roman" w:hAnsi="Times New Roman" w:cs="Times New Roman"/>
          <w:i/>
          <w:sz w:val="24"/>
          <w:szCs w:val="24"/>
        </w:rPr>
        <w:t>Leaves</w:t>
      </w:r>
      <w:r w:rsidR="00171E4A" w:rsidRPr="00686635">
        <w:rPr>
          <w:rFonts w:ascii="Times New Roman" w:hAnsi="Times New Roman" w:cs="Times New Roman"/>
          <w:i/>
          <w:sz w:val="24"/>
          <w:szCs w:val="24"/>
        </w:rPr>
        <w:t xml:space="preserve"> from a Journal of our Life in the Highlands </w:t>
      </w:r>
      <w:r w:rsidR="00171E4A" w:rsidRPr="00686635">
        <w:rPr>
          <w:rFonts w:ascii="Times New Roman" w:hAnsi="Times New Roman" w:cs="Times New Roman"/>
          <w:sz w:val="24"/>
          <w:szCs w:val="24"/>
        </w:rPr>
        <w:t xml:space="preserve">and purchasing Fox’s </w:t>
      </w:r>
      <w:r w:rsidR="00171E4A" w:rsidRPr="00686635">
        <w:rPr>
          <w:rFonts w:ascii="Times New Roman" w:hAnsi="Times New Roman" w:cs="Times New Roman"/>
          <w:i/>
          <w:sz w:val="24"/>
          <w:szCs w:val="24"/>
        </w:rPr>
        <w:t>Memories</w:t>
      </w:r>
      <w:r w:rsidR="008B7840" w:rsidRPr="00686635">
        <w:rPr>
          <w:rFonts w:ascii="Times New Roman" w:hAnsi="Times New Roman" w:cs="Times New Roman"/>
          <w:i/>
          <w:sz w:val="24"/>
          <w:szCs w:val="24"/>
        </w:rPr>
        <w:t xml:space="preserve"> </w:t>
      </w:r>
      <w:r w:rsidR="00171E4A" w:rsidRPr="00686635">
        <w:rPr>
          <w:rFonts w:ascii="Times New Roman" w:hAnsi="Times New Roman" w:cs="Times New Roman"/>
          <w:sz w:val="24"/>
          <w:szCs w:val="24"/>
        </w:rPr>
        <w:t>in 1884.</w:t>
      </w:r>
      <w:r w:rsidR="00171E4A" w:rsidRPr="00686635">
        <w:rPr>
          <w:rStyle w:val="FootnoteReference"/>
          <w:rFonts w:ascii="Times New Roman" w:hAnsi="Times New Roman" w:cs="Times New Roman"/>
          <w:sz w:val="24"/>
          <w:szCs w:val="24"/>
        </w:rPr>
        <w:footnoteReference w:id="19"/>
      </w:r>
      <w:r w:rsidR="00300C13" w:rsidRPr="00686635">
        <w:rPr>
          <w:rFonts w:ascii="Times New Roman" w:hAnsi="Times New Roman" w:cs="Times New Roman"/>
          <w:sz w:val="24"/>
          <w:szCs w:val="24"/>
        </w:rPr>
        <w:t xml:space="preserve"> Writing and reading diaries afforded a way of locating oneself generationally.</w:t>
      </w:r>
      <w:r w:rsidR="00171E4A" w:rsidRPr="00686635">
        <w:rPr>
          <w:rFonts w:ascii="Times New Roman" w:hAnsi="Times New Roman" w:cs="Times New Roman"/>
          <w:i/>
          <w:sz w:val="24"/>
          <w:szCs w:val="24"/>
        </w:rPr>
        <w:t xml:space="preserve"> </w:t>
      </w:r>
    </w:p>
    <w:p w14:paraId="280D236F" w14:textId="0D578EF7" w:rsidR="00521D5A" w:rsidRPr="00686635" w:rsidRDefault="00236B7D" w:rsidP="00F44BC0">
      <w:pPr>
        <w:spacing w:before="240" w:line="336" w:lineRule="auto"/>
        <w:rPr>
          <w:rFonts w:ascii="Times New Roman" w:hAnsi="Times New Roman" w:cs="Times New Roman"/>
          <w:sz w:val="24"/>
          <w:szCs w:val="24"/>
        </w:rPr>
      </w:pPr>
      <w:r w:rsidRPr="00686635">
        <w:rPr>
          <w:rFonts w:ascii="Times New Roman" w:hAnsi="Times New Roman" w:cs="Times New Roman"/>
          <w:sz w:val="24"/>
          <w:szCs w:val="24"/>
        </w:rPr>
        <w:tab/>
        <w:t xml:space="preserve">Virginia Woolf’s meditation on generation, quoted in </w:t>
      </w:r>
      <w:r w:rsidR="00B301A2" w:rsidRPr="00686635">
        <w:rPr>
          <w:rFonts w:ascii="Times New Roman" w:hAnsi="Times New Roman" w:cs="Times New Roman"/>
          <w:sz w:val="24"/>
          <w:szCs w:val="24"/>
        </w:rPr>
        <w:t xml:space="preserve">the </w:t>
      </w:r>
      <w:r w:rsidRPr="00686635">
        <w:rPr>
          <w:rFonts w:ascii="Times New Roman" w:hAnsi="Times New Roman" w:cs="Times New Roman"/>
          <w:sz w:val="24"/>
          <w:szCs w:val="24"/>
        </w:rPr>
        <w:t>Introduction</w:t>
      </w:r>
      <w:r w:rsidR="00B301A2" w:rsidRPr="00686635">
        <w:rPr>
          <w:rFonts w:ascii="Times New Roman" w:hAnsi="Times New Roman" w:cs="Times New Roman"/>
          <w:sz w:val="24"/>
          <w:szCs w:val="24"/>
        </w:rPr>
        <w:t xml:space="preserve"> to Roundtable 1 (</w:t>
      </w:r>
      <w:r w:rsidR="001E3C98" w:rsidRPr="00686635">
        <w:rPr>
          <w:rFonts w:ascii="Times New Roman" w:hAnsi="Times New Roman" w:cs="Times New Roman"/>
          <w:i/>
          <w:sz w:val="24"/>
          <w:szCs w:val="24"/>
        </w:rPr>
        <w:t xml:space="preserve">JVC </w:t>
      </w:r>
      <w:r w:rsidR="001E3C98" w:rsidRPr="00686635">
        <w:rPr>
          <w:rFonts w:ascii="Times New Roman" w:hAnsi="Times New Roman" w:cs="Times New Roman"/>
          <w:sz w:val="24"/>
          <w:szCs w:val="24"/>
        </w:rPr>
        <w:t>24 3</w:t>
      </w:r>
      <w:r w:rsidR="00B301A2" w:rsidRPr="00686635">
        <w:rPr>
          <w:rFonts w:ascii="Times New Roman" w:hAnsi="Times New Roman" w:cs="Times New Roman"/>
          <w:sz w:val="24"/>
          <w:szCs w:val="24"/>
        </w:rPr>
        <w:t>)</w:t>
      </w:r>
      <w:r w:rsidRPr="00686635">
        <w:rPr>
          <w:rFonts w:ascii="Times New Roman" w:hAnsi="Times New Roman" w:cs="Times New Roman"/>
          <w:sz w:val="24"/>
          <w:szCs w:val="24"/>
        </w:rPr>
        <w:t xml:space="preserve">, was entitled ‘How it strikes a contemporary’, a phrase borrowed – possibly by her editor at the </w:t>
      </w:r>
      <w:r w:rsidRPr="00686635">
        <w:rPr>
          <w:rFonts w:ascii="Times New Roman" w:hAnsi="Times New Roman" w:cs="Times New Roman"/>
          <w:i/>
          <w:sz w:val="24"/>
          <w:szCs w:val="24"/>
        </w:rPr>
        <w:t>TLS</w:t>
      </w:r>
      <w:r w:rsidR="002E0109" w:rsidRPr="00686635">
        <w:rPr>
          <w:rFonts w:ascii="Times New Roman" w:hAnsi="Times New Roman" w:cs="Times New Roman"/>
          <w:sz w:val="24"/>
          <w:szCs w:val="24"/>
        </w:rPr>
        <w:t xml:space="preserve"> – </w:t>
      </w:r>
      <w:r w:rsidRPr="00686635">
        <w:rPr>
          <w:rFonts w:ascii="Times New Roman" w:hAnsi="Times New Roman" w:cs="Times New Roman"/>
          <w:sz w:val="24"/>
          <w:szCs w:val="24"/>
        </w:rPr>
        <w:t xml:space="preserve">from Robert Browning’s poem of the same name first published in </w:t>
      </w:r>
      <w:r w:rsidRPr="00686635">
        <w:rPr>
          <w:rFonts w:ascii="Times New Roman" w:hAnsi="Times New Roman" w:cs="Times New Roman"/>
          <w:i/>
          <w:sz w:val="24"/>
          <w:szCs w:val="24"/>
        </w:rPr>
        <w:t xml:space="preserve">Men and Women </w:t>
      </w:r>
      <w:r w:rsidRPr="00686635">
        <w:rPr>
          <w:rFonts w:ascii="Times New Roman" w:hAnsi="Times New Roman" w:cs="Times New Roman"/>
          <w:sz w:val="24"/>
          <w:szCs w:val="24"/>
        </w:rPr>
        <w:t>in 1855.</w:t>
      </w:r>
      <w:r w:rsidR="008B7840" w:rsidRPr="00686635">
        <w:rPr>
          <w:rFonts w:ascii="Times New Roman" w:hAnsi="Times New Roman" w:cs="Times New Roman"/>
          <w:sz w:val="24"/>
          <w:szCs w:val="24"/>
        </w:rPr>
        <w:t xml:space="preserve"> </w:t>
      </w:r>
      <w:r w:rsidR="00CE63C8" w:rsidRPr="00686635">
        <w:rPr>
          <w:rFonts w:ascii="Times New Roman" w:hAnsi="Times New Roman" w:cs="Times New Roman"/>
          <w:sz w:val="24"/>
          <w:szCs w:val="24"/>
        </w:rPr>
        <w:t xml:space="preserve">My readings of </w:t>
      </w:r>
      <w:r w:rsidR="00762332" w:rsidRPr="00686635">
        <w:rPr>
          <w:rFonts w:ascii="Times New Roman" w:hAnsi="Times New Roman" w:cs="Times New Roman"/>
          <w:sz w:val="24"/>
          <w:szCs w:val="24"/>
        </w:rPr>
        <w:t xml:space="preserve">the autobiography  of James Hopkinson, the diary of </w:t>
      </w:r>
      <w:r w:rsidR="00CE63C8" w:rsidRPr="00686635">
        <w:rPr>
          <w:rFonts w:ascii="Times New Roman" w:hAnsi="Times New Roman" w:cs="Times New Roman"/>
          <w:sz w:val="24"/>
          <w:szCs w:val="24"/>
        </w:rPr>
        <w:t>Caroline Fox</w:t>
      </w:r>
      <w:r w:rsidR="00762332" w:rsidRPr="00686635">
        <w:rPr>
          <w:rFonts w:ascii="Times New Roman" w:hAnsi="Times New Roman" w:cs="Times New Roman"/>
          <w:sz w:val="24"/>
          <w:szCs w:val="24"/>
        </w:rPr>
        <w:t xml:space="preserve">, and of the Brontë birthday paper </w:t>
      </w:r>
      <w:r w:rsidR="00CE63C8" w:rsidRPr="00686635">
        <w:rPr>
          <w:rFonts w:ascii="Times New Roman" w:hAnsi="Times New Roman" w:cs="Times New Roman"/>
          <w:sz w:val="24"/>
          <w:szCs w:val="24"/>
        </w:rPr>
        <w:t>in the context of the age-culture of Victoria’s Victorians, suggest that t</w:t>
      </w:r>
      <w:r w:rsidRPr="00686635">
        <w:rPr>
          <w:rFonts w:ascii="Times New Roman" w:hAnsi="Times New Roman" w:cs="Times New Roman"/>
          <w:sz w:val="24"/>
          <w:szCs w:val="24"/>
        </w:rPr>
        <w:t>he subjective experience of contemporaneity</w:t>
      </w:r>
      <w:r w:rsidR="00CE63C8" w:rsidRPr="00686635">
        <w:rPr>
          <w:rFonts w:ascii="Times New Roman" w:hAnsi="Times New Roman" w:cs="Times New Roman"/>
          <w:sz w:val="24"/>
          <w:szCs w:val="24"/>
        </w:rPr>
        <w:t xml:space="preserve"> would have been much looser, and more </w:t>
      </w:r>
      <w:r w:rsidR="007F6EBF" w:rsidRPr="00686635">
        <w:rPr>
          <w:rFonts w:ascii="Times New Roman" w:hAnsi="Times New Roman" w:cs="Times New Roman"/>
          <w:sz w:val="24"/>
          <w:szCs w:val="24"/>
        </w:rPr>
        <w:t>tentative, in Browning’s time than in Woolf’s, particularly outside the male elites.</w:t>
      </w:r>
      <w:r w:rsidR="008B7840" w:rsidRPr="00686635">
        <w:rPr>
          <w:rFonts w:ascii="Times New Roman" w:hAnsi="Times New Roman" w:cs="Times New Roman"/>
          <w:sz w:val="24"/>
          <w:szCs w:val="24"/>
        </w:rPr>
        <w:t xml:space="preserve"> </w:t>
      </w:r>
      <w:r w:rsidR="001F4692" w:rsidRPr="00686635">
        <w:rPr>
          <w:rFonts w:ascii="Times New Roman" w:hAnsi="Times New Roman" w:cs="Times New Roman"/>
          <w:sz w:val="24"/>
          <w:szCs w:val="24"/>
        </w:rPr>
        <w:t>That Browning could gesture to the ‘contemporary’ as a significant identity, however, heralds the coalescence of a meaningful relationship and a significant</w:t>
      </w:r>
      <w:r w:rsidR="008B7840" w:rsidRPr="00686635">
        <w:rPr>
          <w:rFonts w:ascii="Times New Roman" w:hAnsi="Times New Roman" w:cs="Times New Roman"/>
          <w:sz w:val="24"/>
          <w:szCs w:val="24"/>
        </w:rPr>
        <w:t xml:space="preserve"> </w:t>
      </w:r>
      <w:r w:rsidR="001F4692" w:rsidRPr="00686635">
        <w:rPr>
          <w:rFonts w:ascii="Times New Roman" w:hAnsi="Times New Roman" w:cs="Times New Roman"/>
          <w:sz w:val="24"/>
          <w:szCs w:val="24"/>
        </w:rPr>
        <w:t xml:space="preserve">vantage point. </w:t>
      </w:r>
      <w:r w:rsidR="00AE3475" w:rsidRPr="00686635">
        <w:rPr>
          <w:rFonts w:ascii="Times New Roman" w:hAnsi="Times New Roman" w:cs="Times New Roman"/>
          <w:sz w:val="24"/>
          <w:szCs w:val="24"/>
        </w:rPr>
        <w:t xml:space="preserve">The other </w:t>
      </w:r>
      <w:r w:rsidR="008B7840" w:rsidRPr="00686635">
        <w:rPr>
          <w:rFonts w:ascii="Times New Roman" w:hAnsi="Times New Roman" w:cs="Times New Roman"/>
          <w:sz w:val="24"/>
          <w:szCs w:val="24"/>
        </w:rPr>
        <w:t>contributors</w:t>
      </w:r>
      <w:r w:rsidR="00AE3475" w:rsidRPr="00686635">
        <w:rPr>
          <w:rFonts w:ascii="Times New Roman" w:hAnsi="Times New Roman" w:cs="Times New Roman"/>
          <w:sz w:val="24"/>
          <w:szCs w:val="24"/>
        </w:rPr>
        <w:t xml:space="preserve"> to this Roundtable make </w:t>
      </w:r>
      <w:r w:rsidR="00F8531C" w:rsidRPr="00686635">
        <w:rPr>
          <w:rFonts w:ascii="Times New Roman" w:hAnsi="Times New Roman" w:cs="Times New Roman"/>
          <w:sz w:val="24"/>
          <w:szCs w:val="24"/>
        </w:rPr>
        <w:t>persuasive cases for the value of attending to cohorts of contemporaries and perceptions of contemporariness.</w:t>
      </w:r>
      <w:r w:rsidR="008B7840" w:rsidRPr="00686635">
        <w:rPr>
          <w:rFonts w:ascii="Times New Roman" w:hAnsi="Times New Roman" w:cs="Times New Roman"/>
          <w:sz w:val="24"/>
          <w:szCs w:val="24"/>
        </w:rPr>
        <w:t xml:space="preserve"> </w:t>
      </w:r>
      <w:r w:rsidR="00C44041" w:rsidRPr="00686635">
        <w:rPr>
          <w:rFonts w:ascii="Times New Roman" w:hAnsi="Times New Roman" w:cs="Times New Roman"/>
          <w:sz w:val="24"/>
          <w:szCs w:val="24"/>
        </w:rPr>
        <w:t xml:space="preserve">Adding age, aging and generational identity to our understanding of nineteenth-century subjectivities, </w:t>
      </w:r>
      <w:proofErr w:type="spellStart"/>
      <w:r w:rsidR="00C44041" w:rsidRPr="00686635">
        <w:rPr>
          <w:rFonts w:ascii="Times New Roman" w:hAnsi="Times New Roman" w:cs="Times New Roman"/>
          <w:sz w:val="24"/>
          <w:szCs w:val="24"/>
        </w:rPr>
        <w:t>collectivities</w:t>
      </w:r>
      <w:proofErr w:type="spellEnd"/>
      <w:r w:rsidR="00C44041" w:rsidRPr="00686635">
        <w:rPr>
          <w:rFonts w:ascii="Times New Roman" w:hAnsi="Times New Roman" w:cs="Times New Roman"/>
          <w:sz w:val="24"/>
          <w:szCs w:val="24"/>
        </w:rPr>
        <w:t xml:space="preserve"> and movements is an important step, </w:t>
      </w:r>
      <w:r w:rsidR="00341714" w:rsidRPr="00686635">
        <w:rPr>
          <w:rFonts w:ascii="Times New Roman" w:hAnsi="Times New Roman" w:cs="Times New Roman"/>
          <w:sz w:val="24"/>
          <w:szCs w:val="24"/>
        </w:rPr>
        <w:t>though</w:t>
      </w:r>
      <w:r w:rsidR="00F44BC0" w:rsidRPr="00686635">
        <w:rPr>
          <w:rFonts w:ascii="Times New Roman" w:hAnsi="Times New Roman" w:cs="Times New Roman"/>
          <w:sz w:val="24"/>
          <w:szCs w:val="24"/>
        </w:rPr>
        <w:t xml:space="preserve"> </w:t>
      </w:r>
      <w:r w:rsidR="00C44041" w:rsidRPr="00686635">
        <w:rPr>
          <w:rFonts w:ascii="Times New Roman" w:hAnsi="Times New Roman" w:cs="Times New Roman"/>
          <w:sz w:val="24"/>
          <w:szCs w:val="24"/>
        </w:rPr>
        <w:t>one</w:t>
      </w:r>
      <w:r w:rsidR="00F8531C" w:rsidRPr="00686635">
        <w:rPr>
          <w:rFonts w:ascii="Times New Roman" w:hAnsi="Times New Roman" w:cs="Times New Roman"/>
          <w:sz w:val="24"/>
          <w:szCs w:val="24"/>
        </w:rPr>
        <w:t>, I suggest,</w:t>
      </w:r>
      <w:r w:rsidR="008B7840" w:rsidRPr="00686635">
        <w:rPr>
          <w:rFonts w:ascii="Times New Roman" w:hAnsi="Times New Roman" w:cs="Times New Roman"/>
          <w:sz w:val="24"/>
          <w:szCs w:val="24"/>
        </w:rPr>
        <w:t xml:space="preserve"> </w:t>
      </w:r>
      <w:r w:rsidR="00C44041" w:rsidRPr="00686635">
        <w:rPr>
          <w:rFonts w:ascii="Times New Roman" w:hAnsi="Times New Roman" w:cs="Times New Roman"/>
          <w:sz w:val="24"/>
          <w:szCs w:val="24"/>
        </w:rPr>
        <w:t>to be taken</w:t>
      </w:r>
      <w:r w:rsidR="008B7840" w:rsidRPr="00686635">
        <w:rPr>
          <w:rFonts w:ascii="Times New Roman" w:hAnsi="Times New Roman" w:cs="Times New Roman"/>
          <w:sz w:val="24"/>
          <w:szCs w:val="24"/>
        </w:rPr>
        <w:t xml:space="preserve"> </w:t>
      </w:r>
      <w:r w:rsidR="00C44041" w:rsidRPr="00686635">
        <w:rPr>
          <w:rFonts w:ascii="Times New Roman" w:hAnsi="Times New Roman" w:cs="Times New Roman"/>
          <w:sz w:val="24"/>
          <w:szCs w:val="24"/>
        </w:rPr>
        <w:t>with caution.</w:t>
      </w:r>
      <w:r w:rsidR="00F44BC0" w:rsidRPr="00686635">
        <w:rPr>
          <w:rFonts w:ascii="Times New Roman" w:hAnsi="Times New Roman" w:cs="Times New Roman"/>
          <w:sz w:val="24"/>
          <w:szCs w:val="24"/>
        </w:rPr>
        <w:t xml:space="preserve"> </w:t>
      </w:r>
      <w:r w:rsidR="00341714" w:rsidRPr="00686635">
        <w:rPr>
          <w:rFonts w:ascii="Times New Roman" w:hAnsi="Times New Roman" w:cs="Times New Roman"/>
          <w:sz w:val="24"/>
          <w:szCs w:val="24"/>
        </w:rPr>
        <w:t>Becoming attuned to the ways in which subjects located themselves in time in relation to familiar</w:t>
      </w:r>
      <w:r w:rsidR="00F44BC0" w:rsidRPr="00686635">
        <w:rPr>
          <w:rFonts w:ascii="Times New Roman" w:hAnsi="Times New Roman" w:cs="Times New Roman"/>
          <w:sz w:val="24"/>
          <w:szCs w:val="24"/>
        </w:rPr>
        <w:t xml:space="preserve"> </w:t>
      </w:r>
      <w:r w:rsidR="00341714" w:rsidRPr="00686635">
        <w:rPr>
          <w:rFonts w:ascii="Times New Roman" w:hAnsi="Times New Roman" w:cs="Times New Roman"/>
          <w:sz w:val="24"/>
          <w:szCs w:val="24"/>
        </w:rPr>
        <w:t>co-ordinates such as</w:t>
      </w:r>
      <w:r w:rsidR="002E2535" w:rsidRPr="00686635">
        <w:rPr>
          <w:rFonts w:ascii="Times New Roman" w:hAnsi="Times New Roman" w:cs="Times New Roman"/>
          <w:sz w:val="24"/>
          <w:szCs w:val="24"/>
        </w:rPr>
        <w:t xml:space="preserve"> national anniversaries</w:t>
      </w:r>
      <w:r w:rsidR="00341714" w:rsidRPr="00686635">
        <w:rPr>
          <w:rFonts w:ascii="Times New Roman" w:hAnsi="Times New Roman" w:cs="Times New Roman"/>
          <w:sz w:val="24"/>
          <w:szCs w:val="24"/>
        </w:rPr>
        <w:t xml:space="preserve">, used diaries as technologies of age identity, or </w:t>
      </w:r>
      <w:r w:rsidR="002E2535" w:rsidRPr="00686635">
        <w:rPr>
          <w:rFonts w:ascii="Times New Roman" w:hAnsi="Times New Roman" w:cs="Times New Roman"/>
          <w:sz w:val="24"/>
          <w:szCs w:val="24"/>
        </w:rPr>
        <w:t>measured themselves and their peers against the</w:t>
      </w:r>
      <w:r w:rsidR="00F44BC0" w:rsidRPr="00686635">
        <w:rPr>
          <w:rFonts w:ascii="Times New Roman" w:hAnsi="Times New Roman" w:cs="Times New Roman"/>
          <w:sz w:val="24"/>
          <w:szCs w:val="24"/>
        </w:rPr>
        <w:t xml:space="preserve"> </w:t>
      </w:r>
      <w:r w:rsidR="00341714" w:rsidRPr="00686635">
        <w:rPr>
          <w:rFonts w:ascii="Times New Roman" w:hAnsi="Times New Roman" w:cs="Times New Roman"/>
          <w:sz w:val="24"/>
          <w:szCs w:val="24"/>
        </w:rPr>
        <w:t>milestones of working</w:t>
      </w:r>
      <w:r w:rsidR="002E2535" w:rsidRPr="00686635">
        <w:rPr>
          <w:rFonts w:ascii="Times New Roman" w:hAnsi="Times New Roman" w:cs="Times New Roman"/>
          <w:sz w:val="24"/>
          <w:szCs w:val="24"/>
        </w:rPr>
        <w:t xml:space="preserve"> life</w:t>
      </w:r>
      <w:r w:rsidR="00341714" w:rsidRPr="00686635">
        <w:rPr>
          <w:rFonts w:ascii="Times New Roman" w:hAnsi="Times New Roman" w:cs="Times New Roman"/>
          <w:sz w:val="24"/>
          <w:szCs w:val="24"/>
        </w:rPr>
        <w:t>: such strategies offer a way forward.</w:t>
      </w:r>
      <w:r w:rsidR="009B2DB8" w:rsidRPr="00686635">
        <w:rPr>
          <w:rFonts w:ascii="Times New Roman" w:hAnsi="Times New Roman" w:cs="Times New Roman"/>
          <w:sz w:val="24"/>
          <w:szCs w:val="24"/>
        </w:rPr>
        <w:t xml:space="preserve"> </w:t>
      </w:r>
      <w:r w:rsidR="00C44041" w:rsidRPr="00686635">
        <w:rPr>
          <w:rFonts w:ascii="Times New Roman" w:hAnsi="Times New Roman" w:cs="Times New Roman"/>
          <w:sz w:val="24"/>
          <w:szCs w:val="24"/>
        </w:rPr>
        <w:t xml:space="preserve"> </w:t>
      </w:r>
    </w:p>
    <w:p w14:paraId="64E5264B" w14:textId="77777777" w:rsidR="0080554B" w:rsidRPr="00686635" w:rsidRDefault="0080554B" w:rsidP="00F44BC0">
      <w:pPr>
        <w:spacing w:before="240" w:line="336" w:lineRule="auto"/>
        <w:rPr>
          <w:rFonts w:ascii="Times New Roman" w:hAnsi="Times New Roman" w:cs="Times New Roman"/>
          <w:sz w:val="24"/>
          <w:szCs w:val="24"/>
        </w:rPr>
      </w:pPr>
    </w:p>
    <w:p w14:paraId="0D0C49D6" w14:textId="77777777" w:rsidR="00A602C1" w:rsidRPr="00686635" w:rsidRDefault="00A602C1">
      <w:pPr>
        <w:spacing w:before="240" w:line="336" w:lineRule="auto"/>
        <w:rPr>
          <w:rFonts w:ascii="Times New Roman" w:hAnsi="Times New Roman" w:cs="Times New Roman"/>
          <w:sz w:val="24"/>
          <w:szCs w:val="24"/>
        </w:rPr>
      </w:pPr>
    </w:p>
    <w:sectPr w:rsidR="00A602C1" w:rsidRPr="0068663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00DE" w14:textId="77777777" w:rsidR="005401E1" w:rsidRDefault="005401E1" w:rsidP="0035149E">
      <w:pPr>
        <w:spacing w:after="0" w:line="240" w:lineRule="auto"/>
      </w:pPr>
      <w:r>
        <w:separator/>
      </w:r>
    </w:p>
  </w:endnote>
  <w:endnote w:type="continuationSeparator" w:id="0">
    <w:p w14:paraId="4AA37F7F" w14:textId="77777777" w:rsidR="005401E1" w:rsidRDefault="005401E1" w:rsidP="003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FBF8" w14:textId="77777777" w:rsidR="00C868A6" w:rsidRDefault="00C86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142809"/>
      <w:docPartObj>
        <w:docPartGallery w:val="Page Numbers (Bottom of Page)"/>
        <w:docPartUnique/>
      </w:docPartObj>
    </w:sdtPr>
    <w:sdtEndPr>
      <w:rPr>
        <w:noProof/>
      </w:rPr>
    </w:sdtEndPr>
    <w:sdtContent>
      <w:p w14:paraId="1FCBE3DB" w14:textId="77C088CE" w:rsidR="00021665" w:rsidRDefault="00021665">
        <w:pPr>
          <w:pStyle w:val="Footer"/>
          <w:jc w:val="right"/>
        </w:pPr>
        <w:r>
          <w:fldChar w:fldCharType="begin"/>
        </w:r>
        <w:r>
          <w:instrText xml:space="preserve"> PAGE   \* MERGEFORMAT </w:instrText>
        </w:r>
        <w:r>
          <w:fldChar w:fldCharType="separate"/>
        </w:r>
        <w:r w:rsidR="00D35F15">
          <w:rPr>
            <w:noProof/>
          </w:rPr>
          <w:t>9</w:t>
        </w:r>
        <w:r>
          <w:rPr>
            <w:noProof/>
          </w:rPr>
          <w:fldChar w:fldCharType="end"/>
        </w:r>
      </w:p>
    </w:sdtContent>
  </w:sdt>
  <w:p w14:paraId="589A7CCE" w14:textId="77777777" w:rsidR="00021665" w:rsidRDefault="00021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2BE9" w14:textId="77777777" w:rsidR="00C868A6" w:rsidRDefault="00C86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41CCA" w14:textId="77777777" w:rsidR="005401E1" w:rsidRDefault="005401E1" w:rsidP="0035149E">
      <w:pPr>
        <w:spacing w:after="0" w:line="240" w:lineRule="auto"/>
      </w:pPr>
      <w:r>
        <w:separator/>
      </w:r>
    </w:p>
  </w:footnote>
  <w:footnote w:type="continuationSeparator" w:id="0">
    <w:p w14:paraId="789B16E8" w14:textId="77777777" w:rsidR="005401E1" w:rsidRDefault="005401E1" w:rsidP="0035149E">
      <w:pPr>
        <w:spacing w:after="0" w:line="240" w:lineRule="auto"/>
      </w:pPr>
      <w:r>
        <w:continuationSeparator/>
      </w:r>
    </w:p>
  </w:footnote>
  <w:footnote w:id="1">
    <w:p w14:paraId="29910153" w14:textId="77777777" w:rsidR="00137216" w:rsidRPr="00686635" w:rsidRDefault="00137216" w:rsidP="00137216">
      <w:pPr>
        <w:pStyle w:val="FootnoteText"/>
        <w:rPr>
          <w:rFonts w:ascii="Times New Roman" w:hAnsi="Times New Roman" w:cs="Times New Roman"/>
          <w:sz w:val="24"/>
          <w:szCs w:val="24"/>
        </w:rPr>
      </w:pPr>
      <w:r w:rsidRPr="00686635">
        <w:rPr>
          <w:rStyle w:val="FootnoteReference"/>
          <w:rFonts w:ascii="Times New Roman" w:hAnsi="Times New Roman" w:cs="Times New Roman"/>
          <w:sz w:val="24"/>
          <w:szCs w:val="24"/>
        </w:rPr>
        <w:footnoteRef/>
      </w:r>
      <w:r w:rsidRPr="00686635">
        <w:rPr>
          <w:rFonts w:ascii="Times New Roman" w:hAnsi="Times New Roman" w:cs="Times New Roman"/>
          <w:sz w:val="24"/>
          <w:szCs w:val="24"/>
        </w:rPr>
        <w:t xml:space="preserve"> In some circles, 2019 is already known as ‘the year without a Brontë’ – the hiatus between Charlotte, </w:t>
      </w:r>
      <w:proofErr w:type="spellStart"/>
      <w:r w:rsidRPr="00686635">
        <w:rPr>
          <w:rFonts w:ascii="Times New Roman" w:hAnsi="Times New Roman" w:cs="Times New Roman"/>
          <w:sz w:val="24"/>
          <w:szCs w:val="24"/>
        </w:rPr>
        <w:t>Branwell</w:t>
      </w:r>
      <w:proofErr w:type="spellEnd"/>
      <w:r w:rsidRPr="00686635">
        <w:rPr>
          <w:rFonts w:ascii="Times New Roman" w:hAnsi="Times New Roman" w:cs="Times New Roman"/>
          <w:sz w:val="24"/>
          <w:szCs w:val="24"/>
        </w:rPr>
        <w:t xml:space="preserve"> and Emily, and Anne in 2020</w:t>
      </w:r>
    </w:p>
  </w:footnote>
  <w:footnote w:id="2">
    <w:p w14:paraId="0EBC461F" w14:textId="4406D27B" w:rsidR="00FB39EB" w:rsidRPr="00686635" w:rsidRDefault="00FB39EB">
      <w:pPr>
        <w:pStyle w:val="FootnoteText"/>
        <w:rPr>
          <w:rFonts w:ascii="Times New Roman" w:hAnsi="Times New Roman" w:cs="Times New Roman"/>
          <w:sz w:val="24"/>
          <w:szCs w:val="24"/>
        </w:rPr>
      </w:pPr>
      <w:r w:rsidRPr="00686635">
        <w:rPr>
          <w:rStyle w:val="FootnoteReference"/>
          <w:rFonts w:ascii="Times New Roman" w:hAnsi="Times New Roman" w:cs="Times New Roman"/>
          <w:sz w:val="24"/>
          <w:szCs w:val="24"/>
        </w:rPr>
        <w:footnoteRef/>
      </w:r>
      <w:r w:rsidRPr="00686635">
        <w:rPr>
          <w:rFonts w:ascii="Times New Roman" w:hAnsi="Times New Roman" w:cs="Times New Roman"/>
          <w:sz w:val="24"/>
          <w:szCs w:val="24"/>
        </w:rPr>
        <w:t xml:space="preserve"> Martin Hewitt, ‘BAVS 2015 Keynote: Victorian Generations,’ </w:t>
      </w:r>
      <w:proofErr w:type="spellStart"/>
      <w:r w:rsidRPr="00686635">
        <w:rPr>
          <w:rFonts w:ascii="Times New Roman" w:hAnsi="Times New Roman" w:cs="Times New Roman"/>
          <w:sz w:val="24"/>
          <w:szCs w:val="24"/>
        </w:rPr>
        <w:t>Youtube</w:t>
      </w:r>
      <w:proofErr w:type="spellEnd"/>
      <w:r w:rsidRPr="00686635">
        <w:rPr>
          <w:rFonts w:ascii="Times New Roman" w:hAnsi="Times New Roman" w:cs="Times New Roman"/>
          <w:sz w:val="24"/>
          <w:szCs w:val="24"/>
        </w:rPr>
        <w:t>, November 5, 2015, www.youtube.com/watch?v=FmEXJP1ruK4</w:t>
      </w:r>
    </w:p>
  </w:footnote>
  <w:footnote w:id="3">
    <w:p w14:paraId="281E1440" w14:textId="77777777" w:rsidR="000C3FA2" w:rsidRPr="000E4360" w:rsidRDefault="000C3FA2" w:rsidP="000C3FA2">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James Hopkinson, </w:t>
      </w:r>
      <w:r w:rsidRPr="000E4360">
        <w:rPr>
          <w:rFonts w:ascii="Times New Roman" w:hAnsi="Times New Roman" w:cs="Times New Roman"/>
          <w:i/>
          <w:sz w:val="24"/>
          <w:szCs w:val="24"/>
        </w:rPr>
        <w:t xml:space="preserve">Victorian Cabinet Maker: The Memoirs of James Hopkinson 1819-1894, </w:t>
      </w:r>
      <w:r w:rsidRPr="000E4360">
        <w:rPr>
          <w:rFonts w:ascii="Times New Roman" w:hAnsi="Times New Roman" w:cs="Times New Roman"/>
          <w:sz w:val="24"/>
          <w:szCs w:val="24"/>
        </w:rPr>
        <w:t xml:space="preserve">ed. by Jocelyne </w:t>
      </w:r>
      <w:proofErr w:type="spellStart"/>
      <w:r w:rsidRPr="000E4360">
        <w:rPr>
          <w:rFonts w:ascii="Times New Roman" w:hAnsi="Times New Roman" w:cs="Times New Roman"/>
          <w:sz w:val="24"/>
          <w:szCs w:val="24"/>
        </w:rPr>
        <w:t>Baty</w:t>
      </w:r>
      <w:proofErr w:type="spellEnd"/>
      <w:r w:rsidRPr="000E4360">
        <w:rPr>
          <w:rFonts w:ascii="Times New Roman" w:hAnsi="Times New Roman" w:cs="Times New Roman"/>
          <w:sz w:val="24"/>
          <w:szCs w:val="24"/>
        </w:rPr>
        <w:t xml:space="preserve"> Goodman (London: Routledge and Kegan Paul, 1968), p. 21, 30, 57 (emphasis in original). See also p. 44.</w:t>
      </w:r>
    </w:p>
  </w:footnote>
  <w:footnote w:id="4">
    <w:p w14:paraId="24FBA2CF" w14:textId="0DBE8D61" w:rsidR="000C3FA2" w:rsidRPr="00A95819" w:rsidRDefault="000C3FA2" w:rsidP="000C3FA2">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Hopkinson pp. 83-4.</w:t>
      </w:r>
      <w:r w:rsidR="00A602C1">
        <w:rPr>
          <w:rFonts w:ascii="Times New Roman" w:hAnsi="Times New Roman" w:cs="Times New Roman"/>
          <w:sz w:val="24"/>
          <w:szCs w:val="24"/>
        </w:rPr>
        <w:t xml:space="preserve"> Michael </w:t>
      </w:r>
      <w:proofErr w:type="spellStart"/>
      <w:r w:rsidR="00A602C1">
        <w:rPr>
          <w:rFonts w:ascii="Times New Roman" w:hAnsi="Times New Roman" w:cs="Times New Roman"/>
          <w:sz w:val="24"/>
          <w:szCs w:val="24"/>
        </w:rPr>
        <w:t>Hargreave</w:t>
      </w:r>
      <w:proofErr w:type="spellEnd"/>
      <w:r w:rsidR="00A602C1">
        <w:rPr>
          <w:rFonts w:ascii="Times New Roman" w:hAnsi="Times New Roman" w:cs="Times New Roman"/>
          <w:sz w:val="24"/>
          <w:szCs w:val="24"/>
        </w:rPr>
        <w:t xml:space="preserve"> Mawson reminds me, via </w:t>
      </w:r>
      <w:r w:rsidR="00A602C1" w:rsidRPr="00A95819">
        <w:rPr>
          <w:rFonts w:ascii="Times New Roman" w:hAnsi="Times New Roman" w:cs="Times New Roman"/>
          <w:sz w:val="24"/>
          <w:szCs w:val="24"/>
        </w:rPr>
        <w:t>VICTORIA listserv, of the analogy with the phrase ‘Bob’s [Lord Salisbury’s] your uncle’.</w:t>
      </w:r>
    </w:p>
  </w:footnote>
  <w:footnote w:id="5">
    <w:p w14:paraId="15B4E50C" w14:textId="052CCB0F" w:rsidR="001776CB" w:rsidRPr="00A95819" w:rsidRDefault="001776CB" w:rsidP="001776CB">
      <w:pPr>
        <w:pStyle w:val="FootnoteText"/>
        <w:rPr>
          <w:rFonts w:ascii="Times New Roman" w:hAnsi="Times New Roman" w:cs="Times New Roman"/>
          <w:sz w:val="24"/>
          <w:szCs w:val="24"/>
        </w:rPr>
      </w:pPr>
      <w:r w:rsidRPr="00A95819">
        <w:rPr>
          <w:rStyle w:val="FootnoteReference"/>
          <w:rFonts w:ascii="Times New Roman" w:hAnsi="Times New Roman" w:cs="Times New Roman"/>
          <w:sz w:val="24"/>
          <w:szCs w:val="24"/>
        </w:rPr>
        <w:footnoteRef/>
      </w:r>
      <w:r w:rsidRPr="00A95819">
        <w:rPr>
          <w:rFonts w:ascii="Times New Roman" w:hAnsi="Times New Roman" w:cs="Times New Roman"/>
          <w:sz w:val="24"/>
          <w:szCs w:val="24"/>
        </w:rPr>
        <w:t xml:space="preserve"> Email correspondence with the </w:t>
      </w:r>
      <w:r w:rsidRPr="00A95819">
        <w:rPr>
          <w:rFonts w:ascii="Times New Roman" w:hAnsi="Times New Roman" w:cs="Times New Roman"/>
          <w:color w:val="FF0000"/>
          <w:sz w:val="24"/>
          <w:szCs w:val="24"/>
        </w:rPr>
        <w:t xml:space="preserve">Roundtable </w:t>
      </w:r>
      <w:r w:rsidRPr="00A95819">
        <w:rPr>
          <w:rFonts w:ascii="Times New Roman" w:hAnsi="Times New Roman" w:cs="Times New Roman"/>
          <w:sz w:val="24"/>
          <w:szCs w:val="24"/>
        </w:rPr>
        <w:t xml:space="preserve">editors, 4 January 2019. The list of uncertain birthdates includes relatively famous figures such as feminist campaigner Emilie Venturi, née Ashurst. </w:t>
      </w:r>
      <w:proofErr w:type="gramStart"/>
      <w:r w:rsidRPr="00A95819">
        <w:rPr>
          <w:rFonts w:ascii="Times New Roman" w:hAnsi="Times New Roman" w:cs="Times New Roman"/>
          <w:sz w:val="24"/>
          <w:szCs w:val="24"/>
        </w:rPr>
        <w:t>Of course</w:t>
      </w:r>
      <w:proofErr w:type="gramEnd"/>
      <w:r w:rsidRPr="00A95819">
        <w:rPr>
          <w:rFonts w:ascii="Times New Roman" w:hAnsi="Times New Roman" w:cs="Times New Roman"/>
          <w:sz w:val="24"/>
          <w:szCs w:val="24"/>
        </w:rPr>
        <w:t xml:space="preserve"> there may have been some conscious mystification in records of women’s ages.</w:t>
      </w:r>
    </w:p>
  </w:footnote>
  <w:footnote w:id="6">
    <w:p w14:paraId="59257A85" w14:textId="77777777" w:rsidR="00A95819" w:rsidRPr="00A95819" w:rsidRDefault="00A95819" w:rsidP="00A95819">
      <w:pPr>
        <w:pStyle w:val="FootnoteText"/>
        <w:rPr>
          <w:rFonts w:ascii="Times New Roman" w:hAnsi="Times New Roman" w:cs="Times New Roman"/>
          <w:sz w:val="24"/>
          <w:szCs w:val="24"/>
        </w:rPr>
      </w:pPr>
      <w:r w:rsidRPr="00A95819">
        <w:rPr>
          <w:rStyle w:val="FootnoteReference"/>
          <w:rFonts w:ascii="Times New Roman" w:hAnsi="Times New Roman" w:cs="Times New Roman"/>
          <w:sz w:val="24"/>
          <w:szCs w:val="24"/>
        </w:rPr>
        <w:footnoteRef/>
      </w:r>
      <w:r w:rsidRPr="00A95819">
        <w:rPr>
          <w:rFonts w:ascii="Times New Roman" w:hAnsi="Times New Roman" w:cs="Times New Roman"/>
          <w:sz w:val="24"/>
          <w:szCs w:val="24"/>
        </w:rPr>
        <w:t xml:space="preserve"> [Anon], </w:t>
      </w:r>
      <w:r w:rsidRPr="00A95819">
        <w:rPr>
          <w:rFonts w:ascii="Times New Roman" w:hAnsi="Times New Roman" w:cs="Times New Roman"/>
          <w:i/>
          <w:sz w:val="24"/>
          <w:szCs w:val="24"/>
        </w:rPr>
        <w:t xml:space="preserve">The Autobiography of a Working Man </w:t>
      </w:r>
      <w:r w:rsidRPr="00A95819">
        <w:rPr>
          <w:rFonts w:ascii="Times New Roman" w:hAnsi="Times New Roman" w:cs="Times New Roman"/>
          <w:sz w:val="24"/>
          <w:szCs w:val="24"/>
        </w:rPr>
        <w:t>ed. by Eleanor Eden (London: Bentley, 1862), p. 57</w:t>
      </w:r>
      <w:r>
        <w:rPr>
          <w:rFonts w:ascii="Times New Roman" w:hAnsi="Times New Roman" w:cs="Times New Roman"/>
          <w:sz w:val="24"/>
          <w:szCs w:val="24"/>
        </w:rPr>
        <w:t>.</w:t>
      </w:r>
    </w:p>
  </w:footnote>
  <w:footnote w:id="7">
    <w:p w14:paraId="5C9DD3BC" w14:textId="4B12EC0D" w:rsidR="001E3C98" w:rsidRPr="00686635" w:rsidRDefault="001E3C98">
      <w:pPr>
        <w:pStyle w:val="FootnoteText"/>
        <w:rPr>
          <w:rFonts w:ascii="Times New Roman" w:hAnsi="Times New Roman" w:cs="Times New Roman"/>
          <w:sz w:val="24"/>
          <w:szCs w:val="24"/>
        </w:rPr>
      </w:pPr>
      <w:r w:rsidRPr="00686635">
        <w:rPr>
          <w:rStyle w:val="FootnoteReference"/>
          <w:rFonts w:ascii="Times New Roman" w:hAnsi="Times New Roman" w:cs="Times New Roman"/>
          <w:sz w:val="24"/>
          <w:szCs w:val="24"/>
        </w:rPr>
        <w:footnoteRef/>
      </w:r>
      <w:r w:rsidRPr="00686635">
        <w:rPr>
          <w:rFonts w:ascii="Times New Roman" w:hAnsi="Times New Roman" w:cs="Times New Roman"/>
          <w:sz w:val="24"/>
          <w:szCs w:val="24"/>
        </w:rPr>
        <w:t xml:space="preserve"> </w:t>
      </w:r>
      <w:r w:rsidR="001411BD" w:rsidRPr="00686635">
        <w:rPr>
          <w:rFonts w:ascii="Times New Roman" w:hAnsi="Times New Roman" w:cs="Times New Roman"/>
          <w:sz w:val="24"/>
          <w:szCs w:val="24"/>
        </w:rPr>
        <w:t>Christopher Tolley notes that early nineteenth-century Evangelicals commemorated birthdays as periods of ‘stocktaking and self-analysis</w:t>
      </w:r>
      <w:proofErr w:type="gramStart"/>
      <w:r w:rsidR="001411BD" w:rsidRPr="00686635">
        <w:rPr>
          <w:rFonts w:ascii="Times New Roman" w:hAnsi="Times New Roman" w:cs="Times New Roman"/>
          <w:sz w:val="24"/>
          <w:szCs w:val="24"/>
        </w:rPr>
        <w:t>’, and</w:t>
      </w:r>
      <w:proofErr w:type="gramEnd"/>
      <w:r w:rsidR="001411BD" w:rsidRPr="00686635">
        <w:rPr>
          <w:rFonts w:ascii="Times New Roman" w:hAnsi="Times New Roman" w:cs="Times New Roman"/>
          <w:sz w:val="24"/>
          <w:szCs w:val="24"/>
        </w:rPr>
        <w:t xml:space="preserve"> were shocked to hear of friends doing otherwise. </w:t>
      </w:r>
      <w:r w:rsidR="001411BD" w:rsidRPr="00686635">
        <w:rPr>
          <w:rFonts w:ascii="Times New Roman" w:hAnsi="Times New Roman" w:cs="Times New Roman"/>
          <w:i/>
          <w:sz w:val="24"/>
          <w:szCs w:val="24"/>
        </w:rPr>
        <w:t xml:space="preserve">Domestic Biography: The Legacy of Evangelicalism in Four Nineteenth-Century Families </w:t>
      </w:r>
      <w:r w:rsidR="001411BD" w:rsidRPr="00686635">
        <w:rPr>
          <w:rFonts w:ascii="Times New Roman" w:hAnsi="Times New Roman" w:cs="Times New Roman"/>
          <w:sz w:val="24"/>
          <w:szCs w:val="24"/>
        </w:rPr>
        <w:t>(Oxford: Clarendon, 1997), pp. 58-9.</w:t>
      </w:r>
    </w:p>
  </w:footnote>
  <w:footnote w:id="8">
    <w:p w14:paraId="1770E708" w14:textId="690E4660" w:rsidR="004E3240" w:rsidRPr="00686635" w:rsidRDefault="004E3240">
      <w:pPr>
        <w:pStyle w:val="FootnoteText"/>
        <w:rPr>
          <w:rFonts w:ascii="Times New Roman" w:hAnsi="Times New Roman" w:cs="Times New Roman"/>
          <w:sz w:val="24"/>
          <w:szCs w:val="24"/>
        </w:rPr>
      </w:pPr>
      <w:r w:rsidRPr="00686635">
        <w:rPr>
          <w:rStyle w:val="FootnoteReference"/>
          <w:rFonts w:ascii="Times New Roman" w:hAnsi="Times New Roman" w:cs="Times New Roman"/>
          <w:sz w:val="24"/>
          <w:szCs w:val="24"/>
        </w:rPr>
        <w:footnoteRef/>
      </w:r>
      <w:r w:rsidRPr="00686635">
        <w:rPr>
          <w:rFonts w:ascii="Times New Roman" w:hAnsi="Times New Roman" w:cs="Times New Roman"/>
          <w:sz w:val="24"/>
          <w:szCs w:val="24"/>
        </w:rPr>
        <w:t xml:space="preserve"> William St Clair</w:t>
      </w:r>
      <w:r w:rsidR="00A84B83" w:rsidRPr="00686635">
        <w:rPr>
          <w:rFonts w:ascii="Times New Roman" w:hAnsi="Times New Roman" w:cs="Times New Roman"/>
          <w:sz w:val="24"/>
          <w:szCs w:val="24"/>
        </w:rPr>
        <w:t>,</w:t>
      </w:r>
      <w:r w:rsidRPr="00686635">
        <w:rPr>
          <w:rFonts w:ascii="Times New Roman" w:hAnsi="Times New Roman" w:cs="Times New Roman"/>
          <w:sz w:val="24"/>
          <w:szCs w:val="24"/>
        </w:rPr>
        <w:t xml:space="preserve"> </w:t>
      </w:r>
      <w:r w:rsidRPr="00686635">
        <w:rPr>
          <w:rFonts w:ascii="Times New Roman" w:hAnsi="Times New Roman" w:cs="Times New Roman"/>
          <w:i/>
          <w:sz w:val="24"/>
          <w:szCs w:val="24"/>
        </w:rPr>
        <w:t xml:space="preserve">The Reading Nation in the Romantic Period </w:t>
      </w:r>
      <w:r w:rsidRPr="00686635">
        <w:rPr>
          <w:rFonts w:ascii="Times New Roman" w:hAnsi="Times New Roman" w:cs="Times New Roman"/>
          <w:sz w:val="24"/>
          <w:szCs w:val="24"/>
        </w:rPr>
        <w:t>(Cambridge: Cambridge University Press, 2004), p</w:t>
      </w:r>
      <w:r w:rsidR="00737771" w:rsidRPr="00686635">
        <w:rPr>
          <w:rFonts w:ascii="Times New Roman" w:hAnsi="Times New Roman" w:cs="Times New Roman"/>
          <w:sz w:val="24"/>
          <w:szCs w:val="24"/>
        </w:rPr>
        <w:t>p</w:t>
      </w:r>
      <w:r w:rsidRPr="00686635">
        <w:rPr>
          <w:rFonts w:ascii="Times New Roman" w:hAnsi="Times New Roman" w:cs="Times New Roman"/>
          <w:sz w:val="24"/>
          <w:szCs w:val="24"/>
        </w:rPr>
        <w:t>. 59</w:t>
      </w:r>
      <w:r w:rsidR="00552595" w:rsidRPr="00686635">
        <w:rPr>
          <w:rFonts w:ascii="Times New Roman" w:hAnsi="Times New Roman" w:cs="Times New Roman"/>
          <w:sz w:val="24"/>
          <w:szCs w:val="24"/>
        </w:rPr>
        <w:t>, 553.)</w:t>
      </w:r>
      <w:r w:rsidR="00737771" w:rsidRPr="00686635">
        <w:rPr>
          <w:rFonts w:ascii="Times New Roman" w:hAnsi="Times New Roman" w:cs="Times New Roman"/>
          <w:sz w:val="24"/>
          <w:szCs w:val="24"/>
        </w:rPr>
        <w:t xml:space="preserve"> See also Robin </w:t>
      </w:r>
      <w:r w:rsidR="00737771" w:rsidRPr="00686635">
        <w:rPr>
          <w:rFonts w:ascii="Times New Roman" w:hAnsi="Times New Roman" w:cs="Times New Roman"/>
          <w:color w:val="181817"/>
          <w:sz w:val="24"/>
          <w:szCs w:val="24"/>
        </w:rPr>
        <w:t>Myers, ‘The Stationers’ Company and the Almanack Trade’ in </w:t>
      </w:r>
      <w:r w:rsidR="00737771" w:rsidRPr="00686635">
        <w:rPr>
          <w:rFonts w:ascii="Times New Roman" w:hAnsi="Times New Roman" w:cs="Times New Roman"/>
          <w:i/>
          <w:iCs/>
          <w:color w:val="181817"/>
          <w:sz w:val="24"/>
          <w:szCs w:val="24"/>
          <w:bdr w:val="none" w:sz="0" w:space="0" w:color="auto" w:frame="1"/>
        </w:rPr>
        <w:t>The Cambridge History of the Book in Britain</w:t>
      </w:r>
      <w:r w:rsidR="00737771" w:rsidRPr="00686635">
        <w:rPr>
          <w:rFonts w:ascii="Times New Roman" w:hAnsi="Times New Roman" w:cs="Times New Roman"/>
          <w:color w:val="181817"/>
          <w:sz w:val="24"/>
          <w:szCs w:val="24"/>
        </w:rPr>
        <w:t>, Vol 5, ed. by Michael F. Suarez and Michael L. Turner (Cambridge: Cambridge University Press, 2009),</w:t>
      </w:r>
      <w:r w:rsidR="008B7840" w:rsidRPr="00686635">
        <w:rPr>
          <w:rFonts w:ascii="Times New Roman" w:hAnsi="Times New Roman" w:cs="Times New Roman"/>
          <w:color w:val="181817"/>
          <w:sz w:val="24"/>
          <w:szCs w:val="24"/>
        </w:rPr>
        <w:t xml:space="preserve"> </w:t>
      </w:r>
      <w:r w:rsidR="00737771" w:rsidRPr="00686635">
        <w:rPr>
          <w:rFonts w:ascii="Times New Roman" w:hAnsi="Times New Roman" w:cs="Times New Roman"/>
          <w:color w:val="181817"/>
          <w:sz w:val="24"/>
          <w:szCs w:val="24"/>
        </w:rPr>
        <w:t>pp. 723–35</w:t>
      </w:r>
    </w:p>
  </w:footnote>
  <w:footnote w:id="9">
    <w:p w14:paraId="70E8D5F4" w14:textId="29A5C208" w:rsidR="007E774B" w:rsidRPr="000E4360" w:rsidRDefault="007E774B">
      <w:pPr>
        <w:pStyle w:val="FootnoteText"/>
        <w:rPr>
          <w:rFonts w:ascii="Times New Roman" w:hAnsi="Times New Roman" w:cs="Times New Roman"/>
          <w:sz w:val="24"/>
          <w:szCs w:val="24"/>
        </w:rPr>
      </w:pPr>
      <w:r w:rsidRPr="000E4360">
        <w:rPr>
          <w:rStyle w:val="FootnoteReference"/>
        </w:rPr>
        <w:footnoteRef/>
      </w:r>
      <w:r w:rsidRPr="000E4360">
        <w:rPr>
          <w:rFonts w:ascii="Times New Roman" w:hAnsi="Times New Roman" w:cs="Times New Roman"/>
          <w:sz w:val="24"/>
          <w:szCs w:val="24"/>
        </w:rPr>
        <w:t xml:space="preserve"> See for example Francis Moore et al., V</w:t>
      </w:r>
      <w:r w:rsidRPr="000E4360">
        <w:rPr>
          <w:rFonts w:ascii="Times New Roman" w:hAnsi="Times New Roman" w:cs="Times New Roman"/>
          <w:i/>
          <w:sz w:val="24"/>
          <w:szCs w:val="24"/>
        </w:rPr>
        <w:t xml:space="preserve">ox </w:t>
      </w:r>
      <w:proofErr w:type="spellStart"/>
      <w:r w:rsidRPr="000E4360">
        <w:rPr>
          <w:rFonts w:ascii="Times New Roman" w:hAnsi="Times New Roman" w:cs="Times New Roman"/>
          <w:i/>
          <w:sz w:val="24"/>
          <w:szCs w:val="24"/>
        </w:rPr>
        <w:t>Stellarum</w:t>
      </w:r>
      <w:proofErr w:type="spellEnd"/>
      <w:r w:rsidRPr="000E4360">
        <w:rPr>
          <w:rFonts w:ascii="Times New Roman" w:hAnsi="Times New Roman" w:cs="Times New Roman"/>
          <w:i/>
          <w:sz w:val="24"/>
          <w:szCs w:val="24"/>
        </w:rPr>
        <w:t>, or an Almanack for the year 1835</w:t>
      </w:r>
      <w:r w:rsidR="00737771" w:rsidRPr="000E4360">
        <w:rPr>
          <w:rFonts w:ascii="Times New Roman" w:hAnsi="Times New Roman" w:cs="Times New Roman"/>
          <w:i/>
          <w:sz w:val="24"/>
          <w:szCs w:val="24"/>
        </w:rPr>
        <w:t xml:space="preserve"> </w:t>
      </w:r>
      <w:r w:rsidR="00737771" w:rsidRPr="000E4360">
        <w:rPr>
          <w:rFonts w:ascii="Times New Roman" w:hAnsi="Times New Roman" w:cs="Times New Roman"/>
          <w:sz w:val="24"/>
          <w:szCs w:val="24"/>
        </w:rPr>
        <w:t xml:space="preserve">(London: T. </w:t>
      </w:r>
      <w:proofErr w:type="spellStart"/>
      <w:r w:rsidR="00737771" w:rsidRPr="000E4360">
        <w:rPr>
          <w:rFonts w:ascii="Times New Roman" w:hAnsi="Times New Roman" w:cs="Times New Roman"/>
          <w:sz w:val="24"/>
          <w:szCs w:val="24"/>
        </w:rPr>
        <w:t>Carnan</w:t>
      </w:r>
      <w:proofErr w:type="spellEnd"/>
      <w:r w:rsidR="00737771" w:rsidRPr="000E4360">
        <w:rPr>
          <w:rFonts w:ascii="Times New Roman" w:hAnsi="Times New Roman" w:cs="Times New Roman"/>
          <w:sz w:val="24"/>
          <w:szCs w:val="24"/>
        </w:rPr>
        <w:t>, 1835</w:t>
      </w:r>
      <w:r w:rsidR="00737771" w:rsidRPr="000E4360">
        <w:rPr>
          <w:rFonts w:ascii="Times New Roman" w:hAnsi="Times New Roman" w:cs="Times New Roman"/>
          <w:color w:val="4F4F4F"/>
          <w:sz w:val="24"/>
          <w:szCs w:val="24"/>
          <w:shd w:val="clear" w:color="auto" w:fill="FFFEFB"/>
        </w:rPr>
        <w:t>),</w:t>
      </w:r>
      <w:r w:rsidRPr="000E4360">
        <w:rPr>
          <w:rFonts w:ascii="Times New Roman" w:hAnsi="Times New Roman" w:cs="Times New Roman"/>
          <w:color w:val="4F4F4F"/>
          <w:sz w:val="24"/>
          <w:szCs w:val="24"/>
          <w:shd w:val="clear" w:color="auto" w:fill="FFFEFB"/>
        </w:rPr>
        <w:t xml:space="preserve"> p. 29</w:t>
      </w:r>
    </w:p>
  </w:footnote>
  <w:footnote w:id="10">
    <w:p w14:paraId="53CBB471" w14:textId="52AF4417" w:rsidR="00D24CAA" w:rsidRPr="000E4360" w:rsidRDefault="00D24CAA">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w:t>
      </w:r>
      <w:r w:rsidRPr="000E4360">
        <w:rPr>
          <w:rFonts w:ascii="Times New Roman" w:hAnsi="Times New Roman" w:cs="Times New Roman"/>
          <w:i/>
          <w:sz w:val="24"/>
          <w:szCs w:val="24"/>
        </w:rPr>
        <w:t xml:space="preserve">The British Almanac </w:t>
      </w:r>
      <w:r w:rsidRPr="000E4360">
        <w:rPr>
          <w:rFonts w:ascii="Times New Roman" w:hAnsi="Times New Roman" w:cs="Times New Roman"/>
          <w:sz w:val="24"/>
          <w:szCs w:val="24"/>
        </w:rPr>
        <w:t xml:space="preserve">(London: Stationer’s Company, for the Society for the Diffusion of Useful Knowledge, 1839), pp. 243. </w:t>
      </w:r>
    </w:p>
  </w:footnote>
  <w:footnote w:id="11">
    <w:p w14:paraId="6BEFD2C1" w14:textId="4467BA38" w:rsidR="00833AEE" w:rsidRPr="000E4360" w:rsidRDefault="00833AEE">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w:t>
      </w:r>
      <w:r w:rsidR="00ED52CB" w:rsidRPr="000E4360">
        <w:rPr>
          <w:rFonts w:ascii="Times New Roman" w:hAnsi="Times New Roman" w:cs="Times New Roman"/>
          <w:i/>
          <w:sz w:val="24"/>
          <w:szCs w:val="24"/>
        </w:rPr>
        <w:t xml:space="preserve">The Book of </w:t>
      </w:r>
      <w:proofErr w:type="gramStart"/>
      <w:r w:rsidR="00ED52CB" w:rsidRPr="000E4360">
        <w:rPr>
          <w:rFonts w:ascii="Times New Roman" w:hAnsi="Times New Roman" w:cs="Times New Roman"/>
          <w:i/>
          <w:sz w:val="24"/>
          <w:szCs w:val="24"/>
        </w:rPr>
        <w:t>Days :</w:t>
      </w:r>
      <w:proofErr w:type="gramEnd"/>
      <w:r w:rsidR="00ED52CB" w:rsidRPr="000E4360">
        <w:rPr>
          <w:rFonts w:ascii="Times New Roman" w:hAnsi="Times New Roman" w:cs="Times New Roman"/>
          <w:i/>
          <w:sz w:val="24"/>
          <w:szCs w:val="24"/>
        </w:rPr>
        <w:t xml:space="preserve"> A Miscellany of Popular Antiquities, </w:t>
      </w:r>
      <w:r w:rsidR="00ED52CB" w:rsidRPr="000E4360">
        <w:rPr>
          <w:rFonts w:ascii="Times New Roman" w:hAnsi="Times New Roman" w:cs="Times New Roman"/>
          <w:sz w:val="24"/>
          <w:szCs w:val="24"/>
        </w:rPr>
        <w:t xml:space="preserve">ed. by Robert Chambers, 2 vols, (London and Edinburgh: W. and R. Chambers, 1869) I </w:t>
      </w:r>
      <w:r w:rsidR="00987909" w:rsidRPr="000E4360">
        <w:rPr>
          <w:rFonts w:ascii="Times New Roman" w:hAnsi="Times New Roman" w:cs="Times New Roman"/>
          <w:sz w:val="24"/>
          <w:szCs w:val="24"/>
        </w:rPr>
        <w:t>676</w:t>
      </w:r>
      <w:r w:rsidR="00ED52CB" w:rsidRPr="000E4360">
        <w:rPr>
          <w:rFonts w:ascii="Times New Roman" w:hAnsi="Times New Roman" w:cs="Times New Roman"/>
          <w:sz w:val="24"/>
          <w:szCs w:val="24"/>
        </w:rPr>
        <w:t>.</w:t>
      </w:r>
    </w:p>
  </w:footnote>
  <w:footnote w:id="12">
    <w:p w14:paraId="3A7640E6" w14:textId="6EEBA86A" w:rsidR="00224324" w:rsidRPr="000E4360" w:rsidRDefault="00224324">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w:t>
      </w:r>
      <w:r w:rsidRPr="000E4360">
        <w:rPr>
          <w:rFonts w:ascii="Times New Roman" w:hAnsi="Times New Roman" w:cs="Times New Roman"/>
          <w:color w:val="181817"/>
          <w:sz w:val="24"/>
          <w:szCs w:val="24"/>
        </w:rPr>
        <w:t>Myers, Robin. 2009. “The Stationers’ Company and the Almanack Trade,” in </w:t>
      </w:r>
      <w:r w:rsidRPr="000E4360">
        <w:rPr>
          <w:rFonts w:ascii="Times New Roman" w:hAnsi="Times New Roman" w:cs="Times New Roman"/>
          <w:i/>
          <w:iCs/>
          <w:color w:val="181817"/>
          <w:sz w:val="24"/>
          <w:szCs w:val="24"/>
          <w:bdr w:val="none" w:sz="0" w:space="0" w:color="auto" w:frame="1"/>
        </w:rPr>
        <w:t>The Cambridge History of the Book in Britain</w:t>
      </w:r>
      <w:r w:rsidRPr="000E4360">
        <w:rPr>
          <w:rFonts w:ascii="Times New Roman" w:hAnsi="Times New Roman" w:cs="Times New Roman"/>
          <w:color w:val="181817"/>
          <w:sz w:val="24"/>
          <w:szCs w:val="24"/>
        </w:rPr>
        <w:t>, The Cambridge History of the Book in Britain, ed. by Michael F. Suarez, SJ and Michael L. Turner (Cambridge: Cambridge University Press), </w:t>
      </w:r>
      <w:r w:rsidRPr="000E4360">
        <w:rPr>
          <w:rFonts w:ascii="Times New Roman" w:hAnsi="Times New Roman" w:cs="Times New Roman"/>
          <w:smallCaps/>
          <w:color w:val="181817"/>
          <w:sz w:val="24"/>
          <w:szCs w:val="24"/>
          <w:bdr w:val="none" w:sz="0" w:space="0" w:color="auto" w:frame="1"/>
        </w:rPr>
        <w:t>v</w:t>
      </w:r>
      <w:r w:rsidRPr="000E4360">
        <w:rPr>
          <w:rFonts w:ascii="Times New Roman" w:hAnsi="Times New Roman" w:cs="Times New Roman"/>
          <w:color w:val="181817"/>
          <w:sz w:val="24"/>
          <w:szCs w:val="24"/>
        </w:rPr>
        <w:t>, pp. 723–35, p. 733.</w:t>
      </w:r>
    </w:p>
  </w:footnote>
  <w:footnote w:id="13">
    <w:p w14:paraId="66CB3F6A" w14:textId="014EC24E" w:rsidR="00F76097" w:rsidRPr="000E4360" w:rsidRDefault="00F76097">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Rebecca Steinitz, </w:t>
      </w:r>
      <w:r w:rsidRPr="000E4360">
        <w:rPr>
          <w:rFonts w:ascii="Times New Roman" w:hAnsi="Times New Roman" w:cs="Times New Roman"/>
          <w:i/>
          <w:sz w:val="24"/>
          <w:szCs w:val="24"/>
        </w:rPr>
        <w:t>Time, Space and Gender in the Nineteenth-Century British Diary</w:t>
      </w:r>
      <w:r w:rsidRPr="000E4360">
        <w:rPr>
          <w:rFonts w:ascii="Times New Roman" w:hAnsi="Times New Roman" w:cs="Times New Roman"/>
          <w:sz w:val="24"/>
          <w:szCs w:val="24"/>
        </w:rPr>
        <w:t xml:space="preserve"> (New York: Palgrave, 2011), p. 63</w:t>
      </w:r>
      <w:r w:rsidR="00107A89" w:rsidRPr="000E4360">
        <w:rPr>
          <w:rFonts w:ascii="Times New Roman" w:hAnsi="Times New Roman" w:cs="Times New Roman"/>
          <w:sz w:val="24"/>
          <w:szCs w:val="24"/>
        </w:rPr>
        <w:t xml:space="preserve">; </w:t>
      </w:r>
      <w:r w:rsidR="00330C92" w:rsidRPr="000E4360">
        <w:rPr>
          <w:rFonts w:ascii="Times New Roman" w:hAnsi="Times New Roman" w:cs="Times New Roman"/>
          <w:sz w:val="24"/>
          <w:szCs w:val="24"/>
        </w:rPr>
        <w:t xml:space="preserve">on </w:t>
      </w:r>
      <w:proofErr w:type="spellStart"/>
      <w:r w:rsidR="00330C92" w:rsidRPr="000E4360">
        <w:rPr>
          <w:rFonts w:ascii="Times New Roman" w:hAnsi="Times New Roman" w:cs="Times New Roman"/>
          <w:sz w:val="24"/>
          <w:szCs w:val="24"/>
        </w:rPr>
        <w:t>yearliness</w:t>
      </w:r>
      <w:proofErr w:type="spellEnd"/>
      <w:r w:rsidR="00330C92" w:rsidRPr="000E4360">
        <w:rPr>
          <w:rFonts w:ascii="Times New Roman" w:hAnsi="Times New Roman" w:cs="Times New Roman"/>
          <w:sz w:val="24"/>
          <w:szCs w:val="24"/>
        </w:rPr>
        <w:t xml:space="preserve"> see </w:t>
      </w:r>
      <w:r w:rsidR="00171E4A" w:rsidRPr="000E4360">
        <w:rPr>
          <w:rFonts w:ascii="Times New Roman" w:hAnsi="Times New Roman" w:cs="Times New Roman"/>
          <w:sz w:val="24"/>
          <w:szCs w:val="24"/>
        </w:rPr>
        <w:t>p. 25</w:t>
      </w:r>
      <w:r w:rsidR="00330C92" w:rsidRPr="000E4360">
        <w:rPr>
          <w:rFonts w:ascii="Times New Roman" w:hAnsi="Times New Roman" w:cs="Times New Roman"/>
          <w:sz w:val="24"/>
          <w:szCs w:val="24"/>
        </w:rPr>
        <w:t xml:space="preserve"> and Anne and Emily Brontë’s ‘quasi-quadrennial diary papers’</w:t>
      </w:r>
      <w:r w:rsidR="00171E4A" w:rsidRPr="000E4360">
        <w:rPr>
          <w:rFonts w:ascii="Times New Roman" w:hAnsi="Times New Roman" w:cs="Times New Roman"/>
          <w:sz w:val="24"/>
          <w:szCs w:val="24"/>
        </w:rPr>
        <w:t xml:space="preserve"> (p. 161</w:t>
      </w:r>
      <w:r w:rsidR="00330C92" w:rsidRPr="000E4360">
        <w:rPr>
          <w:rFonts w:ascii="Times New Roman" w:hAnsi="Times New Roman" w:cs="Times New Roman"/>
          <w:sz w:val="24"/>
          <w:szCs w:val="24"/>
        </w:rPr>
        <w:t xml:space="preserve">). </w:t>
      </w:r>
    </w:p>
  </w:footnote>
  <w:footnote w:id="14">
    <w:p w14:paraId="2C34C80E" w14:textId="2251200A" w:rsidR="00AA3F1C" w:rsidRPr="00686635" w:rsidRDefault="00AA3F1C">
      <w:pPr>
        <w:pStyle w:val="FootnoteText"/>
        <w:rPr>
          <w:rFonts w:ascii="Times New Roman" w:hAnsi="Times New Roman" w:cs="Times New Roman"/>
          <w:sz w:val="24"/>
          <w:szCs w:val="24"/>
        </w:rPr>
      </w:pPr>
      <w:r w:rsidRPr="00686635">
        <w:rPr>
          <w:rStyle w:val="FootnoteReference"/>
          <w:rFonts w:ascii="Times New Roman" w:hAnsi="Times New Roman" w:cs="Times New Roman"/>
          <w:sz w:val="24"/>
          <w:szCs w:val="24"/>
        </w:rPr>
        <w:footnoteRef/>
      </w:r>
      <w:r w:rsidRPr="00686635">
        <w:rPr>
          <w:rFonts w:ascii="Times New Roman" w:hAnsi="Times New Roman" w:cs="Times New Roman"/>
          <w:sz w:val="24"/>
          <w:szCs w:val="24"/>
        </w:rPr>
        <w:t xml:space="preserve"> Transcription as in </w:t>
      </w:r>
      <w:r w:rsidRPr="00686635">
        <w:rPr>
          <w:rFonts w:ascii="Times New Roman" w:hAnsi="Times New Roman" w:cs="Times New Roman"/>
          <w:i/>
          <w:sz w:val="24"/>
          <w:szCs w:val="24"/>
        </w:rPr>
        <w:t xml:space="preserve">Tales of Glass Town, Angria, and </w:t>
      </w:r>
      <w:proofErr w:type="spellStart"/>
      <w:r w:rsidRPr="00686635">
        <w:rPr>
          <w:rFonts w:ascii="Times New Roman" w:hAnsi="Times New Roman" w:cs="Times New Roman"/>
          <w:i/>
          <w:sz w:val="24"/>
          <w:szCs w:val="24"/>
        </w:rPr>
        <w:t>Gondal</w:t>
      </w:r>
      <w:proofErr w:type="spellEnd"/>
      <w:r w:rsidRPr="00686635">
        <w:rPr>
          <w:rFonts w:ascii="Times New Roman" w:hAnsi="Times New Roman" w:cs="Times New Roman"/>
          <w:i/>
          <w:sz w:val="24"/>
          <w:szCs w:val="24"/>
        </w:rPr>
        <w:t xml:space="preserve">: Selected Early Writings, </w:t>
      </w:r>
      <w:r w:rsidRPr="00686635">
        <w:rPr>
          <w:rFonts w:ascii="Times New Roman" w:hAnsi="Times New Roman" w:cs="Times New Roman"/>
          <w:sz w:val="24"/>
          <w:szCs w:val="24"/>
        </w:rPr>
        <w:t>ed. by Christine Alexander (Oxford: OUP, 2010), p.</w:t>
      </w:r>
      <w:r w:rsidRPr="00686635">
        <w:rPr>
          <w:rFonts w:ascii="Times New Roman" w:hAnsi="Times New Roman" w:cs="Times New Roman"/>
          <w:i/>
          <w:sz w:val="24"/>
          <w:szCs w:val="24"/>
        </w:rPr>
        <w:t xml:space="preserve"> </w:t>
      </w:r>
      <w:r w:rsidRPr="00686635">
        <w:rPr>
          <w:rFonts w:ascii="Times New Roman" w:hAnsi="Times New Roman" w:cs="Times New Roman"/>
          <w:sz w:val="24"/>
          <w:szCs w:val="24"/>
        </w:rPr>
        <w:t>487.</w:t>
      </w:r>
    </w:p>
  </w:footnote>
  <w:footnote w:id="15">
    <w:p w14:paraId="4F62F10F" w14:textId="0D763FBA" w:rsidR="003F286A" w:rsidRPr="000E4360" w:rsidRDefault="003F286A" w:rsidP="003F286A">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Horace Pym ed., </w:t>
      </w:r>
      <w:r w:rsidRPr="000E4360">
        <w:rPr>
          <w:rFonts w:ascii="Times New Roman" w:hAnsi="Times New Roman" w:cs="Times New Roman"/>
          <w:i/>
          <w:sz w:val="24"/>
          <w:szCs w:val="24"/>
        </w:rPr>
        <w:t xml:space="preserve">Memories of Old Friends, being Extracts from the Journals and Letters of Caroline Fox </w:t>
      </w:r>
      <w:r w:rsidRPr="000E4360">
        <w:rPr>
          <w:rFonts w:ascii="Times New Roman" w:hAnsi="Times New Roman" w:cs="Times New Roman"/>
          <w:sz w:val="24"/>
          <w:szCs w:val="24"/>
        </w:rPr>
        <w:t>(Leipzig: Tauchnitz, 1882)</w:t>
      </w:r>
      <w:r w:rsidR="00021665" w:rsidRPr="000E4360">
        <w:rPr>
          <w:rFonts w:ascii="Times New Roman" w:hAnsi="Times New Roman" w:cs="Times New Roman"/>
          <w:sz w:val="24"/>
          <w:szCs w:val="24"/>
        </w:rPr>
        <w:t xml:space="preserve"> </w:t>
      </w:r>
      <w:r w:rsidRPr="000E4360">
        <w:rPr>
          <w:rFonts w:ascii="Times New Roman" w:hAnsi="Times New Roman" w:cs="Times New Roman"/>
          <w:sz w:val="24"/>
          <w:szCs w:val="24"/>
        </w:rPr>
        <w:t>108</w:t>
      </w:r>
    </w:p>
  </w:footnote>
  <w:footnote w:id="16">
    <w:p w14:paraId="21C6A371" w14:textId="6F3E241F" w:rsidR="003F286A" w:rsidRPr="000E4360" w:rsidRDefault="003F286A" w:rsidP="003F286A">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151</w:t>
      </w:r>
      <w:r w:rsidR="00B301A2">
        <w:rPr>
          <w:rFonts w:ascii="Times New Roman" w:hAnsi="Times New Roman" w:cs="Times New Roman"/>
          <w:sz w:val="24"/>
          <w:szCs w:val="24"/>
        </w:rPr>
        <w:t xml:space="preserve">. </w:t>
      </w:r>
      <w:r w:rsidR="00ED0B30">
        <w:rPr>
          <w:rFonts w:ascii="Times New Roman" w:hAnsi="Times New Roman" w:cs="Times New Roman"/>
          <w:sz w:val="24"/>
          <w:szCs w:val="24"/>
        </w:rPr>
        <w:t>On Q</w:t>
      </w:r>
      <w:r w:rsidR="00B301A2">
        <w:rPr>
          <w:rFonts w:ascii="Times New Roman" w:hAnsi="Times New Roman" w:cs="Times New Roman"/>
          <w:sz w:val="24"/>
          <w:szCs w:val="24"/>
        </w:rPr>
        <w:t>uakers</w:t>
      </w:r>
      <w:r w:rsidR="00ED0B30">
        <w:rPr>
          <w:rFonts w:ascii="Times New Roman" w:hAnsi="Times New Roman" w:cs="Times New Roman"/>
          <w:sz w:val="24"/>
          <w:szCs w:val="24"/>
        </w:rPr>
        <w:t xml:space="preserve">’ objections </w:t>
      </w:r>
      <w:r w:rsidR="00B301A2">
        <w:rPr>
          <w:rFonts w:ascii="Times New Roman" w:hAnsi="Times New Roman" w:cs="Times New Roman"/>
          <w:sz w:val="24"/>
          <w:szCs w:val="24"/>
        </w:rPr>
        <w:t>to drinking and to toasts</w:t>
      </w:r>
      <w:r w:rsidR="00ED0B30">
        <w:rPr>
          <w:rFonts w:ascii="Times New Roman" w:hAnsi="Times New Roman" w:cs="Times New Roman"/>
          <w:sz w:val="24"/>
          <w:szCs w:val="24"/>
        </w:rPr>
        <w:t xml:space="preserve"> s</w:t>
      </w:r>
      <w:r w:rsidR="00B301A2">
        <w:rPr>
          <w:rFonts w:ascii="Times New Roman" w:hAnsi="Times New Roman" w:cs="Times New Roman"/>
          <w:sz w:val="24"/>
          <w:szCs w:val="24"/>
        </w:rPr>
        <w:t xml:space="preserve">ee Thomas Clarkson, </w:t>
      </w:r>
      <w:r w:rsidR="00B301A2">
        <w:rPr>
          <w:rFonts w:ascii="Times New Roman" w:hAnsi="Times New Roman" w:cs="Times New Roman"/>
          <w:i/>
          <w:sz w:val="24"/>
          <w:szCs w:val="24"/>
        </w:rPr>
        <w:t xml:space="preserve">A Portraiture of Quakerism </w:t>
      </w:r>
      <w:r w:rsidR="00ED0B30">
        <w:rPr>
          <w:rFonts w:ascii="Times New Roman" w:hAnsi="Times New Roman" w:cs="Times New Roman"/>
          <w:sz w:val="24"/>
          <w:szCs w:val="24"/>
        </w:rPr>
        <w:t xml:space="preserve">3 vols </w:t>
      </w:r>
      <w:r w:rsidR="00B301A2">
        <w:rPr>
          <w:rFonts w:ascii="Times New Roman" w:hAnsi="Times New Roman" w:cs="Times New Roman"/>
          <w:sz w:val="24"/>
          <w:szCs w:val="24"/>
        </w:rPr>
        <w:t xml:space="preserve">(New York: S. Stansbury, 1806), </w:t>
      </w:r>
      <w:r w:rsidR="00ED0B30">
        <w:rPr>
          <w:rFonts w:ascii="Times New Roman" w:hAnsi="Times New Roman" w:cs="Times New Roman"/>
          <w:sz w:val="24"/>
          <w:szCs w:val="24"/>
        </w:rPr>
        <w:t>1, pp. 355-7.</w:t>
      </w:r>
    </w:p>
  </w:footnote>
  <w:footnote w:id="17">
    <w:p w14:paraId="27FE29F4" w14:textId="354416E1" w:rsidR="00EB34B7" w:rsidRPr="000E4360" w:rsidRDefault="00EB34B7">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w:t>
      </w:r>
      <w:r w:rsidR="001853D1" w:rsidRPr="000E4360">
        <w:rPr>
          <w:rFonts w:ascii="Times New Roman" w:hAnsi="Times New Roman" w:cs="Times New Roman"/>
          <w:i/>
          <w:sz w:val="24"/>
          <w:szCs w:val="24"/>
        </w:rPr>
        <w:t xml:space="preserve">Autobiography and Letters of Mrs Margaret Oliphant, </w:t>
      </w:r>
      <w:r w:rsidR="001853D1" w:rsidRPr="000E4360">
        <w:rPr>
          <w:rFonts w:ascii="Times New Roman" w:hAnsi="Times New Roman" w:cs="Times New Roman"/>
          <w:sz w:val="24"/>
          <w:szCs w:val="24"/>
        </w:rPr>
        <w:t>ed. by</w:t>
      </w:r>
      <w:r w:rsidR="001853D1" w:rsidRPr="000E4360">
        <w:rPr>
          <w:rFonts w:ascii="Times New Roman" w:hAnsi="Times New Roman" w:cs="Times New Roman"/>
          <w:i/>
          <w:sz w:val="24"/>
          <w:szCs w:val="24"/>
        </w:rPr>
        <w:t xml:space="preserve"> </w:t>
      </w:r>
      <w:r w:rsidRPr="000E4360">
        <w:rPr>
          <w:rFonts w:ascii="Times New Roman" w:hAnsi="Times New Roman" w:cs="Times New Roman"/>
          <w:sz w:val="24"/>
          <w:szCs w:val="24"/>
        </w:rPr>
        <w:t>Mrs Harr</w:t>
      </w:r>
      <w:r w:rsidR="001853D1" w:rsidRPr="000E4360">
        <w:rPr>
          <w:rFonts w:ascii="Times New Roman" w:hAnsi="Times New Roman" w:cs="Times New Roman"/>
          <w:sz w:val="24"/>
          <w:szCs w:val="24"/>
        </w:rPr>
        <w:t>y</w:t>
      </w:r>
      <w:r w:rsidR="008B7840">
        <w:rPr>
          <w:rFonts w:ascii="Times New Roman" w:hAnsi="Times New Roman" w:cs="Times New Roman"/>
          <w:sz w:val="24"/>
          <w:szCs w:val="24"/>
        </w:rPr>
        <w:t xml:space="preserve"> </w:t>
      </w:r>
      <w:r w:rsidR="001853D1" w:rsidRPr="000E4360">
        <w:rPr>
          <w:rFonts w:ascii="Times New Roman" w:hAnsi="Times New Roman" w:cs="Times New Roman"/>
          <w:sz w:val="24"/>
          <w:szCs w:val="24"/>
        </w:rPr>
        <w:t xml:space="preserve">Coghill, </w:t>
      </w:r>
      <w:proofErr w:type="spellStart"/>
      <w:r w:rsidR="001853D1" w:rsidRPr="000E4360">
        <w:rPr>
          <w:rFonts w:ascii="Times New Roman" w:hAnsi="Times New Roman" w:cs="Times New Roman"/>
          <w:sz w:val="24"/>
          <w:szCs w:val="24"/>
        </w:rPr>
        <w:t>introd</w:t>
      </w:r>
      <w:proofErr w:type="spellEnd"/>
      <w:r w:rsidR="001853D1" w:rsidRPr="000E4360">
        <w:rPr>
          <w:rFonts w:ascii="Times New Roman" w:hAnsi="Times New Roman" w:cs="Times New Roman"/>
          <w:sz w:val="24"/>
          <w:szCs w:val="24"/>
        </w:rPr>
        <w:t>.</w:t>
      </w:r>
      <w:r w:rsidR="0045089D" w:rsidRPr="000E4360">
        <w:rPr>
          <w:rFonts w:ascii="Times New Roman" w:hAnsi="Times New Roman" w:cs="Times New Roman"/>
          <w:sz w:val="24"/>
          <w:szCs w:val="24"/>
        </w:rPr>
        <w:t xml:space="preserve"> Q. D. </w:t>
      </w:r>
      <w:proofErr w:type="spellStart"/>
      <w:r w:rsidR="0045089D" w:rsidRPr="000E4360">
        <w:rPr>
          <w:rFonts w:ascii="Times New Roman" w:hAnsi="Times New Roman" w:cs="Times New Roman"/>
          <w:sz w:val="24"/>
          <w:szCs w:val="24"/>
        </w:rPr>
        <w:t>Leavis</w:t>
      </w:r>
      <w:proofErr w:type="spellEnd"/>
      <w:r w:rsidRPr="000E4360">
        <w:rPr>
          <w:rFonts w:ascii="Times New Roman" w:hAnsi="Times New Roman" w:cs="Times New Roman"/>
          <w:sz w:val="24"/>
          <w:szCs w:val="24"/>
        </w:rPr>
        <w:t xml:space="preserve"> (Leicester: Leicester University Press, 1974), pp. 435-7, 439.</w:t>
      </w:r>
    </w:p>
  </w:footnote>
  <w:footnote w:id="18">
    <w:p w14:paraId="1B4F32BD" w14:textId="3EE89A43" w:rsidR="009C3EAF" w:rsidRPr="000E4360" w:rsidRDefault="009C3EAF">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w:t>
      </w:r>
      <w:r w:rsidR="001E3C98">
        <w:rPr>
          <w:rFonts w:ascii="Times New Roman" w:hAnsi="Times New Roman" w:cs="Times New Roman"/>
          <w:sz w:val="24"/>
          <w:szCs w:val="24"/>
        </w:rPr>
        <w:t xml:space="preserve">Oliphant, </w:t>
      </w:r>
      <w:r w:rsidRPr="000E4360">
        <w:rPr>
          <w:rFonts w:ascii="Times New Roman" w:hAnsi="Times New Roman" w:cs="Times New Roman"/>
          <w:sz w:val="24"/>
          <w:szCs w:val="24"/>
        </w:rPr>
        <w:t>436.</w:t>
      </w:r>
    </w:p>
  </w:footnote>
  <w:footnote w:id="19">
    <w:p w14:paraId="0E5DC7F1" w14:textId="4055BCE2" w:rsidR="00171E4A" w:rsidRPr="000E4360" w:rsidRDefault="00171E4A">
      <w:pPr>
        <w:pStyle w:val="FootnoteText"/>
        <w:rPr>
          <w:rFonts w:ascii="Times New Roman" w:hAnsi="Times New Roman" w:cs="Times New Roman"/>
          <w:sz w:val="24"/>
          <w:szCs w:val="24"/>
        </w:rPr>
      </w:pPr>
      <w:r w:rsidRPr="00F44BC0">
        <w:rPr>
          <w:rStyle w:val="FootnoteReference"/>
        </w:rPr>
        <w:footnoteRef/>
      </w:r>
      <w:r w:rsidRPr="000E4360">
        <w:rPr>
          <w:rFonts w:ascii="Times New Roman" w:hAnsi="Times New Roman" w:cs="Times New Roman"/>
          <w:sz w:val="24"/>
          <w:szCs w:val="24"/>
        </w:rPr>
        <w:t xml:space="preserve"> Steinitz,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E29B" w14:textId="77777777" w:rsidR="00C868A6" w:rsidRDefault="00C86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DEBD" w14:textId="77777777" w:rsidR="00C868A6" w:rsidRDefault="00C868A6">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BAD9" w14:textId="77777777" w:rsidR="00C868A6" w:rsidRDefault="00C86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D0EC8"/>
    <w:multiLevelType w:val="hybridMultilevel"/>
    <w:tmpl w:val="6F9C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5A"/>
    <w:rsid w:val="0000460B"/>
    <w:rsid w:val="00006443"/>
    <w:rsid w:val="00010596"/>
    <w:rsid w:val="00015484"/>
    <w:rsid w:val="000204DB"/>
    <w:rsid w:val="00021665"/>
    <w:rsid w:val="00025A85"/>
    <w:rsid w:val="0003303C"/>
    <w:rsid w:val="0004326C"/>
    <w:rsid w:val="00053A6C"/>
    <w:rsid w:val="00067C7F"/>
    <w:rsid w:val="00074B47"/>
    <w:rsid w:val="000759F0"/>
    <w:rsid w:val="00081947"/>
    <w:rsid w:val="00082A9C"/>
    <w:rsid w:val="000A3ED9"/>
    <w:rsid w:val="000B3667"/>
    <w:rsid w:val="000C3FA2"/>
    <w:rsid w:val="000D1266"/>
    <w:rsid w:val="000D42C7"/>
    <w:rsid w:val="000D671F"/>
    <w:rsid w:val="000E4360"/>
    <w:rsid w:val="000F16F7"/>
    <w:rsid w:val="000F58BF"/>
    <w:rsid w:val="00100ED9"/>
    <w:rsid w:val="00107A89"/>
    <w:rsid w:val="0011576B"/>
    <w:rsid w:val="00121C89"/>
    <w:rsid w:val="00124D8D"/>
    <w:rsid w:val="001314B1"/>
    <w:rsid w:val="00131B46"/>
    <w:rsid w:val="00137216"/>
    <w:rsid w:val="001411BD"/>
    <w:rsid w:val="00152C38"/>
    <w:rsid w:val="001669B5"/>
    <w:rsid w:val="00171E4A"/>
    <w:rsid w:val="00171FBD"/>
    <w:rsid w:val="001776CB"/>
    <w:rsid w:val="001853D1"/>
    <w:rsid w:val="001C1FAE"/>
    <w:rsid w:val="001D4FC4"/>
    <w:rsid w:val="001E3C98"/>
    <w:rsid w:val="001E760A"/>
    <w:rsid w:val="001F05B6"/>
    <w:rsid w:val="001F4692"/>
    <w:rsid w:val="00201008"/>
    <w:rsid w:val="002039F1"/>
    <w:rsid w:val="002078EF"/>
    <w:rsid w:val="002220AB"/>
    <w:rsid w:val="00224324"/>
    <w:rsid w:val="0023107D"/>
    <w:rsid w:val="00234B44"/>
    <w:rsid w:val="00236B7D"/>
    <w:rsid w:val="002649B6"/>
    <w:rsid w:val="002732D8"/>
    <w:rsid w:val="00295F05"/>
    <w:rsid w:val="002B05BA"/>
    <w:rsid w:val="002D1164"/>
    <w:rsid w:val="002D1C3E"/>
    <w:rsid w:val="002E0109"/>
    <w:rsid w:val="002E2535"/>
    <w:rsid w:val="002E3594"/>
    <w:rsid w:val="002E53F7"/>
    <w:rsid w:val="002E5773"/>
    <w:rsid w:val="002E6BCF"/>
    <w:rsid w:val="002E752B"/>
    <w:rsid w:val="00300C13"/>
    <w:rsid w:val="00326285"/>
    <w:rsid w:val="003277AB"/>
    <w:rsid w:val="00330C92"/>
    <w:rsid w:val="00341714"/>
    <w:rsid w:val="00343F7B"/>
    <w:rsid w:val="0035149E"/>
    <w:rsid w:val="003523F4"/>
    <w:rsid w:val="003532A2"/>
    <w:rsid w:val="003549F9"/>
    <w:rsid w:val="00365693"/>
    <w:rsid w:val="00365FE9"/>
    <w:rsid w:val="00386ED6"/>
    <w:rsid w:val="00393CC5"/>
    <w:rsid w:val="003A2404"/>
    <w:rsid w:val="003A2924"/>
    <w:rsid w:val="003A601E"/>
    <w:rsid w:val="003A7E06"/>
    <w:rsid w:val="003B5D27"/>
    <w:rsid w:val="003B7C08"/>
    <w:rsid w:val="003E3B29"/>
    <w:rsid w:val="003F1106"/>
    <w:rsid w:val="003F1A42"/>
    <w:rsid w:val="003F286A"/>
    <w:rsid w:val="003F3658"/>
    <w:rsid w:val="003F6579"/>
    <w:rsid w:val="004053E2"/>
    <w:rsid w:val="00407CCC"/>
    <w:rsid w:val="00427A98"/>
    <w:rsid w:val="0043116E"/>
    <w:rsid w:val="004316F9"/>
    <w:rsid w:val="00433884"/>
    <w:rsid w:val="00433938"/>
    <w:rsid w:val="00445D35"/>
    <w:rsid w:val="0045089D"/>
    <w:rsid w:val="00452C57"/>
    <w:rsid w:val="004537D9"/>
    <w:rsid w:val="00464D4D"/>
    <w:rsid w:val="0048492B"/>
    <w:rsid w:val="00495E75"/>
    <w:rsid w:val="004E3240"/>
    <w:rsid w:val="004F10E5"/>
    <w:rsid w:val="004F33F3"/>
    <w:rsid w:val="004F4820"/>
    <w:rsid w:val="00510A02"/>
    <w:rsid w:val="00513842"/>
    <w:rsid w:val="00521D5A"/>
    <w:rsid w:val="00527757"/>
    <w:rsid w:val="00532A55"/>
    <w:rsid w:val="00536241"/>
    <w:rsid w:val="00536A9E"/>
    <w:rsid w:val="005401E1"/>
    <w:rsid w:val="005424EB"/>
    <w:rsid w:val="00552595"/>
    <w:rsid w:val="00553CA9"/>
    <w:rsid w:val="00554C92"/>
    <w:rsid w:val="00566EB6"/>
    <w:rsid w:val="00584497"/>
    <w:rsid w:val="0059272E"/>
    <w:rsid w:val="00596C41"/>
    <w:rsid w:val="005A37F0"/>
    <w:rsid w:val="005A39A9"/>
    <w:rsid w:val="005A5425"/>
    <w:rsid w:val="005B1E0B"/>
    <w:rsid w:val="005B4815"/>
    <w:rsid w:val="005E22A6"/>
    <w:rsid w:val="005F047B"/>
    <w:rsid w:val="005F2030"/>
    <w:rsid w:val="00612971"/>
    <w:rsid w:val="00613491"/>
    <w:rsid w:val="006148DE"/>
    <w:rsid w:val="006378E1"/>
    <w:rsid w:val="00650581"/>
    <w:rsid w:val="00650712"/>
    <w:rsid w:val="00657516"/>
    <w:rsid w:val="00661A8A"/>
    <w:rsid w:val="00672407"/>
    <w:rsid w:val="006754D7"/>
    <w:rsid w:val="00686635"/>
    <w:rsid w:val="006B0544"/>
    <w:rsid w:val="006C366E"/>
    <w:rsid w:val="006C4128"/>
    <w:rsid w:val="006C4F7C"/>
    <w:rsid w:val="006D3B51"/>
    <w:rsid w:val="006F35BE"/>
    <w:rsid w:val="006F476C"/>
    <w:rsid w:val="007121B6"/>
    <w:rsid w:val="007137FF"/>
    <w:rsid w:val="007223AD"/>
    <w:rsid w:val="00725DFA"/>
    <w:rsid w:val="00736E85"/>
    <w:rsid w:val="00737771"/>
    <w:rsid w:val="0074772D"/>
    <w:rsid w:val="007500DF"/>
    <w:rsid w:val="00753554"/>
    <w:rsid w:val="00754DD8"/>
    <w:rsid w:val="00760B81"/>
    <w:rsid w:val="00762332"/>
    <w:rsid w:val="00765ABA"/>
    <w:rsid w:val="00782508"/>
    <w:rsid w:val="00784C4C"/>
    <w:rsid w:val="007859BE"/>
    <w:rsid w:val="00785C01"/>
    <w:rsid w:val="00785DBD"/>
    <w:rsid w:val="00794C31"/>
    <w:rsid w:val="007B4BDF"/>
    <w:rsid w:val="007C2151"/>
    <w:rsid w:val="007C33FA"/>
    <w:rsid w:val="007D136E"/>
    <w:rsid w:val="007D1E10"/>
    <w:rsid w:val="007E774B"/>
    <w:rsid w:val="007F6EBF"/>
    <w:rsid w:val="0080554B"/>
    <w:rsid w:val="00810EE3"/>
    <w:rsid w:val="00821F7F"/>
    <w:rsid w:val="0082619C"/>
    <w:rsid w:val="008339CD"/>
    <w:rsid w:val="00833AEE"/>
    <w:rsid w:val="008503F6"/>
    <w:rsid w:val="00856E3D"/>
    <w:rsid w:val="00871E3C"/>
    <w:rsid w:val="00876C9F"/>
    <w:rsid w:val="00877189"/>
    <w:rsid w:val="00877C93"/>
    <w:rsid w:val="00880C53"/>
    <w:rsid w:val="00883783"/>
    <w:rsid w:val="00883C2D"/>
    <w:rsid w:val="008A2C26"/>
    <w:rsid w:val="008B1294"/>
    <w:rsid w:val="008B2BCB"/>
    <w:rsid w:val="008B7840"/>
    <w:rsid w:val="008C42AC"/>
    <w:rsid w:val="008C617D"/>
    <w:rsid w:val="008D5887"/>
    <w:rsid w:val="008E1D18"/>
    <w:rsid w:val="009335A4"/>
    <w:rsid w:val="009428BD"/>
    <w:rsid w:val="00954372"/>
    <w:rsid w:val="009725C4"/>
    <w:rsid w:val="009838BD"/>
    <w:rsid w:val="00984AE9"/>
    <w:rsid w:val="0098618F"/>
    <w:rsid w:val="00987909"/>
    <w:rsid w:val="00992205"/>
    <w:rsid w:val="00997AB5"/>
    <w:rsid w:val="009B2DB8"/>
    <w:rsid w:val="009C2545"/>
    <w:rsid w:val="009C3EAF"/>
    <w:rsid w:val="009C56B3"/>
    <w:rsid w:val="009D32FC"/>
    <w:rsid w:val="009D4901"/>
    <w:rsid w:val="009D5614"/>
    <w:rsid w:val="009D795D"/>
    <w:rsid w:val="009E5C34"/>
    <w:rsid w:val="009F7AF3"/>
    <w:rsid w:val="00A02129"/>
    <w:rsid w:val="00A0562B"/>
    <w:rsid w:val="00A0670A"/>
    <w:rsid w:val="00A06943"/>
    <w:rsid w:val="00A11DE8"/>
    <w:rsid w:val="00A13819"/>
    <w:rsid w:val="00A14176"/>
    <w:rsid w:val="00A160E3"/>
    <w:rsid w:val="00A32EDC"/>
    <w:rsid w:val="00A34635"/>
    <w:rsid w:val="00A41EFA"/>
    <w:rsid w:val="00A42A0F"/>
    <w:rsid w:val="00A4537B"/>
    <w:rsid w:val="00A53C77"/>
    <w:rsid w:val="00A57CEA"/>
    <w:rsid w:val="00A602C1"/>
    <w:rsid w:val="00A646C4"/>
    <w:rsid w:val="00A7452A"/>
    <w:rsid w:val="00A81D97"/>
    <w:rsid w:val="00A83417"/>
    <w:rsid w:val="00A83BE0"/>
    <w:rsid w:val="00A84B83"/>
    <w:rsid w:val="00A9301E"/>
    <w:rsid w:val="00A95819"/>
    <w:rsid w:val="00AA1C3D"/>
    <w:rsid w:val="00AA3A1C"/>
    <w:rsid w:val="00AA3B63"/>
    <w:rsid w:val="00AA3F1C"/>
    <w:rsid w:val="00AC1E31"/>
    <w:rsid w:val="00AC69A3"/>
    <w:rsid w:val="00AE03F2"/>
    <w:rsid w:val="00AE1D64"/>
    <w:rsid w:val="00AE2933"/>
    <w:rsid w:val="00AE3475"/>
    <w:rsid w:val="00AF2F1A"/>
    <w:rsid w:val="00AF661C"/>
    <w:rsid w:val="00B03123"/>
    <w:rsid w:val="00B043BF"/>
    <w:rsid w:val="00B176F4"/>
    <w:rsid w:val="00B221FE"/>
    <w:rsid w:val="00B2413E"/>
    <w:rsid w:val="00B301A2"/>
    <w:rsid w:val="00B62667"/>
    <w:rsid w:val="00B63673"/>
    <w:rsid w:val="00B6394D"/>
    <w:rsid w:val="00B6626C"/>
    <w:rsid w:val="00B87B28"/>
    <w:rsid w:val="00B966CE"/>
    <w:rsid w:val="00B97CA0"/>
    <w:rsid w:val="00C04A89"/>
    <w:rsid w:val="00C15C77"/>
    <w:rsid w:val="00C20FE4"/>
    <w:rsid w:val="00C265C5"/>
    <w:rsid w:val="00C32687"/>
    <w:rsid w:val="00C37DC1"/>
    <w:rsid w:val="00C44041"/>
    <w:rsid w:val="00C519CD"/>
    <w:rsid w:val="00C52071"/>
    <w:rsid w:val="00C60A0F"/>
    <w:rsid w:val="00C64571"/>
    <w:rsid w:val="00C64FA7"/>
    <w:rsid w:val="00C868A6"/>
    <w:rsid w:val="00CC0175"/>
    <w:rsid w:val="00CC3457"/>
    <w:rsid w:val="00CD64DC"/>
    <w:rsid w:val="00CE2731"/>
    <w:rsid w:val="00CE2E50"/>
    <w:rsid w:val="00CE63C8"/>
    <w:rsid w:val="00D023B5"/>
    <w:rsid w:val="00D1410E"/>
    <w:rsid w:val="00D24CAA"/>
    <w:rsid w:val="00D356EF"/>
    <w:rsid w:val="00D35F15"/>
    <w:rsid w:val="00D52333"/>
    <w:rsid w:val="00D541DD"/>
    <w:rsid w:val="00D624E6"/>
    <w:rsid w:val="00DA053B"/>
    <w:rsid w:val="00DA2D6C"/>
    <w:rsid w:val="00DA75E9"/>
    <w:rsid w:val="00DB79CD"/>
    <w:rsid w:val="00DC399E"/>
    <w:rsid w:val="00DC4629"/>
    <w:rsid w:val="00DD427F"/>
    <w:rsid w:val="00DE77D3"/>
    <w:rsid w:val="00DF16F4"/>
    <w:rsid w:val="00E058C4"/>
    <w:rsid w:val="00E061B4"/>
    <w:rsid w:val="00E07F1A"/>
    <w:rsid w:val="00E12179"/>
    <w:rsid w:val="00E25A43"/>
    <w:rsid w:val="00E33011"/>
    <w:rsid w:val="00E36518"/>
    <w:rsid w:val="00E413EE"/>
    <w:rsid w:val="00E441C4"/>
    <w:rsid w:val="00E51864"/>
    <w:rsid w:val="00E73FE0"/>
    <w:rsid w:val="00E76A98"/>
    <w:rsid w:val="00E80CD5"/>
    <w:rsid w:val="00E9167F"/>
    <w:rsid w:val="00E968F5"/>
    <w:rsid w:val="00EB34B7"/>
    <w:rsid w:val="00EB5001"/>
    <w:rsid w:val="00EB7A07"/>
    <w:rsid w:val="00EC0D62"/>
    <w:rsid w:val="00ED0B30"/>
    <w:rsid w:val="00ED52CB"/>
    <w:rsid w:val="00EE4C3E"/>
    <w:rsid w:val="00F03BBA"/>
    <w:rsid w:val="00F03EE9"/>
    <w:rsid w:val="00F106CF"/>
    <w:rsid w:val="00F13159"/>
    <w:rsid w:val="00F141C2"/>
    <w:rsid w:val="00F17C69"/>
    <w:rsid w:val="00F270EB"/>
    <w:rsid w:val="00F302F7"/>
    <w:rsid w:val="00F44BC0"/>
    <w:rsid w:val="00F452F0"/>
    <w:rsid w:val="00F5327A"/>
    <w:rsid w:val="00F537D1"/>
    <w:rsid w:val="00F73EC8"/>
    <w:rsid w:val="00F76097"/>
    <w:rsid w:val="00F76720"/>
    <w:rsid w:val="00F8017D"/>
    <w:rsid w:val="00F8531C"/>
    <w:rsid w:val="00FB0BA6"/>
    <w:rsid w:val="00FB39EB"/>
    <w:rsid w:val="00FB5076"/>
    <w:rsid w:val="00FE08D9"/>
    <w:rsid w:val="00FF4D0D"/>
    <w:rsid w:val="00FF6F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1BE4"/>
  <w15:docId w15:val="{5BFD7882-06C7-4292-89EB-3A48A818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10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5149E"/>
    <w:pPr>
      <w:pBdr>
        <w:top w:val="nil"/>
        <w:left w:val="nil"/>
        <w:bottom w:val="nil"/>
        <w:right w:val="nil"/>
        <w:between w:val="nil"/>
      </w:pBdr>
      <w:spacing w:after="0" w:line="240" w:lineRule="auto"/>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35149E"/>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35149E"/>
    <w:rPr>
      <w:sz w:val="16"/>
      <w:szCs w:val="16"/>
    </w:rPr>
  </w:style>
  <w:style w:type="paragraph" w:styleId="BalloonText">
    <w:name w:val="Balloon Text"/>
    <w:basedOn w:val="Normal"/>
    <w:link w:val="BalloonTextChar"/>
    <w:uiPriority w:val="99"/>
    <w:semiHidden/>
    <w:unhideWhenUsed/>
    <w:rsid w:val="00351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49E"/>
    <w:rPr>
      <w:rFonts w:ascii="Segoe UI" w:hAnsi="Segoe UI" w:cs="Segoe UI"/>
      <w:sz w:val="18"/>
      <w:szCs w:val="18"/>
    </w:rPr>
  </w:style>
  <w:style w:type="character" w:styleId="FootnoteReference">
    <w:name w:val="footnote reference"/>
    <w:basedOn w:val="DefaultParagraphFont"/>
    <w:uiPriority w:val="99"/>
    <w:semiHidden/>
    <w:unhideWhenUsed/>
    <w:rsid w:val="0035149E"/>
    <w:rPr>
      <w:vertAlign w:val="superscript"/>
    </w:rPr>
  </w:style>
  <w:style w:type="paragraph" w:styleId="FootnoteText">
    <w:name w:val="footnote text"/>
    <w:basedOn w:val="Normal"/>
    <w:link w:val="FootnoteTextChar"/>
    <w:uiPriority w:val="99"/>
    <w:semiHidden/>
    <w:unhideWhenUsed/>
    <w:rsid w:val="0035149E"/>
    <w:pPr>
      <w:pBdr>
        <w:top w:val="nil"/>
        <w:left w:val="nil"/>
        <w:bottom w:val="nil"/>
        <w:right w:val="nil"/>
        <w:between w:val="nil"/>
      </w:pBdr>
      <w:spacing w:after="0" w:line="240" w:lineRule="auto"/>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semiHidden/>
    <w:rsid w:val="0035149E"/>
    <w:rPr>
      <w:rFonts w:ascii="Arial" w:eastAsia="Arial" w:hAnsi="Arial" w:cs="Arial"/>
      <w:color w:val="000000"/>
      <w:sz w:val="20"/>
      <w:szCs w:val="20"/>
      <w:lang w:eastAsia="en-GB"/>
    </w:rPr>
  </w:style>
  <w:style w:type="character" w:styleId="Hyperlink">
    <w:name w:val="Hyperlink"/>
    <w:basedOn w:val="DefaultParagraphFont"/>
    <w:uiPriority w:val="99"/>
    <w:unhideWhenUsed/>
    <w:rsid w:val="0035149E"/>
    <w:rPr>
      <w:color w:val="0563C1" w:themeColor="hyperlink"/>
      <w:u w:val="single"/>
    </w:rPr>
  </w:style>
  <w:style w:type="character" w:customStyle="1" w:styleId="UnresolvedMention1">
    <w:name w:val="Unresolved Mention1"/>
    <w:basedOn w:val="DefaultParagraphFont"/>
    <w:uiPriority w:val="99"/>
    <w:semiHidden/>
    <w:unhideWhenUsed/>
    <w:rsid w:val="0035149E"/>
    <w:rPr>
      <w:color w:val="808080"/>
      <w:shd w:val="clear" w:color="auto" w:fill="E6E6E6"/>
    </w:rPr>
  </w:style>
  <w:style w:type="character" w:customStyle="1" w:styleId="noindent">
    <w:name w:val="noindent"/>
    <w:basedOn w:val="DefaultParagraphFont"/>
    <w:rsid w:val="00100ED9"/>
  </w:style>
  <w:style w:type="character" w:customStyle="1" w:styleId="smallcaps">
    <w:name w:val="smallcaps"/>
    <w:basedOn w:val="DefaultParagraphFont"/>
    <w:rsid w:val="00100ED9"/>
  </w:style>
  <w:style w:type="character" w:customStyle="1" w:styleId="quotationkeyword">
    <w:name w:val="quotationkeyword"/>
    <w:basedOn w:val="DefaultParagraphFont"/>
    <w:rsid w:val="00100ED9"/>
  </w:style>
  <w:style w:type="paragraph" w:styleId="NormalWeb">
    <w:name w:val="Normal (Web)"/>
    <w:basedOn w:val="Normal"/>
    <w:uiPriority w:val="99"/>
    <w:semiHidden/>
    <w:unhideWhenUsed/>
    <w:rsid w:val="003532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10596"/>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010596"/>
  </w:style>
  <w:style w:type="character" w:customStyle="1" w:styleId="Subtitle1">
    <w:name w:val="Subtitle1"/>
    <w:basedOn w:val="DefaultParagraphFont"/>
    <w:rsid w:val="00010596"/>
  </w:style>
  <w:style w:type="paragraph" w:styleId="CommentSubject">
    <w:name w:val="annotation subject"/>
    <w:basedOn w:val="CommentText"/>
    <w:next w:val="CommentText"/>
    <w:link w:val="CommentSubjectChar"/>
    <w:uiPriority w:val="99"/>
    <w:semiHidden/>
    <w:unhideWhenUsed/>
    <w:rsid w:val="00510A02"/>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10A02"/>
    <w:rPr>
      <w:rFonts w:ascii="Arial" w:eastAsia="Arial" w:hAnsi="Arial" w:cs="Arial"/>
      <w:b/>
      <w:bCs/>
      <w:color w:val="000000"/>
      <w:sz w:val="20"/>
      <w:szCs w:val="20"/>
      <w:lang w:eastAsia="en-GB"/>
    </w:rPr>
  </w:style>
  <w:style w:type="paragraph" w:styleId="ListParagraph">
    <w:name w:val="List Paragraph"/>
    <w:basedOn w:val="Normal"/>
    <w:uiPriority w:val="34"/>
    <w:qFormat/>
    <w:rsid w:val="00E061B4"/>
    <w:pPr>
      <w:ind w:left="720"/>
      <w:contextualSpacing/>
    </w:pPr>
  </w:style>
  <w:style w:type="paragraph" w:styleId="Header">
    <w:name w:val="header"/>
    <w:basedOn w:val="Normal"/>
    <w:link w:val="HeaderChar"/>
    <w:uiPriority w:val="99"/>
    <w:unhideWhenUsed/>
    <w:rsid w:val="00021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665"/>
  </w:style>
  <w:style w:type="paragraph" w:styleId="Footer">
    <w:name w:val="footer"/>
    <w:basedOn w:val="Normal"/>
    <w:link w:val="FooterChar"/>
    <w:uiPriority w:val="99"/>
    <w:unhideWhenUsed/>
    <w:rsid w:val="00021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665"/>
  </w:style>
  <w:style w:type="character" w:styleId="EndnoteReference">
    <w:name w:val="endnote reference"/>
    <w:basedOn w:val="DefaultParagraphFont"/>
    <w:uiPriority w:val="99"/>
    <w:semiHidden/>
    <w:unhideWhenUsed/>
    <w:rsid w:val="00F44B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2937">
      <w:bodyDiv w:val="1"/>
      <w:marLeft w:val="0"/>
      <w:marRight w:val="0"/>
      <w:marTop w:val="0"/>
      <w:marBottom w:val="0"/>
      <w:divBdr>
        <w:top w:val="none" w:sz="0" w:space="0" w:color="auto"/>
        <w:left w:val="none" w:sz="0" w:space="0" w:color="auto"/>
        <w:bottom w:val="none" w:sz="0" w:space="0" w:color="auto"/>
        <w:right w:val="none" w:sz="0" w:space="0" w:color="auto"/>
      </w:divBdr>
    </w:div>
    <w:div w:id="764959375">
      <w:bodyDiv w:val="1"/>
      <w:marLeft w:val="0"/>
      <w:marRight w:val="0"/>
      <w:marTop w:val="0"/>
      <w:marBottom w:val="0"/>
      <w:divBdr>
        <w:top w:val="none" w:sz="0" w:space="0" w:color="auto"/>
        <w:left w:val="none" w:sz="0" w:space="0" w:color="auto"/>
        <w:bottom w:val="none" w:sz="0" w:space="0" w:color="auto"/>
        <w:right w:val="none" w:sz="0" w:space="0" w:color="auto"/>
      </w:divBdr>
    </w:div>
    <w:div w:id="815146397">
      <w:bodyDiv w:val="1"/>
      <w:marLeft w:val="0"/>
      <w:marRight w:val="0"/>
      <w:marTop w:val="0"/>
      <w:marBottom w:val="0"/>
      <w:divBdr>
        <w:top w:val="none" w:sz="0" w:space="0" w:color="auto"/>
        <w:left w:val="none" w:sz="0" w:space="0" w:color="auto"/>
        <w:bottom w:val="none" w:sz="0" w:space="0" w:color="auto"/>
        <w:right w:val="none" w:sz="0" w:space="0" w:color="auto"/>
      </w:divBdr>
    </w:div>
    <w:div w:id="1152406364">
      <w:bodyDiv w:val="1"/>
      <w:marLeft w:val="0"/>
      <w:marRight w:val="0"/>
      <w:marTop w:val="0"/>
      <w:marBottom w:val="0"/>
      <w:divBdr>
        <w:top w:val="none" w:sz="0" w:space="0" w:color="auto"/>
        <w:left w:val="none" w:sz="0" w:space="0" w:color="auto"/>
        <w:bottom w:val="none" w:sz="0" w:space="0" w:color="auto"/>
        <w:right w:val="none" w:sz="0" w:space="0" w:color="auto"/>
      </w:divBdr>
    </w:div>
    <w:div w:id="1311517082">
      <w:bodyDiv w:val="1"/>
      <w:marLeft w:val="0"/>
      <w:marRight w:val="0"/>
      <w:marTop w:val="0"/>
      <w:marBottom w:val="0"/>
      <w:divBdr>
        <w:top w:val="none" w:sz="0" w:space="0" w:color="auto"/>
        <w:left w:val="none" w:sz="0" w:space="0" w:color="auto"/>
        <w:bottom w:val="none" w:sz="0" w:space="0" w:color="auto"/>
        <w:right w:val="none" w:sz="0" w:space="0" w:color="auto"/>
      </w:divBdr>
    </w:div>
    <w:div w:id="1354721434">
      <w:bodyDiv w:val="1"/>
      <w:marLeft w:val="0"/>
      <w:marRight w:val="0"/>
      <w:marTop w:val="0"/>
      <w:marBottom w:val="0"/>
      <w:divBdr>
        <w:top w:val="none" w:sz="0" w:space="0" w:color="auto"/>
        <w:left w:val="none" w:sz="0" w:space="0" w:color="auto"/>
        <w:bottom w:val="none" w:sz="0" w:space="0" w:color="auto"/>
        <w:right w:val="none" w:sz="0" w:space="0" w:color="auto"/>
      </w:divBdr>
      <w:divsChild>
        <w:div w:id="392892637">
          <w:marLeft w:val="0"/>
          <w:marRight w:val="0"/>
          <w:marTop w:val="0"/>
          <w:marBottom w:val="0"/>
          <w:divBdr>
            <w:top w:val="none" w:sz="0" w:space="0" w:color="auto"/>
            <w:left w:val="none" w:sz="0" w:space="0" w:color="auto"/>
            <w:bottom w:val="none" w:sz="0" w:space="0" w:color="auto"/>
            <w:right w:val="none" w:sz="0" w:space="0" w:color="auto"/>
          </w:divBdr>
          <w:divsChild>
            <w:div w:id="325742270">
              <w:marLeft w:val="0"/>
              <w:marRight w:val="0"/>
              <w:marTop w:val="0"/>
              <w:marBottom w:val="0"/>
              <w:divBdr>
                <w:top w:val="none" w:sz="0" w:space="0" w:color="auto"/>
                <w:left w:val="none" w:sz="0" w:space="0" w:color="auto"/>
                <w:bottom w:val="none" w:sz="0" w:space="0" w:color="auto"/>
                <w:right w:val="none" w:sz="0" w:space="0" w:color="auto"/>
              </w:divBdr>
              <w:divsChild>
                <w:div w:id="21007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9698">
          <w:marLeft w:val="0"/>
          <w:marRight w:val="0"/>
          <w:marTop w:val="0"/>
          <w:marBottom w:val="0"/>
          <w:divBdr>
            <w:top w:val="none" w:sz="0" w:space="0" w:color="auto"/>
            <w:left w:val="none" w:sz="0" w:space="0" w:color="auto"/>
            <w:bottom w:val="none" w:sz="0" w:space="0" w:color="auto"/>
            <w:right w:val="none" w:sz="0" w:space="0" w:color="auto"/>
          </w:divBdr>
          <w:divsChild>
            <w:div w:id="1680544841">
              <w:marLeft w:val="0"/>
              <w:marRight w:val="0"/>
              <w:marTop w:val="0"/>
              <w:marBottom w:val="0"/>
              <w:divBdr>
                <w:top w:val="none" w:sz="0" w:space="0" w:color="auto"/>
                <w:left w:val="none" w:sz="0" w:space="0" w:color="auto"/>
                <w:bottom w:val="none" w:sz="0" w:space="0" w:color="auto"/>
                <w:right w:val="none" w:sz="0" w:space="0" w:color="auto"/>
              </w:divBdr>
              <w:divsChild>
                <w:div w:id="1610307733">
                  <w:marLeft w:val="0"/>
                  <w:marRight w:val="0"/>
                  <w:marTop w:val="0"/>
                  <w:marBottom w:val="0"/>
                  <w:divBdr>
                    <w:top w:val="single" w:sz="18" w:space="4" w:color="0072CF"/>
                    <w:left w:val="single" w:sz="18" w:space="4" w:color="0072CF"/>
                    <w:bottom w:val="single" w:sz="18" w:space="4" w:color="0072CF"/>
                    <w:right w:val="single" w:sz="18" w:space="4" w:color="0072CF"/>
                  </w:divBdr>
                  <w:divsChild>
                    <w:div w:id="488593937">
                      <w:marLeft w:val="0"/>
                      <w:marRight w:val="0"/>
                      <w:marTop w:val="0"/>
                      <w:marBottom w:val="0"/>
                      <w:divBdr>
                        <w:top w:val="none" w:sz="0" w:space="0" w:color="auto"/>
                        <w:left w:val="none" w:sz="0" w:space="0" w:color="auto"/>
                        <w:bottom w:val="none" w:sz="0" w:space="0" w:color="auto"/>
                        <w:right w:val="none" w:sz="0" w:space="0" w:color="auto"/>
                      </w:divBdr>
                      <w:divsChild>
                        <w:div w:id="192620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918104">
      <w:bodyDiv w:val="1"/>
      <w:marLeft w:val="0"/>
      <w:marRight w:val="0"/>
      <w:marTop w:val="0"/>
      <w:marBottom w:val="0"/>
      <w:divBdr>
        <w:top w:val="none" w:sz="0" w:space="0" w:color="auto"/>
        <w:left w:val="none" w:sz="0" w:space="0" w:color="auto"/>
        <w:bottom w:val="none" w:sz="0" w:space="0" w:color="auto"/>
        <w:right w:val="none" w:sz="0" w:space="0" w:color="auto"/>
      </w:divBdr>
    </w:div>
    <w:div w:id="1563639665">
      <w:bodyDiv w:val="1"/>
      <w:marLeft w:val="0"/>
      <w:marRight w:val="0"/>
      <w:marTop w:val="0"/>
      <w:marBottom w:val="0"/>
      <w:divBdr>
        <w:top w:val="none" w:sz="0" w:space="0" w:color="auto"/>
        <w:left w:val="none" w:sz="0" w:space="0" w:color="auto"/>
        <w:bottom w:val="none" w:sz="0" w:space="0" w:color="auto"/>
        <w:right w:val="none" w:sz="0" w:space="0" w:color="auto"/>
      </w:divBdr>
    </w:div>
    <w:div w:id="16437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FAFD-59E6-47A9-A449-97904013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2019-01-15T17:01:00Z</cp:lastPrinted>
  <dcterms:created xsi:type="dcterms:W3CDTF">2019-08-14T15:27:00Z</dcterms:created>
  <dcterms:modified xsi:type="dcterms:W3CDTF">2019-08-14T15:27:00Z</dcterms:modified>
</cp:coreProperties>
</file>