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1323D"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D45F52D" wp14:editId="5FDB9FC7">
                <wp:simplePos x="0" y="0"/>
                <wp:positionH relativeFrom="column">
                  <wp:posOffset>-58</wp:posOffset>
                </wp:positionH>
                <wp:positionV relativeFrom="margin">
                  <wp:align>bottom</wp:align>
                </wp:positionV>
                <wp:extent cx="3158490" cy="98107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981075"/>
                        </a:xfrm>
                        <a:prstGeom prst="rect">
                          <a:avLst/>
                        </a:prstGeom>
                        <a:solidFill>
                          <a:srgbClr val="FFFFFF"/>
                        </a:solidFill>
                        <a:ln w="9525">
                          <a:noFill/>
                          <a:miter lim="800000"/>
                          <a:headEnd/>
                          <a:tailEnd/>
                        </a:ln>
                      </wps:spPr>
                      <wps:txbx>
                        <w:txbxContent>
                          <w:p w14:paraId="49E5B534" w14:textId="29052838" w:rsidR="000A72EF" w:rsidRDefault="000A72EF" w:rsidP="000A72EF">
                            <w:pPr>
                              <w:pStyle w:val="RSCF01FootnoteAuthorAddress"/>
                            </w:pPr>
                            <w:r>
                              <w:t xml:space="preserve">Department of Chemistry, University of York, Heslington, York, North Yorkshire, YO10 5DD, United Kingdom. </w:t>
                            </w:r>
                          </w:p>
                          <w:p w14:paraId="7C18DDBD" w14:textId="0C6565F5" w:rsidR="000A72EF" w:rsidRDefault="000A72EF" w:rsidP="000A72EF">
                            <w:pPr>
                              <w:pStyle w:val="RSCF01FootnoteAuthorAddress"/>
                            </w:pPr>
                            <w:r>
                              <w:t xml:space="preserve">Bayer </w:t>
                            </w:r>
                            <w:proofErr w:type="spellStart"/>
                            <w:r>
                              <w:t>Aktiengesellschaft</w:t>
                            </w:r>
                            <w:proofErr w:type="spellEnd"/>
                            <w:r>
                              <w:t xml:space="preserve">, Crop Science Division, </w:t>
                            </w:r>
                            <w:proofErr w:type="spellStart"/>
                            <w:r>
                              <w:t>Industriepark</w:t>
                            </w:r>
                            <w:proofErr w:type="spellEnd"/>
                            <w:r>
                              <w:t xml:space="preserve"> Höchst G836, 65926 Frankfurt am Main, Germany.</w:t>
                            </w:r>
                          </w:p>
                          <w:p w14:paraId="008AFA24" w14:textId="551C2C85" w:rsidR="00C405FD" w:rsidRPr="00241ACD" w:rsidRDefault="008C682F" w:rsidP="00241ACD">
                            <w:pPr>
                              <w:pStyle w:val="RSCF02FootnotestoTitleAuthors"/>
                            </w:pPr>
                            <w:r w:rsidRPr="00241ACD">
                              <w:t>Electronic Supplementary Information (ESI) available:</w:t>
                            </w:r>
                            <w:r w:rsidR="000A72EF" w:rsidRPr="000A72EF">
                              <w:t xml:space="preserve"> </w:t>
                            </w:r>
                            <w:r w:rsidR="000A72EF">
                              <w:t>Full experimental details and characterization data for all compounds is provided, including NMR spectra, X-ray diffraction data and computational data (as a PDF file)</w:t>
                            </w:r>
                            <w:r w:rsidR="000A72EF" w:rsidRPr="00B80297">
                              <w:t>.</w:t>
                            </w:r>
                            <w:r w:rsidR="000A72EF">
                              <w:t xml:space="preserve"> </w:t>
                            </w: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D45F52D" id="_x0000_t202" coordsize="21600,21600" o:spt="202" path="m,l,21600r21600,l21600,xe">
                <v:stroke joinstyle="miter"/>
                <v:path gradientshapeok="t" o:connecttype="rect"/>
              </v:shapetype>
              <v:shape id="Text Box 2" o:spid="_x0000_s1026" type="#_x0000_t202" style="position:absolute;margin-left:0;margin-top:0;width:248.7pt;height:77.2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" o:allowincell="f" o:allowoverlap="f" stroked="f">
                <o:lock v:ext="edit" aspectratio="t"/>
                <v:textbox style="mso-fit-shape-to-text:t" inset="0,1mm,0,1mm">
                  <w:txbxContent>
                    <w:p w14:paraId="49E5B534" w14:textId="29052838" w:rsidR="000A72EF" w:rsidRDefault="000A72EF" w:rsidP="000A72EF">
                      <w:pPr>
                        <w:pStyle w:val="RSCF01FootnoteAuthorAddress"/>
                      </w:pPr>
                      <w:r>
                        <w:t xml:space="preserve">Department of Chemistry, University of York, Heslington, York, North Yorkshire, YO10 5DD, United Kingdom. </w:t>
                      </w:r>
                    </w:p>
                    <w:p w14:paraId="7C18DDBD" w14:textId="0C6565F5" w:rsidR="000A72EF" w:rsidRDefault="000A72EF" w:rsidP="000A72EF">
                      <w:pPr>
                        <w:pStyle w:val="RSCF01FootnoteAuthorAddress"/>
                      </w:pPr>
                      <w:r>
                        <w:t>Bayer Aktiengesellschaft, Crop Science Division, Industriepark Höchst G836, 65926 Frankfurt am Main, Germany.</w:t>
                      </w:r>
                    </w:p>
                    <w:p w14:paraId="008AFA24" w14:textId="551C2C85" w:rsidR="00C405FD" w:rsidRPr="00241ACD" w:rsidRDefault="008C682F" w:rsidP="00241ACD">
                      <w:pPr>
                        <w:pStyle w:val="RSCF02FootnotestoTitleAuthors"/>
                      </w:pPr>
                      <w:r w:rsidRPr="00241ACD">
                        <w:t>Electronic Supplementary Information (ESI) available:</w:t>
                      </w:r>
                      <w:r w:rsidR="000A72EF" w:rsidRPr="000A72EF">
                        <w:t xml:space="preserve"> </w:t>
                      </w:r>
                      <w:r w:rsidR="000A72EF">
                        <w:t>Full experimental details and characterization data for all compounds is provided, including NMR spectra, X-ray diffraction data and computational data (as a PDF file)</w:t>
                      </w:r>
                      <w:r w:rsidR="000A72EF" w:rsidRPr="00B80297">
                        <w:t>.</w:t>
                      </w:r>
                      <w:r w:rsidR="000A72EF">
                        <w:t xml:space="preserve"> </w:t>
                      </w:r>
                      <w:r w:rsidRPr="00241ACD">
                        <w:t>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69A1206E" w14:textId="77777777" w:rsidR="00F62C8B" w:rsidRPr="00270DD5" w:rsidRDefault="00F62C8B" w:rsidP="004C531E">
      <w:pPr>
        <w:pStyle w:val="RSCM01ReceivedAccepted"/>
      </w:pPr>
      <w:r w:rsidRPr="00270DD5">
        <w:t>Accepted 00th January 20</w:t>
      </w:r>
      <w:r w:rsidR="00F15F90" w:rsidRPr="00270DD5">
        <w:t>xx</w:t>
      </w:r>
    </w:p>
    <w:p w14:paraId="656606BB" w14:textId="77777777" w:rsidR="00F62C8B" w:rsidRPr="00794787" w:rsidRDefault="00F62C8B" w:rsidP="004C531E">
      <w:pPr>
        <w:pStyle w:val="RSCM02DOI"/>
      </w:pPr>
      <w:r w:rsidRPr="00794787">
        <w:t>DOI: 10.1039/x0xx00000x</w:t>
      </w:r>
    </w:p>
    <w:p w14:paraId="161D2DEB" w14:textId="77777777" w:rsidR="00A9649E" w:rsidRPr="00794787" w:rsidRDefault="00A9649E" w:rsidP="004C531E">
      <w:pPr>
        <w:pStyle w:val="RSCM03Website"/>
      </w:pPr>
    </w:p>
    <w:p w14:paraId="78775F1E" w14:textId="0B82913E" w:rsidR="004414A5" w:rsidRPr="00C32EDF" w:rsidRDefault="00F62C8B" w:rsidP="00C32EDF">
      <w:pPr>
        <w:pStyle w:val="RSCH01PaperTitle"/>
      </w:pPr>
      <w:r w:rsidRPr="004414A5">
        <w:br w:type="column"/>
      </w:r>
      <w:bookmarkStart w:id="0" w:name="_Hlk6215299"/>
      <w:r w:rsidR="004E3891">
        <w:t>The ubiquitous cross-coupling catalyst system ‘</w:t>
      </w:r>
      <w:proofErr w:type="gramStart"/>
      <w:r w:rsidR="004E3891">
        <w:t>Pd(</w:t>
      </w:r>
      <w:proofErr w:type="gramEnd"/>
      <w:r w:rsidR="004E3891">
        <w:t>OAc)</w:t>
      </w:r>
      <w:r w:rsidR="004E3891">
        <w:rPr>
          <w:vertAlign w:val="subscript"/>
        </w:rPr>
        <w:t>2</w:t>
      </w:r>
      <w:r w:rsidR="004E3891">
        <w:t>’/2PPh</w:t>
      </w:r>
      <w:r w:rsidR="004E3891">
        <w:rPr>
          <w:vertAlign w:val="subscript"/>
        </w:rPr>
        <w:t>3</w:t>
      </w:r>
      <w:r w:rsidR="004E3891">
        <w:t xml:space="preserve"> forms a unique dinuclear Pd</w:t>
      </w:r>
      <w:r w:rsidR="004E3891">
        <w:rPr>
          <w:vertAlign w:val="superscript"/>
        </w:rPr>
        <w:t>I</w:t>
      </w:r>
      <w:r w:rsidR="004E3891">
        <w:t xml:space="preserve"> complex: an </w:t>
      </w:r>
      <w:r w:rsidR="00352A2C">
        <w:t xml:space="preserve">important </w:t>
      </w:r>
      <w:r w:rsidR="004E3891">
        <w:t xml:space="preserve">entry point </w:t>
      </w:r>
      <w:r w:rsidR="00352A2C">
        <w:t>in</w:t>
      </w:r>
      <w:r w:rsidR="004E3891">
        <w:t>to catalytically competent cyclic Pd</w:t>
      </w:r>
      <w:r w:rsidR="004E3891">
        <w:rPr>
          <w:vertAlign w:val="subscript"/>
        </w:rPr>
        <w:t>3</w:t>
      </w:r>
      <w:r w:rsidR="004E3891">
        <w:t xml:space="preserve"> clusters</w:t>
      </w:r>
      <w:bookmarkEnd w:id="0"/>
    </w:p>
    <w:p w14:paraId="1688FE6F" w14:textId="0DA1EA8D" w:rsidR="008125A0" w:rsidRPr="008125A0" w:rsidRDefault="004E3891" w:rsidP="008125A0">
      <w:pPr>
        <w:pStyle w:val="RSCB01ARTAbstract"/>
        <w:rPr>
          <w:rFonts w:cs="Times New Roman"/>
          <w:sz w:val="20"/>
          <w:vertAlign w:val="superscript"/>
        </w:rPr>
      </w:pPr>
      <w:r w:rsidRPr="004E3891">
        <w:rPr>
          <w:rStyle w:val="RSCH02PaperAuthorsandBylineChar"/>
        </w:rPr>
        <w:t>Neil W. J. Scott,</w:t>
      </w:r>
      <w:r w:rsidRPr="004E3891">
        <w:rPr>
          <w:rStyle w:val="RSCH02PaperAuthorsandBylineChar"/>
          <w:vertAlign w:val="superscript"/>
        </w:rPr>
        <w:t>a</w:t>
      </w:r>
      <w:r w:rsidRPr="004E3891">
        <w:rPr>
          <w:rStyle w:val="RSCH02PaperAuthorsandBylineChar"/>
        </w:rPr>
        <w:t xml:space="preserve"> Mark J. Ford,</w:t>
      </w:r>
      <w:r w:rsidRPr="004E3891">
        <w:rPr>
          <w:rStyle w:val="RSCH02PaperAuthorsandBylineChar"/>
          <w:vertAlign w:val="superscript"/>
        </w:rPr>
        <w:t>b</w:t>
      </w:r>
      <w:r w:rsidRPr="004E3891">
        <w:rPr>
          <w:rStyle w:val="RSCH02PaperAuthorsandBylineChar"/>
        </w:rPr>
        <w:t xml:space="preserve"> Christoph Schotes,</w:t>
      </w:r>
      <w:r w:rsidRPr="004E3891">
        <w:rPr>
          <w:rStyle w:val="RSCH02PaperAuthorsandBylineChar"/>
          <w:vertAlign w:val="superscript"/>
        </w:rPr>
        <w:t>b</w:t>
      </w:r>
      <w:r w:rsidRPr="004E3891">
        <w:rPr>
          <w:rStyle w:val="RSCH02PaperAuthorsandBylineChar"/>
        </w:rPr>
        <w:t xml:space="preserve"> Rachel R. Parker,</w:t>
      </w:r>
      <w:r w:rsidRPr="004E3891">
        <w:rPr>
          <w:rStyle w:val="RSCH02PaperAuthorsandBylineChar"/>
          <w:vertAlign w:val="superscript"/>
        </w:rPr>
        <w:t>a</w:t>
      </w:r>
      <w:r w:rsidRPr="004E3891">
        <w:rPr>
          <w:rStyle w:val="RSCH02PaperAuthorsandBylineChar"/>
        </w:rPr>
        <w:t xml:space="preserve"> Adrian C. Whitwood</w:t>
      </w:r>
      <w:r w:rsidRPr="004E3891">
        <w:rPr>
          <w:rStyle w:val="RSCH02PaperAuthorsandBylineChar"/>
          <w:vertAlign w:val="superscript"/>
        </w:rPr>
        <w:t>a</w:t>
      </w:r>
      <w:r w:rsidRPr="004E3891">
        <w:rPr>
          <w:rStyle w:val="RSCH02PaperAuthorsandBylineChar"/>
        </w:rPr>
        <w:t xml:space="preserve"> and     Ian J. S. Fairlamb</w:t>
      </w:r>
      <w:r w:rsidRPr="004E3891">
        <w:rPr>
          <w:rStyle w:val="RSCH02PaperAuthorsandBylineChar"/>
          <w:vertAlign w:val="superscript"/>
        </w:rPr>
        <w:t>a</w:t>
      </w:r>
      <w:r w:rsidRPr="004E3891">
        <w:rPr>
          <w:rStyle w:val="RSCH02PaperAuthorsandBylineChar"/>
        </w:rPr>
        <w:t>*</w:t>
      </w:r>
    </w:p>
    <w:p w14:paraId="2095979B" w14:textId="2C5FF86C" w:rsidR="00FA2DA2" w:rsidRPr="00FA2DA2" w:rsidRDefault="004E3891"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Palladium(II) acetate ‘Pd(OAc)</w:t>
      </w:r>
      <w:r w:rsidRPr="00505540">
        <w:rPr>
          <w:vertAlign w:val="subscript"/>
        </w:rPr>
        <w:t>2</w:t>
      </w:r>
      <w:r>
        <w:t>’/</w:t>
      </w:r>
      <w:r w:rsidRPr="00B80185">
        <w:rPr>
          <w:i/>
        </w:rPr>
        <w:t>n</w:t>
      </w:r>
      <w:r>
        <w:t>PPh</w:t>
      </w:r>
      <w:r w:rsidRPr="008F59DE">
        <w:rPr>
          <w:vertAlign w:val="subscript"/>
        </w:rPr>
        <w:t>3</w:t>
      </w:r>
      <w:r>
        <w:t xml:space="preserve"> is a ubiquitous precatalyst system for cross-coupling reactions</w:t>
      </w:r>
      <w:r w:rsidRPr="00BE533F">
        <w:t xml:space="preserve">. </w:t>
      </w:r>
      <w:r>
        <w:t xml:space="preserve">It is widely accepted that reduction of </w:t>
      </w:r>
      <w:r w:rsidRPr="008F59DE">
        <w:rPr>
          <w:i/>
        </w:rPr>
        <w:t>in situ</w:t>
      </w:r>
      <w:r>
        <w:t xml:space="preserve"> generated </w:t>
      </w:r>
      <w:r w:rsidRPr="00BB09CD">
        <w:rPr>
          <w:i/>
        </w:rPr>
        <w:t>trans</w:t>
      </w:r>
      <w:r>
        <w:t>-[Pd(OAc)</w:t>
      </w:r>
      <w:r w:rsidRPr="009D6728">
        <w:rPr>
          <w:vertAlign w:val="subscript"/>
        </w:rPr>
        <w:t>2</w:t>
      </w:r>
      <w:r>
        <w:t>(PPh</w:t>
      </w:r>
      <w:r w:rsidRPr="009D6728">
        <w:rPr>
          <w:vertAlign w:val="subscript"/>
        </w:rPr>
        <w:t>3</w:t>
      </w:r>
      <w:r>
        <w:t>)</w:t>
      </w:r>
      <w:r w:rsidRPr="009D6728">
        <w:rPr>
          <w:vertAlign w:val="subscript"/>
        </w:rPr>
        <w:t>2</w:t>
      </w:r>
      <w:r>
        <w:t>] affords [Pd</w:t>
      </w:r>
      <w:r w:rsidRPr="00505540">
        <w:rPr>
          <w:vertAlign w:val="superscript"/>
        </w:rPr>
        <w:t>0</w:t>
      </w:r>
      <w:r>
        <w:t>(PPh</w:t>
      </w:r>
      <w:r w:rsidRPr="00505540">
        <w:rPr>
          <w:vertAlign w:val="subscript"/>
        </w:rPr>
        <w:t>3</w:t>
      </w:r>
      <w:r>
        <w:t>)</w:t>
      </w:r>
      <w:r w:rsidRPr="00505540">
        <w:rPr>
          <w:vertAlign w:val="subscript"/>
        </w:rPr>
        <w:t>n</w:t>
      </w:r>
      <w:r>
        <w:t>] and/or [Pd</w:t>
      </w:r>
      <w:r w:rsidRPr="00505540">
        <w:rPr>
          <w:vertAlign w:val="superscript"/>
        </w:rPr>
        <w:t>0</w:t>
      </w:r>
      <w:r>
        <w:t>(PPh</w:t>
      </w:r>
      <w:r w:rsidRPr="00505540">
        <w:rPr>
          <w:vertAlign w:val="subscript"/>
        </w:rPr>
        <w:t>3</w:t>
      </w:r>
      <w:r>
        <w:t>)</w:t>
      </w:r>
      <w:r w:rsidRPr="00505540">
        <w:rPr>
          <w:vertAlign w:val="subscript"/>
        </w:rPr>
        <w:t>2</w:t>
      </w:r>
      <w:r>
        <w:t>(OAc)]</w:t>
      </w:r>
      <w:r w:rsidRPr="00505540">
        <w:rPr>
          <w:vertAlign w:val="superscript"/>
        </w:rPr>
        <w:t>-</w:t>
      </w:r>
      <w:r>
        <w:t xml:space="preserve"> species which undergo oxidative addition reactions with organohalides – the first committed step in cross-coupling catalytic cycles. In this paper we report for the first time that reaction of Pd</w:t>
      </w:r>
      <w:r w:rsidRPr="009D6728">
        <w:rPr>
          <w:vertAlign w:val="subscript"/>
        </w:rPr>
        <w:t>3</w:t>
      </w:r>
      <w:r>
        <w:t>(OAc)</w:t>
      </w:r>
      <w:r w:rsidRPr="009D6728">
        <w:rPr>
          <w:vertAlign w:val="subscript"/>
        </w:rPr>
        <w:t>6</w:t>
      </w:r>
      <w:r>
        <w:rPr>
          <w:vertAlign w:val="subscript"/>
        </w:rPr>
        <w:t xml:space="preserve"> </w:t>
      </w:r>
      <w:r>
        <w:t>with 6 equivalents of PPh</w:t>
      </w:r>
      <w:r>
        <w:rPr>
          <w:vertAlign w:val="subscript"/>
        </w:rPr>
        <w:t>3</w:t>
      </w:r>
      <w:r>
        <w:t xml:space="preserve"> (</w:t>
      </w:r>
      <w:r>
        <w:rPr>
          <w:i/>
        </w:rPr>
        <w:t xml:space="preserve">i.e. </w:t>
      </w:r>
      <w:r>
        <w:t>a Pd/PPh</w:t>
      </w:r>
      <w:r w:rsidRPr="009D6728">
        <w:rPr>
          <w:vertAlign w:val="subscript"/>
        </w:rPr>
        <w:t>3</w:t>
      </w:r>
      <w:r>
        <w:t xml:space="preserve"> ratio of 1:2) affords a novel dinuclear Pd</w:t>
      </w:r>
      <w:r>
        <w:rPr>
          <w:vertAlign w:val="superscript"/>
        </w:rPr>
        <w:t>I</w:t>
      </w:r>
      <w:r>
        <w:t xml:space="preserve"> complex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as the major product, the elusive species resisting characterization until now. While unstable, the dinuclear Pd</w:t>
      </w:r>
      <w:r>
        <w:rPr>
          <w:vertAlign w:val="superscript"/>
        </w:rPr>
        <w:t>I</w:t>
      </w:r>
      <w:r>
        <w:t xml:space="preserve"> complex reacts with CH</w:t>
      </w:r>
      <w:r w:rsidRPr="00CF5031">
        <w:rPr>
          <w:vertAlign w:val="subscript"/>
        </w:rPr>
        <w:t>2</w:t>
      </w:r>
      <w:r>
        <w:t>Cl</w:t>
      </w:r>
      <w:r w:rsidRPr="00CF5031">
        <w:rPr>
          <w:vertAlign w:val="subscript"/>
        </w:rPr>
        <w:t>2</w:t>
      </w:r>
      <w:r>
        <w:t xml:space="preserve">, </w:t>
      </w:r>
      <w:r w:rsidRPr="00F10AB3">
        <w:rPr>
          <w:i/>
        </w:rPr>
        <w:t>p</w:t>
      </w:r>
      <w:r>
        <w:t>-fluoroiodobenzene or 2-bromopyridine to afford Pd</w:t>
      </w:r>
      <w:r>
        <w:rPr>
          <w:vertAlign w:val="subscript"/>
        </w:rPr>
        <w:t>3</w:t>
      </w:r>
      <w:r>
        <w:t xml:space="preserve"> cluster complexes containing bridging halide ligands, </w:t>
      </w:r>
      <w:r>
        <w:rPr>
          <w:i/>
        </w:rPr>
        <w:t>i.e.</w:t>
      </w:r>
      <w:r>
        <w:t xml:space="preserve"> [Pd</w:t>
      </w:r>
      <w:r>
        <w:rPr>
          <w:vertAlign w:val="subscript"/>
        </w:rPr>
        <w:t>3</w:t>
      </w:r>
      <w:r>
        <w:t>(X)(PPh</w:t>
      </w:r>
      <w:r>
        <w:rPr>
          <w:vertAlign w:val="subscript"/>
        </w:rPr>
        <w:t>2</w:t>
      </w:r>
      <w:r>
        <w:t>)</w:t>
      </w:r>
      <w:r>
        <w:rPr>
          <w:vertAlign w:val="subscript"/>
        </w:rPr>
        <w:t>2</w:t>
      </w:r>
      <w:r>
        <w:t>(PPh</w:t>
      </w:r>
      <w:r>
        <w:rPr>
          <w:vertAlign w:val="subscript"/>
        </w:rPr>
        <w:t>3</w:t>
      </w:r>
      <w:r>
        <w:t>)</w:t>
      </w:r>
      <w:r>
        <w:rPr>
          <w:vertAlign w:val="subscript"/>
        </w:rPr>
        <w:t>3</w:t>
      </w:r>
      <w:r>
        <w:t>]</w:t>
      </w:r>
      <w:r w:rsidRPr="00082E60">
        <w:t>X</w:t>
      </w:r>
      <w:r>
        <w:t>, carrying an overall 4/3 oxidation state (at Pd)</w:t>
      </w:r>
      <w:r w:rsidRPr="00BE533F">
        <w:t>.</w:t>
      </w:r>
      <w:r>
        <w:t xml:space="preserve"> Use of 2-bromopyridine was critical in understanding that a putative 14-electron mononuclear ‘Pd</w:t>
      </w:r>
      <w:r w:rsidRPr="00082E60">
        <w:rPr>
          <w:vertAlign w:val="superscript"/>
        </w:rPr>
        <w:t>II</w:t>
      </w:r>
      <w:r>
        <w:t>(R)(X)(PPh</w:t>
      </w:r>
      <w:r w:rsidRPr="00082E60">
        <w:rPr>
          <w:vertAlign w:val="subscript"/>
        </w:rPr>
        <w:t>3</w:t>
      </w:r>
      <w:r>
        <w:t>)’ is released on forming [Pd</w:t>
      </w:r>
      <w:r>
        <w:rPr>
          <w:vertAlign w:val="subscript"/>
        </w:rPr>
        <w:t>3</w:t>
      </w:r>
      <w:r>
        <w:t>(X)(PPh</w:t>
      </w:r>
      <w:r>
        <w:rPr>
          <w:vertAlign w:val="subscript"/>
        </w:rPr>
        <w:t>2</w:t>
      </w:r>
      <w:r>
        <w:t>)</w:t>
      </w:r>
      <w:r>
        <w:rPr>
          <w:vertAlign w:val="subscript"/>
        </w:rPr>
        <w:t>2</w:t>
      </w:r>
      <w:r>
        <w:t>(PPh</w:t>
      </w:r>
      <w:r>
        <w:rPr>
          <w:vertAlign w:val="subscript"/>
        </w:rPr>
        <w:t>3</w:t>
      </w:r>
      <w:r>
        <w:t>)</w:t>
      </w:r>
      <w:r>
        <w:rPr>
          <w:vertAlign w:val="subscript"/>
        </w:rPr>
        <w:t>3</w:t>
      </w:r>
      <w:r>
        <w:t>]</w:t>
      </w:r>
      <w:r w:rsidRPr="00082E60">
        <w:t>X</w:t>
      </w:r>
      <w:r>
        <w:t xml:space="preserve"> clusters from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Altering the Pd/PPh</w:t>
      </w:r>
      <w:r w:rsidRPr="009D6728">
        <w:rPr>
          <w:vertAlign w:val="subscript"/>
        </w:rPr>
        <w:t>3</w:t>
      </w:r>
      <w:r>
        <w:t xml:space="preserve"> ratio to 1:4 forms Pd</w:t>
      </w:r>
      <w:r w:rsidRPr="008F59DE">
        <w:rPr>
          <w:vertAlign w:val="superscript"/>
        </w:rPr>
        <w:t>0</w:t>
      </w:r>
      <w:r>
        <w:t>(PPh</w:t>
      </w:r>
      <w:r w:rsidRPr="008F59DE">
        <w:rPr>
          <w:vertAlign w:val="subscript"/>
        </w:rPr>
        <w:t>3</w:t>
      </w:r>
      <w:r>
        <w:t>)</w:t>
      </w:r>
      <w:r w:rsidRPr="008F59DE">
        <w:rPr>
          <w:vertAlign w:val="subscript"/>
        </w:rPr>
        <w:t>3</w:t>
      </w:r>
      <w:r>
        <w:t xml:space="preserve"> quantitatively. In an exemplar Suzuki-Miyaura cross-coupling reaction</w:t>
      </w:r>
      <w:r w:rsidR="00B103AF">
        <w:t>,</w:t>
      </w:r>
      <w:r>
        <w:t xml:space="preserve"> the importance of the ‘Pd(OAc)</w:t>
      </w:r>
      <w:r>
        <w:rPr>
          <w:vertAlign w:val="subscript"/>
        </w:rPr>
        <w:t>2</w:t>
      </w:r>
      <w:r>
        <w:t>’/nPPh</w:t>
      </w:r>
      <w:r w:rsidRPr="00C80DAA">
        <w:rPr>
          <w:vertAlign w:val="subscript"/>
        </w:rPr>
        <w:t>3</w:t>
      </w:r>
      <w:r>
        <w:t xml:space="preserve"> ratio is demonstrated; catalytic efficacy is significantly enhanced when n = 2. Employing ‘Pd(OAc)</w:t>
      </w:r>
      <w:r w:rsidRPr="00505540">
        <w:rPr>
          <w:vertAlign w:val="subscript"/>
        </w:rPr>
        <w:t>2</w:t>
      </w:r>
      <w:r>
        <w:t>’/PPh</w:t>
      </w:r>
      <w:r w:rsidRPr="008F59DE">
        <w:rPr>
          <w:vertAlign w:val="subscript"/>
        </w:rPr>
        <w:t>3</w:t>
      </w:r>
      <w:r>
        <w:t xml:space="preserve"> in a 1:2 ratio leads to the generation of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which upon reaction with organohalides (i.e. substrate) forms a reactive Pd</w:t>
      </w:r>
      <w:r w:rsidRPr="00743771">
        <w:rPr>
          <w:vertAlign w:val="subscript"/>
        </w:rPr>
        <w:t>3</w:t>
      </w:r>
      <w:r>
        <w:t xml:space="preserve"> clusters species. These higher nuclearity species are the cross-coupling catalyst species, when employing a ‘Pd(OAc)</w:t>
      </w:r>
      <w:r>
        <w:rPr>
          <w:vertAlign w:val="subscript"/>
        </w:rPr>
        <w:t>2</w:t>
      </w:r>
      <w:r>
        <w:t>’/PPh</w:t>
      </w:r>
      <w:r w:rsidRPr="00905BB5">
        <w:rPr>
          <w:vertAlign w:val="subscript"/>
        </w:rPr>
        <w:t>3</w:t>
      </w:r>
      <w:r>
        <w:t xml:space="preserve"> of 1:2, for which there are profound implications for understanding downstream product selectivities, chemo-, regio- and stereoselectivities.</w:t>
      </w:r>
      <w:r w:rsidR="000965DE">
        <w:t>, particularly when employing PPh</w:t>
      </w:r>
      <w:r w:rsidR="000965DE" w:rsidRPr="00905BB5">
        <w:rPr>
          <w:vertAlign w:val="subscript"/>
        </w:rPr>
        <w:t>3</w:t>
      </w:r>
      <w:r w:rsidR="000965DE">
        <w:t xml:space="preserve"> as the ligand.</w:t>
      </w:r>
    </w:p>
    <w:p w14:paraId="25E5E063" w14:textId="5EA76119" w:rsidR="00FA2DA2" w:rsidRDefault="004E3891" w:rsidP="00FA2DA2">
      <w:pPr>
        <w:pStyle w:val="RSCB04AHeadingSection"/>
        <w:rPr>
          <w:b w:val="0"/>
        </w:rPr>
      </w:pPr>
      <w:r>
        <w:t>Introduction</w:t>
      </w:r>
    </w:p>
    <w:p w14:paraId="6437C138" w14:textId="77777777" w:rsidR="004E3891" w:rsidRDefault="004E3891" w:rsidP="004E3891">
      <w:pPr>
        <w:pStyle w:val="RSCB02ArticleText"/>
      </w:pPr>
      <w:r>
        <w:t>Palladium(II) acetate ‘Pd(OAc)</w:t>
      </w:r>
      <w:r w:rsidRPr="00946B09">
        <w:rPr>
          <w:vertAlign w:val="subscript"/>
        </w:rPr>
        <w:t>2</w:t>
      </w:r>
      <w:r>
        <w:t xml:space="preserve">’ is commonly used in combination with tertiary phosphine ligands, </w:t>
      </w:r>
      <w:r>
        <w:rPr>
          <w:i/>
        </w:rPr>
        <w:t xml:space="preserve">e.g. </w:t>
      </w:r>
      <w:r>
        <w:t>PPh</w:t>
      </w:r>
      <w:r w:rsidRPr="00CB2586">
        <w:rPr>
          <w:vertAlign w:val="subscript"/>
        </w:rPr>
        <w:t>3</w:t>
      </w:r>
      <w:r>
        <w:t>, to generate active catalyst species for an eclectic array of cross-coupling reactions,</w:t>
      </w:r>
      <w:r>
        <w:rPr>
          <w:vertAlign w:val="superscript"/>
        </w:rPr>
        <w:t>1</w:t>
      </w:r>
      <w:r>
        <w:t xml:space="preserve"> where it is universally accepted that ‘Pd</w:t>
      </w:r>
      <w:r>
        <w:rPr>
          <w:vertAlign w:val="superscript"/>
        </w:rPr>
        <w:t>0</w:t>
      </w:r>
      <w:r>
        <w:t>(PPh</w:t>
      </w:r>
      <w:r>
        <w:rPr>
          <w:vertAlign w:val="subscript"/>
        </w:rPr>
        <w:t>3</w:t>
      </w:r>
      <w:r>
        <w:t>)</w:t>
      </w:r>
      <w:r>
        <w:rPr>
          <w:vertAlign w:val="subscript"/>
        </w:rPr>
        <w:t>n</w:t>
      </w:r>
      <w:r>
        <w:t>’ species are formed.</w:t>
      </w:r>
      <w:r w:rsidRPr="008F5E28">
        <w:rPr>
          <w:vertAlign w:val="superscript"/>
        </w:rPr>
        <w:t>2</w:t>
      </w:r>
      <w:r>
        <w:t xml:space="preserve"> Such species enter into oxidative reactions with organohalides, </w:t>
      </w:r>
      <w:r>
        <w:rPr>
          <w:i/>
        </w:rPr>
        <w:t xml:space="preserve">e.g. </w:t>
      </w:r>
      <w:proofErr w:type="spellStart"/>
      <w:r>
        <w:t>iodobenzene</w:t>
      </w:r>
      <w:proofErr w:type="spellEnd"/>
      <w:r>
        <w:t xml:space="preserve"> to generate </w:t>
      </w:r>
      <w:r w:rsidRPr="00BB09CD">
        <w:rPr>
          <w:i/>
        </w:rPr>
        <w:t>trans</w:t>
      </w:r>
      <w:r>
        <w:t>-[Pd(I)(Ph)(PPh</w:t>
      </w:r>
      <w:r w:rsidRPr="009D6728">
        <w:rPr>
          <w:vertAlign w:val="subscript"/>
        </w:rPr>
        <w:t>3</w:t>
      </w:r>
      <w:r>
        <w:t>)</w:t>
      </w:r>
      <w:r w:rsidRPr="009D6728">
        <w:rPr>
          <w:vertAlign w:val="subscript"/>
        </w:rPr>
        <w:t>2</w:t>
      </w:r>
      <w:r>
        <w:t>].</w:t>
      </w:r>
      <w:r w:rsidRPr="008F5E28">
        <w:rPr>
          <w:vertAlign w:val="superscript"/>
        </w:rPr>
        <w:t>3</w:t>
      </w:r>
      <w:r>
        <w:t xml:space="preserve"> Considerable and notable efforts have been made by </w:t>
      </w:r>
      <w:proofErr w:type="spellStart"/>
      <w:r>
        <w:t>Amatore</w:t>
      </w:r>
      <w:proofErr w:type="spellEnd"/>
      <w:r>
        <w:t xml:space="preserve"> and Jutand</w:t>
      </w:r>
      <w:r>
        <w:rPr>
          <w:vertAlign w:val="superscript"/>
        </w:rPr>
        <w:t>4</w:t>
      </w:r>
      <w:r>
        <w:t xml:space="preserve"> to understand how varying the ‘Pd(OAc)</w:t>
      </w:r>
      <w:r w:rsidRPr="003043F5">
        <w:rPr>
          <w:vertAlign w:val="subscript"/>
        </w:rPr>
        <w:t>2</w:t>
      </w:r>
      <w:r>
        <w:t>’/nPPh</w:t>
      </w:r>
      <w:r>
        <w:rPr>
          <w:vertAlign w:val="subscript"/>
        </w:rPr>
        <w:t>3</w:t>
      </w:r>
      <w:r>
        <w:t xml:space="preserve"> ratio affects the generation of reduced palladium species in both THF and DMF. Following extensive NMR spectroscopic and electrochemical measurements, conclusions were drawn implicating phosphine-induced reduction of ‘Pd(OAc)</w:t>
      </w:r>
      <w:r w:rsidRPr="003043F5">
        <w:rPr>
          <w:vertAlign w:val="subscript"/>
        </w:rPr>
        <w:t>2</w:t>
      </w:r>
      <w:r>
        <w:t>’/nPPh</w:t>
      </w:r>
      <w:r>
        <w:rPr>
          <w:vertAlign w:val="subscript"/>
        </w:rPr>
        <w:t>3</w:t>
      </w:r>
      <w:r>
        <w:t xml:space="preserve"> mixtures, via </w:t>
      </w:r>
      <w:r w:rsidRPr="00BB09CD">
        <w:rPr>
          <w:i/>
        </w:rPr>
        <w:t>trans</w:t>
      </w:r>
      <w:r>
        <w:t>-[Pd(OAc)</w:t>
      </w:r>
      <w:r w:rsidRPr="003043F5">
        <w:rPr>
          <w:vertAlign w:val="subscript"/>
        </w:rPr>
        <w:t>2</w:t>
      </w:r>
      <w:r>
        <w:t>(PPh</w:t>
      </w:r>
      <w:r w:rsidRPr="009D6728">
        <w:rPr>
          <w:vertAlign w:val="subscript"/>
        </w:rPr>
        <w:t>3</w:t>
      </w:r>
      <w:r>
        <w:t>)</w:t>
      </w:r>
      <w:r w:rsidRPr="009D6728">
        <w:rPr>
          <w:vertAlign w:val="subscript"/>
        </w:rPr>
        <w:t>2</w:t>
      </w:r>
      <w:r>
        <w:t>], by an intramolecular process (independent of phosphine concentration, once the latter complex is formed).</w:t>
      </w:r>
      <w:r>
        <w:rPr>
          <w:vertAlign w:val="superscript"/>
        </w:rPr>
        <w:t>4</w:t>
      </w:r>
      <w:r>
        <w:t xml:space="preserve"> The global findings from </w:t>
      </w:r>
      <w:proofErr w:type="spellStart"/>
      <w:r>
        <w:t>Amatore</w:t>
      </w:r>
      <w:proofErr w:type="spellEnd"/>
      <w:r>
        <w:t xml:space="preserve"> and Jutand are detailed in Scheme 1, showing the key intermediate species observed by </w:t>
      </w:r>
      <w:r>
        <w:rPr>
          <w:vertAlign w:val="superscript"/>
        </w:rPr>
        <w:t>31</w:t>
      </w:r>
      <w:r>
        <w:t>P NMR spectroscopic studies.  Comparisons of these data were made with complexes generated from [</w:t>
      </w:r>
      <w:proofErr w:type="gramStart"/>
      <w:r>
        <w:t>Pd(</w:t>
      </w:r>
      <w:proofErr w:type="gramEnd"/>
      <w:r>
        <w:t>PPh</w:t>
      </w:r>
      <w:r>
        <w:rPr>
          <w:vertAlign w:val="subscript"/>
        </w:rPr>
        <w:t>3</w:t>
      </w:r>
      <w:r>
        <w:t>)</w:t>
      </w:r>
      <w:r>
        <w:rPr>
          <w:vertAlign w:val="subscript"/>
        </w:rPr>
        <w:t>4</w:t>
      </w:r>
      <w:r>
        <w:t xml:space="preserve">] in the presence of </w:t>
      </w:r>
      <w:r w:rsidRPr="00245DE1">
        <w:rPr>
          <w:i/>
        </w:rPr>
        <w:t>n</w:t>
      </w:r>
      <w:r>
        <w:t>-Bu</w:t>
      </w:r>
      <w:r>
        <w:rPr>
          <w:vertAlign w:val="subscript"/>
        </w:rPr>
        <w:t>4</w:t>
      </w:r>
      <w:r>
        <w:t>NOAc,</w:t>
      </w:r>
      <w:r w:rsidRPr="008F5E28">
        <w:rPr>
          <w:vertAlign w:val="superscript"/>
        </w:rPr>
        <w:t>4</w:t>
      </w:r>
      <w:r>
        <w:rPr>
          <w:vertAlign w:val="superscript"/>
        </w:rPr>
        <w:t>a</w:t>
      </w:r>
      <w:r>
        <w:t xml:space="preserve"> under </w:t>
      </w:r>
      <w:r>
        <w:t>electrochemical conditions. The conclusions were that ‘Pd</w:t>
      </w:r>
      <w:r>
        <w:rPr>
          <w:vertAlign w:val="superscript"/>
        </w:rPr>
        <w:t>0</w:t>
      </w:r>
      <w:r>
        <w:t>(PPh</w:t>
      </w:r>
      <w:r>
        <w:rPr>
          <w:vertAlign w:val="subscript"/>
        </w:rPr>
        <w:t>3</w:t>
      </w:r>
      <w:r>
        <w:t>)</w:t>
      </w:r>
      <w:r>
        <w:rPr>
          <w:vertAlign w:val="subscript"/>
        </w:rPr>
        <w:t>n</w:t>
      </w:r>
      <w:r>
        <w:t xml:space="preserve">’ species are generated </w:t>
      </w:r>
      <w:r w:rsidRPr="00104C68">
        <w:rPr>
          <w:i/>
        </w:rPr>
        <w:t>in situ</w:t>
      </w:r>
      <w:r>
        <w:t xml:space="preserve"> from the reaction of Pd(OAc)</w:t>
      </w:r>
      <w:r w:rsidRPr="003043F5">
        <w:rPr>
          <w:vertAlign w:val="subscript"/>
        </w:rPr>
        <w:t>2</w:t>
      </w:r>
      <w:r>
        <w:t>’/2PPh</w:t>
      </w:r>
      <w:r>
        <w:rPr>
          <w:vertAlign w:val="subscript"/>
        </w:rPr>
        <w:t>3</w:t>
      </w:r>
      <w:r>
        <w:t xml:space="preserve"> mixtures.</w:t>
      </w:r>
      <w:r>
        <w:rPr>
          <w:vertAlign w:val="superscript"/>
        </w:rPr>
        <w:t>4a</w:t>
      </w:r>
      <w:r>
        <w:t xml:space="preserve"> Later studies showed that increasing the Pd/PPh</w:t>
      </w:r>
      <w:r>
        <w:rPr>
          <w:vertAlign w:val="subscript"/>
        </w:rPr>
        <w:t>3</w:t>
      </w:r>
      <w:r>
        <w:t xml:space="preserve"> ratio to 1:3 and above led to the clean generation of [P</w:t>
      </w:r>
      <w:bookmarkStart w:id="1" w:name="_GoBack"/>
      <w:bookmarkEnd w:id="1"/>
      <w:r>
        <w:t>d</w:t>
      </w:r>
      <w:r w:rsidRPr="00505540">
        <w:rPr>
          <w:vertAlign w:val="superscript"/>
        </w:rPr>
        <w:t>0</w:t>
      </w:r>
      <w:r>
        <w:t>(PPh</w:t>
      </w:r>
      <w:r w:rsidRPr="00505540">
        <w:rPr>
          <w:vertAlign w:val="subscript"/>
        </w:rPr>
        <w:t>3</w:t>
      </w:r>
      <w:r>
        <w:t>)</w:t>
      </w:r>
      <w:r>
        <w:rPr>
          <w:vertAlign w:val="subscript"/>
        </w:rPr>
        <w:t>n</w:t>
      </w:r>
      <w:r>
        <w:t>(OAc)]</w:t>
      </w:r>
      <w:r>
        <w:rPr>
          <w:vertAlign w:val="superscript"/>
        </w:rPr>
        <w:t>–</w:t>
      </w:r>
      <w:r>
        <w:t xml:space="preserve"> species (n = 2 or 3), with O=PPh</w:t>
      </w:r>
      <w:r>
        <w:rPr>
          <w:vertAlign w:val="subscript"/>
        </w:rPr>
        <w:t>3</w:t>
      </w:r>
      <w:r>
        <w:t xml:space="preserve"> being a key side product, </w:t>
      </w:r>
      <w:r>
        <w:rPr>
          <w:i/>
        </w:rPr>
        <w:t xml:space="preserve">i.e. </w:t>
      </w:r>
      <w:r>
        <w:t>formed during the formal Pd</w:t>
      </w:r>
      <w:r w:rsidRPr="00AB3D27">
        <w:rPr>
          <w:vertAlign w:val="superscript"/>
        </w:rPr>
        <w:t>II</w:t>
      </w:r>
      <w:r>
        <w:rPr>
          <w:rFonts w:ascii="Times New Roman" w:hAnsi="Times New Roman"/>
        </w:rPr>
        <w:t>→</w:t>
      </w:r>
      <w:r>
        <w:t>Pd</w:t>
      </w:r>
      <w:r>
        <w:rPr>
          <w:vertAlign w:val="superscript"/>
        </w:rPr>
        <w:t>0</w:t>
      </w:r>
      <w:r>
        <w:rPr>
          <w:vertAlign w:val="subscript"/>
        </w:rPr>
        <w:t xml:space="preserve"> </w:t>
      </w:r>
      <w:r>
        <w:t>reduction process.</w:t>
      </w:r>
      <w:r>
        <w:rPr>
          <w:vertAlign w:val="superscript"/>
        </w:rPr>
        <w:t>4b,4c</w:t>
      </w:r>
      <w:r>
        <w:t xml:space="preserve"> Both ‘Pd</w:t>
      </w:r>
      <w:r>
        <w:rPr>
          <w:vertAlign w:val="superscript"/>
        </w:rPr>
        <w:t>0</w:t>
      </w:r>
      <w:r>
        <w:t>(PPh</w:t>
      </w:r>
      <w:r>
        <w:rPr>
          <w:vertAlign w:val="subscript"/>
        </w:rPr>
        <w:t>3</w:t>
      </w:r>
      <w:r>
        <w:t>)</w:t>
      </w:r>
      <w:r>
        <w:rPr>
          <w:vertAlign w:val="subscript"/>
        </w:rPr>
        <w:t>2</w:t>
      </w:r>
      <w:r>
        <w:t>’ and [Pd</w:t>
      </w:r>
      <w:r w:rsidRPr="00505540">
        <w:rPr>
          <w:vertAlign w:val="superscript"/>
        </w:rPr>
        <w:t>0</w:t>
      </w:r>
      <w:r>
        <w:t>(PPh</w:t>
      </w:r>
      <w:r w:rsidRPr="00505540">
        <w:rPr>
          <w:vertAlign w:val="subscript"/>
        </w:rPr>
        <w:t>3</w:t>
      </w:r>
      <w:r>
        <w:t>)</w:t>
      </w:r>
      <w:r w:rsidRPr="00505540">
        <w:rPr>
          <w:vertAlign w:val="subscript"/>
        </w:rPr>
        <w:t>2</w:t>
      </w:r>
      <w:r>
        <w:t>(OAc)]</w:t>
      </w:r>
      <w:r>
        <w:rPr>
          <w:vertAlign w:val="superscript"/>
        </w:rPr>
        <w:t>–</w:t>
      </w:r>
      <w:r>
        <w:t xml:space="preserve"> species react in by oxidative addition with organohalides.</w:t>
      </w:r>
    </w:p>
    <w:p w14:paraId="5644F251" w14:textId="49FC5E08" w:rsidR="004E3891" w:rsidRPr="004E3891" w:rsidRDefault="004E3891" w:rsidP="00905BB5">
      <w:pPr>
        <w:pStyle w:val="RSCB02ArticleText"/>
        <w:ind w:firstLine="284"/>
      </w:pPr>
      <w:r>
        <w:t xml:space="preserve">Later, Koller </w:t>
      </w:r>
      <w:r>
        <w:rPr>
          <w:i/>
        </w:rPr>
        <w:t xml:space="preserve">et al. </w:t>
      </w:r>
      <w:r>
        <w:t>examined the reaction of ‘</w:t>
      </w:r>
      <w:proofErr w:type="gramStart"/>
      <w:r>
        <w:t>Pd(</w:t>
      </w:r>
      <w:proofErr w:type="gramEnd"/>
      <w:r>
        <w:t>OAc)</w:t>
      </w:r>
      <w:r w:rsidRPr="003043F5">
        <w:rPr>
          <w:vertAlign w:val="subscript"/>
        </w:rPr>
        <w:t>2</w:t>
      </w:r>
      <w:r>
        <w:t>’/nPPh</w:t>
      </w:r>
      <w:r>
        <w:rPr>
          <w:vertAlign w:val="subscript"/>
        </w:rPr>
        <w:t>3</w:t>
      </w:r>
      <w:r>
        <w:t xml:space="preserve"> in DMF,</w:t>
      </w:r>
      <w:r>
        <w:rPr>
          <w:vertAlign w:val="superscript"/>
        </w:rPr>
        <w:t>5</w:t>
      </w:r>
      <w:r>
        <w:t xml:space="preserve"> amongst other phosphines, concluding that ‘Pd</w:t>
      </w:r>
      <w:r>
        <w:rPr>
          <w:vertAlign w:val="superscript"/>
        </w:rPr>
        <w:t>0</w:t>
      </w:r>
      <w:r>
        <w:t>(PPh</w:t>
      </w:r>
      <w:r>
        <w:rPr>
          <w:vertAlign w:val="subscript"/>
        </w:rPr>
        <w:t>3</w:t>
      </w:r>
      <w:r>
        <w:t>)</w:t>
      </w:r>
      <w:r>
        <w:rPr>
          <w:vertAlign w:val="subscript"/>
        </w:rPr>
        <w:t>n</w:t>
      </w:r>
      <w:r>
        <w:t>’ species are formed under ambient reaction conditions.  Taken together these studies suggest that a Pd/PPh</w:t>
      </w:r>
      <w:r w:rsidRPr="00732742">
        <w:rPr>
          <w:vertAlign w:val="subscript"/>
        </w:rPr>
        <w:t>3</w:t>
      </w:r>
      <w:r>
        <w:t xml:space="preserve"> ratio of 1:3 is necessary for satisfactory catalytic cross-coupling performance.</w:t>
      </w:r>
    </w:p>
    <w:p w14:paraId="7EDE0FF3" w14:textId="36C41352" w:rsidR="00FA2DA2" w:rsidRPr="0061441B" w:rsidRDefault="00905BB5" w:rsidP="00905BB5">
      <w:pPr>
        <w:pStyle w:val="RSCB06BHeadingSub-Section"/>
        <w:ind w:firstLine="284"/>
        <w:jc w:val="both"/>
        <w:rPr>
          <w:rFonts w:cstheme="minorHAnsi"/>
          <w:b w:val="0"/>
          <w:bCs/>
        </w:rPr>
      </w:pPr>
      <w:r w:rsidRPr="0061441B">
        <w:rPr>
          <w:rFonts w:cstheme="minorHAnsi"/>
          <w:b w:val="0"/>
          <w:bCs/>
        </w:rPr>
        <w:t>Over the last 17 years we have regularly debated the differences in cross-coupling catalyst system performance on changing the Pd/PPh</w:t>
      </w:r>
      <w:r w:rsidRPr="0061441B">
        <w:rPr>
          <w:rFonts w:cstheme="minorHAnsi"/>
          <w:b w:val="0"/>
          <w:bCs/>
          <w:vertAlign w:val="subscript"/>
        </w:rPr>
        <w:t>3</w:t>
      </w:r>
      <w:r w:rsidRPr="0061441B">
        <w:rPr>
          <w:rFonts w:cstheme="minorHAnsi"/>
          <w:b w:val="0"/>
          <w:bCs/>
        </w:rPr>
        <w:t xml:space="preserve"> ratio from 1:2 to 1:3.</w:t>
      </w:r>
      <w:r w:rsidRPr="0061441B">
        <w:rPr>
          <w:rFonts w:cstheme="minorHAnsi"/>
          <w:b w:val="0"/>
          <w:bCs/>
          <w:vertAlign w:val="superscript"/>
        </w:rPr>
        <w:t xml:space="preserve">6 </w:t>
      </w:r>
      <w:r w:rsidRPr="0061441B">
        <w:rPr>
          <w:rFonts w:cstheme="minorHAnsi"/>
          <w:b w:val="0"/>
          <w:bCs/>
        </w:rPr>
        <w:t>When papers are reported employing a Pd/PPh</w:t>
      </w:r>
      <w:r w:rsidRPr="0061441B">
        <w:rPr>
          <w:rFonts w:cstheme="minorHAnsi"/>
          <w:b w:val="0"/>
          <w:bCs/>
          <w:vertAlign w:val="subscript"/>
        </w:rPr>
        <w:t>3</w:t>
      </w:r>
      <w:r w:rsidRPr="0061441B">
        <w:rPr>
          <w:rFonts w:cstheme="minorHAnsi"/>
          <w:b w:val="0"/>
          <w:bCs/>
        </w:rPr>
        <w:t xml:space="preserve"> ratio of 1:2 we have asked the why, as 1:3 would be ideal based on the outcomes of previous studies;.</w:t>
      </w:r>
      <w:r w:rsidRPr="0061441B">
        <w:rPr>
          <w:rFonts w:cstheme="minorHAnsi"/>
          <w:b w:val="0"/>
          <w:bCs/>
          <w:vertAlign w:val="superscript"/>
        </w:rPr>
        <w:t>4</w:t>
      </w:r>
      <w:r w:rsidRPr="0061441B">
        <w:rPr>
          <w:rFonts w:cstheme="minorHAnsi"/>
          <w:b w:val="0"/>
          <w:bCs/>
        </w:rPr>
        <w:t xml:space="preserve"> in other words, optimal conditions for forming catalytically active [Pd</w:t>
      </w:r>
      <w:r w:rsidRPr="0061441B">
        <w:rPr>
          <w:rFonts w:cstheme="minorHAnsi"/>
          <w:b w:val="0"/>
          <w:bCs/>
          <w:vertAlign w:val="superscript"/>
        </w:rPr>
        <w:t>0</w:t>
      </w:r>
      <w:r w:rsidRPr="0061441B">
        <w:rPr>
          <w:rFonts w:cstheme="minorHAnsi"/>
          <w:b w:val="0"/>
          <w:bCs/>
        </w:rPr>
        <w:t>(PPh</w:t>
      </w:r>
      <w:r w:rsidRPr="0061441B">
        <w:rPr>
          <w:rFonts w:cstheme="minorHAnsi"/>
          <w:b w:val="0"/>
          <w:bCs/>
          <w:vertAlign w:val="subscript"/>
        </w:rPr>
        <w:t>3</w:t>
      </w:r>
      <w:r w:rsidRPr="0061441B">
        <w:rPr>
          <w:rFonts w:cstheme="minorHAnsi"/>
          <w:b w:val="0"/>
          <w:bCs/>
        </w:rPr>
        <w:t>)</w:t>
      </w:r>
      <w:r w:rsidRPr="0061441B">
        <w:rPr>
          <w:rFonts w:cstheme="minorHAnsi"/>
          <w:b w:val="0"/>
          <w:bCs/>
          <w:vertAlign w:val="subscript"/>
        </w:rPr>
        <w:t>n</w:t>
      </w:r>
      <w:r w:rsidRPr="0061441B">
        <w:rPr>
          <w:rFonts w:cstheme="minorHAnsi"/>
          <w:b w:val="0"/>
          <w:bCs/>
        </w:rPr>
        <w:t>(OAc)]</w:t>
      </w:r>
      <w:r w:rsidRPr="0061441B">
        <w:rPr>
          <w:rFonts w:cstheme="minorHAnsi"/>
          <w:b w:val="0"/>
          <w:bCs/>
          <w:vertAlign w:val="superscript"/>
        </w:rPr>
        <w:t>–</w:t>
      </w:r>
      <w:r w:rsidRPr="0061441B">
        <w:rPr>
          <w:rFonts w:cstheme="minorHAnsi"/>
          <w:b w:val="0"/>
          <w:bCs/>
        </w:rPr>
        <w:t xml:space="preserve"> species requires ≥3 equivalents of PPh</w:t>
      </w:r>
      <w:r w:rsidRPr="0061441B">
        <w:rPr>
          <w:rFonts w:cstheme="minorHAnsi"/>
          <w:b w:val="0"/>
          <w:bCs/>
          <w:vertAlign w:val="subscript"/>
        </w:rPr>
        <w:t>3</w:t>
      </w:r>
      <w:r w:rsidRPr="0061441B">
        <w:rPr>
          <w:rFonts w:cstheme="minorHAnsi"/>
          <w:b w:val="0"/>
          <w:bCs/>
        </w:rPr>
        <w:t xml:space="preserve"> per Pd, “not 2 equivalents”, when ‘Pd(OAc)</w:t>
      </w:r>
      <w:r w:rsidRPr="0061441B">
        <w:rPr>
          <w:rFonts w:cstheme="minorHAnsi"/>
          <w:b w:val="0"/>
          <w:bCs/>
          <w:vertAlign w:val="subscript"/>
        </w:rPr>
        <w:t>2</w:t>
      </w:r>
      <w:r w:rsidRPr="0061441B">
        <w:rPr>
          <w:rFonts w:cstheme="minorHAnsi"/>
          <w:b w:val="0"/>
          <w:bCs/>
        </w:rPr>
        <w:t xml:space="preserve">’ is used as the initial </w:t>
      </w:r>
      <w:proofErr w:type="spellStart"/>
      <w:r w:rsidRPr="0061441B">
        <w:rPr>
          <w:rFonts w:cstheme="minorHAnsi"/>
          <w:b w:val="0"/>
          <w:bCs/>
        </w:rPr>
        <w:t>Pd</w:t>
      </w:r>
      <w:r w:rsidRPr="0061441B">
        <w:rPr>
          <w:rFonts w:cstheme="minorHAnsi"/>
          <w:b w:val="0"/>
          <w:bCs/>
          <w:vertAlign w:val="superscript"/>
        </w:rPr>
        <w:t>II</w:t>
      </w:r>
      <w:proofErr w:type="spellEnd"/>
      <w:r w:rsidRPr="0061441B">
        <w:rPr>
          <w:rFonts w:cstheme="minorHAnsi"/>
          <w:b w:val="0"/>
          <w:bCs/>
        </w:rPr>
        <w:t xml:space="preserve"> precatalyst.</w:t>
      </w:r>
    </w:p>
    <w:p w14:paraId="31DA93D4" w14:textId="7811160A" w:rsidR="00905BB5" w:rsidRPr="00B66D20" w:rsidRDefault="00905BB5" w:rsidP="00905BB5">
      <w:pPr>
        <w:pStyle w:val="RSCB02ArticleText"/>
      </w:pPr>
      <w:r>
        <w:t>A superb recent example is found in the high-throughput automated reaction screening study conducted by a team from Pfizer,</w:t>
      </w:r>
      <w:r w:rsidRPr="00C24C8E">
        <w:rPr>
          <w:vertAlign w:val="superscript"/>
        </w:rPr>
        <w:t>7</w:t>
      </w:r>
      <w:r>
        <w:t xml:space="preserve"> where a Pd/PPh</w:t>
      </w:r>
      <w:r w:rsidRPr="00732742">
        <w:rPr>
          <w:vertAlign w:val="subscript"/>
        </w:rPr>
        <w:t>3</w:t>
      </w:r>
      <w:r>
        <w:t xml:space="preserve"> ratio of 1:2 was used for 480 Suzuki-Miyaura cross-coupling (SMCC) reactions, involving changes in solvent and base, against relatively minor changes in substrate structure, correlated alongside many other phosphine ligands </w:t>
      </w:r>
      <w:r w:rsidRPr="0048135C">
        <w:lastRenderedPageBreak/>
        <w:t>(over</w:t>
      </w:r>
      <w:r>
        <w:t xml:space="preserve"> 5760 </w:t>
      </w:r>
      <w:r w:rsidRPr="0048135C">
        <w:t>reactions in total).</w:t>
      </w:r>
      <w:r>
        <w:t xml:space="preserve"> </w:t>
      </w:r>
      <w:r w:rsidRPr="0048135C">
        <w:t xml:space="preserve">Cronin </w:t>
      </w:r>
      <w:r w:rsidRPr="0048135C">
        <w:rPr>
          <w:i/>
        </w:rPr>
        <w:t>et al.</w:t>
      </w:r>
      <w:r w:rsidRPr="0048135C">
        <w:t xml:space="preserve"> further applied a ma</w:t>
      </w:r>
      <w:r>
        <w:t>chine learning algorithm based on the product percentage yields.</w:t>
      </w:r>
      <w:r w:rsidRPr="00C24C8E">
        <w:rPr>
          <w:vertAlign w:val="superscript"/>
        </w:rPr>
        <w:t>8</w:t>
      </w:r>
      <w:r>
        <w:t xml:space="preserve"> With such important developments being made in automation, reaction optimization and machine learning,</w:t>
      </w:r>
      <w:r w:rsidRPr="000E2BA0">
        <w:rPr>
          <w:vertAlign w:val="superscript"/>
        </w:rPr>
        <w:t>9</w:t>
      </w:r>
      <w:r>
        <w:t xml:space="preserve"> knowing precisely the reactive Pd species, formed under working reaction conditions, has never been more important. Thus, herein we report that the reaction of Pd</w:t>
      </w:r>
      <w:r>
        <w:rPr>
          <w:vertAlign w:val="subscript"/>
        </w:rPr>
        <w:t>3</w:t>
      </w:r>
      <w:r>
        <w:t>(OAc)</w:t>
      </w:r>
      <w:r>
        <w:rPr>
          <w:vertAlign w:val="subscript"/>
        </w:rPr>
        <w:t>6</w:t>
      </w:r>
      <w:r>
        <w:t xml:space="preserve"> with 6 equivalents of PPh</w:t>
      </w:r>
      <w:r>
        <w:rPr>
          <w:vertAlign w:val="subscript"/>
        </w:rPr>
        <w:t>3</w:t>
      </w:r>
      <w:r>
        <w:t xml:space="preserve"> (</w:t>
      </w:r>
      <w:proofErr w:type="gramStart"/>
      <w:r>
        <w:t>Pd:PPh</w:t>
      </w:r>
      <w:proofErr w:type="gramEnd"/>
      <w:r>
        <w:rPr>
          <w:vertAlign w:val="subscript"/>
        </w:rPr>
        <w:t>3</w:t>
      </w:r>
      <w:r>
        <w:t>, 1:2), in both THF and DMF, generates a well-defined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xml:space="preserve">] complex </w:t>
      </w:r>
      <w:r>
        <w:rPr>
          <w:b/>
        </w:rPr>
        <w:t>II</w:t>
      </w:r>
      <w:r>
        <w:t xml:space="preserve">. The formation of this unusual species adds to the mechanistic debate concerning the activation pathways for Pd(II) precatalysts, particularly papers reported by: (a) </w:t>
      </w:r>
      <w:proofErr w:type="spellStart"/>
      <w:r>
        <w:t>Balcells</w:t>
      </w:r>
      <w:proofErr w:type="spellEnd"/>
      <w:r>
        <w:t xml:space="preserve"> and Hazari</w:t>
      </w:r>
      <w:r w:rsidR="00CB7C90">
        <w:rPr>
          <w:vertAlign w:val="superscript"/>
        </w:rPr>
        <w:t>10a</w:t>
      </w:r>
      <w:r>
        <w:t xml:space="preserve"> showing formation of Pd</w:t>
      </w:r>
      <w:r>
        <w:rPr>
          <w:vertAlign w:val="superscript"/>
        </w:rPr>
        <w:t>I</w:t>
      </w:r>
      <w:r>
        <w:t xml:space="preserve"> dimers </w:t>
      </w:r>
      <w:r w:rsidR="00CB7C90">
        <w:t>with</w:t>
      </w:r>
      <w:r>
        <w:t xml:space="preserve"> NHC ligands </w:t>
      </w:r>
      <w:r w:rsidR="00E574A1">
        <w:t>and</w:t>
      </w:r>
      <w:r>
        <w:t xml:space="preserve"> bridging allyl and chloride ligands (eq. 1); (b) </w:t>
      </w:r>
      <w:proofErr w:type="spellStart"/>
      <w:r w:rsidR="006A3FD0">
        <w:t>Colacot</w:t>
      </w:r>
      <w:proofErr w:type="spellEnd"/>
      <w:r w:rsidR="006A3FD0">
        <w:t xml:space="preserve"> and Schoenebeck</w:t>
      </w:r>
      <w:r w:rsidR="00CB7C90">
        <w:rPr>
          <w:vertAlign w:val="superscript"/>
        </w:rPr>
        <w:t>10b</w:t>
      </w:r>
      <w:r w:rsidR="006A3FD0">
        <w:t xml:space="preserve"> showing formation of </w:t>
      </w:r>
      <w:r>
        <w:t>Pd</w:t>
      </w:r>
      <w:r>
        <w:rPr>
          <w:vertAlign w:val="superscript"/>
        </w:rPr>
        <w:t>I</w:t>
      </w:r>
      <w:r>
        <w:t xml:space="preserve"> dimers </w:t>
      </w:r>
      <w:r w:rsidR="00CB7C90">
        <w:t xml:space="preserve">with </w:t>
      </w:r>
      <w:r>
        <w:t>phosphines and bridging bromide ligands</w:t>
      </w:r>
      <w:r w:rsidR="008764D9">
        <w:t xml:space="preserve"> (eq. 2)</w:t>
      </w:r>
      <w:r w:rsidR="006A3FD0">
        <w:t xml:space="preserve">; (c) </w:t>
      </w:r>
      <w:r w:rsidR="00FE6B94">
        <w:t>Bedford</w:t>
      </w:r>
      <w:r w:rsidR="00CB7C90">
        <w:rPr>
          <w:vertAlign w:val="superscript"/>
        </w:rPr>
        <w:t>10c</w:t>
      </w:r>
      <w:r w:rsidR="00FE6B94">
        <w:t xml:space="preserve"> showing </w:t>
      </w:r>
      <w:proofErr w:type="spellStart"/>
      <w:r w:rsidR="00FE6B94">
        <w:t>S</w:t>
      </w:r>
      <w:r w:rsidR="00E574A1">
        <w:t>P</w:t>
      </w:r>
      <w:r w:rsidR="00FE6B94">
        <w:t>hos</w:t>
      </w:r>
      <w:proofErr w:type="spellEnd"/>
      <w:r w:rsidR="00FE6B94">
        <w:t xml:space="preserve"> activation on reaction with Pd(OAc)</w:t>
      </w:r>
      <w:r w:rsidR="00FE6B94" w:rsidRPr="00FE6B94">
        <w:rPr>
          <w:vertAlign w:val="subscript"/>
        </w:rPr>
        <w:t>2</w:t>
      </w:r>
      <w:r w:rsidR="008764D9">
        <w:rPr>
          <w:vertAlign w:val="subscript"/>
        </w:rPr>
        <w:t xml:space="preserve"> </w:t>
      </w:r>
      <w:r w:rsidR="008764D9">
        <w:t>(eq. 3)</w:t>
      </w:r>
      <w:r w:rsidR="00FE6B94">
        <w:t xml:space="preserve">; (d) </w:t>
      </w:r>
      <w:r w:rsidR="00B66D20">
        <w:t>Jutand and Grima</w:t>
      </w:r>
      <w:r w:rsidR="00CB7C90">
        <w:t>u</w:t>
      </w:r>
      <w:r w:rsidR="00B66D20">
        <w:t>d</w:t>
      </w:r>
      <w:r w:rsidR="00CB7C90">
        <w:rPr>
          <w:vertAlign w:val="superscript"/>
        </w:rPr>
        <w:t>10d</w:t>
      </w:r>
      <w:r w:rsidR="00B66D20">
        <w:t xml:space="preserve">  showing </w:t>
      </w:r>
      <w:proofErr w:type="spellStart"/>
      <w:r w:rsidR="00B66D20">
        <w:t>X</w:t>
      </w:r>
      <w:r w:rsidR="00E574A1">
        <w:t>P</w:t>
      </w:r>
      <w:r w:rsidR="00B66D20">
        <w:t>hos</w:t>
      </w:r>
      <w:proofErr w:type="spellEnd"/>
      <w:r w:rsidR="00B66D20">
        <w:t xml:space="preserve"> reactions with Pd(OAc)</w:t>
      </w:r>
      <w:r w:rsidR="00B66D20">
        <w:rPr>
          <w:vertAlign w:val="subscript"/>
        </w:rPr>
        <w:t xml:space="preserve">2 </w:t>
      </w:r>
      <w:r w:rsidR="00B66D20">
        <w:t xml:space="preserve">leading to </w:t>
      </w:r>
      <w:r w:rsidR="008764D9">
        <w:t xml:space="preserve">a </w:t>
      </w:r>
      <w:r w:rsidR="00B66D20">
        <w:t>proposed Pd</w:t>
      </w:r>
      <w:r w:rsidR="00B66D20">
        <w:rPr>
          <w:vertAlign w:val="superscript"/>
        </w:rPr>
        <w:t>I</w:t>
      </w:r>
      <w:r w:rsidR="00B66D20">
        <w:t xml:space="preserve"> dimer</w:t>
      </w:r>
      <w:r w:rsidR="008764D9">
        <w:t xml:space="preserve"> (eq. 4)</w:t>
      </w:r>
      <w:r w:rsidR="00B66D20">
        <w:t>.</w:t>
      </w:r>
    </w:p>
    <w:p w14:paraId="18EA33BB" w14:textId="281A0A9B" w:rsidR="004E3891" w:rsidRPr="00DB5A45" w:rsidRDefault="00793C89" w:rsidP="00134930">
      <w:pPr>
        <w:pStyle w:val="RSCI02FigureSchemeChartwithtopbar"/>
        <w:rPr>
          <w:noProof/>
          <w:lang w:eastAsia="en-GB"/>
        </w:rPr>
      </w:pPr>
      <w:r>
        <w:rPr>
          <w:noProof/>
          <w:lang w:eastAsia="en-GB"/>
        </w:rPr>
        <w:drawing>
          <wp:inline distT="0" distB="0" distL="0" distR="0" wp14:anchorId="0A15AEA9" wp14:editId="7CDA2E68">
            <wp:extent cx="3044825" cy="39941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5" cy="3994150"/>
                    </a:xfrm>
                    <a:prstGeom prst="rect">
                      <a:avLst/>
                    </a:prstGeom>
                  </pic:spPr>
                </pic:pic>
              </a:graphicData>
            </a:graphic>
          </wp:inline>
        </w:drawing>
      </w:r>
    </w:p>
    <w:p w14:paraId="6BCF4491" w14:textId="1314607C" w:rsidR="004E3891" w:rsidRDefault="004E3891" w:rsidP="00134930">
      <w:pPr>
        <w:pStyle w:val="RSCI01FigureSchemeChartwithbottombar"/>
      </w:pPr>
      <w:r>
        <w:t>Scheme 1 Reactions of ‘</w:t>
      </w:r>
      <w:proofErr w:type="gramStart"/>
      <w:r>
        <w:t>Pd(</w:t>
      </w:r>
      <w:proofErr w:type="gramEnd"/>
      <w:r>
        <w:t>OAc)</w:t>
      </w:r>
      <w:r>
        <w:rPr>
          <w:vertAlign w:val="subscript"/>
        </w:rPr>
        <w:t>2</w:t>
      </w:r>
      <w:r>
        <w:t>’ with PPh</w:t>
      </w:r>
      <w:r>
        <w:rPr>
          <w:vertAlign w:val="subscript"/>
        </w:rPr>
        <w:t xml:space="preserve">3 </w:t>
      </w:r>
      <w:r>
        <w:t xml:space="preserve">(1:2 ratio). </w:t>
      </w:r>
      <w:r w:rsidRPr="00001624">
        <w:rPr>
          <w:vertAlign w:val="superscript"/>
        </w:rPr>
        <w:t>31</w:t>
      </w:r>
      <w:r>
        <w:t xml:space="preserve">P NMR spectral data are taken from reference 4a. </w:t>
      </w:r>
    </w:p>
    <w:p w14:paraId="7EB41F71" w14:textId="77777777" w:rsidR="00A66048" w:rsidRDefault="00A66048" w:rsidP="00B66D20">
      <w:pPr>
        <w:pStyle w:val="RSCB02ArticleText"/>
      </w:pPr>
    </w:p>
    <w:p w14:paraId="7C8F0711" w14:textId="77777777" w:rsidR="00A66048" w:rsidRDefault="00A66048" w:rsidP="00B66D20">
      <w:pPr>
        <w:pStyle w:val="RSCB02ArticleText"/>
      </w:pPr>
    </w:p>
    <w:p w14:paraId="59743344" w14:textId="77777777" w:rsidR="00A66048" w:rsidRDefault="00A66048" w:rsidP="00B66D20">
      <w:pPr>
        <w:pStyle w:val="RSCB02ArticleText"/>
      </w:pPr>
    </w:p>
    <w:p w14:paraId="73045A77" w14:textId="77777777" w:rsidR="00A66048" w:rsidRDefault="00A66048" w:rsidP="00B66D20">
      <w:pPr>
        <w:pStyle w:val="RSCB02ArticleText"/>
      </w:pPr>
    </w:p>
    <w:p w14:paraId="30C0820B" w14:textId="77777777" w:rsidR="00A66048" w:rsidRDefault="00A66048" w:rsidP="00B66D20">
      <w:pPr>
        <w:pStyle w:val="RSCB02ArticleText"/>
      </w:pPr>
    </w:p>
    <w:p w14:paraId="7BFDB1D1" w14:textId="77777777" w:rsidR="00A66048" w:rsidRDefault="00A66048" w:rsidP="00B66D20">
      <w:pPr>
        <w:pStyle w:val="RSCB02ArticleText"/>
      </w:pPr>
    </w:p>
    <w:p w14:paraId="4063071F" w14:textId="77777777" w:rsidR="00A66048" w:rsidRDefault="00A66048" w:rsidP="00B66D20">
      <w:pPr>
        <w:pStyle w:val="RSCB02ArticleText"/>
      </w:pPr>
    </w:p>
    <w:p w14:paraId="58A96886" w14:textId="10235803" w:rsidR="00B66D20" w:rsidRDefault="008764D9" w:rsidP="00B66D20">
      <w:pPr>
        <w:pStyle w:val="RSCB02ArticleText"/>
      </w:pPr>
      <w:r>
        <w:t>The stability and reactivity of these Pd</w:t>
      </w:r>
      <w:r>
        <w:rPr>
          <w:vertAlign w:val="superscript"/>
        </w:rPr>
        <w:t>I</w:t>
      </w:r>
      <w:r>
        <w:t xml:space="preserve"> dimers appear to be critical in understanding the delivery of active ‘L-Pd</w:t>
      </w:r>
      <w:r>
        <w:rPr>
          <w:vertAlign w:val="superscript"/>
        </w:rPr>
        <w:t>0</w:t>
      </w:r>
      <w:r w:rsidRPr="008764D9">
        <w:t>’</w:t>
      </w:r>
      <w:r>
        <w:t xml:space="preserve"> species, a process dependent on L/Pd ratios and additives. </w:t>
      </w:r>
      <w:r w:rsidR="00B66D20">
        <w:t>From our study</w:t>
      </w:r>
      <w:r>
        <w:t xml:space="preserve"> we find that </w:t>
      </w:r>
      <w:r w:rsidR="00B66D20">
        <w:t>[Pd</w:t>
      </w:r>
      <w:r w:rsidR="00B66D20">
        <w:rPr>
          <w:vertAlign w:val="subscript"/>
        </w:rPr>
        <w:t>2</w:t>
      </w:r>
      <w:r w:rsidR="00B66D20">
        <w:t>(</w:t>
      </w:r>
      <w:r w:rsidR="00B66D20">
        <w:rPr>
          <w:rFonts w:ascii="Times New Roman" w:hAnsi="Times New Roman"/>
        </w:rPr>
        <w:t>µ</w:t>
      </w:r>
      <w:r w:rsidR="00B66D20">
        <w:t>-PPh</w:t>
      </w:r>
      <w:r w:rsidR="00B66D20" w:rsidRPr="009D6728">
        <w:rPr>
          <w:vertAlign w:val="subscript"/>
        </w:rPr>
        <w:t>2</w:t>
      </w:r>
      <w:r w:rsidR="00B66D20">
        <w:t>)(</w:t>
      </w:r>
      <w:r w:rsidR="00B66D20">
        <w:rPr>
          <w:rFonts w:ascii="Times New Roman" w:hAnsi="Times New Roman"/>
        </w:rPr>
        <w:t>µ</w:t>
      </w:r>
      <w:r w:rsidR="00B66D20" w:rsidRPr="00743771">
        <w:rPr>
          <w:rFonts w:ascii="Times New Roman" w:hAnsi="Times New Roman"/>
          <w:vertAlign w:val="subscript"/>
        </w:rPr>
        <w:t>2</w:t>
      </w:r>
      <w:r w:rsidR="00B66D20" w:rsidRPr="00A85A0F">
        <w:t>-</w:t>
      </w:r>
      <w:r w:rsidR="00B66D20">
        <w:t>OAc)(PPh</w:t>
      </w:r>
      <w:r w:rsidR="00B66D20" w:rsidRPr="009D6728">
        <w:rPr>
          <w:vertAlign w:val="subscript"/>
        </w:rPr>
        <w:t>3</w:t>
      </w:r>
      <w:r w:rsidR="00B66D20">
        <w:t>)</w:t>
      </w:r>
      <w:r w:rsidR="00B66D20" w:rsidRPr="009D6728">
        <w:rPr>
          <w:vertAlign w:val="subscript"/>
        </w:rPr>
        <w:t>2</w:t>
      </w:r>
      <w:r w:rsidR="00B66D20">
        <w:t xml:space="preserve">] </w:t>
      </w:r>
      <w:r w:rsidR="00B66D20">
        <w:rPr>
          <w:b/>
        </w:rPr>
        <w:t>II</w:t>
      </w:r>
      <w:r w:rsidR="00B66D20">
        <w:t>, exhibits unique reactivity toward organohalides</w:t>
      </w:r>
      <w:r>
        <w:t xml:space="preserve">, </w:t>
      </w:r>
      <w:r>
        <w:rPr>
          <w:i/>
          <w:iCs/>
        </w:rPr>
        <w:t>e.g.</w:t>
      </w:r>
      <w:r w:rsidR="00B66D20">
        <w:t>CH</w:t>
      </w:r>
      <w:r w:rsidR="00B66D20">
        <w:rPr>
          <w:vertAlign w:val="subscript"/>
        </w:rPr>
        <w:t>2</w:t>
      </w:r>
      <w:r w:rsidR="00B66D20">
        <w:t>Cl</w:t>
      </w:r>
      <w:r w:rsidR="00B66D20">
        <w:rPr>
          <w:vertAlign w:val="subscript"/>
        </w:rPr>
        <w:t xml:space="preserve">2 </w:t>
      </w:r>
      <w:r w:rsidR="00B66D20" w:rsidRPr="002E72A0">
        <w:rPr>
          <w:b/>
        </w:rPr>
        <w:t>1a</w:t>
      </w:r>
      <w:r w:rsidR="00B66D20">
        <w:t xml:space="preserve">, </w:t>
      </w:r>
      <w:r w:rsidR="00B66D20" w:rsidRPr="000518AD">
        <w:rPr>
          <w:i/>
        </w:rPr>
        <w:t>p</w:t>
      </w:r>
      <w:r w:rsidR="00B66D20">
        <w:t>-</w:t>
      </w:r>
      <w:proofErr w:type="spellStart"/>
      <w:r w:rsidR="00B66D20">
        <w:t>fluoro</w:t>
      </w:r>
      <w:proofErr w:type="spellEnd"/>
      <w:r w:rsidR="00B66D20">
        <w:t>-</w:t>
      </w:r>
      <w:proofErr w:type="spellStart"/>
      <w:r w:rsidR="00B66D20">
        <w:t>iodobenzene</w:t>
      </w:r>
      <w:proofErr w:type="spellEnd"/>
      <w:r w:rsidR="00B66D20">
        <w:t xml:space="preserve"> </w:t>
      </w:r>
      <w:r w:rsidR="00B66D20" w:rsidRPr="002E72A0">
        <w:rPr>
          <w:b/>
        </w:rPr>
        <w:t>1b</w:t>
      </w:r>
      <w:r w:rsidR="00B66D20">
        <w:t xml:space="preserve"> and 2-bromopyridine </w:t>
      </w:r>
      <w:r w:rsidR="00B66D20">
        <w:rPr>
          <w:b/>
        </w:rPr>
        <w:t>1c</w:t>
      </w:r>
      <w:r>
        <w:rPr>
          <w:bCs/>
        </w:rPr>
        <w:t>, which affords</w:t>
      </w:r>
      <w:r w:rsidR="00B66D20">
        <w:rPr>
          <w:b/>
        </w:rPr>
        <w:t xml:space="preserve"> </w:t>
      </w:r>
      <w:r w:rsidR="00B66D20">
        <w:t>Pd</w:t>
      </w:r>
      <w:r w:rsidR="00B66D20">
        <w:rPr>
          <w:vertAlign w:val="subscript"/>
        </w:rPr>
        <w:t>3</w:t>
      </w:r>
      <w:r w:rsidR="00B66D20">
        <w:t xml:space="preserve"> cluster species, namely [Pd</w:t>
      </w:r>
      <w:r w:rsidR="00B66D20">
        <w:rPr>
          <w:vertAlign w:val="subscript"/>
        </w:rPr>
        <w:t>3</w:t>
      </w:r>
      <w:r w:rsidR="00B66D20">
        <w:t>(X)(</w:t>
      </w:r>
      <w:r w:rsidR="00B66D20">
        <w:rPr>
          <w:rFonts w:ascii="Times New Roman" w:hAnsi="Times New Roman"/>
        </w:rPr>
        <w:t>µ</w:t>
      </w:r>
      <w:r w:rsidR="00B66D20">
        <w:t>-PPh</w:t>
      </w:r>
      <w:r w:rsidR="00B66D20">
        <w:rPr>
          <w:vertAlign w:val="subscript"/>
        </w:rPr>
        <w:t>2</w:t>
      </w:r>
      <w:r w:rsidR="00B66D20">
        <w:t>)</w:t>
      </w:r>
      <w:r w:rsidR="00B66D20">
        <w:rPr>
          <w:vertAlign w:val="subscript"/>
        </w:rPr>
        <w:t>2</w:t>
      </w:r>
      <w:r w:rsidR="00B66D20">
        <w:t>(PPh</w:t>
      </w:r>
      <w:r w:rsidR="00B66D20">
        <w:rPr>
          <w:vertAlign w:val="subscript"/>
        </w:rPr>
        <w:t>3</w:t>
      </w:r>
      <w:r w:rsidR="00B66D20">
        <w:t>)</w:t>
      </w:r>
      <w:r w:rsidR="00B66D20">
        <w:rPr>
          <w:vertAlign w:val="subscript"/>
        </w:rPr>
        <w:t>3</w:t>
      </w:r>
      <w:r w:rsidR="00B66D20">
        <w:t>]</w:t>
      </w:r>
      <w:r w:rsidR="00B66D20" w:rsidRPr="00853E6F">
        <w:t>X</w:t>
      </w:r>
      <w:r w:rsidR="00B66D20">
        <w:t xml:space="preserve"> </w:t>
      </w:r>
      <w:r w:rsidR="00B66D20" w:rsidRPr="00A02C0D">
        <w:rPr>
          <w:b/>
        </w:rPr>
        <w:t>VII</w:t>
      </w:r>
      <w:r w:rsidR="00B66D20">
        <w:rPr>
          <w:b/>
        </w:rPr>
        <w:t xml:space="preserve"> </w:t>
      </w:r>
      <w:r w:rsidR="00B66D20">
        <w:t xml:space="preserve">(later referred to as </w:t>
      </w:r>
      <w:r w:rsidR="00B66D20" w:rsidRPr="00DC146C">
        <w:rPr>
          <w:b/>
        </w:rPr>
        <w:t>Pd</w:t>
      </w:r>
      <w:r w:rsidR="00B66D20" w:rsidRPr="00DC146C">
        <w:rPr>
          <w:b/>
          <w:vertAlign w:val="subscript"/>
        </w:rPr>
        <w:t>3</w:t>
      </w:r>
      <w:r w:rsidR="00B66D20">
        <w:rPr>
          <w:b/>
        </w:rPr>
        <w:t>X</w:t>
      </w:r>
      <w:r w:rsidR="00B66D20" w:rsidRPr="00DC146C">
        <w:rPr>
          <w:rFonts w:ascii="Constantia" w:hAnsi="Constantia"/>
          <w:b/>
        </w:rPr>
        <w:t>•</w:t>
      </w:r>
      <w:r w:rsidR="00B66D20" w:rsidRPr="00DC146C">
        <w:rPr>
          <w:b/>
        </w:rPr>
        <w:t>X</w:t>
      </w:r>
      <w:r w:rsidR="00B66D20">
        <w:t xml:space="preserve">, where X = Cl, Br, I or OAc). Our results naturally connect to a recent report showing that </w:t>
      </w:r>
      <w:r w:rsidR="00B66D20" w:rsidRPr="00DC146C">
        <w:rPr>
          <w:b/>
        </w:rPr>
        <w:t>Pd</w:t>
      </w:r>
      <w:r w:rsidR="00B66D20" w:rsidRPr="00DC146C">
        <w:rPr>
          <w:b/>
          <w:vertAlign w:val="subscript"/>
        </w:rPr>
        <w:t>3</w:t>
      </w:r>
      <w:r w:rsidR="00B66D20">
        <w:rPr>
          <w:b/>
        </w:rPr>
        <w:t>Cl</w:t>
      </w:r>
      <w:r w:rsidR="00B66D20" w:rsidRPr="00DC146C">
        <w:rPr>
          <w:rFonts w:ascii="Constantia" w:hAnsi="Constantia"/>
          <w:b/>
        </w:rPr>
        <w:t>•</w:t>
      </w:r>
      <w:r w:rsidR="00B66D20">
        <w:rPr>
          <w:b/>
        </w:rPr>
        <w:t xml:space="preserve">Cl </w:t>
      </w:r>
      <w:r w:rsidR="00B66D20">
        <w:t>is a highly active catalyst for SMCC reactions, including the activation of substrates containing</w:t>
      </w:r>
      <w:r w:rsidR="004F1BC0">
        <w:t xml:space="preserve"> harder to activate</w:t>
      </w:r>
      <w:r w:rsidR="00B66D20">
        <w:t xml:space="preserve"> C-Cl bonds.</w:t>
      </w:r>
      <w:r w:rsidR="00B66D20" w:rsidRPr="00001661">
        <w:rPr>
          <w:vertAlign w:val="superscript"/>
        </w:rPr>
        <w:t>1</w:t>
      </w:r>
      <w:r w:rsidR="00125A94">
        <w:rPr>
          <w:vertAlign w:val="superscript"/>
        </w:rPr>
        <w:t>1</w:t>
      </w:r>
      <w:r w:rsidR="00B66D20">
        <w:t xml:space="preserve"> </w:t>
      </w:r>
      <w:r w:rsidR="00B66D20" w:rsidRPr="00DC146C">
        <w:rPr>
          <w:b/>
        </w:rPr>
        <w:t>Pd</w:t>
      </w:r>
      <w:r w:rsidR="00B66D20" w:rsidRPr="00DC146C">
        <w:rPr>
          <w:b/>
          <w:vertAlign w:val="subscript"/>
        </w:rPr>
        <w:t>3</w:t>
      </w:r>
      <w:r w:rsidR="00B66D20">
        <w:rPr>
          <w:b/>
        </w:rPr>
        <w:t>Cl</w:t>
      </w:r>
      <w:r w:rsidR="00B66D20" w:rsidRPr="00DC146C">
        <w:rPr>
          <w:rFonts w:ascii="Constantia" w:hAnsi="Constantia"/>
          <w:b/>
        </w:rPr>
        <w:t>•</w:t>
      </w:r>
      <w:r w:rsidR="00B66D20">
        <w:rPr>
          <w:b/>
        </w:rPr>
        <w:t>Cl</w:t>
      </w:r>
      <w:r w:rsidR="00B66D20">
        <w:t xml:space="preserve"> invokes an unusual switch in cross-coupling steps from oxidative addition then transmetallation to transmetallation and then oxidative </w:t>
      </w:r>
      <w:r w:rsidR="00B66D20" w:rsidRPr="00116DBA">
        <w:t>additio</w:t>
      </w:r>
      <w:r w:rsidR="00B66D20" w:rsidRPr="00E574A1">
        <w:t>n.</w:t>
      </w:r>
      <w:r w:rsidR="00B66D20" w:rsidRPr="00E574A1">
        <w:rPr>
          <w:vertAlign w:val="superscript"/>
        </w:rPr>
        <w:t>1</w:t>
      </w:r>
      <w:r w:rsidR="00E574A1" w:rsidRPr="00E574A1">
        <w:rPr>
          <w:vertAlign w:val="superscript"/>
        </w:rPr>
        <w:t>1</w:t>
      </w:r>
    </w:p>
    <w:p w14:paraId="2E8D2108" w14:textId="6D209869" w:rsidR="0049288D" w:rsidRDefault="0049288D" w:rsidP="00B66D20">
      <w:pPr>
        <w:pStyle w:val="RSCB02ArticleText"/>
      </w:pPr>
    </w:p>
    <w:p w14:paraId="5EFEBB2C" w14:textId="24CC4A25" w:rsidR="0049288D" w:rsidRPr="0049288D" w:rsidRDefault="004832EE" w:rsidP="004832EE">
      <w:r w:rsidRPr="004832EE">
        <w:object w:dxaOrig="7601" w:dyaOrig="7488" w14:anchorId="40195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3pt;height:246pt" o:ole="">
            <v:imagedata r:id="rId15" o:title=""/>
          </v:shape>
          <o:OLEObject Type="Embed" ProgID="ChemDraw.Document.6.0" ShapeID="_x0000_i1025" DrawAspect="Content" ObjectID="_1622210935" r:id="rId16"/>
        </w:object>
      </w:r>
    </w:p>
    <w:p w14:paraId="568F6D40" w14:textId="77777777" w:rsidR="004E3891" w:rsidRDefault="004E3891" w:rsidP="004E3891">
      <w:pPr>
        <w:pStyle w:val="04AHeading"/>
      </w:pPr>
      <w:r>
        <w:t>Results and Discussion</w:t>
      </w:r>
    </w:p>
    <w:p w14:paraId="575F0657" w14:textId="08B088DF" w:rsidR="004E3891" w:rsidRDefault="004E3891" w:rsidP="004E3891">
      <w:pPr>
        <w:pStyle w:val="RSCB02ArticleText"/>
      </w:pPr>
      <w:r>
        <w:t>The reaction of ultra-pure Pd</w:t>
      </w:r>
      <w:r>
        <w:rPr>
          <w:vertAlign w:val="subscript"/>
        </w:rPr>
        <w:t>3</w:t>
      </w:r>
      <w:r>
        <w:t>(OAc)</w:t>
      </w:r>
      <w:r>
        <w:rPr>
          <w:vertAlign w:val="subscript"/>
        </w:rPr>
        <w:t>6</w:t>
      </w:r>
      <w:r>
        <w:t xml:space="preserve"> (&gt;99% purity) with PPh</w:t>
      </w:r>
      <w:r>
        <w:rPr>
          <w:vertAlign w:val="subscript"/>
        </w:rPr>
        <w:t>3</w:t>
      </w:r>
      <w:r>
        <w:t>, in varying ratios, in THF-d</w:t>
      </w:r>
      <w:r w:rsidRPr="004542C1">
        <w:rPr>
          <w:vertAlign w:val="subscript"/>
        </w:rPr>
        <w:t>8</w:t>
      </w:r>
      <w:r>
        <w:t xml:space="preserve"> were conducted at room temperature (25 </w:t>
      </w:r>
      <w:r>
        <w:rPr>
          <w:rFonts w:ascii="Times New Roman" w:hAnsi="Times New Roman"/>
        </w:rPr>
        <w:t>º</w:t>
      </w:r>
      <w:r>
        <w:t xml:space="preserve">C) and monitored by </w:t>
      </w:r>
      <w:r>
        <w:rPr>
          <w:vertAlign w:val="superscript"/>
        </w:rPr>
        <w:t>1</w:t>
      </w:r>
      <w:r>
        <w:t xml:space="preserve">H and </w:t>
      </w:r>
      <w:r>
        <w:rPr>
          <w:vertAlign w:val="superscript"/>
        </w:rPr>
        <w:t>31</w:t>
      </w:r>
      <w:r>
        <w:t xml:space="preserve">P NMR spectroscopic analysis (where [Pd] = 20 mM; </w:t>
      </w:r>
      <w:r w:rsidRPr="00B42335">
        <w:rPr>
          <w:i/>
        </w:rPr>
        <w:t>T</w:t>
      </w:r>
      <w:r>
        <w:t xml:space="preserve"> = 298 K, external reference = 85% H</w:t>
      </w:r>
      <w:r w:rsidRPr="00A14A09">
        <w:rPr>
          <w:vertAlign w:val="subscript"/>
        </w:rPr>
        <w:t>3</w:t>
      </w:r>
      <w:r>
        <w:t>PO</w:t>
      </w:r>
      <w:r w:rsidRPr="00A14A09">
        <w:rPr>
          <w:vertAlign w:val="subscript"/>
        </w:rPr>
        <w:t>4</w:t>
      </w:r>
      <w:r>
        <w:t xml:space="preserve"> in H</w:t>
      </w:r>
      <w:r>
        <w:rPr>
          <w:vertAlign w:val="subscript"/>
        </w:rPr>
        <w:t>2</w:t>
      </w:r>
      <w:r>
        <w:t xml:space="preserve">O). A wide spectral window (–50 to +250 ppm) was required to allow full characterization of the array of phosphorus signals and associated species formed under these reaction conditions (Figs. 1 and 2). </w:t>
      </w:r>
    </w:p>
    <w:p w14:paraId="777F7CF8" w14:textId="512D93F6" w:rsidR="004E3891" w:rsidRDefault="004E3891" w:rsidP="004E3891">
      <w:pPr>
        <w:pStyle w:val="RSCB02ArticleText"/>
      </w:pPr>
    </w:p>
    <w:p w14:paraId="5C923595" w14:textId="701E8093" w:rsidR="00905BB5" w:rsidRDefault="00905BB5" w:rsidP="004E3891">
      <w:pPr>
        <w:pStyle w:val="RSCB02ArticleText"/>
      </w:pPr>
    </w:p>
    <w:p w14:paraId="6AEFA5F6" w14:textId="06BECCC6" w:rsidR="00905BB5" w:rsidRDefault="00905BB5" w:rsidP="004E3891">
      <w:pPr>
        <w:pStyle w:val="RSCB02ArticleText"/>
      </w:pPr>
    </w:p>
    <w:p w14:paraId="60C28BE3" w14:textId="227D7A01" w:rsidR="00905BB5" w:rsidRDefault="00905BB5" w:rsidP="004E3891">
      <w:pPr>
        <w:pStyle w:val="RSCB02ArticleText"/>
      </w:pPr>
    </w:p>
    <w:p w14:paraId="42BE397A" w14:textId="16AFD13E" w:rsidR="00905BB5" w:rsidRDefault="00905BB5" w:rsidP="004E3891">
      <w:pPr>
        <w:pStyle w:val="RSCB02ArticleText"/>
      </w:pPr>
    </w:p>
    <w:p w14:paraId="71FAFBC8" w14:textId="449A13B4" w:rsidR="00905BB5" w:rsidRDefault="00905BB5" w:rsidP="004E3891">
      <w:pPr>
        <w:pStyle w:val="RSCB02ArticleText"/>
      </w:pPr>
    </w:p>
    <w:p w14:paraId="65F2B788" w14:textId="2B77BFC3" w:rsidR="00905BB5" w:rsidRDefault="00905BB5" w:rsidP="004E3891">
      <w:pPr>
        <w:pStyle w:val="RSCB02ArticleText"/>
      </w:pPr>
    </w:p>
    <w:p w14:paraId="2C047023" w14:textId="414EAF74" w:rsidR="00905BB5" w:rsidRDefault="00905BB5" w:rsidP="004E3891">
      <w:pPr>
        <w:pStyle w:val="RSCB02ArticleText"/>
      </w:pPr>
    </w:p>
    <w:p w14:paraId="02ADCC96" w14:textId="608E48FE" w:rsidR="00905BB5" w:rsidRDefault="00905BB5" w:rsidP="004E3891">
      <w:pPr>
        <w:pStyle w:val="RSCB02ArticleText"/>
      </w:pPr>
    </w:p>
    <w:p w14:paraId="4D932273" w14:textId="209D6F05" w:rsidR="00905BB5" w:rsidRDefault="00905BB5" w:rsidP="004E3891">
      <w:pPr>
        <w:pStyle w:val="RSCB02ArticleText"/>
      </w:pPr>
    </w:p>
    <w:p w14:paraId="73832C7E" w14:textId="5E39B5D8" w:rsidR="004E3891" w:rsidRDefault="00793C89" w:rsidP="00134930">
      <w:pPr>
        <w:pStyle w:val="RSCI02FigureSchemeChartwithtopbar"/>
      </w:pPr>
      <w:r>
        <w:rPr>
          <w:noProof/>
        </w:rPr>
        <w:lastRenderedPageBreak/>
        <w:drawing>
          <wp:inline distT="0" distB="0" distL="0" distR="0" wp14:anchorId="6701FABB" wp14:editId="51FCBAEA">
            <wp:extent cx="3045600" cy="4863600"/>
            <wp:effectExtent l="0" t="0" r="2540" b="0"/>
            <wp:docPr id="8" name="Picture 8"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_300.tif"/>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045600" cy="4863600"/>
                    </a:xfrm>
                    <a:prstGeom prst="rect">
                      <a:avLst/>
                    </a:prstGeom>
                  </pic:spPr>
                </pic:pic>
              </a:graphicData>
            </a:graphic>
          </wp:inline>
        </w:drawing>
      </w:r>
    </w:p>
    <w:p w14:paraId="0A4EC567" w14:textId="3776CCBD" w:rsidR="004E3891" w:rsidRDefault="004E3891" w:rsidP="00134930">
      <w:pPr>
        <w:pStyle w:val="RSCI05CaptiontoFigureSchemeChartwithbottombar"/>
      </w:pPr>
      <w:r w:rsidRPr="00C63425">
        <w:t xml:space="preserve">Figure </w:t>
      </w:r>
      <w:r>
        <w:t>1</w:t>
      </w:r>
      <w:r w:rsidRPr="00C63425">
        <w:t xml:space="preserve"> </w:t>
      </w:r>
      <w:r>
        <w:t>The room temperature formation of dinuclear Pd</w:t>
      </w:r>
      <w:r>
        <w:rPr>
          <w:vertAlign w:val="superscript"/>
        </w:rPr>
        <w:t>II</w:t>
      </w:r>
      <w:r>
        <w:t xml:space="preserve"> complexes from </w:t>
      </w:r>
      <w:r>
        <w:rPr>
          <w:i/>
        </w:rPr>
        <w:t>trans</w:t>
      </w:r>
      <w:r>
        <w:t>-</w:t>
      </w:r>
      <w:proofErr w:type="gramStart"/>
      <w:r>
        <w:t>Pd(</w:t>
      </w:r>
      <w:proofErr w:type="gramEnd"/>
      <w:r>
        <w:t>OAc)</w:t>
      </w:r>
      <w:r>
        <w:rPr>
          <w:vertAlign w:val="subscript"/>
        </w:rPr>
        <w:t>2</w:t>
      </w:r>
      <w:r>
        <w:t>(PPh</w:t>
      </w:r>
      <w:r>
        <w:rPr>
          <w:vertAlign w:val="subscript"/>
        </w:rPr>
        <w:t>3</w:t>
      </w:r>
      <w:r>
        <w:t>)</w:t>
      </w:r>
      <w:r>
        <w:rPr>
          <w:vertAlign w:val="subscript"/>
        </w:rPr>
        <w:t>2</w:t>
      </w:r>
      <w:r>
        <w:t xml:space="preserve"> in THF. The Pd</w:t>
      </w:r>
      <w:r w:rsidRPr="004A45E6">
        <w:rPr>
          <w:vertAlign w:val="superscript"/>
        </w:rPr>
        <w:t>0</w:t>
      </w:r>
      <w:r>
        <w:t xml:space="preserve"> species Pd</w:t>
      </w:r>
      <w:r w:rsidRPr="009F2B76">
        <w:rPr>
          <w:vertAlign w:val="superscript"/>
        </w:rPr>
        <w:t>0</w:t>
      </w:r>
      <w:r>
        <w:t>(PPh</w:t>
      </w:r>
      <w:r w:rsidRPr="009F2B76">
        <w:rPr>
          <w:vertAlign w:val="subscript"/>
        </w:rPr>
        <w:t>3</w:t>
      </w:r>
      <w:r>
        <w:t>)</w:t>
      </w:r>
      <w:r w:rsidRPr="009F2B76">
        <w:rPr>
          <w:vertAlign w:val="subscript"/>
        </w:rPr>
        <w:t>3</w:t>
      </w:r>
      <w:r>
        <w:t xml:space="preserve"> </w:t>
      </w:r>
      <w:r w:rsidRPr="004A45E6">
        <w:rPr>
          <w:b/>
        </w:rPr>
        <w:t>I</w:t>
      </w:r>
      <w:r>
        <w:rPr>
          <w:b/>
        </w:rPr>
        <w:t>X</w:t>
      </w:r>
      <w:r>
        <w:t xml:space="preserve"> </w:t>
      </w:r>
      <w:r w:rsidRPr="004A45E6">
        <w:t>and</w:t>
      </w:r>
      <w:r>
        <w:rPr>
          <w:b/>
        </w:rPr>
        <w:t xml:space="preserve"> </w:t>
      </w:r>
      <w:r>
        <w:t>[Pd</w:t>
      </w:r>
      <w:r w:rsidRPr="009F2B76">
        <w:rPr>
          <w:vertAlign w:val="superscript"/>
        </w:rPr>
        <w:t>0</w:t>
      </w:r>
      <w:r>
        <w:t>(PPh</w:t>
      </w:r>
      <w:r w:rsidRPr="009F2B76">
        <w:rPr>
          <w:vertAlign w:val="subscript"/>
        </w:rPr>
        <w:t>3</w:t>
      </w:r>
      <w:r>
        <w:t>)</w:t>
      </w:r>
      <w:r w:rsidRPr="009F2B76">
        <w:rPr>
          <w:vertAlign w:val="subscript"/>
        </w:rPr>
        <w:t>3</w:t>
      </w:r>
      <w:r>
        <w:t>OAc]</w:t>
      </w:r>
      <w:r w:rsidRPr="009F2B76">
        <w:rPr>
          <w:vertAlign w:val="superscript"/>
        </w:rPr>
        <w:t>–</w:t>
      </w:r>
      <w:r>
        <w:rPr>
          <w:vertAlign w:val="superscript"/>
        </w:rPr>
        <w:t xml:space="preserve"> </w:t>
      </w:r>
      <w:r w:rsidRPr="004A45E6">
        <w:rPr>
          <w:b/>
        </w:rPr>
        <w:t>I</w:t>
      </w:r>
      <w:r>
        <w:rPr>
          <w:b/>
        </w:rPr>
        <w:t>X</w:t>
      </w:r>
      <w:r>
        <w:rPr>
          <w:rFonts w:ascii="Times New Roman" w:hAnsi="Times New Roman"/>
          <w:b/>
        </w:rPr>
        <w:t>'</w:t>
      </w:r>
      <w:r>
        <w:t xml:space="preserve"> are indicated by cyan circles (appearing as coincident signals by </w:t>
      </w:r>
      <w:r w:rsidRPr="004A45E6">
        <w:rPr>
          <w:vertAlign w:val="superscript"/>
        </w:rPr>
        <w:t>31</w:t>
      </w:r>
      <w:r>
        <w:t xml:space="preserve">P NMR spectroscopic analysis when present together – compare top two </w:t>
      </w:r>
      <w:r w:rsidRPr="009F2B76">
        <w:rPr>
          <w:vertAlign w:val="superscript"/>
        </w:rPr>
        <w:t>31</w:t>
      </w:r>
      <w:r>
        <w:t>P NMR spectra in Fig. 2 with the authentic sample of Pd</w:t>
      </w:r>
      <w:r w:rsidRPr="009F2B76">
        <w:rPr>
          <w:vertAlign w:val="superscript"/>
        </w:rPr>
        <w:t>0</w:t>
      </w:r>
      <w:r>
        <w:t>(PPh</w:t>
      </w:r>
      <w:r w:rsidRPr="009F2B76">
        <w:rPr>
          <w:vertAlign w:val="subscript"/>
        </w:rPr>
        <w:t>3</w:t>
      </w:r>
      <w:r>
        <w:t>)</w:t>
      </w:r>
      <w:r w:rsidRPr="009F2B76">
        <w:rPr>
          <w:vertAlign w:val="subscript"/>
        </w:rPr>
        <w:t>3</w:t>
      </w:r>
      <w:r>
        <w:t xml:space="preserve"> </w:t>
      </w:r>
      <w:r w:rsidRPr="004A45E6">
        <w:rPr>
          <w:b/>
        </w:rPr>
        <w:t>I</w:t>
      </w:r>
      <w:r>
        <w:rPr>
          <w:b/>
        </w:rPr>
        <w:t>X</w:t>
      </w:r>
      <w:r>
        <w:t>, bottom spectrum, Fig. 2).</w:t>
      </w:r>
    </w:p>
    <w:p w14:paraId="72E18A99" w14:textId="518F0239" w:rsidR="00905BB5" w:rsidRDefault="00905BB5" w:rsidP="004832EE">
      <w:pPr>
        <w:pStyle w:val="RSCB02ArticleText"/>
      </w:pPr>
    </w:p>
    <w:p w14:paraId="5EF44D45" w14:textId="36F413A0" w:rsidR="004832EE" w:rsidRDefault="004832EE" w:rsidP="004832EE">
      <w:pPr>
        <w:pStyle w:val="RSCB02ArticleText"/>
      </w:pPr>
      <w:r>
        <w:t>Where the ratio of Pd:PPh</w:t>
      </w:r>
      <w:r>
        <w:rPr>
          <w:vertAlign w:val="subscript"/>
        </w:rPr>
        <w:t>3</w:t>
      </w:r>
      <w:r>
        <w:t xml:space="preserve"> was 1:1, degradation of Pd</w:t>
      </w:r>
      <w:r>
        <w:rPr>
          <w:vertAlign w:val="subscript"/>
        </w:rPr>
        <w:t>3</w:t>
      </w:r>
      <w:r>
        <w:t>(OAc)</w:t>
      </w:r>
      <w:r>
        <w:rPr>
          <w:vertAlign w:val="subscript"/>
        </w:rPr>
        <w:t>6</w:t>
      </w:r>
      <w:r>
        <w:t xml:space="preserve">, leading to the formation of large perfectly spherical Pd particles (sized ~ 0.1-0.4 </w:t>
      </w:r>
      <w:r>
        <w:rPr>
          <w:rFonts w:ascii="Times New Roman" w:hAnsi="Times New Roman"/>
        </w:rPr>
        <w:t>μ</w:t>
      </w:r>
      <w:r>
        <w:t xml:space="preserve">m, by TEM) and many P-containing species (by </w:t>
      </w:r>
      <w:r>
        <w:rPr>
          <w:vertAlign w:val="superscript"/>
        </w:rPr>
        <w:t>31</w:t>
      </w:r>
      <w:r>
        <w:t>P NMR) was observed.  Alteration of the Pd/PPh</w:t>
      </w:r>
      <w:r>
        <w:rPr>
          <w:vertAlign w:val="subscript"/>
        </w:rPr>
        <w:t>3</w:t>
      </w:r>
      <w:r>
        <w:t xml:space="preserve"> ratio to 1:2 led to the formation of a major new phosphorus-containing species at </w:t>
      </w:r>
      <w:r>
        <w:rPr>
          <w:rFonts w:ascii="Times New Roman" w:hAnsi="Times New Roman"/>
        </w:rPr>
        <w:t>δ</w:t>
      </w:r>
      <w:r>
        <w:t xml:space="preserve"> 199.01 (t, 1P) and </w:t>
      </w:r>
      <w:r>
        <w:rPr>
          <w:rFonts w:ascii="Times New Roman" w:hAnsi="Times New Roman"/>
        </w:rPr>
        <w:t>δ</w:t>
      </w:r>
      <w:r>
        <w:t xml:space="preserve"> 13.41 (d, 2P), with a </w:t>
      </w:r>
      <w:r>
        <w:rPr>
          <w:vertAlign w:val="superscript"/>
        </w:rPr>
        <w:t>2</w:t>
      </w:r>
      <w:r>
        <w:rPr>
          <w:i/>
        </w:rPr>
        <w:t>J</w:t>
      </w:r>
      <w:r>
        <w:rPr>
          <w:vertAlign w:val="subscript"/>
        </w:rPr>
        <w:t>PP</w:t>
      </w:r>
      <w:r>
        <w:t xml:space="preserve"> coupling constant of 83.5 Hz (</w:t>
      </w:r>
      <w:r>
        <w:rPr>
          <w:i/>
        </w:rPr>
        <w:t>i.e.</w:t>
      </w:r>
      <w:r>
        <w:t xml:space="preserve"> an AX</w:t>
      </w:r>
      <w:r w:rsidRPr="000A2811">
        <w:rPr>
          <w:vertAlign w:val="subscript"/>
        </w:rPr>
        <w:t>2</w:t>
      </w:r>
      <w:r>
        <w:t xml:space="preserve"> type spin system). The high </w:t>
      </w:r>
      <w:r w:rsidRPr="00BE538F">
        <w:rPr>
          <w:vertAlign w:val="superscript"/>
        </w:rPr>
        <w:t>31</w:t>
      </w:r>
      <w:r>
        <w:t xml:space="preserve">P chemical shift of </w:t>
      </w:r>
      <w:r>
        <w:rPr>
          <w:rFonts w:ascii="Times New Roman" w:hAnsi="Times New Roman"/>
        </w:rPr>
        <w:t>δ</w:t>
      </w:r>
      <w:r>
        <w:t xml:space="preserve"> 199.01 indicates that the PPh</w:t>
      </w:r>
      <w:r w:rsidRPr="00202DA4">
        <w:rPr>
          <w:vertAlign w:val="subscript"/>
        </w:rPr>
        <w:t>3</w:t>
      </w:r>
      <w:r>
        <w:t xml:space="preserve"> ligand has been activated by </w:t>
      </w:r>
      <w:r w:rsidRPr="000518AD">
        <w:rPr>
          <w:i/>
        </w:rPr>
        <w:t>P</w:t>
      </w:r>
      <w:r>
        <w:t>-</w:t>
      </w:r>
      <w:r w:rsidRPr="000518AD">
        <w:rPr>
          <w:i/>
        </w:rPr>
        <w:t>C</w:t>
      </w:r>
      <w:r>
        <w:t xml:space="preserve"> bond-cleavage to give a bridging phosphido-group at Pd, with concomitant loss of ‘C</w:t>
      </w:r>
      <w:r>
        <w:rPr>
          <w:vertAlign w:val="subscript"/>
        </w:rPr>
        <w:t>6</w:t>
      </w:r>
      <w:r>
        <w:t>H</w:t>
      </w:r>
      <w:r>
        <w:rPr>
          <w:vertAlign w:val="subscript"/>
        </w:rPr>
        <w:t>5</w:t>
      </w:r>
      <w:r>
        <w:t>’.</w:t>
      </w:r>
      <w:r w:rsidRPr="00DD01F7">
        <w:t xml:space="preserve"> </w:t>
      </w:r>
      <w:r>
        <w:t xml:space="preserve">The </w:t>
      </w:r>
      <w:r w:rsidRPr="00202DA4">
        <w:rPr>
          <w:vertAlign w:val="superscript"/>
        </w:rPr>
        <w:t>1</w:t>
      </w:r>
      <w:r>
        <w:t xml:space="preserve">H NMR spectrum shows a methyl resonance at </w:t>
      </w:r>
      <w:r>
        <w:rPr>
          <w:rFonts w:ascii="Times New Roman" w:hAnsi="Times New Roman"/>
        </w:rPr>
        <w:t>δ</w:t>
      </w:r>
      <w:r>
        <w:t xml:space="preserve"> 2.08 (s, 3H), due to a bridging acetoxy ligand, which balances with aromatic proton integrals (40 H). Running the reaction at lower Pd</w:t>
      </w:r>
      <w:r w:rsidRPr="00607212">
        <w:rPr>
          <w:vertAlign w:val="subscript"/>
        </w:rPr>
        <w:t>3</w:t>
      </w:r>
      <w:r>
        <w:t>(OAc)</w:t>
      </w:r>
      <w:r>
        <w:rPr>
          <w:vertAlign w:val="subscript"/>
        </w:rPr>
        <w:t>6</w:t>
      </w:r>
      <w:r>
        <w:t xml:space="preserve"> concentration (between 3 and 20 mM) allowed </w:t>
      </w:r>
      <w:r w:rsidRPr="002F22FF">
        <w:t>this species</w:t>
      </w:r>
      <w:r>
        <w:rPr>
          <w:b/>
        </w:rPr>
        <w:t xml:space="preserve"> </w:t>
      </w:r>
      <w:r w:rsidRPr="00607212">
        <w:t>to be isolated</w:t>
      </w:r>
      <w:r>
        <w:rPr>
          <w:b/>
        </w:rPr>
        <w:t xml:space="preserve"> </w:t>
      </w:r>
      <w:r>
        <w:t xml:space="preserve">in a form that could be crystallized. X-ray diffraction analysis of dark red single crystals of </w:t>
      </w:r>
      <w:r w:rsidRPr="002F22FF">
        <w:t>this species</w:t>
      </w:r>
      <w:r>
        <w:rPr>
          <w:b/>
        </w:rPr>
        <w:t xml:space="preserve"> </w:t>
      </w:r>
      <w:r>
        <w:t>confirmed its structure as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w:t>
      </w:r>
      <w:r w:rsidRPr="00B93974">
        <w:t>PPh</w:t>
      </w:r>
      <w:r w:rsidRPr="000A2811">
        <w:rPr>
          <w:vertAlign w:val="subscript"/>
        </w:rPr>
        <w:t>3</w:t>
      </w:r>
      <w:r w:rsidRPr="00B93974">
        <w:t>)</w:t>
      </w:r>
      <w:r w:rsidRPr="000A2811">
        <w:rPr>
          <w:vertAlign w:val="subscript"/>
        </w:rPr>
        <w:t>2</w:t>
      </w:r>
      <w:r w:rsidRPr="00B93974">
        <w:t xml:space="preserve">] </w:t>
      </w:r>
      <w:r w:rsidRPr="000A2811">
        <w:rPr>
          <w:b/>
        </w:rPr>
        <w:t>II</w:t>
      </w:r>
      <w:r w:rsidRPr="00B93974">
        <w:t>, possessing both bridging µ</w:t>
      </w:r>
      <w:r w:rsidR="00232816">
        <w:rPr>
          <w:vertAlign w:val="subscript"/>
        </w:rPr>
        <w:t>2</w:t>
      </w:r>
      <w:r w:rsidRPr="00B93974">
        <w:t>-acetoxy and µ-phosphido ligands and terminal-</w:t>
      </w:r>
      <w:r w:rsidRPr="00B93974">
        <w:t>capping PPh</w:t>
      </w:r>
      <w:r w:rsidRPr="000A2811">
        <w:rPr>
          <w:vertAlign w:val="subscript"/>
        </w:rPr>
        <w:t>3</w:t>
      </w:r>
      <w:r w:rsidRPr="00B93974">
        <w:t xml:space="preserve"> ligands. The Pd-Pd bond distance was found to be 2.5958(3) </w:t>
      </w:r>
      <w:r w:rsidRPr="00B93974">
        <w:rPr>
          <w:rFonts w:ascii="Times New Roman" w:hAnsi="Times New Roman"/>
        </w:rPr>
        <w:t>Å</w:t>
      </w:r>
      <w:r w:rsidRPr="00B93974">
        <w:t>, which is in</w:t>
      </w:r>
      <w:r w:rsidR="00232816">
        <w:t>-</w:t>
      </w:r>
      <w:r w:rsidRPr="00B93974">
        <w:t>keeping with other dinuclear Pd</w:t>
      </w:r>
      <w:r w:rsidRPr="000A2811">
        <w:rPr>
          <w:vertAlign w:val="superscript"/>
        </w:rPr>
        <w:t>I</w:t>
      </w:r>
      <w:r w:rsidRPr="00B93974">
        <w:t xml:space="preserve"> complexes with bridging µ-acetoxy ligands known in the literature (typical Pd-Pd distances 2.532 to 2.711 </w:t>
      </w:r>
      <w:r w:rsidRPr="00B93974">
        <w:rPr>
          <w:rFonts w:ascii="Times New Roman" w:hAnsi="Times New Roman"/>
        </w:rPr>
        <w:t>Å</w:t>
      </w:r>
      <w:r w:rsidRPr="00B93974">
        <w:t xml:space="preserve">), </w:t>
      </w:r>
      <w:r>
        <w:t xml:space="preserve">and </w:t>
      </w:r>
      <w:r w:rsidRPr="00B93974">
        <w:t>shorter than a related structure, [Pd</w:t>
      </w:r>
      <w:r w:rsidRPr="00B93974">
        <w:rPr>
          <w:vertAlign w:val="subscript"/>
        </w:rPr>
        <w:t>2</w:t>
      </w:r>
      <w:r w:rsidRPr="00B93974">
        <w:t>(η</w:t>
      </w:r>
      <w:r w:rsidRPr="00B93974">
        <w:rPr>
          <w:vertAlign w:val="superscript"/>
        </w:rPr>
        <w:t>3</w:t>
      </w:r>
      <w:r w:rsidRPr="00B93974">
        <w:t>-allyl)(µ-OC(</w:t>
      </w:r>
      <w:r w:rsidRPr="00FF43D3">
        <w:t>O)</w:t>
      </w:r>
      <w:r w:rsidRPr="00FF43D3">
        <w:rPr>
          <w:i/>
        </w:rPr>
        <w:t>i</w:t>
      </w:r>
      <w:r w:rsidRPr="00FF43D3">
        <w:t>-Bu)(PPh</w:t>
      </w:r>
      <w:r w:rsidRPr="00FF43D3">
        <w:rPr>
          <w:vertAlign w:val="subscript"/>
        </w:rPr>
        <w:t>3</w:t>
      </w:r>
      <w:r w:rsidRPr="00FF43D3">
        <w:t>)</w:t>
      </w:r>
      <w:r w:rsidRPr="00FF43D3">
        <w:rPr>
          <w:vertAlign w:val="subscript"/>
        </w:rPr>
        <w:t>2</w:t>
      </w:r>
      <w:r w:rsidRPr="00FF43D3">
        <w:t>] where the Pd…Pd bond distance equals 2.6267(3).</w:t>
      </w:r>
      <w:r w:rsidRPr="00FF43D3">
        <w:rPr>
          <w:vertAlign w:val="superscript"/>
        </w:rPr>
        <w:t>1</w:t>
      </w:r>
      <w:r w:rsidR="00F66AC6" w:rsidRPr="00FF43D3">
        <w:rPr>
          <w:vertAlign w:val="superscript"/>
        </w:rPr>
        <w:t>2</w:t>
      </w:r>
      <w:r w:rsidRPr="00B93974">
        <w:t xml:space="preserve"> </w:t>
      </w:r>
    </w:p>
    <w:p w14:paraId="0A02E88C" w14:textId="77777777" w:rsidR="004832EE" w:rsidRDefault="004832EE" w:rsidP="004832EE">
      <w:pPr>
        <w:pStyle w:val="RSCB02ArticleText"/>
      </w:pPr>
    </w:p>
    <w:p w14:paraId="05019879" w14:textId="26BCF236" w:rsidR="004832EE" w:rsidRPr="00157256" w:rsidRDefault="004832EE" w:rsidP="004832EE">
      <w:pPr>
        <w:pStyle w:val="RSCB02ArticleText"/>
      </w:pPr>
      <w:r>
        <w:t xml:space="preserve">A scaled-up synthesis of </w:t>
      </w:r>
      <w:r w:rsidRPr="00D8779B">
        <w:rPr>
          <w:b/>
        </w:rPr>
        <w:t>II</w:t>
      </w:r>
      <w:r w:rsidRPr="00D8779B">
        <w:t xml:space="preserve"> was found possible from Pd</w:t>
      </w:r>
      <w:r w:rsidRPr="000518AD">
        <w:rPr>
          <w:vertAlign w:val="subscript"/>
        </w:rPr>
        <w:t>3</w:t>
      </w:r>
      <w:r w:rsidRPr="00D8779B">
        <w:t>(OAc)</w:t>
      </w:r>
      <w:r>
        <w:rPr>
          <w:vertAlign w:val="subscript"/>
        </w:rPr>
        <w:t>6</w:t>
      </w:r>
      <w:r w:rsidRPr="00D8779B">
        <w:rPr>
          <w:vertAlign w:val="subscript"/>
        </w:rPr>
        <w:t xml:space="preserve"> </w:t>
      </w:r>
      <w:r w:rsidRPr="00D8779B">
        <w:t>/</w:t>
      </w:r>
      <w:r>
        <w:t>6</w:t>
      </w:r>
      <w:r w:rsidRPr="00D8779B">
        <w:t>PPh</w:t>
      </w:r>
      <w:r w:rsidRPr="00D8779B">
        <w:rPr>
          <w:vertAlign w:val="subscript"/>
        </w:rPr>
        <w:t>3</w:t>
      </w:r>
      <w:r w:rsidRPr="00D8779B">
        <w:t>, formed in 31% yield</w:t>
      </w:r>
      <w:r>
        <w:t xml:space="preserve"> (Note: some Pd is lost as large particles during its preparation)</w:t>
      </w:r>
      <w:r w:rsidRPr="00D8779B">
        <w:t>, which was fully characterized</w:t>
      </w:r>
      <w:r>
        <w:t xml:space="preserve">. Interestingly, </w:t>
      </w:r>
      <w:r w:rsidRPr="00D8779B">
        <w:t>the LIFDI-MS data showed</w:t>
      </w:r>
      <w:r>
        <w:t xml:space="preserve"> that the dinuclear Pd</w:t>
      </w:r>
      <w:r w:rsidRPr="00FB5687">
        <w:rPr>
          <w:vertAlign w:val="superscript"/>
        </w:rPr>
        <w:t>I</w:t>
      </w:r>
      <w:r>
        <w:t xml:space="preserve"> complex was present in solution (M</w:t>
      </w:r>
      <w:r w:rsidRPr="008C198E">
        <w:rPr>
          <w:vertAlign w:val="superscript"/>
        </w:rPr>
        <w:t>+</w:t>
      </w:r>
      <w:r>
        <w:rPr>
          <w:rFonts w:ascii="Times New Roman" w:hAnsi="Times New Roman"/>
        </w:rPr>
        <w:t>·</w:t>
      </w:r>
      <w:r>
        <w:t xml:space="preserve"> = </w:t>
      </w:r>
      <w:r w:rsidRPr="008C198E">
        <w:rPr>
          <w:i/>
        </w:rPr>
        <w:t>m/z</w:t>
      </w:r>
      <w:r>
        <w:t xml:space="preserve"> 982, with the correct isotopic distribution). The reference </w:t>
      </w:r>
      <w:r w:rsidRPr="000E2BA0">
        <w:rPr>
          <w:vertAlign w:val="superscript"/>
        </w:rPr>
        <w:t>31</w:t>
      </w:r>
      <w:r>
        <w:t xml:space="preserve">P NMR spectrum for purified </w:t>
      </w:r>
      <w:r>
        <w:rPr>
          <w:b/>
        </w:rPr>
        <w:t>II</w:t>
      </w:r>
      <w:r>
        <w:t xml:space="preserve"> is given in Fig. 2 (externally-referenced to H</w:t>
      </w:r>
      <w:r>
        <w:rPr>
          <w:vertAlign w:val="subscript"/>
        </w:rPr>
        <w:t>3</w:t>
      </w:r>
      <w:r>
        <w:t>PO</w:t>
      </w:r>
      <w:r>
        <w:rPr>
          <w:vertAlign w:val="subscript"/>
        </w:rPr>
        <w:t>4</w:t>
      </w:r>
      <w:r>
        <w:t xml:space="preserve">). GC-MS analysis of the crude reaction mixture containing </w:t>
      </w:r>
      <w:r>
        <w:rPr>
          <w:b/>
        </w:rPr>
        <w:t xml:space="preserve">II </w:t>
      </w:r>
      <w:r>
        <w:t>indicated that benzene and biphenyl were present, the former most likely derived from protonation of ‘Pd-Ph’ species by adventitious water/AcOH and the latter by reductive elimination. Acetoxybenzene, a possible reductive elimination product, was not detected by GC-MS analysis. These species are accompanied by O=PPh</w:t>
      </w:r>
      <w:r w:rsidRPr="001C408F">
        <w:rPr>
          <w:vertAlign w:val="subscript"/>
        </w:rPr>
        <w:t>3</w:t>
      </w:r>
      <w:r>
        <w:t xml:space="preserve"> </w:t>
      </w:r>
      <w:r>
        <w:rPr>
          <w:b/>
        </w:rPr>
        <w:t>III</w:t>
      </w:r>
      <w:r>
        <w:t>, [Ph</w:t>
      </w:r>
      <w:r>
        <w:rPr>
          <w:vertAlign w:val="subscript"/>
        </w:rPr>
        <w:t>3</w:t>
      </w:r>
      <w:r>
        <w:t xml:space="preserve">P(OAc)]X </w:t>
      </w:r>
      <w:r>
        <w:rPr>
          <w:b/>
        </w:rPr>
        <w:t xml:space="preserve">IV </w:t>
      </w:r>
      <w:r>
        <w:t>and another dinuclear Pd</w:t>
      </w:r>
      <w:r>
        <w:rPr>
          <w:vertAlign w:val="superscript"/>
        </w:rPr>
        <w:t>II</w:t>
      </w:r>
      <w:r>
        <w:t xml:space="preserve"> species </w:t>
      </w:r>
      <w:r>
        <w:rPr>
          <w:b/>
        </w:rPr>
        <w:t>VIII</w:t>
      </w:r>
      <w:r>
        <w:t xml:space="preserve">, the latter only in minor amounts. Complex </w:t>
      </w:r>
      <w:r>
        <w:rPr>
          <w:b/>
        </w:rPr>
        <w:t>VIII</w:t>
      </w:r>
      <w:r>
        <w:t xml:space="preserve"> was previously reported as a major product of a reaction of ‘Pd(OAc)</w:t>
      </w:r>
      <w:r>
        <w:rPr>
          <w:vertAlign w:val="subscript"/>
        </w:rPr>
        <w:t>2</w:t>
      </w:r>
      <w:r>
        <w:t xml:space="preserve">’ </w:t>
      </w:r>
      <w:r w:rsidRPr="00FF43D3">
        <w:t>with 2 equivalents of PPh</w:t>
      </w:r>
      <w:r w:rsidRPr="00FF43D3">
        <w:rPr>
          <w:vertAlign w:val="subscript"/>
        </w:rPr>
        <w:t>3</w:t>
      </w:r>
      <w:r w:rsidRPr="00FF43D3">
        <w:t xml:space="preserve"> on heating in methanol (41% yield).</w:t>
      </w:r>
      <w:r w:rsidRPr="00FF43D3">
        <w:rPr>
          <w:vertAlign w:val="superscript"/>
        </w:rPr>
        <w:t>1</w:t>
      </w:r>
      <w:r w:rsidR="00F66AC6" w:rsidRPr="00FF43D3">
        <w:rPr>
          <w:vertAlign w:val="superscript"/>
        </w:rPr>
        <w:t>3</w:t>
      </w:r>
      <w:r w:rsidRPr="00FF43D3">
        <w:t xml:space="preserve">  It is worth noting that complex </w:t>
      </w:r>
      <w:r w:rsidRPr="00FF43D3">
        <w:rPr>
          <w:b/>
        </w:rPr>
        <w:t xml:space="preserve">II </w:t>
      </w:r>
      <w:r w:rsidRPr="00FF43D3">
        <w:t xml:space="preserve">is stable in dry THF solutions over 12 hours, which allows for its spectroscopic characterization, but decomposition is seen after </w:t>
      </w:r>
      <w:r w:rsidRPr="00FF43D3">
        <w:rPr>
          <w:i/>
        </w:rPr>
        <w:t>ca.</w:t>
      </w:r>
      <w:r w:rsidRPr="00FF43D3">
        <w:t xml:space="preserve"> 5 days at 22-25 </w:t>
      </w:r>
      <w:r w:rsidRPr="00FF43D3">
        <w:rPr>
          <w:rFonts w:ascii="Constantia" w:hAnsi="Constantia"/>
        </w:rPr>
        <w:t>°</w:t>
      </w:r>
      <w:r w:rsidRPr="00FF43D3">
        <w:t>C.</w:t>
      </w:r>
      <w:r>
        <w:t xml:space="preserve"> </w:t>
      </w:r>
    </w:p>
    <w:p w14:paraId="25428C00" w14:textId="0EF97B95" w:rsidR="004832EE" w:rsidRDefault="004832EE" w:rsidP="004832EE">
      <w:pPr>
        <w:pStyle w:val="RSCB02ArticleText"/>
      </w:pPr>
    </w:p>
    <w:p w14:paraId="61A93DB1" w14:textId="77777777" w:rsidR="004832EE" w:rsidRDefault="004832EE" w:rsidP="004832EE">
      <w:pPr>
        <w:pStyle w:val="RSCB02ArticleText"/>
      </w:pPr>
      <w:r>
        <w:t>On changing the Pd/PPh</w:t>
      </w:r>
      <w:r>
        <w:rPr>
          <w:vertAlign w:val="subscript"/>
        </w:rPr>
        <w:t>3</w:t>
      </w:r>
      <w:r>
        <w:t xml:space="preserve"> ratio to 1:3 complex </w:t>
      </w:r>
      <w:r>
        <w:rPr>
          <w:b/>
        </w:rPr>
        <w:t>II</w:t>
      </w:r>
      <w:r>
        <w:t xml:space="preserve"> was not formed, simply a broad resonance at </w:t>
      </w:r>
      <w:r>
        <w:rPr>
          <w:rFonts w:ascii="Times New Roman" w:hAnsi="Times New Roman"/>
        </w:rPr>
        <w:t>δ</w:t>
      </w:r>
      <w:r>
        <w:t xml:space="preserve"> 5.71 (</w:t>
      </w:r>
      <w:r>
        <w:rPr>
          <w:rFonts w:ascii="Times New Roman" w:hAnsi="Times New Roman"/>
        </w:rPr>
        <w:t>FWHM ca. 550 Hz</w:t>
      </w:r>
      <w:r>
        <w:t>) characterized as Pd</w:t>
      </w:r>
      <w:r>
        <w:rPr>
          <w:vertAlign w:val="superscript"/>
        </w:rPr>
        <w:t>0</w:t>
      </w:r>
      <w:r>
        <w:t>(PPh</w:t>
      </w:r>
      <w:r>
        <w:rPr>
          <w:vertAlign w:val="subscript"/>
        </w:rPr>
        <w:t>3</w:t>
      </w:r>
      <w:r>
        <w:t>)</w:t>
      </w:r>
      <w:r>
        <w:rPr>
          <w:vertAlign w:val="subscript"/>
        </w:rPr>
        <w:t>n</w:t>
      </w:r>
      <w:r>
        <w:t xml:space="preserve"> / [Pd</w:t>
      </w:r>
      <w:r>
        <w:rPr>
          <w:vertAlign w:val="superscript"/>
        </w:rPr>
        <w:t>0</w:t>
      </w:r>
      <w:r>
        <w:t>(PPh</w:t>
      </w:r>
      <w:r>
        <w:rPr>
          <w:vertAlign w:val="subscript"/>
        </w:rPr>
        <w:t>3</w:t>
      </w:r>
      <w:r>
        <w:t>)</w:t>
      </w:r>
      <w:r>
        <w:rPr>
          <w:vertAlign w:val="subscript"/>
        </w:rPr>
        <w:t>n</w:t>
      </w:r>
      <w:r>
        <w:t>(OAc)]P(OAc)Ph</w:t>
      </w:r>
      <w:r>
        <w:rPr>
          <w:vertAlign w:val="subscript"/>
        </w:rPr>
        <w:t>3</w:t>
      </w:r>
      <w:r>
        <w:t xml:space="preserve"> (n = 1, 2 or 3). The chemical shift alters with time, with concomitant formation of O=PPh</w:t>
      </w:r>
      <w:r>
        <w:rPr>
          <w:vertAlign w:val="subscript"/>
        </w:rPr>
        <w:t>3</w:t>
      </w:r>
      <w:r>
        <w:t>, by hydrolysis of [Ph</w:t>
      </w:r>
      <w:r>
        <w:rPr>
          <w:vertAlign w:val="subscript"/>
        </w:rPr>
        <w:t>3</w:t>
      </w:r>
      <w:r>
        <w:t xml:space="preserve">P(OAc)]X </w:t>
      </w:r>
      <w:r>
        <w:rPr>
          <w:b/>
        </w:rPr>
        <w:t>IV</w:t>
      </w:r>
      <w:r>
        <w:t xml:space="preserve">, yielding AcOH also. Heating this mixture to 60 </w:t>
      </w:r>
      <w:r>
        <w:rPr>
          <w:rFonts w:ascii="Times New Roman" w:hAnsi="Times New Roman"/>
        </w:rPr>
        <w:t>º</w:t>
      </w:r>
      <w:r>
        <w:t xml:space="preserve">C, over 16 h, eventually ended in decomposition to form large Pd black particles. Indeed, similar </w:t>
      </w:r>
      <w:r w:rsidRPr="001B18B2">
        <w:rPr>
          <w:vertAlign w:val="superscript"/>
        </w:rPr>
        <w:t>31</w:t>
      </w:r>
      <w:r>
        <w:t>P NMR spectra were seen on changing the Pd/PPh</w:t>
      </w:r>
      <w:r>
        <w:rPr>
          <w:vertAlign w:val="subscript"/>
        </w:rPr>
        <w:t>3</w:t>
      </w:r>
      <w:r>
        <w:t xml:space="preserve"> ratio to 1:4, leading to a mixture of Pd</w:t>
      </w:r>
      <w:r>
        <w:rPr>
          <w:vertAlign w:val="superscript"/>
        </w:rPr>
        <w:t>0</w:t>
      </w:r>
      <w:r>
        <w:t>(PPh</w:t>
      </w:r>
      <w:r>
        <w:rPr>
          <w:vertAlign w:val="subscript"/>
        </w:rPr>
        <w:t>3</w:t>
      </w:r>
      <w:r>
        <w:t>)</w:t>
      </w:r>
      <w:r>
        <w:rPr>
          <w:vertAlign w:val="subscript"/>
        </w:rPr>
        <w:t>3</w:t>
      </w:r>
      <w:r>
        <w:t xml:space="preserve"> </w:t>
      </w:r>
      <w:r>
        <w:rPr>
          <w:b/>
        </w:rPr>
        <w:t>IX</w:t>
      </w:r>
      <w:r>
        <w:t xml:space="preserve"> and [Pd</w:t>
      </w:r>
      <w:r>
        <w:rPr>
          <w:vertAlign w:val="superscript"/>
        </w:rPr>
        <w:t>0</w:t>
      </w:r>
      <w:r w:rsidRPr="000314FD">
        <w:t>(OAc)</w:t>
      </w:r>
      <w:r>
        <w:t>(PPh</w:t>
      </w:r>
      <w:r>
        <w:rPr>
          <w:vertAlign w:val="subscript"/>
        </w:rPr>
        <w:t>3</w:t>
      </w:r>
      <w:r>
        <w:t>)</w:t>
      </w:r>
      <w:r>
        <w:rPr>
          <w:vertAlign w:val="subscript"/>
        </w:rPr>
        <w:t>3</w:t>
      </w:r>
      <w:r w:rsidRPr="003F0732">
        <w:t>]</w:t>
      </w:r>
      <w:r>
        <w:rPr>
          <w:vertAlign w:val="superscript"/>
        </w:rPr>
        <w:t>–</w:t>
      </w:r>
      <w:r>
        <w:t xml:space="preserve"> </w:t>
      </w:r>
      <w:r w:rsidRPr="000314FD">
        <w:rPr>
          <w:b/>
        </w:rPr>
        <w:t>I</w:t>
      </w:r>
      <w:r>
        <w:rPr>
          <w:b/>
        </w:rPr>
        <w:t>X</w:t>
      </w:r>
      <w:r>
        <w:rPr>
          <w:rFonts w:ascii="Times New Roman" w:hAnsi="Times New Roman"/>
          <w:b/>
        </w:rPr>
        <w:t>'</w:t>
      </w:r>
      <w:r>
        <w:t>. At the same Pd/PPh</w:t>
      </w:r>
      <w:r>
        <w:rPr>
          <w:vertAlign w:val="subscript"/>
        </w:rPr>
        <w:t>3</w:t>
      </w:r>
      <w:r>
        <w:t xml:space="preserve"> ratio, subsequent heating to 60 </w:t>
      </w:r>
      <w:r>
        <w:rPr>
          <w:rFonts w:ascii="Times New Roman" w:hAnsi="Times New Roman"/>
        </w:rPr>
        <w:t>º</w:t>
      </w:r>
      <w:r>
        <w:t xml:space="preserve">C resulted in clean conversion of </w:t>
      </w:r>
      <w:r>
        <w:rPr>
          <w:b/>
        </w:rPr>
        <w:t>II</w:t>
      </w:r>
      <w:r>
        <w:t xml:space="preserve"> into Pd</w:t>
      </w:r>
      <w:r>
        <w:rPr>
          <w:vertAlign w:val="superscript"/>
        </w:rPr>
        <w:t>0</w:t>
      </w:r>
      <w:r>
        <w:t>(PPh</w:t>
      </w:r>
      <w:r>
        <w:rPr>
          <w:vertAlign w:val="subscript"/>
        </w:rPr>
        <w:t>3</w:t>
      </w:r>
      <w:r>
        <w:t>)</w:t>
      </w:r>
      <w:r>
        <w:rPr>
          <w:vertAlign w:val="subscript"/>
        </w:rPr>
        <w:t>3</w:t>
      </w:r>
      <w:r>
        <w:t xml:space="preserve"> (</w:t>
      </w:r>
      <w:r w:rsidRPr="000314FD">
        <w:rPr>
          <w:b/>
        </w:rPr>
        <w:t>I</w:t>
      </w:r>
      <w:r w:rsidRPr="005F4785">
        <w:rPr>
          <w:b/>
        </w:rPr>
        <w:t>X</w:t>
      </w:r>
      <w:r>
        <w:t>), O=PPh</w:t>
      </w:r>
      <w:r w:rsidRPr="001B18B2">
        <w:rPr>
          <w:vertAlign w:val="subscript"/>
        </w:rPr>
        <w:t>3</w:t>
      </w:r>
      <w:r>
        <w:t xml:space="preserve"> (</w:t>
      </w:r>
      <w:r>
        <w:rPr>
          <w:b/>
        </w:rPr>
        <w:t>III</w:t>
      </w:r>
      <w:r>
        <w:t xml:space="preserve">) and 2AcOH, quantitatively, as shown by both </w:t>
      </w:r>
      <w:r>
        <w:rPr>
          <w:vertAlign w:val="superscript"/>
        </w:rPr>
        <w:t>31</w:t>
      </w:r>
      <w:r>
        <w:t xml:space="preserve">P and </w:t>
      </w:r>
      <w:r w:rsidRPr="001B18B2">
        <w:rPr>
          <w:vertAlign w:val="superscript"/>
        </w:rPr>
        <w:t>1</w:t>
      </w:r>
      <w:r>
        <w:t xml:space="preserve">H NMR spectra. Layering this solution with hexane, after </w:t>
      </w:r>
      <w:r>
        <w:rPr>
          <w:i/>
        </w:rPr>
        <w:t>t</w:t>
      </w:r>
      <w:r>
        <w:t xml:space="preserve"> = </w:t>
      </w:r>
      <w:r w:rsidRPr="00720895">
        <w:t>16</w:t>
      </w:r>
      <w:r>
        <w:t xml:space="preserve"> h, led to the formation of yellow-orange crystals, which were found suitable for X-ray diffraction, establishing the compound as Pd</w:t>
      </w:r>
      <w:r>
        <w:rPr>
          <w:vertAlign w:val="superscript"/>
        </w:rPr>
        <w:t>0</w:t>
      </w:r>
      <w:r>
        <w:t>(PPh</w:t>
      </w:r>
      <w:r>
        <w:rPr>
          <w:vertAlign w:val="subscript"/>
        </w:rPr>
        <w:t>3</w:t>
      </w:r>
      <w:r>
        <w:t>)</w:t>
      </w:r>
      <w:r>
        <w:rPr>
          <w:vertAlign w:val="subscript"/>
        </w:rPr>
        <w:t>3</w:t>
      </w:r>
      <w:r>
        <w:t xml:space="preserve"> (</w:t>
      </w:r>
      <w:r w:rsidRPr="005F4785">
        <w:rPr>
          <w:b/>
        </w:rPr>
        <w:t>I</w:t>
      </w:r>
      <w:r>
        <w:rPr>
          <w:b/>
        </w:rPr>
        <w:t>X</w:t>
      </w:r>
      <w:r>
        <w:t xml:space="preserve">) (Fig. 2). It is worthy of note that </w:t>
      </w:r>
      <w:r w:rsidRPr="000314FD">
        <w:rPr>
          <w:b/>
        </w:rPr>
        <w:t>I</w:t>
      </w:r>
      <w:r w:rsidRPr="005F4785">
        <w:rPr>
          <w:b/>
        </w:rPr>
        <w:t>X</w:t>
      </w:r>
      <w:r>
        <w:t xml:space="preserve"> is a relatively stable Pd</w:t>
      </w:r>
      <w:r>
        <w:rPr>
          <w:vertAlign w:val="superscript"/>
        </w:rPr>
        <w:t>0</w:t>
      </w:r>
      <w:r>
        <w:t xml:space="preserve"> complex in the solid-state (note: discoloration is noted in air after ~1 day).</w:t>
      </w:r>
    </w:p>
    <w:p w14:paraId="1406BDBA" w14:textId="77777777" w:rsidR="004832EE" w:rsidRPr="00B93974" w:rsidRDefault="004832EE" w:rsidP="004832EE">
      <w:pPr>
        <w:pStyle w:val="RSCB02ArticleText"/>
      </w:pPr>
    </w:p>
    <w:p w14:paraId="780AA7E3" w14:textId="77777777" w:rsidR="004832EE" w:rsidRDefault="004832EE" w:rsidP="004832EE">
      <w:pPr>
        <w:pStyle w:val="RSCB02ArticleText"/>
      </w:pPr>
      <w:r>
        <w:t>Computational studies using DFT calculations with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xml:space="preserve">] </w:t>
      </w:r>
      <w:r>
        <w:rPr>
          <w:b/>
        </w:rPr>
        <w:t xml:space="preserve">II </w:t>
      </w:r>
      <w:r>
        <w:t>at the B3LYP/DEF2SVP-D3 level of theory. The calculations reveal a short Pd-Pd bond (</w:t>
      </w:r>
      <w:r w:rsidRPr="00F75BAE">
        <w:t>2.58</w:t>
      </w:r>
      <w:r>
        <w:t xml:space="preserve"> </w:t>
      </w:r>
      <w:r>
        <w:rPr>
          <w:rFonts w:ascii="Times New Roman" w:hAnsi="Times New Roman"/>
        </w:rPr>
        <w:t>Å</w:t>
      </w:r>
      <w:r>
        <w:t>), supporting its diamagnetic properties. The HOMO resides primarily on the Pd-Pd centers, whereas the LUMO can be found over the phosphide and Pd-Pd centers (Fig. 3). The HOMO/LUMO provide potential clues about the underlying reactivity of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toward other species such as electrophiles and nucleophiles.</w:t>
      </w:r>
    </w:p>
    <w:p w14:paraId="0871B4D0" w14:textId="0D325506" w:rsidR="00905BB5" w:rsidRDefault="00905BB5" w:rsidP="004E3891">
      <w:pPr>
        <w:pStyle w:val="RSCI04CaptiontoFigureSchemeChart"/>
      </w:pPr>
    </w:p>
    <w:p w14:paraId="2F6E3EA4" w14:textId="3365F0F2" w:rsidR="004E3891" w:rsidRDefault="004E3891" w:rsidP="004E3891">
      <w:pPr>
        <w:pStyle w:val="RSCB02ArticleText"/>
      </w:pPr>
    </w:p>
    <w:p w14:paraId="02F72400" w14:textId="77777777" w:rsidR="004E3891" w:rsidRDefault="004E3891" w:rsidP="004E3891">
      <w:pPr>
        <w:pStyle w:val="RSCB02ArticleText"/>
        <w:sectPr w:rsidR="004E3891" w:rsidSect="00514CBA">
          <w:type w:val="continuous"/>
          <w:pgSz w:w="11907" w:h="16840" w:code="9"/>
          <w:pgMar w:top="1009" w:right="851" w:bottom="1758" w:left="851" w:header="851" w:footer="1049" w:gutter="0"/>
          <w:cols w:num="2" w:space="227"/>
          <w:titlePg/>
          <w:docGrid w:linePitch="360"/>
        </w:sectPr>
      </w:pPr>
    </w:p>
    <w:p w14:paraId="006287DC" w14:textId="77777777" w:rsidR="004E3891" w:rsidRDefault="004E3891" w:rsidP="004E3891">
      <w:pPr>
        <w:pStyle w:val="TAMainText"/>
      </w:pPr>
      <w:r>
        <w:rPr>
          <w:noProof/>
          <w:lang w:val="en-GB" w:eastAsia="en-GB"/>
        </w:rPr>
        <w:drawing>
          <wp:inline distT="0" distB="0" distL="0" distR="0" wp14:anchorId="057B3FF9" wp14:editId="6451F578">
            <wp:extent cx="6383020" cy="5802630"/>
            <wp:effectExtent l="0" t="0" r="0" b="7620"/>
            <wp:docPr id="9" name="Picture 9"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ck_NMR+Xray+proc_v4.tif"/>
                    <pic:cNvPicPr/>
                  </pic:nvPicPr>
                  <pic:blipFill>
                    <a:blip r:embed="rId18">
                      <a:extLst>
                        <a:ext uri="{28A0092B-C50C-407E-A947-70E740481C1C}">
                          <a14:useLocalDpi xmlns:a14="http://schemas.microsoft.com/office/drawing/2010/main" val="0"/>
                        </a:ext>
                      </a:extLst>
                    </a:blip>
                    <a:stretch>
                      <a:fillRect/>
                    </a:stretch>
                  </pic:blipFill>
                  <pic:spPr>
                    <a:xfrm>
                      <a:off x="0" y="0"/>
                      <a:ext cx="6383020" cy="5802630"/>
                    </a:xfrm>
                    <a:prstGeom prst="rect">
                      <a:avLst/>
                    </a:prstGeom>
                  </pic:spPr>
                </pic:pic>
              </a:graphicData>
            </a:graphic>
          </wp:inline>
        </w:drawing>
      </w:r>
      <w:r>
        <w:t xml:space="preserve">     </w:t>
      </w:r>
    </w:p>
    <w:p w14:paraId="5F02B233" w14:textId="77777777" w:rsidR="004E3891" w:rsidRPr="000E549A" w:rsidRDefault="004E3891" w:rsidP="004E3891">
      <w:pPr>
        <w:pStyle w:val="RSCI04CaptiontoFigureSchemeChart"/>
        <w:rPr>
          <w:sz w:val="4"/>
          <w:szCs w:val="4"/>
        </w:rPr>
      </w:pPr>
      <w:r>
        <w:t>Figure 2</w:t>
      </w:r>
      <w:r w:rsidRPr="0083571A">
        <w:t xml:space="preserve"> </w:t>
      </w:r>
      <w:r>
        <w:t xml:space="preserve">Top: Single crystal X-ray diffraction structures of </w:t>
      </w:r>
      <w:r w:rsidRPr="009D230A">
        <w:rPr>
          <w:b/>
        </w:rPr>
        <w:t>II</w:t>
      </w:r>
      <w:r>
        <w:t xml:space="preserve">, </w:t>
      </w:r>
      <w:r w:rsidRPr="009D230A">
        <w:rPr>
          <w:b/>
        </w:rPr>
        <w:t>VIII</w:t>
      </w:r>
      <w:r>
        <w:t xml:space="preserve"> and </w:t>
      </w:r>
      <w:r w:rsidRPr="004A45E6">
        <w:rPr>
          <w:b/>
        </w:rPr>
        <w:t>I</w:t>
      </w:r>
      <w:r>
        <w:rPr>
          <w:b/>
        </w:rPr>
        <w:t xml:space="preserve">X </w:t>
      </w:r>
      <w:r>
        <w:t xml:space="preserve">are shown (thermal ellipsoids shown at 50%, H-atoms and solvent of crystallization not shown, for clarity). Bottom: </w:t>
      </w:r>
      <w:r>
        <w:rPr>
          <w:vertAlign w:val="superscript"/>
        </w:rPr>
        <w:t>31</w:t>
      </w:r>
      <w:r>
        <w:t>P{</w:t>
      </w:r>
      <w:r>
        <w:rPr>
          <w:vertAlign w:val="superscript"/>
        </w:rPr>
        <w:t>1</w:t>
      </w:r>
      <w:r>
        <w:t>H} NMR (202 MHz) spectra of mixtures of ‘Pd(OAc)</w:t>
      </w:r>
      <w:r>
        <w:rPr>
          <w:vertAlign w:val="subscript"/>
        </w:rPr>
        <w:t>2</w:t>
      </w:r>
      <w:r>
        <w:t>’ with nPPh</w:t>
      </w:r>
      <w:r>
        <w:rPr>
          <w:vertAlign w:val="subscript"/>
        </w:rPr>
        <w:t>3</w:t>
      </w:r>
      <w:r>
        <w:t xml:space="preserve"> (n = 1 to 4) in THF at 23 </w:t>
      </w:r>
      <w:r>
        <w:rPr>
          <w:rFonts w:ascii="Times New Roman" w:hAnsi="Times New Roman"/>
        </w:rPr>
        <w:t>º</w:t>
      </w:r>
      <w:r>
        <w:t xml:space="preserve">C for 16 h, showing differences in phosphorus speciation.  Reference spectra are given for </w:t>
      </w:r>
      <w:r>
        <w:rPr>
          <w:b/>
        </w:rPr>
        <w:t>II</w:t>
      </w:r>
      <w:r>
        <w:t xml:space="preserve"> (green), </w:t>
      </w:r>
      <w:r>
        <w:rPr>
          <w:b/>
        </w:rPr>
        <w:t>VIII</w:t>
      </w:r>
      <w:r>
        <w:t xml:space="preserve"> (blue) and </w:t>
      </w:r>
      <w:r w:rsidRPr="003434DB">
        <w:rPr>
          <w:b/>
        </w:rPr>
        <w:t>IX</w:t>
      </w:r>
      <w:r>
        <w:rPr>
          <w:b/>
        </w:rPr>
        <w:t xml:space="preserve"> </w:t>
      </w:r>
      <w:r w:rsidRPr="003434DB">
        <w:t>(cyan)</w:t>
      </w:r>
      <w:r>
        <w:t>; other species are OPPh</w:t>
      </w:r>
      <w:r>
        <w:rPr>
          <w:vertAlign w:val="subscript"/>
        </w:rPr>
        <w:t>3</w:t>
      </w:r>
      <w:r>
        <w:t xml:space="preserve"> (pink), [AcOPPh</w:t>
      </w:r>
      <w:r w:rsidRPr="003434DB">
        <w:rPr>
          <w:vertAlign w:val="subscript"/>
        </w:rPr>
        <w:t>3</w:t>
      </w:r>
      <w:r>
        <w:t xml:space="preserve">]X (yellow, where X is likely the OAc anion) and </w:t>
      </w:r>
      <w:r w:rsidRPr="003434DB">
        <w:rPr>
          <w:i/>
        </w:rPr>
        <w:t>trans</w:t>
      </w:r>
      <w:r>
        <w:t>-Pd(OAc)</w:t>
      </w:r>
      <w:r w:rsidRPr="003434DB">
        <w:rPr>
          <w:vertAlign w:val="subscript"/>
        </w:rPr>
        <w:t>2</w:t>
      </w:r>
      <w:r>
        <w:t>(PPh</w:t>
      </w:r>
      <w:r w:rsidRPr="003434DB">
        <w:rPr>
          <w:vertAlign w:val="subscript"/>
        </w:rPr>
        <w:t>3</w:t>
      </w:r>
      <w:r>
        <w:t>)</w:t>
      </w:r>
      <w:r w:rsidRPr="003434DB">
        <w:rPr>
          <w:vertAlign w:val="subscript"/>
        </w:rPr>
        <w:t>2</w:t>
      </w:r>
      <w:r>
        <w:t xml:space="preserve"> </w:t>
      </w:r>
      <w:r>
        <w:rPr>
          <w:b/>
        </w:rPr>
        <w:t>I</w:t>
      </w:r>
      <w:r>
        <w:t xml:space="preserve"> (red). Several phosphorus species are uncharacterized for the Pd(OAc)</w:t>
      </w:r>
      <w:r>
        <w:rPr>
          <w:vertAlign w:val="subscript"/>
        </w:rPr>
        <w:t>2</w:t>
      </w:r>
      <w:r>
        <w:t>/1PPh</w:t>
      </w:r>
      <w:r w:rsidRPr="003434DB">
        <w:rPr>
          <w:vertAlign w:val="subscript"/>
        </w:rPr>
        <w:t>3</w:t>
      </w:r>
      <w:r>
        <w:t xml:space="preserve"> experiment (also resulting in PdNP formation). For the equilibrium shown against the ratio of Pd(OAc)</w:t>
      </w:r>
      <w:r>
        <w:rPr>
          <w:vertAlign w:val="subscript"/>
        </w:rPr>
        <w:t>2</w:t>
      </w:r>
      <w:r>
        <w:t>/4PPh</w:t>
      </w:r>
      <w:r>
        <w:rPr>
          <w:vertAlign w:val="subscript"/>
        </w:rPr>
        <w:t>3</w:t>
      </w:r>
      <w:r>
        <w:t xml:space="preserve"> spectral data, acetate anion and free PPh</w:t>
      </w:r>
      <w:r>
        <w:rPr>
          <w:vertAlign w:val="subscript"/>
        </w:rPr>
        <w:t>3</w:t>
      </w:r>
      <w:r>
        <w:t xml:space="preserve"> are involved, explaining the substantially lower chemical shift (compare also the reference spectrum of pure Pd</w:t>
      </w:r>
      <w:r w:rsidRPr="00815AA6">
        <w:rPr>
          <w:vertAlign w:val="superscript"/>
        </w:rPr>
        <w:t>0</w:t>
      </w:r>
      <w:r>
        <w:t>(PPh</w:t>
      </w:r>
      <w:r>
        <w:rPr>
          <w:vertAlign w:val="subscript"/>
        </w:rPr>
        <w:t>3</w:t>
      </w:r>
      <w:r>
        <w:t>)</w:t>
      </w:r>
      <w:r>
        <w:rPr>
          <w:vertAlign w:val="subscript"/>
        </w:rPr>
        <w:t>3</w:t>
      </w:r>
      <w:r>
        <w:t xml:space="preserve"> </w:t>
      </w:r>
      <w:r>
        <w:rPr>
          <w:b/>
        </w:rPr>
        <w:t>IX</w:t>
      </w:r>
      <w:r>
        <w:t xml:space="preserve"> – bottom</w:t>
      </w:r>
      <w:r>
        <w:rPr>
          <w:b/>
        </w:rPr>
        <w:t>)</w:t>
      </w:r>
      <w:r>
        <w:t>.</w:t>
      </w:r>
    </w:p>
    <w:p w14:paraId="776BDF4D" w14:textId="77777777" w:rsidR="004E3891" w:rsidRDefault="004E3891" w:rsidP="004E3891">
      <w:pPr>
        <w:pStyle w:val="RSCB02ArticleText"/>
        <w:sectPr w:rsidR="004E3891" w:rsidSect="004E3891">
          <w:type w:val="continuous"/>
          <w:pgSz w:w="11907" w:h="16840" w:code="9"/>
          <w:pgMar w:top="1009" w:right="851" w:bottom="1758" w:left="851" w:header="851" w:footer="1049" w:gutter="0"/>
          <w:cols w:space="227"/>
          <w:titlePg/>
          <w:docGrid w:linePitch="360"/>
        </w:sectPr>
      </w:pPr>
    </w:p>
    <w:p w14:paraId="25552D74" w14:textId="77777777" w:rsidR="004E3891" w:rsidRPr="0048670C" w:rsidRDefault="004E3891" w:rsidP="004E3891">
      <w:pPr>
        <w:pStyle w:val="TAMainText"/>
      </w:pPr>
    </w:p>
    <w:p w14:paraId="4FBD9282" w14:textId="77777777" w:rsidR="004E3891" w:rsidRDefault="004E3891" w:rsidP="00134930">
      <w:pPr>
        <w:pStyle w:val="RSCI02FigureSchemeChartwithtopbar"/>
        <w:jc w:val="center"/>
      </w:pPr>
      <w:r>
        <w:rPr>
          <w:noProof/>
          <w:lang w:eastAsia="en-GB"/>
        </w:rPr>
        <w:lastRenderedPageBreak/>
        <w:drawing>
          <wp:inline distT="0" distB="0" distL="0" distR="0" wp14:anchorId="11B29577" wp14:editId="0B1CBFAA">
            <wp:extent cx="1969471" cy="14474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O_30%.tif"/>
                    <pic:cNvPicPr/>
                  </pic:nvPicPr>
                  <pic:blipFill rotWithShape="1">
                    <a:blip r:embed="rId19" cstate="print">
                      <a:extLst>
                        <a:ext uri="{28A0092B-C50C-407E-A947-70E740481C1C}">
                          <a14:useLocalDpi xmlns:a14="http://schemas.microsoft.com/office/drawing/2010/main" val="0"/>
                        </a:ext>
                      </a:extLst>
                    </a:blip>
                    <a:srcRect l="1788"/>
                    <a:stretch/>
                  </pic:blipFill>
                  <pic:spPr bwMode="auto">
                    <a:xfrm>
                      <a:off x="0" y="0"/>
                      <a:ext cx="1969471" cy="14474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8F19088" wp14:editId="16429EF4">
            <wp:extent cx="1810871" cy="1353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MO_30%.tif"/>
                    <pic:cNvPicPr/>
                  </pic:nvPicPr>
                  <pic:blipFill rotWithShape="1">
                    <a:blip r:embed="rId20" cstate="print">
                      <a:extLst>
                        <a:ext uri="{28A0092B-C50C-407E-A947-70E740481C1C}">
                          <a14:useLocalDpi xmlns:a14="http://schemas.microsoft.com/office/drawing/2010/main" val="0"/>
                        </a:ext>
                      </a:extLst>
                    </a:blip>
                    <a:srcRect r="2515"/>
                    <a:stretch/>
                  </pic:blipFill>
                  <pic:spPr bwMode="auto">
                    <a:xfrm>
                      <a:off x="0" y="0"/>
                      <a:ext cx="1934624" cy="1445660"/>
                    </a:xfrm>
                    <a:prstGeom prst="rect">
                      <a:avLst/>
                    </a:prstGeom>
                    <a:ln>
                      <a:noFill/>
                    </a:ln>
                    <a:extLst>
                      <a:ext uri="{53640926-AAD7-44D8-BBD7-CCE9431645EC}">
                        <a14:shadowObscured xmlns:a14="http://schemas.microsoft.com/office/drawing/2010/main"/>
                      </a:ext>
                    </a:extLst>
                  </pic:spPr>
                </pic:pic>
              </a:graphicData>
            </a:graphic>
          </wp:inline>
        </w:drawing>
      </w:r>
    </w:p>
    <w:p w14:paraId="0F1C9B66" w14:textId="445867C5" w:rsidR="00134930" w:rsidRPr="00134930" w:rsidRDefault="004E3891" w:rsidP="00134930">
      <w:pPr>
        <w:pStyle w:val="RSCI04CaptiontoFigureSchemeChart"/>
      </w:pPr>
      <w:r w:rsidRPr="00134930">
        <w:t>Figure 3 The HOMO (left) and LUMO (right) for [Pd</w:t>
      </w:r>
      <w:r w:rsidRPr="00134930">
        <w:rPr>
          <w:vertAlign w:val="subscript"/>
        </w:rPr>
        <w:t>2</w:t>
      </w:r>
      <w:r w:rsidRPr="00134930">
        <w:t>(µ-PPh</w:t>
      </w:r>
      <w:r w:rsidRPr="00134930">
        <w:rPr>
          <w:vertAlign w:val="subscript"/>
        </w:rPr>
        <w:t>2</w:t>
      </w:r>
      <w:r w:rsidRPr="00134930">
        <w:t>)(µ</w:t>
      </w:r>
      <w:r w:rsidRPr="00134930">
        <w:rPr>
          <w:vertAlign w:val="subscript"/>
        </w:rPr>
        <w:t>2</w:t>
      </w:r>
      <w:r w:rsidRPr="00134930">
        <w:t>-OAc)(PPh</w:t>
      </w:r>
      <w:r w:rsidRPr="00134930">
        <w:rPr>
          <w:vertAlign w:val="subscript"/>
        </w:rPr>
        <w:t>3</w:t>
      </w:r>
      <w:r w:rsidRPr="00134930">
        <w:t>)</w:t>
      </w:r>
      <w:r w:rsidRPr="00134930">
        <w:rPr>
          <w:vertAlign w:val="subscript"/>
        </w:rPr>
        <w:t>2</w:t>
      </w:r>
      <w:r w:rsidRPr="00134930">
        <w:t xml:space="preserve">] </w:t>
      </w:r>
      <w:r w:rsidRPr="00134930">
        <w:rPr>
          <w:b/>
          <w:bCs w:val="0"/>
        </w:rPr>
        <w:t>II</w:t>
      </w:r>
      <w:r w:rsidRPr="00134930">
        <w:t>, computed by Density Functional Theory (b3lyp/def2svp functional/basis set used for optimization, single point orbital and total energies; CPCM implicit solvent and Gimme’s D3 empirical correction used).</w:t>
      </w:r>
    </w:p>
    <w:p w14:paraId="3FDD2E8E" w14:textId="7B2BE8D3" w:rsidR="004E3891" w:rsidRDefault="00465DA3" w:rsidP="00465DA3">
      <w:pPr>
        <w:pStyle w:val="RSCB02ArticleText"/>
      </w:pPr>
      <w:r>
        <w:t xml:space="preserve">We believe that the mechanism for formation of </w:t>
      </w:r>
      <w:r>
        <w:rPr>
          <w:b/>
          <w:bCs/>
        </w:rPr>
        <w:t>II</w:t>
      </w:r>
      <w:r>
        <w:t xml:space="preserve"> is different to the Pd</w:t>
      </w:r>
      <w:r w:rsidRPr="00465DA3">
        <w:rPr>
          <w:vertAlign w:val="superscript"/>
        </w:rPr>
        <w:t>I</w:t>
      </w:r>
      <w:r>
        <w:t xml:space="preserve"> dimer stabilised by a bridging arene, as reported by Bedford.</w:t>
      </w:r>
      <w:r>
        <w:rPr>
          <w:vertAlign w:val="superscript"/>
        </w:rPr>
        <w:t xml:space="preserve">10c </w:t>
      </w:r>
      <w:r>
        <w:t xml:space="preserve"> In the latter case </w:t>
      </w:r>
      <w:r w:rsidR="004F1BC0">
        <w:t xml:space="preserve">a sequential reaction in </w:t>
      </w:r>
      <w:r>
        <w:t>methanol was used</w:t>
      </w:r>
      <w:r w:rsidR="004F1BC0">
        <w:t xml:space="preserve">, followed by treatment with </w:t>
      </w:r>
      <w:r>
        <w:t>a non-coordinating</w:t>
      </w:r>
      <w:r w:rsidR="009473A1">
        <w:t xml:space="preserve"> anion</w:t>
      </w:r>
      <w:r>
        <w:t xml:space="preserve"> leaves a suitably</w:t>
      </w:r>
      <w:r w:rsidR="004F1BC0">
        <w:t>-</w:t>
      </w:r>
      <w:r>
        <w:t>disposed arene to stabilise the cationic Pd</w:t>
      </w:r>
      <w:r>
        <w:rPr>
          <w:vertAlign w:val="superscript"/>
        </w:rPr>
        <w:t>I</w:t>
      </w:r>
      <w:r>
        <w:t xml:space="preserve"> dimer species</w:t>
      </w:r>
      <w:r w:rsidR="004F1BC0">
        <w:t>, though Pd-</w:t>
      </w:r>
      <w:r w:rsidR="004F1BC0">
        <w:rPr>
          <w:rFonts w:cstheme="minorHAnsi"/>
        </w:rPr>
        <w:t>π</w:t>
      </w:r>
      <w:r w:rsidR="004F1BC0">
        <w:t>-arene interactions</w:t>
      </w:r>
      <w:r>
        <w:t xml:space="preserve">. In </w:t>
      </w:r>
      <w:r>
        <w:rPr>
          <w:b/>
          <w:bCs/>
        </w:rPr>
        <w:t>II</w:t>
      </w:r>
      <w:r>
        <w:t xml:space="preserve"> acetate takes on that role. </w:t>
      </w:r>
    </w:p>
    <w:p w14:paraId="6CDE34F7" w14:textId="77777777" w:rsidR="00465DA3" w:rsidRPr="00465DA3" w:rsidRDefault="00465DA3" w:rsidP="00465DA3">
      <w:pPr>
        <w:pStyle w:val="RSCB02ArticleText"/>
      </w:pPr>
    </w:p>
    <w:p w14:paraId="234FE5D0" w14:textId="6761D21A" w:rsidR="004E3891" w:rsidRPr="00FF43D3" w:rsidRDefault="004E3891" w:rsidP="004E3891">
      <w:pPr>
        <w:pStyle w:val="RSCB02ArticleText"/>
      </w:pPr>
      <w:r>
        <w:rPr>
          <w:b/>
        </w:rPr>
        <w:t xml:space="preserve">Reactivity of II towards organohalides. </w:t>
      </w:r>
      <w:r>
        <w:t>The reaction of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Pr>
          <w:vertAlign w:val="subscript"/>
        </w:rPr>
        <w:t>2</w:t>
      </w:r>
      <w:r>
        <w:t xml:space="preserve">] </w:t>
      </w:r>
      <w:r>
        <w:rPr>
          <w:b/>
        </w:rPr>
        <w:t xml:space="preserve">II </w:t>
      </w:r>
      <w:r>
        <w:t>with CH</w:t>
      </w:r>
      <w:r>
        <w:rPr>
          <w:vertAlign w:val="subscript"/>
        </w:rPr>
        <w:t>2</w:t>
      </w:r>
      <w:r>
        <w:t>Cl</w:t>
      </w:r>
      <w:r>
        <w:rPr>
          <w:vertAlign w:val="subscript"/>
        </w:rPr>
        <w:t>2</w:t>
      </w:r>
      <w:r>
        <w:t xml:space="preserve"> </w:t>
      </w:r>
      <w:r w:rsidRPr="0048670C">
        <w:rPr>
          <w:b/>
        </w:rPr>
        <w:t>1a</w:t>
      </w:r>
      <w:r>
        <w:t xml:space="preserve"> (~</w:t>
      </w:r>
      <w:r w:rsidRPr="00720895">
        <w:t>10</w:t>
      </w:r>
      <w:r>
        <w:t>-fold excess) occurred at room temperature to afford a new Pd species,</w:t>
      </w:r>
      <w:r w:rsidR="004832EE">
        <w:t xml:space="preserve"> </w:t>
      </w:r>
      <w:r>
        <w:t>which was identified as [Pd</w:t>
      </w:r>
      <w:r>
        <w:rPr>
          <w:vertAlign w:val="subscript"/>
        </w:rPr>
        <w:t>3</w:t>
      </w:r>
      <w:r>
        <w:t>(Cl)(PPh</w:t>
      </w:r>
      <w:r>
        <w:rPr>
          <w:vertAlign w:val="subscript"/>
        </w:rPr>
        <w:t>2</w:t>
      </w:r>
      <w:r>
        <w:t>)</w:t>
      </w:r>
      <w:r>
        <w:rPr>
          <w:vertAlign w:val="subscript"/>
        </w:rPr>
        <w:t>2</w:t>
      </w:r>
      <w:r>
        <w:t>(PPh</w:t>
      </w:r>
      <w:r>
        <w:rPr>
          <w:vertAlign w:val="subscript"/>
        </w:rPr>
        <w:t>3</w:t>
      </w:r>
      <w:r>
        <w:t>)</w:t>
      </w:r>
      <w:r>
        <w:rPr>
          <w:vertAlign w:val="subscript"/>
        </w:rPr>
        <w:t>3</w:t>
      </w:r>
      <w:r>
        <w:t xml:space="preserve">]OAc </w:t>
      </w:r>
      <w:r w:rsidRPr="004E60F1">
        <w:rPr>
          <w:b/>
        </w:rPr>
        <w:t>Pd</w:t>
      </w:r>
      <w:r w:rsidRPr="004E60F1">
        <w:rPr>
          <w:b/>
          <w:vertAlign w:val="subscript"/>
        </w:rPr>
        <w:t>3</w:t>
      </w:r>
      <w:r w:rsidRPr="004E60F1">
        <w:rPr>
          <w:b/>
        </w:rPr>
        <w:t>Cl</w:t>
      </w:r>
      <w:r w:rsidRPr="004E60F1">
        <w:rPr>
          <w:rFonts w:ascii="Constantia" w:hAnsi="Constantia"/>
          <w:b/>
        </w:rPr>
        <w:t>·</w:t>
      </w:r>
      <w:r w:rsidRPr="004E60F1">
        <w:rPr>
          <w:b/>
        </w:rPr>
        <w:t>OAc</w:t>
      </w:r>
      <w:r>
        <w:t xml:space="preserve"> by ESI studies (+ve mode, </w:t>
      </w:r>
      <w:r w:rsidRPr="00FF43D3">
        <w:t>detected by the [M-OAc]</w:t>
      </w:r>
      <w:r w:rsidRPr="00FF43D3">
        <w:rPr>
          <w:vertAlign w:val="superscript"/>
        </w:rPr>
        <w:t>+</w:t>
      </w:r>
      <w:r w:rsidRPr="00FF43D3">
        <w:t xml:space="preserve"> ion) (Fig. 4).</w:t>
      </w:r>
      <w:r w:rsidRPr="00FF43D3">
        <w:rPr>
          <w:vertAlign w:val="superscript"/>
        </w:rPr>
        <w:t>1</w:t>
      </w:r>
      <w:r w:rsidR="00F66AC6" w:rsidRPr="00FF43D3">
        <w:rPr>
          <w:vertAlign w:val="superscript"/>
        </w:rPr>
        <w:t>4</w:t>
      </w:r>
      <w:r w:rsidRPr="00FF43D3">
        <w:t xml:space="preserve"> Real-time reaction monitoring by </w:t>
      </w:r>
      <w:r w:rsidRPr="00FF43D3">
        <w:rPr>
          <w:vertAlign w:val="superscript"/>
        </w:rPr>
        <w:t>31</w:t>
      </w:r>
      <w:r w:rsidRPr="00FF43D3">
        <w:t xml:space="preserve">P NMR spectroscopic analysis showed that </w:t>
      </w:r>
      <w:r w:rsidRPr="00FF43D3">
        <w:rPr>
          <w:b/>
        </w:rPr>
        <w:t>Pd</w:t>
      </w:r>
      <w:r w:rsidRPr="00FF43D3">
        <w:rPr>
          <w:b/>
          <w:vertAlign w:val="subscript"/>
        </w:rPr>
        <w:t>3</w:t>
      </w:r>
      <w:r w:rsidRPr="00FF43D3">
        <w:rPr>
          <w:b/>
        </w:rPr>
        <w:t>Cl</w:t>
      </w:r>
      <w:r w:rsidRPr="00FF43D3">
        <w:rPr>
          <w:rFonts w:ascii="Constantia" w:hAnsi="Constantia"/>
          <w:b/>
        </w:rPr>
        <w:t>·</w:t>
      </w:r>
      <w:r w:rsidRPr="00FF43D3">
        <w:rPr>
          <w:b/>
        </w:rPr>
        <w:t>OAc</w:t>
      </w:r>
      <w:r w:rsidRPr="00FF43D3">
        <w:t xml:space="preserve"> formed over several hours at the expense of </w:t>
      </w:r>
      <w:r w:rsidRPr="00FF43D3">
        <w:rPr>
          <w:b/>
        </w:rPr>
        <w:t>II</w:t>
      </w:r>
      <w:r w:rsidRPr="00FF43D3">
        <w:t>.</w:t>
      </w:r>
      <w:r w:rsidRPr="00FF43D3">
        <w:rPr>
          <w:b/>
        </w:rPr>
        <w:t xml:space="preserve"> </w:t>
      </w:r>
      <w:r w:rsidRPr="00FF43D3">
        <w:t xml:space="preserve">The data for </w:t>
      </w:r>
      <w:r w:rsidRPr="00FF43D3">
        <w:rPr>
          <w:b/>
        </w:rPr>
        <w:t>Pd</w:t>
      </w:r>
      <w:r w:rsidRPr="00FF43D3">
        <w:rPr>
          <w:b/>
          <w:vertAlign w:val="subscript"/>
        </w:rPr>
        <w:t>3</w:t>
      </w:r>
      <w:r w:rsidRPr="00FF43D3">
        <w:rPr>
          <w:b/>
        </w:rPr>
        <w:t>Cl</w:t>
      </w:r>
      <w:r w:rsidRPr="00FF43D3">
        <w:rPr>
          <w:rFonts w:ascii="Constantia" w:hAnsi="Constantia"/>
          <w:b/>
        </w:rPr>
        <w:t>·</w:t>
      </w:r>
      <w:r w:rsidRPr="00FF43D3">
        <w:rPr>
          <w:b/>
        </w:rPr>
        <w:t>OAc</w:t>
      </w:r>
      <w:r w:rsidRPr="00FF43D3">
        <w:t xml:space="preserve"> closely matches the data obtained from the independent synthesis of [Pd</w:t>
      </w:r>
      <w:r w:rsidRPr="00FF43D3">
        <w:rPr>
          <w:vertAlign w:val="subscript"/>
        </w:rPr>
        <w:t>3</w:t>
      </w:r>
      <w:r w:rsidRPr="00FF43D3">
        <w:t>(Cl)(</w:t>
      </w:r>
      <w:r w:rsidRPr="00FF43D3">
        <w:rPr>
          <w:rFonts w:ascii="Times New Roman" w:hAnsi="Times New Roman"/>
        </w:rPr>
        <w:t>µ</w:t>
      </w:r>
      <w:r w:rsidRPr="00FF43D3">
        <w:t>-PPh</w:t>
      </w:r>
      <w:r w:rsidRPr="00FF43D3">
        <w:rPr>
          <w:vertAlign w:val="subscript"/>
        </w:rPr>
        <w:t>2</w:t>
      </w:r>
      <w:r w:rsidRPr="00FF43D3">
        <w:t>)</w:t>
      </w:r>
      <w:r w:rsidRPr="00FF43D3">
        <w:rPr>
          <w:vertAlign w:val="subscript"/>
        </w:rPr>
        <w:t>2</w:t>
      </w:r>
      <w:r w:rsidRPr="00FF43D3">
        <w:t>(PPh</w:t>
      </w:r>
      <w:r w:rsidRPr="00FF43D3">
        <w:rPr>
          <w:vertAlign w:val="subscript"/>
        </w:rPr>
        <w:t>3</w:t>
      </w:r>
      <w:r w:rsidRPr="00FF43D3">
        <w:t>)</w:t>
      </w:r>
      <w:r w:rsidRPr="00FF43D3">
        <w:rPr>
          <w:vertAlign w:val="subscript"/>
        </w:rPr>
        <w:t>3</w:t>
      </w:r>
      <w:r w:rsidRPr="00FF43D3">
        <w:t xml:space="preserve">]Cl </w:t>
      </w:r>
      <w:r w:rsidRPr="00FF43D3">
        <w:rPr>
          <w:b/>
        </w:rPr>
        <w:t>Pd</w:t>
      </w:r>
      <w:r w:rsidRPr="00FF43D3">
        <w:rPr>
          <w:b/>
          <w:vertAlign w:val="subscript"/>
        </w:rPr>
        <w:t>3</w:t>
      </w:r>
      <w:r w:rsidRPr="00FF43D3">
        <w:rPr>
          <w:b/>
        </w:rPr>
        <w:t>Cl</w:t>
      </w:r>
      <w:r w:rsidRPr="00FF43D3">
        <w:rPr>
          <w:rFonts w:ascii="Constantia" w:hAnsi="Constantia"/>
          <w:b/>
        </w:rPr>
        <w:t>·</w:t>
      </w:r>
      <w:r w:rsidRPr="00FF43D3">
        <w:rPr>
          <w:b/>
        </w:rPr>
        <w:t>Cl</w:t>
      </w:r>
      <w:r w:rsidRPr="00FF43D3">
        <w:t>, starting from PdCl</w:t>
      </w:r>
      <w:r w:rsidRPr="00FF43D3">
        <w:rPr>
          <w:vertAlign w:val="subscript"/>
        </w:rPr>
        <w:t>2</w:t>
      </w:r>
      <w:r w:rsidRPr="00FF43D3">
        <w:t>(PPh</w:t>
      </w:r>
      <w:r w:rsidRPr="00FF43D3">
        <w:rPr>
          <w:vertAlign w:val="subscript"/>
        </w:rPr>
        <w:t>3</w:t>
      </w:r>
      <w:r w:rsidRPr="00FF43D3">
        <w:t>)</w:t>
      </w:r>
      <w:r w:rsidRPr="00FF43D3">
        <w:rPr>
          <w:vertAlign w:val="subscript"/>
        </w:rPr>
        <w:t>2</w:t>
      </w:r>
      <w:r w:rsidRPr="00FF43D3">
        <w:t xml:space="preserve"> in aniline under H</w:t>
      </w:r>
      <w:r w:rsidRPr="00FF43D3">
        <w:rPr>
          <w:vertAlign w:val="subscript"/>
        </w:rPr>
        <w:t>2(g)</w:t>
      </w:r>
      <w:r w:rsidRPr="00FF43D3">
        <w:t xml:space="preserve"> at 90 </w:t>
      </w:r>
      <w:r w:rsidRPr="00FF43D3">
        <w:rPr>
          <w:rFonts w:ascii="Times New Roman" w:hAnsi="Times New Roman"/>
        </w:rPr>
        <w:t>º</w:t>
      </w:r>
      <w:r w:rsidRPr="00FF43D3">
        <w:t>C, for which an X-ray structure of a single crystal was determined (Fig. 5).</w:t>
      </w:r>
      <w:r w:rsidRPr="00FF43D3">
        <w:rPr>
          <w:vertAlign w:val="superscript"/>
        </w:rPr>
        <w:t>1</w:t>
      </w:r>
      <w:r w:rsidR="00F66AC6" w:rsidRPr="00FF43D3">
        <w:rPr>
          <w:vertAlign w:val="superscript"/>
        </w:rPr>
        <w:t>5</w:t>
      </w:r>
      <w:r w:rsidRPr="00FF43D3">
        <w:t xml:space="preserve"> We were unable to trace the ‘CH</w:t>
      </w:r>
      <w:r w:rsidRPr="00FF43D3">
        <w:rPr>
          <w:vertAlign w:val="subscript"/>
        </w:rPr>
        <w:t>2</w:t>
      </w:r>
      <w:r w:rsidRPr="00FF43D3">
        <w:t>Cl’ fragment derived from CH</w:t>
      </w:r>
      <w:r w:rsidRPr="00FF43D3">
        <w:rPr>
          <w:vertAlign w:val="subscript"/>
        </w:rPr>
        <w:t>2</w:t>
      </w:r>
      <w:r w:rsidRPr="00FF43D3">
        <w:t>Cl</w:t>
      </w:r>
      <w:r w:rsidRPr="00FF43D3">
        <w:rPr>
          <w:vertAlign w:val="subscript"/>
        </w:rPr>
        <w:t>2</w:t>
      </w:r>
      <w:r w:rsidRPr="00FF43D3">
        <w:t>, ‘Pd(PPh</w:t>
      </w:r>
      <w:r w:rsidRPr="00FF43D3">
        <w:rPr>
          <w:vertAlign w:val="subscript"/>
        </w:rPr>
        <w:t>3</w:t>
      </w:r>
      <w:r w:rsidRPr="00FF43D3">
        <w:t>)</w:t>
      </w:r>
      <w:r w:rsidRPr="00FF43D3">
        <w:rPr>
          <w:vertAlign w:val="subscript"/>
        </w:rPr>
        <w:t>1</w:t>
      </w:r>
      <w:r w:rsidRPr="00FF43D3">
        <w:t>’ and acetate anion required to balance the overall chemical reaction. However, balance of overall charge and mass allows one to postulate a putative 14-electronic Pd</w:t>
      </w:r>
      <w:r w:rsidRPr="00FF43D3">
        <w:rPr>
          <w:vertAlign w:val="superscript"/>
        </w:rPr>
        <w:t>II</w:t>
      </w:r>
      <w:r w:rsidRPr="00FF43D3">
        <w:t xml:space="preserve"> species </w:t>
      </w:r>
      <w:r w:rsidRPr="00FF43D3">
        <w:rPr>
          <w:b/>
        </w:rPr>
        <w:t>Xa</w:t>
      </w:r>
      <w:r w:rsidRPr="00FF43D3">
        <w:t xml:space="preserve">.  Similarly, reaction of </w:t>
      </w:r>
      <w:r w:rsidRPr="00FF43D3">
        <w:rPr>
          <w:b/>
        </w:rPr>
        <w:t>II</w:t>
      </w:r>
      <w:r w:rsidRPr="00FF43D3">
        <w:t xml:space="preserve"> with </w:t>
      </w:r>
      <w:r w:rsidRPr="00FF43D3">
        <w:rPr>
          <w:i/>
        </w:rPr>
        <w:t>p</w:t>
      </w:r>
      <w:r w:rsidRPr="00FF43D3">
        <w:t xml:space="preserve">-fluoro-iodobenzene </w:t>
      </w:r>
      <w:r w:rsidRPr="00FF43D3">
        <w:rPr>
          <w:b/>
        </w:rPr>
        <w:t xml:space="preserve">1b </w:t>
      </w:r>
      <w:r w:rsidRPr="00FF43D3">
        <w:t>afforded [Pd</w:t>
      </w:r>
      <w:r w:rsidRPr="00FF43D3">
        <w:rPr>
          <w:vertAlign w:val="subscript"/>
        </w:rPr>
        <w:t>3</w:t>
      </w:r>
      <w:r w:rsidRPr="00FF43D3">
        <w:t>(I)(</w:t>
      </w:r>
      <w:r w:rsidRPr="00FF43D3">
        <w:rPr>
          <w:rFonts w:ascii="Times New Roman" w:hAnsi="Times New Roman"/>
        </w:rPr>
        <w:t>µ</w:t>
      </w:r>
      <w:r w:rsidRPr="00FF43D3">
        <w:t>-PPh</w:t>
      </w:r>
      <w:r w:rsidRPr="00FF43D3">
        <w:rPr>
          <w:vertAlign w:val="subscript"/>
        </w:rPr>
        <w:t>2</w:t>
      </w:r>
      <w:r w:rsidRPr="00FF43D3">
        <w:t>)</w:t>
      </w:r>
      <w:r w:rsidRPr="00FF43D3">
        <w:rPr>
          <w:vertAlign w:val="subscript"/>
        </w:rPr>
        <w:t>2</w:t>
      </w:r>
      <w:r w:rsidRPr="00FF43D3">
        <w:t>(PPh</w:t>
      </w:r>
      <w:r w:rsidRPr="00FF43D3">
        <w:rPr>
          <w:vertAlign w:val="subscript"/>
        </w:rPr>
        <w:t>3</w:t>
      </w:r>
      <w:r w:rsidRPr="00FF43D3">
        <w:t>)</w:t>
      </w:r>
      <w:r w:rsidRPr="00FF43D3">
        <w:rPr>
          <w:vertAlign w:val="subscript"/>
        </w:rPr>
        <w:t>4</w:t>
      </w:r>
      <w:r w:rsidRPr="00FF43D3">
        <w:t xml:space="preserve">]OAc </w:t>
      </w:r>
      <w:r w:rsidRPr="00FF43D3">
        <w:rPr>
          <w:b/>
        </w:rPr>
        <w:t>Pd</w:t>
      </w:r>
      <w:r w:rsidRPr="00FF43D3">
        <w:rPr>
          <w:b/>
          <w:vertAlign w:val="subscript"/>
        </w:rPr>
        <w:t>3</w:t>
      </w:r>
      <w:r w:rsidRPr="00FF43D3">
        <w:rPr>
          <w:b/>
        </w:rPr>
        <w:t>I</w:t>
      </w:r>
      <w:r w:rsidRPr="00FF43D3">
        <w:rPr>
          <w:rFonts w:ascii="Constantia" w:hAnsi="Constantia"/>
          <w:b/>
        </w:rPr>
        <w:t>·</w:t>
      </w:r>
      <w:r w:rsidRPr="00FF43D3">
        <w:rPr>
          <w:b/>
        </w:rPr>
        <w:t>OAc</w:t>
      </w:r>
      <w:r w:rsidRPr="00FF43D3">
        <w:t>,</w:t>
      </w:r>
      <w:r w:rsidRPr="00FF43D3">
        <w:rPr>
          <w:b/>
        </w:rPr>
        <w:t xml:space="preserve"> </w:t>
      </w:r>
      <w:r w:rsidRPr="00FF43D3">
        <w:t>as shown by</w:t>
      </w:r>
      <w:r w:rsidRPr="00FF43D3">
        <w:rPr>
          <w:b/>
        </w:rPr>
        <w:t xml:space="preserve"> </w:t>
      </w:r>
      <w:r w:rsidRPr="00FF43D3">
        <w:rPr>
          <w:vertAlign w:val="superscript"/>
        </w:rPr>
        <w:t>31</w:t>
      </w:r>
      <w:r w:rsidRPr="00FF43D3">
        <w:t>P NMR and ESI data (as the [M-OAc]</w:t>
      </w:r>
      <w:r w:rsidRPr="00FF43D3">
        <w:rPr>
          <w:vertAlign w:val="superscript"/>
        </w:rPr>
        <w:t xml:space="preserve">+ </w:t>
      </w:r>
      <w:r w:rsidRPr="00FF43D3">
        <w:t xml:space="preserve">ion), which degraded rapidly to form Pd black. As with the reaction of </w:t>
      </w:r>
      <w:r w:rsidRPr="00FF43D3">
        <w:rPr>
          <w:b/>
        </w:rPr>
        <w:t xml:space="preserve">II </w:t>
      </w:r>
      <w:r w:rsidRPr="00FF43D3">
        <w:t>with CH</w:t>
      </w:r>
      <w:r w:rsidRPr="00FF43D3">
        <w:rPr>
          <w:vertAlign w:val="subscript"/>
        </w:rPr>
        <w:t>2</w:t>
      </w:r>
      <w:r w:rsidRPr="00FF43D3">
        <w:t>Cl</w:t>
      </w:r>
      <w:r w:rsidRPr="00FF43D3">
        <w:rPr>
          <w:vertAlign w:val="subscript"/>
        </w:rPr>
        <w:t>2</w:t>
      </w:r>
      <w:r w:rsidRPr="00FF43D3">
        <w:t xml:space="preserve"> </w:t>
      </w:r>
      <w:r w:rsidRPr="00FF43D3">
        <w:rPr>
          <w:b/>
        </w:rPr>
        <w:t>1a</w:t>
      </w:r>
      <w:r w:rsidRPr="00FF43D3">
        <w:t>,</w:t>
      </w:r>
      <w:r w:rsidRPr="00FF43D3">
        <w:rPr>
          <w:b/>
        </w:rPr>
        <w:t xml:space="preserve"> </w:t>
      </w:r>
      <w:r w:rsidRPr="00FF43D3">
        <w:t>the ‘</w:t>
      </w:r>
      <w:r w:rsidRPr="00FF43D3">
        <w:rPr>
          <w:i/>
        </w:rPr>
        <w:t>p</w:t>
      </w:r>
      <w:r w:rsidRPr="00FF43D3">
        <w:t>-F-C</w:t>
      </w:r>
      <w:r w:rsidRPr="00FF43D3">
        <w:rPr>
          <w:vertAlign w:val="subscript"/>
        </w:rPr>
        <w:t>6</w:t>
      </w:r>
      <w:r w:rsidRPr="00FF43D3">
        <w:t>H</w:t>
      </w:r>
      <w:r w:rsidRPr="00FF43D3">
        <w:rPr>
          <w:vertAlign w:val="subscript"/>
        </w:rPr>
        <w:t>4</w:t>
      </w:r>
      <w:r w:rsidRPr="00FF43D3">
        <w:t xml:space="preserve">-’ fragment derived from </w:t>
      </w:r>
      <w:r w:rsidRPr="00FF43D3">
        <w:rPr>
          <w:b/>
        </w:rPr>
        <w:t>1b</w:t>
      </w:r>
      <w:r w:rsidRPr="00FF43D3">
        <w:t>, ‘Pd(PPh</w:t>
      </w:r>
      <w:r w:rsidRPr="00FF43D3">
        <w:rPr>
          <w:vertAlign w:val="subscript"/>
        </w:rPr>
        <w:t>3</w:t>
      </w:r>
      <w:r w:rsidRPr="00FF43D3">
        <w:t>)</w:t>
      </w:r>
      <w:r w:rsidRPr="00FF43D3">
        <w:rPr>
          <w:vertAlign w:val="subscript"/>
        </w:rPr>
        <w:t>1</w:t>
      </w:r>
      <w:r w:rsidRPr="00FF43D3">
        <w:t>’ and OAc anion could not be fully traced (Pd</w:t>
      </w:r>
      <w:r w:rsidRPr="00FF43D3">
        <w:rPr>
          <w:vertAlign w:val="superscript"/>
        </w:rPr>
        <w:t>II</w:t>
      </w:r>
      <w:r w:rsidRPr="00FF43D3">
        <w:t xml:space="preserve"> species </w:t>
      </w:r>
      <w:r w:rsidRPr="00FF43D3">
        <w:rPr>
          <w:b/>
        </w:rPr>
        <w:t>Xb</w:t>
      </w:r>
      <w:r w:rsidRPr="00FF43D3">
        <w:t xml:space="preserve"> is postulated).</w:t>
      </w:r>
    </w:p>
    <w:p w14:paraId="143F0464" w14:textId="50982B12" w:rsidR="004832EE" w:rsidRPr="00FF43D3" w:rsidRDefault="004832EE" w:rsidP="004E3891">
      <w:pPr>
        <w:pStyle w:val="RSCB02ArticleText"/>
      </w:pPr>
    </w:p>
    <w:p w14:paraId="78B93AF6" w14:textId="7517DF02" w:rsidR="004832EE" w:rsidRPr="00FF43D3" w:rsidRDefault="004832EE" w:rsidP="004E3891">
      <w:pPr>
        <w:pStyle w:val="RSCB02ArticleText"/>
      </w:pPr>
    </w:p>
    <w:p w14:paraId="21466A3A" w14:textId="77777777" w:rsidR="006F7434" w:rsidRPr="00FF43D3" w:rsidRDefault="006F7434" w:rsidP="00134930">
      <w:pPr>
        <w:pStyle w:val="RSCI02FigureSchemeChartwithtopbar"/>
        <w:jc w:val="center"/>
        <w:rPr>
          <w:noProof/>
          <w:lang w:eastAsia="en-GB"/>
        </w:rPr>
      </w:pPr>
      <w:r w:rsidRPr="00FF43D3">
        <w:rPr>
          <w:noProof/>
          <w:lang w:eastAsia="en-GB"/>
        </w:rPr>
        <w:drawing>
          <wp:inline distT="0" distB="0" distL="0" distR="0" wp14:anchorId="55E7C561" wp14:editId="378BEDDC">
            <wp:extent cx="2445880" cy="2008640"/>
            <wp:effectExtent l="0" t="0" r="0" b="0"/>
            <wp:docPr id="13" name="Picture 13" descr="A picture containing sky, text, air,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jsf1804_proc_x4_withnoal_v4_L.PNG"/>
                    <pic:cNvPicPr/>
                  </pic:nvPicPr>
                  <pic:blipFill rotWithShape="1">
                    <a:blip r:embed="rId21" cstate="print">
                      <a:extLst>
                        <a:ext uri="{28A0092B-C50C-407E-A947-70E740481C1C}">
                          <a14:useLocalDpi xmlns:a14="http://schemas.microsoft.com/office/drawing/2010/main" val="0"/>
                        </a:ext>
                      </a:extLst>
                    </a:blip>
                    <a:srcRect l="4054" t="6008" r="5267" b="7260"/>
                    <a:stretch/>
                  </pic:blipFill>
                  <pic:spPr bwMode="auto">
                    <a:xfrm>
                      <a:off x="0" y="0"/>
                      <a:ext cx="2459699" cy="2019988"/>
                    </a:xfrm>
                    <a:prstGeom prst="rect">
                      <a:avLst/>
                    </a:prstGeom>
                    <a:ln>
                      <a:noFill/>
                    </a:ln>
                    <a:extLst>
                      <a:ext uri="{53640926-AAD7-44D8-BBD7-CCE9431645EC}">
                        <a14:shadowObscured xmlns:a14="http://schemas.microsoft.com/office/drawing/2010/main"/>
                      </a:ext>
                    </a:extLst>
                  </pic:spPr>
                </pic:pic>
              </a:graphicData>
            </a:graphic>
          </wp:inline>
        </w:drawing>
      </w:r>
      <w:r w:rsidRPr="00FF43D3">
        <w:rPr>
          <w:noProof/>
          <w:lang w:eastAsia="en-GB"/>
        </w:rPr>
        <w:drawing>
          <wp:inline distT="0" distB="0" distL="0" distR="0" wp14:anchorId="0E30DFAD" wp14:editId="04019FA8">
            <wp:extent cx="2396067" cy="2435669"/>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d3-Br2_Cluster_L.PNG"/>
                    <pic:cNvPicPr/>
                  </pic:nvPicPr>
                  <pic:blipFill rotWithShape="1">
                    <a:blip r:embed="rId22" cstate="print">
                      <a:extLst>
                        <a:ext uri="{28A0092B-C50C-407E-A947-70E740481C1C}">
                          <a14:useLocalDpi xmlns:a14="http://schemas.microsoft.com/office/drawing/2010/main" val="0"/>
                        </a:ext>
                      </a:extLst>
                    </a:blip>
                    <a:srcRect l="25165" r="22970"/>
                    <a:stretch/>
                  </pic:blipFill>
                  <pic:spPr bwMode="auto">
                    <a:xfrm>
                      <a:off x="0" y="0"/>
                      <a:ext cx="2402902" cy="2442617"/>
                    </a:xfrm>
                    <a:prstGeom prst="rect">
                      <a:avLst/>
                    </a:prstGeom>
                    <a:ln>
                      <a:noFill/>
                    </a:ln>
                    <a:extLst>
                      <a:ext uri="{53640926-AAD7-44D8-BBD7-CCE9431645EC}">
                        <a14:shadowObscured xmlns:a14="http://schemas.microsoft.com/office/drawing/2010/main"/>
                      </a:ext>
                    </a:extLst>
                  </pic:spPr>
                </pic:pic>
              </a:graphicData>
            </a:graphic>
          </wp:inline>
        </w:drawing>
      </w:r>
    </w:p>
    <w:p w14:paraId="02E2AC1C" w14:textId="2E05253E" w:rsidR="004832EE" w:rsidRDefault="006F7434" w:rsidP="006F7434">
      <w:pPr>
        <w:pStyle w:val="RSCI04CaptiontoFigureSchemeChart"/>
      </w:pPr>
      <w:r w:rsidRPr="00FF43D3">
        <w:t>Figure 5 The single crystal X-ray diffraction structures for [Pd</w:t>
      </w:r>
      <w:r w:rsidRPr="00FF43D3">
        <w:rPr>
          <w:vertAlign w:val="subscript"/>
        </w:rPr>
        <w:t>3</w:t>
      </w:r>
      <w:r w:rsidRPr="00FF43D3">
        <w:t>(X)(PPh</w:t>
      </w:r>
      <w:r w:rsidRPr="00FF43D3">
        <w:rPr>
          <w:vertAlign w:val="subscript"/>
        </w:rPr>
        <w:t>2</w:t>
      </w:r>
      <w:r w:rsidRPr="00FF43D3">
        <w:t>)</w:t>
      </w:r>
      <w:r w:rsidRPr="00FF43D3">
        <w:rPr>
          <w:vertAlign w:val="subscript"/>
        </w:rPr>
        <w:t>2</w:t>
      </w:r>
      <w:r w:rsidRPr="00FF43D3">
        <w:t>(PPh</w:t>
      </w:r>
      <w:r w:rsidRPr="00FF43D3">
        <w:rPr>
          <w:vertAlign w:val="subscript"/>
        </w:rPr>
        <w:t>3</w:t>
      </w:r>
      <w:r w:rsidRPr="00FF43D3">
        <w:t>)</w:t>
      </w:r>
      <w:r w:rsidRPr="00FF43D3">
        <w:rPr>
          <w:vertAlign w:val="subscript"/>
        </w:rPr>
        <w:t>3</w:t>
      </w:r>
      <w:r w:rsidRPr="00FF43D3">
        <w:t xml:space="preserve">]X (Top, X = Cl, </w:t>
      </w:r>
      <w:r w:rsidRPr="00FF43D3">
        <w:rPr>
          <w:b/>
        </w:rPr>
        <w:t>Pd</w:t>
      </w:r>
      <w:r w:rsidRPr="00FF43D3">
        <w:rPr>
          <w:b/>
          <w:vertAlign w:val="subscript"/>
        </w:rPr>
        <w:t>3</w:t>
      </w:r>
      <w:r w:rsidRPr="00FF43D3">
        <w:rPr>
          <w:b/>
        </w:rPr>
        <w:t>Cl</w:t>
      </w:r>
      <w:r w:rsidRPr="00FF43D3">
        <w:rPr>
          <w:rFonts w:ascii="Constantia" w:hAnsi="Constantia"/>
          <w:b/>
        </w:rPr>
        <w:t>•</w:t>
      </w:r>
      <w:r w:rsidRPr="00FF43D3">
        <w:rPr>
          <w:b/>
        </w:rPr>
        <w:t>Cl</w:t>
      </w:r>
      <w:r w:rsidRPr="00FF43D3">
        <w:t xml:space="preserve">; Bottom, X = Br, </w:t>
      </w:r>
      <w:r w:rsidRPr="00FF43D3">
        <w:rPr>
          <w:b/>
        </w:rPr>
        <w:t>Pd</w:t>
      </w:r>
      <w:r w:rsidRPr="00FF43D3">
        <w:rPr>
          <w:b/>
          <w:vertAlign w:val="subscript"/>
        </w:rPr>
        <w:t>3</w:t>
      </w:r>
      <w:r w:rsidRPr="00FF43D3">
        <w:rPr>
          <w:b/>
        </w:rPr>
        <w:t>Br</w:t>
      </w:r>
      <w:r w:rsidRPr="00FF43D3">
        <w:rPr>
          <w:rFonts w:ascii="Constantia" w:hAnsi="Constantia"/>
          <w:b/>
        </w:rPr>
        <w:t>•</w:t>
      </w:r>
      <w:r w:rsidRPr="00FF43D3">
        <w:rPr>
          <w:b/>
        </w:rPr>
        <w:t>Br</w:t>
      </w:r>
      <w:r w:rsidRPr="00FF43D3">
        <w:t xml:space="preserve">); H-atoms and solvent of crystallization are not shown and thermal ellipsoids are set at 50% probability. For </w:t>
      </w:r>
      <w:r w:rsidRPr="00FF43D3">
        <w:rPr>
          <w:b/>
        </w:rPr>
        <w:t>Pd3Cl</w:t>
      </w:r>
      <w:r w:rsidRPr="00FF43D3">
        <w:rPr>
          <w:rFonts w:ascii="Constantia" w:hAnsi="Constantia"/>
          <w:b/>
        </w:rPr>
        <w:t>•</w:t>
      </w:r>
      <w:r w:rsidRPr="00FF43D3">
        <w:rPr>
          <w:b/>
        </w:rPr>
        <w:t xml:space="preserve">Cl </w:t>
      </w:r>
      <w:r w:rsidRPr="00FF43D3">
        <w:t>the non-coordinating chloride anion is not shown. Selected bond lengths (</w:t>
      </w:r>
      <w:r w:rsidRPr="00FF43D3">
        <w:rPr>
          <w:rFonts w:ascii="Constantia" w:hAnsi="Constantia"/>
        </w:rPr>
        <w:t>Å</w:t>
      </w:r>
      <w:r w:rsidRPr="00FF43D3">
        <w:t>) and angles (</w:t>
      </w:r>
      <w:r w:rsidRPr="00FF43D3">
        <w:rPr>
          <w:rFonts w:ascii="Constantia" w:hAnsi="Constantia"/>
        </w:rPr>
        <w:t>⁰</w:t>
      </w:r>
      <w:r w:rsidRPr="00FF43D3">
        <w:t xml:space="preserve">) for: </w:t>
      </w:r>
      <w:r w:rsidRPr="00FF43D3">
        <w:rPr>
          <w:b/>
        </w:rPr>
        <w:t>Pd3Cl</w:t>
      </w:r>
      <w:r w:rsidRPr="00FF43D3">
        <w:rPr>
          <w:rFonts w:ascii="Constantia" w:hAnsi="Constantia"/>
          <w:b/>
        </w:rPr>
        <w:t>•</w:t>
      </w:r>
      <w:r w:rsidRPr="00FF43D3">
        <w:rPr>
          <w:b/>
        </w:rPr>
        <w:t>Cl</w:t>
      </w:r>
      <w:r w:rsidRPr="00FF43D3">
        <w:t xml:space="preserve"> Cl1–Pd1 = 2.3828(8); Cl1–Pd3 = 2.4002(8); Pd1–Pd2 = 2.9138(3); Pd1–Pd3 = 2.8882(3); Pd2–Pd3 = 2.9127(3); Pd1–Cl1–Pd3 = 74.29(2); Pd1–P2–Pd2 = 81.38(3); Pd3–P4–Pd2 = 81.45(3); Cl1–Pd1–Pd2 = 113.303(19); Cl1–Pd1–Pd3 = 53.130(18); Pd3–Pd1–Pd2 = 60.265(8). </w:t>
      </w:r>
      <w:r w:rsidRPr="00FF43D3">
        <w:rPr>
          <w:b/>
        </w:rPr>
        <w:t>Pd</w:t>
      </w:r>
      <w:r w:rsidRPr="00FF43D3">
        <w:rPr>
          <w:b/>
          <w:vertAlign w:val="subscript"/>
        </w:rPr>
        <w:t>3</w:t>
      </w:r>
      <w:r w:rsidRPr="00FF43D3">
        <w:rPr>
          <w:b/>
        </w:rPr>
        <w:t>Br</w:t>
      </w:r>
      <w:r w:rsidRPr="00FF43D3">
        <w:rPr>
          <w:rFonts w:ascii="Constantia" w:hAnsi="Constantia"/>
          <w:b/>
        </w:rPr>
        <w:t>•</w:t>
      </w:r>
      <w:r w:rsidRPr="00FF43D3">
        <w:rPr>
          <w:b/>
        </w:rPr>
        <w:t>Br</w:t>
      </w:r>
      <w:r w:rsidRPr="00FF43D3">
        <w:t xml:space="preserve"> Pd1–Pd2 = 2.8355(10); Pd2–Br1 = 2.9423(13); Pd2–Br2 = 2.5698(13);  Pd3–Br1 = 2.5490(13); Pd1–Pd3 = 2.8808(10); Pd2–Pd3 = 2.8240(10); Pd2–Pd1–Pd3 = 59.21(2), Pd3–Pd2–Pd1 = 61.20(2), Pd2–Pd3–Pd1 = 59.60(2); Pd3–Br1–Pd2 = 61.40(3); Br2–Pd2–Pd1 = 101.20(4); Br2–Pd2–Pd3 = 76.91(3); Br2–Pd2–Br1 = 96.67(4).</w:t>
      </w:r>
    </w:p>
    <w:p w14:paraId="16727BAA" w14:textId="77777777" w:rsidR="00134930" w:rsidRPr="00FF43D3" w:rsidRDefault="00134930" w:rsidP="00134930">
      <w:pPr>
        <w:pStyle w:val="RSCI05CaptiontoFigureSchemeChartwithbottombar"/>
      </w:pPr>
    </w:p>
    <w:p w14:paraId="05C0196A" w14:textId="77777777" w:rsidR="00465DA3" w:rsidRPr="00FF43D3" w:rsidRDefault="00465DA3" w:rsidP="00465DA3">
      <w:pPr>
        <w:pStyle w:val="RSCB02ArticleText"/>
        <w:ind w:firstLine="284"/>
      </w:pPr>
      <w:r w:rsidRPr="00FF43D3">
        <w:t>To reveal whether putative 14-electron Pd</w:t>
      </w:r>
      <w:r w:rsidRPr="00FF43D3">
        <w:rPr>
          <w:vertAlign w:val="superscript"/>
        </w:rPr>
        <w:t>II</w:t>
      </w:r>
      <w:r w:rsidRPr="00FF43D3">
        <w:t xml:space="preserve"> species were being formed in the reactions of </w:t>
      </w:r>
      <w:r w:rsidRPr="00FF43D3">
        <w:rPr>
          <w:b/>
        </w:rPr>
        <w:t xml:space="preserve">II </w:t>
      </w:r>
      <w:r w:rsidRPr="00FF43D3">
        <w:t xml:space="preserve">with organohalides (R–X) we hypothesized that a reaction with 2-bromopyridine </w:t>
      </w:r>
      <w:r w:rsidRPr="00FF43D3">
        <w:rPr>
          <w:b/>
        </w:rPr>
        <w:t>1c</w:t>
      </w:r>
      <w:r w:rsidRPr="00FF43D3">
        <w:t xml:space="preserve"> might enable characterization by the stabilization conferred by </w:t>
      </w:r>
      <w:r w:rsidRPr="00FF43D3">
        <w:rPr>
          <w:i/>
        </w:rPr>
        <w:t>N</w:t>
      </w:r>
      <w:r w:rsidRPr="00FF43D3">
        <w:t>-coordination from the pyridine ring, leading to formation of a stable 16-electron dinuclear Pd</w:t>
      </w:r>
      <w:r w:rsidRPr="00FF43D3">
        <w:rPr>
          <w:vertAlign w:val="superscript"/>
        </w:rPr>
        <w:t>II</w:t>
      </w:r>
      <w:r w:rsidRPr="00FF43D3">
        <w:t xml:space="preserve"> species (</w:t>
      </w:r>
      <w:r w:rsidRPr="00FF43D3">
        <w:rPr>
          <w:i/>
        </w:rPr>
        <w:t>i.e.</w:t>
      </w:r>
      <w:r w:rsidRPr="00FF43D3">
        <w:t xml:space="preserve"> </w:t>
      </w:r>
      <w:r w:rsidRPr="00FF43D3">
        <w:rPr>
          <w:b/>
        </w:rPr>
        <w:t>4a-c</w:t>
      </w:r>
      <w:r w:rsidRPr="00FF43D3">
        <w:t>, Fig. 4</w:t>
      </w:r>
      <w:r w:rsidRPr="00FF43D3">
        <w:rPr>
          <w:b/>
        </w:rPr>
        <w:t>)</w:t>
      </w:r>
      <w:r w:rsidRPr="00FF43D3">
        <w:t>.</w:t>
      </w:r>
    </w:p>
    <w:p w14:paraId="6D06C29E" w14:textId="3D03A3D5" w:rsidR="00465DA3" w:rsidRDefault="006F7434" w:rsidP="006F7434">
      <w:pPr>
        <w:pStyle w:val="RSCB02ArticleText"/>
      </w:pPr>
      <w:r w:rsidRPr="00FF43D3">
        <w:t>To verify findings concerning formation of [Pd</w:t>
      </w:r>
      <w:r w:rsidRPr="00FF43D3">
        <w:rPr>
          <w:vertAlign w:val="subscript"/>
        </w:rPr>
        <w:t>3</w:t>
      </w:r>
      <w:r w:rsidRPr="00FF43D3">
        <w:t>(Br)(</w:t>
      </w:r>
      <w:r w:rsidRPr="00FF43D3">
        <w:rPr>
          <w:rFonts w:ascii="Times New Roman" w:hAnsi="Times New Roman"/>
        </w:rPr>
        <w:t>µ</w:t>
      </w:r>
      <w:r w:rsidRPr="00FF43D3">
        <w:t>-PPh</w:t>
      </w:r>
      <w:r w:rsidRPr="00FF43D3">
        <w:rPr>
          <w:vertAlign w:val="subscript"/>
        </w:rPr>
        <w:t>2</w:t>
      </w:r>
      <w:r w:rsidRPr="00FF43D3">
        <w:t>)</w:t>
      </w:r>
      <w:r w:rsidRPr="00FF43D3">
        <w:rPr>
          <w:vertAlign w:val="subscript"/>
        </w:rPr>
        <w:t>2</w:t>
      </w:r>
      <w:r w:rsidRPr="00FF43D3">
        <w:t>(PPh</w:t>
      </w:r>
      <w:r w:rsidRPr="00FF43D3">
        <w:rPr>
          <w:vertAlign w:val="subscript"/>
        </w:rPr>
        <w:t>3</w:t>
      </w:r>
      <w:r w:rsidRPr="00FF43D3">
        <w:t>)</w:t>
      </w:r>
      <w:r w:rsidRPr="00FF43D3">
        <w:rPr>
          <w:vertAlign w:val="subscript"/>
        </w:rPr>
        <w:t>3</w:t>
      </w:r>
      <w:r w:rsidRPr="00FF43D3">
        <w:t>]OAc (</w:t>
      </w:r>
      <w:r w:rsidRPr="00FF43D3">
        <w:rPr>
          <w:b/>
        </w:rPr>
        <w:t>Pd</w:t>
      </w:r>
      <w:r w:rsidRPr="00FF43D3">
        <w:rPr>
          <w:b/>
          <w:vertAlign w:val="subscript"/>
        </w:rPr>
        <w:t>3</w:t>
      </w:r>
      <w:r w:rsidRPr="00FF43D3">
        <w:rPr>
          <w:b/>
        </w:rPr>
        <w:t>Br</w:t>
      </w:r>
      <w:r w:rsidRPr="00FF43D3">
        <w:rPr>
          <w:rFonts w:ascii="Constantia" w:hAnsi="Constantia"/>
          <w:b/>
        </w:rPr>
        <w:t>·</w:t>
      </w:r>
      <w:r w:rsidRPr="00FF43D3">
        <w:rPr>
          <w:b/>
        </w:rPr>
        <w:t>OAc</w:t>
      </w:r>
      <w:r w:rsidRPr="00FF43D3">
        <w:t xml:space="preserve">) </w:t>
      </w:r>
      <w:r w:rsidRPr="00FF43D3">
        <w:rPr>
          <w:i/>
        </w:rPr>
        <w:t>vide supra</w:t>
      </w:r>
      <w:r w:rsidRPr="00FF43D3">
        <w:t>, a closely related sample was prepared by treatment of [Pd</w:t>
      </w:r>
      <w:r w:rsidRPr="00FF43D3">
        <w:rPr>
          <w:vertAlign w:val="subscript"/>
        </w:rPr>
        <w:t>3</w:t>
      </w:r>
      <w:r w:rsidRPr="00FF43D3">
        <w:t>(Cl)(</w:t>
      </w:r>
      <w:r w:rsidRPr="00FF43D3">
        <w:rPr>
          <w:rFonts w:ascii="Times New Roman" w:hAnsi="Times New Roman"/>
        </w:rPr>
        <w:t>µ</w:t>
      </w:r>
      <w:r w:rsidRPr="00FF43D3">
        <w:t>-PPh</w:t>
      </w:r>
      <w:r w:rsidRPr="00FF43D3">
        <w:rPr>
          <w:vertAlign w:val="subscript"/>
        </w:rPr>
        <w:t>2</w:t>
      </w:r>
      <w:r w:rsidRPr="00FF43D3">
        <w:t>)</w:t>
      </w:r>
      <w:r w:rsidRPr="00FF43D3">
        <w:rPr>
          <w:vertAlign w:val="subscript"/>
        </w:rPr>
        <w:t>2</w:t>
      </w:r>
      <w:r w:rsidRPr="00FF43D3">
        <w:t>(PPh</w:t>
      </w:r>
      <w:r w:rsidRPr="00FF43D3">
        <w:rPr>
          <w:vertAlign w:val="subscript"/>
        </w:rPr>
        <w:t>3</w:t>
      </w:r>
      <w:r w:rsidRPr="00FF43D3">
        <w:rPr>
          <w:shd w:val="clear" w:color="auto" w:fill="FFFFFF" w:themeFill="background1"/>
        </w:rPr>
        <w:t>)</w:t>
      </w:r>
      <w:r w:rsidRPr="00FF43D3">
        <w:rPr>
          <w:shd w:val="clear" w:color="auto" w:fill="FFFFFF" w:themeFill="background1"/>
          <w:vertAlign w:val="subscript"/>
        </w:rPr>
        <w:t>3</w:t>
      </w:r>
      <w:r w:rsidRPr="00FF43D3">
        <w:rPr>
          <w:shd w:val="clear" w:color="auto" w:fill="FFFFFF" w:themeFill="background1"/>
        </w:rPr>
        <w:t>]Cl (</w:t>
      </w:r>
      <w:r w:rsidRPr="00FF43D3">
        <w:rPr>
          <w:b/>
          <w:shd w:val="clear" w:color="auto" w:fill="FFFFFF" w:themeFill="background1"/>
        </w:rPr>
        <w:t>Pd</w:t>
      </w:r>
      <w:r w:rsidRPr="00FF43D3">
        <w:rPr>
          <w:b/>
          <w:shd w:val="clear" w:color="auto" w:fill="FFFFFF" w:themeFill="background1"/>
          <w:vertAlign w:val="subscript"/>
        </w:rPr>
        <w:t>3</w:t>
      </w:r>
      <w:r w:rsidRPr="00FF43D3">
        <w:rPr>
          <w:b/>
          <w:shd w:val="clear" w:color="auto" w:fill="FFFFFF" w:themeFill="background1"/>
        </w:rPr>
        <w:t>Cl</w:t>
      </w:r>
      <w:r w:rsidRPr="00FF43D3">
        <w:rPr>
          <w:rFonts w:ascii="Constantia" w:hAnsi="Constantia"/>
          <w:b/>
          <w:shd w:val="clear" w:color="auto" w:fill="FFFFFF" w:themeFill="background1"/>
        </w:rPr>
        <w:t>·</w:t>
      </w:r>
      <w:r w:rsidRPr="00FF43D3">
        <w:rPr>
          <w:b/>
          <w:shd w:val="clear" w:color="auto" w:fill="FFFFFF" w:themeFill="background1"/>
        </w:rPr>
        <w:t>Cl</w:t>
      </w:r>
      <w:r w:rsidRPr="00FF43D3">
        <w:rPr>
          <w:shd w:val="clear" w:color="auto" w:fill="FFFFFF" w:themeFill="background1"/>
        </w:rPr>
        <w:t>)</w:t>
      </w:r>
      <w:r w:rsidRPr="00FF43D3">
        <w:rPr>
          <w:b/>
          <w:shd w:val="clear" w:color="auto" w:fill="FFFFFF" w:themeFill="background1"/>
        </w:rPr>
        <w:t xml:space="preserve"> </w:t>
      </w:r>
      <w:r w:rsidRPr="00FF43D3">
        <w:rPr>
          <w:shd w:val="clear" w:color="auto" w:fill="FFFFFF" w:themeFill="background1"/>
        </w:rPr>
        <w:t>with</w:t>
      </w:r>
      <w:r w:rsidRPr="00FF43D3">
        <w:t xml:space="preserve"> excess KBr in CH</w:t>
      </w:r>
      <w:r w:rsidRPr="00FF43D3">
        <w:rPr>
          <w:vertAlign w:val="subscript"/>
        </w:rPr>
        <w:t>2</w:t>
      </w:r>
      <w:r w:rsidRPr="00FF43D3">
        <w:t>Cl</w:t>
      </w:r>
      <w:r w:rsidRPr="00FF43D3">
        <w:rPr>
          <w:vertAlign w:val="subscript"/>
        </w:rPr>
        <w:t>2</w:t>
      </w:r>
      <w:r w:rsidRPr="00FF43D3">
        <w:t>, giving [Pd</w:t>
      </w:r>
      <w:r w:rsidRPr="00FF43D3">
        <w:rPr>
          <w:vertAlign w:val="subscript"/>
        </w:rPr>
        <w:t>3</w:t>
      </w:r>
      <w:r w:rsidRPr="00FF43D3">
        <w:t>(Br)(</w:t>
      </w:r>
      <w:r w:rsidRPr="00FF43D3">
        <w:rPr>
          <w:rFonts w:ascii="Times New Roman" w:hAnsi="Times New Roman"/>
        </w:rPr>
        <w:t>µ</w:t>
      </w:r>
      <w:r w:rsidRPr="00FF43D3">
        <w:t>-PPh</w:t>
      </w:r>
      <w:r w:rsidRPr="00FF43D3">
        <w:rPr>
          <w:vertAlign w:val="subscript"/>
        </w:rPr>
        <w:t>2</w:t>
      </w:r>
      <w:r w:rsidRPr="00FF43D3">
        <w:t>)</w:t>
      </w:r>
      <w:r w:rsidRPr="00FF43D3">
        <w:rPr>
          <w:vertAlign w:val="subscript"/>
        </w:rPr>
        <w:t>2</w:t>
      </w:r>
      <w:r w:rsidRPr="00FF43D3">
        <w:t>(PPh</w:t>
      </w:r>
      <w:r w:rsidRPr="00FF43D3">
        <w:rPr>
          <w:vertAlign w:val="subscript"/>
        </w:rPr>
        <w:t>3</w:t>
      </w:r>
      <w:r w:rsidRPr="00FF43D3">
        <w:t>)</w:t>
      </w:r>
      <w:r w:rsidRPr="00FF43D3">
        <w:rPr>
          <w:vertAlign w:val="subscript"/>
        </w:rPr>
        <w:t>3</w:t>
      </w:r>
      <w:r w:rsidRPr="00FF43D3">
        <w:t>]Br (</w:t>
      </w:r>
      <w:r w:rsidRPr="00FF43D3">
        <w:rPr>
          <w:b/>
        </w:rPr>
        <w:t>Pd</w:t>
      </w:r>
      <w:r w:rsidRPr="00FF43D3">
        <w:rPr>
          <w:b/>
          <w:vertAlign w:val="subscript"/>
        </w:rPr>
        <w:t>3</w:t>
      </w:r>
      <w:r w:rsidRPr="00FF43D3">
        <w:rPr>
          <w:b/>
        </w:rPr>
        <w:t>Br</w:t>
      </w:r>
      <w:r w:rsidRPr="00FF43D3">
        <w:rPr>
          <w:rFonts w:ascii="Constantia" w:hAnsi="Constantia"/>
          <w:b/>
        </w:rPr>
        <w:t>·</w:t>
      </w:r>
      <w:r w:rsidRPr="00FF43D3">
        <w:rPr>
          <w:b/>
        </w:rPr>
        <w:t>Br</w:t>
      </w:r>
      <w:r w:rsidRPr="00FF43D3">
        <w:t>).</w:t>
      </w:r>
      <w:r w:rsidRPr="00FF43D3">
        <w:rPr>
          <w:vertAlign w:val="superscript"/>
        </w:rPr>
        <w:t>1</w:t>
      </w:r>
      <w:r w:rsidR="00F66AC6" w:rsidRPr="00FF43D3">
        <w:rPr>
          <w:vertAlign w:val="superscript"/>
        </w:rPr>
        <w:t>6</w:t>
      </w:r>
      <w:r w:rsidRPr="00FF43D3">
        <w:t xml:space="preserve"> The latter material possessed identical </w:t>
      </w:r>
      <w:r w:rsidRPr="00FF43D3">
        <w:rPr>
          <w:vertAlign w:val="superscript"/>
        </w:rPr>
        <w:t>31</w:t>
      </w:r>
      <w:r w:rsidRPr="00FF43D3">
        <w:t xml:space="preserve">P NMR and MS data to that seen for </w:t>
      </w:r>
      <w:r w:rsidRPr="00FF43D3">
        <w:rPr>
          <w:b/>
        </w:rPr>
        <w:t>Pd</w:t>
      </w:r>
      <w:r w:rsidRPr="00FF43D3">
        <w:rPr>
          <w:b/>
          <w:vertAlign w:val="subscript"/>
        </w:rPr>
        <w:t>3</w:t>
      </w:r>
      <w:r w:rsidRPr="00FF43D3">
        <w:rPr>
          <w:b/>
        </w:rPr>
        <w:t>Br</w:t>
      </w:r>
      <w:r w:rsidRPr="00FF43D3">
        <w:rPr>
          <w:rFonts w:ascii="Constantia" w:hAnsi="Constantia"/>
          <w:b/>
        </w:rPr>
        <w:t>·</w:t>
      </w:r>
      <w:r w:rsidRPr="00FF43D3">
        <w:rPr>
          <w:b/>
        </w:rPr>
        <w:t xml:space="preserve">OAc </w:t>
      </w:r>
      <w:r w:rsidRPr="00FF43D3">
        <w:t xml:space="preserve">from the reaction of </w:t>
      </w:r>
      <w:r w:rsidRPr="00FF43D3">
        <w:rPr>
          <w:b/>
        </w:rPr>
        <w:t>II</w:t>
      </w:r>
      <w:r w:rsidRPr="00FF43D3">
        <w:t xml:space="preserve"> with 2-bromopyridine </w:t>
      </w:r>
      <w:r w:rsidRPr="00FF43D3">
        <w:rPr>
          <w:b/>
        </w:rPr>
        <w:t>1c</w:t>
      </w:r>
      <w:r w:rsidRPr="00FF43D3">
        <w:t>. A reasonable single crystal X-ray diffraction structure</w:t>
      </w:r>
      <w:r>
        <w:t xml:space="preserve"> for</w:t>
      </w:r>
      <w:r w:rsidRPr="00677E4D">
        <w:t xml:space="preserve"> </w:t>
      </w:r>
      <w:r w:rsidRPr="004E60F1">
        <w:rPr>
          <w:b/>
        </w:rPr>
        <w:t>Pd</w:t>
      </w:r>
      <w:r w:rsidRPr="004E60F1">
        <w:rPr>
          <w:b/>
          <w:vertAlign w:val="subscript"/>
        </w:rPr>
        <w:t>3</w:t>
      </w:r>
      <w:r>
        <w:rPr>
          <w:b/>
        </w:rPr>
        <w:t>Br</w:t>
      </w:r>
      <w:r w:rsidRPr="004E60F1">
        <w:rPr>
          <w:rFonts w:ascii="Constantia" w:hAnsi="Constantia"/>
          <w:b/>
        </w:rPr>
        <w:t>·</w:t>
      </w:r>
      <w:r>
        <w:rPr>
          <w:b/>
        </w:rPr>
        <w:t>Br</w:t>
      </w:r>
      <w:r w:rsidRPr="00677E4D">
        <w:t xml:space="preserve"> was further determined</w:t>
      </w:r>
      <w:r>
        <w:rPr>
          <w:b/>
        </w:rPr>
        <w:t xml:space="preserve"> </w:t>
      </w:r>
      <w:r>
        <w:t xml:space="preserve">(Fig. 5). Whilst a detailed comparison </w:t>
      </w:r>
      <w:r>
        <w:lastRenderedPageBreak/>
        <w:t xml:space="preserve">between </w:t>
      </w:r>
      <w:r w:rsidRPr="004E60F1">
        <w:rPr>
          <w:b/>
        </w:rPr>
        <w:t>Pd</w:t>
      </w:r>
      <w:r w:rsidRPr="004E60F1">
        <w:rPr>
          <w:b/>
          <w:vertAlign w:val="subscript"/>
        </w:rPr>
        <w:t>3</w:t>
      </w:r>
      <w:r>
        <w:rPr>
          <w:b/>
        </w:rPr>
        <w:t>Cl</w:t>
      </w:r>
      <w:r w:rsidRPr="004E60F1">
        <w:rPr>
          <w:rFonts w:ascii="Constantia" w:hAnsi="Constantia"/>
          <w:b/>
        </w:rPr>
        <w:t>·</w:t>
      </w:r>
      <w:r>
        <w:rPr>
          <w:b/>
        </w:rPr>
        <w:t>Cl</w:t>
      </w:r>
      <w:r>
        <w:t xml:space="preserve"> and </w:t>
      </w:r>
      <w:r w:rsidRPr="004E60F1">
        <w:rPr>
          <w:b/>
        </w:rPr>
        <w:t>Pd</w:t>
      </w:r>
      <w:r w:rsidRPr="004E60F1">
        <w:rPr>
          <w:b/>
          <w:vertAlign w:val="subscript"/>
        </w:rPr>
        <w:t>3</w:t>
      </w:r>
      <w:r>
        <w:rPr>
          <w:b/>
        </w:rPr>
        <w:t>Br</w:t>
      </w:r>
      <w:r w:rsidRPr="004E60F1">
        <w:rPr>
          <w:rFonts w:ascii="Constantia" w:hAnsi="Constantia"/>
          <w:b/>
        </w:rPr>
        <w:t>·</w:t>
      </w:r>
      <w:r>
        <w:rPr>
          <w:b/>
        </w:rPr>
        <w:t>Br</w:t>
      </w:r>
      <w:r>
        <w:t xml:space="preserve"> cannot be made (</w:t>
      </w:r>
      <w:r>
        <w:rPr>
          <w:i/>
        </w:rPr>
        <w:t>R</w:t>
      </w:r>
      <w:r>
        <w:rPr>
          <w:vertAlign w:val="subscript"/>
        </w:rPr>
        <w:t>1</w:t>
      </w:r>
      <w:r>
        <w:t xml:space="preserve"> factors for </w:t>
      </w:r>
      <w:r w:rsidRPr="004E60F1">
        <w:rPr>
          <w:b/>
        </w:rPr>
        <w:t>Pd</w:t>
      </w:r>
      <w:r w:rsidRPr="004E60F1">
        <w:rPr>
          <w:b/>
          <w:vertAlign w:val="subscript"/>
        </w:rPr>
        <w:t>3</w:t>
      </w:r>
      <w:r>
        <w:rPr>
          <w:b/>
        </w:rPr>
        <w:t>Cl</w:t>
      </w:r>
      <w:r w:rsidRPr="004E60F1">
        <w:rPr>
          <w:rFonts w:ascii="Constantia" w:hAnsi="Constantia"/>
          <w:b/>
        </w:rPr>
        <w:t>·</w:t>
      </w:r>
      <w:r>
        <w:rPr>
          <w:b/>
        </w:rPr>
        <w:t>Cl</w:t>
      </w:r>
      <w:r>
        <w:t xml:space="preserve"> = 3.58% and </w:t>
      </w:r>
      <w:r w:rsidRPr="004E60F1">
        <w:rPr>
          <w:b/>
        </w:rPr>
        <w:t>Pd</w:t>
      </w:r>
      <w:r w:rsidRPr="004E60F1">
        <w:rPr>
          <w:b/>
          <w:vertAlign w:val="subscript"/>
        </w:rPr>
        <w:t>3</w:t>
      </w:r>
      <w:r>
        <w:rPr>
          <w:b/>
        </w:rPr>
        <w:t>Br</w:t>
      </w:r>
      <w:r w:rsidRPr="004E60F1">
        <w:rPr>
          <w:rFonts w:ascii="Constantia" w:hAnsi="Constantia"/>
          <w:b/>
        </w:rPr>
        <w:t>·</w:t>
      </w:r>
      <w:r>
        <w:rPr>
          <w:b/>
        </w:rPr>
        <w:t>Br</w:t>
      </w:r>
      <w:r>
        <w:t xml:space="preserve"> = 7.04%), there are striking structural differences that necessitate additional comment. The cyclic 6-membered ‘Pd-P-Pd-Cl-Pd-P’ fragment is essentially flat in </w:t>
      </w:r>
      <w:r w:rsidRPr="004E60F1">
        <w:rPr>
          <w:b/>
        </w:rPr>
        <w:t>Pd</w:t>
      </w:r>
      <w:r w:rsidRPr="004E60F1">
        <w:rPr>
          <w:b/>
          <w:vertAlign w:val="subscript"/>
        </w:rPr>
        <w:t>3</w:t>
      </w:r>
      <w:r>
        <w:rPr>
          <w:b/>
        </w:rPr>
        <w:t>Cl</w:t>
      </w:r>
      <w:r w:rsidRPr="004E60F1">
        <w:rPr>
          <w:rFonts w:ascii="Constantia" w:hAnsi="Constantia"/>
          <w:b/>
        </w:rPr>
        <w:t>·</w:t>
      </w:r>
      <w:r>
        <w:rPr>
          <w:b/>
        </w:rPr>
        <w:t>Cl</w:t>
      </w:r>
      <w:r>
        <w:t>, leaving the second chloride anion as non-</w:t>
      </w:r>
      <w:r>
        <w:t xml:space="preserve">coordinating.  However, in </w:t>
      </w:r>
      <w:r w:rsidRPr="004E60F1">
        <w:rPr>
          <w:b/>
        </w:rPr>
        <w:t>Pd</w:t>
      </w:r>
      <w:r w:rsidRPr="004E60F1">
        <w:rPr>
          <w:b/>
          <w:vertAlign w:val="subscript"/>
        </w:rPr>
        <w:t>3</w:t>
      </w:r>
      <w:r>
        <w:rPr>
          <w:b/>
        </w:rPr>
        <w:t>Br</w:t>
      </w:r>
      <w:r w:rsidRPr="004E60F1">
        <w:rPr>
          <w:rFonts w:ascii="Constantia" w:hAnsi="Constantia"/>
          <w:b/>
        </w:rPr>
        <w:t>·</w:t>
      </w:r>
      <w:r>
        <w:rPr>
          <w:b/>
        </w:rPr>
        <w:t>Br</w:t>
      </w:r>
      <w:r>
        <w:t xml:space="preserve"> we see something quite different – the cyclic 6-membered ‘Pd-P-Pd-Br-Pd-P’ fragment is highly twisted, which is associated with an interacting second bromide anion.</w:t>
      </w:r>
    </w:p>
    <w:p w14:paraId="086E2940" w14:textId="269016BB" w:rsidR="00CD037D" w:rsidRDefault="00CD037D" w:rsidP="006F7434">
      <w:pPr>
        <w:pStyle w:val="RSCB02ArticleText"/>
      </w:pPr>
    </w:p>
    <w:p w14:paraId="36EBB058" w14:textId="77777777" w:rsidR="00CD037D" w:rsidRDefault="00CD037D" w:rsidP="006F7434">
      <w:pPr>
        <w:pStyle w:val="RSCB02ArticleText"/>
        <w:sectPr w:rsidR="00CD037D" w:rsidSect="00514CBA">
          <w:type w:val="continuous"/>
          <w:pgSz w:w="11907" w:h="16840" w:code="9"/>
          <w:pgMar w:top="1009" w:right="851" w:bottom="1758" w:left="851" w:header="851" w:footer="1049" w:gutter="0"/>
          <w:cols w:num="2" w:space="227"/>
          <w:titlePg/>
          <w:docGrid w:linePitch="360"/>
        </w:sectPr>
      </w:pPr>
    </w:p>
    <w:p w14:paraId="146C1DCC" w14:textId="77777777" w:rsidR="00CD037D" w:rsidRPr="00A86EAE" w:rsidRDefault="00CD037D" w:rsidP="00CD037D">
      <w:r w:rsidRPr="00A86EAE">
        <w:rPr>
          <w:noProof/>
          <w:lang w:eastAsia="en-GB"/>
        </w:rPr>
        <w:drawing>
          <wp:inline distT="0" distB="0" distL="0" distR="0" wp14:anchorId="6ADE2186" wp14:editId="66B90CDC">
            <wp:extent cx="6383020" cy="7110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3020" cy="7110095"/>
                    </a:xfrm>
                    <a:prstGeom prst="rect">
                      <a:avLst/>
                    </a:prstGeom>
                    <a:noFill/>
                    <a:ln>
                      <a:noFill/>
                    </a:ln>
                  </pic:spPr>
                </pic:pic>
              </a:graphicData>
            </a:graphic>
          </wp:inline>
        </w:drawing>
      </w:r>
    </w:p>
    <w:p w14:paraId="12BFD794" w14:textId="480C473C" w:rsidR="00134930" w:rsidRPr="00A86EAE" w:rsidRDefault="00CD037D" w:rsidP="00CD037D">
      <w:pPr>
        <w:pStyle w:val="RSCI04CaptiontoFigureSchemeChart"/>
        <w:sectPr w:rsidR="00134930" w:rsidRPr="00A86EAE" w:rsidSect="00CD037D">
          <w:type w:val="continuous"/>
          <w:pgSz w:w="11907" w:h="16840" w:code="9"/>
          <w:pgMar w:top="1009" w:right="851" w:bottom="1758" w:left="851" w:header="851" w:footer="1049" w:gutter="0"/>
          <w:cols w:space="227"/>
          <w:titlePg/>
          <w:docGrid w:linePitch="360"/>
        </w:sectPr>
      </w:pPr>
      <w:r w:rsidRPr="00A86EAE">
        <w:t>Figure 4 Reactions of dinuclear PdI complex II with organohalides (</w:t>
      </w:r>
      <w:r w:rsidRPr="002E2584">
        <w:rPr>
          <w:b/>
          <w:bCs w:val="0"/>
        </w:rPr>
        <w:t>1a-c</w:t>
      </w:r>
      <w:r w:rsidRPr="00A86EAE">
        <w:t>), leading to formation of Pd</w:t>
      </w:r>
      <w:r w:rsidRPr="002E2584">
        <w:rPr>
          <w:vertAlign w:val="subscript"/>
        </w:rPr>
        <w:t>3</w:t>
      </w:r>
      <w:r w:rsidRPr="00A86EAE">
        <w:t xml:space="preserve"> clusters Pd</w:t>
      </w:r>
      <w:r w:rsidRPr="002E2584">
        <w:rPr>
          <w:vertAlign w:val="subscript"/>
        </w:rPr>
        <w:t>3</w:t>
      </w:r>
      <w:r w:rsidRPr="00A86EAE">
        <w:t>X•OAc. The X anions</w:t>
      </w:r>
      <w:r w:rsidR="00650AC9">
        <w:t xml:space="preserve"> in these clusters</w:t>
      </w:r>
      <w:r w:rsidRPr="00A86EAE">
        <w:t xml:space="preserve"> are likely acetate (mass balance is formally correct using acetate for all Pd species formed), although mixtures of different anions cannot be ruled out for species generated in situ. The MS ions are all observed by ESI (+ve mode) as molecular cations, the data for which is presented (real – in blue; simulated – in red). The </w:t>
      </w:r>
      <w:r w:rsidRPr="002E2584">
        <w:rPr>
          <w:vertAlign w:val="superscript"/>
        </w:rPr>
        <w:t>31</w:t>
      </w:r>
      <w:r w:rsidRPr="00A86EAE">
        <w:t>P{</w:t>
      </w:r>
      <w:r w:rsidRPr="002E2584">
        <w:rPr>
          <w:vertAlign w:val="superscript"/>
        </w:rPr>
        <w:t>1</w:t>
      </w:r>
      <w:r w:rsidRPr="00A86EAE">
        <w:t>H} NMR spectrum for species generated from the reaction of 2-bromopyridine 1c with II illustrates the formation of Pd</w:t>
      </w:r>
      <w:r w:rsidRPr="002E2584">
        <w:rPr>
          <w:vertAlign w:val="subscript"/>
        </w:rPr>
        <w:t>3</w:t>
      </w:r>
      <w:r w:rsidRPr="00A86EAE">
        <w:t xml:space="preserve">Br•OAc and species </w:t>
      </w:r>
      <w:r w:rsidRPr="002E2584">
        <w:rPr>
          <w:b/>
          <w:bCs w:val="0"/>
        </w:rPr>
        <w:t>4a-c</w:t>
      </w:r>
      <w:r w:rsidRPr="00A86EAE">
        <w:t xml:space="preserve"> (note a cut // in the 31P NMR spectrum is made between 40 and 190 ppm, due to the wide spectral range, for ease of viewing – full </w:t>
      </w:r>
      <w:r w:rsidRPr="00134930">
        <w:rPr>
          <w:vertAlign w:val="superscript"/>
        </w:rPr>
        <w:t>31</w:t>
      </w:r>
      <w:r w:rsidRPr="00A86EAE">
        <w:t>P NMR spectra are shown in the Supporting Information)</w:t>
      </w:r>
      <w:r w:rsidR="004B74A9">
        <w:t>.</w:t>
      </w:r>
    </w:p>
    <w:p w14:paraId="3E917764" w14:textId="127DEC09" w:rsidR="00CD037D" w:rsidRDefault="00CD037D" w:rsidP="006F7434">
      <w:pPr>
        <w:pStyle w:val="RSCB02ArticleText"/>
        <w:sectPr w:rsidR="00CD037D" w:rsidSect="004B74A9">
          <w:type w:val="continuous"/>
          <w:pgSz w:w="11907" w:h="16840" w:code="9"/>
          <w:pgMar w:top="488" w:right="851" w:bottom="1758" w:left="851" w:header="851" w:footer="1049" w:gutter="0"/>
          <w:cols w:space="227"/>
          <w:titlePg/>
          <w:docGrid w:linePitch="360"/>
        </w:sectPr>
      </w:pPr>
    </w:p>
    <w:p w14:paraId="45F916FC" w14:textId="6B116F02" w:rsidR="006F7434" w:rsidRDefault="006F7434" w:rsidP="006F7434">
      <w:pPr>
        <w:pStyle w:val="RSCB02ArticleText"/>
      </w:pPr>
      <w:r>
        <w:lastRenderedPageBreak/>
        <w:t>It is tempting to draw an analogy here to a bromonium ion interacting with a bromide anion (</w:t>
      </w:r>
      <w:r>
        <w:rPr>
          <w:i/>
        </w:rPr>
        <w:t>i.e.</w:t>
      </w:r>
      <w:r>
        <w:t xml:space="preserve"> reactions of alkenes with bromide proceeding via bromonium ion intermediates). The structural differences between </w:t>
      </w:r>
      <w:r w:rsidRPr="004E60F1">
        <w:rPr>
          <w:b/>
        </w:rPr>
        <w:t>Pd</w:t>
      </w:r>
      <w:r w:rsidRPr="004E60F1">
        <w:rPr>
          <w:b/>
          <w:vertAlign w:val="subscript"/>
        </w:rPr>
        <w:t>3</w:t>
      </w:r>
      <w:r>
        <w:rPr>
          <w:b/>
        </w:rPr>
        <w:t>Cl</w:t>
      </w:r>
      <w:r w:rsidRPr="004E60F1">
        <w:rPr>
          <w:rFonts w:ascii="Constantia" w:hAnsi="Constantia"/>
          <w:b/>
        </w:rPr>
        <w:t>·</w:t>
      </w:r>
      <w:r>
        <w:rPr>
          <w:b/>
        </w:rPr>
        <w:t>Cl</w:t>
      </w:r>
      <w:r>
        <w:t xml:space="preserve"> and </w:t>
      </w:r>
      <w:r w:rsidRPr="004E60F1">
        <w:rPr>
          <w:b/>
        </w:rPr>
        <w:t>Pd</w:t>
      </w:r>
      <w:r w:rsidRPr="004E60F1">
        <w:rPr>
          <w:b/>
          <w:vertAlign w:val="subscript"/>
        </w:rPr>
        <w:t>3</w:t>
      </w:r>
      <w:r>
        <w:rPr>
          <w:b/>
        </w:rPr>
        <w:t>Br</w:t>
      </w:r>
      <w:r w:rsidRPr="004E60F1">
        <w:rPr>
          <w:rFonts w:ascii="Constantia" w:hAnsi="Constantia"/>
          <w:b/>
        </w:rPr>
        <w:t>·</w:t>
      </w:r>
      <w:r>
        <w:rPr>
          <w:b/>
        </w:rPr>
        <w:t>Br</w:t>
      </w:r>
      <w:r>
        <w:t xml:space="preserve"> suggest that they could be distinctly different in how they operate in catalysis.</w:t>
      </w:r>
    </w:p>
    <w:p w14:paraId="16DC9691" w14:textId="2788EF73" w:rsidR="00CC489E" w:rsidRDefault="00CC489E" w:rsidP="006F7434">
      <w:pPr>
        <w:pStyle w:val="RSCB02ArticleText"/>
      </w:pPr>
    </w:p>
    <w:p w14:paraId="2E6452F2" w14:textId="508B5677" w:rsidR="00A108BF" w:rsidRPr="002E2584" w:rsidRDefault="00CC489E" w:rsidP="006F7434">
      <w:pPr>
        <w:pStyle w:val="RSCB02ArticleText"/>
        <w:rPr>
          <w:vertAlign w:val="superscript"/>
        </w:rPr>
      </w:pPr>
      <w:r>
        <w:t xml:space="preserve">The relevance of our findings concerning reaction of </w:t>
      </w:r>
      <w:r>
        <w:rPr>
          <w:b/>
          <w:bCs/>
        </w:rPr>
        <w:t>II</w:t>
      </w:r>
      <w:r>
        <w:t xml:space="preserve"> with organohalides </w:t>
      </w:r>
      <w:r w:rsidR="009B617F">
        <w:t>requires</w:t>
      </w:r>
      <w:r>
        <w:t xml:space="preserve"> contextualis</w:t>
      </w:r>
      <w:r w:rsidR="009B617F">
        <w:t>ation</w:t>
      </w:r>
      <w:r>
        <w:t xml:space="preserve"> with the </w:t>
      </w:r>
      <w:r w:rsidR="009B617F">
        <w:t xml:space="preserve">results recently reported </w:t>
      </w:r>
      <w:r>
        <w:t>by Schoenebeck</w:t>
      </w:r>
      <w:r w:rsidR="009B617F">
        <w:t xml:space="preserve"> and co-workers.</w:t>
      </w:r>
      <w:r w:rsidR="009B617F">
        <w:rPr>
          <w:vertAlign w:val="superscript"/>
        </w:rPr>
        <w:t>17</w:t>
      </w:r>
      <w:r w:rsidR="009B617F">
        <w:t xml:space="preserve"> </w:t>
      </w:r>
      <w:r>
        <w:t xml:space="preserve"> </w:t>
      </w:r>
      <w:r w:rsidR="009B617F">
        <w:t>It has been shown that [Pd(</w:t>
      </w:r>
      <w:r w:rsidR="009B617F">
        <w:rPr>
          <w:rFonts w:cstheme="minorHAnsi"/>
        </w:rPr>
        <w:t>µ</w:t>
      </w:r>
      <w:r w:rsidR="009B617F">
        <w:t>-I)P</w:t>
      </w:r>
      <w:r w:rsidR="004B74A9">
        <w:t>(</w:t>
      </w:r>
      <w:r w:rsidR="009B617F">
        <w:t>t</w:t>
      </w:r>
      <w:r w:rsidR="004B74A9">
        <w:t>-</w:t>
      </w:r>
      <w:r w:rsidR="009B617F">
        <w:t>Bu)</w:t>
      </w:r>
      <w:r w:rsidR="009B617F">
        <w:rPr>
          <w:vertAlign w:val="subscript"/>
        </w:rPr>
        <w:t>3</w:t>
      </w:r>
      <w:r w:rsidR="009B617F">
        <w:t>]</w:t>
      </w:r>
      <w:r w:rsidR="009B617F" w:rsidRPr="009B617F">
        <w:rPr>
          <w:vertAlign w:val="subscript"/>
        </w:rPr>
        <w:t>2</w:t>
      </w:r>
      <w:r w:rsidR="009B617F">
        <w:t xml:space="preserve"> reacts with PHPh</w:t>
      </w:r>
      <w:r w:rsidR="009B617F" w:rsidRPr="009B617F">
        <w:rPr>
          <w:vertAlign w:val="subscript"/>
        </w:rPr>
        <w:t>2</w:t>
      </w:r>
      <w:r w:rsidR="009B617F">
        <w:t xml:space="preserve"> (slight excess relative to the Pd</w:t>
      </w:r>
      <w:r w:rsidR="009B617F">
        <w:rPr>
          <w:vertAlign w:val="superscript"/>
        </w:rPr>
        <w:t>I</w:t>
      </w:r>
      <w:r w:rsidR="009B617F">
        <w:t xml:space="preserve"> dimer) in toluene at room temperature to give a Pd</w:t>
      </w:r>
      <w:r w:rsidR="009B617F">
        <w:rPr>
          <w:vertAlign w:val="subscript"/>
        </w:rPr>
        <w:t>3</w:t>
      </w:r>
      <w:r w:rsidR="009B617F">
        <w:t xml:space="preserve"> cluster</w:t>
      </w:r>
      <w:r w:rsidR="00A108BF">
        <w:t xml:space="preserve"> containing three bridging phosphide ligands</w:t>
      </w:r>
      <w:r w:rsidR="009B617F">
        <w:t xml:space="preserve"> (</w:t>
      </w:r>
      <w:r w:rsidR="00134930">
        <w:t>Fig. 6</w:t>
      </w:r>
      <w:r w:rsidR="00A108BF">
        <w:t xml:space="preserve">). </w:t>
      </w:r>
      <w:r w:rsidR="004B74A9">
        <w:t>Subsequent reaction with an aryl halide then delivers a Pd</w:t>
      </w:r>
      <w:r w:rsidR="004B74A9">
        <w:rPr>
          <w:vertAlign w:val="subscript"/>
        </w:rPr>
        <w:t>3</w:t>
      </w:r>
      <w:r w:rsidR="004B74A9">
        <w:t xml:space="preserve">-type cluster containing a bridging iodide ligand, similar to the </w:t>
      </w:r>
      <w:r w:rsidR="004B74A9" w:rsidRPr="00A108BF">
        <w:rPr>
          <w:b/>
          <w:bCs/>
        </w:rPr>
        <w:t>Pd</w:t>
      </w:r>
      <w:r w:rsidR="004B74A9" w:rsidRPr="00A108BF">
        <w:rPr>
          <w:b/>
          <w:bCs/>
          <w:vertAlign w:val="subscript"/>
        </w:rPr>
        <w:t>3</w:t>
      </w:r>
      <w:r w:rsidR="004B74A9" w:rsidRPr="00A108BF">
        <w:rPr>
          <w:b/>
          <w:bCs/>
        </w:rPr>
        <w:t>X.X</w:t>
      </w:r>
      <w:r w:rsidR="004B74A9">
        <w:t xml:space="preserve"> clusters </w:t>
      </w:r>
      <w:r w:rsidR="004B74A9">
        <w:rPr>
          <w:i/>
          <w:iCs/>
        </w:rPr>
        <w:t>vide supra</w:t>
      </w:r>
      <w:r w:rsidR="004B74A9">
        <w:t>. The pathways to these Pd</w:t>
      </w:r>
      <w:r w:rsidR="004B74A9" w:rsidRPr="00A108BF">
        <w:rPr>
          <w:vertAlign w:val="subscript"/>
        </w:rPr>
        <w:t>3</w:t>
      </w:r>
      <w:r w:rsidR="004B74A9">
        <w:t xml:space="preserve"> clusters are not the same.  Complex </w:t>
      </w:r>
      <w:r w:rsidR="004B74A9">
        <w:rPr>
          <w:b/>
          <w:bCs/>
        </w:rPr>
        <w:t>II</w:t>
      </w:r>
      <w:r w:rsidR="004B74A9">
        <w:t xml:space="preserve"> reacts directly with organohalides to give </w:t>
      </w:r>
      <w:r w:rsidR="004B74A9" w:rsidRPr="00A108BF">
        <w:rPr>
          <w:b/>
          <w:bCs/>
        </w:rPr>
        <w:t>Pd</w:t>
      </w:r>
      <w:r w:rsidR="004B74A9" w:rsidRPr="00A108BF">
        <w:rPr>
          <w:b/>
          <w:bCs/>
          <w:vertAlign w:val="subscript"/>
        </w:rPr>
        <w:t>3</w:t>
      </w:r>
      <w:r w:rsidR="004B74A9" w:rsidRPr="00A108BF">
        <w:rPr>
          <w:b/>
          <w:bCs/>
        </w:rPr>
        <w:t>X.X</w:t>
      </w:r>
      <w:r w:rsidR="004B74A9">
        <w:t xml:space="preserve"> clusters (where X = Cl, Br or I),</w:t>
      </w:r>
      <w:r w:rsidR="004B74A9">
        <w:rPr>
          <w:i/>
          <w:iCs/>
        </w:rPr>
        <w:t xml:space="preserve"> i.e.</w:t>
      </w:r>
      <w:r w:rsidR="004B74A9">
        <w:t xml:space="preserve"> additional phosphine is not necessary at this point. Indeed, if additional PPh</w:t>
      </w:r>
      <w:r w:rsidR="004B74A9">
        <w:rPr>
          <w:vertAlign w:val="subscript"/>
        </w:rPr>
        <w:t>3</w:t>
      </w:r>
      <w:r w:rsidR="004B74A9">
        <w:t xml:space="preserve"> (2 equiv.) is reacted with </w:t>
      </w:r>
      <w:r w:rsidR="004B74A9">
        <w:rPr>
          <w:b/>
          <w:bCs/>
        </w:rPr>
        <w:t>II</w:t>
      </w:r>
      <w:r w:rsidR="004B74A9">
        <w:t xml:space="preserve"> (1 equiv.) in THF at room temperature we see the generation of Pd(PPh</w:t>
      </w:r>
      <w:r w:rsidR="004B74A9">
        <w:rPr>
          <w:vertAlign w:val="subscript"/>
        </w:rPr>
        <w:t>3</w:t>
      </w:r>
      <w:r w:rsidR="004B74A9">
        <w:t>)</w:t>
      </w:r>
      <w:r w:rsidR="004B74A9">
        <w:rPr>
          <w:vertAlign w:val="subscript"/>
        </w:rPr>
        <w:t>n</w:t>
      </w:r>
      <w:r w:rsidR="004B74A9">
        <w:t xml:space="preserve"> species (where n = 3, this species was detected by LIFDI-MS, see ESI). This finding is in</w:t>
      </w:r>
      <w:r w:rsidR="00232816">
        <w:t>-</w:t>
      </w:r>
      <w:r w:rsidR="004B74A9">
        <w:t>keeping with what was observed when Pd</w:t>
      </w:r>
      <w:r w:rsidR="004B74A9" w:rsidRPr="00A108BF">
        <w:rPr>
          <w:vertAlign w:val="subscript"/>
        </w:rPr>
        <w:t>3</w:t>
      </w:r>
      <w:r w:rsidR="004B74A9">
        <w:t>(OAc)</w:t>
      </w:r>
      <w:r w:rsidR="004B74A9">
        <w:rPr>
          <w:vertAlign w:val="subscript"/>
        </w:rPr>
        <w:t>6</w:t>
      </w:r>
      <w:r w:rsidR="004B74A9">
        <w:t xml:space="preserve"> was reacted with nine equivalents of PPh</w:t>
      </w:r>
      <w:r w:rsidR="004B74A9">
        <w:rPr>
          <w:vertAlign w:val="subscript"/>
        </w:rPr>
        <w:t>3</w:t>
      </w:r>
      <w:r w:rsidR="004B74A9">
        <w:t xml:space="preserve"> (</w:t>
      </w:r>
      <w:r w:rsidR="004B74A9">
        <w:rPr>
          <w:i/>
          <w:iCs/>
        </w:rPr>
        <w:t xml:space="preserve">i.e. </w:t>
      </w:r>
      <w:r w:rsidR="004B74A9">
        <w:t>Pd/PPh</w:t>
      </w:r>
      <w:r w:rsidR="004B74A9" w:rsidRPr="00A108BF">
        <w:rPr>
          <w:vertAlign w:val="subscript"/>
        </w:rPr>
        <w:t>3</w:t>
      </w:r>
      <w:r w:rsidR="004B74A9">
        <w:t xml:space="preserve"> ratio of 1:3, Fig. 2). </w:t>
      </w:r>
      <w:r w:rsidR="004F62CD" w:rsidRPr="004F62CD">
        <w:t xml:space="preserve"> </w:t>
      </w:r>
      <w:r w:rsidR="004F62CD">
        <w:t>We expect that Pd</w:t>
      </w:r>
      <w:r w:rsidR="004F62CD" w:rsidRPr="002E2584">
        <w:rPr>
          <w:vertAlign w:val="superscript"/>
        </w:rPr>
        <w:t>0</w:t>
      </w:r>
      <w:r w:rsidR="004F62CD">
        <w:t xml:space="preserve"> complexes are generated from disproportionation of the Pd</w:t>
      </w:r>
      <w:r w:rsidR="004F62CD" w:rsidRPr="002E2584">
        <w:rPr>
          <w:vertAlign w:val="superscript"/>
        </w:rPr>
        <w:t>I</w:t>
      </w:r>
      <w:r w:rsidR="004F62CD">
        <w:t xml:space="preserve"> dinuclear complex </w:t>
      </w:r>
      <w:r w:rsidR="004F62CD">
        <w:rPr>
          <w:b/>
          <w:bCs/>
        </w:rPr>
        <w:t>II</w:t>
      </w:r>
      <w:r w:rsidR="004F62CD">
        <w:t>, upon addition of PR</w:t>
      </w:r>
      <w:r w:rsidR="004F62CD" w:rsidRPr="002E2584">
        <w:rPr>
          <w:vertAlign w:val="subscript"/>
        </w:rPr>
        <w:t>3</w:t>
      </w:r>
      <w:r w:rsidR="004F62CD">
        <w:t>, akin to the observations reported by Schoenebeck and Colacot.</w:t>
      </w:r>
      <w:r w:rsidR="004F62CD">
        <w:rPr>
          <w:vertAlign w:val="superscript"/>
        </w:rPr>
        <w:t>10b</w:t>
      </w:r>
    </w:p>
    <w:p w14:paraId="6D145D08" w14:textId="77777777" w:rsidR="00A108BF" w:rsidRDefault="00A108BF" w:rsidP="006F7434">
      <w:pPr>
        <w:pStyle w:val="RSCB02ArticleText"/>
      </w:pPr>
    </w:p>
    <w:p w14:paraId="17EAF888" w14:textId="3B082CEB" w:rsidR="00A108BF" w:rsidRDefault="00134930" w:rsidP="00134930">
      <w:pPr>
        <w:pStyle w:val="RSCI02FigureSchemeChartwithtopbar"/>
      </w:pPr>
      <w:r w:rsidRPr="00134930">
        <w:object w:dxaOrig="6741" w:dyaOrig="4279" w14:anchorId="321FAE60">
          <v:shape id="_x0000_i1026" type="#_x0000_t75" style="width:249.4pt;height:158.3pt" o:ole="">
            <v:imagedata r:id="rId24" o:title=""/>
          </v:shape>
          <o:OLEObject Type="Embed" ProgID="ChemDraw.Document.6.0" ShapeID="_x0000_i1026" DrawAspect="Content" ObjectID="_1622210936" r:id="rId25"/>
        </w:object>
      </w:r>
    </w:p>
    <w:p w14:paraId="7D655EAE" w14:textId="6B757495" w:rsidR="00134930" w:rsidRDefault="00134930" w:rsidP="004B74A9">
      <w:pPr>
        <w:pStyle w:val="RSCI04CaptiontoFigureSchemeChart"/>
      </w:pPr>
      <w:r>
        <w:t>Figure 6. Schoenebeck’s findings</w:t>
      </w:r>
      <w:r w:rsidR="004B74A9">
        <w:rPr>
          <w:vertAlign w:val="superscript"/>
        </w:rPr>
        <w:t>17</w:t>
      </w:r>
      <w:r>
        <w:t xml:space="preserve"> on the formation of a Pd</w:t>
      </w:r>
      <w:r>
        <w:rPr>
          <w:vertAlign w:val="subscript"/>
        </w:rPr>
        <w:t>3</w:t>
      </w:r>
      <w:r>
        <w:t>-type cluster from a</w:t>
      </w:r>
      <w:r w:rsidR="004B74A9">
        <w:t>n electron-rich</w:t>
      </w:r>
      <w:r>
        <w:t xml:space="preserve"> Pd</w:t>
      </w:r>
      <w:r>
        <w:rPr>
          <w:vertAlign w:val="superscript"/>
        </w:rPr>
        <w:t xml:space="preserve">I </w:t>
      </w:r>
      <w:r>
        <w:t>dimer</w:t>
      </w:r>
      <w:r w:rsidR="004B74A9">
        <w:t xml:space="preserve"> species</w:t>
      </w:r>
      <w:r>
        <w:t>.</w:t>
      </w:r>
    </w:p>
    <w:p w14:paraId="14067ABB" w14:textId="77777777" w:rsidR="004B74A9" w:rsidRPr="00134930" w:rsidRDefault="004B74A9" w:rsidP="004B74A9">
      <w:pPr>
        <w:pStyle w:val="RSCI01FigureSchemeChartwithbottombar"/>
      </w:pPr>
    </w:p>
    <w:p w14:paraId="50A66C1A" w14:textId="585FFAAC" w:rsidR="00CD037D" w:rsidRDefault="00CD037D" w:rsidP="006F7434">
      <w:pPr>
        <w:pStyle w:val="RSCB02ArticleText"/>
      </w:pPr>
    </w:p>
    <w:p w14:paraId="7FF392FE" w14:textId="26959329" w:rsidR="006F7434" w:rsidRDefault="006F7434" w:rsidP="006F7434">
      <w:pPr>
        <w:pStyle w:val="RSCB02ArticleText"/>
      </w:pPr>
      <w:r>
        <w:rPr>
          <w:b/>
        </w:rPr>
        <w:t>I</w:t>
      </w:r>
      <w:r w:rsidRPr="00075387">
        <w:rPr>
          <w:b/>
        </w:rPr>
        <w:t>mportance of our findings in an exemplar SMCC reaction:</w:t>
      </w:r>
      <w:r>
        <w:t xml:space="preserve"> To better understand the importance of the ‘Pd(OAc)</w:t>
      </w:r>
      <w:r>
        <w:rPr>
          <w:vertAlign w:val="subscript"/>
        </w:rPr>
        <w:t>2</w:t>
      </w:r>
      <w:r>
        <w:t>’/nPPh</w:t>
      </w:r>
      <w:r>
        <w:rPr>
          <w:vertAlign w:val="subscript"/>
        </w:rPr>
        <w:t>3</w:t>
      </w:r>
      <w:r>
        <w:t xml:space="preserve"> ratio in catalysis, the cross-coupling of 2-bromopyridine </w:t>
      </w:r>
      <w:r>
        <w:rPr>
          <w:b/>
        </w:rPr>
        <w:t xml:space="preserve">1c </w:t>
      </w:r>
      <w:r>
        <w:t xml:space="preserve">with </w:t>
      </w:r>
      <w:r w:rsidRPr="00BF791E">
        <w:rPr>
          <w:i/>
        </w:rPr>
        <w:t>p</w:t>
      </w:r>
      <w:r>
        <w:t xml:space="preserve">-fluorophenylboronic acid </w:t>
      </w:r>
      <w:r>
        <w:rPr>
          <w:b/>
        </w:rPr>
        <w:t xml:space="preserve">2 </w:t>
      </w:r>
      <w:r>
        <w:t xml:space="preserve">to give 2-arylpyridine </w:t>
      </w:r>
      <w:r>
        <w:rPr>
          <w:b/>
        </w:rPr>
        <w:t xml:space="preserve">3 </w:t>
      </w:r>
      <w:r>
        <w:t>was examined,</w:t>
      </w:r>
      <w:r w:rsidRPr="00FE160F">
        <w:rPr>
          <w:vertAlign w:val="superscript"/>
        </w:rPr>
        <w:t>6b</w:t>
      </w:r>
      <w:r>
        <w:t xml:space="preserve"> using 1M </w:t>
      </w:r>
      <w:r w:rsidRPr="00616D33">
        <w:rPr>
          <w:i/>
        </w:rPr>
        <w:t>n</w:t>
      </w:r>
      <w:r>
        <w:t>-Bu</w:t>
      </w:r>
      <w:r>
        <w:rPr>
          <w:vertAlign w:val="subscript"/>
        </w:rPr>
        <w:t>4</w:t>
      </w:r>
      <w:r>
        <w:t xml:space="preserve">NOH as the base, in a THF/water mixture (1:1, </w:t>
      </w:r>
      <w:r w:rsidRPr="007607F5">
        <w:rPr>
          <w:i/>
        </w:rPr>
        <w:t>v</w:t>
      </w:r>
      <w:r>
        <w:t>/</w:t>
      </w:r>
      <w:r w:rsidRPr="007607F5">
        <w:rPr>
          <w:i/>
        </w:rPr>
        <w:t>v</w:t>
      </w:r>
      <w:r>
        <w:t xml:space="preserve">) at </w:t>
      </w:r>
      <w:r w:rsidRPr="00027FBF">
        <w:t>40</w:t>
      </w:r>
      <w:r>
        <w:t xml:space="preserve"> </w:t>
      </w:r>
      <w:r>
        <w:rPr>
          <w:rFonts w:ascii="Times New Roman" w:hAnsi="Times New Roman"/>
        </w:rPr>
        <w:t>º</w:t>
      </w:r>
      <w:r>
        <w:t xml:space="preserve">C. We carefully selected 1M </w:t>
      </w:r>
      <w:r w:rsidRPr="00616D33">
        <w:rPr>
          <w:i/>
        </w:rPr>
        <w:t>n</w:t>
      </w:r>
      <w:r>
        <w:t>-Bu</w:t>
      </w:r>
      <w:r>
        <w:rPr>
          <w:vertAlign w:val="subscript"/>
        </w:rPr>
        <w:t>4</w:t>
      </w:r>
      <w:r>
        <w:t xml:space="preserve">NOH as the base, drawing on the recent findings concerning the importance of both the hydroxide anion and cation-type in </w:t>
      </w:r>
      <w:r w:rsidRPr="00FF43D3">
        <w:t>SMCCs.</w:t>
      </w:r>
      <w:r w:rsidRPr="00FF43D3">
        <w:rPr>
          <w:vertAlign w:val="superscript"/>
        </w:rPr>
        <w:t>1</w:t>
      </w:r>
      <w:r w:rsidR="006602D5" w:rsidRPr="00FF43D3">
        <w:rPr>
          <w:vertAlign w:val="superscript"/>
        </w:rPr>
        <w:t>8</w:t>
      </w:r>
      <w:r w:rsidRPr="00FF43D3">
        <w:t xml:space="preserve"> Als</w:t>
      </w:r>
      <w:r>
        <w:t xml:space="preserve">o pertinent to mention is that our SMCC reaction is </w:t>
      </w:r>
      <w:r>
        <w:t xml:space="preserve">homogeneous, </w:t>
      </w:r>
      <w:r w:rsidRPr="00047225">
        <w:rPr>
          <w:i/>
        </w:rPr>
        <w:t>i.e.</w:t>
      </w:r>
      <w:r>
        <w:t xml:space="preserve"> not biphasic, simplifying the discussion concerning which phase the Pd catalyst and organoboron species reside in. Furthermore, operationally NMR spectroscopic analysis </w:t>
      </w:r>
      <w:r w:rsidRPr="00DF0B5A">
        <w:rPr>
          <w:i/>
        </w:rPr>
        <w:t>in operando</w:t>
      </w:r>
      <w:r>
        <w:t xml:space="preserve"> was made feasible by use of aqueous </w:t>
      </w:r>
      <w:r w:rsidRPr="00616D33">
        <w:rPr>
          <w:i/>
        </w:rPr>
        <w:t>n</w:t>
      </w:r>
      <w:r>
        <w:t>-Bu</w:t>
      </w:r>
      <w:r>
        <w:rPr>
          <w:vertAlign w:val="subscript"/>
        </w:rPr>
        <w:t>4</w:t>
      </w:r>
      <w:r>
        <w:t xml:space="preserve">NOH in THF. </w:t>
      </w:r>
    </w:p>
    <w:p w14:paraId="3E5B051F" w14:textId="33F8C04C" w:rsidR="006F7434" w:rsidRDefault="006F7434" w:rsidP="00F66AC6">
      <w:pPr>
        <w:pStyle w:val="RSCB02ArticleText"/>
        <w:ind w:firstLine="284"/>
      </w:pPr>
      <w:r>
        <w:t xml:space="preserve">SMCC reactions of </w:t>
      </w:r>
      <w:r w:rsidRPr="00E57E24">
        <w:rPr>
          <w:b/>
        </w:rPr>
        <w:t>1</w:t>
      </w:r>
      <w:r>
        <w:rPr>
          <w:b/>
        </w:rPr>
        <w:t>c</w:t>
      </w:r>
      <w:r>
        <w:t xml:space="preserve"> + </w:t>
      </w:r>
      <w:r w:rsidRPr="00E57E24">
        <w:rPr>
          <w:b/>
        </w:rPr>
        <w:t>2</w:t>
      </w:r>
      <w:r>
        <w:t xml:space="preserve"> </w:t>
      </w:r>
      <w:r>
        <w:rPr>
          <w:rFonts w:ascii="Times New Roman" w:hAnsi="Times New Roman"/>
        </w:rPr>
        <w:t>→</w:t>
      </w:r>
      <w:r>
        <w:t xml:space="preserve"> </w:t>
      </w:r>
      <w:r w:rsidRPr="00E57E24">
        <w:rPr>
          <w:b/>
        </w:rPr>
        <w:t>3</w:t>
      </w:r>
      <w:r>
        <w:t xml:space="preserve"> were monitored </w:t>
      </w:r>
      <w:r>
        <w:rPr>
          <w:i/>
        </w:rPr>
        <w:t>in operando</w:t>
      </w:r>
      <w:r>
        <w:t xml:space="preserve"> by </w:t>
      </w:r>
      <w:r>
        <w:rPr>
          <w:vertAlign w:val="superscript"/>
        </w:rPr>
        <w:t>1</w:t>
      </w:r>
      <w:r>
        <w:t xml:space="preserve">H NMR spectroscopic analysis, allowing pre-stirred mixtures of </w:t>
      </w:r>
      <w:r w:rsidR="00E118BD">
        <w:t>‘</w:t>
      </w:r>
      <w:r>
        <w:t>Pd</w:t>
      </w:r>
      <w:r w:rsidRPr="00FC4237">
        <w:rPr>
          <w:vertAlign w:val="subscript"/>
        </w:rPr>
        <w:t>3</w:t>
      </w:r>
      <w:r>
        <w:t>(OAc)</w:t>
      </w:r>
      <w:r>
        <w:rPr>
          <w:vertAlign w:val="subscript"/>
        </w:rPr>
        <w:t>6</w:t>
      </w:r>
      <w:r>
        <w:t>’/nPPh</w:t>
      </w:r>
      <w:r>
        <w:rPr>
          <w:vertAlign w:val="subscript"/>
        </w:rPr>
        <w:t>3</w:t>
      </w:r>
      <w:r>
        <w:t xml:space="preserve"> (n = 6 and 12, </w:t>
      </w:r>
      <w:r w:rsidRPr="00FC4237">
        <w:rPr>
          <w:i/>
        </w:rPr>
        <w:t>i.e.</w:t>
      </w:r>
      <w:r>
        <w:t xml:space="preserve"> Pd/PPh</w:t>
      </w:r>
      <w:r w:rsidRPr="00FC4237">
        <w:rPr>
          <w:vertAlign w:val="subscript"/>
        </w:rPr>
        <w:t>3</w:t>
      </w:r>
      <w:r>
        <w:t xml:space="preserve"> = 1:2 or 1:4 respectively) to be compared in THF against a reaction mediated by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xml:space="preserve">] </w:t>
      </w:r>
      <w:r>
        <w:rPr>
          <w:b/>
        </w:rPr>
        <w:t>II</w:t>
      </w:r>
      <w:r>
        <w:t xml:space="preserve">. The kinetic profiles for the appearance of </w:t>
      </w:r>
      <w:r>
        <w:rPr>
          <w:b/>
        </w:rPr>
        <w:t>3</w:t>
      </w:r>
      <w:r>
        <w:t xml:space="preserve">, with concomitant disappearance of </w:t>
      </w:r>
      <w:r>
        <w:rPr>
          <w:b/>
        </w:rPr>
        <w:t>1c</w:t>
      </w:r>
      <w:r>
        <w:t xml:space="preserve"> (pseudo-zero order in </w:t>
      </w:r>
      <w:r>
        <w:rPr>
          <w:b/>
        </w:rPr>
        <w:t>1c</w:t>
      </w:r>
      <w:r>
        <w:t>),</w:t>
      </w:r>
      <w:r>
        <w:rPr>
          <w:b/>
        </w:rPr>
        <w:t xml:space="preserve"> </w:t>
      </w:r>
      <w:r>
        <w:t>are shown in Fig. 6. The kinetic profile for the reaction mediated by Pd</w:t>
      </w:r>
      <w:r w:rsidRPr="00FC4237">
        <w:rPr>
          <w:vertAlign w:val="subscript"/>
        </w:rPr>
        <w:t>3</w:t>
      </w:r>
      <w:r>
        <w:t>(OAc)</w:t>
      </w:r>
      <w:r>
        <w:rPr>
          <w:vertAlign w:val="subscript"/>
        </w:rPr>
        <w:t>6</w:t>
      </w:r>
      <w:r>
        <w:t>/6PPh</w:t>
      </w:r>
      <w:r>
        <w:rPr>
          <w:vertAlign w:val="subscript"/>
        </w:rPr>
        <w:t>3</w:t>
      </w:r>
      <w:r>
        <w:t xml:space="preserve"> (1:2, Pd/PPh</w:t>
      </w:r>
      <w:r w:rsidRPr="00230E92">
        <w:rPr>
          <w:vertAlign w:val="subscript"/>
        </w:rPr>
        <w:t>3</w:t>
      </w:r>
      <w:r>
        <w:t xml:space="preserve">) indicates that the reaction is efficient at 40 </w:t>
      </w:r>
      <w:r>
        <w:rPr>
          <w:rFonts w:ascii="Times New Roman" w:hAnsi="Times New Roman"/>
        </w:rPr>
        <w:t>º</w:t>
      </w:r>
      <w:r>
        <w:t xml:space="preserve">C {Fig. </w:t>
      </w:r>
      <w:r w:rsidR="00A070F8">
        <w:t>7</w:t>
      </w:r>
      <w:r>
        <w:t>, (A)} – there is an exotherm during initial catalyst turnover (</w:t>
      </w:r>
      <w:r w:rsidRPr="0077764B">
        <w:rPr>
          <w:i/>
        </w:rPr>
        <w:t>ca.</w:t>
      </w:r>
      <w:r>
        <w:t xml:space="preserve"> 4 turnovers) which is associated with full dissolution of aqueous 1M </w:t>
      </w:r>
      <w:r>
        <w:rPr>
          <w:i/>
        </w:rPr>
        <w:t>n</w:t>
      </w:r>
      <w:r>
        <w:t>-Bu</w:t>
      </w:r>
      <w:r>
        <w:rPr>
          <w:vertAlign w:val="subscript"/>
        </w:rPr>
        <w:t>4</w:t>
      </w:r>
      <w:r>
        <w:t xml:space="preserve">NOH (into THF – overall concentration equals 0.5M </w:t>
      </w:r>
      <w:r>
        <w:rPr>
          <w:i/>
        </w:rPr>
        <w:t>n</w:t>
      </w:r>
      <w:r>
        <w:t>-Bu</w:t>
      </w:r>
      <w:r>
        <w:rPr>
          <w:vertAlign w:val="subscript"/>
        </w:rPr>
        <w:t>4</w:t>
      </w:r>
      <w:r>
        <w:t xml:space="preserve">NOH). The same reaction mediated by </w:t>
      </w:r>
      <w:r>
        <w:rPr>
          <w:b/>
        </w:rPr>
        <w:t>II</w:t>
      </w:r>
      <w:r>
        <w:t xml:space="preserve"> showed a similar kinetic curve {Fig. </w:t>
      </w:r>
      <w:r w:rsidR="00A070F8">
        <w:t>7</w:t>
      </w:r>
      <w:r>
        <w:t xml:space="preserve">, (B)}, confirming the catalytic competency of this key species isolated earlier. </w:t>
      </w:r>
      <w:r w:rsidR="00C43F88">
        <w:t>Furthermore, no Pd particles were visibly seen to form during catalysis (the solution appearing completely homogeneous).</w:t>
      </w:r>
    </w:p>
    <w:p w14:paraId="6CF67057" w14:textId="3E79686D" w:rsidR="004E3891" w:rsidRDefault="006F7434" w:rsidP="00F66AC6">
      <w:pPr>
        <w:pStyle w:val="RSCB02ArticleText"/>
        <w:ind w:firstLine="284"/>
      </w:pPr>
      <w:r>
        <w:t>Altering the Pd</w:t>
      </w:r>
      <w:r w:rsidRPr="00FC4237">
        <w:rPr>
          <w:vertAlign w:val="subscript"/>
        </w:rPr>
        <w:t>3</w:t>
      </w:r>
      <w:r>
        <w:t>(OAc)</w:t>
      </w:r>
      <w:r>
        <w:rPr>
          <w:vertAlign w:val="subscript"/>
        </w:rPr>
        <w:t>6</w:t>
      </w:r>
      <w:r>
        <w:t>/12PPh</w:t>
      </w:r>
      <w:r>
        <w:rPr>
          <w:vertAlign w:val="subscript"/>
        </w:rPr>
        <w:t>3</w:t>
      </w:r>
      <w:r>
        <w:t xml:space="preserve"> (1:4, Pd/PPh</w:t>
      </w:r>
      <w:r w:rsidRPr="00230E92">
        <w:rPr>
          <w:vertAlign w:val="subscript"/>
        </w:rPr>
        <w:t>3</w:t>
      </w:r>
      <w:r>
        <w:t xml:space="preserve">) led to a poor catalyst system for reaction </w:t>
      </w:r>
      <w:r w:rsidRPr="00E57E24">
        <w:rPr>
          <w:b/>
        </w:rPr>
        <w:t>1</w:t>
      </w:r>
      <w:r>
        <w:rPr>
          <w:b/>
        </w:rPr>
        <w:t>c</w:t>
      </w:r>
      <w:r>
        <w:t xml:space="preserve"> + </w:t>
      </w:r>
      <w:r w:rsidRPr="00E57E24">
        <w:rPr>
          <w:b/>
        </w:rPr>
        <w:t>2</w:t>
      </w:r>
      <w:r>
        <w:t xml:space="preserve"> </w:t>
      </w:r>
      <w:r>
        <w:rPr>
          <w:rFonts w:ascii="Times New Roman" w:hAnsi="Times New Roman"/>
        </w:rPr>
        <w:t>→</w:t>
      </w:r>
      <w:r>
        <w:t xml:space="preserve"> </w:t>
      </w:r>
      <w:r w:rsidRPr="00E57E24">
        <w:rPr>
          <w:b/>
        </w:rPr>
        <w:t>3</w:t>
      </w:r>
      <w:r>
        <w:t xml:space="preserve"> at 40</w:t>
      </w:r>
      <w:r w:rsidRPr="00F57495">
        <w:rPr>
          <w:rFonts w:ascii="Times New Roman" w:hAnsi="Times New Roman"/>
        </w:rPr>
        <w:t xml:space="preserve"> </w:t>
      </w:r>
      <w:r>
        <w:rPr>
          <w:rFonts w:ascii="Times New Roman" w:hAnsi="Times New Roman"/>
        </w:rPr>
        <w:t>º</w:t>
      </w:r>
      <w:r>
        <w:t xml:space="preserve">C {Fig. </w:t>
      </w:r>
      <w:r w:rsidR="00A070F8">
        <w:t>7</w:t>
      </w:r>
      <w:r>
        <w:t xml:space="preserve">, (C), curves illustrated by diamonds}. This catalyst system exhibited higher catalyst efficacy at 70 </w:t>
      </w:r>
      <w:r>
        <w:rPr>
          <w:rFonts w:ascii="Times New Roman" w:hAnsi="Times New Roman"/>
        </w:rPr>
        <w:t>º</w:t>
      </w:r>
      <w:r>
        <w:t xml:space="preserve">C. Thus, additional phosphine slows down catalysis in the reaction of </w:t>
      </w:r>
      <w:r>
        <w:rPr>
          <w:b/>
        </w:rPr>
        <w:t>1c+2</w:t>
      </w:r>
      <w:r>
        <w:rPr>
          <w:rFonts w:ascii="Times New Roman" w:hAnsi="Times New Roman"/>
          <w:b/>
        </w:rPr>
        <w:t>→</w:t>
      </w:r>
      <w:r w:rsidRPr="00F57495">
        <w:rPr>
          <w:b/>
        </w:rPr>
        <w:t>3</w:t>
      </w:r>
      <w:r>
        <w:t xml:space="preserve">, at 40 </w:t>
      </w:r>
      <w:r>
        <w:rPr>
          <w:rFonts w:ascii="Constantia" w:hAnsi="Constantia"/>
        </w:rPr>
        <w:t>⁰</w:t>
      </w:r>
      <w:r>
        <w:t xml:space="preserve">C, which is an outcome consistent with our previous studies on SMCCs involving </w:t>
      </w:r>
      <w:r>
        <w:rPr>
          <w:b/>
        </w:rPr>
        <w:t>1c</w:t>
      </w:r>
      <w:r>
        <w:t>.</w:t>
      </w:r>
      <w:r w:rsidRPr="00027FBF">
        <w:rPr>
          <w:vertAlign w:val="superscript"/>
        </w:rPr>
        <w:t>6b</w:t>
      </w:r>
    </w:p>
    <w:p w14:paraId="5DEE99E9" w14:textId="25937715" w:rsidR="004E3891" w:rsidRDefault="004E3891" w:rsidP="004E3891">
      <w:pPr>
        <w:pStyle w:val="RSCB02ArticleText"/>
      </w:pPr>
    </w:p>
    <w:p w14:paraId="48760701" w14:textId="77777777" w:rsidR="00CE3501" w:rsidRDefault="00CE3501" w:rsidP="00134930">
      <w:pPr>
        <w:pStyle w:val="RSCI02FigureSchemeChartwithtopbar"/>
      </w:pPr>
      <w:r>
        <w:object w:dxaOrig="5030" w:dyaOrig="1918" w14:anchorId="4F63F335">
          <v:shape id="_x0000_i1027" type="#_x0000_t75" style="width:202.7pt;height:75.3pt" o:ole="">
            <v:imagedata r:id="rId26" o:title=""/>
          </v:shape>
          <o:OLEObject Type="Embed" ProgID="ChemDraw.Document.6.0" ShapeID="_x0000_i1027" DrawAspect="Content" ObjectID="_1622210937" r:id="rId27"/>
        </w:object>
      </w:r>
    </w:p>
    <w:p w14:paraId="72F78787" w14:textId="77777777" w:rsidR="00CE3501" w:rsidRPr="00185806" w:rsidRDefault="00CE3501" w:rsidP="00CE3501">
      <w:pPr>
        <w:pStyle w:val="TAMainText"/>
      </w:pPr>
    </w:p>
    <w:p w14:paraId="1D1741E7" w14:textId="77777777" w:rsidR="00CE3501" w:rsidRDefault="00CE3501" w:rsidP="00CE3501">
      <w:pPr>
        <w:pStyle w:val="TAMainText"/>
      </w:pPr>
      <w:r>
        <w:rPr>
          <w:noProof/>
          <w:lang w:val="en-GB" w:eastAsia="en-GB"/>
        </w:rPr>
        <w:drawing>
          <wp:inline distT="0" distB="0" distL="0" distR="0" wp14:anchorId="0407198E" wp14:editId="1F6C10F7">
            <wp:extent cx="3007035" cy="1553421"/>
            <wp:effectExtent l="0" t="0" r="317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n's figure for the kinetics_v3.emf"/>
                    <pic:cNvPicPr/>
                  </pic:nvPicPr>
                  <pic:blipFill rotWithShape="1">
                    <a:blip r:embed="rId28" cstate="print">
                      <a:extLst>
                        <a:ext uri="{28A0092B-C50C-407E-A947-70E740481C1C}">
                          <a14:useLocalDpi xmlns:a14="http://schemas.microsoft.com/office/drawing/2010/main" val="0"/>
                        </a:ext>
                      </a:extLst>
                    </a:blip>
                    <a:srcRect l="6262" t="10280" r="5717" b="9085"/>
                    <a:stretch/>
                  </pic:blipFill>
                  <pic:spPr bwMode="auto">
                    <a:xfrm>
                      <a:off x="0" y="0"/>
                      <a:ext cx="3020124" cy="1560183"/>
                    </a:xfrm>
                    <a:prstGeom prst="rect">
                      <a:avLst/>
                    </a:prstGeom>
                    <a:ln>
                      <a:noFill/>
                    </a:ln>
                    <a:extLst>
                      <a:ext uri="{53640926-AAD7-44D8-BBD7-CCE9431645EC}">
                        <a14:shadowObscured xmlns:a14="http://schemas.microsoft.com/office/drawing/2010/main"/>
                      </a:ext>
                    </a:extLst>
                  </pic:spPr>
                </pic:pic>
              </a:graphicData>
            </a:graphic>
          </wp:inline>
        </w:drawing>
      </w:r>
    </w:p>
    <w:p w14:paraId="2047F823" w14:textId="10567AAA" w:rsidR="00CE3501" w:rsidRDefault="00CE3501" w:rsidP="00CE3501">
      <w:pPr>
        <w:pStyle w:val="RSCI04CaptiontoFigureSchemeChart"/>
      </w:pPr>
      <w:r>
        <w:t xml:space="preserve">Figure </w:t>
      </w:r>
      <w:r w:rsidR="00A070F8">
        <w:t>7</w:t>
      </w:r>
      <w:r>
        <w:t xml:space="preserve"> Kinetic profiles for the SMCC reaction of </w:t>
      </w:r>
      <w:r>
        <w:rPr>
          <w:b/>
        </w:rPr>
        <w:t>1c</w:t>
      </w:r>
      <w:r>
        <w:t xml:space="preserve"> + </w:t>
      </w:r>
      <w:r>
        <w:rPr>
          <w:b/>
        </w:rPr>
        <w:t>2</w:t>
      </w:r>
      <w:r>
        <w:t xml:space="preserve"> to give </w:t>
      </w:r>
      <w:r>
        <w:rPr>
          <w:b/>
        </w:rPr>
        <w:t>3</w:t>
      </w:r>
      <w:r>
        <w:t xml:space="preserve">, mediated by </w:t>
      </w:r>
      <w:r w:rsidRPr="00075387">
        <w:t>Pd(OAc)</w:t>
      </w:r>
      <w:r w:rsidRPr="00075387">
        <w:rPr>
          <w:vertAlign w:val="subscript"/>
        </w:rPr>
        <w:t>2</w:t>
      </w:r>
      <w:r w:rsidRPr="00075387">
        <w:t>/nPPh</w:t>
      </w:r>
      <w:r w:rsidRPr="00075387">
        <w:rPr>
          <w:vertAlign w:val="subscript"/>
        </w:rPr>
        <w:t>3</w:t>
      </w:r>
      <w:r w:rsidRPr="00075387">
        <w:t xml:space="preserve"> (n = 2 and 4)</w:t>
      </w:r>
      <w:r>
        <w:t xml:space="preserve"> and dinuclear Pd</w:t>
      </w:r>
      <w:r w:rsidRPr="004351F6">
        <w:rPr>
          <w:vertAlign w:val="superscript"/>
        </w:rPr>
        <w:t>I</w:t>
      </w:r>
      <w:r>
        <w:t xml:space="preserve"> complex </w:t>
      </w:r>
      <w:r>
        <w:rPr>
          <w:b/>
        </w:rPr>
        <w:t>II</w:t>
      </w:r>
      <w:r>
        <w:t xml:space="preserve">. Reactions were monitored by </w:t>
      </w:r>
      <w:r w:rsidRPr="000F3ADD">
        <w:rPr>
          <w:vertAlign w:val="superscript"/>
        </w:rPr>
        <w:t>1</w:t>
      </w:r>
      <w:r>
        <w:t xml:space="preserve">H NMR spectroscopic analysis in a J. Young’s NMR tube (spinning). The </w:t>
      </w:r>
      <w:r w:rsidRPr="000F3ADD">
        <w:rPr>
          <w:i/>
        </w:rPr>
        <w:t>e</w:t>
      </w:r>
      <w:r>
        <w:rPr>
          <w:i/>
        </w:rPr>
        <w:t>ffective</w:t>
      </w:r>
      <w:r>
        <w:t xml:space="preserve"> Pd:PPh</w:t>
      </w:r>
      <w:r>
        <w:rPr>
          <w:vertAlign w:val="subscript"/>
        </w:rPr>
        <w:t>3</w:t>
      </w:r>
      <w:r>
        <w:t xml:space="preserve"> ratio takes into account that one equivalent of PPh</w:t>
      </w:r>
      <w:r>
        <w:rPr>
          <w:vertAlign w:val="subscript"/>
        </w:rPr>
        <w:t>3</w:t>
      </w:r>
      <w:r>
        <w:t xml:space="preserve"> is required to reduce Pd</w:t>
      </w:r>
      <w:r>
        <w:rPr>
          <w:vertAlign w:val="superscript"/>
        </w:rPr>
        <w:t>II</w:t>
      </w:r>
      <w:r>
        <w:t xml:space="preserve"> to Pd</w:t>
      </w:r>
      <w:r>
        <w:rPr>
          <w:vertAlign w:val="superscript"/>
        </w:rPr>
        <w:t>0</w:t>
      </w:r>
      <w:r>
        <w:t>, with concomitant formation of one equivalent of O=PPh</w:t>
      </w:r>
      <w:r w:rsidRPr="00CC5E20">
        <w:rPr>
          <w:vertAlign w:val="subscript"/>
        </w:rPr>
        <w:t>3</w:t>
      </w:r>
      <w:r>
        <w:t xml:space="preserve">. For complex </w:t>
      </w:r>
      <w:r>
        <w:rPr>
          <w:b/>
        </w:rPr>
        <w:t>II</w:t>
      </w:r>
      <w:r>
        <w:t>, two PPh</w:t>
      </w:r>
      <w:r>
        <w:rPr>
          <w:vertAlign w:val="subscript"/>
        </w:rPr>
        <w:t xml:space="preserve">3 </w:t>
      </w:r>
      <w:r>
        <w:t xml:space="preserve">ligands are present overall, </w:t>
      </w:r>
      <w:r>
        <w:rPr>
          <w:i/>
        </w:rPr>
        <w:t xml:space="preserve">i.e. </w:t>
      </w:r>
      <w:r>
        <w:t>one per Pd; in this respect the ‘PPh</w:t>
      </w:r>
      <w:r>
        <w:rPr>
          <w:vertAlign w:val="subscript"/>
        </w:rPr>
        <w:t>2</w:t>
      </w:r>
      <w:r>
        <w:t>’ group was treated as an anionic ligand.</w:t>
      </w:r>
    </w:p>
    <w:p w14:paraId="181C1AC3" w14:textId="77777777" w:rsidR="00134930" w:rsidRPr="00151A95" w:rsidRDefault="00134930" w:rsidP="00134930">
      <w:pPr>
        <w:pStyle w:val="RSCI05CaptiontoFigureSchemeChartwithbottombar"/>
      </w:pPr>
    </w:p>
    <w:p w14:paraId="4E973A73" w14:textId="199057C0" w:rsidR="00CE3501" w:rsidRDefault="00CE3501" w:rsidP="00CE3501">
      <w:pPr>
        <w:pStyle w:val="RSCB02ArticleText"/>
      </w:pPr>
      <w:r>
        <w:lastRenderedPageBreak/>
        <w:t>With the finding that [Pd</w:t>
      </w:r>
      <w:r>
        <w:rPr>
          <w:vertAlign w:val="subscript"/>
        </w:rPr>
        <w:t>2</w:t>
      </w:r>
      <w:r>
        <w:t>(</w:t>
      </w:r>
      <w:r>
        <w:rPr>
          <w:rFonts w:ascii="Times New Roman" w:hAnsi="Times New Roman"/>
        </w:rPr>
        <w:t>µ</w:t>
      </w:r>
      <w:r>
        <w:t>-PPh</w:t>
      </w:r>
      <w:r w:rsidRPr="009D6728">
        <w:rPr>
          <w:vertAlign w:val="subscript"/>
        </w:rPr>
        <w:t>2</w:t>
      </w:r>
      <w:r>
        <w:t>)(</w:t>
      </w:r>
      <w:r>
        <w:rPr>
          <w:rFonts w:ascii="Times New Roman" w:hAnsi="Times New Roman"/>
        </w:rPr>
        <w:t>µ</w:t>
      </w:r>
      <w:r w:rsidRPr="00743771">
        <w:rPr>
          <w:rFonts w:ascii="Times New Roman" w:hAnsi="Times New Roman"/>
          <w:vertAlign w:val="subscript"/>
        </w:rPr>
        <w:t>2</w:t>
      </w:r>
      <w:r w:rsidRPr="00A85A0F">
        <w:t>-</w:t>
      </w:r>
      <w:r>
        <w:t>OAc)(PPh</w:t>
      </w:r>
      <w:r w:rsidRPr="009D6728">
        <w:rPr>
          <w:vertAlign w:val="subscript"/>
        </w:rPr>
        <w:t>3</w:t>
      </w:r>
      <w:r>
        <w:t>)</w:t>
      </w:r>
      <w:r w:rsidRPr="009D6728">
        <w:rPr>
          <w:vertAlign w:val="subscript"/>
        </w:rPr>
        <w:t>2</w:t>
      </w:r>
      <w:r>
        <w:t xml:space="preserve">] </w:t>
      </w:r>
      <w:r w:rsidRPr="00953788">
        <w:rPr>
          <w:b/>
        </w:rPr>
        <w:t>II</w:t>
      </w:r>
      <w:r>
        <w:t xml:space="preserve"> reacts with 2-bromopyridine </w:t>
      </w:r>
      <w:r>
        <w:rPr>
          <w:b/>
        </w:rPr>
        <w:t>1c</w:t>
      </w:r>
      <w:r>
        <w:t xml:space="preserve"> to give [Pd</w:t>
      </w:r>
      <w:r>
        <w:rPr>
          <w:vertAlign w:val="subscript"/>
        </w:rPr>
        <w:t>3</w:t>
      </w:r>
      <w:r>
        <w:t>(Br)(</w:t>
      </w:r>
      <w:r>
        <w:rPr>
          <w:rFonts w:ascii="Times New Roman" w:hAnsi="Times New Roman"/>
        </w:rPr>
        <w:t>µ</w:t>
      </w:r>
      <w:r>
        <w:t>-PPh</w:t>
      </w:r>
      <w:r>
        <w:rPr>
          <w:vertAlign w:val="subscript"/>
        </w:rPr>
        <w:t>2</w:t>
      </w:r>
      <w:r>
        <w:t>)</w:t>
      </w:r>
      <w:r>
        <w:rPr>
          <w:vertAlign w:val="subscript"/>
        </w:rPr>
        <w:t>2</w:t>
      </w:r>
      <w:r>
        <w:t>(PPh</w:t>
      </w:r>
      <w:r>
        <w:rPr>
          <w:vertAlign w:val="subscript"/>
        </w:rPr>
        <w:t>3</w:t>
      </w:r>
      <w:r>
        <w:t>)</w:t>
      </w:r>
      <w:r>
        <w:rPr>
          <w:vertAlign w:val="subscript"/>
        </w:rPr>
        <w:t>3</w:t>
      </w:r>
      <w:r>
        <w:t>]OAc (</w:t>
      </w:r>
      <w:r>
        <w:rPr>
          <w:b/>
        </w:rPr>
        <w:t>Pd</w:t>
      </w:r>
      <w:r w:rsidRPr="008A0595">
        <w:rPr>
          <w:b/>
          <w:vertAlign w:val="subscript"/>
        </w:rPr>
        <w:t>3</w:t>
      </w:r>
      <w:r>
        <w:rPr>
          <w:b/>
        </w:rPr>
        <w:t>Br</w:t>
      </w:r>
      <w:r>
        <w:rPr>
          <w:rFonts w:ascii="Constantia" w:hAnsi="Constantia"/>
          <w:b/>
        </w:rPr>
        <w:t>•</w:t>
      </w:r>
      <w:r>
        <w:rPr>
          <w:b/>
        </w:rPr>
        <w:t>OAc</w:t>
      </w:r>
      <w:r w:rsidRPr="00784D82">
        <w:t>)</w:t>
      </w:r>
      <w:r>
        <w:t xml:space="preserve"> and [Pd(X/X</w:t>
      </w:r>
      <w:r>
        <w:rPr>
          <w:rFonts w:ascii="Constantia" w:hAnsi="Constantia"/>
        </w:rPr>
        <w:t>'</w:t>
      </w:r>
      <w:r>
        <w:t>)(</w:t>
      </w:r>
      <w:r w:rsidRPr="00260267">
        <w:rPr>
          <w:i/>
        </w:rPr>
        <w:t>N</w:t>
      </w:r>
      <w:r>
        <w:t>,</w:t>
      </w:r>
      <w:r w:rsidRPr="00260267">
        <w:rPr>
          <w:i/>
        </w:rPr>
        <w:t>C</w:t>
      </w:r>
      <w:r w:rsidRPr="00BB3858">
        <w:rPr>
          <w:vertAlign w:val="superscript"/>
        </w:rPr>
        <w:t>2</w:t>
      </w:r>
      <w:r>
        <w:t>-pyr)(PPh</w:t>
      </w:r>
      <w:r w:rsidRPr="00260267">
        <w:rPr>
          <w:vertAlign w:val="subscript"/>
        </w:rPr>
        <w:t>3</w:t>
      </w:r>
      <w:r>
        <w:t>)]</w:t>
      </w:r>
      <w:r w:rsidRPr="00E67816">
        <w:rPr>
          <w:vertAlign w:val="subscript"/>
        </w:rPr>
        <w:t>2</w:t>
      </w:r>
      <w:r w:rsidRPr="00E67816">
        <w:rPr>
          <w:vertAlign w:val="subscript"/>
        </w:rPr>
        <w:softHyphen/>
      </w:r>
      <w:r>
        <w:t xml:space="preserve"> (</w:t>
      </w:r>
      <w:r>
        <w:rPr>
          <w:b/>
        </w:rPr>
        <w:t>4a</w:t>
      </w:r>
      <w:r>
        <w:t>-</w:t>
      </w:r>
      <w:r>
        <w:rPr>
          <w:b/>
        </w:rPr>
        <w:t>c</w:t>
      </w:r>
      <w:r>
        <w:t xml:space="preserve">), additional catalytic experiments were devised to test the importance of such species in the SMCC reaction </w:t>
      </w:r>
      <w:r w:rsidRPr="00E57E24">
        <w:rPr>
          <w:b/>
        </w:rPr>
        <w:t>1</w:t>
      </w:r>
      <w:r>
        <w:rPr>
          <w:b/>
        </w:rPr>
        <w:t>c</w:t>
      </w:r>
      <w:r>
        <w:t xml:space="preserve"> + </w:t>
      </w:r>
      <w:r w:rsidRPr="00E57E24">
        <w:rPr>
          <w:b/>
        </w:rPr>
        <w:t>2</w:t>
      </w:r>
      <w:r>
        <w:t xml:space="preserve"> </w:t>
      </w:r>
      <w:r>
        <w:rPr>
          <w:rFonts w:ascii="Times New Roman" w:hAnsi="Times New Roman"/>
        </w:rPr>
        <w:t>→</w:t>
      </w:r>
      <w:r>
        <w:t xml:space="preserve"> </w:t>
      </w:r>
      <w:r w:rsidRPr="00E57E24">
        <w:rPr>
          <w:b/>
        </w:rPr>
        <w:t>3</w:t>
      </w:r>
      <w:r>
        <w:t xml:space="preserve"> (Fig. </w:t>
      </w:r>
      <w:r w:rsidR="00A070F8">
        <w:t>8</w:t>
      </w:r>
      <w:r>
        <w:t xml:space="preserve">). Two control experiments, with different Pd catalysts, were conducted: (a) to establish the catalytic competency of </w:t>
      </w:r>
      <w:r>
        <w:rPr>
          <w:b/>
        </w:rPr>
        <w:t>Pd</w:t>
      </w:r>
      <w:r w:rsidRPr="008A0595">
        <w:rPr>
          <w:b/>
          <w:vertAlign w:val="subscript"/>
        </w:rPr>
        <w:t>3</w:t>
      </w:r>
      <w:r>
        <w:rPr>
          <w:b/>
        </w:rPr>
        <w:t>Br</w:t>
      </w:r>
      <w:r>
        <w:rPr>
          <w:rFonts w:ascii="Constantia" w:hAnsi="Constantia"/>
          <w:b/>
        </w:rPr>
        <w:t>•</w:t>
      </w:r>
      <w:r w:rsidRPr="00FF43D3">
        <w:rPr>
          <w:b/>
        </w:rPr>
        <w:t>Br</w:t>
      </w:r>
      <w:r w:rsidRPr="00FF43D3">
        <w:rPr>
          <w:vertAlign w:val="superscript"/>
        </w:rPr>
        <w:t>1</w:t>
      </w:r>
      <w:r w:rsidR="006602D5" w:rsidRPr="00FF43D3">
        <w:rPr>
          <w:vertAlign w:val="superscript"/>
        </w:rPr>
        <w:t>9</w:t>
      </w:r>
      <w:r w:rsidRPr="00FF43D3">
        <w:t>;</w:t>
      </w:r>
      <w:r>
        <w:t xml:space="preserve"> (b) to assess the catalytic activity of [Pd(Br)(</w:t>
      </w:r>
      <w:r w:rsidRPr="00260267">
        <w:rPr>
          <w:i/>
        </w:rPr>
        <w:t>N</w:t>
      </w:r>
      <w:r>
        <w:t>,</w:t>
      </w:r>
      <w:r w:rsidRPr="00260267">
        <w:rPr>
          <w:i/>
        </w:rPr>
        <w:t>C</w:t>
      </w:r>
      <w:r w:rsidRPr="00BB3858">
        <w:rPr>
          <w:vertAlign w:val="superscript"/>
        </w:rPr>
        <w:t>2</w:t>
      </w:r>
      <w:r>
        <w:t>-pyr)(PPh</w:t>
      </w:r>
      <w:r w:rsidRPr="00260267">
        <w:rPr>
          <w:vertAlign w:val="subscript"/>
        </w:rPr>
        <w:t>3</w:t>
      </w:r>
      <w:r>
        <w:t>)]</w:t>
      </w:r>
      <w:r w:rsidRPr="00E67816">
        <w:rPr>
          <w:vertAlign w:val="subscript"/>
        </w:rPr>
        <w:t>2</w:t>
      </w:r>
      <w:r w:rsidRPr="00E67816">
        <w:rPr>
          <w:vertAlign w:val="subscript"/>
        </w:rPr>
        <w:softHyphen/>
      </w:r>
      <w:r>
        <w:t xml:space="preserve"> </w:t>
      </w:r>
      <w:r>
        <w:rPr>
          <w:b/>
        </w:rPr>
        <w:t>4a</w:t>
      </w:r>
      <w:r>
        <w:t>, under comparable reaction conditions</w:t>
      </w:r>
      <w:r w:rsidRPr="008A0595">
        <w:t xml:space="preserve">. </w:t>
      </w:r>
      <w:r>
        <w:t xml:space="preserve">The reaction of </w:t>
      </w:r>
      <w:r>
        <w:rPr>
          <w:b/>
        </w:rPr>
        <w:t>1c+2</w:t>
      </w:r>
      <w:r>
        <w:rPr>
          <w:rFonts w:ascii="Times New Roman" w:hAnsi="Times New Roman"/>
          <w:b/>
        </w:rPr>
        <w:t>→</w:t>
      </w:r>
      <w:r w:rsidRPr="00F57495">
        <w:rPr>
          <w:b/>
        </w:rPr>
        <w:t>3</w:t>
      </w:r>
      <w:r>
        <w:t xml:space="preserve">, mediated by </w:t>
      </w:r>
      <w:r>
        <w:rPr>
          <w:b/>
        </w:rPr>
        <w:t>Pd</w:t>
      </w:r>
      <w:r w:rsidRPr="008A0595">
        <w:rPr>
          <w:b/>
          <w:vertAlign w:val="subscript"/>
        </w:rPr>
        <w:t>3</w:t>
      </w:r>
      <w:r>
        <w:rPr>
          <w:b/>
        </w:rPr>
        <w:t>Br</w:t>
      </w:r>
      <w:r>
        <w:rPr>
          <w:rFonts w:ascii="Constantia" w:hAnsi="Constantia"/>
          <w:b/>
        </w:rPr>
        <w:t>•</w:t>
      </w:r>
      <w:r>
        <w:rPr>
          <w:b/>
        </w:rPr>
        <w:t>Br</w:t>
      </w:r>
      <w:r>
        <w:t xml:space="preserve"> (1 mol%, giving 1 mol% active Pd – the cluster being treated as a well-defined catalyst species</w:t>
      </w:r>
      <w:r>
        <w:rPr>
          <w:vertAlign w:val="superscript"/>
        </w:rPr>
        <w:t>1</w:t>
      </w:r>
      <w:r w:rsidR="00F66AC6">
        <w:rPr>
          <w:vertAlign w:val="superscript"/>
        </w:rPr>
        <w:t>1</w:t>
      </w:r>
      <w:r>
        <w:t xml:space="preserve">) gave </w:t>
      </w:r>
      <w:r>
        <w:rPr>
          <w:b/>
        </w:rPr>
        <w:t>3</w:t>
      </w:r>
      <w:r>
        <w:t xml:space="preserve"> with full conversion after </w:t>
      </w:r>
      <w:r w:rsidRPr="006A0E2B">
        <w:rPr>
          <w:i/>
        </w:rPr>
        <w:t xml:space="preserve">ca. </w:t>
      </w:r>
      <w:r>
        <w:t xml:space="preserve">7.5 h at 40 </w:t>
      </w:r>
      <w:r>
        <w:rPr>
          <w:rFonts w:ascii="Times New Roman" w:hAnsi="Times New Roman"/>
        </w:rPr>
        <w:t>º</w:t>
      </w:r>
      <w:r>
        <w:t xml:space="preserve">C (Fig. </w:t>
      </w:r>
      <w:r w:rsidR="00A070F8">
        <w:t>8</w:t>
      </w:r>
      <w:r>
        <w:t xml:space="preserve">). The same reaction mediated by an authentic sample of </w:t>
      </w:r>
      <w:r>
        <w:rPr>
          <w:b/>
        </w:rPr>
        <w:t>4a</w:t>
      </w:r>
      <w:r>
        <w:t xml:space="preserve"> (0.5 mol% giving 1 mol% active Pd</w:t>
      </w:r>
      <w:r>
        <w:rPr>
          <w:vertAlign w:val="superscript"/>
        </w:rPr>
        <w:t>6b</w:t>
      </w:r>
      <w:r>
        <w:t xml:space="preserve">) gave </w:t>
      </w:r>
      <w:r>
        <w:rPr>
          <w:b/>
        </w:rPr>
        <w:t>3</w:t>
      </w:r>
      <w:r>
        <w:t xml:space="preserve"> with 32% conversion after </w:t>
      </w:r>
      <w:r w:rsidRPr="006A0E2B">
        <w:rPr>
          <w:i/>
        </w:rPr>
        <w:t>ca.</w:t>
      </w:r>
      <w:r>
        <w:t xml:space="preserve"> 7.5 h.  These control experiments establish that</w:t>
      </w:r>
      <w:r w:rsidRPr="00070892">
        <w:rPr>
          <w:b/>
        </w:rPr>
        <w:t xml:space="preserve"> </w:t>
      </w:r>
      <w:r>
        <w:rPr>
          <w:b/>
        </w:rPr>
        <w:t>Pd</w:t>
      </w:r>
      <w:r w:rsidRPr="008A0595">
        <w:rPr>
          <w:b/>
          <w:vertAlign w:val="subscript"/>
        </w:rPr>
        <w:t>3</w:t>
      </w:r>
      <w:r>
        <w:rPr>
          <w:b/>
        </w:rPr>
        <w:t>Br</w:t>
      </w:r>
      <w:r>
        <w:rPr>
          <w:rFonts w:ascii="Constantia" w:hAnsi="Constantia"/>
          <w:b/>
        </w:rPr>
        <w:t>•</w:t>
      </w:r>
      <w:r>
        <w:rPr>
          <w:b/>
        </w:rPr>
        <w:t>Br</w:t>
      </w:r>
      <w:r>
        <w:t xml:space="preserve"> is a significantly more active catalysis species than </w:t>
      </w:r>
      <w:r>
        <w:rPr>
          <w:b/>
        </w:rPr>
        <w:t>4a</w:t>
      </w:r>
      <w:r>
        <w:t xml:space="preserve">. Thus, when generated </w:t>
      </w:r>
      <w:r>
        <w:rPr>
          <w:i/>
        </w:rPr>
        <w:t>in situ</w:t>
      </w:r>
      <w:r>
        <w:t xml:space="preserve">, we expect </w:t>
      </w:r>
      <w:r>
        <w:rPr>
          <w:b/>
        </w:rPr>
        <w:t>Pd</w:t>
      </w:r>
      <w:r w:rsidRPr="008A0595">
        <w:rPr>
          <w:b/>
          <w:vertAlign w:val="subscript"/>
        </w:rPr>
        <w:t>3</w:t>
      </w:r>
      <w:r>
        <w:rPr>
          <w:b/>
        </w:rPr>
        <w:t>Br</w:t>
      </w:r>
      <w:r w:rsidRPr="00A43D38">
        <w:rPr>
          <w:rFonts w:ascii="Constantia" w:hAnsi="Constantia"/>
          <w:b/>
          <w:vertAlign w:val="superscript"/>
        </w:rPr>
        <w:t>+</w:t>
      </w:r>
      <w:r>
        <w:t xml:space="preserve"> species to play a more dominant role in terms of the overall catalyst efficacy </w:t>
      </w:r>
      <w:r>
        <w:rPr>
          <w:i/>
        </w:rPr>
        <w:t>vide infra</w:t>
      </w:r>
      <w:r>
        <w:t xml:space="preserve">.  </w:t>
      </w:r>
    </w:p>
    <w:p w14:paraId="1AAA1CE7" w14:textId="7857CEBB" w:rsidR="00CE3501" w:rsidRDefault="00CE3501" w:rsidP="00F66AC6">
      <w:pPr>
        <w:pStyle w:val="RSCB02ArticleText"/>
        <w:ind w:firstLine="284"/>
      </w:pPr>
      <w:r>
        <w:t xml:space="preserve">With the kinetic profiles for the SMCC reaction of </w:t>
      </w:r>
      <w:r>
        <w:rPr>
          <w:b/>
        </w:rPr>
        <w:t>1c+2</w:t>
      </w:r>
      <w:r>
        <w:rPr>
          <w:rFonts w:ascii="Times New Roman" w:hAnsi="Times New Roman"/>
          <w:b/>
        </w:rPr>
        <w:t>→</w:t>
      </w:r>
      <w:r w:rsidRPr="00F57495">
        <w:rPr>
          <w:b/>
        </w:rPr>
        <w:t>3</w:t>
      </w:r>
      <w:r>
        <w:t xml:space="preserve">, mediated by either </w:t>
      </w:r>
      <w:r>
        <w:rPr>
          <w:b/>
        </w:rPr>
        <w:t>Pd</w:t>
      </w:r>
      <w:r w:rsidRPr="008A0595">
        <w:rPr>
          <w:b/>
          <w:vertAlign w:val="subscript"/>
        </w:rPr>
        <w:t>3</w:t>
      </w:r>
      <w:r>
        <w:rPr>
          <w:b/>
        </w:rPr>
        <w:t>Br</w:t>
      </w:r>
      <w:r>
        <w:rPr>
          <w:rFonts w:ascii="Constantia" w:hAnsi="Constantia"/>
          <w:b/>
        </w:rPr>
        <w:t>•</w:t>
      </w:r>
      <w:r>
        <w:rPr>
          <w:b/>
        </w:rPr>
        <w:t>Br</w:t>
      </w:r>
      <w:r>
        <w:t xml:space="preserve"> or </w:t>
      </w:r>
      <w:r>
        <w:rPr>
          <w:b/>
        </w:rPr>
        <w:t>4a</w:t>
      </w:r>
      <w:r>
        <w:t xml:space="preserve">, established, we could then qualitatively compare the catalytic activity mediated by </w:t>
      </w:r>
      <w:r>
        <w:rPr>
          <w:b/>
        </w:rPr>
        <w:t>Pd</w:t>
      </w:r>
      <w:r w:rsidRPr="008A0595">
        <w:rPr>
          <w:b/>
          <w:vertAlign w:val="subscript"/>
        </w:rPr>
        <w:t>3</w:t>
      </w:r>
      <w:r>
        <w:rPr>
          <w:b/>
        </w:rPr>
        <w:t>Br</w:t>
      </w:r>
      <w:r>
        <w:rPr>
          <w:rFonts w:ascii="Constantia" w:hAnsi="Constantia"/>
          <w:b/>
        </w:rPr>
        <w:t>•</w:t>
      </w:r>
      <w:r>
        <w:rPr>
          <w:b/>
        </w:rPr>
        <w:t>OAc</w:t>
      </w:r>
      <w:r>
        <w:t xml:space="preserve"> and [Pd(X/X</w:t>
      </w:r>
      <w:r>
        <w:rPr>
          <w:rFonts w:ascii="Constantia" w:hAnsi="Constantia"/>
        </w:rPr>
        <w:t>'</w:t>
      </w:r>
      <w:r>
        <w:t>)(</w:t>
      </w:r>
      <w:r w:rsidRPr="00260267">
        <w:rPr>
          <w:i/>
        </w:rPr>
        <w:t>N</w:t>
      </w:r>
      <w:r>
        <w:t>,</w:t>
      </w:r>
      <w:r w:rsidRPr="00260267">
        <w:rPr>
          <w:i/>
        </w:rPr>
        <w:t>C</w:t>
      </w:r>
      <w:r w:rsidRPr="00BB3858">
        <w:rPr>
          <w:vertAlign w:val="superscript"/>
        </w:rPr>
        <w:t>2</w:t>
      </w:r>
      <w:r>
        <w:t>-pyr)(PPh</w:t>
      </w:r>
      <w:r w:rsidRPr="00260267">
        <w:rPr>
          <w:vertAlign w:val="subscript"/>
        </w:rPr>
        <w:t>3</w:t>
      </w:r>
      <w:r>
        <w:t>)]</w:t>
      </w:r>
      <w:r w:rsidRPr="00E67816">
        <w:rPr>
          <w:vertAlign w:val="subscript"/>
        </w:rPr>
        <w:t>2</w:t>
      </w:r>
      <w:r w:rsidRPr="00E67816">
        <w:rPr>
          <w:vertAlign w:val="subscript"/>
        </w:rPr>
        <w:softHyphen/>
      </w:r>
      <w:r>
        <w:t xml:space="preserve"> (</w:t>
      </w:r>
      <w:r>
        <w:rPr>
          <w:b/>
        </w:rPr>
        <w:t>4a</w:t>
      </w:r>
      <w:r>
        <w:t>-</w:t>
      </w:r>
      <w:r>
        <w:rPr>
          <w:b/>
        </w:rPr>
        <w:t>c</w:t>
      </w:r>
      <w:r>
        <w:t xml:space="preserve">) species, formed </w:t>
      </w:r>
      <w:r>
        <w:rPr>
          <w:i/>
        </w:rPr>
        <w:t xml:space="preserve">in situ </w:t>
      </w:r>
      <w:r>
        <w:t xml:space="preserve">from the reaction of </w:t>
      </w:r>
      <w:r>
        <w:rPr>
          <w:b/>
        </w:rPr>
        <w:t>II</w:t>
      </w:r>
      <w:r>
        <w:t xml:space="preserve"> with </w:t>
      </w:r>
      <w:r>
        <w:rPr>
          <w:b/>
        </w:rPr>
        <w:t>1c</w:t>
      </w:r>
      <w:r>
        <w:t>.</w:t>
      </w:r>
      <w:r w:rsidR="006602D5">
        <w:rPr>
          <w:vertAlign w:val="superscript"/>
        </w:rPr>
        <w:t>20</w:t>
      </w:r>
      <w:r>
        <w:t xml:space="preserve">  The observed catalyst activity sits between the high reactivity of </w:t>
      </w:r>
      <w:r>
        <w:rPr>
          <w:b/>
        </w:rPr>
        <w:t>Pd</w:t>
      </w:r>
      <w:r w:rsidRPr="008A0595">
        <w:rPr>
          <w:b/>
          <w:vertAlign w:val="subscript"/>
        </w:rPr>
        <w:t>3</w:t>
      </w:r>
      <w:r>
        <w:rPr>
          <w:b/>
        </w:rPr>
        <w:t>Br</w:t>
      </w:r>
      <w:r>
        <w:rPr>
          <w:rFonts w:ascii="Constantia" w:hAnsi="Constantia"/>
          <w:b/>
        </w:rPr>
        <w:t>•</w:t>
      </w:r>
      <w:r>
        <w:rPr>
          <w:b/>
        </w:rPr>
        <w:t>Br</w:t>
      </w:r>
      <w:r>
        <w:t xml:space="preserve"> and comparatively lower activity of [Pd(Br)(</w:t>
      </w:r>
      <w:r w:rsidRPr="00260267">
        <w:rPr>
          <w:i/>
        </w:rPr>
        <w:t>N</w:t>
      </w:r>
      <w:r>
        <w:t>,</w:t>
      </w:r>
      <w:r w:rsidRPr="00260267">
        <w:rPr>
          <w:i/>
        </w:rPr>
        <w:t>C</w:t>
      </w:r>
      <w:r w:rsidRPr="00BB3858">
        <w:rPr>
          <w:vertAlign w:val="superscript"/>
        </w:rPr>
        <w:t>2</w:t>
      </w:r>
      <w:r>
        <w:t>-pyr)(PPh</w:t>
      </w:r>
      <w:r w:rsidRPr="00260267">
        <w:rPr>
          <w:vertAlign w:val="subscript"/>
        </w:rPr>
        <w:t>3</w:t>
      </w:r>
      <w:r>
        <w:t>)]</w:t>
      </w:r>
      <w:r w:rsidRPr="00E67816">
        <w:rPr>
          <w:vertAlign w:val="subscript"/>
        </w:rPr>
        <w:t>2</w:t>
      </w:r>
      <w:r w:rsidRPr="00E67816">
        <w:rPr>
          <w:vertAlign w:val="subscript"/>
        </w:rPr>
        <w:softHyphen/>
      </w:r>
      <w:r>
        <w:t xml:space="preserve"> </w:t>
      </w:r>
      <w:r>
        <w:rPr>
          <w:b/>
        </w:rPr>
        <w:t>4a</w:t>
      </w:r>
      <w:r>
        <w:t xml:space="preserve">. </w:t>
      </w:r>
    </w:p>
    <w:p w14:paraId="304FFC9E" w14:textId="77777777" w:rsidR="0089642C" w:rsidRDefault="0089642C" w:rsidP="00CE3501">
      <w:pPr>
        <w:pStyle w:val="RSCB02ArticleText"/>
      </w:pPr>
    </w:p>
    <w:p w14:paraId="62048AED" w14:textId="77777777" w:rsidR="0089642C" w:rsidRDefault="0089642C" w:rsidP="00CE3501">
      <w:pPr>
        <w:pStyle w:val="RSCB02ArticleText"/>
      </w:pPr>
    </w:p>
    <w:p w14:paraId="0B239C91" w14:textId="77777777" w:rsidR="00CE3501" w:rsidRDefault="00CE3501" w:rsidP="00134930">
      <w:pPr>
        <w:pStyle w:val="RSCI02FigureSchemeChartwithtopbar"/>
      </w:pPr>
      <w:r w:rsidRPr="00905BB5">
        <w:rPr>
          <w:noProof/>
          <w:lang w:eastAsia="en-GB"/>
        </w:rPr>
        <w:drawing>
          <wp:inline distT="0" distB="0" distL="0" distR="0" wp14:anchorId="55967581" wp14:editId="0826B600">
            <wp:extent cx="3044825" cy="160337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4825" cy="1603375"/>
                    </a:xfrm>
                    <a:prstGeom prst="rect">
                      <a:avLst/>
                    </a:prstGeom>
                    <a:noFill/>
                    <a:ln>
                      <a:noFill/>
                    </a:ln>
                  </pic:spPr>
                </pic:pic>
              </a:graphicData>
            </a:graphic>
          </wp:inline>
        </w:drawing>
      </w:r>
    </w:p>
    <w:p w14:paraId="020CA4B2" w14:textId="2E9EF0FF" w:rsidR="00CE3501" w:rsidRDefault="00CE3501" w:rsidP="00134930">
      <w:pPr>
        <w:pStyle w:val="RSCI04CaptiontoFigureSchemeChart"/>
      </w:pPr>
      <w:r w:rsidRPr="00543AB0">
        <w:t xml:space="preserve">Figure </w:t>
      </w:r>
      <w:r w:rsidR="00A070F8">
        <w:t>8</w:t>
      </w:r>
      <w:r w:rsidRPr="00543AB0">
        <w:t xml:space="preserve"> Overlay of kinetic curves for the SMCC reaction of </w:t>
      </w:r>
      <w:r w:rsidRPr="00543AB0">
        <w:rPr>
          <w:b/>
        </w:rPr>
        <w:t>1c</w:t>
      </w:r>
      <w:r>
        <w:rPr>
          <w:b/>
        </w:rPr>
        <w:t>+2</w:t>
      </w:r>
      <w:r>
        <w:rPr>
          <w:rFonts w:ascii="Times New Roman" w:hAnsi="Times New Roman"/>
          <w:b/>
        </w:rPr>
        <w:t>→</w:t>
      </w:r>
      <w:r w:rsidRPr="00F57495">
        <w:rPr>
          <w:b/>
        </w:rPr>
        <w:t>3</w:t>
      </w:r>
      <w:r>
        <w:t xml:space="preserve">, mediated by </w:t>
      </w:r>
      <w:r>
        <w:rPr>
          <w:b/>
        </w:rPr>
        <w:t>Pd</w:t>
      </w:r>
      <w:r w:rsidRPr="008A0595">
        <w:rPr>
          <w:b/>
          <w:vertAlign w:val="subscript"/>
        </w:rPr>
        <w:t>3</w:t>
      </w:r>
      <w:r>
        <w:rPr>
          <w:b/>
        </w:rPr>
        <w:t>Br</w:t>
      </w:r>
      <w:r>
        <w:rPr>
          <w:rFonts w:ascii="Constantia" w:hAnsi="Constantia"/>
          <w:b/>
        </w:rPr>
        <w:t>•</w:t>
      </w:r>
      <w:r>
        <w:rPr>
          <w:b/>
        </w:rPr>
        <w:t>Br</w:t>
      </w:r>
      <w:r>
        <w:t xml:space="preserve"> (1 mol%), </w:t>
      </w:r>
      <w:r>
        <w:rPr>
          <w:b/>
        </w:rPr>
        <w:t>4a</w:t>
      </w:r>
      <w:r>
        <w:t xml:space="preserve"> (0.5 mol%) and </w:t>
      </w:r>
      <w:r>
        <w:rPr>
          <w:b/>
        </w:rPr>
        <w:t>II</w:t>
      </w:r>
      <w:r>
        <w:t xml:space="preserve"> (1.5 mol%, generating </w:t>
      </w:r>
      <w:r>
        <w:rPr>
          <w:b/>
        </w:rPr>
        <w:t>Pd</w:t>
      </w:r>
      <w:r w:rsidRPr="008A0595">
        <w:rPr>
          <w:b/>
          <w:vertAlign w:val="subscript"/>
        </w:rPr>
        <w:t>3</w:t>
      </w:r>
      <w:r>
        <w:rPr>
          <w:b/>
        </w:rPr>
        <w:t>Br</w:t>
      </w:r>
      <w:r>
        <w:rPr>
          <w:rFonts w:ascii="Constantia" w:hAnsi="Constantia"/>
          <w:b/>
        </w:rPr>
        <w:t>•</w:t>
      </w:r>
      <w:r>
        <w:rPr>
          <w:b/>
        </w:rPr>
        <w:t>OAc</w:t>
      </w:r>
      <w:r>
        <w:t xml:space="preserve">, </w:t>
      </w:r>
      <w:r>
        <w:rPr>
          <w:b/>
        </w:rPr>
        <w:t>4a-c</w:t>
      </w:r>
      <w:r>
        <w:t xml:space="preserve"> </w:t>
      </w:r>
      <w:r>
        <w:rPr>
          <w:i/>
        </w:rPr>
        <w:t>in situ</w:t>
      </w:r>
      <w:r>
        <w:t xml:space="preserve">); other reaction conditions identical to Fig. 6. Reactions were monitored by </w:t>
      </w:r>
      <w:r w:rsidRPr="000F3ADD">
        <w:rPr>
          <w:vertAlign w:val="superscript"/>
        </w:rPr>
        <w:t>1</w:t>
      </w:r>
      <w:r>
        <w:t>H NMR spectroscopic analysis in a J. Young’s NMR tube (spinning).</w:t>
      </w:r>
    </w:p>
    <w:p w14:paraId="229028BA" w14:textId="77777777" w:rsidR="00A070F8" w:rsidRDefault="00A070F8" w:rsidP="00A070F8">
      <w:pPr>
        <w:pStyle w:val="RSCI01FigureSchemeChartwithbottombar"/>
      </w:pPr>
    </w:p>
    <w:p w14:paraId="3A16EB00" w14:textId="77777777" w:rsidR="00CE3501" w:rsidRPr="00974A32" w:rsidRDefault="00CE3501" w:rsidP="00CE3501">
      <w:pPr>
        <w:pStyle w:val="04AHeading"/>
      </w:pPr>
      <w:r>
        <w:t>Conclusion</w:t>
      </w:r>
    </w:p>
    <w:p w14:paraId="1C422A88" w14:textId="1434AB10" w:rsidR="00CE3501" w:rsidRDefault="00CE3501" w:rsidP="00CE3501">
      <w:pPr>
        <w:pStyle w:val="RSCB02ArticleText"/>
      </w:pPr>
      <w:r>
        <w:t xml:space="preserve">In conclusion we have demonstrated that </w:t>
      </w:r>
      <w:r w:rsidRPr="00D7205E">
        <w:t>reaction of Pd</w:t>
      </w:r>
      <w:r w:rsidRPr="00D7205E">
        <w:rPr>
          <w:vertAlign w:val="subscript"/>
        </w:rPr>
        <w:t>3</w:t>
      </w:r>
      <w:r w:rsidRPr="00D7205E">
        <w:t>(OAc)</w:t>
      </w:r>
      <w:r w:rsidRPr="00D7205E">
        <w:rPr>
          <w:vertAlign w:val="subscript"/>
        </w:rPr>
        <w:t>6</w:t>
      </w:r>
      <w:r w:rsidRPr="00D7205E">
        <w:t xml:space="preserve"> with 6 equivalents of PPh</w:t>
      </w:r>
      <w:r w:rsidRPr="00D7205E">
        <w:rPr>
          <w:vertAlign w:val="subscript"/>
        </w:rPr>
        <w:t>3</w:t>
      </w:r>
      <w:r>
        <w:t xml:space="preserve">, that is in a </w:t>
      </w:r>
      <w:r w:rsidRPr="00D7205E">
        <w:t>Pd/PPh</w:t>
      </w:r>
      <w:r w:rsidRPr="00D83F09">
        <w:rPr>
          <w:vertAlign w:val="subscript"/>
        </w:rPr>
        <w:t>3</w:t>
      </w:r>
      <w:r w:rsidRPr="00D7205E">
        <w:t xml:space="preserve"> ratio of 1:2</w:t>
      </w:r>
      <w:r>
        <w:t xml:space="preserve">, gives an intriguing </w:t>
      </w:r>
      <w:r w:rsidRPr="00D7205E">
        <w:t>dinuclear Pd</w:t>
      </w:r>
      <w:r w:rsidRPr="00D7205E">
        <w:rPr>
          <w:vertAlign w:val="superscript"/>
        </w:rPr>
        <w:t>I</w:t>
      </w:r>
      <w:r w:rsidRPr="00D7205E">
        <w:t xml:space="preserve"> complex</w:t>
      </w:r>
      <w:r>
        <w:t>,</w:t>
      </w:r>
      <w:r w:rsidRPr="00D7205E">
        <w:t xml:space="preserve"> [Pd</w:t>
      </w:r>
      <w:r w:rsidRPr="00D7205E">
        <w:rPr>
          <w:vertAlign w:val="subscript"/>
        </w:rPr>
        <w:t>2</w:t>
      </w:r>
      <w:r w:rsidRPr="00D7205E">
        <w:t>(µ-PPh</w:t>
      </w:r>
      <w:r w:rsidRPr="00D7205E">
        <w:rPr>
          <w:vertAlign w:val="subscript"/>
        </w:rPr>
        <w:t>2</w:t>
      </w:r>
      <w:r w:rsidRPr="00D7205E">
        <w:t>)(µ</w:t>
      </w:r>
      <w:r w:rsidRPr="00D7205E">
        <w:rPr>
          <w:vertAlign w:val="subscript"/>
        </w:rPr>
        <w:t>2</w:t>
      </w:r>
      <w:r w:rsidRPr="00D7205E">
        <w:t>-OAc)(PPh</w:t>
      </w:r>
      <w:r w:rsidRPr="00D7205E">
        <w:rPr>
          <w:vertAlign w:val="subscript"/>
        </w:rPr>
        <w:t>3</w:t>
      </w:r>
      <w:r w:rsidRPr="00D7205E">
        <w:t>)</w:t>
      </w:r>
      <w:r w:rsidRPr="00D7205E">
        <w:rPr>
          <w:vertAlign w:val="subscript"/>
        </w:rPr>
        <w:t>2</w:t>
      </w:r>
      <w:r w:rsidRPr="00D7205E">
        <w:t>]</w:t>
      </w:r>
      <w:r>
        <w:t xml:space="preserve">, </w:t>
      </w:r>
      <w:r>
        <w:rPr>
          <w:b/>
        </w:rPr>
        <w:t>II</w:t>
      </w:r>
      <w:r w:rsidRPr="00D7205E">
        <w:t xml:space="preserve">. </w:t>
      </w:r>
      <w:r>
        <w:t xml:space="preserve"> Species </w:t>
      </w:r>
      <w:r>
        <w:rPr>
          <w:b/>
        </w:rPr>
        <w:t xml:space="preserve">II </w:t>
      </w:r>
      <w:r>
        <w:t xml:space="preserve">is relatively </w:t>
      </w:r>
      <w:r w:rsidRPr="00D7205E">
        <w:t>unstable</w:t>
      </w:r>
      <w:r>
        <w:t>, but characterizable, and we propose it is this species that Amatore and Jutand detected in their early studies, which resisted characterization at that time.</w:t>
      </w:r>
      <w:r>
        <w:rPr>
          <w:vertAlign w:val="superscript"/>
        </w:rPr>
        <w:t>4a</w:t>
      </w:r>
      <w:r>
        <w:t xml:space="preserve"> An important discovery was the finding that </w:t>
      </w:r>
      <w:r>
        <w:rPr>
          <w:b/>
        </w:rPr>
        <w:t xml:space="preserve">II </w:t>
      </w:r>
      <w:r w:rsidRPr="00D7205E">
        <w:t xml:space="preserve">reacts </w:t>
      </w:r>
      <w:r>
        <w:t xml:space="preserve">relatively cleanly </w:t>
      </w:r>
      <w:r w:rsidRPr="00D7205E">
        <w:t xml:space="preserve">with </w:t>
      </w:r>
      <w:r>
        <w:t xml:space="preserve">the organohalides, </w:t>
      </w:r>
      <w:r w:rsidRPr="00D7205E">
        <w:t>CH</w:t>
      </w:r>
      <w:r w:rsidRPr="00D7205E">
        <w:rPr>
          <w:vertAlign w:val="subscript"/>
        </w:rPr>
        <w:t>2</w:t>
      </w:r>
      <w:r w:rsidRPr="00D7205E">
        <w:t>Cl</w:t>
      </w:r>
      <w:r w:rsidRPr="00D7205E">
        <w:rPr>
          <w:vertAlign w:val="subscript"/>
        </w:rPr>
        <w:t>2</w:t>
      </w:r>
      <w:r>
        <w:rPr>
          <w:vertAlign w:val="subscript"/>
        </w:rPr>
        <w:t xml:space="preserve"> </w:t>
      </w:r>
      <w:r w:rsidRPr="00D83F09">
        <w:rPr>
          <w:b/>
        </w:rPr>
        <w:t>(1a</w:t>
      </w:r>
      <w:r>
        <w:rPr>
          <w:b/>
        </w:rPr>
        <w:t>)</w:t>
      </w:r>
      <w:r w:rsidRPr="00D7205E">
        <w:t xml:space="preserve">, </w:t>
      </w:r>
      <w:r w:rsidRPr="0024261B">
        <w:rPr>
          <w:i/>
        </w:rPr>
        <w:t>p</w:t>
      </w:r>
      <w:r w:rsidRPr="00D7205E">
        <w:t xml:space="preserve">-fluoroiodobenzene </w:t>
      </w:r>
      <w:r w:rsidRPr="00D83F09">
        <w:rPr>
          <w:b/>
        </w:rPr>
        <w:t>(1</w:t>
      </w:r>
      <w:r>
        <w:rPr>
          <w:b/>
        </w:rPr>
        <w:t xml:space="preserve">b) </w:t>
      </w:r>
      <w:r>
        <w:t xml:space="preserve">and </w:t>
      </w:r>
      <w:r w:rsidRPr="00D7205E">
        <w:t xml:space="preserve">2-bromopyridine </w:t>
      </w:r>
      <w:r>
        <w:t>(</w:t>
      </w:r>
      <w:r>
        <w:rPr>
          <w:b/>
        </w:rPr>
        <w:t>1c</w:t>
      </w:r>
      <w:r>
        <w:t>)</w:t>
      </w:r>
      <w:r>
        <w:rPr>
          <w:b/>
        </w:rPr>
        <w:t xml:space="preserve"> </w:t>
      </w:r>
      <w:r w:rsidRPr="00D7205E">
        <w:t>to afford Pd</w:t>
      </w:r>
      <w:r w:rsidRPr="00D83F09">
        <w:rPr>
          <w:vertAlign w:val="subscript"/>
        </w:rPr>
        <w:t>3</w:t>
      </w:r>
      <w:r w:rsidRPr="00D7205E">
        <w:t xml:space="preserve"> cluster complexes containing bridging halide ligands, </w:t>
      </w:r>
      <w:r w:rsidRPr="00D83F09">
        <w:rPr>
          <w:i/>
        </w:rPr>
        <w:t>i.e.</w:t>
      </w:r>
      <w:r w:rsidRPr="00D7205E">
        <w:t xml:space="preserve"> [Pd</w:t>
      </w:r>
      <w:r w:rsidRPr="00D83F09">
        <w:rPr>
          <w:vertAlign w:val="subscript"/>
        </w:rPr>
        <w:t>3</w:t>
      </w:r>
      <w:r w:rsidRPr="00D7205E">
        <w:t>(X)(PPh</w:t>
      </w:r>
      <w:r w:rsidRPr="00D83F09">
        <w:rPr>
          <w:vertAlign w:val="subscript"/>
        </w:rPr>
        <w:t>2</w:t>
      </w:r>
      <w:r w:rsidRPr="00D7205E">
        <w:t>)</w:t>
      </w:r>
      <w:r w:rsidRPr="00D83F09">
        <w:rPr>
          <w:vertAlign w:val="subscript"/>
        </w:rPr>
        <w:t>2</w:t>
      </w:r>
      <w:r w:rsidRPr="00D7205E">
        <w:t>(PPh</w:t>
      </w:r>
      <w:r w:rsidRPr="00D83F09">
        <w:rPr>
          <w:vertAlign w:val="subscript"/>
        </w:rPr>
        <w:t>3</w:t>
      </w:r>
      <w:r w:rsidRPr="00D7205E">
        <w:t>)</w:t>
      </w:r>
      <w:r w:rsidRPr="00D83F09">
        <w:rPr>
          <w:vertAlign w:val="subscript"/>
        </w:rPr>
        <w:t>3</w:t>
      </w:r>
      <w:r w:rsidRPr="00D7205E">
        <w:t xml:space="preserve">]X, carrying an overall 4/3 </w:t>
      </w:r>
      <w:r w:rsidR="002E2584">
        <w:t>oxidation state</w:t>
      </w:r>
      <w:r w:rsidRPr="00D7205E">
        <w:t xml:space="preserve">. </w:t>
      </w:r>
      <w:r>
        <w:t xml:space="preserve"> </w:t>
      </w:r>
      <w:r w:rsidRPr="00D7205E">
        <w:t xml:space="preserve">Use of 2-bromopyridine </w:t>
      </w:r>
      <w:r>
        <w:rPr>
          <w:b/>
        </w:rPr>
        <w:t xml:space="preserve">1c </w:t>
      </w:r>
      <w:r w:rsidRPr="00D7205E">
        <w:t>was critical in understanding that a putative 14-electron mononuclear ‘Pd</w:t>
      </w:r>
      <w:r w:rsidRPr="00D83F09">
        <w:rPr>
          <w:vertAlign w:val="superscript"/>
        </w:rPr>
        <w:t>II</w:t>
      </w:r>
      <w:r w:rsidRPr="00D7205E">
        <w:t>(R)(X)(PPh</w:t>
      </w:r>
      <w:r w:rsidRPr="00D83F09">
        <w:rPr>
          <w:vertAlign w:val="subscript"/>
        </w:rPr>
        <w:t>3</w:t>
      </w:r>
      <w:r w:rsidRPr="00D7205E">
        <w:t>)’ is released on forming [Pd</w:t>
      </w:r>
      <w:r w:rsidRPr="00D83F09">
        <w:rPr>
          <w:vertAlign w:val="subscript"/>
        </w:rPr>
        <w:t>3</w:t>
      </w:r>
      <w:r w:rsidRPr="00D7205E">
        <w:t>(X)(PPh</w:t>
      </w:r>
      <w:r w:rsidRPr="00D83F09">
        <w:rPr>
          <w:vertAlign w:val="subscript"/>
        </w:rPr>
        <w:t>2</w:t>
      </w:r>
      <w:r w:rsidRPr="00D7205E">
        <w:t>)</w:t>
      </w:r>
      <w:r w:rsidRPr="00D83F09">
        <w:rPr>
          <w:vertAlign w:val="subscript"/>
        </w:rPr>
        <w:t>2</w:t>
      </w:r>
      <w:r w:rsidRPr="00D7205E">
        <w:t>(PPh</w:t>
      </w:r>
      <w:r w:rsidRPr="00D83F09">
        <w:rPr>
          <w:vertAlign w:val="subscript"/>
        </w:rPr>
        <w:t>3</w:t>
      </w:r>
      <w:r w:rsidRPr="00D7205E">
        <w:t>)</w:t>
      </w:r>
      <w:r w:rsidRPr="00D83F09">
        <w:rPr>
          <w:vertAlign w:val="subscript"/>
        </w:rPr>
        <w:t>3</w:t>
      </w:r>
      <w:r w:rsidRPr="00D7205E">
        <w:t xml:space="preserve">]X clusters from </w:t>
      </w:r>
      <w:r>
        <w:rPr>
          <w:b/>
        </w:rPr>
        <w:t>II</w:t>
      </w:r>
      <w:r w:rsidRPr="00D7205E">
        <w:t>. Altering the Pd/PPh</w:t>
      </w:r>
      <w:r w:rsidRPr="00105A50">
        <w:rPr>
          <w:vertAlign w:val="subscript"/>
        </w:rPr>
        <w:t>3</w:t>
      </w:r>
      <w:r w:rsidRPr="00D7205E">
        <w:t xml:space="preserve"> ratio </w:t>
      </w:r>
      <w:r>
        <w:t xml:space="preserve">from 1:2 </w:t>
      </w:r>
      <w:r w:rsidRPr="00D7205E">
        <w:t>to 1:4 forms Pd</w:t>
      </w:r>
      <w:r>
        <w:rPr>
          <w:vertAlign w:val="superscript"/>
        </w:rPr>
        <w:t>0</w:t>
      </w:r>
      <w:r w:rsidRPr="00D7205E">
        <w:t>(PPh</w:t>
      </w:r>
      <w:r w:rsidRPr="00105A50">
        <w:rPr>
          <w:vertAlign w:val="subscript"/>
        </w:rPr>
        <w:t>3</w:t>
      </w:r>
      <w:r w:rsidRPr="00D7205E">
        <w:t>)</w:t>
      </w:r>
      <w:r w:rsidRPr="00105A50">
        <w:rPr>
          <w:vertAlign w:val="subscript"/>
        </w:rPr>
        <w:t>3</w:t>
      </w:r>
      <w:r w:rsidRPr="00D7205E">
        <w:t xml:space="preserve"> quantitatively</w:t>
      </w:r>
      <w:r>
        <w:t>, generally in-keeping with Amatore’s and Jutand’s original studies</w:t>
      </w:r>
      <w:r w:rsidRPr="00D7205E">
        <w:t>.</w:t>
      </w:r>
      <w:r>
        <w:rPr>
          <w:vertAlign w:val="superscript"/>
        </w:rPr>
        <w:t>4</w:t>
      </w:r>
      <w:r w:rsidRPr="00D7205E">
        <w:t xml:space="preserve"> </w:t>
      </w:r>
      <w:r>
        <w:t xml:space="preserve">It has been established further that the </w:t>
      </w:r>
      <w:r w:rsidRPr="00D7205E">
        <w:t>Pd/PPh</w:t>
      </w:r>
      <w:r w:rsidRPr="001B2232">
        <w:rPr>
          <w:vertAlign w:val="subscript"/>
        </w:rPr>
        <w:t>3</w:t>
      </w:r>
      <w:r w:rsidRPr="00D7205E">
        <w:t xml:space="preserve"> ratio</w:t>
      </w:r>
      <w:r>
        <w:t xml:space="preserve">s are important in an exemplar SMCC reaction, </w:t>
      </w:r>
      <w:r w:rsidRPr="00D7205E">
        <w:t>Pd/PPh</w:t>
      </w:r>
      <w:r w:rsidRPr="001B2232">
        <w:rPr>
          <w:vertAlign w:val="subscript"/>
        </w:rPr>
        <w:t>3</w:t>
      </w:r>
      <w:r w:rsidRPr="00D7205E">
        <w:t xml:space="preserve"> ratio</w:t>
      </w:r>
      <w:r w:rsidRPr="004D4FE3">
        <w:t xml:space="preserve"> </w:t>
      </w:r>
      <w:r w:rsidRPr="00D7205E">
        <w:t>Pd/PPh</w:t>
      </w:r>
      <w:r w:rsidRPr="001B2232">
        <w:rPr>
          <w:vertAlign w:val="subscript"/>
        </w:rPr>
        <w:t>3</w:t>
      </w:r>
      <w:r w:rsidRPr="00D7205E">
        <w:t xml:space="preserve"> </w:t>
      </w:r>
      <w:r>
        <w:t xml:space="preserve">reaction, </w:t>
      </w:r>
      <w:r>
        <w:rPr>
          <w:b/>
        </w:rPr>
        <w:t>1c+2</w:t>
      </w:r>
      <w:r>
        <w:rPr>
          <w:rFonts w:ascii="Times New Roman" w:hAnsi="Times New Roman"/>
          <w:b/>
        </w:rPr>
        <w:t>→</w:t>
      </w:r>
      <w:r w:rsidRPr="00F57495">
        <w:rPr>
          <w:b/>
        </w:rPr>
        <w:t>3</w:t>
      </w:r>
      <w:r>
        <w:t>. Near identical catalytic efficacy was seen for a reaction mediated by either 1</w:t>
      </w:r>
      <w:r w:rsidRPr="00075387">
        <w:t>Pd(OAc)</w:t>
      </w:r>
      <w:r w:rsidRPr="00075387">
        <w:rPr>
          <w:vertAlign w:val="subscript"/>
        </w:rPr>
        <w:t>2</w:t>
      </w:r>
      <w:r w:rsidRPr="00075387">
        <w:t>/</w:t>
      </w:r>
      <w:r>
        <w:t>2</w:t>
      </w:r>
      <w:r w:rsidRPr="00075387">
        <w:t>PPh</w:t>
      </w:r>
      <w:r w:rsidRPr="00075387">
        <w:rPr>
          <w:vertAlign w:val="subscript"/>
        </w:rPr>
        <w:t>3</w:t>
      </w:r>
      <w:r>
        <w:t xml:space="preserve"> or </w:t>
      </w:r>
      <w:r>
        <w:rPr>
          <w:b/>
        </w:rPr>
        <w:t>II</w:t>
      </w:r>
      <w:r>
        <w:t>, whereas the 1</w:t>
      </w:r>
      <w:r w:rsidRPr="00075387">
        <w:t>Pd(OAc)</w:t>
      </w:r>
      <w:r w:rsidRPr="00075387">
        <w:rPr>
          <w:vertAlign w:val="subscript"/>
        </w:rPr>
        <w:t>2</w:t>
      </w:r>
      <w:r w:rsidRPr="00075387">
        <w:t>/</w:t>
      </w:r>
      <w:r>
        <w:t>4</w:t>
      </w:r>
      <w:r w:rsidRPr="00075387">
        <w:t>PPh</w:t>
      </w:r>
      <w:r w:rsidRPr="00075387">
        <w:rPr>
          <w:vertAlign w:val="subscript"/>
        </w:rPr>
        <w:t>3</w:t>
      </w:r>
      <w:r>
        <w:t xml:space="preserve"> catalyst system was significantly less effective, requiring a higher temperature (70 rather than 40 </w:t>
      </w:r>
      <w:r>
        <w:rPr>
          <w:rFonts w:ascii="Constantia" w:hAnsi="Constantia"/>
        </w:rPr>
        <w:t>⁰</w:t>
      </w:r>
      <w:r>
        <w:t xml:space="preserve">C) for reasonable conversion to product </w:t>
      </w:r>
      <w:r>
        <w:rPr>
          <w:b/>
        </w:rPr>
        <w:t>3</w:t>
      </w:r>
      <w:r>
        <w:t xml:space="preserve"> to be observed.  </w:t>
      </w:r>
    </w:p>
    <w:p w14:paraId="3166717C" w14:textId="56BD3B77" w:rsidR="00CE3501" w:rsidRPr="00E42B0E" w:rsidRDefault="00CE3501" w:rsidP="00F66AC6">
      <w:pPr>
        <w:pStyle w:val="RSCB02ArticleText"/>
        <w:ind w:firstLine="284"/>
      </w:pPr>
      <w:r>
        <w:t xml:space="preserve">An important take home message from our study is that where </w:t>
      </w:r>
      <w:r w:rsidRPr="00D7205E">
        <w:t>[Pd</w:t>
      </w:r>
      <w:r w:rsidRPr="00D7205E">
        <w:rPr>
          <w:vertAlign w:val="subscript"/>
        </w:rPr>
        <w:t>2</w:t>
      </w:r>
      <w:r w:rsidRPr="00D7205E">
        <w:t>(µ-PPh</w:t>
      </w:r>
      <w:r w:rsidRPr="00D7205E">
        <w:rPr>
          <w:vertAlign w:val="subscript"/>
        </w:rPr>
        <w:t>2</w:t>
      </w:r>
      <w:r w:rsidRPr="00D7205E">
        <w:t>)(µ</w:t>
      </w:r>
      <w:r w:rsidRPr="00D7205E">
        <w:rPr>
          <w:vertAlign w:val="subscript"/>
        </w:rPr>
        <w:t>2</w:t>
      </w:r>
      <w:r w:rsidRPr="00D7205E">
        <w:t>-OAc)(PPh</w:t>
      </w:r>
      <w:r w:rsidRPr="00D7205E">
        <w:rPr>
          <w:vertAlign w:val="subscript"/>
        </w:rPr>
        <w:t>3</w:t>
      </w:r>
      <w:r w:rsidRPr="00D7205E">
        <w:t>)</w:t>
      </w:r>
      <w:r w:rsidRPr="00D7205E">
        <w:rPr>
          <w:vertAlign w:val="subscript"/>
        </w:rPr>
        <w:t>2</w:t>
      </w:r>
      <w:r w:rsidRPr="00D7205E">
        <w:t>]</w:t>
      </w:r>
      <w:r>
        <w:t xml:space="preserve"> </w:t>
      </w:r>
      <w:r>
        <w:rPr>
          <w:b/>
        </w:rPr>
        <w:t>II</w:t>
      </w:r>
      <w:r>
        <w:t xml:space="preserve"> can form, </w:t>
      </w:r>
      <w:r>
        <w:rPr>
          <w:i/>
        </w:rPr>
        <w:t>i.e.</w:t>
      </w:r>
      <w:r>
        <w:t xml:space="preserve"> when a ratio of </w:t>
      </w:r>
      <w:r w:rsidRPr="00D7205E">
        <w:t>Pd/PPh</w:t>
      </w:r>
      <w:r w:rsidRPr="001B2232">
        <w:rPr>
          <w:vertAlign w:val="subscript"/>
        </w:rPr>
        <w:t>3</w:t>
      </w:r>
      <w:r w:rsidRPr="00D7205E">
        <w:t xml:space="preserve"> ratio is 1:2</w:t>
      </w:r>
      <w:r>
        <w:t xml:space="preserve"> employed in catalysis, reactions with organohalides (common starting materials for cross-coupling catalysis) afford catalytically competent Pd</w:t>
      </w:r>
      <w:r>
        <w:rPr>
          <w:vertAlign w:val="subscript"/>
        </w:rPr>
        <w:t>3</w:t>
      </w:r>
      <w:r>
        <w:t xml:space="preserve"> cluster complexes </w:t>
      </w:r>
      <w:r>
        <w:rPr>
          <w:i/>
        </w:rPr>
        <w:t>in</w:t>
      </w:r>
      <w:r>
        <w:t xml:space="preserve"> </w:t>
      </w:r>
      <w:r>
        <w:rPr>
          <w:i/>
        </w:rPr>
        <w:t>situ</w:t>
      </w:r>
      <w:r>
        <w:t>, in addition to other known Pd</w:t>
      </w:r>
      <w:r>
        <w:rPr>
          <w:vertAlign w:val="superscript"/>
        </w:rPr>
        <w:t>II</w:t>
      </w:r>
      <w:r>
        <w:t xml:space="preserve"> species (</w:t>
      </w:r>
      <w:r>
        <w:rPr>
          <w:i/>
        </w:rPr>
        <w:t>i.e.</w:t>
      </w:r>
      <w:r>
        <w:t xml:space="preserve"> oxidative addition products). </w:t>
      </w:r>
      <w:r w:rsidR="002E2584">
        <w:t xml:space="preserve"> A general message is </w:t>
      </w:r>
      <w:r w:rsidR="002E2584" w:rsidRPr="002E2584">
        <w:t xml:space="preserve">if the relative amount of </w:t>
      </w:r>
      <w:r w:rsidR="002E2584">
        <w:t>PPh</w:t>
      </w:r>
      <w:r w:rsidR="002E2584" w:rsidRPr="002E2584">
        <w:rPr>
          <w:vertAlign w:val="subscript"/>
        </w:rPr>
        <w:t>3</w:t>
      </w:r>
      <w:r w:rsidR="002E2584">
        <w:t xml:space="preserve"> ligand</w:t>
      </w:r>
      <w:r w:rsidR="002E2584" w:rsidRPr="002E2584">
        <w:t xml:space="preserve"> to Pd is low, </w:t>
      </w:r>
      <w:r w:rsidR="002E2584">
        <w:t xml:space="preserve">that Pd </w:t>
      </w:r>
      <w:r w:rsidR="002E2584" w:rsidRPr="002E2584">
        <w:t>clustering tends to occur,  to afford either particles (</w:t>
      </w:r>
      <w:bookmarkStart w:id="2" w:name="_Hlk11583843"/>
      <w:r w:rsidR="002E2584">
        <w:t>where Pd/PPh</w:t>
      </w:r>
      <w:r w:rsidR="002E2584" w:rsidRPr="002E2584">
        <w:rPr>
          <w:vertAlign w:val="subscript"/>
        </w:rPr>
        <w:t>3</w:t>
      </w:r>
      <w:r w:rsidR="002E2584">
        <w:t xml:space="preserve"> = </w:t>
      </w:r>
      <w:bookmarkEnd w:id="2"/>
      <w:r w:rsidR="002E2584" w:rsidRPr="002E2584">
        <w:t xml:space="preserve">1:1), </w:t>
      </w:r>
      <w:r w:rsidR="002E2584">
        <w:t xml:space="preserve">or </w:t>
      </w:r>
      <w:r w:rsidR="002E2584" w:rsidRPr="002E2584">
        <w:t xml:space="preserve">‘ligated clusters’, </w:t>
      </w:r>
      <w:r w:rsidR="002E2584">
        <w:t xml:space="preserve">whereas </w:t>
      </w:r>
      <w:r w:rsidR="002E2584" w:rsidRPr="002E2584">
        <w:t>well-defined dimers and trimers</w:t>
      </w:r>
      <w:r w:rsidR="002E2584">
        <w:t xml:space="preserve"> are formed where Pd/PPh</w:t>
      </w:r>
      <w:r w:rsidR="002E2584" w:rsidRPr="00A60D38">
        <w:rPr>
          <w:vertAlign w:val="subscript"/>
        </w:rPr>
        <w:t>3</w:t>
      </w:r>
      <w:r w:rsidR="002E2584">
        <w:t xml:space="preserve"> = </w:t>
      </w:r>
      <w:r w:rsidR="002E2584" w:rsidRPr="002E2584">
        <w:t>1:2</w:t>
      </w:r>
      <w:r w:rsidR="002E2584">
        <w:t xml:space="preserve"> (the major finding this study)</w:t>
      </w:r>
      <w:r w:rsidR="002E2584" w:rsidRPr="002E2584">
        <w:t xml:space="preserve"> and when there is enough </w:t>
      </w:r>
      <w:r w:rsidR="002E2584">
        <w:t>PPh</w:t>
      </w:r>
      <w:r w:rsidR="002E2584" w:rsidRPr="002E2584">
        <w:rPr>
          <w:vertAlign w:val="subscript"/>
        </w:rPr>
        <w:t>3</w:t>
      </w:r>
      <w:r w:rsidR="002E2584">
        <w:t xml:space="preserve"> </w:t>
      </w:r>
      <w:r w:rsidR="002E2584" w:rsidRPr="002E2584">
        <w:t>ligand around, mono-nuclear Pd</w:t>
      </w:r>
      <w:r w:rsidR="002E2584" w:rsidRPr="002E2584">
        <w:rPr>
          <w:vertAlign w:val="superscript"/>
        </w:rPr>
        <w:t>0</w:t>
      </w:r>
      <w:r w:rsidR="002E2584">
        <w:t>(PPh</w:t>
      </w:r>
      <w:r w:rsidR="002E2584">
        <w:rPr>
          <w:vertAlign w:val="subscript"/>
        </w:rPr>
        <w:t>3</w:t>
      </w:r>
      <w:r w:rsidR="002E2584">
        <w:t>)</w:t>
      </w:r>
      <w:r w:rsidR="002E2584">
        <w:rPr>
          <w:vertAlign w:val="subscript"/>
        </w:rPr>
        <w:t>n</w:t>
      </w:r>
      <w:r w:rsidR="002E2584">
        <w:t xml:space="preserve">, </w:t>
      </w:r>
      <w:r w:rsidR="002E2584" w:rsidRPr="002E2584">
        <w:rPr>
          <w:i/>
          <w:iCs/>
        </w:rPr>
        <w:t>i.e.</w:t>
      </w:r>
      <w:r w:rsidR="002E2584">
        <w:t xml:space="preserve"> n &gt; 2,</w:t>
      </w:r>
      <w:r w:rsidR="002E2584" w:rsidRPr="002E2584">
        <w:t xml:space="preserve"> can be stabilised</w:t>
      </w:r>
      <w:r w:rsidR="002E2584">
        <w:t>, aligning with a general understanding of ligated Pd</w:t>
      </w:r>
      <w:r w:rsidR="002E2584">
        <w:rPr>
          <w:vertAlign w:val="superscript"/>
        </w:rPr>
        <w:t>0</w:t>
      </w:r>
      <w:r w:rsidR="002E2584">
        <w:rPr>
          <w:vertAlign w:val="subscript"/>
        </w:rPr>
        <w:t xml:space="preserve"> </w:t>
      </w:r>
      <w:r w:rsidR="002E2584">
        <w:t>species in text book mechanisms</w:t>
      </w:r>
      <w:r w:rsidR="002E2584" w:rsidRPr="002E2584">
        <w:t>.</w:t>
      </w:r>
    </w:p>
    <w:p w14:paraId="421C5FDD" w14:textId="14ECE819" w:rsidR="00CE3501" w:rsidRPr="00F66AC6" w:rsidRDefault="002E2584" w:rsidP="00F66AC6">
      <w:pPr>
        <w:pStyle w:val="RSCB02ArticleText"/>
        <w:ind w:firstLine="284"/>
      </w:pPr>
      <w:r>
        <w:t>U</w:t>
      </w:r>
      <w:r w:rsidR="00CE3501">
        <w:t>nderstanding how [Pd</w:t>
      </w:r>
      <w:r w:rsidR="00CE3501">
        <w:rPr>
          <w:vertAlign w:val="subscript"/>
        </w:rPr>
        <w:t>3</w:t>
      </w:r>
      <w:r w:rsidR="00CE3501">
        <w:t>(X)(</w:t>
      </w:r>
      <w:r w:rsidR="00CE3501">
        <w:rPr>
          <w:rFonts w:ascii="Times New Roman" w:hAnsi="Times New Roman"/>
        </w:rPr>
        <w:t>µ</w:t>
      </w:r>
      <w:r w:rsidR="00CE3501">
        <w:t>-PPh</w:t>
      </w:r>
      <w:r w:rsidR="00CE3501">
        <w:rPr>
          <w:vertAlign w:val="subscript"/>
        </w:rPr>
        <w:t>2</w:t>
      </w:r>
      <w:r w:rsidR="00CE3501">
        <w:t>)</w:t>
      </w:r>
      <w:r w:rsidR="00CE3501">
        <w:rPr>
          <w:vertAlign w:val="subscript"/>
        </w:rPr>
        <w:t>2</w:t>
      </w:r>
      <w:r w:rsidR="00CE3501">
        <w:t>(PPh</w:t>
      </w:r>
      <w:r w:rsidR="00CE3501">
        <w:rPr>
          <w:vertAlign w:val="subscript"/>
        </w:rPr>
        <w:t>3</w:t>
      </w:r>
      <w:r w:rsidR="00CE3501">
        <w:t>)</w:t>
      </w:r>
      <w:r w:rsidR="00CE3501">
        <w:rPr>
          <w:vertAlign w:val="subscript"/>
        </w:rPr>
        <w:t>3</w:t>
      </w:r>
      <w:r w:rsidR="00CE3501">
        <w:t xml:space="preserve">]X clusters activate aryl/heteroaryl halides and organometallic coupling partners, </w:t>
      </w:r>
      <w:r w:rsidR="00CE3501" w:rsidRPr="003C7559">
        <w:rPr>
          <w:i/>
        </w:rPr>
        <w:t>e.g.</w:t>
      </w:r>
      <w:r w:rsidR="00CE3501">
        <w:t xml:space="preserve"> aryl boronic </w:t>
      </w:r>
      <w:r w:rsidR="00CE3501" w:rsidRPr="006602D5">
        <w:t>acids,</w:t>
      </w:r>
      <w:r w:rsidR="00CE3501" w:rsidRPr="006602D5">
        <w:rPr>
          <w:vertAlign w:val="superscript"/>
        </w:rPr>
        <w:t>1</w:t>
      </w:r>
      <w:r w:rsidR="00F66AC6" w:rsidRPr="006602D5">
        <w:rPr>
          <w:vertAlign w:val="superscript"/>
        </w:rPr>
        <w:t>1</w:t>
      </w:r>
      <w:r w:rsidR="00CE3501" w:rsidRPr="006602D5">
        <w:rPr>
          <w:vertAlign w:val="superscript"/>
        </w:rPr>
        <w:t xml:space="preserve"> </w:t>
      </w:r>
      <w:r w:rsidR="00CE3501" w:rsidRPr="006602D5">
        <w:t xml:space="preserve">will no doubt be important going-forwards, which will enable their catalytic properties to be fully delineated and exploited in chemical synthesis. To emphasize this point further, </w:t>
      </w:r>
      <w:r w:rsidR="006602D5" w:rsidRPr="006602D5">
        <w:t>si</w:t>
      </w:r>
      <w:r w:rsidR="00F66AC6" w:rsidRPr="006602D5">
        <w:t>milar Pd</w:t>
      </w:r>
      <w:r w:rsidR="00F66AC6" w:rsidRPr="006602D5">
        <w:rPr>
          <w:vertAlign w:val="subscript"/>
        </w:rPr>
        <w:t>3</w:t>
      </w:r>
      <w:r w:rsidR="00F66AC6" w:rsidRPr="006602D5">
        <w:t xml:space="preserve">-type clusters have been </w:t>
      </w:r>
      <w:r w:rsidR="006602D5" w:rsidRPr="006602D5">
        <w:t>studied by Ma</w:t>
      </w:r>
      <w:r w:rsidR="009F387E">
        <w:t>e</w:t>
      </w:r>
      <w:r w:rsidR="006602D5" w:rsidRPr="006602D5">
        <w:t>stri and</w:t>
      </w:r>
      <w:r w:rsidR="006602D5">
        <w:t xml:space="preserve"> </w:t>
      </w:r>
      <w:r w:rsidR="006602D5" w:rsidRPr="006602D5">
        <w:t xml:space="preserve">Malacria </w:t>
      </w:r>
      <w:r w:rsidR="00F66AC6" w:rsidRPr="006602D5">
        <w:t>in catalysis, particularly hydrogenation.</w:t>
      </w:r>
      <w:r w:rsidR="00F66AC6" w:rsidRPr="006602D5">
        <w:rPr>
          <w:vertAlign w:val="superscript"/>
        </w:rPr>
        <w:t>21</w:t>
      </w:r>
      <w:r w:rsidR="00F66AC6" w:rsidRPr="006602D5">
        <w:t xml:space="preserve"> Our results, taken together with</w:t>
      </w:r>
      <w:r w:rsidR="006602D5" w:rsidRPr="006602D5">
        <w:t xml:space="preserve"> </w:t>
      </w:r>
      <w:r w:rsidR="00F66AC6" w:rsidRPr="006602D5">
        <w:t xml:space="preserve">contributions </w:t>
      </w:r>
      <w:r w:rsidR="006602D5" w:rsidRPr="006602D5">
        <w:t xml:space="preserve">made by </w:t>
      </w:r>
      <w:r w:rsidR="00F66AC6" w:rsidRPr="006602D5">
        <w:t>others, show that Pd</w:t>
      </w:r>
      <w:r w:rsidR="00F66AC6" w:rsidRPr="006602D5">
        <w:rPr>
          <w:vertAlign w:val="subscript"/>
        </w:rPr>
        <w:t>3</w:t>
      </w:r>
      <w:r w:rsidR="00F66AC6" w:rsidRPr="006602D5">
        <w:t>-clusters are ripe for exploitation in applied catalysis.</w:t>
      </w:r>
      <w:r w:rsidR="00F66AC6">
        <w:t xml:space="preserve"> </w:t>
      </w:r>
    </w:p>
    <w:p w14:paraId="74D15878" w14:textId="77777777" w:rsidR="00C9557D" w:rsidRDefault="00C9557D" w:rsidP="00C9557D">
      <w:pPr>
        <w:pStyle w:val="RSCB04AHeadingSection"/>
      </w:pPr>
      <w:r>
        <w:t>Conflict</w:t>
      </w:r>
      <w:r w:rsidR="00F05C18">
        <w:t>s</w:t>
      </w:r>
      <w:r>
        <w:t xml:space="preserve"> of interest</w:t>
      </w:r>
    </w:p>
    <w:p w14:paraId="1E3BEFAD" w14:textId="34D2A988" w:rsidR="00A05364" w:rsidRDefault="00A05364" w:rsidP="00A05364">
      <w:pPr>
        <w:rPr>
          <w:rFonts w:cs="Times New Roman"/>
          <w:w w:val="108"/>
          <w:sz w:val="18"/>
          <w:szCs w:val="18"/>
        </w:rPr>
      </w:pPr>
      <w:r w:rsidRPr="00A05364">
        <w:rPr>
          <w:rFonts w:cs="Times New Roman"/>
          <w:w w:val="108"/>
          <w:sz w:val="18"/>
          <w:szCs w:val="18"/>
        </w:rPr>
        <w:t>There are no conflicts to declare.</w:t>
      </w:r>
    </w:p>
    <w:p w14:paraId="05F7D410" w14:textId="77777777" w:rsidR="00FA2DA2" w:rsidRDefault="00FA2DA2" w:rsidP="00FA2DA2">
      <w:pPr>
        <w:pStyle w:val="RSCB04AHeadingSection"/>
      </w:pPr>
      <w:r>
        <w:t>Acknowledgements</w:t>
      </w:r>
    </w:p>
    <w:p w14:paraId="7CB19B92" w14:textId="77777777" w:rsidR="006B1864" w:rsidRPr="004D5F3A" w:rsidRDefault="006B1864" w:rsidP="006B1864">
      <w:pPr>
        <w:pStyle w:val="RSCB02ArticleText"/>
      </w:pPr>
      <w:r>
        <w:t>The project was funded by Bayer AG (PhD studentship to NWJS).  We thank the University of York for supporting NMR spectrometers &amp; X-ray equipment, and EPSRC for NMR upgrades (EP/K039660/1).  We are grateful to Professor Robin N. Perutz and Dr. Jason M. Lynam for many useful discussions regarding this research.</w:t>
      </w:r>
    </w:p>
    <w:p w14:paraId="0154E6B2" w14:textId="77777777" w:rsidR="00D010E8" w:rsidRPr="00EF6BD4" w:rsidRDefault="00E61949" w:rsidP="00EF6BD4">
      <w:pPr>
        <w:pStyle w:val="RSCB04AHeadingSection"/>
      </w:pPr>
      <w:r w:rsidRPr="00EF6BD4">
        <w:t>Notes and references</w:t>
      </w:r>
    </w:p>
    <w:p w14:paraId="02A8233E" w14:textId="68B555CF" w:rsidR="006B1864" w:rsidRDefault="006B1864" w:rsidP="006B1864">
      <w:pPr>
        <w:pStyle w:val="RSCR02References"/>
      </w:pPr>
      <w:r>
        <w:t xml:space="preserve">(a) </w:t>
      </w:r>
      <w:r w:rsidR="00E96012">
        <w:t xml:space="preserve">K. C. </w:t>
      </w:r>
      <w:r>
        <w:t xml:space="preserve">Nicolaou, </w:t>
      </w:r>
      <w:r w:rsidR="00E96012">
        <w:t xml:space="preserve">P. G. </w:t>
      </w:r>
      <w:r>
        <w:t>Bulger</w:t>
      </w:r>
      <w:r w:rsidR="000B1190">
        <w:t xml:space="preserve"> and</w:t>
      </w:r>
      <w:r>
        <w:t xml:space="preserve"> </w:t>
      </w:r>
      <w:r w:rsidR="00E96012">
        <w:t xml:space="preserve">D. </w:t>
      </w:r>
      <w:r>
        <w:t xml:space="preserve">Sarlah, </w:t>
      </w:r>
      <w:r w:rsidRPr="00504A0C">
        <w:rPr>
          <w:i/>
        </w:rPr>
        <w:t>Angew. Chem., Int. Ed.</w:t>
      </w:r>
      <w:r w:rsidR="00E96012">
        <w:t>,</w:t>
      </w:r>
      <w:r>
        <w:t xml:space="preserve"> </w:t>
      </w:r>
      <w:r w:rsidRPr="00E96012">
        <w:t>2005</w:t>
      </w:r>
      <w:r>
        <w:t xml:space="preserve">, </w:t>
      </w:r>
      <w:r w:rsidRPr="00E96012">
        <w:rPr>
          <w:b/>
        </w:rPr>
        <w:t>44</w:t>
      </w:r>
      <w:r>
        <w:t xml:space="preserve">, 4442−4489. (b) </w:t>
      </w:r>
      <w:r w:rsidR="00E96012">
        <w:t xml:space="preserve">C. </w:t>
      </w:r>
      <w:r>
        <w:t xml:space="preserve">Torborg </w:t>
      </w:r>
      <w:r w:rsidR="00E96012">
        <w:t xml:space="preserve">and M. </w:t>
      </w:r>
      <w:r>
        <w:t xml:space="preserve">Beller, </w:t>
      </w:r>
      <w:r w:rsidRPr="00504A0C">
        <w:rPr>
          <w:i/>
        </w:rPr>
        <w:t>Adv. Synth. Catal.</w:t>
      </w:r>
      <w:r w:rsidR="00E96012">
        <w:t>,</w:t>
      </w:r>
      <w:r>
        <w:t xml:space="preserve"> </w:t>
      </w:r>
      <w:r w:rsidRPr="00E96012">
        <w:t>2009</w:t>
      </w:r>
      <w:r>
        <w:t xml:space="preserve">, </w:t>
      </w:r>
      <w:r w:rsidRPr="00E96012">
        <w:rPr>
          <w:b/>
        </w:rPr>
        <w:t>351</w:t>
      </w:r>
      <w:r>
        <w:t xml:space="preserve">, 3027−3043. (c) </w:t>
      </w:r>
      <w:r w:rsidR="00E96012">
        <w:t xml:space="preserve">W. A. </w:t>
      </w:r>
      <w:r w:rsidRPr="00504A0C">
        <w:t>Carole</w:t>
      </w:r>
      <w:r w:rsidR="00E96012">
        <w:t xml:space="preserve"> and T. J. </w:t>
      </w:r>
      <w:r w:rsidRPr="00504A0C">
        <w:t xml:space="preserve">Colacot, </w:t>
      </w:r>
      <w:r w:rsidRPr="00504A0C">
        <w:rPr>
          <w:i/>
        </w:rPr>
        <w:t>Chem. Eur. J.</w:t>
      </w:r>
      <w:r w:rsidR="00E96012">
        <w:t>,</w:t>
      </w:r>
      <w:r w:rsidRPr="00504A0C">
        <w:t xml:space="preserve"> </w:t>
      </w:r>
      <w:r w:rsidRPr="00E96012">
        <w:t>2016</w:t>
      </w:r>
      <w:r w:rsidRPr="00504A0C">
        <w:t xml:space="preserve">, </w:t>
      </w:r>
      <w:r w:rsidRPr="00E96012">
        <w:rPr>
          <w:b/>
        </w:rPr>
        <w:t>22</w:t>
      </w:r>
      <w:r w:rsidRPr="00504A0C">
        <w:t xml:space="preserve">, 7686-7695. </w:t>
      </w:r>
      <w:r>
        <w:t>(d) I. J. S. Fairlamb</w:t>
      </w:r>
      <w:r w:rsidR="000B1190">
        <w:t>,</w:t>
      </w:r>
      <w:r>
        <w:t xml:space="preserve"> </w:t>
      </w:r>
      <w:r w:rsidRPr="00504A0C">
        <w:rPr>
          <w:i/>
        </w:rPr>
        <w:t>Angew. Chem. Int. Ed.</w:t>
      </w:r>
      <w:r w:rsidR="00E96012">
        <w:t>,</w:t>
      </w:r>
      <w:r w:rsidRPr="00504A0C">
        <w:t xml:space="preserve"> </w:t>
      </w:r>
      <w:r w:rsidRPr="00E96012">
        <w:t>2015</w:t>
      </w:r>
      <w:r w:rsidRPr="00504A0C">
        <w:t xml:space="preserve">, </w:t>
      </w:r>
      <w:r w:rsidRPr="00E96012">
        <w:rPr>
          <w:b/>
        </w:rPr>
        <w:t>54</w:t>
      </w:r>
      <w:r w:rsidRPr="00504A0C">
        <w:t xml:space="preserve">, 10415–10427; </w:t>
      </w:r>
      <w:r>
        <w:t xml:space="preserve">(e) </w:t>
      </w:r>
      <w:r w:rsidR="00E96012">
        <w:lastRenderedPageBreak/>
        <w:t xml:space="preserve">P. </w:t>
      </w:r>
      <w:r>
        <w:t xml:space="preserve">Devendar, </w:t>
      </w:r>
      <w:r w:rsidR="00E96012">
        <w:t>R.-Y.</w:t>
      </w:r>
      <w:r>
        <w:t xml:space="preserve">Qu, </w:t>
      </w:r>
      <w:r w:rsidR="00E96012">
        <w:t xml:space="preserve">W.-M. </w:t>
      </w:r>
      <w:r>
        <w:t>Kang,</w:t>
      </w:r>
      <w:r w:rsidR="00E96012">
        <w:t xml:space="preserve"> B.</w:t>
      </w:r>
      <w:r>
        <w:t xml:space="preserve"> He</w:t>
      </w:r>
      <w:r w:rsidR="000B1190">
        <w:t xml:space="preserve"> and </w:t>
      </w:r>
      <w:r w:rsidR="00E96012">
        <w:t xml:space="preserve">G.-F. </w:t>
      </w:r>
      <w:r>
        <w:t xml:space="preserve">Yang, </w:t>
      </w:r>
      <w:r w:rsidRPr="00504A0C">
        <w:rPr>
          <w:i/>
        </w:rPr>
        <w:t>J. Agric. Food Chem.</w:t>
      </w:r>
      <w:r w:rsidR="00E96012">
        <w:t>,</w:t>
      </w:r>
      <w:r>
        <w:t xml:space="preserve"> </w:t>
      </w:r>
      <w:r w:rsidRPr="00E96012">
        <w:t>2018</w:t>
      </w:r>
      <w:r>
        <w:t xml:space="preserve">, </w:t>
      </w:r>
      <w:r w:rsidRPr="00E96012">
        <w:rPr>
          <w:b/>
        </w:rPr>
        <w:t>66</w:t>
      </w:r>
      <w:r>
        <w:t>, 8914−8934.</w:t>
      </w:r>
    </w:p>
    <w:p w14:paraId="075CB0CF" w14:textId="45D6D2C0" w:rsidR="006B1864" w:rsidRDefault="006B1864" w:rsidP="006B1864">
      <w:pPr>
        <w:pStyle w:val="RSCR02References"/>
      </w:pPr>
      <w:r>
        <w:t xml:space="preserve">(a) </w:t>
      </w:r>
      <w:r w:rsidR="00415225">
        <w:t xml:space="preserve">T. A. </w:t>
      </w:r>
      <w:r w:rsidRPr="00515435">
        <w:t xml:space="preserve">Stromnova, </w:t>
      </w:r>
      <w:r w:rsidR="00415225">
        <w:t xml:space="preserve">V. S. </w:t>
      </w:r>
      <w:r w:rsidRPr="00515435">
        <w:t xml:space="preserve">Sergienko, </w:t>
      </w:r>
      <w:r w:rsidR="00415225">
        <w:t xml:space="preserve">A. V. </w:t>
      </w:r>
      <w:r w:rsidRPr="00515435">
        <w:t xml:space="preserve">Kisin, </w:t>
      </w:r>
      <w:r w:rsidR="00415225">
        <w:t xml:space="preserve">M. A. </w:t>
      </w:r>
      <w:r w:rsidRPr="00515435">
        <w:t>Porai-Koshits</w:t>
      </w:r>
      <w:r w:rsidR="00415225">
        <w:t xml:space="preserve"> and I. I. </w:t>
      </w:r>
      <w:r w:rsidRPr="00515435">
        <w:t xml:space="preserve">Moiseev, </w:t>
      </w:r>
      <w:r w:rsidRPr="00515435">
        <w:rPr>
          <w:i/>
        </w:rPr>
        <w:t>Bull. Acad. Sci. USSR</w:t>
      </w:r>
      <w:r w:rsidR="00415225">
        <w:t>,</w:t>
      </w:r>
      <w:r w:rsidRPr="00515435">
        <w:t xml:space="preserve"> </w:t>
      </w:r>
      <w:r w:rsidRPr="00415225">
        <w:t>1987</w:t>
      </w:r>
      <w:r w:rsidRPr="00515435">
        <w:t xml:space="preserve">, </w:t>
      </w:r>
      <w:r w:rsidRPr="00415225">
        <w:rPr>
          <w:b/>
        </w:rPr>
        <w:t>36</w:t>
      </w:r>
      <w:r w:rsidRPr="00515435">
        <w:t>, 821–824.</w:t>
      </w:r>
      <w:r>
        <w:t xml:space="preserve"> (b) </w:t>
      </w:r>
      <w:r w:rsidR="00415225">
        <w:t xml:space="preserve">V. S. </w:t>
      </w:r>
      <w:r w:rsidRPr="00122847">
        <w:t>Sergienko</w:t>
      </w:r>
      <w:r w:rsidR="00415225">
        <w:t xml:space="preserve"> and M. A. </w:t>
      </w:r>
      <w:r w:rsidRPr="00122847">
        <w:t xml:space="preserve">Porai-Koshits, </w:t>
      </w:r>
      <w:r w:rsidRPr="00122847">
        <w:rPr>
          <w:i/>
        </w:rPr>
        <w:t>J. Struct. Chem.</w:t>
      </w:r>
      <w:r w:rsidR="00415225">
        <w:t>,</w:t>
      </w:r>
      <w:r w:rsidRPr="00122847">
        <w:t xml:space="preserve"> </w:t>
      </w:r>
      <w:r w:rsidRPr="00415225">
        <w:t>1988</w:t>
      </w:r>
      <w:r w:rsidRPr="00122847">
        <w:t xml:space="preserve">, </w:t>
      </w:r>
      <w:r w:rsidRPr="00415225">
        <w:rPr>
          <w:b/>
        </w:rPr>
        <w:t>28</w:t>
      </w:r>
      <w:r w:rsidRPr="00122847">
        <w:t>, 548–552.</w:t>
      </w:r>
    </w:p>
    <w:p w14:paraId="09F799EC" w14:textId="3A162139" w:rsidR="006B1864" w:rsidRDefault="00415225" w:rsidP="006B1864">
      <w:pPr>
        <w:pStyle w:val="RSCR02References"/>
      </w:pPr>
      <w:r>
        <w:t xml:space="preserve">J. A. </w:t>
      </w:r>
      <w:r w:rsidR="006B1864" w:rsidRPr="0052383A">
        <w:t xml:space="preserve">Labinger, </w:t>
      </w:r>
      <w:r w:rsidR="006B1864" w:rsidRPr="0052383A">
        <w:rPr>
          <w:i/>
        </w:rPr>
        <w:t>Organometallics</w:t>
      </w:r>
      <w:r w:rsidR="006B1864">
        <w:t xml:space="preserve">, </w:t>
      </w:r>
      <w:r w:rsidR="006B1864" w:rsidRPr="00415225">
        <w:t>2015</w:t>
      </w:r>
      <w:r w:rsidR="006B1864">
        <w:t xml:space="preserve">, </w:t>
      </w:r>
      <w:r w:rsidR="006B1864" w:rsidRPr="00415225">
        <w:rPr>
          <w:b/>
        </w:rPr>
        <w:t>34</w:t>
      </w:r>
      <w:r w:rsidR="006B1864">
        <w:t>, 4784−4795.</w:t>
      </w:r>
    </w:p>
    <w:p w14:paraId="7AD896FD" w14:textId="0BDF8AC8" w:rsidR="006B1864" w:rsidRPr="00AB58CC" w:rsidRDefault="006B1864" w:rsidP="006B1864">
      <w:pPr>
        <w:pStyle w:val="RSCR02References"/>
      </w:pPr>
      <w:r>
        <w:t xml:space="preserve">In the original publication it was shown that </w:t>
      </w:r>
      <w:r>
        <w:rPr>
          <w:i/>
        </w:rPr>
        <w:t>trans</w:t>
      </w:r>
      <w:r w:rsidRPr="00F4212D">
        <w:t>-</w:t>
      </w:r>
      <w:r>
        <w:t>Pd(OAc)</w:t>
      </w:r>
      <w:r w:rsidRPr="00F4212D">
        <w:rPr>
          <w:vertAlign w:val="subscript"/>
        </w:rPr>
        <w:t>2</w:t>
      </w:r>
      <w:r>
        <w:t>(PPh</w:t>
      </w:r>
      <w:r w:rsidRPr="00F4212D">
        <w:rPr>
          <w:vertAlign w:val="subscript"/>
        </w:rPr>
        <w:t>3</w:t>
      </w:r>
      <w:r>
        <w:t>)</w:t>
      </w:r>
      <w:r w:rsidRPr="00F4212D">
        <w:rPr>
          <w:vertAlign w:val="subscript"/>
        </w:rPr>
        <w:t>2</w:t>
      </w:r>
      <w:r>
        <w:t xml:space="preserve"> forms an unstable Pd(0) species – excess PPh</w:t>
      </w:r>
      <w:r w:rsidRPr="00C533A4">
        <w:rPr>
          <w:vertAlign w:val="subscript"/>
        </w:rPr>
        <w:t>3</w:t>
      </w:r>
      <w:r>
        <w:t xml:space="preserve"> was required to form oxidative addition products of the type </w:t>
      </w:r>
      <w:r>
        <w:rPr>
          <w:i/>
        </w:rPr>
        <w:t>trans</w:t>
      </w:r>
      <w:r>
        <w:t>-Pd(I)Ph(PPh</w:t>
      </w:r>
      <w:r w:rsidRPr="00F4212D">
        <w:rPr>
          <w:vertAlign w:val="subscript"/>
        </w:rPr>
        <w:t>3</w:t>
      </w:r>
      <w:r>
        <w:t>)</w:t>
      </w:r>
      <w:r w:rsidRPr="00F4212D">
        <w:rPr>
          <w:vertAlign w:val="subscript"/>
        </w:rPr>
        <w:t>2</w:t>
      </w:r>
      <w:r>
        <w:t xml:space="preserve"> by reaction of Pd(PPh</w:t>
      </w:r>
      <w:r w:rsidRPr="00C533A4">
        <w:rPr>
          <w:vertAlign w:val="subscript"/>
        </w:rPr>
        <w:t>3</w:t>
      </w:r>
      <w:r>
        <w:t>)</w:t>
      </w:r>
      <w:r w:rsidRPr="00C533A4">
        <w:rPr>
          <w:vertAlign w:val="subscript"/>
        </w:rPr>
        <w:t>2</w:t>
      </w:r>
      <w:r>
        <w:t xml:space="preserve"> with PhI, see: (a) </w:t>
      </w:r>
      <w:r w:rsidR="007D260A">
        <w:t xml:space="preserve">C. </w:t>
      </w:r>
      <w:r w:rsidRPr="00F774A5">
        <w:t xml:space="preserve">Amatore, </w:t>
      </w:r>
      <w:r w:rsidR="007D260A">
        <w:t xml:space="preserve">A. </w:t>
      </w:r>
      <w:r w:rsidRPr="00F774A5">
        <w:t>Jutand</w:t>
      </w:r>
      <w:r w:rsidR="007D260A">
        <w:t xml:space="preserve"> and M. A. </w:t>
      </w:r>
      <w:r w:rsidRPr="00F774A5">
        <w:t xml:space="preserve">M'Barki, </w:t>
      </w:r>
      <w:r w:rsidRPr="00F774A5">
        <w:rPr>
          <w:i/>
        </w:rPr>
        <w:t>Organometallics</w:t>
      </w:r>
      <w:r w:rsidR="007D260A">
        <w:t>,</w:t>
      </w:r>
      <w:r w:rsidRPr="00F774A5">
        <w:t xml:space="preserve"> </w:t>
      </w:r>
      <w:r w:rsidRPr="007D260A">
        <w:t>1992</w:t>
      </w:r>
      <w:r w:rsidRPr="00F774A5">
        <w:t xml:space="preserve">, </w:t>
      </w:r>
      <w:r w:rsidRPr="007D260A">
        <w:rPr>
          <w:b/>
        </w:rPr>
        <w:t>11</w:t>
      </w:r>
      <w:r w:rsidRPr="00F774A5">
        <w:t>, 3009-3013.</w:t>
      </w:r>
      <w:r>
        <w:t xml:space="preserve"> The subsequent study employed higher PPh</w:t>
      </w:r>
      <w:r w:rsidRPr="00AB58CC">
        <w:rPr>
          <w:vertAlign w:val="subscript"/>
        </w:rPr>
        <w:t>3</w:t>
      </w:r>
      <w:r>
        <w:t>/Pd(OAc)</w:t>
      </w:r>
      <w:r w:rsidRPr="00AB58CC">
        <w:rPr>
          <w:vertAlign w:val="subscript"/>
        </w:rPr>
        <w:t>2</w:t>
      </w:r>
      <w:r>
        <w:t xml:space="preserve"> ratios, see: (b) </w:t>
      </w:r>
      <w:r w:rsidR="007D260A">
        <w:t xml:space="preserve">C. </w:t>
      </w:r>
      <w:r>
        <w:t xml:space="preserve">Amatore, </w:t>
      </w:r>
      <w:r w:rsidR="007D260A">
        <w:t xml:space="preserve">E. </w:t>
      </w:r>
      <w:r>
        <w:t xml:space="preserve">Carre, </w:t>
      </w:r>
      <w:r w:rsidR="007D260A">
        <w:t xml:space="preserve">A. </w:t>
      </w:r>
      <w:r>
        <w:t>Jutand</w:t>
      </w:r>
      <w:r w:rsidR="007D260A">
        <w:t xml:space="preserve"> and M. A. </w:t>
      </w:r>
      <w:r>
        <w:t xml:space="preserve">M'Barki, </w:t>
      </w:r>
      <w:r w:rsidRPr="00AB58CC">
        <w:rPr>
          <w:i/>
        </w:rPr>
        <w:t>Organometallics</w:t>
      </w:r>
      <w:r w:rsidR="007D260A">
        <w:t>,</w:t>
      </w:r>
      <w:r>
        <w:t xml:space="preserve"> </w:t>
      </w:r>
      <w:r w:rsidRPr="007D260A">
        <w:t>1995</w:t>
      </w:r>
      <w:r>
        <w:t xml:space="preserve">, </w:t>
      </w:r>
      <w:r w:rsidRPr="007D260A">
        <w:rPr>
          <w:b/>
        </w:rPr>
        <w:t>14</w:t>
      </w:r>
      <w:r>
        <w:t>, 1818-1826. For the reactions of acetate anion with Pd(PPh</w:t>
      </w:r>
      <w:r>
        <w:rPr>
          <w:vertAlign w:val="subscript"/>
        </w:rPr>
        <w:t>3</w:t>
      </w:r>
      <w:r>
        <w:t>)</w:t>
      </w:r>
      <w:r>
        <w:rPr>
          <w:vertAlign w:val="subscript"/>
        </w:rPr>
        <w:t>4</w:t>
      </w:r>
      <w:r>
        <w:t xml:space="preserve">, see: (c) </w:t>
      </w:r>
      <w:r w:rsidR="007D260A">
        <w:t xml:space="preserve">C. </w:t>
      </w:r>
      <w:r w:rsidRPr="00AB58CC">
        <w:t xml:space="preserve">Amatore, </w:t>
      </w:r>
      <w:r w:rsidR="007D260A">
        <w:t xml:space="preserve">E. </w:t>
      </w:r>
      <w:r w:rsidRPr="00AB58CC">
        <w:t xml:space="preserve">Carre, </w:t>
      </w:r>
      <w:r w:rsidR="007D260A">
        <w:t xml:space="preserve">A. </w:t>
      </w:r>
      <w:r w:rsidRPr="00AB58CC">
        <w:t xml:space="preserve">Jutand, </w:t>
      </w:r>
      <w:r w:rsidR="007D260A">
        <w:t xml:space="preserve">M. A. </w:t>
      </w:r>
      <w:r w:rsidRPr="00AB58CC">
        <w:t>M'Barki</w:t>
      </w:r>
      <w:r w:rsidR="007D260A">
        <w:t xml:space="preserve"> and G. </w:t>
      </w:r>
      <w:r w:rsidRPr="00AB58CC">
        <w:t xml:space="preserve">Meyer, </w:t>
      </w:r>
      <w:r w:rsidRPr="00AB58CC">
        <w:rPr>
          <w:i/>
        </w:rPr>
        <w:t>Organometallics</w:t>
      </w:r>
      <w:r w:rsidR="007D260A">
        <w:t>,</w:t>
      </w:r>
      <w:r w:rsidRPr="00AB58CC">
        <w:t xml:space="preserve"> </w:t>
      </w:r>
      <w:r w:rsidRPr="007D260A">
        <w:t>1995</w:t>
      </w:r>
      <w:r w:rsidRPr="00AB58CC">
        <w:t xml:space="preserve">, </w:t>
      </w:r>
      <w:r w:rsidRPr="007D260A">
        <w:rPr>
          <w:b/>
        </w:rPr>
        <w:t>14</w:t>
      </w:r>
      <w:r w:rsidRPr="00AB58CC">
        <w:t>, 5605-5614.</w:t>
      </w:r>
      <w:r>
        <w:t xml:space="preserve"> The global findings by Amatore and Jutand led to the proposal of anionic Pd intermediates playing a critical role in cross-coupling catalysis, see: (d) </w:t>
      </w:r>
      <w:r w:rsidR="007D260A">
        <w:t xml:space="preserve">C. </w:t>
      </w:r>
      <w:r w:rsidRPr="00A8257F">
        <w:t>Amatore</w:t>
      </w:r>
      <w:r w:rsidR="007D260A">
        <w:t xml:space="preserve"> and A. </w:t>
      </w:r>
      <w:r w:rsidRPr="00A8257F">
        <w:t xml:space="preserve">Jutand, </w:t>
      </w:r>
      <w:r w:rsidRPr="00A8257F">
        <w:rPr>
          <w:i/>
        </w:rPr>
        <w:t>Acc. Chem. Res.</w:t>
      </w:r>
      <w:r w:rsidR="007D260A">
        <w:t>,</w:t>
      </w:r>
      <w:r w:rsidRPr="00A8257F">
        <w:t xml:space="preserve"> </w:t>
      </w:r>
      <w:r w:rsidRPr="007D260A">
        <w:t>2000</w:t>
      </w:r>
      <w:r w:rsidRPr="00A8257F">
        <w:t xml:space="preserve">, </w:t>
      </w:r>
      <w:r w:rsidRPr="007D260A">
        <w:rPr>
          <w:b/>
        </w:rPr>
        <w:t>33</w:t>
      </w:r>
      <w:r w:rsidRPr="00A8257F">
        <w:t>, 314-321.</w:t>
      </w:r>
    </w:p>
    <w:p w14:paraId="6225558E" w14:textId="44E51148" w:rsidR="006B1864" w:rsidRDefault="006B1864" w:rsidP="006B1864">
      <w:pPr>
        <w:pStyle w:val="RSCR02References"/>
      </w:pPr>
      <w:r>
        <w:t>The reaction of Pd(OAc)</w:t>
      </w:r>
      <w:r w:rsidRPr="00FD1C27">
        <w:rPr>
          <w:vertAlign w:val="subscript"/>
        </w:rPr>
        <w:t>2</w:t>
      </w:r>
      <w:r>
        <w:t xml:space="preserve"> with 2PPh</w:t>
      </w:r>
      <w:r w:rsidRPr="00FD1C27">
        <w:rPr>
          <w:vertAlign w:val="subscript"/>
        </w:rPr>
        <w:t>3</w:t>
      </w:r>
      <w:r>
        <w:t xml:space="preserve"> was reported, leading to the proposal that a Pd</w:t>
      </w:r>
      <w:r>
        <w:rPr>
          <w:vertAlign w:val="superscript"/>
        </w:rPr>
        <w:t>0</w:t>
      </w:r>
      <w:r>
        <w:t>(PPh</w:t>
      </w:r>
      <w:r>
        <w:rPr>
          <w:vertAlign w:val="subscript"/>
        </w:rPr>
        <w:t>3</w:t>
      </w:r>
      <w:r>
        <w:t>)</w:t>
      </w:r>
      <w:r>
        <w:rPr>
          <w:vertAlign w:val="subscript"/>
        </w:rPr>
        <w:t>n</w:t>
      </w:r>
      <w:r>
        <w:t xml:space="preserve"> species was formed, see: </w:t>
      </w:r>
      <w:r w:rsidR="00B43134">
        <w:t xml:space="preserve">Z. </w:t>
      </w:r>
      <w:r w:rsidRPr="00FD1C27">
        <w:t>Cs</w:t>
      </w:r>
      <w:r>
        <w:rPr>
          <w:rFonts w:ascii="Times New Roman" w:hAnsi="Times New Roman"/>
        </w:rPr>
        <w:t>á</w:t>
      </w:r>
      <w:r w:rsidRPr="00FD1C27">
        <w:t>kai</w:t>
      </w:r>
      <w:r>
        <w:t xml:space="preserve">, </w:t>
      </w:r>
      <w:r w:rsidR="00B43134">
        <w:t xml:space="preserve">R. </w:t>
      </w:r>
      <w:r>
        <w:t>Skoda-F</w:t>
      </w:r>
      <w:r>
        <w:rPr>
          <w:rFonts w:ascii="Times New Roman" w:hAnsi="Times New Roman"/>
        </w:rPr>
        <w:t>ö</w:t>
      </w:r>
      <w:r>
        <w:t>ldes</w:t>
      </w:r>
      <w:r w:rsidR="00B43134">
        <w:t xml:space="preserve"> and L. </w:t>
      </w:r>
      <w:r>
        <w:t>Koll</w:t>
      </w:r>
      <w:r>
        <w:rPr>
          <w:rFonts w:ascii="Times New Roman" w:hAnsi="Times New Roman"/>
        </w:rPr>
        <w:t>á</w:t>
      </w:r>
      <w:r w:rsidRPr="00FD1C27">
        <w:t xml:space="preserve">r, </w:t>
      </w:r>
      <w:r w:rsidRPr="00FD1C27">
        <w:rPr>
          <w:i/>
        </w:rPr>
        <w:t>Inorg. Chim. Acta</w:t>
      </w:r>
      <w:r w:rsidR="00B43134">
        <w:t>,</w:t>
      </w:r>
      <w:r w:rsidRPr="00FD1C27">
        <w:t xml:space="preserve"> </w:t>
      </w:r>
      <w:r w:rsidRPr="00B43134">
        <w:t>1999</w:t>
      </w:r>
      <w:r w:rsidRPr="00FD1C27">
        <w:t xml:space="preserve">, </w:t>
      </w:r>
      <w:r w:rsidRPr="00B43134">
        <w:rPr>
          <w:b/>
        </w:rPr>
        <w:t>286</w:t>
      </w:r>
      <w:r w:rsidRPr="00FD1C27">
        <w:t>, 93–97.</w:t>
      </w:r>
      <w:r>
        <w:t xml:space="preserve"> </w:t>
      </w:r>
    </w:p>
    <w:p w14:paraId="4D50263D" w14:textId="26B1102F" w:rsidR="006B1864" w:rsidRPr="00EB1EDC" w:rsidRDefault="006B1864" w:rsidP="006B1864">
      <w:pPr>
        <w:pStyle w:val="RSCR02References"/>
      </w:pPr>
      <w:r>
        <w:t xml:space="preserve">The Pd/L ratio is important for effective cross-coupling catalysis, see: (a) </w:t>
      </w:r>
      <w:r w:rsidR="000B0054">
        <w:t xml:space="preserve">U. </w:t>
      </w:r>
      <w:r>
        <w:t>Christmann</w:t>
      </w:r>
      <w:r w:rsidR="000B0054">
        <w:t xml:space="preserve"> and R. </w:t>
      </w:r>
      <w:r>
        <w:t xml:space="preserve">Vilar, </w:t>
      </w:r>
      <w:r w:rsidRPr="0001132F">
        <w:rPr>
          <w:i/>
        </w:rPr>
        <w:t>Angew. Chem. Int. Ed.</w:t>
      </w:r>
      <w:r w:rsidR="000B0054">
        <w:t>,</w:t>
      </w:r>
      <w:r>
        <w:t xml:space="preserve"> </w:t>
      </w:r>
      <w:r w:rsidRPr="000B0054">
        <w:t>2005</w:t>
      </w:r>
      <w:r>
        <w:t xml:space="preserve">, </w:t>
      </w:r>
      <w:r w:rsidRPr="000B0054">
        <w:rPr>
          <w:b/>
        </w:rPr>
        <w:t>44</w:t>
      </w:r>
      <w:r>
        <w:t>, 366–374. The effect of the Pd/PPh</w:t>
      </w:r>
      <w:r>
        <w:rPr>
          <w:vertAlign w:val="subscript"/>
        </w:rPr>
        <w:t>3</w:t>
      </w:r>
      <w:r>
        <w:t xml:space="preserve"> was also previously examined by us, see: (b) Suzuki-Miyaura cross-couplings, see: </w:t>
      </w:r>
      <w:r w:rsidR="000B0054">
        <w:t xml:space="preserve">A. </w:t>
      </w:r>
      <w:r>
        <w:t xml:space="preserve">Beeby, </w:t>
      </w:r>
      <w:r w:rsidR="000B0054">
        <w:t xml:space="preserve">S. </w:t>
      </w:r>
      <w:r>
        <w:t xml:space="preserve">Bettington, </w:t>
      </w:r>
      <w:r w:rsidR="000B0054">
        <w:t xml:space="preserve">I. J. S. </w:t>
      </w:r>
      <w:r>
        <w:t xml:space="preserve">Fairlamb, </w:t>
      </w:r>
      <w:r w:rsidR="000B0054">
        <w:t xml:space="preserve">A. E. </w:t>
      </w:r>
      <w:r>
        <w:t xml:space="preserve">Goeta, </w:t>
      </w:r>
      <w:r w:rsidR="000B0054">
        <w:t xml:space="preserve">A. R. </w:t>
      </w:r>
      <w:r>
        <w:t xml:space="preserve">Kapdi, </w:t>
      </w:r>
      <w:r w:rsidR="000B0054">
        <w:t xml:space="preserve">E. H. </w:t>
      </w:r>
      <w:r>
        <w:t>Niemela</w:t>
      </w:r>
      <w:r w:rsidR="000B0054">
        <w:t xml:space="preserve"> and A. L. A. </w:t>
      </w:r>
      <w:r>
        <w:t xml:space="preserve">Thompson, </w:t>
      </w:r>
      <w:r w:rsidRPr="00962215">
        <w:rPr>
          <w:i/>
        </w:rPr>
        <w:t>New J. Chem.</w:t>
      </w:r>
      <w:r w:rsidR="000B0054">
        <w:t>,</w:t>
      </w:r>
      <w:r>
        <w:t xml:space="preserve"> </w:t>
      </w:r>
      <w:r w:rsidRPr="000B0054">
        <w:t>2004</w:t>
      </w:r>
      <w:r>
        <w:t xml:space="preserve">, </w:t>
      </w:r>
      <w:r w:rsidRPr="000B0054">
        <w:rPr>
          <w:b/>
        </w:rPr>
        <w:t>28</w:t>
      </w:r>
      <w:r>
        <w:t>, 600–605.  A ratio of Pd(OAc)</w:t>
      </w:r>
      <w:r>
        <w:rPr>
          <w:vertAlign w:val="subscript"/>
        </w:rPr>
        <w:t>2</w:t>
      </w:r>
      <w:r>
        <w:t>/PAr</w:t>
      </w:r>
      <w:r>
        <w:rPr>
          <w:vertAlign w:val="subscript"/>
        </w:rPr>
        <w:t xml:space="preserve">3 </w:t>
      </w:r>
      <w:r>
        <w:t xml:space="preserve">of 1:2 was found optimal for SMCC reactions involving purines, see: (c) </w:t>
      </w:r>
      <w:r w:rsidR="000B0054">
        <w:t xml:space="preserve">T. E. </w:t>
      </w:r>
      <w:r w:rsidRPr="00EB1EDC">
        <w:t xml:space="preserve">Storr, </w:t>
      </w:r>
      <w:r w:rsidR="000B0054">
        <w:t xml:space="preserve">J. A. </w:t>
      </w:r>
      <w:r w:rsidRPr="00EB1EDC">
        <w:t xml:space="preserve">Strohmeier, </w:t>
      </w:r>
      <w:r w:rsidR="009B18AA">
        <w:t xml:space="preserve">C. G. </w:t>
      </w:r>
      <w:r w:rsidRPr="00EB1EDC">
        <w:t>Baumann</w:t>
      </w:r>
      <w:r w:rsidR="009B18AA">
        <w:t xml:space="preserve"> and I. J. S </w:t>
      </w:r>
      <w:r w:rsidRPr="00EB1EDC">
        <w:t xml:space="preserve">Fairlamb, </w:t>
      </w:r>
      <w:r w:rsidRPr="00EB1EDC">
        <w:rPr>
          <w:i/>
        </w:rPr>
        <w:t>Chem. Commun.</w:t>
      </w:r>
      <w:r w:rsidR="009B18AA">
        <w:t>,</w:t>
      </w:r>
      <w:r w:rsidRPr="00EB1EDC">
        <w:t xml:space="preserve"> </w:t>
      </w:r>
      <w:r w:rsidRPr="009B18AA">
        <w:t>2010</w:t>
      </w:r>
      <w:r w:rsidRPr="00EB1EDC">
        <w:t xml:space="preserve">, </w:t>
      </w:r>
      <w:r w:rsidRPr="009B18AA">
        <w:rPr>
          <w:b/>
        </w:rPr>
        <w:t>46</w:t>
      </w:r>
      <w:r w:rsidRPr="00EB1EDC">
        <w:t>, 6470–6472.</w:t>
      </w:r>
    </w:p>
    <w:p w14:paraId="16D7E374" w14:textId="3341A113" w:rsidR="006B1864" w:rsidRDefault="009B18AA" w:rsidP="006B1864">
      <w:pPr>
        <w:pStyle w:val="RSCR02References"/>
      </w:pPr>
      <w:r>
        <w:t xml:space="preserve">D. </w:t>
      </w:r>
      <w:r w:rsidR="006B1864" w:rsidRPr="00A62787">
        <w:t xml:space="preserve">Perera, </w:t>
      </w:r>
      <w:r>
        <w:t xml:space="preserve">J. W. </w:t>
      </w:r>
      <w:r w:rsidR="006B1864" w:rsidRPr="00A62787">
        <w:t xml:space="preserve">Tucker, </w:t>
      </w:r>
      <w:r>
        <w:t xml:space="preserve">S. </w:t>
      </w:r>
      <w:r w:rsidR="006B1864" w:rsidRPr="00A62787">
        <w:t xml:space="preserve">Brahmbhatt, </w:t>
      </w:r>
      <w:r>
        <w:t xml:space="preserve">C. J. </w:t>
      </w:r>
      <w:r w:rsidR="006B1864" w:rsidRPr="00A62787">
        <w:t xml:space="preserve">Helal, </w:t>
      </w:r>
      <w:r>
        <w:t xml:space="preserve">A. </w:t>
      </w:r>
      <w:r w:rsidR="006B1864" w:rsidRPr="00A62787">
        <w:t xml:space="preserve">Chong, </w:t>
      </w:r>
      <w:r>
        <w:t xml:space="preserve">W. </w:t>
      </w:r>
      <w:r w:rsidR="006B1864" w:rsidRPr="00A62787">
        <w:t xml:space="preserve">Farrell, </w:t>
      </w:r>
      <w:r>
        <w:t xml:space="preserve">P. </w:t>
      </w:r>
      <w:r w:rsidR="006B1864" w:rsidRPr="00A62787">
        <w:t>Richardson</w:t>
      </w:r>
      <w:r>
        <w:t xml:space="preserve"> and N. W. </w:t>
      </w:r>
      <w:r w:rsidR="006B1864" w:rsidRPr="00A62787">
        <w:t>Sach</w:t>
      </w:r>
      <w:r>
        <w:t>s</w:t>
      </w:r>
      <w:r w:rsidR="006B1864" w:rsidRPr="00A62787">
        <w:t xml:space="preserve">, </w:t>
      </w:r>
      <w:r w:rsidR="006B1864" w:rsidRPr="00A62787">
        <w:rPr>
          <w:i/>
        </w:rPr>
        <w:t>Science</w:t>
      </w:r>
      <w:r w:rsidR="00690F64">
        <w:t>,</w:t>
      </w:r>
      <w:r w:rsidR="006B1864" w:rsidRPr="00A62787">
        <w:t xml:space="preserve"> </w:t>
      </w:r>
      <w:r w:rsidR="006B1864" w:rsidRPr="00690F64">
        <w:t>2018</w:t>
      </w:r>
      <w:r w:rsidR="006B1864" w:rsidRPr="00A62787">
        <w:t xml:space="preserve">, </w:t>
      </w:r>
      <w:r w:rsidR="006B1864" w:rsidRPr="00690F64">
        <w:rPr>
          <w:b/>
        </w:rPr>
        <w:t>359</w:t>
      </w:r>
      <w:r w:rsidR="006B1864">
        <w:t>, 429–434.</w:t>
      </w:r>
    </w:p>
    <w:p w14:paraId="733DA531" w14:textId="6BC8DFDD" w:rsidR="006B1864" w:rsidRDefault="00690F64" w:rsidP="006B1864">
      <w:pPr>
        <w:pStyle w:val="RSCR02References"/>
      </w:pPr>
      <w:r>
        <w:t xml:space="preserve">J. M. </w:t>
      </w:r>
      <w:r w:rsidR="006B1864" w:rsidRPr="001B3225">
        <w:t xml:space="preserve">Granda, </w:t>
      </w:r>
      <w:r>
        <w:t xml:space="preserve">L. </w:t>
      </w:r>
      <w:r w:rsidR="006B1864" w:rsidRPr="001B3225">
        <w:t xml:space="preserve">Donina, </w:t>
      </w:r>
      <w:r>
        <w:t xml:space="preserve">V. </w:t>
      </w:r>
      <w:r w:rsidR="006B1864" w:rsidRPr="001B3225">
        <w:t xml:space="preserve">Dragone, </w:t>
      </w:r>
      <w:r>
        <w:t xml:space="preserve">D.-L. </w:t>
      </w:r>
      <w:r w:rsidR="006B1864" w:rsidRPr="001B3225">
        <w:t>Long</w:t>
      </w:r>
      <w:r>
        <w:t xml:space="preserve"> and L. </w:t>
      </w:r>
      <w:r w:rsidR="006B1864" w:rsidRPr="001B3225">
        <w:t xml:space="preserve">Cronin, </w:t>
      </w:r>
      <w:r w:rsidR="006B1864" w:rsidRPr="001B3225">
        <w:rPr>
          <w:i/>
        </w:rPr>
        <w:t>Nature</w:t>
      </w:r>
      <w:r>
        <w:t>,</w:t>
      </w:r>
      <w:r w:rsidR="006B1864">
        <w:t xml:space="preserve"> </w:t>
      </w:r>
      <w:r w:rsidR="006B1864" w:rsidRPr="00690F64">
        <w:t>2018</w:t>
      </w:r>
      <w:r w:rsidR="006B1864">
        <w:t xml:space="preserve">, </w:t>
      </w:r>
      <w:r w:rsidR="006B1864" w:rsidRPr="00690F64">
        <w:rPr>
          <w:b/>
        </w:rPr>
        <w:t>559</w:t>
      </w:r>
      <w:r w:rsidR="006B1864">
        <w:t>, 377–381.</w:t>
      </w:r>
    </w:p>
    <w:p w14:paraId="1EF730A7" w14:textId="3F1465FD" w:rsidR="006B1864" w:rsidRDefault="006B1864" w:rsidP="006B1864">
      <w:pPr>
        <w:pStyle w:val="RSCR02References"/>
      </w:pPr>
      <w:r w:rsidRPr="007610E2">
        <w:t xml:space="preserve">(a) </w:t>
      </w:r>
      <w:r w:rsidR="00690F64">
        <w:t xml:space="preserve">S. V. </w:t>
      </w:r>
      <w:r w:rsidRPr="007610E2">
        <w:t xml:space="preserve">Ley, </w:t>
      </w:r>
      <w:r w:rsidR="00690F64">
        <w:t xml:space="preserve">D. E. </w:t>
      </w:r>
      <w:r w:rsidRPr="007610E2">
        <w:t xml:space="preserve">Fitzpatrick, </w:t>
      </w:r>
      <w:r w:rsidR="00690F64">
        <w:t xml:space="preserve">R. J. </w:t>
      </w:r>
      <w:r w:rsidRPr="007610E2">
        <w:t>Ingham</w:t>
      </w:r>
      <w:r w:rsidR="00690F64">
        <w:t xml:space="preserve"> and R. M. </w:t>
      </w:r>
      <w:r w:rsidRPr="007610E2">
        <w:t xml:space="preserve">Myers, </w:t>
      </w:r>
      <w:r w:rsidRPr="007610E2">
        <w:rPr>
          <w:i/>
        </w:rPr>
        <w:t>Angew. Chem. Int. Ed.</w:t>
      </w:r>
      <w:r w:rsidR="00690F64">
        <w:t>,</w:t>
      </w:r>
      <w:r w:rsidRPr="007610E2">
        <w:t xml:space="preserve"> </w:t>
      </w:r>
      <w:r w:rsidRPr="00690F64">
        <w:t>2015</w:t>
      </w:r>
      <w:r w:rsidRPr="007610E2">
        <w:t xml:space="preserve">, </w:t>
      </w:r>
      <w:r w:rsidRPr="00690F64">
        <w:rPr>
          <w:b/>
        </w:rPr>
        <w:t>54</w:t>
      </w:r>
      <w:r w:rsidRPr="007610E2">
        <w:t xml:space="preserve">, 3449–3464. (b) </w:t>
      </w:r>
      <w:r w:rsidR="00690F64">
        <w:t xml:space="preserve">M. </w:t>
      </w:r>
      <w:r w:rsidRPr="007610E2">
        <w:t>Trobe</w:t>
      </w:r>
      <w:r w:rsidR="00690F64">
        <w:t xml:space="preserve"> and M. D. </w:t>
      </w:r>
      <w:r w:rsidRPr="007610E2">
        <w:t xml:space="preserve">Burke, </w:t>
      </w:r>
      <w:r w:rsidRPr="007610E2">
        <w:rPr>
          <w:i/>
        </w:rPr>
        <w:t>Angew. Chem. Int. Ed.</w:t>
      </w:r>
      <w:r w:rsidR="00690F64">
        <w:t>,</w:t>
      </w:r>
      <w:r w:rsidRPr="007610E2">
        <w:t xml:space="preserve"> </w:t>
      </w:r>
      <w:r w:rsidRPr="00690F64">
        <w:t>2018</w:t>
      </w:r>
      <w:r w:rsidRPr="007610E2">
        <w:t xml:space="preserve">, </w:t>
      </w:r>
      <w:r w:rsidRPr="00690F64">
        <w:rPr>
          <w:b/>
        </w:rPr>
        <w:t>57</w:t>
      </w:r>
      <w:r w:rsidRPr="007610E2">
        <w:t>, 4192–4214.</w:t>
      </w:r>
    </w:p>
    <w:p w14:paraId="0C997E7E" w14:textId="5EFDBFDC" w:rsidR="00597C2B" w:rsidRDefault="00597C2B" w:rsidP="00315044">
      <w:pPr>
        <w:pStyle w:val="RSCR02References"/>
      </w:pPr>
      <w:r>
        <w:t xml:space="preserve">(a) </w:t>
      </w:r>
      <w:r w:rsidRPr="00597C2B">
        <w:t>D. P. Hruszkewycz, D. Balcells, L. M. Guard, N. Hazari</w:t>
      </w:r>
      <w:r>
        <w:t xml:space="preserve"> and</w:t>
      </w:r>
      <w:r w:rsidRPr="00597C2B">
        <w:t xml:space="preserve"> M. Tilset, </w:t>
      </w:r>
      <w:r w:rsidRPr="00597C2B">
        <w:rPr>
          <w:i/>
          <w:iCs/>
        </w:rPr>
        <w:t>J. Am. Chem. Soc.</w:t>
      </w:r>
      <w:r>
        <w:t>,</w:t>
      </w:r>
      <w:r w:rsidRPr="00597C2B">
        <w:t xml:space="preserve"> 2014, </w:t>
      </w:r>
      <w:r w:rsidRPr="00597C2B">
        <w:rPr>
          <w:b/>
          <w:bCs/>
        </w:rPr>
        <w:t>136</w:t>
      </w:r>
      <w:r w:rsidRPr="00597C2B">
        <w:t>, 7300−7316.</w:t>
      </w:r>
      <w:r>
        <w:t xml:space="preserve">  (b) C. C. C. Johansson Seechurn, T. Sperger, T. G. Scrase, F. Schoenebeck and T. J. Colacot, </w:t>
      </w:r>
      <w:r w:rsidRPr="00597C2B">
        <w:rPr>
          <w:i/>
        </w:rPr>
        <w:t>J. Am. Chem. Soc.</w:t>
      </w:r>
      <w:r>
        <w:t xml:space="preserve">, </w:t>
      </w:r>
      <w:r w:rsidRPr="00455C4E">
        <w:t>2017</w:t>
      </w:r>
      <w:r>
        <w:t xml:space="preserve">, </w:t>
      </w:r>
      <w:r w:rsidRPr="00597C2B">
        <w:rPr>
          <w:b/>
        </w:rPr>
        <w:t>139</w:t>
      </w:r>
      <w:r>
        <w:t xml:space="preserve">, 5194-5200. (c) M. Montgomery, H. M. O’Brien, C. Méndez-Gálvez, C. R. Bromfield, J. P. M. Roberts, A. M. Winnicka, A. Horner, D. Elorriaga, H. A. Sparkes and R. B. Bedford, </w:t>
      </w:r>
      <w:r w:rsidRPr="00597C2B">
        <w:rPr>
          <w:i/>
          <w:iCs/>
        </w:rPr>
        <w:t>Dalton Trans.</w:t>
      </w:r>
      <w:r>
        <w:t xml:space="preserve">, 2019, </w:t>
      </w:r>
      <w:r w:rsidRPr="00597C2B">
        <w:rPr>
          <w:b/>
          <w:bCs/>
        </w:rPr>
        <w:t>48</w:t>
      </w:r>
      <w:r>
        <w:t>,</w:t>
      </w:r>
      <w:r w:rsidRPr="00597C2B">
        <w:rPr>
          <w:b/>
          <w:bCs/>
        </w:rPr>
        <w:t xml:space="preserve"> </w:t>
      </w:r>
      <w:r w:rsidRPr="00597C2B">
        <w:t>3539</w:t>
      </w:r>
      <w:r>
        <w:t xml:space="preserve">-3542. (d) S. Wagschal, L. A. Perego, A. Simon, A. Franco-Espejo, C. Tocqueville, J. Albaneze-Walker, A. Jutand and L. Grimaud, </w:t>
      </w:r>
      <w:r>
        <w:rPr>
          <w:i/>
          <w:iCs/>
        </w:rPr>
        <w:t>Chem. Eur. J.</w:t>
      </w:r>
      <w:r>
        <w:t>,</w:t>
      </w:r>
      <w:r>
        <w:rPr>
          <w:i/>
          <w:iCs/>
        </w:rPr>
        <w:t xml:space="preserve"> </w:t>
      </w:r>
      <w:r>
        <w:t>2019,</w:t>
      </w:r>
      <w:r w:rsidRPr="00597C2B">
        <w:t xml:space="preserve"> </w:t>
      </w:r>
      <w:r w:rsidRPr="00597C2B">
        <w:rPr>
          <w:b/>
          <w:bCs/>
        </w:rPr>
        <w:t>25</w:t>
      </w:r>
      <w:r w:rsidRPr="00597C2B">
        <w:t>, 6980</w:t>
      </w:r>
      <w:r>
        <w:t>–</w:t>
      </w:r>
      <w:r w:rsidRPr="00597C2B">
        <w:t>6987</w:t>
      </w:r>
      <w:r>
        <w:t>.</w:t>
      </w:r>
    </w:p>
    <w:p w14:paraId="0C124738" w14:textId="70B52901" w:rsidR="006B1864" w:rsidRDefault="006B1864" w:rsidP="006B1864">
      <w:pPr>
        <w:pStyle w:val="RSCR02References"/>
      </w:pPr>
      <w:r>
        <w:t>The catalytic competency of the Pd</w:t>
      </w:r>
      <w:r w:rsidRPr="00166D4B">
        <w:rPr>
          <w:vertAlign w:val="subscript"/>
        </w:rPr>
        <w:t>3</w:t>
      </w:r>
      <w:r>
        <w:t xml:space="preserve"> cluster has been validated in Suzuki-Miyaura cross-couplings, see: </w:t>
      </w:r>
      <w:r w:rsidR="00FB299B">
        <w:t xml:space="preserve">F. </w:t>
      </w:r>
      <w:r w:rsidRPr="002D2039">
        <w:t xml:space="preserve">Fu, </w:t>
      </w:r>
      <w:r w:rsidR="00FB299B">
        <w:t xml:space="preserve">J. </w:t>
      </w:r>
      <w:r w:rsidRPr="002D2039">
        <w:t xml:space="preserve">Xiang, </w:t>
      </w:r>
      <w:r w:rsidR="00FB299B">
        <w:t xml:space="preserve">H. </w:t>
      </w:r>
      <w:r w:rsidRPr="002D2039">
        <w:t xml:space="preserve">Cheng, </w:t>
      </w:r>
      <w:r w:rsidR="00FB299B">
        <w:t xml:space="preserve">L. </w:t>
      </w:r>
      <w:r w:rsidRPr="002D2039">
        <w:t xml:space="preserve">Cheng, </w:t>
      </w:r>
      <w:r w:rsidR="00FB299B">
        <w:t xml:space="preserve">H. </w:t>
      </w:r>
      <w:r w:rsidRPr="002D2039">
        <w:t xml:space="preserve">Chong, </w:t>
      </w:r>
      <w:r w:rsidR="00FB299B">
        <w:t xml:space="preserve">S. </w:t>
      </w:r>
      <w:r w:rsidRPr="002D2039">
        <w:t xml:space="preserve">Wang, </w:t>
      </w:r>
      <w:r w:rsidR="00FB299B">
        <w:t xml:space="preserve">P. </w:t>
      </w:r>
      <w:r w:rsidRPr="002D2039">
        <w:t xml:space="preserve">Li, </w:t>
      </w:r>
      <w:r w:rsidR="00FB299B">
        <w:t xml:space="preserve">S. </w:t>
      </w:r>
      <w:r w:rsidRPr="002D2039">
        <w:t xml:space="preserve">Wei, </w:t>
      </w:r>
      <w:r w:rsidR="00FB299B">
        <w:t xml:space="preserve">M. </w:t>
      </w:r>
      <w:r w:rsidRPr="002D2039">
        <w:t>Zhu</w:t>
      </w:r>
      <w:r w:rsidR="00FB299B">
        <w:t xml:space="preserve"> and Y. </w:t>
      </w:r>
      <w:r w:rsidRPr="002D2039">
        <w:t xml:space="preserve">Li, </w:t>
      </w:r>
      <w:r w:rsidRPr="002D2039">
        <w:rPr>
          <w:i/>
        </w:rPr>
        <w:t>ACS Catal.</w:t>
      </w:r>
      <w:r w:rsidR="00FB299B">
        <w:t>,</w:t>
      </w:r>
      <w:r w:rsidRPr="002D2039">
        <w:t xml:space="preserve"> </w:t>
      </w:r>
      <w:r w:rsidRPr="00FB299B">
        <w:t>2017</w:t>
      </w:r>
      <w:r w:rsidRPr="002D2039">
        <w:t xml:space="preserve">, </w:t>
      </w:r>
      <w:r w:rsidRPr="00FB299B">
        <w:rPr>
          <w:b/>
        </w:rPr>
        <w:t>7</w:t>
      </w:r>
      <w:r w:rsidRPr="002D2039">
        <w:t>, 1860−1867.</w:t>
      </w:r>
      <w:r>
        <w:t xml:space="preserve"> </w:t>
      </w:r>
    </w:p>
    <w:p w14:paraId="3442ECF0" w14:textId="312ACA81" w:rsidR="006B1864" w:rsidRDefault="006B1864" w:rsidP="006B1864">
      <w:pPr>
        <w:pStyle w:val="RSCR02References"/>
      </w:pPr>
      <w:r>
        <w:t xml:space="preserve">(a) </w:t>
      </w:r>
      <w:r w:rsidR="00FB299B">
        <w:t xml:space="preserve">D. P. </w:t>
      </w:r>
      <w:r w:rsidRPr="00F97632">
        <w:t xml:space="preserve">Hruszkewycz, </w:t>
      </w:r>
      <w:r w:rsidR="00FB299B">
        <w:t xml:space="preserve">J. </w:t>
      </w:r>
      <w:r w:rsidRPr="00F97632">
        <w:t xml:space="preserve">Wu, </w:t>
      </w:r>
      <w:r w:rsidR="00FB299B">
        <w:t xml:space="preserve">N. </w:t>
      </w:r>
      <w:r w:rsidRPr="00F97632">
        <w:t>Hazari</w:t>
      </w:r>
      <w:r w:rsidR="00FB299B">
        <w:t xml:space="preserve"> and</w:t>
      </w:r>
      <w:r w:rsidRPr="00F97632">
        <w:t xml:space="preserve"> </w:t>
      </w:r>
      <w:r w:rsidR="00FB299B">
        <w:t xml:space="preserve">C. D. </w:t>
      </w:r>
      <w:r w:rsidRPr="00F97632">
        <w:t xml:space="preserve">Incarvito, </w:t>
      </w:r>
      <w:r w:rsidRPr="00F97632">
        <w:rPr>
          <w:i/>
        </w:rPr>
        <w:t>J. Am. Chem. Soc.</w:t>
      </w:r>
      <w:r w:rsidR="00FB299B">
        <w:t>,</w:t>
      </w:r>
      <w:r w:rsidRPr="00F97632">
        <w:t xml:space="preserve"> </w:t>
      </w:r>
      <w:r w:rsidRPr="00FB299B">
        <w:t>2011</w:t>
      </w:r>
      <w:r w:rsidRPr="00F97632">
        <w:t xml:space="preserve">, </w:t>
      </w:r>
      <w:r w:rsidRPr="00FB299B">
        <w:rPr>
          <w:b/>
        </w:rPr>
        <w:t>133</w:t>
      </w:r>
      <w:r w:rsidRPr="00F97632">
        <w:t xml:space="preserve">, 3280–3283. </w:t>
      </w:r>
      <w:r>
        <w:t xml:space="preserve">(b) </w:t>
      </w:r>
      <w:r w:rsidR="00FB299B">
        <w:t xml:space="preserve">P. </w:t>
      </w:r>
      <w:r w:rsidRPr="00F97632">
        <w:t xml:space="preserve">Leoni, </w:t>
      </w:r>
      <w:r w:rsidR="00FB299B">
        <w:t xml:space="preserve">E. </w:t>
      </w:r>
      <w:r w:rsidRPr="00F97632">
        <w:t xml:space="preserve">Vichi, </w:t>
      </w:r>
      <w:r w:rsidR="00FB299B">
        <w:t xml:space="preserve">S. </w:t>
      </w:r>
      <w:r w:rsidRPr="00F97632">
        <w:t xml:space="preserve">Lencioni, </w:t>
      </w:r>
      <w:r w:rsidR="00FB299B">
        <w:t xml:space="preserve">M. </w:t>
      </w:r>
      <w:r w:rsidRPr="00F97632">
        <w:t xml:space="preserve">Pasquali, </w:t>
      </w:r>
      <w:r w:rsidR="00FB299B">
        <w:t xml:space="preserve">E. </w:t>
      </w:r>
      <w:r w:rsidRPr="00F97632">
        <w:t>Chiarentin</w:t>
      </w:r>
      <w:r w:rsidR="00FB299B">
        <w:t xml:space="preserve"> and A. </w:t>
      </w:r>
      <w:r w:rsidRPr="00F97632">
        <w:t xml:space="preserve">Albinati, </w:t>
      </w:r>
      <w:r w:rsidRPr="00F97632">
        <w:rPr>
          <w:i/>
        </w:rPr>
        <w:t>Organometallics</w:t>
      </w:r>
      <w:r w:rsidR="00FB299B">
        <w:t>,</w:t>
      </w:r>
      <w:r w:rsidRPr="00F97632">
        <w:t xml:space="preserve"> </w:t>
      </w:r>
      <w:r w:rsidRPr="00FB299B">
        <w:t>2000</w:t>
      </w:r>
      <w:r w:rsidRPr="00F97632">
        <w:t xml:space="preserve">, </w:t>
      </w:r>
      <w:r w:rsidRPr="00FB299B">
        <w:rPr>
          <w:b/>
        </w:rPr>
        <w:t>19</w:t>
      </w:r>
      <w:r w:rsidRPr="00F97632">
        <w:t>, 3062</w:t>
      </w:r>
      <w:r>
        <w:t>–</w:t>
      </w:r>
      <w:r w:rsidRPr="00F97632">
        <w:t>3068.</w:t>
      </w:r>
    </w:p>
    <w:p w14:paraId="06887281" w14:textId="57F64C7E" w:rsidR="006B1864" w:rsidRDefault="006B1864" w:rsidP="006B1864">
      <w:pPr>
        <w:pStyle w:val="RSCR02References"/>
      </w:pPr>
      <w:r>
        <w:t>The reaction of Pd(OAc)</w:t>
      </w:r>
      <w:r w:rsidRPr="000C7EF6">
        <w:rPr>
          <w:vertAlign w:val="subscript"/>
        </w:rPr>
        <w:t>2</w:t>
      </w:r>
      <w:r>
        <w:t>/2PPh</w:t>
      </w:r>
      <w:r w:rsidRPr="000C7EF6">
        <w:rPr>
          <w:vertAlign w:val="subscript"/>
        </w:rPr>
        <w:t>3</w:t>
      </w:r>
      <w:r>
        <w:t xml:space="preserve"> in MeOH gives complex </w:t>
      </w:r>
      <w:r w:rsidRPr="003530F9">
        <w:rPr>
          <w:b/>
        </w:rPr>
        <w:t>VIII</w:t>
      </w:r>
      <w:r>
        <w:t xml:space="preserve"> in 41% yield, see.  </w:t>
      </w:r>
      <w:r w:rsidR="0082653C">
        <w:t xml:space="preserve">M. B. </w:t>
      </w:r>
      <w:r>
        <w:t>H</w:t>
      </w:r>
      <w:r w:rsidRPr="000C7EF6">
        <w:t xml:space="preserve">ursthouse, </w:t>
      </w:r>
      <w:r w:rsidR="0082653C">
        <w:t xml:space="preserve">O. D. </w:t>
      </w:r>
      <w:r w:rsidRPr="000C7EF6">
        <w:t>S</w:t>
      </w:r>
      <w:r>
        <w:t>loan</w:t>
      </w:r>
      <w:r w:rsidRPr="000C7EF6">
        <w:t xml:space="preserve">, </w:t>
      </w:r>
      <w:r w:rsidR="0082653C">
        <w:t xml:space="preserve">P. </w:t>
      </w:r>
      <w:r w:rsidRPr="000C7EF6">
        <w:t>T</w:t>
      </w:r>
      <w:r>
        <w:t>hornton</w:t>
      </w:r>
      <w:r w:rsidR="0082653C">
        <w:t xml:space="preserve"> and N. P. C. </w:t>
      </w:r>
      <w:r>
        <w:t>Walker</w:t>
      </w:r>
      <w:r w:rsidRPr="000C7EF6">
        <w:t xml:space="preserve">, </w:t>
      </w:r>
      <w:r w:rsidRPr="003530F9">
        <w:rPr>
          <w:i/>
        </w:rPr>
        <w:t>Polyhedron</w:t>
      </w:r>
      <w:r w:rsidR="00792D87">
        <w:t>,</w:t>
      </w:r>
      <w:r w:rsidRPr="000C7EF6">
        <w:t xml:space="preserve"> </w:t>
      </w:r>
      <w:r w:rsidRPr="00792D87">
        <w:t>1986</w:t>
      </w:r>
      <w:r w:rsidRPr="000C7EF6">
        <w:t xml:space="preserve">, </w:t>
      </w:r>
      <w:r w:rsidRPr="00792D87">
        <w:rPr>
          <w:b/>
        </w:rPr>
        <w:t>5</w:t>
      </w:r>
      <w:r w:rsidRPr="000C7EF6">
        <w:t>, 1475</w:t>
      </w:r>
      <w:r>
        <w:t>–</w:t>
      </w:r>
      <w:r w:rsidRPr="000C7EF6">
        <w:t>1478.</w:t>
      </w:r>
    </w:p>
    <w:p w14:paraId="3B9D84FF" w14:textId="73D05EF7" w:rsidR="006B1864" w:rsidRPr="00A93956" w:rsidRDefault="006B1864" w:rsidP="006B1864">
      <w:pPr>
        <w:pStyle w:val="RSCR02References"/>
      </w:pPr>
      <w:r>
        <w:t>In [Pd</w:t>
      </w:r>
      <w:r>
        <w:rPr>
          <w:vertAlign w:val="subscript"/>
        </w:rPr>
        <w:t>3</w:t>
      </w:r>
      <w:r>
        <w:t>(Cl)(PPh</w:t>
      </w:r>
      <w:r>
        <w:rPr>
          <w:vertAlign w:val="subscript"/>
        </w:rPr>
        <w:t>2</w:t>
      </w:r>
      <w:r>
        <w:t>)</w:t>
      </w:r>
      <w:r>
        <w:rPr>
          <w:vertAlign w:val="subscript"/>
        </w:rPr>
        <w:t>2</w:t>
      </w:r>
      <w:r>
        <w:t>(PPh</w:t>
      </w:r>
      <w:r>
        <w:rPr>
          <w:vertAlign w:val="subscript"/>
        </w:rPr>
        <w:t>3</w:t>
      </w:r>
      <w:r>
        <w:t>)</w:t>
      </w:r>
      <w:r>
        <w:rPr>
          <w:vertAlign w:val="subscript"/>
        </w:rPr>
        <w:t>3</w:t>
      </w:r>
      <w:r>
        <w:t>]OAc we specify the non-coordinating anion as acetate, which serves to balance the full chemical reaction equation. As the reaction is run with an excess of CH</w:t>
      </w:r>
      <w:r>
        <w:rPr>
          <w:vertAlign w:val="subscript"/>
        </w:rPr>
        <w:t>2</w:t>
      </w:r>
      <w:r>
        <w:t>Cl</w:t>
      </w:r>
      <w:r>
        <w:rPr>
          <w:vertAlign w:val="subscript"/>
        </w:rPr>
        <w:t>2</w:t>
      </w:r>
      <w:r>
        <w:t xml:space="preserve">, exchange of acetate for chloride could occur under the reaction conditions used. </w:t>
      </w:r>
    </w:p>
    <w:p w14:paraId="25040514" w14:textId="2D321A8A" w:rsidR="006B1864" w:rsidRDefault="00792D87" w:rsidP="006B1864">
      <w:pPr>
        <w:pStyle w:val="RSCR02References"/>
      </w:pPr>
      <w:r>
        <w:t xml:space="preserve">A. S. </w:t>
      </w:r>
      <w:r w:rsidR="006B1864" w:rsidRPr="00E23462">
        <w:t>Berenblyum</w:t>
      </w:r>
      <w:r w:rsidR="006B1864">
        <w:t xml:space="preserve">, </w:t>
      </w:r>
      <w:r>
        <w:t xml:space="preserve">A. P. </w:t>
      </w:r>
      <w:r w:rsidR="006B1864">
        <w:t xml:space="preserve">Aseeva, </w:t>
      </w:r>
      <w:r>
        <w:t xml:space="preserve">L. I. </w:t>
      </w:r>
      <w:r w:rsidR="006B1864">
        <w:t>Lakhman</w:t>
      </w:r>
      <w:r>
        <w:t xml:space="preserve"> and I. I. </w:t>
      </w:r>
      <w:r w:rsidR="006B1864">
        <w:t xml:space="preserve">Moiseev, </w:t>
      </w:r>
      <w:r w:rsidR="006B1864">
        <w:rPr>
          <w:i/>
        </w:rPr>
        <w:t>J. Organomet. Chem.</w:t>
      </w:r>
      <w:r w:rsidR="006B1864" w:rsidRPr="007D1C7E">
        <w:t>,</w:t>
      </w:r>
      <w:r w:rsidR="006B1864">
        <w:rPr>
          <w:i/>
        </w:rPr>
        <w:t xml:space="preserve"> </w:t>
      </w:r>
      <w:r w:rsidR="006B1864" w:rsidRPr="00792D87">
        <w:t>1982</w:t>
      </w:r>
      <w:r w:rsidR="006B1864" w:rsidRPr="007D1C7E">
        <w:t>,</w:t>
      </w:r>
      <w:r w:rsidR="006B1864">
        <w:t xml:space="preserve"> </w:t>
      </w:r>
      <w:r w:rsidR="006B1864" w:rsidRPr="00792D87">
        <w:rPr>
          <w:b/>
        </w:rPr>
        <w:t>234</w:t>
      </w:r>
      <w:r w:rsidR="006B1864">
        <w:t>, 219–235.</w:t>
      </w:r>
    </w:p>
    <w:p w14:paraId="26438CF6" w14:textId="0FBA5C62" w:rsidR="006B1864" w:rsidRPr="00D26468" w:rsidRDefault="00792D87" w:rsidP="006B1864">
      <w:pPr>
        <w:pStyle w:val="RSCR02References"/>
        <w:rPr>
          <w:b/>
        </w:rPr>
      </w:pPr>
      <w:r>
        <w:t xml:space="preserve">K. R. </w:t>
      </w:r>
      <w:r w:rsidR="006B1864" w:rsidRPr="006B1864">
        <w:t>Dixon</w:t>
      </w:r>
      <w:r>
        <w:t xml:space="preserve"> and A. D. </w:t>
      </w:r>
      <w:r w:rsidR="006B1864" w:rsidRPr="006B1864">
        <w:t xml:space="preserve">Rattray, </w:t>
      </w:r>
      <w:r w:rsidR="006B1864" w:rsidRPr="00BE5E9A">
        <w:rPr>
          <w:i/>
        </w:rPr>
        <w:t>Inorg. Chem.</w:t>
      </w:r>
      <w:r>
        <w:t>,</w:t>
      </w:r>
      <w:r w:rsidR="006B1864" w:rsidRPr="00BE5E9A">
        <w:t xml:space="preserve"> </w:t>
      </w:r>
      <w:r w:rsidR="006B1864" w:rsidRPr="00792D87">
        <w:t>1978</w:t>
      </w:r>
      <w:r w:rsidR="006B1864" w:rsidRPr="00BE5E9A">
        <w:t xml:space="preserve">, </w:t>
      </w:r>
      <w:r w:rsidR="006B1864" w:rsidRPr="00792D87">
        <w:rPr>
          <w:b/>
        </w:rPr>
        <w:t>17</w:t>
      </w:r>
      <w:r w:rsidR="006B1864" w:rsidRPr="00BE5E9A">
        <w:t>, 1099-1103.</w:t>
      </w:r>
    </w:p>
    <w:p w14:paraId="17C22624" w14:textId="77777777" w:rsidR="00D26468" w:rsidRPr="00934288" w:rsidRDefault="00D26468" w:rsidP="00D26468">
      <w:pPr>
        <w:pStyle w:val="RSCR02References"/>
      </w:pPr>
      <w:r>
        <w:t xml:space="preserve">C. J. Diehl, T. Scattolin, U. Englert and F. Schoenebeck, </w:t>
      </w:r>
      <w:r w:rsidRPr="00F60527">
        <w:rPr>
          <w:i/>
        </w:rPr>
        <w:t>Angew. Chem.</w:t>
      </w:r>
      <w:r>
        <w:rPr>
          <w:i/>
        </w:rPr>
        <w:t xml:space="preserve"> Int. Ed.</w:t>
      </w:r>
      <w:r>
        <w:t xml:space="preserve">, </w:t>
      </w:r>
      <w:r w:rsidRPr="00455C4E">
        <w:t>2019</w:t>
      </w:r>
      <w:r>
        <w:t xml:space="preserve">, </w:t>
      </w:r>
      <w:r w:rsidRPr="00455C4E">
        <w:rPr>
          <w:b/>
        </w:rPr>
        <w:t>58</w:t>
      </w:r>
      <w:r w:rsidRPr="00295FF2">
        <w:t>, 211-215</w:t>
      </w:r>
      <w:r>
        <w:t xml:space="preserve">. </w:t>
      </w:r>
    </w:p>
    <w:p w14:paraId="088371CB" w14:textId="4BDE586C" w:rsidR="006B1864" w:rsidRPr="00083EB1" w:rsidRDefault="006B1864" w:rsidP="006B1864">
      <w:pPr>
        <w:pStyle w:val="RSCR02References"/>
      </w:pPr>
      <w:r>
        <w:t xml:space="preserve">(a) </w:t>
      </w:r>
      <w:r w:rsidR="00792D87">
        <w:t xml:space="preserve">K. </w:t>
      </w:r>
      <w:r w:rsidRPr="00083EB1">
        <w:t>Matos</w:t>
      </w:r>
      <w:r w:rsidR="00792D87">
        <w:t xml:space="preserve"> and J. A. </w:t>
      </w:r>
      <w:r w:rsidRPr="00083EB1">
        <w:t xml:space="preserve">Soderquist, </w:t>
      </w:r>
      <w:r w:rsidRPr="002F1D4B">
        <w:rPr>
          <w:i/>
        </w:rPr>
        <w:t>J. Org. Chem.</w:t>
      </w:r>
      <w:r w:rsidR="00792D87">
        <w:t>,</w:t>
      </w:r>
      <w:r w:rsidRPr="00083EB1">
        <w:t xml:space="preserve"> </w:t>
      </w:r>
      <w:r w:rsidRPr="00792D87">
        <w:t>1998</w:t>
      </w:r>
      <w:r w:rsidRPr="00083EB1">
        <w:t xml:space="preserve">, </w:t>
      </w:r>
      <w:r w:rsidRPr="00792D87">
        <w:rPr>
          <w:b/>
        </w:rPr>
        <w:t>63</w:t>
      </w:r>
      <w:r w:rsidRPr="00083EB1">
        <w:t xml:space="preserve">, 461−470. </w:t>
      </w:r>
      <w:r>
        <w:t xml:space="preserve">(b) </w:t>
      </w:r>
      <w:r w:rsidR="00792D87">
        <w:t xml:space="preserve">A. F. </w:t>
      </w:r>
      <w:r>
        <w:t xml:space="preserve">Schmidt, </w:t>
      </w:r>
      <w:r w:rsidR="00792D87">
        <w:t xml:space="preserve">A. A. </w:t>
      </w:r>
      <w:r>
        <w:t>Kurokhtina</w:t>
      </w:r>
      <w:r w:rsidR="00792D87">
        <w:t xml:space="preserve"> and</w:t>
      </w:r>
      <w:r>
        <w:t xml:space="preserve"> </w:t>
      </w:r>
      <w:r w:rsidR="00792D87">
        <w:t xml:space="preserve">E. V. </w:t>
      </w:r>
      <w:r>
        <w:t xml:space="preserve">Larina, </w:t>
      </w:r>
      <w:r w:rsidRPr="002F1D4B">
        <w:rPr>
          <w:i/>
        </w:rPr>
        <w:t>Russ. J. Gen. Chem.</w:t>
      </w:r>
      <w:r w:rsidR="00792D87">
        <w:t>,</w:t>
      </w:r>
      <w:r>
        <w:t xml:space="preserve"> </w:t>
      </w:r>
      <w:r w:rsidRPr="00792D87">
        <w:t>2011</w:t>
      </w:r>
      <w:r>
        <w:t xml:space="preserve">, </w:t>
      </w:r>
      <w:r w:rsidRPr="00792D87">
        <w:rPr>
          <w:b/>
        </w:rPr>
        <w:t>81</w:t>
      </w:r>
      <w:r>
        <w:t xml:space="preserve">, 1573−1574. (c) </w:t>
      </w:r>
      <w:r w:rsidR="00792D87">
        <w:t xml:space="preserve">B. P. </w:t>
      </w:r>
      <w:r>
        <w:t xml:space="preserve">Carrow </w:t>
      </w:r>
      <w:r w:rsidR="00792D87">
        <w:t xml:space="preserve">and J. F. </w:t>
      </w:r>
      <w:r>
        <w:t xml:space="preserve">Hartwig, </w:t>
      </w:r>
      <w:r w:rsidRPr="002F1D4B">
        <w:rPr>
          <w:i/>
        </w:rPr>
        <w:t>J. Am. Chem. Soc.</w:t>
      </w:r>
      <w:r w:rsidR="00792D87">
        <w:t>,</w:t>
      </w:r>
      <w:r>
        <w:t xml:space="preserve"> </w:t>
      </w:r>
      <w:r w:rsidRPr="00792D87">
        <w:t>2011</w:t>
      </w:r>
      <w:r>
        <w:t xml:space="preserve">, </w:t>
      </w:r>
      <w:r w:rsidRPr="00792D87">
        <w:rPr>
          <w:b/>
        </w:rPr>
        <w:t>133</w:t>
      </w:r>
      <w:r>
        <w:t xml:space="preserve">, 2116−2119. (d) </w:t>
      </w:r>
      <w:r w:rsidR="00792D87">
        <w:t xml:space="preserve">C. </w:t>
      </w:r>
      <w:r>
        <w:t xml:space="preserve">Amatore, </w:t>
      </w:r>
      <w:r w:rsidR="00792D87">
        <w:t xml:space="preserve">A. </w:t>
      </w:r>
      <w:r>
        <w:t>Jutand</w:t>
      </w:r>
      <w:r w:rsidR="00792D87">
        <w:t xml:space="preserve"> and G. </w:t>
      </w:r>
      <w:r>
        <w:t xml:space="preserve">Le Duc, </w:t>
      </w:r>
      <w:r w:rsidRPr="005B6FF4">
        <w:rPr>
          <w:i/>
        </w:rPr>
        <w:t>Chem. Eur. J.</w:t>
      </w:r>
      <w:r w:rsidR="00792D87">
        <w:t>,</w:t>
      </w:r>
      <w:r>
        <w:t xml:space="preserve"> </w:t>
      </w:r>
      <w:r w:rsidRPr="00792D87">
        <w:t>2011</w:t>
      </w:r>
      <w:r>
        <w:t xml:space="preserve">, </w:t>
      </w:r>
      <w:r w:rsidRPr="00792D87">
        <w:rPr>
          <w:b/>
        </w:rPr>
        <w:t>17</w:t>
      </w:r>
      <w:r>
        <w:t xml:space="preserve">, 2492−2503. (e) </w:t>
      </w:r>
      <w:r w:rsidR="00792D87">
        <w:t xml:space="preserve">C. </w:t>
      </w:r>
      <w:r>
        <w:t xml:space="preserve">Amatore, </w:t>
      </w:r>
      <w:r w:rsidR="00792D87">
        <w:t xml:space="preserve">A. </w:t>
      </w:r>
      <w:r>
        <w:t>Jutand</w:t>
      </w:r>
      <w:r w:rsidR="00792D87">
        <w:t xml:space="preserve"> and G. </w:t>
      </w:r>
      <w:r>
        <w:t xml:space="preserve">Le Duc, </w:t>
      </w:r>
      <w:r w:rsidRPr="005B6FF4">
        <w:rPr>
          <w:i/>
        </w:rPr>
        <w:t>Chem. Eur. J.</w:t>
      </w:r>
      <w:r w:rsidR="00792D87">
        <w:t>,</w:t>
      </w:r>
      <w:r>
        <w:t xml:space="preserve"> </w:t>
      </w:r>
      <w:r w:rsidRPr="00792D87">
        <w:t>2012</w:t>
      </w:r>
      <w:r>
        <w:t xml:space="preserve">, </w:t>
      </w:r>
      <w:r w:rsidRPr="00792D87">
        <w:rPr>
          <w:b/>
        </w:rPr>
        <w:t>18</w:t>
      </w:r>
      <w:r>
        <w:t xml:space="preserve">, 6616–6625. (f) </w:t>
      </w:r>
      <w:r w:rsidR="00792D87">
        <w:t xml:space="preserve">A. J. J. </w:t>
      </w:r>
      <w:r w:rsidRPr="005B6FF4">
        <w:t>Lennox</w:t>
      </w:r>
      <w:r w:rsidR="00792D87">
        <w:t xml:space="preserve"> and G. C. </w:t>
      </w:r>
      <w:r w:rsidRPr="005B6FF4">
        <w:t>Lloyd-Jones</w:t>
      </w:r>
      <w:r>
        <w:t xml:space="preserve">, </w:t>
      </w:r>
      <w:r w:rsidRPr="005B6FF4">
        <w:rPr>
          <w:i/>
        </w:rPr>
        <w:t>Angew. Chem. Int. Ed.</w:t>
      </w:r>
      <w:r w:rsidR="00792D87">
        <w:t>,</w:t>
      </w:r>
      <w:r w:rsidRPr="005B6FF4">
        <w:t xml:space="preserve"> </w:t>
      </w:r>
      <w:r w:rsidRPr="00792D87">
        <w:t>2013</w:t>
      </w:r>
      <w:r w:rsidRPr="005B6FF4">
        <w:t xml:space="preserve">, </w:t>
      </w:r>
      <w:r w:rsidRPr="00792D87">
        <w:rPr>
          <w:b/>
        </w:rPr>
        <w:t>52</w:t>
      </w:r>
      <w:r w:rsidRPr="005B6FF4">
        <w:t>, 7362–7370</w:t>
      </w:r>
      <w:r>
        <w:t xml:space="preserve">. (g) </w:t>
      </w:r>
      <w:r w:rsidR="00792D87">
        <w:t xml:space="preserve">A. A. </w:t>
      </w:r>
      <w:r w:rsidRPr="00673486">
        <w:t xml:space="preserve">Thomas, </w:t>
      </w:r>
      <w:r w:rsidR="00792D87">
        <w:t xml:space="preserve">H. </w:t>
      </w:r>
      <w:r w:rsidRPr="00673486">
        <w:t xml:space="preserve">Wang, </w:t>
      </w:r>
      <w:r w:rsidR="00792D87">
        <w:t xml:space="preserve">A. F. </w:t>
      </w:r>
      <w:r w:rsidRPr="00673486">
        <w:t>Zahrt</w:t>
      </w:r>
      <w:r w:rsidR="00792D87">
        <w:t xml:space="preserve"> and S. E. </w:t>
      </w:r>
      <w:r w:rsidRPr="00673486">
        <w:t xml:space="preserve">Denmark, </w:t>
      </w:r>
      <w:r w:rsidRPr="00485B37">
        <w:rPr>
          <w:i/>
        </w:rPr>
        <w:t>J. Am. Chem. Soc.</w:t>
      </w:r>
      <w:r w:rsidR="00792D87">
        <w:t>,</w:t>
      </w:r>
      <w:r w:rsidRPr="00673486">
        <w:t xml:space="preserve"> </w:t>
      </w:r>
      <w:r w:rsidRPr="00792D87">
        <w:t>2017</w:t>
      </w:r>
      <w:r w:rsidRPr="00673486">
        <w:t xml:space="preserve">, </w:t>
      </w:r>
      <w:r w:rsidRPr="00792D87">
        <w:rPr>
          <w:b/>
        </w:rPr>
        <w:t>139</w:t>
      </w:r>
      <w:r w:rsidRPr="00673486">
        <w:t>, 3805–3821.</w:t>
      </w:r>
    </w:p>
    <w:p w14:paraId="35B1239B" w14:textId="0E28FD44" w:rsidR="006B1864" w:rsidRDefault="006B1864" w:rsidP="006B1864">
      <w:pPr>
        <w:pStyle w:val="RSCR02References"/>
      </w:pPr>
      <w:r w:rsidRPr="0052767A">
        <w:rPr>
          <w:b/>
        </w:rPr>
        <w:t>Pd</w:t>
      </w:r>
      <w:r w:rsidRPr="0052767A">
        <w:rPr>
          <w:b/>
          <w:vertAlign w:val="subscript"/>
        </w:rPr>
        <w:t>3</w:t>
      </w:r>
      <w:r w:rsidRPr="0052767A">
        <w:rPr>
          <w:b/>
        </w:rPr>
        <w:t>Br</w:t>
      </w:r>
      <w:r w:rsidRPr="0052767A">
        <w:rPr>
          <w:rFonts w:cs="Times"/>
          <w:b/>
        </w:rPr>
        <w:t>•</w:t>
      </w:r>
      <w:r w:rsidRPr="0052767A">
        <w:rPr>
          <w:b/>
        </w:rPr>
        <w:t>Br</w:t>
      </w:r>
      <w:r>
        <w:t xml:space="preserve"> was selected for control experiments as we hypothesized that excess bromide would be generated the SMCC reaction, </w:t>
      </w:r>
      <w:r>
        <w:rPr>
          <w:i/>
        </w:rPr>
        <w:t>i.e.</w:t>
      </w:r>
      <w:r>
        <w:t xml:space="preserve"> bromide would be liberated during each catalyst turnover.  </w:t>
      </w:r>
    </w:p>
    <w:p w14:paraId="67AFC740" w14:textId="1F084C1F" w:rsidR="006B1864" w:rsidRPr="005023AE" w:rsidRDefault="006B1864" w:rsidP="006B1864">
      <w:pPr>
        <w:pStyle w:val="RSCR02References"/>
      </w:pPr>
      <w:r>
        <w:t xml:space="preserve">A catalyst loading approximation (1.5 mol% of </w:t>
      </w:r>
      <w:r>
        <w:rPr>
          <w:b/>
        </w:rPr>
        <w:t>II</w:t>
      </w:r>
      <w:r>
        <w:t>)</w:t>
      </w:r>
      <w:r>
        <w:rPr>
          <w:b/>
        </w:rPr>
        <w:t xml:space="preserve"> </w:t>
      </w:r>
      <w:r>
        <w:t xml:space="preserve">was made for comparison of catalytic activity for the </w:t>
      </w:r>
      <w:r w:rsidRPr="005023AE">
        <w:rPr>
          <w:i/>
        </w:rPr>
        <w:t>in situ</w:t>
      </w:r>
      <w:r>
        <w:t xml:space="preserve"> generation of </w:t>
      </w:r>
      <w:r w:rsidRPr="0052767A">
        <w:rPr>
          <w:b/>
        </w:rPr>
        <w:t>Pd</w:t>
      </w:r>
      <w:r w:rsidRPr="0052767A">
        <w:rPr>
          <w:b/>
          <w:vertAlign w:val="subscript"/>
        </w:rPr>
        <w:t>3</w:t>
      </w:r>
      <w:r w:rsidRPr="0052767A">
        <w:rPr>
          <w:b/>
        </w:rPr>
        <w:t>Br</w:t>
      </w:r>
      <w:r w:rsidRPr="0052767A">
        <w:rPr>
          <w:rFonts w:cs="Times"/>
          <w:b/>
        </w:rPr>
        <w:t>•</w:t>
      </w:r>
      <w:r>
        <w:rPr>
          <w:b/>
        </w:rPr>
        <w:t>OAc</w:t>
      </w:r>
      <w:r>
        <w:t xml:space="preserve"> and </w:t>
      </w:r>
      <w:r>
        <w:rPr>
          <w:b/>
        </w:rPr>
        <w:t>4a</w:t>
      </w:r>
      <w:r>
        <w:t xml:space="preserve">, which takes into consideration that degradation of </w:t>
      </w:r>
      <w:r>
        <w:rPr>
          <w:b/>
        </w:rPr>
        <w:t>II</w:t>
      </w:r>
      <w:r>
        <w:t xml:space="preserve"> is expected under the real working reaction conditions.  </w:t>
      </w:r>
    </w:p>
    <w:p w14:paraId="70E29965" w14:textId="101BA5F5" w:rsidR="006B1864" w:rsidRDefault="006B1864" w:rsidP="006B1864">
      <w:pPr>
        <w:pStyle w:val="RSCR02References"/>
      </w:pPr>
      <w:r w:rsidRPr="002C6FAC">
        <w:t xml:space="preserve">(a) </w:t>
      </w:r>
      <w:r w:rsidR="00455C4E">
        <w:t xml:space="preserve">S. </w:t>
      </w:r>
      <w:r w:rsidRPr="002C6FAC">
        <w:t xml:space="preserve">Blanchard, </w:t>
      </w:r>
      <w:r w:rsidR="00455C4E">
        <w:t xml:space="preserve">L. </w:t>
      </w:r>
      <w:r w:rsidRPr="002C6FAC">
        <w:t xml:space="preserve">Fensterbank, </w:t>
      </w:r>
      <w:r w:rsidR="00455C4E">
        <w:t xml:space="preserve">G. </w:t>
      </w:r>
      <w:r w:rsidRPr="002C6FAC">
        <w:t xml:space="preserve">Gontard, </w:t>
      </w:r>
      <w:r w:rsidR="00455C4E">
        <w:t xml:space="preserve">E. </w:t>
      </w:r>
      <w:r w:rsidRPr="002C6FAC">
        <w:t xml:space="preserve">Lacte, </w:t>
      </w:r>
      <w:r w:rsidR="00455C4E">
        <w:t xml:space="preserve">G. </w:t>
      </w:r>
      <w:r w:rsidRPr="002C6FAC">
        <w:t>Maestri</w:t>
      </w:r>
      <w:r w:rsidR="00455C4E">
        <w:t xml:space="preserve"> and M. </w:t>
      </w:r>
      <w:r w:rsidRPr="002C6FAC">
        <w:t xml:space="preserve">Malacria, </w:t>
      </w:r>
      <w:r w:rsidRPr="002C6FAC">
        <w:rPr>
          <w:i/>
        </w:rPr>
        <w:t>Angew. Chem. Int. Ed.</w:t>
      </w:r>
      <w:r w:rsidR="00455C4E">
        <w:t>,</w:t>
      </w:r>
      <w:r w:rsidRPr="002C6FAC">
        <w:t xml:space="preserve"> </w:t>
      </w:r>
      <w:r w:rsidRPr="00455C4E">
        <w:t>2014</w:t>
      </w:r>
      <w:r w:rsidRPr="002C6FAC">
        <w:t xml:space="preserve">, </w:t>
      </w:r>
      <w:r w:rsidRPr="00455C4E">
        <w:rPr>
          <w:b/>
        </w:rPr>
        <w:t>53</w:t>
      </w:r>
      <w:r w:rsidRPr="002C6FAC">
        <w:t xml:space="preserve">, 1987–1991. (b) </w:t>
      </w:r>
      <w:r w:rsidR="00455C4E">
        <w:t xml:space="preserve">A. </w:t>
      </w:r>
      <w:r w:rsidRPr="002C6FAC">
        <w:t xml:space="preserve">Monfredini, </w:t>
      </w:r>
      <w:r w:rsidR="00455C4E">
        <w:t xml:space="preserve">V. </w:t>
      </w:r>
      <w:r w:rsidRPr="002C6FAC">
        <w:t xml:space="preserve">Santacroce, </w:t>
      </w:r>
      <w:r w:rsidR="00455C4E">
        <w:t xml:space="preserve">P.-A. </w:t>
      </w:r>
      <w:r w:rsidRPr="002C6FAC">
        <w:t>Deyri</w:t>
      </w:r>
      <w:r>
        <w:t xml:space="preserve">s, </w:t>
      </w:r>
      <w:r w:rsidR="00455C4E">
        <w:t xml:space="preserve">R. </w:t>
      </w:r>
      <w:r>
        <w:t xml:space="preserve">Maggi, </w:t>
      </w:r>
      <w:r w:rsidR="00455C4E">
        <w:t xml:space="preserve">F. </w:t>
      </w:r>
      <w:r>
        <w:t xml:space="preserve">Bigi, </w:t>
      </w:r>
      <w:r w:rsidR="00455C4E">
        <w:t xml:space="preserve">G. </w:t>
      </w:r>
      <w:r w:rsidRPr="002C6FAC">
        <w:t>Maestri</w:t>
      </w:r>
      <w:r w:rsidR="00455C4E">
        <w:t xml:space="preserve"> and M. </w:t>
      </w:r>
      <w:r w:rsidRPr="002C6FAC">
        <w:t xml:space="preserve">Malacria, </w:t>
      </w:r>
      <w:r w:rsidRPr="002C6FAC">
        <w:rPr>
          <w:i/>
        </w:rPr>
        <w:t>Dalton Trans.</w:t>
      </w:r>
      <w:r w:rsidR="00455C4E">
        <w:t>,</w:t>
      </w:r>
      <w:r w:rsidRPr="002C6FAC">
        <w:t xml:space="preserve"> </w:t>
      </w:r>
      <w:r w:rsidRPr="00455C4E">
        <w:t>2016</w:t>
      </w:r>
      <w:r w:rsidRPr="002C6FAC">
        <w:t xml:space="preserve">, </w:t>
      </w:r>
      <w:r w:rsidRPr="00455C4E">
        <w:rPr>
          <w:b/>
        </w:rPr>
        <w:t>45</w:t>
      </w:r>
      <w:r w:rsidRPr="002C6FAC">
        <w:t>, 15786</w:t>
      </w:r>
      <w:r>
        <w:t>–</w:t>
      </w:r>
      <w:r w:rsidRPr="002C6FAC">
        <w:t xml:space="preserve">15790. (c) </w:t>
      </w:r>
      <w:r w:rsidR="00455C4E">
        <w:t xml:space="preserve">A. </w:t>
      </w:r>
      <w:r w:rsidRPr="002C6FAC">
        <w:t xml:space="preserve">Monfredini, </w:t>
      </w:r>
      <w:r w:rsidR="00455C4E">
        <w:t xml:space="preserve">V. </w:t>
      </w:r>
      <w:r w:rsidRPr="002C6FAC">
        <w:t xml:space="preserve">Santacroce, </w:t>
      </w:r>
      <w:r w:rsidR="00455C4E">
        <w:t xml:space="preserve">L. </w:t>
      </w:r>
      <w:r w:rsidRPr="002C6FAC">
        <w:t>Mar</w:t>
      </w:r>
      <w:r>
        <w:t xml:space="preserve">chio, </w:t>
      </w:r>
      <w:r w:rsidR="00455C4E">
        <w:t xml:space="preserve">R. </w:t>
      </w:r>
      <w:r>
        <w:t xml:space="preserve">Maggi, </w:t>
      </w:r>
      <w:r w:rsidR="00455C4E">
        <w:t xml:space="preserve">F. </w:t>
      </w:r>
      <w:r>
        <w:t xml:space="preserve">Bigi, </w:t>
      </w:r>
      <w:r w:rsidR="00455C4E">
        <w:t xml:space="preserve">G. </w:t>
      </w:r>
      <w:r w:rsidRPr="002C6FAC">
        <w:t>Maestri</w:t>
      </w:r>
      <w:r w:rsidR="00455C4E">
        <w:t xml:space="preserve"> and M. </w:t>
      </w:r>
      <w:r w:rsidRPr="002C6FAC">
        <w:t xml:space="preserve">Malacria, </w:t>
      </w:r>
      <w:r w:rsidRPr="002C6FAC">
        <w:rPr>
          <w:i/>
        </w:rPr>
        <w:t>ACS Sustainable Chem. Eng.</w:t>
      </w:r>
      <w:r w:rsidR="00455C4E">
        <w:t>,</w:t>
      </w:r>
      <w:r w:rsidRPr="002C6FAC">
        <w:t xml:space="preserve"> </w:t>
      </w:r>
      <w:r w:rsidRPr="00455C4E">
        <w:t>2017</w:t>
      </w:r>
      <w:r w:rsidRPr="002C6FAC">
        <w:t xml:space="preserve">, </w:t>
      </w:r>
      <w:r w:rsidRPr="00455C4E">
        <w:rPr>
          <w:b/>
        </w:rPr>
        <w:t>5</w:t>
      </w:r>
      <w:r w:rsidRPr="002C6FAC">
        <w:t>, 8205</w:t>
      </w:r>
      <w:r>
        <w:t>–</w:t>
      </w:r>
      <w:r w:rsidRPr="002C6FAC">
        <w:t>8212.</w:t>
      </w:r>
    </w:p>
    <w:p w14:paraId="402398CC" w14:textId="77777777" w:rsidR="006B1864" w:rsidRDefault="006B1864" w:rsidP="006B1864"/>
    <w:p w14:paraId="3122ECCB" w14:textId="124F2E19" w:rsidR="00EB5C28" w:rsidRPr="00241ACD" w:rsidRDefault="00EB5C28" w:rsidP="00241ACD">
      <w:pPr>
        <w:pStyle w:val="RSCF02FootnotestoTitleAuthors"/>
        <w:spacing w:line="200" w:lineRule="exact"/>
        <w:rPr>
          <w:b/>
          <w:sz w:val="18"/>
          <w:szCs w:val="18"/>
        </w:rPr>
      </w:pPr>
    </w:p>
    <w:sectPr w:rsidR="00EB5C28" w:rsidRPr="00241ACD" w:rsidSect="004B74A9">
      <w:type w:val="continuous"/>
      <w:pgSz w:w="11907" w:h="16840" w:code="9"/>
      <w:pgMar w:top="1009" w:right="851" w:bottom="1758" w:left="851" w:header="0"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1B145" w14:textId="77777777" w:rsidR="00970688" w:rsidRDefault="00970688" w:rsidP="00E547DB">
      <w:pPr>
        <w:spacing w:after="0" w:line="240" w:lineRule="auto"/>
      </w:pPr>
      <w:r>
        <w:separator/>
      </w:r>
    </w:p>
    <w:p w14:paraId="446A5F09" w14:textId="77777777" w:rsidR="00970688" w:rsidRDefault="00970688"/>
    <w:p w14:paraId="3FCCB43C" w14:textId="77777777" w:rsidR="00970688" w:rsidRDefault="00970688"/>
    <w:p w14:paraId="2B2B4514" w14:textId="77777777" w:rsidR="00970688" w:rsidRDefault="00970688"/>
    <w:p w14:paraId="3605DD98" w14:textId="77777777" w:rsidR="00970688" w:rsidRDefault="00970688"/>
    <w:p w14:paraId="1A12D515" w14:textId="77777777" w:rsidR="00970688" w:rsidRDefault="00970688"/>
  </w:endnote>
  <w:endnote w:type="continuationSeparator" w:id="0">
    <w:p w14:paraId="14A89445" w14:textId="77777777" w:rsidR="00970688" w:rsidRDefault="00970688" w:rsidP="00E547DB">
      <w:pPr>
        <w:spacing w:after="0" w:line="240" w:lineRule="auto"/>
      </w:pPr>
      <w:r>
        <w:continuationSeparator/>
      </w:r>
    </w:p>
    <w:p w14:paraId="224CCD1F" w14:textId="77777777" w:rsidR="00970688" w:rsidRDefault="00970688"/>
    <w:p w14:paraId="7765DE9F" w14:textId="77777777" w:rsidR="00970688" w:rsidRDefault="00970688"/>
    <w:p w14:paraId="1A1A7B17" w14:textId="77777777" w:rsidR="00970688" w:rsidRDefault="00970688"/>
    <w:p w14:paraId="04F0E89E" w14:textId="77777777" w:rsidR="00970688" w:rsidRDefault="00970688"/>
    <w:p w14:paraId="29189EE9" w14:textId="77777777" w:rsidR="00970688" w:rsidRDefault="00970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28882A2-04D5-4D93-AAAE-76285C44CF0B}"/>
    <w:embedBold r:id="rId2" w:fontKey="{94DB84C6-3B46-4388-B5AE-AF4F6B62C1EC}"/>
    <w:embedItalic r:id="rId3" w:fontKey="{BF803D3A-15AF-41E7-9CEB-32FB015B3869}"/>
  </w:font>
  <w:font w:name="Myriad Pro Light">
    <w:altName w:val="Corbel"/>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8609DBC-5EB5-4849-8D68-12048F930905}"/>
  </w:font>
  <w:font w:name="Arno Pro">
    <w:altName w:val="Constantia"/>
    <w:panose1 w:val="00000000000000000000"/>
    <w:charset w:val="00"/>
    <w:family w:val="roman"/>
    <w:notTrueType/>
    <w:pitch w:val="variable"/>
    <w:sig w:usb0="6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embedRegular r:id="rId5" w:fontKey="{97F6C307-406B-457E-9C3B-25E64E38E420}"/>
    <w:embedBold r:id="rId6" w:fontKey="{EEFC27E2-4D2C-4967-8780-224AD77B8BBB}"/>
  </w:font>
  <w:font w:name="Times">
    <w:panose1 w:val="02020603050405020304"/>
    <w:charset w:val="00"/>
    <w:family w:val="roman"/>
    <w:pitch w:val="variable"/>
    <w:sig w:usb0="E0002EFF" w:usb1="C000785B" w:usb2="00000009" w:usb3="00000000" w:csb0="000001FF" w:csb1="00000000"/>
    <w:embedRegular r:id="rId7" w:fontKey="{49EAC4AB-BB74-4DCA-A78A-FB75A2F8BEA3}"/>
  </w:font>
  <w:font w:name="Cambria">
    <w:panose1 w:val="02040503050406030204"/>
    <w:charset w:val="00"/>
    <w:family w:val="roman"/>
    <w:pitch w:val="variable"/>
    <w:sig w:usb0="E00006FF" w:usb1="420024FF" w:usb2="02000000" w:usb3="00000000" w:csb0="0000019F" w:csb1="00000000"/>
    <w:embedRegular r:id="rId8" w:fontKey="{9E5BF8E2-B4BA-4860-B164-742548A0B3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21119" w14:textId="77777777"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56110">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520BD"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56110">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9C8E2"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43BB1FA" wp14:editId="6127B12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5CED402"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3BB1FA"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5CED402"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AA538" w14:textId="77777777" w:rsidR="00970688" w:rsidRDefault="00970688" w:rsidP="00E547DB">
      <w:pPr>
        <w:spacing w:after="0" w:line="240" w:lineRule="auto"/>
      </w:pPr>
      <w:r>
        <w:separator/>
      </w:r>
    </w:p>
    <w:p w14:paraId="38011BED" w14:textId="77777777" w:rsidR="00970688" w:rsidRDefault="00970688"/>
    <w:p w14:paraId="1D9930FC" w14:textId="77777777" w:rsidR="00970688" w:rsidRDefault="00970688"/>
    <w:p w14:paraId="18F8FDE1" w14:textId="77777777" w:rsidR="00970688" w:rsidRDefault="00970688"/>
    <w:p w14:paraId="23305B69" w14:textId="77777777" w:rsidR="00970688" w:rsidRDefault="00970688"/>
    <w:p w14:paraId="112F873D" w14:textId="77777777" w:rsidR="00970688" w:rsidRDefault="00970688"/>
  </w:footnote>
  <w:footnote w:type="continuationSeparator" w:id="0">
    <w:p w14:paraId="01DCEC25" w14:textId="77777777" w:rsidR="00970688" w:rsidRDefault="00970688" w:rsidP="00E547DB">
      <w:pPr>
        <w:spacing w:after="0" w:line="240" w:lineRule="auto"/>
      </w:pPr>
      <w:r>
        <w:continuationSeparator/>
      </w:r>
    </w:p>
    <w:p w14:paraId="135BF407" w14:textId="77777777" w:rsidR="00970688" w:rsidRDefault="00970688"/>
    <w:p w14:paraId="49AD66F1" w14:textId="77777777" w:rsidR="00970688" w:rsidRDefault="00970688"/>
    <w:p w14:paraId="1C531773" w14:textId="77777777" w:rsidR="00970688" w:rsidRDefault="00970688"/>
    <w:p w14:paraId="3AB75FD5" w14:textId="77777777" w:rsidR="00970688" w:rsidRDefault="00970688"/>
    <w:p w14:paraId="27E44C0B" w14:textId="77777777" w:rsidR="00970688" w:rsidRDefault="009706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58FB8"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B5AD402" wp14:editId="3684094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D11F11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5AD402"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D11F11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26587C6" wp14:editId="0C165E45">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7D8D80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6587C6"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7D8D80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8C11"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512B3E68" wp14:editId="0305F53E">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7CC7948"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2B3E68"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37CC7948"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69DEB12" wp14:editId="434FD71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0C4415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DEB12"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0C4415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2684"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8FAD3F5" wp14:editId="79A258F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D2AEEF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FAD3F5"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D2AEEF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631B861E"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6AD86772"/>
    <w:lvl w:ilvl="0" w:tplc="1CD8F4EA">
      <w:start w:val="1"/>
      <w:numFmt w:val="decimal"/>
      <w:pStyle w:val="RSCR02References"/>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14AB0"/>
    <w:rsid w:val="00022D8A"/>
    <w:rsid w:val="0003744F"/>
    <w:rsid w:val="00056110"/>
    <w:rsid w:val="000622D1"/>
    <w:rsid w:val="00071E41"/>
    <w:rsid w:val="00073639"/>
    <w:rsid w:val="000744E0"/>
    <w:rsid w:val="0008431D"/>
    <w:rsid w:val="000965DE"/>
    <w:rsid w:val="000A2670"/>
    <w:rsid w:val="000A3BA2"/>
    <w:rsid w:val="000A72EF"/>
    <w:rsid w:val="000B0054"/>
    <w:rsid w:val="000B1190"/>
    <w:rsid w:val="000C0A9D"/>
    <w:rsid w:val="000D2FAC"/>
    <w:rsid w:val="000D5891"/>
    <w:rsid w:val="000D6963"/>
    <w:rsid w:val="000E7A32"/>
    <w:rsid w:val="000F0959"/>
    <w:rsid w:val="000F3A41"/>
    <w:rsid w:val="00116F11"/>
    <w:rsid w:val="00120227"/>
    <w:rsid w:val="00125A94"/>
    <w:rsid w:val="00126027"/>
    <w:rsid w:val="00134930"/>
    <w:rsid w:val="001508E9"/>
    <w:rsid w:val="001633D9"/>
    <w:rsid w:val="00180ABE"/>
    <w:rsid w:val="001923AB"/>
    <w:rsid w:val="001C1EB8"/>
    <w:rsid w:val="001D7217"/>
    <w:rsid w:val="001E0B34"/>
    <w:rsid w:val="001E2656"/>
    <w:rsid w:val="00206A82"/>
    <w:rsid w:val="00214BEC"/>
    <w:rsid w:val="00232816"/>
    <w:rsid w:val="00237C8A"/>
    <w:rsid w:val="0024022C"/>
    <w:rsid w:val="00241ACD"/>
    <w:rsid w:val="00252FB5"/>
    <w:rsid w:val="00253551"/>
    <w:rsid w:val="00255EB0"/>
    <w:rsid w:val="0026346F"/>
    <w:rsid w:val="00270DD5"/>
    <w:rsid w:val="00271235"/>
    <w:rsid w:val="00272D6F"/>
    <w:rsid w:val="002A5421"/>
    <w:rsid w:val="002C0803"/>
    <w:rsid w:val="002C251C"/>
    <w:rsid w:val="002C3D7C"/>
    <w:rsid w:val="002D4C1B"/>
    <w:rsid w:val="002E2584"/>
    <w:rsid w:val="002E5B1D"/>
    <w:rsid w:val="002F52C3"/>
    <w:rsid w:val="00352029"/>
    <w:rsid w:val="00352A2C"/>
    <w:rsid w:val="00352AA4"/>
    <w:rsid w:val="00354579"/>
    <w:rsid w:val="00356F00"/>
    <w:rsid w:val="00377481"/>
    <w:rsid w:val="00385965"/>
    <w:rsid w:val="003A7E95"/>
    <w:rsid w:val="003B739C"/>
    <w:rsid w:val="003C6313"/>
    <w:rsid w:val="003D4ECA"/>
    <w:rsid w:val="003D6715"/>
    <w:rsid w:val="003E55B2"/>
    <w:rsid w:val="003F4131"/>
    <w:rsid w:val="00415225"/>
    <w:rsid w:val="00426B65"/>
    <w:rsid w:val="0043180D"/>
    <w:rsid w:val="004414A5"/>
    <w:rsid w:val="0044700B"/>
    <w:rsid w:val="00455C4E"/>
    <w:rsid w:val="00465DA3"/>
    <w:rsid w:val="00467171"/>
    <w:rsid w:val="00467C80"/>
    <w:rsid w:val="00474052"/>
    <w:rsid w:val="004832EE"/>
    <w:rsid w:val="004877C8"/>
    <w:rsid w:val="004901D3"/>
    <w:rsid w:val="0049288D"/>
    <w:rsid w:val="004B5EA4"/>
    <w:rsid w:val="004B74A9"/>
    <w:rsid w:val="004C531E"/>
    <w:rsid w:val="004C6C90"/>
    <w:rsid w:val="004E3891"/>
    <w:rsid w:val="004F1BC0"/>
    <w:rsid w:val="004F62CD"/>
    <w:rsid w:val="005037CD"/>
    <w:rsid w:val="00504795"/>
    <w:rsid w:val="00514CBA"/>
    <w:rsid w:val="0052630A"/>
    <w:rsid w:val="0053177A"/>
    <w:rsid w:val="00533EA1"/>
    <w:rsid w:val="00554858"/>
    <w:rsid w:val="005712A0"/>
    <w:rsid w:val="005771C3"/>
    <w:rsid w:val="00577B54"/>
    <w:rsid w:val="00590F6D"/>
    <w:rsid w:val="00597C2B"/>
    <w:rsid w:val="005A5A6D"/>
    <w:rsid w:val="005A5ED7"/>
    <w:rsid w:val="005C1A41"/>
    <w:rsid w:val="005C4565"/>
    <w:rsid w:val="005E05CD"/>
    <w:rsid w:val="0061441B"/>
    <w:rsid w:val="0061572F"/>
    <w:rsid w:val="00631441"/>
    <w:rsid w:val="00641030"/>
    <w:rsid w:val="00645D52"/>
    <w:rsid w:val="00650AC9"/>
    <w:rsid w:val="0065133B"/>
    <w:rsid w:val="006556AC"/>
    <w:rsid w:val="006602D5"/>
    <w:rsid w:val="006602F1"/>
    <w:rsid w:val="00670ED4"/>
    <w:rsid w:val="00672928"/>
    <w:rsid w:val="00674A86"/>
    <w:rsid w:val="006773C8"/>
    <w:rsid w:val="00685295"/>
    <w:rsid w:val="00690F64"/>
    <w:rsid w:val="00696397"/>
    <w:rsid w:val="006A3FD0"/>
    <w:rsid w:val="006A5A0C"/>
    <w:rsid w:val="006A69C8"/>
    <w:rsid w:val="006B1864"/>
    <w:rsid w:val="006D6163"/>
    <w:rsid w:val="006E58B1"/>
    <w:rsid w:val="006F01C4"/>
    <w:rsid w:val="006F487B"/>
    <w:rsid w:val="006F740B"/>
    <w:rsid w:val="006F7434"/>
    <w:rsid w:val="00744A41"/>
    <w:rsid w:val="00780A41"/>
    <w:rsid w:val="007876DF"/>
    <w:rsid w:val="00792D87"/>
    <w:rsid w:val="00793C89"/>
    <w:rsid w:val="00794787"/>
    <w:rsid w:val="007954F7"/>
    <w:rsid w:val="007A37D8"/>
    <w:rsid w:val="007A4A94"/>
    <w:rsid w:val="007A679E"/>
    <w:rsid w:val="007B1D5B"/>
    <w:rsid w:val="007C3D03"/>
    <w:rsid w:val="007D1EFA"/>
    <w:rsid w:val="007D260A"/>
    <w:rsid w:val="007D5FE4"/>
    <w:rsid w:val="00801410"/>
    <w:rsid w:val="008125A0"/>
    <w:rsid w:val="00817021"/>
    <w:rsid w:val="0082653C"/>
    <w:rsid w:val="008519D2"/>
    <w:rsid w:val="008560DE"/>
    <w:rsid w:val="00874DDF"/>
    <w:rsid w:val="008764D9"/>
    <w:rsid w:val="00880C74"/>
    <w:rsid w:val="0088525A"/>
    <w:rsid w:val="0089463C"/>
    <w:rsid w:val="0089642C"/>
    <w:rsid w:val="008A0D60"/>
    <w:rsid w:val="008C1387"/>
    <w:rsid w:val="008C682F"/>
    <w:rsid w:val="008E509B"/>
    <w:rsid w:val="008F4811"/>
    <w:rsid w:val="008F525A"/>
    <w:rsid w:val="009026D4"/>
    <w:rsid w:val="00905BB5"/>
    <w:rsid w:val="0092763E"/>
    <w:rsid w:val="009316A6"/>
    <w:rsid w:val="00936114"/>
    <w:rsid w:val="009400E9"/>
    <w:rsid w:val="009431A3"/>
    <w:rsid w:val="00946830"/>
    <w:rsid w:val="009473A1"/>
    <w:rsid w:val="00962779"/>
    <w:rsid w:val="009654EC"/>
    <w:rsid w:val="00970688"/>
    <w:rsid w:val="009918D9"/>
    <w:rsid w:val="009A392D"/>
    <w:rsid w:val="009B18AA"/>
    <w:rsid w:val="009B617F"/>
    <w:rsid w:val="009D00FF"/>
    <w:rsid w:val="009D17C3"/>
    <w:rsid w:val="009D47C2"/>
    <w:rsid w:val="009E51F8"/>
    <w:rsid w:val="009F2649"/>
    <w:rsid w:val="009F387E"/>
    <w:rsid w:val="009F5D03"/>
    <w:rsid w:val="00A05364"/>
    <w:rsid w:val="00A070F8"/>
    <w:rsid w:val="00A074D7"/>
    <w:rsid w:val="00A108BF"/>
    <w:rsid w:val="00A17D23"/>
    <w:rsid w:val="00A208E1"/>
    <w:rsid w:val="00A521AB"/>
    <w:rsid w:val="00A56CD0"/>
    <w:rsid w:val="00A61D3E"/>
    <w:rsid w:val="00A65307"/>
    <w:rsid w:val="00A66048"/>
    <w:rsid w:val="00A714CD"/>
    <w:rsid w:val="00A7643E"/>
    <w:rsid w:val="00A9649E"/>
    <w:rsid w:val="00AA1341"/>
    <w:rsid w:val="00AB16D0"/>
    <w:rsid w:val="00AB2C1B"/>
    <w:rsid w:val="00AC3BF2"/>
    <w:rsid w:val="00AC63C2"/>
    <w:rsid w:val="00AD5483"/>
    <w:rsid w:val="00AF0249"/>
    <w:rsid w:val="00AF150F"/>
    <w:rsid w:val="00AF4737"/>
    <w:rsid w:val="00B0470A"/>
    <w:rsid w:val="00B103AF"/>
    <w:rsid w:val="00B2364D"/>
    <w:rsid w:val="00B41C1B"/>
    <w:rsid w:val="00B43134"/>
    <w:rsid w:val="00B53582"/>
    <w:rsid w:val="00B6239D"/>
    <w:rsid w:val="00B66D20"/>
    <w:rsid w:val="00B67630"/>
    <w:rsid w:val="00B70B18"/>
    <w:rsid w:val="00B722DE"/>
    <w:rsid w:val="00B80DDB"/>
    <w:rsid w:val="00B81EE1"/>
    <w:rsid w:val="00B9392D"/>
    <w:rsid w:val="00BA42DD"/>
    <w:rsid w:val="00BA761E"/>
    <w:rsid w:val="00BB2139"/>
    <w:rsid w:val="00BB3FBE"/>
    <w:rsid w:val="00BB5DBA"/>
    <w:rsid w:val="00BC603D"/>
    <w:rsid w:val="00C03CE1"/>
    <w:rsid w:val="00C3016F"/>
    <w:rsid w:val="00C31922"/>
    <w:rsid w:val="00C32EDF"/>
    <w:rsid w:val="00C405FD"/>
    <w:rsid w:val="00C42573"/>
    <w:rsid w:val="00C43F88"/>
    <w:rsid w:val="00C5024A"/>
    <w:rsid w:val="00C57107"/>
    <w:rsid w:val="00C62C2D"/>
    <w:rsid w:val="00C73303"/>
    <w:rsid w:val="00C9227C"/>
    <w:rsid w:val="00C9557D"/>
    <w:rsid w:val="00CA2740"/>
    <w:rsid w:val="00CB7C90"/>
    <w:rsid w:val="00CC12E6"/>
    <w:rsid w:val="00CC2E25"/>
    <w:rsid w:val="00CC489E"/>
    <w:rsid w:val="00CC7C64"/>
    <w:rsid w:val="00CD037D"/>
    <w:rsid w:val="00CD0B47"/>
    <w:rsid w:val="00CE3501"/>
    <w:rsid w:val="00CF5F1A"/>
    <w:rsid w:val="00D010E8"/>
    <w:rsid w:val="00D02C04"/>
    <w:rsid w:val="00D138E8"/>
    <w:rsid w:val="00D20259"/>
    <w:rsid w:val="00D208BA"/>
    <w:rsid w:val="00D21668"/>
    <w:rsid w:val="00D216BC"/>
    <w:rsid w:val="00D26468"/>
    <w:rsid w:val="00D42F8F"/>
    <w:rsid w:val="00D45ADF"/>
    <w:rsid w:val="00DA07F1"/>
    <w:rsid w:val="00DD06F4"/>
    <w:rsid w:val="00DD500F"/>
    <w:rsid w:val="00DF53E4"/>
    <w:rsid w:val="00E118BD"/>
    <w:rsid w:val="00E2136E"/>
    <w:rsid w:val="00E25AF8"/>
    <w:rsid w:val="00E31A6A"/>
    <w:rsid w:val="00E46BDF"/>
    <w:rsid w:val="00E547DB"/>
    <w:rsid w:val="00E555BF"/>
    <w:rsid w:val="00E574A1"/>
    <w:rsid w:val="00E61949"/>
    <w:rsid w:val="00E622AE"/>
    <w:rsid w:val="00E70DCE"/>
    <w:rsid w:val="00E8364B"/>
    <w:rsid w:val="00E858DA"/>
    <w:rsid w:val="00E92A58"/>
    <w:rsid w:val="00E96012"/>
    <w:rsid w:val="00EA446A"/>
    <w:rsid w:val="00EA7DC1"/>
    <w:rsid w:val="00EB5BA2"/>
    <w:rsid w:val="00EB5C28"/>
    <w:rsid w:val="00EE3AFB"/>
    <w:rsid w:val="00EF0D19"/>
    <w:rsid w:val="00EF1577"/>
    <w:rsid w:val="00EF6BD4"/>
    <w:rsid w:val="00F02A47"/>
    <w:rsid w:val="00F05C18"/>
    <w:rsid w:val="00F157DD"/>
    <w:rsid w:val="00F15F90"/>
    <w:rsid w:val="00F2078E"/>
    <w:rsid w:val="00F21465"/>
    <w:rsid w:val="00F6065C"/>
    <w:rsid w:val="00F61EB1"/>
    <w:rsid w:val="00F62C8B"/>
    <w:rsid w:val="00F66AC6"/>
    <w:rsid w:val="00F74C2B"/>
    <w:rsid w:val="00F802D4"/>
    <w:rsid w:val="00F817AE"/>
    <w:rsid w:val="00F91982"/>
    <w:rsid w:val="00FA2DA2"/>
    <w:rsid w:val="00FA311A"/>
    <w:rsid w:val="00FB16A8"/>
    <w:rsid w:val="00FB299B"/>
    <w:rsid w:val="00FC1AAD"/>
    <w:rsid w:val="00FD2A19"/>
    <w:rsid w:val="00FE0FE8"/>
    <w:rsid w:val="00FE6A5E"/>
    <w:rsid w:val="00FE6B94"/>
    <w:rsid w:val="00FF0BE8"/>
    <w:rsid w:val="00FF1178"/>
    <w:rsid w:val="00FF43D3"/>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660714"/>
  <w14:defaultImageDpi w14:val="32767"/>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F1577"/>
  </w:style>
  <w:style w:type="paragraph" w:styleId="Heading1">
    <w:name w:val="heading 1"/>
    <w:basedOn w:val="Normal"/>
    <w:next w:val="Normal"/>
    <w:link w:val="Heading1Char"/>
    <w:qFormat/>
    <w:rsid w:val="004E3891"/>
    <w:pPr>
      <w:keepNext/>
      <w:spacing w:before="180" w:after="60" w:line="240" w:lineRule="auto"/>
      <w:ind w:left="480" w:hanging="240"/>
      <w:jc w:val="both"/>
      <w:outlineLvl w:val="0"/>
    </w:pPr>
    <w:rPr>
      <w:rFonts w:ascii="Myriad Pro Light" w:eastAsia="Times New Roman" w:hAnsi="Myriad Pro Light" w:cs="Arial"/>
      <w:b/>
      <w:bCs/>
      <w:kern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TAMainText">
    <w:name w:val="TA_Main_Text"/>
    <w:basedOn w:val="Normal"/>
    <w:autoRedefine/>
    <w:rsid w:val="004E3891"/>
    <w:pPr>
      <w:spacing w:after="60" w:line="240" w:lineRule="auto"/>
      <w:jc w:val="both"/>
    </w:pPr>
    <w:rPr>
      <w:rFonts w:ascii="Arno Pro" w:eastAsia="Times New Roman" w:hAnsi="Arno Pro" w:cs="Times New Roman"/>
      <w:kern w:val="21"/>
      <w:sz w:val="19"/>
      <w:szCs w:val="20"/>
      <w:lang w:val="en-US"/>
    </w:rPr>
  </w:style>
  <w:style w:type="paragraph" w:customStyle="1" w:styleId="TDAcknowledgments">
    <w:name w:val="TD_Acknowledgments"/>
    <w:basedOn w:val="Normal"/>
    <w:next w:val="Normal"/>
    <w:link w:val="TDAcknowledgmentsChar"/>
    <w:autoRedefine/>
    <w:rsid w:val="004E3891"/>
    <w:pPr>
      <w:spacing w:after="0" w:line="240" w:lineRule="auto"/>
      <w:jc w:val="both"/>
    </w:pPr>
    <w:rPr>
      <w:rFonts w:ascii="Arno Pro" w:eastAsia="Times New Roman" w:hAnsi="Arno Pro" w:cs="Times New Roman"/>
      <w:kern w:val="20"/>
      <w:sz w:val="18"/>
      <w:szCs w:val="20"/>
      <w:lang w:val="en-US"/>
    </w:rPr>
  </w:style>
  <w:style w:type="character" w:customStyle="1" w:styleId="TDAcknowledgmentsChar">
    <w:name w:val="TD_Acknowledgments Char"/>
    <w:link w:val="TDAcknowledgments"/>
    <w:rsid w:val="004E3891"/>
    <w:rPr>
      <w:rFonts w:ascii="Arno Pro" w:eastAsia="Times New Roman" w:hAnsi="Arno Pro" w:cs="Times New Roman"/>
      <w:kern w:val="20"/>
      <w:sz w:val="18"/>
      <w:szCs w:val="20"/>
      <w:lang w:val="en-US"/>
    </w:rPr>
  </w:style>
  <w:style w:type="paragraph" w:customStyle="1" w:styleId="VCSchemeTitle">
    <w:name w:val="VC_Scheme_Title"/>
    <w:basedOn w:val="Normal"/>
    <w:next w:val="Normal"/>
    <w:autoRedefine/>
    <w:rsid w:val="004E3891"/>
    <w:pPr>
      <w:spacing w:after="180" w:line="240" w:lineRule="auto"/>
      <w:jc w:val="both"/>
    </w:pPr>
    <w:rPr>
      <w:rFonts w:ascii="Arno Pro" w:eastAsia="Times New Roman" w:hAnsi="Arno Pro" w:cs="Times New Roman"/>
      <w:b/>
      <w:kern w:val="21"/>
      <w:sz w:val="19"/>
      <w:szCs w:val="20"/>
      <w:lang w:val="en-US"/>
    </w:rPr>
  </w:style>
  <w:style w:type="character" w:customStyle="1" w:styleId="Heading1Char">
    <w:name w:val="Heading 1 Char"/>
    <w:basedOn w:val="DefaultParagraphFont"/>
    <w:link w:val="Heading1"/>
    <w:rsid w:val="004E3891"/>
    <w:rPr>
      <w:rFonts w:ascii="Myriad Pro Light" w:eastAsia="Times New Roman" w:hAnsi="Myriad Pro Light" w:cs="Arial"/>
      <w:b/>
      <w:bCs/>
      <w:kern w:val="32"/>
      <w:szCs w:val="32"/>
      <w:lang w:val="en-US"/>
    </w:rPr>
  </w:style>
  <w:style w:type="paragraph" w:customStyle="1" w:styleId="VAFigureCaption">
    <w:name w:val="VA_Figure_Caption"/>
    <w:basedOn w:val="Normal"/>
    <w:next w:val="Normal"/>
    <w:autoRedefine/>
    <w:rsid w:val="004E3891"/>
    <w:pPr>
      <w:spacing w:before="200" w:after="120" w:line="240" w:lineRule="auto"/>
      <w:jc w:val="both"/>
    </w:pPr>
    <w:rPr>
      <w:rFonts w:ascii="Arno Pro" w:eastAsia="Times New Roman" w:hAnsi="Arno Pro" w:cs="Times New Roman"/>
      <w:kern w:val="20"/>
      <w:sz w:val="18"/>
      <w:szCs w:val="20"/>
      <w:lang w:val="en-US"/>
    </w:rPr>
  </w:style>
  <w:style w:type="paragraph" w:customStyle="1" w:styleId="SectionContent">
    <w:name w:val="Section_Content"/>
    <w:basedOn w:val="Normal"/>
    <w:next w:val="Normal"/>
    <w:autoRedefine/>
    <w:rsid w:val="006B1864"/>
    <w:pPr>
      <w:spacing w:after="0" w:line="240" w:lineRule="auto"/>
      <w:jc w:val="both"/>
    </w:pPr>
    <w:rPr>
      <w:rFonts w:ascii="Arno Pro" w:eastAsia="Times New Roman" w:hAnsi="Arno Pro" w:cs="Times New Roman"/>
      <w:kern w:val="20"/>
      <w:sz w:val="18"/>
      <w:szCs w:val="20"/>
      <w:lang w:val="en-US"/>
    </w:rPr>
  </w:style>
  <w:style w:type="paragraph" w:customStyle="1" w:styleId="TFReferencesSection">
    <w:name w:val="TF_References_Section"/>
    <w:basedOn w:val="Normal"/>
    <w:next w:val="Normal"/>
    <w:autoRedefine/>
    <w:rsid w:val="006B1864"/>
    <w:pPr>
      <w:spacing w:after="0" w:line="240" w:lineRule="auto"/>
      <w:ind w:firstLine="187"/>
      <w:jc w:val="both"/>
    </w:pPr>
    <w:rPr>
      <w:rFonts w:ascii="Arno Pro" w:eastAsia="Times New Roman" w:hAnsi="Arno Pro" w:cs="Times New Roman"/>
      <w:kern w:val="19"/>
      <w:sz w:val="17"/>
      <w:szCs w:val="14"/>
      <w:lang w:val="en-US"/>
    </w:rPr>
  </w:style>
  <w:style w:type="paragraph" w:customStyle="1" w:styleId="BCAuthorAddress">
    <w:name w:val="BC_Author_Address"/>
    <w:basedOn w:val="Normal"/>
    <w:next w:val="Normal"/>
    <w:autoRedefine/>
    <w:rsid w:val="000A72EF"/>
    <w:pPr>
      <w:spacing w:after="60" w:line="240" w:lineRule="auto"/>
    </w:pPr>
    <w:rPr>
      <w:rFonts w:ascii="Arno Pro" w:eastAsia="Times New Roman" w:hAnsi="Arno Pro" w:cs="Times New Roman"/>
      <w:kern w:val="22"/>
      <w:sz w:val="20"/>
      <w:szCs w:val="20"/>
      <w:lang w:val="en-US"/>
    </w:rPr>
  </w:style>
  <w:style w:type="character" w:styleId="CommentReference">
    <w:name w:val="annotation reference"/>
    <w:basedOn w:val="DefaultParagraphFont"/>
    <w:uiPriority w:val="99"/>
    <w:semiHidden/>
    <w:unhideWhenUsed/>
    <w:rsid w:val="00B103AF"/>
    <w:rPr>
      <w:sz w:val="18"/>
      <w:szCs w:val="18"/>
    </w:rPr>
  </w:style>
  <w:style w:type="paragraph" w:styleId="CommentText">
    <w:name w:val="annotation text"/>
    <w:basedOn w:val="Normal"/>
    <w:link w:val="CommentTextChar"/>
    <w:uiPriority w:val="99"/>
    <w:semiHidden/>
    <w:unhideWhenUsed/>
    <w:rsid w:val="00B103AF"/>
    <w:pPr>
      <w:spacing w:line="240" w:lineRule="auto"/>
    </w:pPr>
    <w:rPr>
      <w:sz w:val="24"/>
      <w:szCs w:val="24"/>
    </w:rPr>
  </w:style>
  <w:style w:type="character" w:customStyle="1" w:styleId="CommentTextChar">
    <w:name w:val="Comment Text Char"/>
    <w:basedOn w:val="DefaultParagraphFont"/>
    <w:link w:val="CommentText"/>
    <w:uiPriority w:val="99"/>
    <w:semiHidden/>
    <w:rsid w:val="00B103AF"/>
    <w:rPr>
      <w:sz w:val="24"/>
      <w:szCs w:val="24"/>
    </w:rPr>
  </w:style>
  <w:style w:type="paragraph" w:styleId="CommentSubject">
    <w:name w:val="annotation subject"/>
    <w:basedOn w:val="CommentText"/>
    <w:next w:val="CommentText"/>
    <w:link w:val="CommentSubjectChar"/>
    <w:uiPriority w:val="99"/>
    <w:semiHidden/>
    <w:unhideWhenUsed/>
    <w:rsid w:val="00B103AF"/>
    <w:rPr>
      <w:b/>
      <w:bCs/>
      <w:sz w:val="20"/>
      <w:szCs w:val="20"/>
    </w:rPr>
  </w:style>
  <w:style w:type="character" w:customStyle="1" w:styleId="CommentSubjectChar">
    <w:name w:val="Comment Subject Char"/>
    <w:basedOn w:val="CommentTextChar"/>
    <w:link w:val="CommentSubject"/>
    <w:uiPriority w:val="99"/>
    <w:semiHidden/>
    <w:rsid w:val="00B103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i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f"/><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tif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5.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8.png"/><Relationship Id="rId27" Type="http://schemas.openxmlformats.org/officeDocument/2006/relationships/oleObject" Target="embeddings/oleObject3.bin"/><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E8140-29EA-40B6-88A0-E4E0931A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5093</Words>
  <Characters>29036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ian fairlamb</cp:lastModifiedBy>
  <cp:revision>6</cp:revision>
  <cp:lastPrinted>2019-06-16T16:20:00Z</cp:lastPrinted>
  <dcterms:created xsi:type="dcterms:W3CDTF">2019-06-16T16:04:00Z</dcterms:created>
  <dcterms:modified xsi:type="dcterms:W3CDTF">2019-06-16T16:22:00Z</dcterms:modified>
</cp:coreProperties>
</file>