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62EBD" w14:textId="4B818FBD" w:rsidR="00365C41" w:rsidRPr="0019082A" w:rsidRDefault="002E6F5F">
      <w:pPr>
        <w:pStyle w:val="normal0"/>
        <w:spacing w:line="360" w:lineRule="auto"/>
        <w:jc w:val="center"/>
        <w:rPr>
          <w:rFonts w:ascii="Times New Roman" w:hAnsi="Times New Roman" w:cs="Times New Roman"/>
          <w:b/>
          <w:sz w:val="24"/>
          <w:szCs w:val="24"/>
          <w:lang w:val="en-US"/>
        </w:rPr>
      </w:pPr>
      <w:r w:rsidRPr="0019082A">
        <w:rPr>
          <w:rFonts w:ascii="Times New Roman" w:hAnsi="Times New Roman" w:cs="Times New Roman"/>
          <w:b/>
          <w:sz w:val="24"/>
          <w:szCs w:val="24"/>
          <w:lang w:val="en-US"/>
        </w:rPr>
        <w:t xml:space="preserve">The </w:t>
      </w:r>
      <w:r w:rsidR="004E05C4" w:rsidRPr="0019082A">
        <w:rPr>
          <w:rFonts w:ascii="Times New Roman" w:hAnsi="Times New Roman" w:cs="Times New Roman"/>
          <w:b/>
          <w:sz w:val="24"/>
          <w:szCs w:val="24"/>
          <w:lang w:val="en-US"/>
        </w:rPr>
        <w:t>Autonomy</w:t>
      </w:r>
      <w:r w:rsidRPr="0019082A">
        <w:rPr>
          <w:rFonts w:ascii="Times New Roman" w:hAnsi="Times New Roman" w:cs="Times New Roman"/>
          <w:b/>
          <w:sz w:val="24"/>
          <w:szCs w:val="24"/>
          <w:lang w:val="en-US"/>
        </w:rPr>
        <w:t xml:space="preserve"> of the Po</w:t>
      </w:r>
      <w:r w:rsidR="000D2EA2" w:rsidRPr="0019082A">
        <w:rPr>
          <w:rFonts w:ascii="Times New Roman" w:hAnsi="Times New Roman" w:cs="Times New Roman"/>
          <w:b/>
          <w:sz w:val="24"/>
          <w:szCs w:val="24"/>
          <w:lang w:val="en-US"/>
        </w:rPr>
        <w:t>litical and the Challenge of</w:t>
      </w:r>
      <w:r w:rsidRPr="0019082A">
        <w:rPr>
          <w:rFonts w:ascii="Times New Roman" w:hAnsi="Times New Roman" w:cs="Times New Roman"/>
          <w:b/>
          <w:sz w:val="24"/>
          <w:szCs w:val="24"/>
          <w:lang w:val="en-US"/>
        </w:rPr>
        <w:t xml:space="preserve"> Social Sciences</w:t>
      </w:r>
    </w:p>
    <w:p w14:paraId="0EFBDEC2" w14:textId="77777777" w:rsidR="00365C41" w:rsidRPr="0019082A" w:rsidRDefault="00365C41">
      <w:pPr>
        <w:pStyle w:val="normal0"/>
        <w:spacing w:line="360" w:lineRule="auto"/>
        <w:jc w:val="both"/>
        <w:rPr>
          <w:rFonts w:ascii="Times New Roman" w:hAnsi="Times New Roman" w:cs="Times New Roman"/>
          <w:b/>
          <w:sz w:val="24"/>
          <w:szCs w:val="24"/>
          <w:lang w:val="en-US"/>
        </w:rPr>
      </w:pPr>
    </w:p>
    <w:p w14:paraId="6F9D60A3" w14:textId="77777777" w:rsidR="00365C41" w:rsidRPr="0019082A" w:rsidRDefault="002E6F5F">
      <w:pPr>
        <w:pStyle w:val="normal0"/>
        <w:spacing w:line="360" w:lineRule="auto"/>
        <w:jc w:val="both"/>
        <w:rPr>
          <w:rFonts w:ascii="Times New Roman" w:hAnsi="Times New Roman" w:cs="Times New Roman"/>
          <w:b/>
          <w:sz w:val="24"/>
          <w:szCs w:val="24"/>
          <w:lang w:val="en-US"/>
        </w:rPr>
      </w:pPr>
      <w:r w:rsidRPr="0019082A">
        <w:rPr>
          <w:rFonts w:ascii="Times New Roman" w:hAnsi="Times New Roman" w:cs="Times New Roman"/>
          <w:b/>
          <w:sz w:val="24"/>
          <w:szCs w:val="24"/>
          <w:lang w:val="en-US"/>
        </w:rPr>
        <w:t xml:space="preserve">(Review of Wilkinson MA and Dowdle MW (2018), </w:t>
      </w:r>
      <w:r w:rsidRPr="0019082A">
        <w:rPr>
          <w:rFonts w:ascii="Times New Roman" w:hAnsi="Times New Roman" w:cs="Times New Roman"/>
          <w:b/>
          <w:i/>
          <w:sz w:val="24"/>
          <w:szCs w:val="24"/>
          <w:lang w:val="en-US"/>
        </w:rPr>
        <w:t>Questioning the Foundations of Public Law</w:t>
      </w:r>
      <w:r w:rsidRPr="0019082A">
        <w:rPr>
          <w:rFonts w:ascii="Times New Roman" w:hAnsi="Times New Roman" w:cs="Times New Roman"/>
          <w:b/>
          <w:sz w:val="24"/>
          <w:szCs w:val="24"/>
          <w:lang w:val="en-US"/>
        </w:rPr>
        <w:t>. Hart: Oxford)</w:t>
      </w:r>
    </w:p>
    <w:p w14:paraId="039134D8" w14:textId="77777777" w:rsidR="00365C41" w:rsidRPr="0019082A" w:rsidRDefault="002E6F5F">
      <w:pPr>
        <w:pStyle w:val="normal0"/>
        <w:spacing w:line="360" w:lineRule="auto"/>
        <w:jc w:val="both"/>
        <w:rPr>
          <w:rFonts w:ascii="Times New Roman" w:hAnsi="Times New Roman" w:cs="Times New Roman"/>
          <w:b/>
          <w:sz w:val="24"/>
          <w:szCs w:val="24"/>
          <w:lang w:val="en-US"/>
        </w:rPr>
      </w:pPr>
      <w:r w:rsidRPr="0019082A">
        <w:rPr>
          <w:rFonts w:ascii="Times New Roman" w:hAnsi="Times New Roman" w:cs="Times New Roman"/>
          <w:b/>
          <w:sz w:val="24"/>
          <w:szCs w:val="24"/>
          <w:lang w:val="en-US"/>
        </w:rPr>
        <w:t>Reviewed by Dimitris Tsarapatsanis, University of York</w:t>
      </w:r>
    </w:p>
    <w:p w14:paraId="74A4FE09" w14:textId="77777777" w:rsidR="00365C41" w:rsidRPr="0019082A" w:rsidRDefault="00365C41">
      <w:pPr>
        <w:pStyle w:val="normal0"/>
        <w:spacing w:line="360" w:lineRule="auto"/>
        <w:jc w:val="both"/>
        <w:rPr>
          <w:rFonts w:ascii="Times New Roman" w:hAnsi="Times New Roman" w:cs="Times New Roman"/>
          <w:b/>
          <w:sz w:val="24"/>
          <w:szCs w:val="24"/>
          <w:lang w:val="en-US"/>
        </w:rPr>
      </w:pPr>
    </w:p>
    <w:p w14:paraId="78B2889E" w14:textId="42C77A9F"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 xml:space="preserve">In 2010 Martin Loughlin published his </w:t>
      </w:r>
      <w:r w:rsidRPr="0019082A">
        <w:rPr>
          <w:rFonts w:ascii="Times New Roman" w:hAnsi="Times New Roman" w:cs="Times New Roman"/>
          <w:i/>
          <w:sz w:val="24"/>
          <w:szCs w:val="24"/>
          <w:lang w:val="en-US"/>
        </w:rPr>
        <w:t>opus magnum</w:t>
      </w:r>
      <w:r w:rsidRPr="0019082A">
        <w:rPr>
          <w:rFonts w:ascii="Times New Roman" w:hAnsi="Times New Roman" w:cs="Times New Roman"/>
          <w:sz w:val="24"/>
          <w:szCs w:val="24"/>
          <w:lang w:val="en-US"/>
        </w:rPr>
        <w:t xml:space="preserve"> </w:t>
      </w:r>
      <w:r w:rsidRPr="0019082A">
        <w:rPr>
          <w:rFonts w:ascii="Times New Roman" w:hAnsi="Times New Roman" w:cs="Times New Roman"/>
          <w:i/>
          <w:sz w:val="24"/>
          <w:szCs w:val="24"/>
          <w:lang w:val="en-US"/>
        </w:rPr>
        <w:t>Foundations of Public Law</w:t>
      </w:r>
      <w:r w:rsidRPr="0019082A">
        <w:rPr>
          <w:rFonts w:ascii="Times New Roman" w:hAnsi="Times New Roman" w:cs="Times New Roman"/>
          <w:sz w:val="24"/>
          <w:szCs w:val="24"/>
          <w:lang w:val="en-US"/>
        </w:rPr>
        <w:t xml:space="preserve"> (hereafter </w:t>
      </w:r>
      <w:r w:rsidRPr="0019082A">
        <w:rPr>
          <w:rFonts w:ascii="Times New Roman" w:hAnsi="Times New Roman" w:cs="Times New Roman"/>
          <w:i/>
          <w:sz w:val="24"/>
          <w:szCs w:val="24"/>
          <w:lang w:val="en-US"/>
        </w:rPr>
        <w:t>FPL</w:t>
      </w:r>
      <w:r w:rsidRPr="0019082A">
        <w:rPr>
          <w:rFonts w:ascii="Times New Roman" w:hAnsi="Times New Roman" w:cs="Times New Roman"/>
          <w:sz w:val="24"/>
          <w:szCs w:val="24"/>
          <w:lang w:val="en-US"/>
        </w:rPr>
        <w:t>)</w:t>
      </w:r>
      <w:r w:rsidRPr="0019082A">
        <w:rPr>
          <w:rFonts w:ascii="Times New Roman" w:hAnsi="Times New Roman" w:cs="Times New Roman"/>
          <w:sz w:val="24"/>
          <w:szCs w:val="24"/>
          <w:vertAlign w:val="superscript"/>
          <w:lang w:val="en-US"/>
        </w:rPr>
        <w:footnoteReference w:id="1"/>
      </w:r>
      <w:r w:rsidRPr="0019082A">
        <w:rPr>
          <w:rFonts w:ascii="Times New Roman" w:hAnsi="Times New Roman" w:cs="Times New Roman"/>
          <w:sz w:val="24"/>
          <w:szCs w:val="24"/>
          <w:lang w:val="en-US"/>
        </w:rPr>
        <w:t>, the culmination of years of intensive research on the topics of public law and constitutional theory.</w:t>
      </w:r>
      <w:r w:rsidRPr="0019082A">
        <w:rPr>
          <w:rFonts w:ascii="Times New Roman" w:hAnsi="Times New Roman" w:cs="Times New Roman"/>
          <w:sz w:val="24"/>
          <w:szCs w:val="24"/>
          <w:vertAlign w:val="superscript"/>
          <w:lang w:val="en-US"/>
        </w:rPr>
        <w:footnoteReference w:id="2"/>
      </w:r>
      <w:r w:rsidRPr="0019082A">
        <w:rPr>
          <w:rFonts w:ascii="Times New Roman" w:hAnsi="Times New Roman" w:cs="Times New Roman"/>
          <w:sz w:val="24"/>
          <w:szCs w:val="24"/>
          <w:lang w:val="en-US"/>
        </w:rPr>
        <w:t xml:space="preserve"> In Loughlin’s own words, </w:t>
      </w:r>
      <w:r w:rsidRPr="0019082A">
        <w:rPr>
          <w:rFonts w:ascii="Times New Roman" w:hAnsi="Times New Roman" w:cs="Times New Roman"/>
          <w:i/>
          <w:sz w:val="24"/>
          <w:szCs w:val="24"/>
          <w:lang w:val="en-US"/>
        </w:rPr>
        <w:t>FLP</w:t>
      </w:r>
      <w:r w:rsidRPr="0019082A">
        <w:rPr>
          <w:rFonts w:ascii="Times New Roman" w:hAnsi="Times New Roman" w:cs="Times New Roman"/>
          <w:sz w:val="24"/>
          <w:szCs w:val="24"/>
          <w:lang w:val="en-US"/>
        </w:rPr>
        <w:t xml:space="preserve"> set out </w:t>
      </w:r>
      <w:r w:rsidR="00AC70D3" w:rsidRPr="0019082A">
        <w:rPr>
          <w:rFonts w:ascii="Times New Roman" w:hAnsi="Times New Roman" w:cs="Times New Roman"/>
          <w:sz w:val="24"/>
          <w:szCs w:val="24"/>
          <w:lang w:val="en-US"/>
        </w:rPr>
        <w:t>to</w:t>
      </w:r>
      <w:r w:rsidRPr="0019082A">
        <w:rPr>
          <w:rFonts w:ascii="Times New Roman" w:hAnsi="Times New Roman" w:cs="Times New Roman"/>
          <w:sz w:val="24"/>
          <w:szCs w:val="24"/>
          <w:lang w:val="en-US"/>
        </w:rPr>
        <w:t xml:space="preserve"> historical</w:t>
      </w:r>
      <w:r w:rsidR="00AC70D3" w:rsidRPr="0019082A">
        <w:rPr>
          <w:rFonts w:ascii="Times New Roman" w:hAnsi="Times New Roman" w:cs="Times New Roman"/>
          <w:sz w:val="24"/>
          <w:szCs w:val="24"/>
          <w:lang w:val="en-US"/>
        </w:rPr>
        <w:t>ly reconstruct</w:t>
      </w:r>
      <w:r w:rsidRPr="0019082A">
        <w:rPr>
          <w:rFonts w:ascii="Times New Roman" w:hAnsi="Times New Roman" w:cs="Times New Roman"/>
          <w:sz w:val="24"/>
          <w:szCs w:val="24"/>
          <w:lang w:val="en-US"/>
        </w:rPr>
        <w:t xml:space="preserve"> the con</w:t>
      </w:r>
      <w:r w:rsidR="00AC70D3" w:rsidRPr="0019082A">
        <w:rPr>
          <w:rFonts w:ascii="Times New Roman" w:hAnsi="Times New Roman" w:cs="Times New Roman"/>
          <w:sz w:val="24"/>
          <w:szCs w:val="24"/>
          <w:lang w:val="en-US"/>
        </w:rPr>
        <w:t>ceptual formation of public law</w:t>
      </w:r>
      <w:r w:rsidRPr="0019082A">
        <w:rPr>
          <w:rFonts w:ascii="Times New Roman" w:hAnsi="Times New Roman" w:cs="Times New Roman"/>
          <w:sz w:val="24"/>
          <w:szCs w:val="24"/>
          <w:lang w:val="en-US"/>
        </w:rPr>
        <w:t xml:space="preserve"> by venturing into a discipline that Loughlin calls ‘political jurisprudence’, i.e. ‘a discipline that explains the way in which governmental authority is constituted’ (</w:t>
      </w:r>
      <w:r w:rsidRPr="0019082A">
        <w:rPr>
          <w:rFonts w:ascii="Times New Roman" w:hAnsi="Times New Roman" w:cs="Times New Roman"/>
          <w:i/>
          <w:sz w:val="24"/>
          <w:szCs w:val="24"/>
          <w:lang w:val="en-US"/>
        </w:rPr>
        <w:t>Questioning the Foundations of Public Law</w:t>
      </w:r>
      <w:r w:rsidRPr="0019082A">
        <w:rPr>
          <w:rFonts w:ascii="Times New Roman" w:hAnsi="Times New Roman" w:cs="Times New Roman"/>
          <w:sz w:val="24"/>
          <w:szCs w:val="24"/>
          <w:lang w:val="en-US"/>
        </w:rPr>
        <w:t xml:space="preserve">, hereafter </w:t>
      </w:r>
      <w:r w:rsidRPr="0019082A">
        <w:rPr>
          <w:rFonts w:ascii="Times New Roman" w:hAnsi="Times New Roman" w:cs="Times New Roman"/>
          <w:i/>
          <w:sz w:val="24"/>
          <w:szCs w:val="24"/>
          <w:lang w:val="en-US"/>
        </w:rPr>
        <w:t>QF</w:t>
      </w:r>
      <w:r w:rsidRPr="0019082A">
        <w:rPr>
          <w:rFonts w:ascii="Times New Roman" w:hAnsi="Times New Roman" w:cs="Times New Roman"/>
          <w:sz w:val="24"/>
          <w:szCs w:val="24"/>
          <w:lang w:val="en-US"/>
        </w:rPr>
        <w:t xml:space="preserve">, p.15). According to Loughlin, </w:t>
      </w:r>
      <w:r w:rsidRPr="0019082A">
        <w:rPr>
          <w:rFonts w:ascii="Times New Roman" w:hAnsi="Times New Roman" w:cs="Times New Roman"/>
          <w:i/>
          <w:sz w:val="24"/>
          <w:szCs w:val="24"/>
          <w:lang w:val="en-US"/>
        </w:rPr>
        <w:t>FLP</w:t>
      </w:r>
      <w:r w:rsidRPr="0019082A">
        <w:rPr>
          <w:rFonts w:ascii="Times New Roman" w:hAnsi="Times New Roman" w:cs="Times New Roman"/>
          <w:sz w:val="24"/>
          <w:szCs w:val="24"/>
          <w:lang w:val="en-US"/>
        </w:rPr>
        <w:t xml:space="preserve"> represents</w:t>
      </w:r>
      <w:r w:rsidR="00A04BB9" w:rsidRPr="0019082A">
        <w:rPr>
          <w:rFonts w:ascii="Times New Roman" w:hAnsi="Times New Roman" w:cs="Times New Roman"/>
          <w:sz w:val="24"/>
          <w:szCs w:val="24"/>
          <w:lang w:val="en-US"/>
        </w:rPr>
        <w:t xml:space="preserve"> the ‘diachronic’ counterpart to</w:t>
      </w:r>
      <w:r w:rsidRPr="0019082A">
        <w:rPr>
          <w:rFonts w:ascii="Times New Roman" w:hAnsi="Times New Roman" w:cs="Times New Roman"/>
          <w:sz w:val="24"/>
          <w:szCs w:val="24"/>
          <w:lang w:val="en-US"/>
        </w:rPr>
        <w:t xml:space="preserve"> his more ‘synchronic’ previous book </w:t>
      </w:r>
      <w:r w:rsidRPr="0019082A">
        <w:rPr>
          <w:rFonts w:ascii="Times New Roman" w:hAnsi="Times New Roman" w:cs="Times New Roman"/>
          <w:i/>
          <w:sz w:val="24"/>
          <w:szCs w:val="24"/>
          <w:lang w:val="en-US"/>
        </w:rPr>
        <w:t>The Idea of Public Law</w:t>
      </w:r>
      <w:r w:rsidRPr="0019082A">
        <w:rPr>
          <w:rFonts w:ascii="Times New Roman" w:hAnsi="Times New Roman" w:cs="Times New Roman"/>
          <w:sz w:val="24"/>
          <w:szCs w:val="24"/>
          <w:lang w:val="en-US"/>
        </w:rPr>
        <w:t xml:space="preserve">. In that book, Loughlin had provided an account of the basic concepts </w:t>
      </w:r>
      <w:r w:rsidR="003F3D4F" w:rsidRPr="0019082A">
        <w:rPr>
          <w:rFonts w:ascii="Times New Roman" w:hAnsi="Times New Roman" w:cs="Times New Roman"/>
          <w:sz w:val="24"/>
          <w:szCs w:val="24"/>
          <w:lang w:val="en-US"/>
        </w:rPr>
        <w:t>that</w:t>
      </w:r>
      <w:r w:rsidRPr="0019082A">
        <w:rPr>
          <w:rFonts w:ascii="Times New Roman" w:hAnsi="Times New Roman" w:cs="Times New Roman"/>
          <w:sz w:val="24"/>
          <w:szCs w:val="24"/>
          <w:lang w:val="en-US"/>
        </w:rPr>
        <w:t xml:space="preserve"> should inform</w:t>
      </w:r>
      <w:r w:rsidR="00BA2713" w:rsidRPr="0019082A">
        <w:rPr>
          <w:rFonts w:ascii="Times New Roman" w:hAnsi="Times New Roman" w:cs="Times New Roman"/>
          <w:sz w:val="24"/>
          <w:szCs w:val="24"/>
          <w:lang w:val="en-US"/>
        </w:rPr>
        <w:t xml:space="preserve"> the distinctive kind of i</w:t>
      </w:r>
      <w:r w:rsidRPr="0019082A">
        <w:rPr>
          <w:rFonts w:ascii="Times New Roman" w:hAnsi="Times New Roman" w:cs="Times New Roman"/>
          <w:sz w:val="24"/>
          <w:szCs w:val="24"/>
          <w:lang w:val="en-US"/>
        </w:rPr>
        <w:t xml:space="preserve">nquiry into public law that political jurisprudence enables, albeit without delving into issues pertaining to those concepts’ historical </w:t>
      </w:r>
      <w:r w:rsidR="00590EC4" w:rsidRPr="0019082A">
        <w:rPr>
          <w:rFonts w:ascii="Times New Roman" w:hAnsi="Times New Roman" w:cs="Times New Roman"/>
          <w:sz w:val="24"/>
          <w:szCs w:val="24"/>
          <w:lang w:val="en-US"/>
        </w:rPr>
        <w:t>origin</w:t>
      </w:r>
      <w:r w:rsidRPr="0019082A">
        <w:rPr>
          <w:rFonts w:ascii="Times New Roman" w:hAnsi="Times New Roman" w:cs="Times New Roman"/>
          <w:sz w:val="24"/>
          <w:szCs w:val="24"/>
          <w:lang w:val="en-US"/>
        </w:rPr>
        <w:t xml:space="preserve">. In contrast, </w:t>
      </w:r>
      <w:r w:rsidRPr="0019082A">
        <w:rPr>
          <w:rFonts w:ascii="Times New Roman" w:hAnsi="Times New Roman" w:cs="Times New Roman"/>
          <w:i/>
          <w:sz w:val="24"/>
          <w:szCs w:val="24"/>
          <w:lang w:val="en-US"/>
        </w:rPr>
        <w:t>FLP</w:t>
      </w:r>
      <w:r w:rsidRPr="0019082A">
        <w:rPr>
          <w:rFonts w:ascii="Times New Roman" w:hAnsi="Times New Roman" w:cs="Times New Roman"/>
          <w:sz w:val="24"/>
          <w:szCs w:val="24"/>
          <w:lang w:val="en-US"/>
        </w:rPr>
        <w:t xml:space="preserve"> attempts to chart the gradual rise of what Loughlin calls ‘a science of political right’ by connecting it to developments </w:t>
      </w:r>
      <w:r w:rsidR="00471CD4" w:rsidRPr="0019082A">
        <w:rPr>
          <w:rFonts w:ascii="Times New Roman" w:hAnsi="Times New Roman" w:cs="Times New Roman"/>
          <w:sz w:val="24"/>
          <w:szCs w:val="24"/>
          <w:lang w:val="en-US"/>
        </w:rPr>
        <w:t>within the history of ideas as well as that</w:t>
      </w:r>
      <w:r w:rsidRPr="0019082A">
        <w:rPr>
          <w:rFonts w:ascii="Times New Roman" w:hAnsi="Times New Roman" w:cs="Times New Roman"/>
          <w:sz w:val="24"/>
          <w:szCs w:val="24"/>
          <w:lang w:val="en-US"/>
        </w:rPr>
        <w:t xml:space="preserve"> of types of political </w:t>
      </w:r>
      <w:r w:rsidR="00317E4E" w:rsidRPr="0019082A">
        <w:rPr>
          <w:rFonts w:ascii="Times New Roman" w:hAnsi="Times New Roman" w:cs="Times New Roman"/>
          <w:sz w:val="24"/>
          <w:szCs w:val="24"/>
          <w:lang w:val="en-US"/>
        </w:rPr>
        <w:t>organization</w:t>
      </w:r>
      <w:r w:rsidRPr="0019082A">
        <w:rPr>
          <w:rFonts w:ascii="Times New Roman" w:hAnsi="Times New Roman" w:cs="Times New Roman"/>
          <w:sz w:val="24"/>
          <w:szCs w:val="24"/>
          <w:lang w:val="en-US"/>
        </w:rPr>
        <w:t xml:space="preserve"> in Western Europe. A watershed moment with regard to both was the emergence of </w:t>
      </w:r>
      <w:r w:rsidRPr="0019082A">
        <w:rPr>
          <w:rFonts w:ascii="Times New Roman" w:hAnsi="Times New Roman" w:cs="Times New Roman"/>
          <w:i/>
          <w:sz w:val="24"/>
          <w:szCs w:val="24"/>
          <w:lang w:val="en-US"/>
        </w:rPr>
        <w:t>states</w:t>
      </w:r>
      <w:r w:rsidRPr="0019082A">
        <w:rPr>
          <w:rFonts w:ascii="Times New Roman" w:hAnsi="Times New Roman" w:cs="Times New Roman"/>
          <w:sz w:val="24"/>
          <w:szCs w:val="24"/>
          <w:lang w:val="en-US"/>
        </w:rPr>
        <w:t xml:space="preserve"> as distinctive forms of exercise of governmental authority. Simplifying somewhat, we might say that a recurring theme in Loughlin’s work is the suggestion that the rise of modern</w:t>
      </w:r>
      <w:r w:rsidR="00FD5C63">
        <w:rPr>
          <w:rFonts w:ascii="Times New Roman" w:hAnsi="Times New Roman" w:cs="Times New Roman"/>
          <w:sz w:val="24"/>
          <w:szCs w:val="24"/>
          <w:lang w:val="en-US"/>
        </w:rPr>
        <w:t xml:space="preserve"> territorial</w:t>
      </w:r>
      <w:r w:rsidRPr="0019082A">
        <w:rPr>
          <w:rFonts w:ascii="Times New Roman" w:hAnsi="Times New Roman" w:cs="Times New Roman"/>
          <w:sz w:val="24"/>
          <w:szCs w:val="24"/>
          <w:lang w:val="en-US"/>
        </w:rPr>
        <w:t xml:space="preserve"> European states as autonomous sources of political power</w:t>
      </w:r>
      <w:r w:rsidRPr="0019082A">
        <w:rPr>
          <w:rFonts w:ascii="Times New Roman" w:hAnsi="Times New Roman" w:cs="Times New Roman"/>
          <w:sz w:val="24"/>
          <w:szCs w:val="24"/>
          <w:vertAlign w:val="superscript"/>
          <w:lang w:val="en-US"/>
        </w:rPr>
        <w:footnoteReference w:id="3"/>
      </w:r>
      <w:r w:rsidRPr="0019082A">
        <w:rPr>
          <w:rFonts w:ascii="Times New Roman" w:hAnsi="Times New Roman" w:cs="Times New Roman"/>
          <w:sz w:val="24"/>
          <w:szCs w:val="24"/>
          <w:lang w:val="en-US"/>
        </w:rPr>
        <w:t xml:space="preserve"> through their increasing disengagement from previously imposed constraints, either conceptual (theology) or institutional (feudalism), </w:t>
      </w:r>
      <w:r w:rsidR="00325F1F" w:rsidRPr="0019082A">
        <w:rPr>
          <w:rFonts w:ascii="Times New Roman" w:hAnsi="Times New Roman" w:cs="Times New Roman"/>
          <w:sz w:val="24"/>
          <w:szCs w:val="24"/>
          <w:lang w:val="en-US"/>
        </w:rPr>
        <w:t>drives</w:t>
      </w:r>
      <w:r w:rsidRPr="0019082A">
        <w:rPr>
          <w:rFonts w:ascii="Times New Roman" w:hAnsi="Times New Roman" w:cs="Times New Roman"/>
          <w:sz w:val="24"/>
          <w:szCs w:val="24"/>
          <w:lang w:val="en-US"/>
        </w:rPr>
        <w:t xml:space="preserve"> the corresponding emergence of a ‘science of political right’. That ‘science’ aimed at an adequate </w:t>
      </w:r>
      <w:r w:rsidR="005E3763" w:rsidRPr="0019082A">
        <w:rPr>
          <w:rFonts w:ascii="Times New Roman" w:hAnsi="Times New Roman" w:cs="Times New Roman"/>
          <w:sz w:val="24"/>
          <w:szCs w:val="24"/>
          <w:lang w:val="en-US"/>
        </w:rPr>
        <w:t>conceptualization</w:t>
      </w:r>
      <w:r w:rsidRPr="0019082A">
        <w:rPr>
          <w:rFonts w:ascii="Times New Roman" w:hAnsi="Times New Roman" w:cs="Times New Roman"/>
          <w:sz w:val="24"/>
          <w:szCs w:val="24"/>
          <w:lang w:val="en-US"/>
        </w:rPr>
        <w:t xml:space="preserve"> of the autonomy of states along with various proposals to ground it, from Bodin and Hobbes onwards, in new kinds of normative discourses.</w:t>
      </w:r>
      <w:r w:rsidRPr="0019082A">
        <w:rPr>
          <w:rFonts w:ascii="Times New Roman" w:hAnsi="Times New Roman" w:cs="Times New Roman"/>
          <w:sz w:val="24"/>
          <w:szCs w:val="24"/>
          <w:vertAlign w:val="superscript"/>
          <w:lang w:val="en-US"/>
        </w:rPr>
        <w:footnoteReference w:id="4"/>
      </w:r>
      <w:r w:rsidRPr="0019082A">
        <w:rPr>
          <w:rFonts w:ascii="Times New Roman" w:hAnsi="Times New Roman" w:cs="Times New Roman"/>
          <w:sz w:val="24"/>
          <w:szCs w:val="24"/>
          <w:lang w:val="en-US"/>
        </w:rPr>
        <w:t xml:space="preserve"> </w:t>
      </w:r>
    </w:p>
    <w:p w14:paraId="742FFE38"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7038AF0A" w14:textId="321F9450"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i/>
          <w:sz w:val="24"/>
          <w:szCs w:val="24"/>
          <w:lang w:val="en-US"/>
        </w:rPr>
        <w:lastRenderedPageBreak/>
        <w:t>QF</w:t>
      </w:r>
      <w:r w:rsidRPr="0019082A">
        <w:rPr>
          <w:rFonts w:ascii="Times New Roman" w:hAnsi="Times New Roman" w:cs="Times New Roman"/>
          <w:sz w:val="24"/>
          <w:szCs w:val="24"/>
          <w:lang w:val="en-US"/>
        </w:rPr>
        <w:t xml:space="preserve">, co-edited by Michael Wilkinson and Michael Dowdle, is a rich collection of important papers by leading experts whose aim is to critically probe Loughlin’s contributions in </w:t>
      </w:r>
      <w:r w:rsidRPr="0019082A">
        <w:rPr>
          <w:rFonts w:ascii="Times New Roman" w:hAnsi="Times New Roman" w:cs="Times New Roman"/>
          <w:i/>
          <w:sz w:val="24"/>
          <w:szCs w:val="24"/>
          <w:lang w:val="en-US"/>
        </w:rPr>
        <w:t>FPL</w:t>
      </w:r>
      <w:r w:rsidRPr="0019082A">
        <w:rPr>
          <w:rFonts w:ascii="Times New Roman" w:hAnsi="Times New Roman" w:cs="Times New Roman"/>
          <w:sz w:val="24"/>
          <w:szCs w:val="24"/>
          <w:lang w:val="en-US"/>
        </w:rPr>
        <w:t xml:space="preserve"> from a number of different perspectives. Helpfully, the book contains a chapter by Loughlin which provides a concise account of the latest iteration of his position. It also comprises his brief reacti</w:t>
      </w:r>
      <w:r w:rsidR="00E26505" w:rsidRPr="0019082A">
        <w:rPr>
          <w:rFonts w:ascii="Times New Roman" w:hAnsi="Times New Roman" w:cs="Times New Roman"/>
          <w:sz w:val="24"/>
          <w:szCs w:val="24"/>
          <w:lang w:val="en-US"/>
        </w:rPr>
        <w:t xml:space="preserve">ons to </w:t>
      </w:r>
      <w:r w:rsidRPr="0019082A">
        <w:rPr>
          <w:rFonts w:ascii="Times New Roman" w:hAnsi="Times New Roman" w:cs="Times New Roman"/>
          <w:sz w:val="24"/>
          <w:szCs w:val="24"/>
          <w:lang w:val="en-US"/>
        </w:rPr>
        <w:t xml:space="preserve">the chapters. </w:t>
      </w:r>
      <w:r w:rsidRPr="0019082A">
        <w:rPr>
          <w:rFonts w:ascii="Times New Roman" w:hAnsi="Times New Roman" w:cs="Times New Roman"/>
          <w:i/>
          <w:sz w:val="24"/>
          <w:szCs w:val="24"/>
          <w:lang w:val="en-US"/>
        </w:rPr>
        <w:t>QF</w:t>
      </w:r>
      <w:r w:rsidRPr="0019082A">
        <w:rPr>
          <w:rFonts w:ascii="Times New Roman" w:hAnsi="Times New Roman" w:cs="Times New Roman"/>
          <w:sz w:val="24"/>
          <w:szCs w:val="24"/>
          <w:lang w:val="en-US"/>
        </w:rPr>
        <w:t xml:space="preserve"> </w:t>
      </w:r>
      <w:r w:rsidR="00151B5D" w:rsidRPr="0019082A">
        <w:rPr>
          <w:rFonts w:ascii="Times New Roman" w:hAnsi="Times New Roman" w:cs="Times New Roman"/>
          <w:sz w:val="24"/>
          <w:szCs w:val="24"/>
          <w:lang w:val="en-US"/>
        </w:rPr>
        <w:t>begins</w:t>
      </w:r>
      <w:r w:rsidRPr="0019082A">
        <w:rPr>
          <w:rFonts w:ascii="Times New Roman" w:hAnsi="Times New Roman" w:cs="Times New Roman"/>
          <w:sz w:val="24"/>
          <w:szCs w:val="24"/>
          <w:lang w:val="en-US"/>
        </w:rPr>
        <w:t xml:space="preserve"> with a useful intro</w:t>
      </w:r>
      <w:r w:rsidR="00151B5D" w:rsidRPr="0019082A">
        <w:rPr>
          <w:rFonts w:ascii="Times New Roman" w:hAnsi="Times New Roman" w:cs="Times New Roman"/>
          <w:sz w:val="24"/>
          <w:szCs w:val="24"/>
          <w:lang w:val="en-US"/>
        </w:rPr>
        <w:t>duction by Wilkinson and Dowdle. It</w:t>
      </w:r>
      <w:r w:rsidRPr="0019082A">
        <w:rPr>
          <w:rFonts w:ascii="Times New Roman" w:hAnsi="Times New Roman" w:cs="Times New Roman"/>
          <w:sz w:val="24"/>
          <w:szCs w:val="24"/>
          <w:lang w:val="en-US"/>
        </w:rPr>
        <w:t xml:space="preserve"> </w:t>
      </w:r>
      <w:r w:rsidR="00273481" w:rsidRPr="0019082A">
        <w:rPr>
          <w:rFonts w:ascii="Times New Roman" w:hAnsi="Times New Roman" w:cs="Times New Roman"/>
          <w:sz w:val="24"/>
          <w:szCs w:val="24"/>
          <w:lang w:val="en-US"/>
        </w:rPr>
        <w:t>summarizes</w:t>
      </w:r>
      <w:r w:rsidR="00151B5D" w:rsidRPr="0019082A">
        <w:rPr>
          <w:rFonts w:ascii="Times New Roman" w:hAnsi="Times New Roman" w:cs="Times New Roman"/>
          <w:sz w:val="24"/>
          <w:szCs w:val="24"/>
          <w:lang w:val="en-US"/>
        </w:rPr>
        <w:t xml:space="preserve"> the main argument of</w:t>
      </w:r>
      <w:r w:rsidRPr="0019082A">
        <w:rPr>
          <w:rFonts w:ascii="Times New Roman" w:hAnsi="Times New Roman" w:cs="Times New Roman"/>
          <w:sz w:val="24"/>
          <w:szCs w:val="24"/>
          <w:lang w:val="en-US"/>
        </w:rPr>
        <w:t xml:space="preserve"> </w:t>
      </w:r>
      <w:r w:rsidRPr="0019082A">
        <w:rPr>
          <w:rFonts w:ascii="Times New Roman" w:hAnsi="Times New Roman" w:cs="Times New Roman"/>
          <w:i/>
          <w:sz w:val="24"/>
          <w:szCs w:val="24"/>
          <w:lang w:val="en-US"/>
        </w:rPr>
        <w:t>FPL</w:t>
      </w:r>
      <w:r w:rsidRPr="0019082A">
        <w:rPr>
          <w:rFonts w:ascii="Times New Roman" w:hAnsi="Times New Roman" w:cs="Times New Roman"/>
          <w:sz w:val="24"/>
          <w:szCs w:val="24"/>
          <w:lang w:val="en-US"/>
        </w:rPr>
        <w:t xml:space="preserve"> </w:t>
      </w:r>
      <w:r w:rsidR="00151B5D" w:rsidRPr="0019082A">
        <w:rPr>
          <w:rFonts w:ascii="Times New Roman" w:hAnsi="Times New Roman" w:cs="Times New Roman"/>
          <w:sz w:val="24"/>
          <w:szCs w:val="24"/>
          <w:lang w:val="en-US"/>
        </w:rPr>
        <w:t>and then helpfully</w:t>
      </w:r>
      <w:r w:rsidRPr="0019082A">
        <w:rPr>
          <w:rFonts w:ascii="Times New Roman" w:hAnsi="Times New Roman" w:cs="Times New Roman"/>
          <w:sz w:val="24"/>
          <w:szCs w:val="24"/>
          <w:lang w:val="en-US"/>
        </w:rPr>
        <w:t xml:space="preserve"> </w:t>
      </w:r>
      <w:r w:rsidR="00151B5D" w:rsidRPr="0019082A">
        <w:rPr>
          <w:rFonts w:ascii="Times New Roman" w:hAnsi="Times New Roman" w:cs="Times New Roman"/>
          <w:sz w:val="24"/>
          <w:szCs w:val="24"/>
          <w:lang w:val="en-US"/>
        </w:rPr>
        <w:t xml:space="preserve">divides chapters </w:t>
      </w:r>
      <w:r w:rsidRPr="0019082A">
        <w:rPr>
          <w:rFonts w:ascii="Times New Roman" w:hAnsi="Times New Roman" w:cs="Times New Roman"/>
          <w:sz w:val="24"/>
          <w:szCs w:val="24"/>
          <w:lang w:val="en-US"/>
        </w:rPr>
        <w:t xml:space="preserve">into </w:t>
      </w:r>
      <w:r w:rsidR="00151B5D" w:rsidRPr="0019082A">
        <w:rPr>
          <w:rFonts w:ascii="Times New Roman" w:hAnsi="Times New Roman" w:cs="Times New Roman"/>
          <w:sz w:val="24"/>
          <w:szCs w:val="24"/>
          <w:lang w:val="en-US"/>
        </w:rPr>
        <w:t>four</w:t>
      </w:r>
      <w:r w:rsidRPr="0019082A">
        <w:rPr>
          <w:rFonts w:ascii="Times New Roman" w:hAnsi="Times New Roman" w:cs="Times New Roman"/>
          <w:sz w:val="24"/>
          <w:szCs w:val="24"/>
          <w:lang w:val="en-US"/>
        </w:rPr>
        <w:t xml:space="preserve"> sections representing thematically similar forms of critique. In</w:t>
      </w:r>
      <w:r w:rsidR="00417308" w:rsidRPr="0019082A">
        <w:rPr>
          <w:rFonts w:ascii="Times New Roman" w:hAnsi="Times New Roman" w:cs="Times New Roman"/>
          <w:sz w:val="24"/>
          <w:szCs w:val="24"/>
          <w:lang w:val="en-US"/>
        </w:rPr>
        <w:t xml:space="preserve"> the review that follows</w:t>
      </w:r>
      <w:r w:rsidRPr="0019082A">
        <w:rPr>
          <w:rFonts w:ascii="Times New Roman" w:hAnsi="Times New Roman" w:cs="Times New Roman"/>
          <w:sz w:val="24"/>
          <w:szCs w:val="24"/>
          <w:lang w:val="en-US"/>
        </w:rPr>
        <w:t xml:space="preserve"> I shall, first, provide some </w:t>
      </w:r>
      <w:r w:rsidR="00417308" w:rsidRPr="0019082A">
        <w:rPr>
          <w:rFonts w:ascii="Times New Roman" w:hAnsi="Times New Roman" w:cs="Times New Roman"/>
          <w:sz w:val="24"/>
          <w:szCs w:val="24"/>
          <w:lang w:val="en-US"/>
        </w:rPr>
        <w:t>theoretical context</w:t>
      </w:r>
      <w:r w:rsidRPr="0019082A">
        <w:rPr>
          <w:rFonts w:ascii="Times New Roman" w:hAnsi="Times New Roman" w:cs="Times New Roman"/>
          <w:sz w:val="24"/>
          <w:szCs w:val="24"/>
          <w:lang w:val="en-US"/>
        </w:rPr>
        <w:t xml:space="preserve"> by placing emphasis on the conceptual space that Loughlin’s ‘political jurisprudence’ aims to occupy within contemporary legal </w:t>
      </w:r>
      <w:r w:rsidR="00417308" w:rsidRPr="0019082A">
        <w:rPr>
          <w:rFonts w:ascii="Times New Roman" w:hAnsi="Times New Roman" w:cs="Times New Roman"/>
          <w:sz w:val="24"/>
          <w:szCs w:val="24"/>
          <w:lang w:val="en-US"/>
        </w:rPr>
        <w:t>theory</w:t>
      </w:r>
      <w:r w:rsidRPr="0019082A">
        <w:rPr>
          <w:rFonts w:ascii="Times New Roman" w:hAnsi="Times New Roman" w:cs="Times New Roman"/>
          <w:sz w:val="24"/>
          <w:szCs w:val="24"/>
          <w:lang w:val="en-US"/>
        </w:rPr>
        <w:t xml:space="preserve">. Then, I shall briefly present the main arguments of the chapters of the book, before I focus, specifically, on a more sustained critical discussion of the </w:t>
      </w:r>
      <w:r w:rsidR="00417308" w:rsidRPr="0019082A">
        <w:rPr>
          <w:rFonts w:ascii="Times New Roman" w:hAnsi="Times New Roman" w:cs="Times New Roman"/>
          <w:sz w:val="24"/>
          <w:szCs w:val="24"/>
          <w:lang w:val="en-US"/>
        </w:rPr>
        <w:t>so-called ‘material critique’ of</w:t>
      </w:r>
      <w:r w:rsidRPr="0019082A">
        <w:rPr>
          <w:rFonts w:ascii="Times New Roman" w:hAnsi="Times New Roman" w:cs="Times New Roman"/>
          <w:sz w:val="24"/>
          <w:szCs w:val="24"/>
          <w:lang w:val="en-US"/>
        </w:rPr>
        <w:t xml:space="preserve"> Loughlin’s project.</w:t>
      </w:r>
    </w:p>
    <w:p w14:paraId="49A006D9"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1B33822F" w14:textId="77777777" w:rsidR="00365C41" w:rsidRPr="0019082A" w:rsidRDefault="002E6F5F">
      <w:pPr>
        <w:pStyle w:val="normal0"/>
        <w:spacing w:line="360" w:lineRule="auto"/>
        <w:jc w:val="both"/>
        <w:rPr>
          <w:rFonts w:ascii="Times New Roman" w:hAnsi="Times New Roman" w:cs="Times New Roman"/>
          <w:b/>
          <w:sz w:val="24"/>
          <w:szCs w:val="24"/>
          <w:lang w:val="en-US"/>
        </w:rPr>
      </w:pPr>
      <w:r w:rsidRPr="0019082A">
        <w:rPr>
          <w:rFonts w:ascii="Times New Roman" w:hAnsi="Times New Roman" w:cs="Times New Roman"/>
          <w:b/>
          <w:sz w:val="24"/>
          <w:szCs w:val="24"/>
          <w:lang w:val="en-US"/>
        </w:rPr>
        <w:t>Political Jurisprudence in Contemporary Legal Thought</w:t>
      </w:r>
    </w:p>
    <w:p w14:paraId="22160644" w14:textId="77CC5A69"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 xml:space="preserve">On the basis of the historical reconstruction provided by </w:t>
      </w:r>
      <w:r w:rsidRPr="0019082A">
        <w:rPr>
          <w:rFonts w:ascii="Times New Roman" w:hAnsi="Times New Roman" w:cs="Times New Roman"/>
          <w:i/>
          <w:sz w:val="24"/>
          <w:szCs w:val="24"/>
          <w:lang w:val="en-US"/>
        </w:rPr>
        <w:t>FPL</w:t>
      </w:r>
      <w:r w:rsidRPr="0019082A">
        <w:rPr>
          <w:rFonts w:ascii="Times New Roman" w:hAnsi="Times New Roman" w:cs="Times New Roman"/>
          <w:sz w:val="24"/>
          <w:szCs w:val="24"/>
          <w:lang w:val="en-US"/>
        </w:rPr>
        <w:t>, Loughlin defends two controversial positions, which shall be at the heart of the ensuing critical discussion. The first is the id</w:t>
      </w:r>
      <w:r w:rsidR="006860ED" w:rsidRPr="0019082A">
        <w:rPr>
          <w:rFonts w:ascii="Times New Roman" w:hAnsi="Times New Roman" w:cs="Times New Roman"/>
          <w:sz w:val="24"/>
          <w:szCs w:val="24"/>
          <w:lang w:val="en-US"/>
        </w:rPr>
        <w:t>ea that political jurisprudence</w:t>
      </w:r>
      <w:r w:rsidRPr="0019082A">
        <w:rPr>
          <w:rFonts w:ascii="Times New Roman" w:hAnsi="Times New Roman" w:cs="Times New Roman"/>
          <w:sz w:val="24"/>
          <w:szCs w:val="24"/>
          <w:lang w:val="en-US"/>
        </w:rPr>
        <w:t xml:space="preserve"> is </w:t>
      </w:r>
      <w:r w:rsidRPr="0019082A">
        <w:rPr>
          <w:rFonts w:ascii="Times New Roman" w:hAnsi="Times New Roman" w:cs="Times New Roman"/>
          <w:i/>
          <w:sz w:val="24"/>
          <w:szCs w:val="24"/>
          <w:lang w:val="en-US"/>
        </w:rPr>
        <w:t>the only</w:t>
      </w:r>
      <w:r w:rsidRPr="0019082A">
        <w:rPr>
          <w:rFonts w:ascii="Times New Roman" w:hAnsi="Times New Roman" w:cs="Times New Roman"/>
          <w:sz w:val="24"/>
          <w:szCs w:val="24"/>
          <w:lang w:val="en-US"/>
        </w:rPr>
        <w:t xml:space="preserve"> discipline that can shed proper light on the distinctively autonomous structure of public law under the</w:t>
      </w:r>
      <w:r w:rsidR="003D4DB7" w:rsidRPr="0019082A">
        <w:rPr>
          <w:rFonts w:ascii="Times New Roman" w:hAnsi="Times New Roman" w:cs="Times New Roman"/>
          <w:sz w:val="24"/>
          <w:szCs w:val="24"/>
          <w:lang w:val="en-US"/>
        </w:rPr>
        <w:t xml:space="preserve"> social and historical</w:t>
      </w:r>
      <w:r w:rsidRPr="0019082A">
        <w:rPr>
          <w:rFonts w:ascii="Times New Roman" w:hAnsi="Times New Roman" w:cs="Times New Roman"/>
          <w:sz w:val="24"/>
          <w:szCs w:val="24"/>
          <w:lang w:val="en-US"/>
        </w:rPr>
        <w:t xml:space="preserve"> conditions of modernity. The second involves the notion that restoring political jurisprudence to its rightful place is an exercise in </w:t>
      </w:r>
      <w:r w:rsidR="00FC0FC6" w:rsidRPr="0019082A">
        <w:rPr>
          <w:rFonts w:ascii="Times New Roman" w:hAnsi="Times New Roman" w:cs="Times New Roman"/>
          <w:sz w:val="24"/>
          <w:szCs w:val="24"/>
          <w:lang w:val="en-US"/>
        </w:rPr>
        <w:t>retrieval. This is so because</w:t>
      </w:r>
      <w:r w:rsidRPr="0019082A">
        <w:rPr>
          <w:rFonts w:ascii="Times New Roman" w:hAnsi="Times New Roman" w:cs="Times New Roman"/>
          <w:sz w:val="24"/>
          <w:szCs w:val="24"/>
          <w:lang w:val="en-US"/>
        </w:rPr>
        <w:t xml:space="preserve"> the forgotten discipline of political jurisprudence, at least since the end of the nineteenth century, has been displaced, on the one hand, by the different schools of legal positivism, of which Hans Kelsen and H.L.A. Hart are the most eminent </w:t>
      </w:r>
      <w:r w:rsidR="00FF242B">
        <w:rPr>
          <w:rFonts w:ascii="Times New Roman" w:hAnsi="Times New Roman" w:cs="Times New Roman"/>
          <w:sz w:val="24"/>
          <w:szCs w:val="24"/>
          <w:lang w:val="en-US"/>
        </w:rPr>
        <w:t>proponents</w:t>
      </w:r>
      <w:r w:rsidRPr="0019082A">
        <w:rPr>
          <w:rFonts w:ascii="Times New Roman" w:hAnsi="Times New Roman" w:cs="Times New Roman"/>
          <w:sz w:val="24"/>
          <w:szCs w:val="24"/>
          <w:vertAlign w:val="superscript"/>
          <w:lang w:val="en-US"/>
        </w:rPr>
        <w:footnoteReference w:id="5"/>
      </w:r>
      <w:r w:rsidRPr="0019082A">
        <w:rPr>
          <w:rFonts w:ascii="Times New Roman" w:hAnsi="Times New Roman" w:cs="Times New Roman"/>
          <w:sz w:val="24"/>
          <w:szCs w:val="24"/>
          <w:lang w:val="en-US"/>
        </w:rPr>
        <w:t xml:space="preserve"> and, on the other hand, by various forms of anti-positivist theories, the most sophisticated and influential of which is undoubtedly Ronald Dworkin’s.</w:t>
      </w:r>
      <w:r w:rsidRPr="0019082A">
        <w:rPr>
          <w:rFonts w:ascii="Times New Roman" w:hAnsi="Times New Roman" w:cs="Times New Roman"/>
          <w:sz w:val="24"/>
          <w:szCs w:val="24"/>
          <w:vertAlign w:val="superscript"/>
          <w:lang w:val="en-US"/>
        </w:rPr>
        <w:footnoteReference w:id="6"/>
      </w:r>
      <w:r w:rsidRPr="0019082A">
        <w:rPr>
          <w:rFonts w:ascii="Times New Roman" w:hAnsi="Times New Roman" w:cs="Times New Roman"/>
          <w:sz w:val="24"/>
          <w:szCs w:val="24"/>
          <w:lang w:val="en-US"/>
        </w:rPr>
        <w:t xml:space="preserve"> Positivist theories, roughly, make the content of law depend solely on ‘posited’ norms, whose existence can be </w:t>
      </w:r>
      <w:r w:rsidR="00505732">
        <w:rPr>
          <w:rFonts w:ascii="Times New Roman" w:hAnsi="Times New Roman" w:cs="Times New Roman"/>
          <w:sz w:val="24"/>
          <w:szCs w:val="24"/>
          <w:lang w:val="en-US"/>
        </w:rPr>
        <w:t>established</w:t>
      </w:r>
      <w:r w:rsidRPr="0019082A">
        <w:rPr>
          <w:rFonts w:ascii="Times New Roman" w:hAnsi="Times New Roman" w:cs="Times New Roman"/>
          <w:sz w:val="24"/>
          <w:szCs w:val="24"/>
          <w:lang w:val="en-US"/>
        </w:rPr>
        <w:t xml:space="preserve"> as a matter of social fact. On positivist views, there is no necessary connection between (public) law and (true) morality. Whether such a connection exists depends solely on the contingent underlying social facts that determine the content and structure of public law.</w:t>
      </w:r>
      <w:r w:rsidRPr="0019082A">
        <w:rPr>
          <w:rFonts w:ascii="Times New Roman" w:hAnsi="Times New Roman" w:cs="Times New Roman"/>
          <w:sz w:val="24"/>
          <w:szCs w:val="24"/>
          <w:vertAlign w:val="superscript"/>
          <w:lang w:val="en-US"/>
        </w:rPr>
        <w:footnoteReference w:id="7"/>
      </w:r>
      <w:r w:rsidRPr="0019082A">
        <w:rPr>
          <w:rFonts w:ascii="Times New Roman" w:hAnsi="Times New Roman" w:cs="Times New Roman"/>
          <w:sz w:val="24"/>
          <w:szCs w:val="24"/>
          <w:lang w:val="en-US"/>
        </w:rPr>
        <w:t xml:space="preserve"> Moreover, positivists such as Kelsen often argue that the only epistemologically respectable </w:t>
      </w:r>
      <w:r w:rsidR="00FC0FC6" w:rsidRPr="0019082A">
        <w:rPr>
          <w:rFonts w:ascii="Times New Roman" w:hAnsi="Times New Roman" w:cs="Times New Roman"/>
          <w:sz w:val="24"/>
          <w:szCs w:val="24"/>
          <w:lang w:val="en-US"/>
        </w:rPr>
        <w:t>form that a ‘science of law’ may</w:t>
      </w:r>
      <w:r w:rsidRPr="0019082A">
        <w:rPr>
          <w:rFonts w:ascii="Times New Roman" w:hAnsi="Times New Roman" w:cs="Times New Roman"/>
          <w:sz w:val="24"/>
          <w:szCs w:val="24"/>
          <w:lang w:val="en-US"/>
        </w:rPr>
        <w:t xml:space="preserve"> take is that of a value-free </w:t>
      </w:r>
      <w:r w:rsidR="00FC0FC6" w:rsidRPr="0019082A">
        <w:rPr>
          <w:rFonts w:ascii="Times New Roman" w:hAnsi="Times New Roman" w:cs="Times New Roman"/>
          <w:sz w:val="24"/>
          <w:szCs w:val="24"/>
          <w:lang w:val="en-US"/>
        </w:rPr>
        <w:t>description</w:t>
      </w:r>
      <w:r w:rsidRPr="0019082A">
        <w:rPr>
          <w:rFonts w:ascii="Times New Roman" w:hAnsi="Times New Roman" w:cs="Times New Roman"/>
          <w:sz w:val="24"/>
          <w:szCs w:val="24"/>
          <w:lang w:val="en-US"/>
        </w:rPr>
        <w:t xml:space="preserve"> of normatively pertinent </w:t>
      </w:r>
      <w:r w:rsidRPr="0019082A">
        <w:rPr>
          <w:rFonts w:ascii="Times New Roman" w:hAnsi="Times New Roman" w:cs="Times New Roman"/>
          <w:sz w:val="24"/>
          <w:szCs w:val="24"/>
          <w:lang w:val="en-US"/>
        </w:rPr>
        <w:lastRenderedPageBreak/>
        <w:t>social facts. Anti-positivist theories, in contrast, fuse public law and political morality, making the doctrinal concept of law</w:t>
      </w:r>
      <w:r w:rsidRPr="0019082A">
        <w:rPr>
          <w:rFonts w:ascii="Times New Roman" w:hAnsi="Times New Roman" w:cs="Times New Roman"/>
          <w:sz w:val="24"/>
          <w:szCs w:val="24"/>
          <w:vertAlign w:val="superscript"/>
          <w:lang w:val="en-US"/>
        </w:rPr>
        <w:footnoteReference w:id="8"/>
      </w:r>
      <w:r w:rsidRPr="0019082A">
        <w:rPr>
          <w:rFonts w:ascii="Times New Roman" w:hAnsi="Times New Roman" w:cs="Times New Roman"/>
          <w:sz w:val="24"/>
          <w:szCs w:val="24"/>
          <w:lang w:val="en-US"/>
        </w:rPr>
        <w:t xml:space="preserve"> constitutively depend on important political values such as social justice or integrity. According to Dworkin, for example, there can be no value-neutral (or, in Dworkin’s terminology</w:t>
      </w:r>
      <w:r w:rsidR="00A1097A" w:rsidRPr="0019082A">
        <w:rPr>
          <w:rFonts w:ascii="Times New Roman" w:hAnsi="Times New Roman" w:cs="Times New Roman"/>
          <w:sz w:val="24"/>
          <w:szCs w:val="24"/>
          <w:lang w:val="en-US"/>
        </w:rPr>
        <w:t>,</w:t>
      </w:r>
      <w:r w:rsidRPr="0019082A">
        <w:rPr>
          <w:rFonts w:ascii="Times New Roman" w:hAnsi="Times New Roman" w:cs="Times New Roman"/>
          <w:sz w:val="24"/>
          <w:szCs w:val="24"/>
          <w:lang w:val="en-US"/>
        </w:rPr>
        <w:t xml:space="preserve"> ‘Archimedean’</w:t>
      </w:r>
      <w:r w:rsidRPr="0019082A">
        <w:rPr>
          <w:rFonts w:ascii="Times New Roman" w:hAnsi="Times New Roman" w:cs="Times New Roman"/>
          <w:sz w:val="24"/>
          <w:szCs w:val="24"/>
          <w:vertAlign w:val="superscript"/>
          <w:lang w:val="en-US"/>
        </w:rPr>
        <w:footnoteReference w:id="9"/>
      </w:r>
      <w:r w:rsidRPr="0019082A">
        <w:rPr>
          <w:rFonts w:ascii="Times New Roman" w:hAnsi="Times New Roman" w:cs="Times New Roman"/>
          <w:sz w:val="24"/>
          <w:szCs w:val="24"/>
          <w:lang w:val="en-US"/>
        </w:rPr>
        <w:t>) description of legal practices that could avoid taking sides on contentious questions of political morality.</w:t>
      </w:r>
      <w:r w:rsidRPr="0019082A">
        <w:rPr>
          <w:rFonts w:ascii="Times New Roman" w:hAnsi="Times New Roman" w:cs="Times New Roman"/>
          <w:sz w:val="24"/>
          <w:szCs w:val="24"/>
          <w:vertAlign w:val="superscript"/>
          <w:lang w:val="en-US"/>
        </w:rPr>
        <w:footnoteReference w:id="10"/>
      </w:r>
      <w:r w:rsidRPr="0019082A">
        <w:rPr>
          <w:rFonts w:ascii="Times New Roman" w:hAnsi="Times New Roman" w:cs="Times New Roman"/>
          <w:sz w:val="24"/>
          <w:szCs w:val="24"/>
          <w:lang w:val="en-US"/>
        </w:rPr>
        <w:t xml:space="preserve"> </w:t>
      </w:r>
      <w:r w:rsidR="005A6D39">
        <w:rPr>
          <w:rFonts w:ascii="Times New Roman" w:hAnsi="Times New Roman" w:cs="Times New Roman"/>
          <w:sz w:val="24"/>
          <w:szCs w:val="24"/>
          <w:lang w:val="en-US"/>
        </w:rPr>
        <w:t>On Dworkin’s account, a</w:t>
      </w:r>
      <w:r w:rsidRPr="0019082A">
        <w:rPr>
          <w:rFonts w:ascii="Times New Roman" w:hAnsi="Times New Roman" w:cs="Times New Roman"/>
          <w:sz w:val="24"/>
          <w:szCs w:val="24"/>
          <w:lang w:val="en-US"/>
        </w:rPr>
        <w:t xml:space="preserve">ny putative description of the law offers an interpretive reconstruction of the significance of past social facts from the vantage point of the best normative understanding of </w:t>
      </w:r>
      <w:r w:rsidR="005B70C6" w:rsidRPr="0019082A">
        <w:rPr>
          <w:rFonts w:ascii="Times New Roman" w:hAnsi="Times New Roman" w:cs="Times New Roman"/>
          <w:sz w:val="24"/>
          <w:szCs w:val="24"/>
          <w:lang w:val="en-US"/>
        </w:rPr>
        <w:t>political</w:t>
      </w:r>
      <w:r w:rsidRPr="0019082A">
        <w:rPr>
          <w:rFonts w:ascii="Times New Roman" w:hAnsi="Times New Roman" w:cs="Times New Roman"/>
          <w:sz w:val="24"/>
          <w:szCs w:val="24"/>
          <w:lang w:val="en-US"/>
        </w:rPr>
        <w:t xml:space="preserve"> values.   </w:t>
      </w:r>
    </w:p>
    <w:p w14:paraId="41FB133A"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581D7E92" w14:textId="200DCD10"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Now, why do these well-established approaches fail to</w:t>
      </w:r>
      <w:r w:rsidR="00FF0533">
        <w:rPr>
          <w:rFonts w:ascii="Times New Roman" w:hAnsi="Times New Roman" w:cs="Times New Roman"/>
          <w:sz w:val="24"/>
          <w:szCs w:val="24"/>
          <w:lang w:val="en-US"/>
        </w:rPr>
        <w:t xml:space="preserve"> properly</w:t>
      </w:r>
      <w:r w:rsidRPr="0019082A">
        <w:rPr>
          <w:rFonts w:ascii="Times New Roman" w:hAnsi="Times New Roman" w:cs="Times New Roman"/>
          <w:sz w:val="24"/>
          <w:szCs w:val="24"/>
          <w:lang w:val="en-US"/>
        </w:rPr>
        <w:t xml:space="preserve"> apprehend public law, according to Loughlin? And wh</w:t>
      </w:r>
      <w:r w:rsidR="004F3790" w:rsidRPr="0019082A">
        <w:rPr>
          <w:rFonts w:ascii="Times New Roman" w:hAnsi="Times New Roman" w:cs="Times New Roman"/>
          <w:sz w:val="24"/>
          <w:szCs w:val="24"/>
          <w:lang w:val="en-US"/>
        </w:rPr>
        <w:t>y does political jurisprudence</w:t>
      </w:r>
      <w:r w:rsidRPr="0019082A">
        <w:rPr>
          <w:rFonts w:ascii="Times New Roman" w:hAnsi="Times New Roman" w:cs="Times New Roman"/>
          <w:sz w:val="24"/>
          <w:szCs w:val="24"/>
          <w:lang w:val="en-US"/>
        </w:rPr>
        <w:t xml:space="preserve"> have to be restored in order to provide an adequate account of public law? Loughlin provides two answers. He argues, first, that positivists err insofar as they fail to address the socio-political factors that condition governmental authority.</w:t>
      </w:r>
      <w:r w:rsidRPr="0019082A">
        <w:rPr>
          <w:rFonts w:ascii="Times New Roman" w:hAnsi="Times New Roman" w:cs="Times New Roman"/>
          <w:sz w:val="24"/>
          <w:szCs w:val="24"/>
          <w:vertAlign w:val="superscript"/>
          <w:lang w:val="en-US"/>
        </w:rPr>
        <w:footnoteReference w:id="11"/>
      </w:r>
      <w:r w:rsidRPr="0019082A">
        <w:rPr>
          <w:rFonts w:ascii="Times New Roman" w:hAnsi="Times New Roman" w:cs="Times New Roman"/>
          <w:sz w:val="24"/>
          <w:szCs w:val="24"/>
          <w:lang w:val="en-US"/>
        </w:rPr>
        <w:t xml:space="preserve"> Indeed, positivists largely seem to follow Kelsen’s lead </w:t>
      </w:r>
      <w:r w:rsidR="004F3790" w:rsidRPr="0019082A">
        <w:rPr>
          <w:rFonts w:ascii="Times New Roman" w:hAnsi="Times New Roman" w:cs="Times New Roman"/>
          <w:sz w:val="24"/>
          <w:szCs w:val="24"/>
          <w:lang w:val="en-US"/>
        </w:rPr>
        <w:t>by</w:t>
      </w:r>
      <w:r w:rsidRPr="0019082A">
        <w:rPr>
          <w:rFonts w:ascii="Times New Roman" w:hAnsi="Times New Roman" w:cs="Times New Roman"/>
          <w:sz w:val="24"/>
          <w:szCs w:val="24"/>
          <w:lang w:val="en-US"/>
        </w:rPr>
        <w:t xml:space="preserve"> ‘black-box</w:t>
      </w:r>
      <w:r w:rsidR="004F3790" w:rsidRPr="0019082A">
        <w:rPr>
          <w:rFonts w:ascii="Times New Roman" w:hAnsi="Times New Roman" w:cs="Times New Roman"/>
          <w:sz w:val="24"/>
          <w:szCs w:val="24"/>
          <w:lang w:val="en-US"/>
        </w:rPr>
        <w:t>ing</w:t>
      </w:r>
      <w:r w:rsidRPr="0019082A">
        <w:rPr>
          <w:rFonts w:ascii="Times New Roman" w:hAnsi="Times New Roman" w:cs="Times New Roman"/>
          <w:sz w:val="24"/>
          <w:szCs w:val="24"/>
          <w:lang w:val="en-US"/>
        </w:rPr>
        <w:t>’ socio-political factors on the basis of a key distinction between the factual (the realm of ‘is’) and the normative (the realm of ‘ought’).</w:t>
      </w:r>
      <w:r w:rsidRPr="0019082A">
        <w:rPr>
          <w:rFonts w:ascii="Times New Roman" w:hAnsi="Times New Roman" w:cs="Times New Roman"/>
          <w:sz w:val="24"/>
          <w:szCs w:val="24"/>
          <w:vertAlign w:val="superscript"/>
          <w:lang w:val="en-US"/>
        </w:rPr>
        <w:footnoteReference w:id="12"/>
      </w:r>
      <w:r w:rsidRPr="0019082A">
        <w:rPr>
          <w:rFonts w:ascii="Times New Roman" w:hAnsi="Times New Roman" w:cs="Times New Roman"/>
          <w:sz w:val="24"/>
          <w:szCs w:val="24"/>
          <w:lang w:val="en-US"/>
        </w:rPr>
        <w:t xml:space="preserve"> Taking the existence of legal norms as a given, </w:t>
      </w:r>
      <w:r w:rsidR="004F3790" w:rsidRPr="0019082A">
        <w:rPr>
          <w:rFonts w:ascii="Times New Roman" w:hAnsi="Times New Roman" w:cs="Times New Roman"/>
          <w:sz w:val="24"/>
          <w:szCs w:val="24"/>
          <w:lang w:val="en-US"/>
        </w:rPr>
        <w:t>positivists</w:t>
      </w:r>
      <w:r w:rsidRPr="0019082A">
        <w:rPr>
          <w:rFonts w:ascii="Times New Roman" w:hAnsi="Times New Roman" w:cs="Times New Roman"/>
          <w:sz w:val="24"/>
          <w:szCs w:val="24"/>
          <w:lang w:val="en-US"/>
        </w:rPr>
        <w:t xml:space="preserve"> simply have nothing to say</w:t>
      </w:r>
      <w:r w:rsidR="004F3790" w:rsidRPr="0019082A">
        <w:rPr>
          <w:rFonts w:ascii="Times New Roman" w:hAnsi="Times New Roman" w:cs="Times New Roman"/>
          <w:sz w:val="24"/>
          <w:szCs w:val="24"/>
          <w:lang w:val="en-US"/>
        </w:rPr>
        <w:t xml:space="preserve"> </w:t>
      </w:r>
      <w:r w:rsidR="004F3790" w:rsidRPr="0019082A">
        <w:rPr>
          <w:rFonts w:ascii="Times New Roman" w:hAnsi="Times New Roman" w:cs="Times New Roman"/>
          <w:i/>
          <w:sz w:val="24"/>
          <w:szCs w:val="24"/>
          <w:lang w:val="en-US"/>
        </w:rPr>
        <w:t xml:space="preserve">qua </w:t>
      </w:r>
      <w:r w:rsidR="004F3790" w:rsidRPr="0019082A">
        <w:rPr>
          <w:rFonts w:ascii="Times New Roman" w:hAnsi="Times New Roman" w:cs="Times New Roman"/>
          <w:sz w:val="24"/>
          <w:szCs w:val="24"/>
          <w:lang w:val="en-US"/>
        </w:rPr>
        <w:t>jurists</w:t>
      </w:r>
      <w:r w:rsidRPr="0019082A">
        <w:rPr>
          <w:rFonts w:ascii="Times New Roman" w:hAnsi="Times New Roman" w:cs="Times New Roman"/>
          <w:sz w:val="24"/>
          <w:szCs w:val="24"/>
          <w:lang w:val="en-US"/>
        </w:rPr>
        <w:t xml:space="preserve"> on the various political and social forces that cause changes to the constellation of the underlying social facts. The latter are simply taken to reside outside the epistemological </w:t>
      </w:r>
      <w:r w:rsidR="00670AB0" w:rsidRPr="0019082A">
        <w:rPr>
          <w:rFonts w:ascii="Times New Roman" w:hAnsi="Times New Roman" w:cs="Times New Roman"/>
          <w:sz w:val="24"/>
          <w:szCs w:val="24"/>
          <w:lang w:val="en-US"/>
        </w:rPr>
        <w:t>parameters</w:t>
      </w:r>
      <w:r w:rsidR="00FE64D2" w:rsidRPr="0019082A">
        <w:rPr>
          <w:rFonts w:ascii="Times New Roman" w:hAnsi="Times New Roman" w:cs="Times New Roman"/>
          <w:sz w:val="24"/>
          <w:szCs w:val="24"/>
          <w:lang w:val="en-US"/>
        </w:rPr>
        <w:t xml:space="preserve"> of legal science</w:t>
      </w:r>
      <w:r w:rsidRPr="0019082A">
        <w:rPr>
          <w:rFonts w:ascii="Times New Roman" w:hAnsi="Times New Roman" w:cs="Times New Roman"/>
          <w:sz w:val="24"/>
          <w:szCs w:val="24"/>
          <w:lang w:val="en-US"/>
        </w:rPr>
        <w:t>.</w:t>
      </w:r>
      <w:r w:rsidRPr="0019082A">
        <w:rPr>
          <w:rFonts w:ascii="Times New Roman" w:hAnsi="Times New Roman" w:cs="Times New Roman"/>
          <w:sz w:val="24"/>
          <w:szCs w:val="24"/>
          <w:vertAlign w:val="superscript"/>
          <w:lang w:val="en-US"/>
        </w:rPr>
        <w:footnoteReference w:id="13"/>
      </w:r>
      <w:r w:rsidRPr="0019082A">
        <w:rPr>
          <w:rFonts w:ascii="Times New Roman" w:hAnsi="Times New Roman" w:cs="Times New Roman"/>
          <w:sz w:val="24"/>
          <w:szCs w:val="24"/>
          <w:lang w:val="en-US"/>
        </w:rPr>
        <w:t xml:space="preserve"> Now, in contrast to legal positivism, Loughlin insists that only by providing an account of these factors is it possible to adequately approach public law.</w:t>
      </w:r>
      <w:r w:rsidRPr="0019082A">
        <w:rPr>
          <w:rFonts w:ascii="Times New Roman" w:hAnsi="Times New Roman" w:cs="Times New Roman"/>
          <w:sz w:val="24"/>
          <w:szCs w:val="24"/>
          <w:vertAlign w:val="superscript"/>
          <w:lang w:val="en-US"/>
        </w:rPr>
        <w:footnoteReference w:id="14"/>
      </w:r>
      <w:r w:rsidRPr="0019082A">
        <w:rPr>
          <w:rFonts w:ascii="Times New Roman" w:hAnsi="Times New Roman" w:cs="Times New Roman"/>
          <w:sz w:val="24"/>
          <w:szCs w:val="24"/>
          <w:lang w:val="en-US"/>
        </w:rPr>
        <w:t xml:space="preserve"> Thus, political jurisprudence has, </w:t>
      </w:r>
      <w:r w:rsidRPr="0019082A">
        <w:rPr>
          <w:rFonts w:ascii="Times New Roman" w:hAnsi="Times New Roman" w:cs="Times New Roman"/>
          <w:i/>
          <w:sz w:val="24"/>
          <w:szCs w:val="24"/>
          <w:lang w:val="en-US"/>
        </w:rPr>
        <w:t>pace</w:t>
      </w:r>
      <w:r w:rsidRPr="0019082A">
        <w:rPr>
          <w:rFonts w:ascii="Times New Roman" w:hAnsi="Times New Roman" w:cs="Times New Roman"/>
          <w:sz w:val="24"/>
          <w:szCs w:val="24"/>
          <w:lang w:val="en-US"/>
        </w:rPr>
        <w:t xml:space="preserve"> posi</w:t>
      </w:r>
      <w:r w:rsidR="00BC0B4F" w:rsidRPr="0019082A">
        <w:rPr>
          <w:rFonts w:ascii="Times New Roman" w:hAnsi="Times New Roman" w:cs="Times New Roman"/>
          <w:sz w:val="24"/>
          <w:szCs w:val="24"/>
          <w:lang w:val="en-US"/>
        </w:rPr>
        <w:t>tivism, the ambition to bridge at least one version of</w:t>
      </w:r>
      <w:r w:rsidRPr="0019082A">
        <w:rPr>
          <w:rFonts w:ascii="Times New Roman" w:hAnsi="Times New Roman" w:cs="Times New Roman"/>
          <w:sz w:val="24"/>
          <w:szCs w:val="24"/>
          <w:lang w:val="en-US"/>
        </w:rPr>
        <w:t xml:space="preserve"> the divide between ‘is’ and ‘ought’. </w:t>
      </w:r>
    </w:p>
    <w:p w14:paraId="7E8D9375"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185EE957" w14:textId="1A9C1001"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 xml:space="preserve">Anti-positivists, on the other hand, make a different kind of mistake: they propose a </w:t>
      </w:r>
      <w:r w:rsidRPr="0019082A">
        <w:rPr>
          <w:rFonts w:ascii="Times New Roman" w:hAnsi="Times New Roman" w:cs="Times New Roman"/>
          <w:i/>
          <w:sz w:val="24"/>
          <w:szCs w:val="24"/>
          <w:lang w:val="en-US"/>
        </w:rPr>
        <w:t>moral</w:t>
      </w:r>
      <w:r w:rsidRPr="0019082A">
        <w:rPr>
          <w:rFonts w:ascii="Times New Roman" w:hAnsi="Times New Roman" w:cs="Times New Roman"/>
          <w:sz w:val="24"/>
          <w:szCs w:val="24"/>
          <w:lang w:val="en-US"/>
        </w:rPr>
        <w:t xml:space="preserve"> as opposed to a distinctively </w:t>
      </w:r>
      <w:r w:rsidRPr="0019082A">
        <w:rPr>
          <w:rFonts w:ascii="Times New Roman" w:hAnsi="Times New Roman" w:cs="Times New Roman"/>
          <w:i/>
          <w:sz w:val="24"/>
          <w:szCs w:val="24"/>
          <w:lang w:val="en-US"/>
        </w:rPr>
        <w:t>political</w:t>
      </w:r>
      <w:r w:rsidRPr="0019082A">
        <w:rPr>
          <w:rFonts w:ascii="Times New Roman" w:hAnsi="Times New Roman" w:cs="Times New Roman"/>
          <w:sz w:val="24"/>
          <w:szCs w:val="24"/>
          <w:lang w:val="en-US"/>
        </w:rPr>
        <w:t xml:space="preserve"> understanding of public law.</w:t>
      </w:r>
      <w:r w:rsidRPr="0019082A">
        <w:rPr>
          <w:rFonts w:ascii="Times New Roman" w:hAnsi="Times New Roman" w:cs="Times New Roman"/>
          <w:sz w:val="24"/>
          <w:szCs w:val="24"/>
          <w:vertAlign w:val="superscript"/>
          <w:lang w:val="en-US"/>
        </w:rPr>
        <w:footnoteReference w:id="15"/>
      </w:r>
      <w:r w:rsidRPr="0019082A">
        <w:rPr>
          <w:rFonts w:ascii="Times New Roman" w:hAnsi="Times New Roman" w:cs="Times New Roman"/>
          <w:sz w:val="24"/>
          <w:szCs w:val="24"/>
          <w:lang w:val="en-US"/>
        </w:rPr>
        <w:t xml:space="preserve"> This methodological choice directs them to theorise public law as a ‘principle-embedded argumentative practice’</w:t>
      </w:r>
      <w:r w:rsidRPr="0019082A">
        <w:rPr>
          <w:rFonts w:ascii="Times New Roman" w:hAnsi="Times New Roman" w:cs="Times New Roman"/>
          <w:sz w:val="24"/>
          <w:szCs w:val="24"/>
          <w:vertAlign w:val="superscript"/>
          <w:lang w:val="en-US"/>
        </w:rPr>
        <w:footnoteReference w:id="16"/>
      </w:r>
      <w:r w:rsidRPr="0019082A">
        <w:rPr>
          <w:rFonts w:ascii="Times New Roman" w:hAnsi="Times New Roman" w:cs="Times New Roman"/>
          <w:sz w:val="24"/>
          <w:szCs w:val="24"/>
          <w:lang w:val="en-US"/>
        </w:rPr>
        <w:t xml:space="preserve">, focusing their attention one-sidedly on courts as forums of judicial reason, rather than on the broader </w:t>
      </w:r>
      <w:r w:rsidRPr="0019082A">
        <w:rPr>
          <w:rFonts w:ascii="Times New Roman" w:hAnsi="Times New Roman" w:cs="Times New Roman"/>
          <w:sz w:val="24"/>
          <w:szCs w:val="24"/>
          <w:lang w:val="en-US"/>
        </w:rPr>
        <w:lastRenderedPageBreak/>
        <w:t>workings of the legal system, which comprises a multitude of different</w:t>
      </w:r>
      <w:r w:rsidR="00FF0533">
        <w:rPr>
          <w:rFonts w:ascii="Times New Roman" w:hAnsi="Times New Roman" w:cs="Times New Roman"/>
          <w:sz w:val="24"/>
          <w:szCs w:val="24"/>
          <w:lang w:val="en-US"/>
        </w:rPr>
        <w:t xml:space="preserve"> legal</w:t>
      </w:r>
      <w:r w:rsidRPr="0019082A">
        <w:rPr>
          <w:rFonts w:ascii="Times New Roman" w:hAnsi="Times New Roman" w:cs="Times New Roman"/>
          <w:sz w:val="24"/>
          <w:szCs w:val="24"/>
          <w:lang w:val="en-US"/>
        </w:rPr>
        <w:t xml:space="preserve"> actors. Loughlin’s criticism here</w:t>
      </w:r>
      <w:r w:rsidR="00516E2E">
        <w:rPr>
          <w:rFonts w:ascii="Times New Roman" w:hAnsi="Times New Roman" w:cs="Times New Roman"/>
          <w:sz w:val="24"/>
          <w:szCs w:val="24"/>
          <w:lang w:val="en-US"/>
        </w:rPr>
        <w:t xml:space="preserve"> appears to resemble, in its structure,</w:t>
      </w:r>
      <w:r w:rsidRPr="0019082A">
        <w:rPr>
          <w:rFonts w:ascii="Times New Roman" w:hAnsi="Times New Roman" w:cs="Times New Roman"/>
          <w:sz w:val="24"/>
          <w:szCs w:val="24"/>
          <w:lang w:val="en-US"/>
        </w:rPr>
        <w:t xml:space="preserve"> the one addressed by political realism against so-called moralistic approaches in political philosophy.</w:t>
      </w:r>
      <w:r w:rsidRPr="0019082A">
        <w:rPr>
          <w:rFonts w:ascii="Times New Roman" w:hAnsi="Times New Roman" w:cs="Times New Roman"/>
          <w:sz w:val="24"/>
          <w:szCs w:val="24"/>
          <w:vertAlign w:val="superscript"/>
          <w:lang w:val="en-US"/>
        </w:rPr>
        <w:footnoteReference w:id="17"/>
      </w:r>
      <w:r w:rsidRPr="0019082A">
        <w:rPr>
          <w:rFonts w:ascii="Times New Roman" w:hAnsi="Times New Roman" w:cs="Times New Roman"/>
          <w:sz w:val="24"/>
          <w:szCs w:val="24"/>
          <w:lang w:val="en-US"/>
        </w:rPr>
        <w:t xml:space="preserve"> In much the same way that political moralists are </w:t>
      </w:r>
      <w:r w:rsidR="00131850" w:rsidRPr="0019082A">
        <w:rPr>
          <w:rFonts w:ascii="Times New Roman" w:hAnsi="Times New Roman" w:cs="Times New Roman"/>
          <w:sz w:val="24"/>
          <w:szCs w:val="24"/>
          <w:lang w:val="en-US"/>
        </w:rPr>
        <w:t>criticized</w:t>
      </w:r>
      <w:r w:rsidRPr="0019082A">
        <w:rPr>
          <w:rFonts w:ascii="Times New Roman" w:hAnsi="Times New Roman" w:cs="Times New Roman"/>
          <w:sz w:val="24"/>
          <w:szCs w:val="24"/>
          <w:lang w:val="en-US"/>
        </w:rPr>
        <w:t xml:space="preserve"> for engaging in a kind of inquiry that misconstrues its main</w:t>
      </w:r>
      <w:r w:rsidR="00033927" w:rsidRPr="0019082A">
        <w:rPr>
          <w:rFonts w:ascii="Times New Roman" w:hAnsi="Times New Roman" w:cs="Times New Roman"/>
          <w:sz w:val="24"/>
          <w:szCs w:val="24"/>
          <w:lang w:val="en-US"/>
        </w:rPr>
        <w:t xml:space="preserve"> subject matter (the political)</w:t>
      </w:r>
      <w:r w:rsidRPr="0019082A">
        <w:rPr>
          <w:rFonts w:ascii="Times New Roman" w:hAnsi="Times New Roman" w:cs="Times New Roman"/>
          <w:sz w:val="24"/>
          <w:szCs w:val="24"/>
          <w:lang w:val="en-US"/>
        </w:rPr>
        <w:t xml:space="preserve"> </w:t>
      </w:r>
      <w:r w:rsidR="00033927" w:rsidRPr="0019082A">
        <w:rPr>
          <w:rFonts w:ascii="Times New Roman" w:hAnsi="Times New Roman" w:cs="Times New Roman"/>
          <w:sz w:val="24"/>
          <w:szCs w:val="24"/>
          <w:lang w:val="en-US"/>
        </w:rPr>
        <w:t>by assuming away</w:t>
      </w:r>
      <w:r w:rsidRPr="0019082A">
        <w:rPr>
          <w:rFonts w:ascii="Times New Roman" w:hAnsi="Times New Roman" w:cs="Times New Roman"/>
          <w:sz w:val="24"/>
          <w:szCs w:val="24"/>
          <w:lang w:val="en-US"/>
        </w:rPr>
        <w:t xml:space="preserve"> disagreement and conflict</w:t>
      </w:r>
      <w:r w:rsidR="00516E2E">
        <w:rPr>
          <w:rFonts w:ascii="Times New Roman" w:hAnsi="Times New Roman" w:cs="Times New Roman"/>
          <w:sz w:val="24"/>
          <w:szCs w:val="24"/>
          <w:lang w:val="en-US"/>
        </w:rPr>
        <w:t xml:space="preserve"> as distinctively political phenomena</w:t>
      </w:r>
      <w:r w:rsidRPr="0019082A">
        <w:rPr>
          <w:rFonts w:ascii="Times New Roman" w:hAnsi="Times New Roman" w:cs="Times New Roman"/>
          <w:sz w:val="24"/>
          <w:szCs w:val="24"/>
          <w:vertAlign w:val="superscript"/>
          <w:lang w:val="en-US"/>
        </w:rPr>
        <w:footnoteReference w:id="18"/>
      </w:r>
      <w:r w:rsidRPr="0019082A">
        <w:rPr>
          <w:rFonts w:ascii="Times New Roman" w:hAnsi="Times New Roman" w:cs="Times New Roman"/>
          <w:sz w:val="24"/>
          <w:szCs w:val="24"/>
          <w:lang w:val="en-US"/>
        </w:rPr>
        <w:t xml:space="preserve">, anti-positivism is accused of </w:t>
      </w:r>
      <w:r w:rsidR="00033927" w:rsidRPr="0019082A">
        <w:rPr>
          <w:rFonts w:ascii="Times New Roman" w:hAnsi="Times New Roman" w:cs="Times New Roman"/>
          <w:sz w:val="24"/>
          <w:szCs w:val="24"/>
          <w:lang w:val="en-US"/>
        </w:rPr>
        <w:t xml:space="preserve">obscuring public law by </w:t>
      </w:r>
      <w:r w:rsidRPr="0019082A">
        <w:rPr>
          <w:rFonts w:ascii="Times New Roman" w:hAnsi="Times New Roman" w:cs="Times New Roman"/>
          <w:sz w:val="24"/>
          <w:szCs w:val="24"/>
          <w:lang w:val="en-US"/>
        </w:rPr>
        <w:t>mistaking what is, at best, a domain of reasoned negotiation of ult</w:t>
      </w:r>
      <w:r w:rsidR="00033927" w:rsidRPr="0019082A">
        <w:rPr>
          <w:rFonts w:ascii="Times New Roman" w:hAnsi="Times New Roman" w:cs="Times New Roman"/>
          <w:sz w:val="24"/>
          <w:szCs w:val="24"/>
          <w:lang w:val="en-US"/>
        </w:rPr>
        <w:t>imately irreconcilable tensions</w:t>
      </w:r>
      <w:r w:rsidRPr="0019082A">
        <w:rPr>
          <w:rFonts w:ascii="Times New Roman" w:hAnsi="Times New Roman" w:cs="Times New Roman"/>
          <w:sz w:val="24"/>
          <w:szCs w:val="24"/>
          <w:lang w:val="en-US"/>
        </w:rPr>
        <w:t xml:space="preserve"> for a domain ultimately explicable by r</w:t>
      </w:r>
      <w:r w:rsidR="00033927" w:rsidRPr="0019082A">
        <w:rPr>
          <w:rFonts w:ascii="Times New Roman" w:hAnsi="Times New Roman" w:cs="Times New Roman"/>
          <w:sz w:val="24"/>
          <w:szCs w:val="24"/>
          <w:lang w:val="en-US"/>
        </w:rPr>
        <w:t>ecourse to deep</w:t>
      </w:r>
      <w:r w:rsidRPr="0019082A">
        <w:rPr>
          <w:rFonts w:ascii="Times New Roman" w:hAnsi="Times New Roman" w:cs="Times New Roman"/>
          <w:sz w:val="24"/>
          <w:szCs w:val="24"/>
          <w:lang w:val="en-US"/>
        </w:rPr>
        <w:t xml:space="preserve"> moral principles.</w:t>
      </w:r>
      <w:r w:rsidRPr="0019082A">
        <w:rPr>
          <w:rFonts w:ascii="Times New Roman" w:hAnsi="Times New Roman" w:cs="Times New Roman"/>
          <w:sz w:val="24"/>
          <w:szCs w:val="24"/>
          <w:vertAlign w:val="superscript"/>
          <w:lang w:val="en-US"/>
        </w:rPr>
        <w:footnoteReference w:id="19"/>
      </w:r>
      <w:r w:rsidRPr="0019082A">
        <w:rPr>
          <w:rFonts w:ascii="Times New Roman" w:hAnsi="Times New Roman" w:cs="Times New Roman"/>
          <w:sz w:val="24"/>
          <w:szCs w:val="24"/>
          <w:lang w:val="en-US"/>
        </w:rPr>
        <w:t xml:space="preserve"> The upshot, according to Loughlin, is that anti-positivism conflates legality and normative legitimacy </w:t>
      </w:r>
      <w:r w:rsidR="00033927" w:rsidRPr="0019082A">
        <w:rPr>
          <w:rFonts w:ascii="Times New Roman" w:hAnsi="Times New Roman" w:cs="Times New Roman"/>
          <w:sz w:val="24"/>
          <w:szCs w:val="24"/>
          <w:lang w:val="en-US"/>
        </w:rPr>
        <w:t>by</w:t>
      </w:r>
      <w:r w:rsidR="00516E2E">
        <w:rPr>
          <w:rFonts w:ascii="Times New Roman" w:hAnsi="Times New Roman" w:cs="Times New Roman"/>
          <w:sz w:val="24"/>
          <w:szCs w:val="24"/>
          <w:lang w:val="en-US"/>
        </w:rPr>
        <w:t xml:space="preserve"> simply</w:t>
      </w:r>
      <w:r w:rsidR="00033927" w:rsidRPr="0019082A">
        <w:rPr>
          <w:rFonts w:ascii="Times New Roman" w:hAnsi="Times New Roman" w:cs="Times New Roman"/>
          <w:sz w:val="24"/>
          <w:szCs w:val="24"/>
          <w:lang w:val="en-US"/>
        </w:rPr>
        <w:t xml:space="preserve"> wishing away</w:t>
      </w:r>
      <w:r w:rsidRPr="0019082A">
        <w:rPr>
          <w:rFonts w:ascii="Times New Roman" w:hAnsi="Times New Roman" w:cs="Times New Roman"/>
          <w:sz w:val="24"/>
          <w:szCs w:val="24"/>
          <w:lang w:val="en-US"/>
        </w:rPr>
        <w:t xml:space="preserve"> the true, inescapably political</w:t>
      </w:r>
      <w:r w:rsidR="00033927" w:rsidRPr="0019082A">
        <w:rPr>
          <w:rFonts w:ascii="Times New Roman" w:hAnsi="Times New Roman" w:cs="Times New Roman"/>
          <w:sz w:val="24"/>
          <w:szCs w:val="24"/>
          <w:lang w:val="en-US"/>
        </w:rPr>
        <w:t>,</w:t>
      </w:r>
      <w:r w:rsidRPr="0019082A">
        <w:rPr>
          <w:rFonts w:ascii="Times New Roman" w:hAnsi="Times New Roman" w:cs="Times New Roman"/>
          <w:sz w:val="24"/>
          <w:szCs w:val="24"/>
          <w:lang w:val="en-US"/>
        </w:rPr>
        <w:t xml:space="preserve"> nature of public law.</w:t>
      </w:r>
    </w:p>
    <w:p w14:paraId="0C2A6F92"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5306FA05" w14:textId="77777777" w:rsidR="00365C41" w:rsidRPr="0019082A" w:rsidRDefault="002E6F5F">
      <w:pPr>
        <w:pStyle w:val="normal0"/>
        <w:spacing w:line="360" w:lineRule="auto"/>
        <w:jc w:val="both"/>
        <w:rPr>
          <w:rFonts w:ascii="Times New Roman" w:hAnsi="Times New Roman" w:cs="Times New Roman"/>
          <w:b/>
          <w:sz w:val="24"/>
          <w:szCs w:val="24"/>
          <w:lang w:val="en-US"/>
        </w:rPr>
      </w:pPr>
      <w:r w:rsidRPr="0019082A">
        <w:rPr>
          <w:rFonts w:ascii="Times New Roman" w:hAnsi="Times New Roman" w:cs="Times New Roman"/>
          <w:b/>
          <w:sz w:val="24"/>
          <w:szCs w:val="24"/>
          <w:lang w:val="en-US"/>
        </w:rPr>
        <w:t>Questioning Loughlin’s Work</w:t>
      </w:r>
    </w:p>
    <w:p w14:paraId="4DB284AE" w14:textId="2354FE5A"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 xml:space="preserve">It goes without saying, of course, that Loughlin’s theses, and not only the ones that have just been sketched above, are eminently controversial. As already mentioned, the editors of </w:t>
      </w:r>
      <w:r w:rsidRPr="0019082A">
        <w:rPr>
          <w:rFonts w:ascii="Times New Roman" w:hAnsi="Times New Roman" w:cs="Times New Roman"/>
          <w:i/>
          <w:sz w:val="24"/>
          <w:szCs w:val="24"/>
          <w:lang w:val="en-US"/>
        </w:rPr>
        <w:t>QF</w:t>
      </w:r>
      <w:r w:rsidRPr="0019082A">
        <w:rPr>
          <w:rFonts w:ascii="Times New Roman" w:hAnsi="Times New Roman" w:cs="Times New Roman"/>
          <w:sz w:val="24"/>
          <w:szCs w:val="24"/>
          <w:lang w:val="en-US"/>
        </w:rPr>
        <w:t xml:space="preserve"> have classified the chapters of the book that critically </w:t>
      </w:r>
      <w:r w:rsidR="00722BB2" w:rsidRPr="0019082A">
        <w:rPr>
          <w:rFonts w:ascii="Times New Roman" w:hAnsi="Times New Roman" w:cs="Times New Roman"/>
          <w:sz w:val="24"/>
          <w:szCs w:val="24"/>
          <w:lang w:val="en-US"/>
        </w:rPr>
        <w:t>scrutinize</w:t>
      </w:r>
      <w:r w:rsidRPr="0019082A">
        <w:rPr>
          <w:rFonts w:ascii="Times New Roman" w:hAnsi="Times New Roman" w:cs="Times New Roman"/>
          <w:sz w:val="24"/>
          <w:szCs w:val="24"/>
          <w:lang w:val="en-US"/>
        </w:rPr>
        <w:t xml:space="preserve"> Loughlin’s work as falling</w:t>
      </w:r>
      <w:r w:rsidR="007D4A10">
        <w:rPr>
          <w:rFonts w:ascii="Times New Roman" w:hAnsi="Times New Roman" w:cs="Times New Roman"/>
          <w:sz w:val="24"/>
          <w:szCs w:val="24"/>
          <w:lang w:val="en-US"/>
        </w:rPr>
        <w:t xml:space="preserve"> under</w:t>
      </w:r>
      <w:r w:rsidRPr="0019082A">
        <w:rPr>
          <w:rFonts w:ascii="Times New Roman" w:hAnsi="Times New Roman" w:cs="Times New Roman"/>
          <w:sz w:val="24"/>
          <w:szCs w:val="24"/>
          <w:lang w:val="en-US"/>
        </w:rPr>
        <w:t xml:space="preserve"> roughly four different strands. The first is methodological. </w:t>
      </w:r>
      <w:r w:rsidR="00D224F8" w:rsidRPr="0019082A">
        <w:rPr>
          <w:rFonts w:ascii="Times New Roman" w:hAnsi="Times New Roman" w:cs="Times New Roman"/>
          <w:sz w:val="24"/>
          <w:szCs w:val="24"/>
          <w:lang w:val="en-US"/>
        </w:rPr>
        <w:t>It</w:t>
      </w:r>
      <w:r w:rsidRPr="0019082A">
        <w:rPr>
          <w:rFonts w:ascii="Times New Roman" w:hAnsi="Times New Roman" w:cs="Times New Roman"/>
          <w:sz w:val="24"/>
          <w:szCs w:val="24"/>
          <w:lang w:val="en-US"/>
        </w:rPr>
        <w:t xml:space="preserve"> is forcefully articulated in the chapters by Andrew Halpin, Panu Minkkinen and Jacco Bomhoff. Halpin’s chapter represents a radical challenge to Loughlin</w:t>
      </w:r>
      <w:r w:rsidR="007A5676" w:rsidRPr="0019082A">
        <w:rPr>
          <w:rFonts w:ascii="Times New Roman" w:hAnsi="Times New Roman" w:cs="Times New Roman"/>
          <w:sz w:val="24"/>
          <w:szCs w:val="24"/>
          <w:lang w:val="en-US"/>
        </w:rPr>
        <w:t>:</w:t>
      </w:r>
      <w:r w:rsidRPr="0019082A">
        <w:rPr>
          <w:rFonts w:ascii="Times New Roman" w:hAnsi="Times New Roman" w:cs="Times New Roman"/>
          <w:sz w:val="24"/>
          <w:szCs w:val="24"/>
          <w:lang w:val="en-US"/>
        </w:rPr>
        <w:t xml:space="preserve"> </w:t>
      </w:r>
      <w:r w:rsidR="007A5676" w:rsidRPr="0019082A">
        <w:rPr>
          <w:rFonts w:ascii="Times New Roman" w:hAnsi="Times New Roman" w:cs="Times New Roman"/>
          <w:sz w:val="24"/>
          <w:szCs w:val="24"/>
          <w:lang w:val="en-US"/>
        </w:rPr>
        <w:t>it</w:t>
      </w:r>
      <w:r w:rsidR="008615B3" w:rsidRPr="0019082A">
        <w:rPr>
          <w:rFonts w:ascii="Times New Roman" w:hAnsi="Times New Roman" w:cs="Times New Roman"/>
          <w:sz w:val="24"/>
          <w:szCs w:val="24"/>
          <w:lang w:val="en-US"/>
        </w:rPr>
        <w:t xml:space="preserve"> </w:t>
      </w:r>
      <w:r w:rsidR="007A5676" w:rsidRPr="0019082A">
        <w:rPr>
          <w:rFonts w:ascii="Times New Roman" w:hAnsi="Times New Roman" w:cs="Times New Roman"/>
          <w:sz w:val="24"/>
          <w:szCs w:val="24"/>
          <w:lang w:val="en-US"/>
        </w:rPr>
        <w:t>questions</w:t>
      </w:r>
      <w:r w:rsidRPr="0019082A">
        <w:rPr>
          <w:rFonts w:ascii="Times New Roman" w:hAnsi="Times New Roman" w:cs="Times New Roman"/>
          <w:sz w:val="24"/>
          <w:szCs w:val="24"/>
          <w:lang w:val="en-US"/>
        </w:rPr>
        <w:t xml:space="preserve"> the very idea of the autonomy of public law and the corresponding notion of a single concept of the state.</w:t>
      </w:r>
      <w:r w:rsidRPr="0019082A">
        <w:rPr>
          <w:rFonts w:ascii="Times New Roman" w:hAnsi="Times New Roman" w:cs="Times New Roman"/>
          <w:sz w:val="24"/>
          <w:szCs w:val="24"/>
          <w:vertAlign w:val="superscript"/>
          <w:lang w:val="en-US"/>
        </w:rPr>
        <w:footnoteReference w:id="20"/>
      </w:r>
      <w:r w:rsidRPr="0019082A">
        <w:rPr>
          <w:rFonts w:ascii="Times New Roman" w:hAnsi="Times New Roman" w:cs="Times New Roman"/>
          <w:sz w:val="24"/>
          <w:szCs w:val="24"/>
          <w:lang w:val="en-US"/>
        </w:rPr>
        <w:t xml:space="preserve"> Minkinnen’s </w:t>
      </w:r>
      <w:r w:rsidR="000775C7" w:rsidRPr="0019082A">
        <w:rPr>
          <w:rFonts w:ascii="Times New Roman" w:hAnsi="Times New Roman" w:cs="Times New Roman"/>
          <w:sz w:val="24"/>
          <w:szCs w:val="24"/>
          <w:lang w:val="en-US"/>
        </w:rPr>
        <w:t>contribution</w:t>
      </w:r>
      <w:r w:rsidRPr="0019082A">
        <w:rPr>
          <w:rFonts w:ascii="Times New Roman" w:hAnsi="Times New Roman" w:cs="Times New Roman"/>
          <w:sz w:val="24"/>
          <w:szCs w:val="24"/>
          <w:lang w:val="en-US"/>
        </w:rPr>
        <w:t xml:space="preserve">, while less </w:t>
      </w:r>
      <w:r w:rsidR="00722BB2" w:rsidRPr="0019082A">
        <w:rPr>
          <w:rFonts w:ascii="Times New Roman" w:hAnsi="Times New Roman" w:cs="Times New Roman"/>
          <w:sz w:val="24"/>
          <w:szCs w:val="24"/>
          <w:lang w:val="en-US"/>
        </w:rPr>
        <w:t>skeptical</w:t>
      </w:r>
      <w:r w:rsidRPr="0019082A">
        <w:rPr>
          <w:rFonts w:ascii="Times New Roman" w:hAnsi="Times New Roman" w:cs="Times New Roman"/>
          <w:sz w:val="24"/>
          <w:szCs w:val="24"/>
          <w:lang w:val="en-US"/>
        </w:rPr>
        <w:t xml:space="preserve"> of political jurisprudence</w:t>
      </w:r>
      <w:r w:rsidR="003D49AE">
        <w:rPr>
          <w:rFonts w:ascii="Times New Roman" w:hAnsi="Times New Roman" w:cs="Times New Roman"/>
          <w:sz w:val="24"/>
          <w:szCs w:val="24"/>
          <w:lang w:val="en-US"/>
        </w:rPr>
        <w:t xml:space="preserve"> and radical in its implications</w:t>
      </w:r>
      <w:r w:rsidRPr="0019082A">
        <w:rPr>
          <w:rFonts w:ascii="Times New Roman" w:hAnsi="Times New Roman" w:cs="Times New Roman"/>
          <w:sz w:val="24"/>
          <w:szCs w:val="24"/>
          <w:lang w:val="en-US"/>
        </w:rPr>
        <w:t xml:space="preserve">, still </w:t>
      </w:r>
      <w:r w:rsidR="00722BB2" w:rsidRPr="0019082A">
        <w:rPr>
          <w:rFonts w:ascii="Times New Roman" w:hAnsi="Times New Roman" w:cs="Times New Roman"/>
          <w:sz w:val="24"/>
          <w:szCs w:val="24"/>
          <w:lang w:val="en-US"/>
        </w:rPr>
        <w:t>criticizes</w:t>
      </w:r>
      <w:r w:rsidRPr="0019082A">
        <w:rPr>
          <w:rFonts w:ascii="Times New Roman" w:hAnsi="Times New Roman" w:cs="Times New Roman"/>
          <w:sz w:val="24"/>
          <w:szCs w:val="24"/>
          <w:lang w:val="en-US"/>
        </w:rPr>
        <w:t xml:space="preserve"> Loughlin </w:t>
      </w:r>
      <w:r w:rsidR="000775C7" w:rsidRPr="0019082A">
        <w:rPr>
          <w:rFonts w:ascii="Times New Roman" w:hAnsi="Times New Roman" w:cs="Times New Roman"/>
          <w:sz w:val="24"/>
          <w:szCs w:val="24"/>
          <w:lang w:val="en-US"/>
        </w:rPr>
        <w:t>for</w:t>
      </w:r>
      <w:r w:rsidR="00BD497B" w:rsidRPr="0019082A">
        <w:rPr>
          <w:rFonts w:ascii="Times New Roman" w:hAnsi="Times New Roman" w:cs="Times New Roman"/>
          <w:sz w:val="24"/>
          <w:szCs w:val="24"/>
          <w:lang w:val="en-US"/>
        </w:rPr>
        <w:t xml:space="preserve"> </w:t>
      </w:r>
      <w:r w:rsidR="00D26396">
        <w:rPr>
          <w:rFonts w:ascii="Times New Roman" w:hAnsi="Times New Roman" w:cs="Times New Roman"/>
          <w:sz w:val="24"/>
          <w:szCs w:val="24"/>
          <w:lang w:val="en-US"/>
        </w:rPr>
        <w:t>his</w:t>
      </w:r>
      <w:r w:rsidR="00BD497B" w:rsidRPr="0019082A">
        <w:rPr>
          <w:rFonts w:ascii="Times New Roman" w:hAnsi="Times New Roman" w:cs="Times New Roman"/>
          <w:sz w:val="24"/>
          <w:szCs w:val="24"/>
          <w:lang w:val="en-US"/>
        </w:rPr>
        <w:t xml:space="preserve"> ambition </w:t>
      </w:r>
      <w:r w:rsidR="00D26396">
        <w:rPr>
          <w:rFonts w:ascii="Times New Roman" w:hAnsi="Times New Roman" w:cs="Times New Roman"/>
          <w:sz w:val="24"/>
          <w:szCs w:val="24"/>
          <w:lang w:val="en-US"/>
        </w:rPr>
        <w:t>to offer</w:t>
      </w:r>
      <w:r w:rsidRPr="0019082A">
        <w:rPr>
          <w:rFonts w:ascii="Times New Roman" w:hAnsi="Times New Roman" w:cs="Times New Roman"/>
          <w:sz w:val="24"/>
          <w:szCs w:val="24"/>
          <w:lang w:val="en-US"/>
        </w:rPr>
        <w:t xml:space="preserve"> a ‘science of political right’. Minkkinen argues that the </w:t>
      </w:r>
      <w:r w:rsidR="00722BB2" w:rsidRPr="0019082A">
        <w:rPr>
          <w:rFonts w:ascii="Times New Roman" w:hAnsi="Times New Roman" w:cs="Times New Roman"/>
          <w:sz w:val="24"/>
          <w:szCs w:val="24"/>
          <w:lang w:val="en-US"/>
        </w:rPr>
        <w:t>endeavor</w:t>
      </w:r>
      <w:r w:rsidRPr="0019082A">
        <w:rPr>
          <w:rFonts w:ascii="Times New Roman" w:hAnsi="Times New Roman" w:cs="Times New Roman"/>
          <w:sz w:val="24"/>
          <w:szCs w:val="24"/>
          <w:lang w:val="en-US"/>
        </w:rPr>
        <w:t xml:space="preserve"> to construct a juridical ‘science’ of the political is in fact an ideological </w:t>
      </w:r>
      <w:r w:rsidR="00722BB2" w:rsidRPr="0019082A">
        <w:rPr>
          <w:rFonts w:ascii="Times New Roman" w:hAnsi="Times New Roman" w:cs="Times New Roman"/>
          <w:sz w:val="24"/>
          <w:szCs w:val="24"/>
          <w:lang w:val="en-US"/>
        </w:rPr>
        <w:t>totalizing</w:t>
      </w:r>
      <w:r w:rsidRPr="0019082A">
        <w:rPr>
          <w:rFonts w:ascii="Times New Roman" w:hAnsi="Times New Roman" w:cs="Times New Roman"/>
          <w:sz w:val="24"/>
          <w:szCs w:val="24"/>
          <w:lang w:val="en-US"/>
        </w:rPr>
        <w:t xml:space="preserve"> project at odds with the distinctively democrat</w:t>
      </w:r>
      <w:r w:rsidR="00BD497B" w:rsidRPr="0019082A">
        <w:rPr>
          <w:rFonts w:ascii="Times New Roman" w:hAnsi="Times New Roman" w:cs="Times New Roman"/>
          <w:sz w:val="24"/>
          <w:szCs w:val="24"/>
          <w:lang w:val="en-US"/>
        </w:rPr>
        <w:t>ic dimension of modern politics</w:t>
      </w:r>
      <w:r w:rsidRPr="0019082A">
        <w:rPr>
          <w:rFonts w:ascii="Times New Roman" w:hAnsi="Times New Roman" w:cs="Times New Roman"/>
          <w:sz w:val="24"/>
          <w:szCs w:val="24"/>
          <w:lang w:val="en-US"/>
        </w:rPr>
        <w:t>.</w:t>
      </w:r>
      <w:r w:rsidRPr="0019082A">
        <w:rPr>
          <w:rFonts w:ascii="Times New Roman" w:hAnsi="Times New Roman" w:cs="Times New Roman"/>
          <w:sz w:val="24"/>
          <w:szCs w:val="24"/>
          <w:vertAlign w:val="superscript"/>
          <w:lang w:val="en-US"/>
        </w:rPr>
        <w:footnoteReference w:id="21"/>
      </w:r>
      <w:r w:rsidRPr="0019082A">
        <w:rPr>
          <w:rFonts w:ascii="Times New Roman" w:hAnsi="Times New Roman" w:cs="Times New Roman"/>
          <w:sz w:val="24"/>
          <w:szCs w:val="24"/>
          <w:lang w:val="en-US"/>
        </w:rPr>
        <w:t xml:space="preserve"> For his part, Bomhoff takes issue with Loughlin’s version of the </w:t>
      </w:r>
      <w:r w:rsidR="00BE09E1" w:rsidRPr="0019082A">
        <w:rPr>
          <w:rFonts w:ascii="Times New Roman" w:hAnsi="Times New Roman" w:cs="Times New Roman"/>
          <w:sz w:val="24"/>
          <w:szCs w:val="24"/>
          <w:lang w:val="en-US"/>
        </w:rPr>
        <w:t>secularization</w:t>
      </w:r>
      <w:r w:rsidRPr="0019082A">
        <w:rPr>
          <w:rFonts w:ascii="Times New Roman" w:hAnsi="Times New Roman" w:cs="Times New Roman"/>
          <w:sz w:val="24"/>
          <w:szCs w:val="24"/>
          <w:lang w:val="en-US"/>
        </w:rPr>
        <w:t xml:space="preserve"> </w:t>
      </w:r>
      <w:r w:rsidR="00361FF8" w:rsidRPr="0019082A">
        <w:rPr>
          <w:rFonts w:ascii="Times New Roman" w:hAnsi="Times New Roman" w:cs="Times New Roman"/>
          <w:sz w:val="24"/>
          <w:szCs w:val="24"/>
          <w:lang w:val="en-US"/>
        </w:rPr>
        <w:t>thesis</w:t>
      </w:r>
      <w:r w:rsidR="00870257">
        <w:rPr>
          <w:rFonts w:ascii="Times New Roman" w:hAnsi="Times New Roman" w:cs="Times New Roman"/>
          <w:sz w:val="24"/>
          <w:szCs w:val="24"/>
          <w:lang w:val="en-US"/>
        </w:rPr>
        <w:t>. He contends</w:t>
      </w:r>
      <w:r w:rsidRPr="0019082A">
        <w:rPr>
          <w:rFonts w:ascii="Times New Roman" w:hAnsi="Times New Roman" w:cs="Times New Roman"/>
          <w:sz w:val="24"/>
          <w:szCs w:val="24"/>
          <w:lang w:val="en-US"/>
        </w:rPr>
        <w:t xml:space="preserve"> both that political jurisprudence has in fact a</w:t>
      </w:r>
      <w:r w:rsidR="00A05AF7">
        <w:rPr>
          <w:rFonts w:ascii="Times New Roman" w:hAnsi="Times New Roman" w:cs="Times New Roman"/>
          <w:sz w:val="24"/>
          <w:szCs w:val="24"/>
          <w:lang w:val="en-US"/>
        </w:rPr>
        <w:t xml:space="preserve"> lesser-known and perhaps even</w:t>
      </w:r>
      <w:r w:rsidRPr="0019082A">
        <w:rPr>
          <w:rFonts w:ascii="Times New Roman" w:hAnsi="Times New Roman" w:cs="Times New Roman"/>
          <w:sz w:val="24"/>
          <w:szCs w:val="24"/>
          <w:lang w:val="en-US"/>
        </w:rPr>
        <w:t xml:space="preserve"> repressed theological side and that the separation of politics from </w:t>
      </w:r>
      <w:r w:rsidR="005262F9">
        <w:rPr>
          <w:rFonts w:ascii="Times New Roman" w:hAnsi="Times New Roman" w:cs="Times New Roman"/>
          <w:sz w:val="24"/>
          <w:szCs w:val="24"/>
          <w:lang w:val="en-US"/>
        </w:rPr>
        <w:t>religion</w:t>
      </w:r>
      <w:r w:rsidR="00870257">
        <w:rPr>
          <w:rFonts w:ascii="Times New Roman" w:hAnsi="Times New Roman" w:cs="Times New Roman"/>
          <w:sz w:val="24"/>
          <w:szCs w:val="24"/>
          <w:lang w:val="en-US"/>
        </w:rPr>
        <w:t xml:space="preserve"> and, concomitantly, of political discourse from theology, are</w:t>
      </w:r>
      <w:r w:rsidRPr="0019082A">
        <w:rPr>
          <w:rFonts w:ascii="Times New Roman" w:hAnsi="Times New Roman" w:cs="Times New Roman"/>
          <w:sz w:val="24"/>
          <w:szCs w:val="24"/>
          <w:lang w:val="en-US"/>
        </w:rPr>
        <w:t xml:space="preserve"> much more complex than ordinarily assumed.</w:t>
      </w:r>
      <w:r w:rsidRPr="0019082A">
        <w:rPr>
          <w:rFonts w:ascii="Times New Roman" w:hAnsi="Times New Roman" w:cs="Times New Roman"/>
          <w:sz w:val="24"/>
          <w:szCs w:val="24"/>
          <w:vertAlign w:val="superscript"/>
          <w:lang w:val="en-US"/>
        </w:rPr>
        <w:footnoteReference w:id="22"/>
      </w:r>
    </w:p>
    <w:p w14:paraId="5498F282"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0A9C4344" w14:textId="27613A2A"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 xml:space="preserve">The second type of critique of </w:t>
      </w:r>
      <w:r w:rsidRPr="0019082A">
        <w:rPr>
          <w:rFonts w:ascii="Times New Roman" w:hAnsi="Times New Roman" w:cs="Times New Roman"/>
          <w:i/>
          <w:sz w:val="24"/>
          <w:szCs w:val="24"/>
          <w:lang w:val="en-US"/>
        </w:rPr>
        <w:t>FPL</w:t>
      </w:r>
      <w:r w:rsidRPr="0019082A">
        <w:rPr>
          <w:rFonts w:ascii="Times New Roman" w:hAnsi="Times New Roman" w:cs="Times New Roman"/>
          <w:sz w:val="24"/>
          <w:szCs w:val="24"/>
          <w:lang w:val="en-US"/>
        </w:rPr>
        <w:t xml:space="preserve"> is normative. It starts with a chapter by Hauke Brunkhorst, which questions the centrality of the ‘top-down’ concept of state sovereignty, </w:t>
      </w:r>
      <w:r w:rsidR="007744A2" w:rsidRPr="0019082A">
        <w:rPr>
          <w:rFonts w:ascii="Times New Roman" w:hAnsi="Times New Roman" w:cs="Times New Roman"/>
          <w:sz w:val="24"/>
          <w:szCs w:val="24"/>
          <w:lang w:val="en-US"/>
        </w:rPr>
        <w:t>heavily relied upon by Loughlin</w:t>
      </w:r>
      <w:r w:rsidRPr="0019082A">
        <w:rPr>
          <w:rFonts w:ascii="Times New Roman" w:hAnsi="Times New Roman" w:cs="Times New Roman"/>
          <w:sz w:val="24"/>
          <w:szCs w:val="24"/>
          <w:lang w:val="en-US"/>
        </w:rPr>
        <w:t>. Brunkhorst proposes to explore the possibility that a ‘bottom-up’ approach</w:t>
      </w:r>
      <w:r w:rsidR="0000186B" w:rsidRPr="0019082A">
        <w:rPr>
          <w:rFonts w:ascii="Times New Roman" w:hAnsi="Times New Roman" w:cs="Times New Roman"/>
          <w:sz w:val="24"/>
          <w:szCs w:val="24"/>
          <w:lang w:val="en-US"/>
        </w:rPr>
        <w:t>, grounded i</w:t>
      </w:r>
      <w:r w:rsidRPr="0019082A">
        <w:rPr>
          <w:rFonts w:ascii="Times New Roman" w:hAnsi="Times New Roman" w:cs="Times New Roman"/>
          <w:sz w:val="24"/>
          <w:szCs w:val="24"/>
          <w:lang w:val="en-US"/>
        </w:rPr>
        <w:t>n the notion of communicative power springing from reciprocal relations of solidarity among citizens, provides a</w:t>
      </w:r>
      <w:r w:rsidR="007D36F0" w:rsidRPr="0019082A">
        <w:rPr>
          <w:rFonts w:ascii="Times New Roman" w:hAnsi="Times New Roman" w:cs="Times New Roman"/>
          <w:sz w:val="24"/>
          <w:szCs w:val="24"/>
          <w:lang w:val="en-US"/>
        </w:rPr>
        <w:t xml:space="preserve"> better</w:t>
      </w:r>
      <w:r w:rsidRPr="0019082A">
        <w:rPr>
          <w:rFonts w:ascii="Times New Roman" w:hAnsi="Times New Roman" w:cs="Times New Roman"/>
          <w:sz w:val="24"/>
          <w:szCs w:val="24"/>
          <w:lang w:val="en-US"/>
        </w:rPr>
        <w:t xml:space="preserve"> starting point to</w:t>
      </w:r>
      <w:r w:rsidR="007D36F0" w:rsidRPr="0019082A">
        <w:rPr>
          <w:rFonts w:ascii="Times New Roman" w:hAnsi="Times New Roman" w:cs="Times New Roman"/>
          <w:sz w:val="24"/>
          <w:szCs w:val="24"/>
          <w:lang w:val="en-US"/>
        </w:rPr>
        <w:t xml:space="preserve"> explore public law’s intricacies</w:t>
      </w:r>
      <w:r w:rsidRPr="0019082A">
        <w:rPr>
          <w:rFonts w:ascii="Times New Roman" w:hAnsi="Times New Roman" w:cs="Times New Roman"/>
          <w:sz w:val="24"/>
          <w:szCs w:val="24"/>
          <w:lang w:val="en-US"/>
        </w:rPr>
        <w:t>.</w:t>
      </w:r>
      <w:r w:rsidRPr="0019082A">
        <w:rPr>
          <w:rFonts w:ascii="Times New Roman" w:hAnsi="Times New Roman" w:cs="Times New Roman"/>
          <w:sz w:val="24"/>
          <w:szCs w:val="24"/>
          <w:vertAlign w:val="superscript"/>
          <w:lang w:val="en-US"/>
        </w:rPr>
        <w:footnoteReference w:id="23"/>
      </w:r>
      <w:r w:rsidRPr="0019082A">
        <w:rPr>
          <w:rFonts w:ascii="Times New Roman" w:hAnsi="Times New Roman" w:cs="Times New Roman"/>
          <w:sz w:val="24"/>
          <w:szCs w:val="24"/>
          <w:lang w:val="en-US"/>
        </w:rPr>
        <w:t xml:space="preserve"> In the following chapter, James Penner brings out connections between Loughlin’s concepts of </w:t>
      </w:r>
      <w:r w:rsidRPr="0019082A">
        <w:rPr>
          <w:rFonts w:ascii="Times New Roman" w:hAnsi="Times New Roman" w:cs="Times New Roman"/>
          <w:i/>
          <w:sz w:val="24"/>
          <w:szCs w:val="24"/>
          <w:lang w:val="en-US"/>
        </w:rPr>
        <w:t xml:space="preserve">potestas </w:t>
      </w:r>
      <w:r w:rsidRPr="0019082A">
        <w:rPr>
          <w:rFonts w:ascii="Times New Roman" w:hAnsi="Times New Roman" w:cs="Times New Roman"/>
          <w:sz w:val="24"/>
          <w:szCs w:val="24"/>
          <w:lang w:val="en-US"/>
        </w:rPr>
        <w:t xml:space="preserve">and </w:t>
      </w:r>
      <w:r w:rsidRPr="0019082A">
        <w:rPr>
          <w:rFonts w:ascii="Times New Roman" w:hAnsi="Times New Roman" w:cs="Times New Roman"/>
          <w:i/>
          <w:sz w:val="24"/>
          <w:szCs w:val="24"/>
          <w:lang w:val="en-US"/>
        </w:rPr>
        <w:t xml:space="preserve">potentia </w:t>
      </w:r>
      <w:r w:rsidRPr="0019082A">
        <w:rPr>
          <w:rFonts w:ascii="Times New Roman" w:hAnsi="Times New Roman" w:cs="Times New Roman"/>
          <w:sz w:val="24"/>
          <w:szCs w:val="24"/>
          <w:lang w:val="en-US"/>
        </w:rPr>
        <w:t xml:space="preserve">and various positions in contemporary analytical political </w:t>
      </w:r>
      <w:r w:rsidR="000F0A96" w:rsidRPr="0019082A">
        <w:rPr>
          <w:rFonts w:ascii="Times New Roman" w:hAnsi="Times New Roman" w:cs="Times New Roman"/>
          <w:sz w:val="24"/>
          <w:szCs w:val="24"/>
          <w:lang w:val="en-US"/>
        </w:rPr>
        <w:t>philosophy</w:t>
      </w:r>
      <w:r w:rsidRPr="0019082A">
        <w:rPr>
          <w:rFonts w:ascii="Times New Roman" w:hAnsi="Times New Roman" w:cs="Times New Roman"/>
          <w:sz w:val="24"/>
          <w:szCs w:val="24"/>
          <w:lang w:val="en-US"/>
        </w:rPr>
        <w:t xml:space="preserve"> to suggest that the </w:t>
      </w:r>
      <w:r w:rsidR="000F0A96" w:rsidRPr="0019082A">
        <w:rPr>
          <w:rFonts w:ascii="Times New Roman" w:hAnsi="Times New Roman" w:cs="Times New Roman"/>
          <w:sz w:val="24"/>
          <w:szCs w:val="24"/>
          <w:lang w:val="en-US"/>
        </w:rPr>
        <w:t>former</w:t>
      </w:r>
      <w:r w:rsidRPr="0019082A">
        <w:rPr>
          <w:rFonts w:ascii="Times New Roman" w:hAnsi="Times New Roman" w:cs="Times New Roman"/>
          <w:sz w:val="24"/>
          <w:szCs w:val="24"/>
          <w:lang w:val="en-US"/>
        </w:rPr>
        <w:t xml:space="preserve"> could be elucidated by reference to the</w:t>
      </w:r>
      <w:r w:rsidR="00AC580F">
        <w:rPr>
          <w:rFonts w:ascii="Times New Roman" w:hAnsi="Times New Roman" w:cs="Times New Roman"/>
          <w:sz w:val="24"/>
          <w:szCs w:val="24"/>
          <w:lang w:val="en-US"/>
        </w:rPr>
        <w:t xml:space="preserve"> standardly made</w:t>
      </w:r>
      <w:r w:rsidRPr="0019082A">
        <w:rPr>
          <w:rFonts w:ascii="Times New Roman" w:hAnsi="Times New Roman" w:cs="Times New Roman"/>
          <w:sz w:val="24"/>
          <w:szCs w:val="24"/>
          <w:lang w:val="en-US"/>
        </w:rPr>
        <w:t xml:space="preserve"> distinction between the right and the good.</w:t>
      </w:r>
      <w:r w:rsidR="005210C1" w:rsidRPr="0019082A">
        <w:rPr>
          <w:rFonts w:ascii="Times New Roman" w:hAnsi="Times New Roman" w:cs="Times New Roman"/>
          <w:sz w:val="24"/>
          <w:szCs w:val="24"/>
          <w:lang w:val="en-US"/>
        </w:rPr>
        <w:t xml:space="preserve"> In this </w:t>
      </w:r>
      <w:r w:rsidR="0085247F">
        <w:rPr>
          <w:rFonts w:ascii="Times New Roman" w:hAnsi="Times New Roman" w:cs="Times New Roman"/>
          <w:sz w:val="24"/>
          <w:szCs w:val="24"/>
          <w:lang w:val="en-US"/>
        </w:rPr>
        <w:t>regard</w:t>
      </w:r>
      <w:r w:rsidR="00AC580F">
        <w:rPr>
          <w:rFonts w:ascii="Times New Roman" w:hAnsi="Times New Roman" w:cs="Times New Roman"/>
          <w:sz w:val="24"/>
          <w:szCs w:val="24"/>
          <w:lang w:val="en-US"/>
        </w:rPr>
        <w:t>,</w:t>
      </w:r>
      <w:r w:rsidRPr="0019082A">
        <w:rPr>
          <w:rFonts w:ascii="Times New Roman" w:hAnsi="Times New Roman" w:cs="Times New Roman"/>
          <w:sz w:val="24"/>
          <w:szCs w:val="24"/>
          <w:lang w:val="en-US"/>
        </w:rPr>
        <w:t xml:space="preserve"> Penner suggests, </w:t>
      </w:r>
      <w:r w:rsidRPr="0019082A">
        <w:rPr>
          <w:rFonts w:ascii="Times New Roman" w:hAnsi="Times New Roman" w:cs="Times New Roman"/>
          <w:i/>
          <w:sz w:val="24"/>
          <w:szCs w:val="24"/>
          <w:lang w:val="en-US"/>
        </w:rPr>
        <w:t xml:space="preserve">contra </w:t>
      </w:r>
      <w:r w:rsidRPr="0019082A">
        <w:rPr>
          <w:rFonts w:ascii="Times New Roman" w:hAnsi="Times New Roman" w:cs="Times New Roman"/>
          <w:sz w:val="24"/>
          <w:szCs w:val="24"/>
          <w:lang w:val="en-US"/>
        </w:rPr>
        <w:t>Loughlin, that the distinction does not owe its existence to human nature.</w:t>
      </w:r>
      <w:r w:rsidRPr="0019082A">
        <w:rPr>
          <w:rFonts w:ascii="Times New Roman" w:hAnsi="Times New Roman" w:cs="Times New Roman"/>
          <w:sz w:val="24"/>
          <w:szCs w:val="24"/>
          <w:vertAlign w:val="superscript"/>
          <w:lang w:val="en-US"/>
        </w:rPr>
        <w:footnoteReference w:id="24"/>
      </w:r>
      <w:r w:rsidRPr="0019082A">
        <w:rPr>
          <w:rFonts w:ascii="Times New Roman" w:hAnsi="Times New Roman" w:cs="Times New Roman"/>
          <w:sz w:val="24"/>
          <w:szCs w:val="24"/>
          <w:lang w:val="en-US"/>
        </w:rPr>
        <w:t xml:space="preserve"> Anna Yeatman’s </w:t>
      </w:r>
      <w:r w:rsidR="004B45DE" w:rsidRPr="0019082A">
        <w:rPr>
          <w:rFonts w:ascii="Times New Roman" w:hAnsi="Times New Roman" w:cs="Times New Roman"/>
          <w:sz w:val="24"/>
          <w:szCs w:val="24"/>
          <w:lang w:val="en-US"/>
        </w:rPr>
        <w:t>proposes a different interpretation</w:t>
      </w:r>
      <w:r w:rsidRPr="0019082A">
        <w:rPr>
          <w:rFonts w:ascii="Times New Roman" w:hAnsi="Times New Roman" w:cs="Times New Roman"/>
          <w:sz w:val="24"/>
          <w:szCs w:val="24"/>
          <w:lang w:val="en-US"/>
        </w:rPr>
        <w:t xml:space="preserve"> of Loughlin’s project. According to Yeatman, Loughlin seems to presuppose a liberal-conservative</w:t>
      </w:r>
      <w:r w:rsidR="0089226A" w:rsidRPr="0019082A">
        <w:rPr>
          <w:rFonts w:ascii="Times New Roman" w:hAnsi="Times New Roman" w:cs="Times New Roman"/>
          <w:sz w:val="24"/>
          <w:szCs w:val="24"/>
          <w:lang w:val="en-US"/>
        </w:rPr>
        <w:t xml:space="preserve"> and anti-statist</w:t>
      </w:r>
      <w:r w:rsidRPr="0019082A">
        <w:rPr>
          <w:rFonts w:ascii="Times New Roman" w:hAnsi="Times New Roman" w:cs="Times New Roman"/>
          <w:sz w:val="24"/>
          <w:szCs w:val="24"/>
          <w:lang w:val="en-US"/>
        </w:rPr>
        <w:t xml:space="preserve"> understanding of public </w:t>
      </w:r>
      <w:r w:rsidR="0089226A" w:rsidRPr="0019082A">
        <w:rPr>
          <w:rFonts w:ascii="Times New Roman" w:hAnsi="Times New Roman" w:cs="Times New Roman"/>
          <w:sz w:val="24"/>
          <w:szCs w:val="24"/>
          <w:lang w:val="en-US"/>
        </w:rPr>
        <w:t>law</w:t>
      </w:r>
      <w:r w:rsidRPr="0019082A">
        <w:rPr>
          <w:rFonts w:ascii="Times New Roman" w:hAnsi="Times New Roman" w:cs="Times New Roman"/>
          <w:sz w:val="24"/>
          <w:szCs w:val="24"/>
          <w:lang w:val="en-US"/>
        </w:rPr>
        <w:t xml:space="preserve">. Yeatman </w:t>
      </w:r>
      <w:r w:rsidR="00C5540F">
        <w:rPr>
          <w:rFonts w:ascii="Times New Roman" w:hAnsi="Times New Roman" w:cs="Times New Roman"/>
          <w:sz w:val="24"/>
          <w:szCs w:val="24"/>
          <w:lang w:val="en-US"/>
        </w:rPr>
        <w:t xml:space="preserve">argues </w:t>
      </w:r>
      <w:r w:rsidRPr="0019082A">
        <w:rPr>
          <w:rFonts w:ascii="Times New Roman" w:hAnsi="Times New Roman" w:cs="Times New Roman"/>
          <w:sz w:val="24"/>
          <w:szCs w:val="24"/>
          <w:lang w:val="en-US"/>
        </w:rPr>
        <w:t>that this</w:t>
      </w:r>
      <w:r w:rsidR="003C5FF7">
        <w:rPr>
          <w:rFonts w:ascii="Times New Roman" w:hAnsi="Times New Roman" w:cs="Times New Roman"/>
          <w:sz w:val="24"/>
          <w:szCs w:val="24"/>
          <w:lang w:val="en-US"/>
        </w:rPr>
        <w:t xml:space="preserve"> it is such an</w:t>
      </w:r>
      <w:r w:rsidRPr="0019082A">
        <w:rPr>
          <w:rFonts w:ascii="Times New Roman" w:hAnsi="Times New Roman" w:cs="Times New Roman"/>
          <w:sz w:val="24"/>
          <w:szCs w:val="24"/>
          <w:lang w:val="en-US"/>
        </w:rPr>
        <w:t xml:space="preserve"> interpretation</w:t>
      </w:r>
      <w:r w:rsidR="00C5540F">
        <w:rPr>
          <w:rFonts w:ascii="Times New Roman" w:hAnsi="Times New Roman" w:cs="Times New Roman"/>
          <w:sz w:val="24"/>
          <w:szCs w:val="24"/>
          <w:lang w:val="en-US"/>
        </w:rPr>
        <w:t xml:space="preserve"> that</w:t>
      </w:r>
      <w:r w:rsidRPr="0019082A">
        <w:rPr>
          <w:rFonts w:ascii="Times New Roman" w:hAnsi="Times New Roman" w:cs="Times New Roman"/>
          <w:sz w:val="24"/>
          <w:szCs w:val="24"/>
          <w:lang w:val="en-US"/>
        </w:rPr>
        <w:t xml:space="preserve"> could explain Loughlin’s </w:t>
      </w:r>
      <w:r w:rsidR="00C5540F">
        <w:rPr>
          <w:rFonts w:ascii="Times New Roman" w:hAnsi="Times New Roman" w:cs="Times New Roman"/>
          <w:sz w:val="24"/>
          <w:szCs w:val="24"/>
          <w:lang w:val="en-US"/>
        </w:rPr>
        <w:t>understanding</w:t>
      </w:r>
      <w:r w:rsidRPr="0019082A">
        <w:rPr>
          <w:rFonts w:ascii="Times New Roman" w:hAnsi="Times New Roman" w:cs="Times New Roman"/>
          <w:sz w:val="24"/>
          <w:szCs w:val="24"/>
          <w:lang w:val="en-US"/>
        </w:rPr>
        <w:t xml:space="preserve"> of the ‘rise of the social’ in terms of a kind o</w:t>
      </w:r>
      <w:r w:rsidR="00B71A4B" w:rsidRPr="0019082A">
        <w:rPr>
          <w:rFonts w:ascii="Times New Roman" w:hAnsi="Times New Roman" w:cs="Times New Roman"/>
          <w:sz w:val="24"/>
          <w:szCs w:val="24"/>
          <w:lang w:val="en-US"/>
        </w:rPr>
        <w:t>f demise of classical statehood</w:t>
      </w:r>
      <w:r w:rsidRPr="0019082A">
        <w:rPr>
          <w:rFonts w:ascii="Times New Roman" w:hAnsi="Times New Roman" w:cs="Times New Roman"/>
          <w:sz w:val="24"/>
          <w:szCs w:val="24"/>
          <w:lang w:val="en-US"/>
        </w:rPr>
        <w:t xml:space="preserve">. Yeatman retorts that an early modern understanding of the role of the state, </w:t>
      </w:r>
      <w:r w:rsidR="0038107F" w:rsidRPr="0019082A">
        <w:rPr>
          <w:rFonts w:ascii="Times New Roman" w:hAnsi="Times New Roman" w:cs="Times New Roman"/>
          <w:sz w:val="24"/>
          <w:szCs w:val="24"/>
          <w:lang w:val="en-US"/>
        </w:rPr>
        <w:t>placing</w:t>
      </w:r>
      <w:r w:rsidRPr="0019082A">
        <w:rPr>
          <w:rFonts w:ascii="Times New Roman" w:hAnsi="Times New Roman" w:cs="Times New Roman"/>
          <w:sz w:val="24"/>
          <w:szCs w:val="24"/>
          <w:lang w:val="en-US"/>
        </w:rPr>
        <w:t xml:space="preserve"> emphasis on its incarnating a distinctive type of political freedom, may reconcile the idea of public law wi</w:t>
      </w:r>
      <w:r w:rsidR="00771825">
        <w:rPr>
          <w:rFonts w:ascii="Times New Roman" w:hAnsi="Times New Roman" w:cs="Times New Roman"/>
          <w:sz w:val="24"/>
          <w:szCs w:val="24"/>
          <w:lang w:val="en-US"/>
        </w:rPr>
        <w:t>th the rise of the social, whilst</w:t>
      </w:r>
      <w:r w:rsidRPr="0019082A">
        <w:rPr>
          <w:rFonts w:ascii="Times New Roman" w:hAnsi="Times New Roman" w:cs="Times New Roman"/>
          <w:sz w:val="24"/>
          <w:szCs w:val="24"/>
          <w:lang w:val="en-US"/>
        </w:rPr>
        <w:t xml:space="preserve"> also leaving adequate conceptual space for a critique of neo-liberal anti-statism.</w:t>
      </w:r>
      <w:r w:rsidRPr="0019082A">
        <w:rPr>
          <w:rFonts w:ascii="Times New Roman" w:hAnsi="Times New Roman" w:cs="Times New Roman"/>
          <w:sz w:val="24"/>
          <w:szCs w:val="24"/>
          <w:vertAlign w:val="superscript"/>
          <w:lang w:val="en-US"/>
        </w:rPr>
        <w:footnoteReference w:id="25"/>
      </w:r>
      <w:r w:rsidRPr="0019082A">
        <w:rPr>
          <w:rFonts w:ascii="Times New Roman" w:hAnsi="Times New Roman" w:cs="Times New Roman"/>
          <w:sz w:val="24"/>
          <w:szCs w:val="24"/>
          <w:lang w:val="en-US"/>
        </w:rPr>
        <w:t xml:space="preserve"> Last, but not least, Neil Walker broaches the issue of </w:t>
      </w:r>
      <w:r w:rsidR="00C244A4" w:rsidRPr="0019082A">
        <w:rPr>
          <w:rFonts w:ascii="Times New Roman" w:hAnsi="Times New Roman" w:cs="Times New Roman"/>
          <w:sz w:val="24"/>
          <w:szCs w:val="24"/>
          <w:lang w:val="en-US"/>
        </w:rPr>
        <w:t>globalization</w:t>
      </w:r>
      <w:r w:rsidRPr="0019082A">
        <w:rPr>
          <w:rFonts w:ascii="Times New Roman" w:hAnsi="Times New Roman" w:cs="Times New Roman"/>
          <w:sz w:val="24"/>
          <w:szCs w:val="24"/>
          <w:lang w:val="en-US"/>
        </w:rPr>
        <w:t xml:space="preserve"> and the extent to which post-statist forms of political </w:t>
      </w:r>
      <w:r w:rsidR="00C244A4" w:rsidRPr="0019082A">
        <w:rPr>
          <w:rFonts w:ascii="Times New Roman" w:hAnsi="Times New Roman" w:cs="Times New Roman"/>
          <w:sz w:val="24"/>
          <w:szCs w:val="24"/>
          <w:lang w:val="en-US"/>
        </w:rPr>
        <w:t>organization</w:t>
      </w:r>
      <w:r w:rsidRPr="0019082A">
        <w:rPr>
          <w:rFonts w:ascii="Times New Roman" w:hAnsi="Times New Roman" w:cs="Times New Roman"/>
          <w:sz w:val="24"/>
          <w:szCs w:val="24"/>
          <w:lang w:val="en-US"/>
        </w:rPr>
        <w:t xml:space="preserve"> necessitate a fundamental reworking of classical public law categories, on which Loughlin’s project</w:t>
      </w:r>
      <w:r w:rsidR="00AD2425">
        <w:rPr>
          <w:rFonts w:ascii="Times New Roman" w:hAnsi="Times New Roman" w:cs="Times New Roman"/>
          <w:sz w:val="24"/>
          <w:szCs w:val="24"/>
          <w:lang w:val="en-US"/>
        </w:rPr>
        <w:t xml:space="preserve"> appears to rely</w:t>
      </w:r>
      <w:r w:rsidRPr="0019082A">
        <w:rPr>
          <w:rFonts w:ascii="Times New Roman" w:hAnsi="Times New Roman" w:cs="Times New Roman"/>
          <w:sz w:val="24"/>
          <w:szCs w:val="24"/>
          <w:lang w:val="en-US"/>
        </w:rPr>
        <w:t>.</w:t>
      </w:r>
      <w:r w:rsidRPr="0019082A">
        <w:rPr>
          <w:rFonts w:ascii="Times New Roman" w:hAnsi="Times New Roman" w:cs="Times New Roman"/>
          <w:sz w:val="24"/>
          <w:szCs w:val="24"/>
          <w:vertAlign w:val="superscript"/>
          <w:lang w:val="en-US"/>
        </w:rPr>
        <w:footnoteReference w:id="26"/>
      </w:r>
    </w:p>
    <w:p w14:paraId="27CD399B"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0727C81A" w14:textId="7D2C4AD9"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 xml:space="preserve">The </w:t>
      </w:r>
      <w:r w:rsidR="005210C1" w:rsidRPr="0019082A">
        <w:rPr>
          <w:rFonts w:ascii="Times New Roman" w:hAnsi="Times New Roman" w:cs="Times New Roman"/>
          <w:sz w:val="24"/>
          <w:szCs w:val="24"/>
          <w:lang w:val="en-US"/>
        </w:rPr>
        <w:t>editors label the third kind of critical responses to Loughlin’s work ‘material’</w:t>
      </w:r>
      <w:r w:rsidRPr="0019082A">
        <w:rPr>
          <w:rFonts w:ascii="Times New Roman" w:hAnsi="Times New Roman" w:cs="Times New Roman"/>
          <w:sz w:val="24"/>
          <w:szCs w:val="24"/>
          <w:lang w:val="en-US"/>
        </w:rPr>
        <w:t xml:space="preserve">. </w:t>
      </w:r>
      <w:r w:rsidR="00346186">
        <w:rPr>
          <w:rFonts w:ascii="Times New Roman" w:hAnsi="Times New Roman" w:cs="Times New Roman"/>
          <w:sz w:val="24"/>
          <w:szCs w:val="24"/>
          <w:lang w:val="en-US"/>
        </w:rPr>
        <w:t>The chapters by</w:t>
      </w:r>
      <w:r w:rsidR="007606F7" w:rsidRPr="0019082A">
        <w:rPr>
          <w:rFonts w:ascii="Times New Roman" w:hAnsi="Times New Roman" w:cs="Times New Roman"/>
          <w:sz w:val="24"/>
          <w:szCs w:val="24"/>
          <w:lang w:val="en-US"/>
        </w:rPr>
        <w:t xml:space="preserve"> Bob Jessop, Marco Goldoni and Michael Wilkinson illustrate perfectly this kind of critique</w:t>
      </w:r>
      <w:r w:rsidRPr="0019082A">
        <w:rPr>
          <w:rFonts w:ascii="Times New Roman" w:hAnsi="Times New Roman" w:cs="Times New Roman"/>
          <w:sz w:val="24"/>
          <w:szCs w:val="24"/>
          <w:lang w:val="en-US"/>
        </w:rPr>
        <w:t xml:space="preserve">. </w:t>
      </w:r>
      <w:r w:rsidR="001D70E0" w:rsidRPr="0019082A">
        <w:rPr>
          <w:rFonts w:ascii="Times New Roman" w:hAnsi="Times New Roman" w:cs="Times New Roman"/>
          <w:sz w:val="24"/>
          <w:szCs w:val="24"/>
          <w:lang w:val="en-US"/>
        </w:rPr>
        <w:t>It</w:t>
      </w:r>
      <w:r w:rsidRPr="0019082A">
        <w:rPr>
          <w:rFonts w:ascii="Times New Roman" w:hAnsi="Times New Roman" w:cs="Times New Roman"/>
          <w:sz w:val="24"/>
          <w:szCs w:val="24"/>
          <w:lang w:val="en-US"/>
        </w:rPr>
        <w:t xml:space="preserve"> comprise</w:t>
      </w:r>
      <w:r w:rsidR="001D70E0" w:rsidRPr="0019082A">
        <w:rPr>
          <w:rFonts w:ascii="Times New Roman" w:hAnsi="Times New Roman" w:cs="Times New Roman"/>
          <w:sz w:val="24"/>
          <w:szCs w:val="24"/>
          <w:lang w:val="en-US"/>
        </w:rPr>
        <w:t>s</w:t>
      </w:r>
      <w:r w:rsidRPr="0019082A">
        <w:rPr>
          <w:rFonts w:ascii="Times New Roman" w:hAnsi="Times New Roman" w:cs="Times New Roman"/>
          <w:sz w:val="24"/>
          <w:szCs w:val="24"/>
          <w:lang w:val="en-US"/>
        </w:rPr>
        <w:t xml:space="preserve"> analyses of the state from a variety of disciplinary angles</w:t>
      </w:r>
      <w:r w:rsidR="00D517C7">
        <w:rPr>
          <w:rFonts w:ascii="Times New Roman" w:hAnsi="Times New Roman" w:cs="Times New Roman"/>
          <w:sz w:val="24"/>
          <w:szCs w:val="24"/>
          <w:lang w:val="en-US"/>
        </w:rPr>
        <w:t>. Some of them</w:t>
      </w:r>
      <w:r w:rsidRPr="0019082A">
        <w:rPr>
          <w:rFonts w:ascii="Times New Roman" w:hAnsi="Times New Roman" w:cs="Times New Roman"/>
          <w:sz w:val="24"/>
          <w:szCs w:val="24"/>
          <w:lang w:val="en-US"/>
        </w:rPr>
        <w:t xml:space="preserve"> purport to explain, rather than just use, the main concepts deployed by p</w:t>
      </w:r>
      <w:r w:rsidR="000A4F52">
        <w:rPr>
          <w:rFonts w:ascii="Times New Roman" w:hAnsi="Times New Roman" w:cs="Times New Roman"/>
          <w:sz w:val="24"/>
          <w:szCs w:val="24"/>
          <w:lang w:val="en-US"/>
        </w:rPr>
        <w:t>olitical jurisprudence (Jessop). Others</w:t>
      </w:r>
      <w:r w:rsidRPr="0019082A">
        <w:rPr>
          <w:rFonts w:ascii="Times New Roman" w:hAnsi="Times New Roman" w:cs="Times New Roman"/>
          <w:sz w:val="24"/>
          <w:szCs w:val="24"/>
          <w:lang w:val="en-US"/>
        </w:rPr>
        <w:t xml:space="preserve"> focus on political subjects as social agents that act on the political constitution and </w:t>
      </w:r>
      <w:r w:rsidR="000A4F52">
        <w:rPr>
          <w:rFonts w:ascii="Times New Roman" w:hAnsi="Times New Roman" w:cs="Times New Roman"/>
          <w:sz w:val="24"/>
          <w:szCs w:val="24"/>
          <w:lang w:val="en-US"/>
        </w:rPr>
        <w:t>drive</w:t>
      </w:r>
      <w:r w:rsidRPr="0019082A">
        <w:rPr>
          <w:rFonts w:ascii="Times New Roman" w:hAnsi="Times New Roman" w:cs="Times New Roman"/>
          <w:sz w:val="24"/>
          <w:szCs w:val="24"/>
          <w:lang w:val="en-US"/>
        </w:rPr>
        <w:t xml:space="preserve"> its transformation (Goldoni). Perhaps the most ambitious contri</w:t>
      </w:r>
      <w:r w:rsidR="00FC517D">
        <w:rPr>
          <w:rFonts w:ascii="Times New Roman" w:hAnsi="Times New Roman" w:cs="Times New Roman"/>
          <w:sz w:val="24"/>
          <w:szCs w:val="24"/>
          <w:lang w:val="en-US"/>
        </w:rPr>
        <w:t>bution is Wilkinson’s. He</w:t>
      </w:r>
      <w:r w:rsidRPr="0019082A">
        <w:rPr>
          <w:rFonts w:ascii="Times New Roman" w:hAnsi="Times New Roman" w:cs="Times New Roman"/>
          <w:sz w:val="24"/>
          <w:szCs w:val="24"/>
          <w:lang w:val="en-US"/>
        </w:rPr>
        <w:t xml:space="preserve"> seeks </w:t>
      </w:r>
      <w:r w:rsidRPr="0019082A">
        <w:rPr>
          <w:rFonts w:ascii="Times New Roman" w:hAnsi="Times New Roman" w:cs="Times New Roman"/>
          <w:sz w:val="24"/>
          <w:szCs w:val="24"/>
          <w:lang w:val="en-US"/>
        </w:rPr>
        <w:lastRenderedPageBreak/>
        <w:t>to provide a grand narrative of the relationship between the economic and the political under twentieth century Western European capitalism, identifying a purportedly fundamental tension between democracy and capitalism</w:t>
      </w:r>
      <w:r w:rsidR="00FC517D">
        <w:rPr>
          <w:rFonts w:ascii="Times New Roman" w:hAnsi="Times New Roman" w:cs="Times New Roman"/>
          <w:sz w:val="24"/>
          <w:szCs w:val="24"/>
          <w:lang w:val="en-US"/>
        </w:rPr>
        <w:t>. Wilkinson argues that this tension may simply undercut</w:t>
      </w:r>
      <w:r w:rsidRPr="0019082A">
        <w:rPr>
          <w:rFonts w:ascii="Times New Roman" w:hAnsi="Times New Roman" w:cs="Times New Roman"/>
          <w:sz w:val="24"/>
          <w:szCs w:val="24"/>
          <w:lang w:val="en-US"/>
        </w:rPr>
        <w:t xml:space="preserve"> the central concept of political jurisprudence, to wit, the autonomy of the political.</w:t>
      </w:r>
    </w:p>
    <w:p w14:paraId="1C344A4A"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1D12BF3E" w14:textId="3FE67108"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 xml:space="preserve">The fourth and final kind of critique is comparative. It questions the relevance of Loughlin’s </w:t>
      </w:r>
      <w:r w:rsidR="00254003" w:rsidRPr="0019082A">
        <w:rPr>
          <w:rFonts w:ascii="Times New Roman" w:hAnsi="Times New Roman" w:cs="Times New Roman"/>
          <w:sz w:val="24"/>
          <w:szCs w:val="24"/>
          <w:lang w:val="en-US"/>
        </w:rPr>
        <w:t>conceptualization</w:t>
      </w:r>
      <w:r w:rsidRPr="0019082A">
        <w:rPr>
          <w:rFonts w:ascii="Times New Roman" w:hAnsi="Times New Roman" w:cs="Times New Roman"/>
          <w:sz w:val="24"/>
          <w:szCs w:val="24"/>
          <w:lang w:val="en-US"/>
        </w:rPr>
        <w:t xml:space="preserve"> of public law from the perspective of the discursive</w:t>
      </w:r>
      <w:r w:rsidR="00934AEC">
        <w:rPr>
          <w:rFonts w:ascii="Times New Roman" w:hAnsi="Times New Roman" w:cs="Times New Roman"/>
          <w:sz w:val="24"/>
          <w:szCs w:val="24"/>
          <w:lang w:val="en-US"/>
        </w:rPr>
        <w:t xml:space="preserve"> and scholarly</w:t>
      </w:r>
      <w:r w:rsidRPr="0019082A">
        <w:rPr>
          <w:rFonts w:ascii="Times New Roman" w:hAnsi="Times New Roman" w:cs="Times New Roman"/>
          <w:sz w:val="24"/>
          <w:szCs w:val="24"/>
          <w:lang w:val="en-US"/>
        </w:rPr>
        <w:t xml:space="preserve"> traditions of US (Mark Tushnet), Indian (Mathew John) and French (Denis Baranger) public law. The main thrust of the criticism articulated by these chapters is that Loughlin’s idea of political jurisprudence</w:t>
      </w:r>
      <w:r w:rsidR="006D0A98">
        <w:rPr>
          <w:rFonts w:ascii="Times New Roman" w:hAnsi="Times New Roman" w:cs="Times New Roman"/>
          <w:sz w:val="24"/>
          <w:szCs w:val="24"/>
          <w:lang w:val="en-US"/>
        </w:rPr>
        <w:t xml:space="preserve"> is to a certain extent parochial and thus</w:t>
      </w:r>
      <w:r w:rsidRPr="0019082A">
        <w:rPr>
          <w:rFonts w:ascii="Times New Roman" w:hAnsi="Times New Roman" w:cs="Times New Roman"/>
          <w:sz w:val="24"/>
          <w:szCs w:val="24"/>
          <w:lang w:val="en-US"/>
        </w:rPr>
        <w:t xml:space="preserve"> struggles to provide a good fit for </w:t>
      </w:r>
      <w:r w:rsidR="006D0A98">
        <w:rPr>
          <w:rFonts w:ascii="Times New Roman" w:hAnsi="Times New Roman" w:cs="Times New Roman"/>
          <w:sz w:val="24"/>
          <w:szCs w:val="24"/>
          <w:lang w:val="en-US"/>
        </w:rPr>
        <w:t>non-British</w:t>
      </w:r>
      <w:r w:rsidRPr="0019082A">
        <w:rPr>
          <w:rFonts w:ascii="Times New Roman" w:hAnsi="Times New Roman" w:cs="Times New Roman"/>
          <w:sz w:val="24"/>
          <w:szCs w:val="24"/>
          <w:lang w:val="en-US"/>
        </w:rPr>
        <w:t xml:space="preserve"> legal systems. Somewhat more surprisingly, Baranger even goes on to claim that political jurisprudence could have some trouble in accounting for the historical development of English administrative law itself.</w:t>
      </w:r>
    </w:p>
    <w:p w14:paraId="733F7680"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64B2098E" w14:textId="77777777" w:rsidR="00365C41" w:rsidRPr="0019082A" w:rsidRDefault="002E6F5F">
      <w:pPr>
        <w:pStyle w:val="normal0"/>
        <w:spacing w:line="360" w:lineRule="auto"/>
        <w:jc w:val="both"/>
        <w:rPr>
          <w:rFonts w:ascii="Times New Roman" w:hAnsi="Times New Roman" w:cs="Times New Roman"/>
          <w:b/>
          <w:sz w:val="24"/>
          <w:szCs w:val="24"/>
          <w:lang w:val="en-US"/>
        </w:rPr>
      </w:pPr>
      <w:r w:rsidRPr="0019082A">
        <w:rPr>
          <w:rFonts w:ascii="Times New Roman" w:hAnsi="Times New Roman" w:cs="Times New Roman"/>
          <w:b/>
          <w:sz w:val="24"/>
          <w:szCs w:val="24"/>
          <w:lang w:val="en-US"/>
        </w:rPr>
        <w:t>Taking the Material Critique to Heart: The Challenge of the Social Sciences</w:t>
      </w:r>
    </w:p>
    <w:p w14:paraId="1D256C92" w14:textId="77777777"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 xml:space="preserve">In the remainder of this review, I shall take a closer look at the material critique, especially in the version articulated by Wilkinson, as well as Loughlin’s response. I shall argue that both the critique and the response articulate horns of a dilemma that points to a deeper issue: the epistemological repercussions of the rise of the social sciences as forms of distinctively modern inquiry into the </w:t>
      </w:r>
      <w:r w:rsidRPr="0019082A">
        <w:rPr>
          <w:rFonts w:ascii="Times New Roman" w:hAnsi="Times New Roman" w:cs="Times New Roman"/>
          <w:i/>
          <w:sz w:val="24"/>
          <w:szCs w:val="24"/>
          <w:lang w:val="en-US"/>
        </w:rPr>
        <w:t>causes</w:t>
      </w:r>
      <w:r w:rsidRPr="0019082A">
        <w:rPr>
          <w:rFonts w:ascii="Times New Roman" w:hAnsi="Times New Roman" w:cs="Times New Roman"/>
          <w:sz w:val="24"/>
          <w:szCs w:val="24"/>
          <w:lang w:val="en-US"/>
        </w:rPr>
        <w:t xml:space="preserve"> of social phenomena, where these include political phenomena, such as the autonomy of the state. </w:t>
      </w:r>
    </w:p>
    <w:p w14:paraId="3FC2EAAA"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0F2E98AB" w14:textId="203B9DE1" w:rsidR="006A25A9"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As already indicated, Wilkinson’s chapter focuses on uncovering the ‘material conditions’</w:t>
      </w:r>
      <w:r w:rsidRPr="0019082A">
        <w:rPr>
          <w:rFonts w:ascii="Times New Roman" w:hAnsi="Times New Roman" w:cs="Times New Roman"/>
          <w:sz w:val="24"/>
          <w:szCs w:val="24"/>
          <w:vertAlign w:val="superscript"/>
          <w:lang w:val="en-US"/>
        </w:rPr>
        <w:footnoteReference w:id="27"/>
      </w:r>
      <w:r w:rsidRPr="0019082A">
        <w:rPr>
          <w:rFonts w:ascii="Times New Roman" w:hAnsi="Times New Roman" w:cs="Times New Roman"/>
          <w:sz w:val="24"/>
          <w:szCs w:val="24"/>
          <w:lang w:val="en-US"/>
        </w:rPr>
        <w:t xml:space="preserve"> of the autonomy of the capitalist state, which, according to him, ground the autonomy of the political and, thus, support the whole project of constructing a distinctive public law discipline of political jurisprudence. Simplifying an intriguing narrative to the extreme, we might say that Wilkinson critically interrogates Loughlin’s project insofar as the latter simply </w:t>
      </w:r>
      <w:r w:rsidRPr="0019082A">
        <w:rPr>
          <w:rFonts w:ascii="Times New Roman" w:hAnsi="Times New Roman" w:cs="Times New Roman"/>
          <w:i/>
          <w:sz w:val="24"/>
          <w:szCs w:val="24"/>
          <w:lang w:val="en-US"/>
        </w:rPr>
        <w:t>presupposes</w:t>
      </w:r>
      <w:r w:rsidRPr="0019082A">
        <w:rPr>
          <w:rFonts w:ascii="Times New Roman" w:hAnsi="Times New Roman" w:cs="Times New Roman"/>
          <w:sz w:val="24"/>
          <w:szCs w:val="24"/>
          <w:lang w:val="en-US"/>
        </w:rPr>
        <w:t xml:space="preserve"> the ‘autonomy of the political’ as a modern achievement of statehood, without proceeding to enquire into the deeper nature of the social and economic forces that sustain and, Wilkinson claims, presently also threaten it. In particular, Wilkinson contends that two kinds of such ‘material’ </w:t>
      </w:r>
      <w:r w:rsidRPr="0019082A">
        <w:rPr>
          <w:rFonts w:ascii="Times New Roman" w:hAnsi="Times New Roman" w:cs="Times New Roman"/>
          <w:sz w:val="24"/>
          <w:szCs w:val="24"/>
          <w:lang w:val="en-US"/>
        </w:rPr>
        <w:lastRenderedPageBreak/>
        <w:t xml:space="preserve">forces now at play endanger the very idea of the autonomy of the political. </w:t>
      </w:r>
      <w:r w:rsidR="00254003">
        <w:rPr>
          <w:rFonts w:ascii="Times New Roman" w:hAnsi="Times New Roman" w:cs="Times New Roman"/>
          <w:sz w:val="24"/>
          <w:szCs w:val="24"/>
          <w:lang w:val="en-US"/>
        </w:rPr>
        <w:t>T</w:t>
      </w:r>
      <w:r w:rsidRPr="0019082A">
        <w:rPr>
          <w:rFonts w:ascii="Times New Roman" w:hAnsi="Times New Roman" w:cs="Times New Roman"/>
          <w:sz w:val="24"/>
          <w:szCs w:val="24"/>
          <w:lang w:val="en-US"/>
        </w:rPr>
        <w:t>he</w:t>
      </w:r>
      <w:r w:rsidR="00254003">
        <w:rPr>
          <w:rFonts w:ascii="Times New Roman" w:hAnsi="Times New Roman" w:cs="Times New Roman"/>
          <w:sz w:val="24"/>
          <w:szCs w:val="24"/>
          <w:lang w:val="en-US"/>
        </w:rPr>
        <w:t xml:space="preserve"> first ones are to do with the</w:t>
      </w:r>
      <w:r w:rsidRPr="0019082A">
        <w:rPr>
          <w:rFonts w:ascii="Times New Roman" w:hAnsi="Times New Roman" w:cs="Times New Roman"/>
          <w:sz w:val="24"/>
          <w:szCs w:val="24"/>
          <w:lang w:val="en-US"/>
        </w:rPr>
        <w:t xml:space="preserve"> tension between market force</w:t>
      </w:r>
      <w:r w:rsidR="00254003">
        <w:rPr>
          <w:rFonts w:ascii="Times New Roman" w:hAnsi="Times New Roman" w:cs="Times New Roman"/>
          <w:sz w:val="24"/>
          <w:szCs w:val="24"/>
          <w:lang w:val="en-US"/>
        </w:rPr>
        <w:t>s (or capitalism) and democracy. The second ones</w:t>
      </w:r>
      <w:r w:rsidRPr="0019082A">
        <w:rPr>
          <w:rFonts w:ascii="Times New Roman" w:hAnsi="Times New Roman" w:cs="Times New Roman"/>
          <w:sz w:val="24"/>
          <w:szCs w:val="24"/>
          <w:lang w:val="en-US"/>
        </w:rPr>
        <w:t xml:space="preserve"> </w:t>
      </w:r>
      <w:r w:rsidR="00254003">
        <w:rPr>
          <w:rFonts w:ascii="Times New Roman" w:hAnsi="Times New Roman" w:cs="Times New Roman"/>
          <w:sz w:val="24"/>
          <w:szCs w:val="24"/>
          <w:lang w:val="en-US"/>
        </w:rPr>
        <w:t>regard</w:t>
      </w:r>
      <w:r w:rsidRPr="0019082A">
        <w:rPr>
          <w:rFonts w:ascii="Times New Roman" w:hAnsi="Times New Roman" w:cs="Times New Roman"/>
          <w:sz w:val="24"/>
          <w:szCs w:val="24"/>
          <w:lang w:val="en-US"/>
        </w:rPr>
        <w:t xml:space="preserve"> the unequal power relations between different states </w:t>
      </w:r>
      <w:r w:rsidRPr="0019082A">
        <w:rPr>
          <w:rFonts w:ascii="Times New Roman" w:hAnsi="Times New Roman" w:cs="Times New Roman"/>
          <w:i/>
          <w:sz w:val="24"/>
          <w:szCs w:val="24"/>
          <w:lang w:val="en-US"/>
        </w:rPr>
        <w:t>qua</w:t>
      </w:r>
      <w:r w:rsidRPr="0019082A">
        <w:rPr>
          <w:rFonts w:ascii="Times New Roman" w:hAnsi="Times New Roman" w:cs="Times New Roman"/>
          <w:sz w:val="24"/>
          <w:szCs w:val="24"/>
          <w:lang w:val="en-US"/>
        </w:rPr>
        <w:t xml:space="preserve"> geopolitical players.</w:t>
      </w:r>
      <w:r w:rsidR="00AC4C43">
        <w:rPr>
          <w:rStyle w:val="FootnoteReference"/>
          <w:rFonts w:ascii="Times New Roman" w:hAnsi="Times New Roman" w:cs="Times New Roman"/>
          <w:sz w:val="24"/>
          <w:szCs w:val="24"/>
          <w:lang w:val="en-US"/>
        </w:rPr>
        <w:footnoteReference w:id="28"/>
      </w:r>
      <w:r w:rsidR="00C75801">
        <w:rPr>
          <w:rFonts w:ascii="Times New Roman" w:hAnsi="Times New Roman" w:cs="Times New Roman"/>
          <w:sz w:val="24"/>
          <w:szCs w:val="24"/>
          <w:lang w:val="en-US"/>
        </w:rPr>
        <w:t xml:space="preserve"> Needless to say,</w:t>
      </w:r>
      <w:r w:rsidR="00F97475">
        <w:rPr>
          <w:rFonts w:ascii="Times New Roman" w:hAnsi="Times New Roman" w:cs="Times New Roman"/>
          <w:sz w:val="24"/>
          <w:szCs w:val="24"/>
          <w:lang w:val="en-US"/>
        </w:rPr>
        <w:t xml:space="preserve"> both of</w:t>
      </w:r>
      <w:r w:rsidRPr="0019082A">
        <w:rPr>
          <w:rFonts w:ascii="Times New Roman" w:hAnsi="Times New Roman" w:cs="Times New Roman"/>
          <w:sz w:val="24"/>
          <w:szCs w:val="24"/>
          <w:lang w:val="en-US"/>
        </w:rPr>
        <w:t xml:space="preserve"> these may fuse under conditions of ‘neoliberal </w:t>
      </w:r>
      <w:r w:rsidR="00254003" w:rsidRPr="0019082A">
        <w:rPr>
          <w:rFonts w:ascii="Times New Roman" w:hAnsi="Times New Roman" w:cs="Times New Roman"/>
          <w:sz w:val="24"/>
          <w:szCs w:val="24"/>
          <w:lang w:val="en-US"/>
        </w:rPr>
        <w:t>globalization</w:t>
      </w:r>
      <w:r w:rsidRPr="0019082A">
        <w:rPr>
          <w:rFonts w:ascii="Times New Roman" w:hAnsi="Times New Roman" w:cs="Times New Roman"/>
          <w:sz w:val="24"/>
          <w:szCs w:val="24"/>
          <w:lang w:val="en-US"/>
        </w:rPr>
        <w:t>’</w:t>
      </w:r>
      <w:r w:rsidR="00C75801">
        <w:rPr>
          <w:rFonts w:ascii="Times New Roman" w:hAnsi="Times New Roman" w:cs="Times New Roman"/>
          <w:sz w:val="24"/>
          <w:szCs w:val="24"/>
          <w:lang w:val="en-US"/>
        </w:rPr>
        <w:t>. The classical Marxist theory of imperialism and the so-called ‘imperialist chain’ of states is an attempt at explanation of internationalized</w:t>
      </w:r>
      <w:r w:rsidRPr="0019082A">
        <w:rPr>
          <w:rFonts w:ascii="Times New Roman" w:hAnsi="Times New Roman" w:cs="Times New Roman"/>
          <w:sz w:val="24"/>
          <w:szCs w:val="24"/>
          <w:lang w:val="en-US"/>
        </w:rPr>
        <w:t xml:space="preserve"> political forms that subordinate state power to the needs of the reproduction of capitalist rule.</w:t>
      </w:r>
      <w:r w:rsidR="00C75801">
        <w:rPr>
          <w:rStyle w:val="FootnoteReference"/>
          <w:rFonts w:ascii="Times New Roman" w:hAnsi="Times New Roman" w:cs="Times New Roman"/>
          <w:sz w:val="24"/>
          <w:szCs w:val="24"/>
          <w:lang w:val="en-US"/>
        </w:rPr>
        <w:footnoteReference w:id="29"/>
      </w:r>
      <w:r w:rsidRPr="0019082A">
        <w:rPr>
          <w:rFonts w:ascii="Times New Roman" w:hAnsi="Times New Roman" w:cs="Times New Roman"/>
          <w:sz w:val="24"/>
          <w:szCs w:val="24"/>
          <w:lang w:val="en-US"/>
        </w:rPr>
        <w:t xml:space="preserve"> In </w:t>
      </w:r>
      <w:r w:rsidR="00E7649B">
        <w:rPr>
          <w:rFonts w:ascii="Times New Roman" w:hAnsi="Times New Roman" w:cs="Times New Roman"/>
          <w:sz w:val="24"/>
          <w:szCs w:val="24"/>
          <w:lang w:val="en-US"/>
        </w:rPr>
        <w:t>any event</w:t>
      </w:r>
      <w:r w:rsidRPr="0019082A">
        <w:rPr>
          <w:rFonts w:ascii="Times New Roman" w:hAnsi="Times New Roman" w:cs="Times New Roman"/>
          <w:sz w:val="24"/>
          <w:szCs w:val="24"/>
          <w:lang w:val="en-US"/>
        </w:rPr>
        <w:t>,</w:t>
      </w:r>
      <w:r w:rsidR="00E7649B">
        <w:rPr>
          <w:rFonts w:ascii="Times New Roman" w:hAnsi="Times New Roman" w:cs="Times New Roman"/>
          <w:sz w:val="24"/>
          <w:szCs w:val="24"/>
          <w:lang w:val="en-US"/>
        </w:rPr>
        <w:t xml:space="preserve"> Wilkinson contends that the drivers he has identified</w:t>
      </w:r>
      <w:r w:rsidRPr="0019082A">
        <w:rPr>
          <w:rFonts w:ascii="Times New Roman" w:hAnsi="Times New Roman" w:cs="Times New Roman"/>
          <w:sz w:val="24"/>
          <w:szCs w:val="24"/>
          <w:lang w:val="en-US"/>
        </w:rPr>
        <w:t xml:space="preserve"> also result in a shrinking of the sphere of democratic self-determination, </w:t>
      </w:r>
      <w:r w:rsidR="00630D62">
        <w:rPr>
          <w:rFonts w:ascii="Times New Roman" w:hAnsi="Times New Roman" w:cs="Times New Roman"/>
          <w:sz w:val="24"/>
          <w:szCs w:val="24"/>
          <w:lang w:val="en-US"/>
        </w:rPr>
        <w:t>which corresponds to the modern emancipatory</w:t>
      </w:r>
      <w:r w:rsidRPr="0019082A">
        <w:rPr>
          <w:rFonts w:ascii="Times New Roman" w:hAnsi="Times New Roman" w:cs="Times New Roman"/>
          <w:sz w:val="24"/>
          <w:szCs w:val="24"/>
          <w:lang w:val="en-US"/>
        </w:rPr>
        <w:t xml:space="preserve"> understanding of the autonomy of the political. Wilkinson’s critical claim, then, is roughly to the effect that these deep ‘material’ forces, which condition the forms of manifestation of the autonomy of the political, are simply black-boxed by Loughlin. In fact, Loughlin either takes the autonomy of the political as a kind of historical given wi</w:t>
      </w:r>
      <w:r w:rsidR="00A75BBF">
        <w:rPr>
          <w:rFonts w:ascii="Times New Roman" w:hAnsi="Times New Roman" w:cs="Times New Roman"/>
          <w:sz w:val="24"/>
          <w:szCs w:val="24"/>
          <w:lang w:val="en-US"/>
        </w:rPr>
        <w:t>thout opening the black-box containing the material forces that produce and sustain</w:t>
      </w:r>
      <w:r w:rsidRPr="0019082A">
        <w:rPr>
          <w:rFonts w:ascii="Times New Roman" w:hAnsi="Times New Roman" w:cs="Times New Roman"/>
          <w:sz w:val="24"/>
          <w:szCs w:val="24"/>
          <w:lang w:val="en-US"/>
        </w:rPr>
        <w:t xml:space="preserve"> it, or else insinuates that what really obscures or threatens that autonomy is not the constellation of underlying material forces, but, rather, the historical abandonment of the distinctive perspective offered by political jurisprudence in </w:t>
      </w:r>
      <w:r w:rsidR="00EA0F44" w:rsidRPr="0019082A">
        <w:rPr>
          <w:rFonts w:ascii="Times New Roman" w:hAnsi="Times New Roman" w:cs="Times New Roman"/>
          <w:sz w:val="24"/>
          <w:szCs w:val="24"/>
          <w:lang w:val="en-US"/>
        </w:rPr>
        <w:t>favor</w:t>
      </w:r>
      <w:r w:rsidRPr="0019082A">
        <w:rPr>
          <w:rFonts w:ascii="Times New Roman" w:hAnsi="Times New Roman" w:cs="Times New Roman"/>
          <w:sz w:val="24"/>
          <w:szCs w:val="24"/>
          <w:lang w:val="en-US"/>
        </w:rPr>
        <w:t xml:space="preserve"> of more traditional positivist and, somewhat more recently, anti-positivist approaches to public law.</w:t>
      </w:r>
      <w:r w:rsidRPr="0019082A">
        <w:rPr>
          <w:rFonts w:ascii="Times New Roman" w:hAnsi="Times New Roman" w:cs="Times New Roman"/>
          <w:sz w:val="24"/>
          <w:szCs w:val="24"/>
          <w:vertAlign w:val="superscript"/>
          <w:lang w:val="en-US"/>
        </w:rPr>
        <w:footnoteReference w:id="30"/>
      </w:r>
      <w:r w:rsidR="00EA0F44">
        <w:rPr>
          <w:rFonts w:ascii="Times New Roman" w:hAnsi="Times New Roman" w:cs="Times New Roman"/>
          <w:sz w:val="24"/>
          <w:szCs w:val="24"/>
          <w:lang w:val="en-US"/>
        </w:rPr>
        <w:t xml:space="preserve"> Note that this second claim makes no reference to material forces. It simply says that what we need is a different</w:t>
      </w:r>
      <w:r w:rsidR="00FE72EE">
        <w:rPr>
          <w:rFonts w:ascii="Times New Roman" w:hAnsi="Times New Roman" w:cs="Times New Roman"/>
          <w:sz w:val="24"/>
          <w:szCs w:val="24"/>
          <w:lang w:val="en-US"/>
        </w:rPr>
        <w:t xml:space="preserve"> juridical</w:t>
      </w:r>
      <w:r w:rsidR="00EA0F44">
        <w:rPr>
          <w:rFonts w:ascii="Times New Roman" w:hAnsi="Times New Roman" w:cs="Times New Roman"/>
          <w:sz w:val="24"/>
          <w:szCs w:val="24"/>
          <w:lang w:val="en-US"/>
        </w:rPr>
        <w:t xml:space="preserve"> way (neither positivist nor non-positivist</w:t>
      </w:r>
      <w:r w:rsidR="00FE72EE">
        <w:rPr>
          <w:rFonts w:ascii="Times New Roman" w:hAnsi="Times New Roman" w:cs="Times New Roman"/>
          <w:sz w:val="24"/>
          <w:szCs w:val="24"/>
          <w:lang w:val="en-US"/>
        </w:rPr>
        <w:t xml:space="preserve"> but political</w:t>
      </w:r>
      <w:r w:rsidR="00EA0F44">
        <w:rPr>
          <w:rFonts w:ascii="Times New Roman" w:hAnsi="Times New Roman" w:cs="Times New Roman"/>
          <w:sz w:val="24"/>
          <w:szCs w:val="24"/>
          <w:lang w:val="en-US"/>
        </w:rPr>
        <w:t>) of looking at an object (the autonomy of the political) that is objectively already there.</w:t>
      </w:r>
    </w:p>
    <w:p w14:paraId="6234FDFE" w14:textId="77777777" w:rsidR="006A25A9" w:rsidRDefault="006A25A9">
      <w:pPr>
        <w:pStyle w:val="normal0"/>
        <w:spacing w:line="360" w:lineRule="auto"/>
        <w:jc w:val="both"/>
        <w:rPr>
          <w:rFonts w:ascii="Times New Roman" w:hAnsi="Times New Roman" w:cs="Times New Roman"/>
          <w:sz w:val="24"/>
          <w:szCs w:val="24"/>
          <w:lang w:val="en-US"/>
        </w:rPr>
      </w:pPr>
    </w:p>
    <w:p w14:paraId="33B15C7E" w14:textId="263BAF0F" w:rsidR="00365C41" w:rsidRPr="0019082A" w:rsidRDefault="006A25A9">
      <w:pPr>
        <w:pStyle w:val="norm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Before proceeding further, I want to note two things about Wilkinson’s critique. First, the claim that there is a tension between capitalism and democracy is not just ‘interpretive’ of certain social phenomena, but, properly speaking, causal. It is a claim to the effect that </w:t>
      </w:r>
      <w:r w:rsidR="00AD7F51">
        <w:rPr>
          <w:rFonts w:ascii="Times New Roman" w:hAnsi="Times New Roman" w:cs="Times New Roman"/>
          <w:sz w:val="24"/>
          <w:szCs w:val="24"/>
          <w:lang w:val="en-US"/>
        </w:rPr>
        <w:t>certain kinds of social forces or structures, in this case market forces and/or the structures that sustain the process of accumulation of capital, causally undermine certain other kind</w:t>
      </w:r>
      <w:r w:rsidR="002340D3">
        <w:rPr>
          <w:rFonts w:ascii="Times New Roman" w:hAnsi="Times New Roman" w:cs="Times New Roman"/>
          <w:sz w:val="24"/>
          <w:szCs w:val="24"/>
          <w:lang w:val="en-US"/>
        </w:rPr>
        <w:t>s of political structures and practices: those, precisely, that underscore the workings of the democratic state. Second, the material critique</w:t>
      </w:r>
      <w:r w:rsidR="00907DCF">
        <w:rPr>
          <w:rFonts w:ascii="Times New Roman" w:hAnsi="Times New Roman" w:cs="Times New Roman"/>
          <w:sz w:val="24"/>
          <w:szCs w:val="24"/>
          <w:lang w:val="en-US"/>
        </w:rPr>
        <w:t>, if successful,</w:t>
      </w:r>
      <w:r w:rsidR="002340D3">
        <w:rPr>
          <w:rFonts w:ascii="Times New Roman" w:hAnsi="Times New Roman" w:cs="Times New Roman"/>
          <w:sz w:val="24"/>
          <w:szCs w:val="24"/>
          <w:lang w:val="en-US"/>
        </w:rPr>
        <w:t xml:space="preserve"> does not just apply to Loughlin. If valid, it seems to generalize to any kind of normative discourse that divorces normative claims from claims about the workings </w:t>
      </w:r>
      <w:r w:rsidR="002340D3">
        <w:rPr>
          <w:rFonts w:ascii="Times New Roman" w:hAnsi="Times New Roman" w:cs="Times New Roman"/>
          <w:sz w:val="24"/>
          <w:szCs w:val="24"/>
          <w:lang w:val="en-US"/>
        </w:rPr>
        <w:lastRenderedPageBreak/>
        <w:t xml:space="preserve">of material forces. In this respect, </w:t>
      </w:r>
      <w:r w:rsidR="00907DCF">
        <w:rPr>
          <w:rFonts w:ascii="Times New Roman" w:hAnsi="Times New Roman" w:cs="Times New Roman"/>
          <w:sz w:val="24"/>
          <w:szCs w:val="24"/>
          <w:lang w:val="en-US"/>
        </w:rPr>
        <w:t>this kind of critique shares parallels with another important realist theme that can be found in Williams’s work, to wit, the idea that certain kinds of normative political analysis ‘make sense’ only within certain kinds of social and historical contexts.</w:t>
      </w:r>
      <w:r w:rsidR="00907DCF">
        <w:rPr>
          <w:rStyle w:val="FootnoteReference"/>
          <w:rFonts w:ascii="Times New Roman" w:hAnsi="Times New Roman" w:cs="Times New Roman"/>
          <w:sz w:val="24"/>
          <w:szCs w:val="24"/>
          <w:lang w:val="en-US"/>
        </w:rPr>
        <w:footnoteReference w:id="31"/>
      </w:r>
      <w:r w:rsidR="002340D3">
        <w:rPr>
          <w:rFonts w:ascii="Times New Roman" w:hAnsi="Times New Roman" w:cs="Times New Roman"/>
          <w:sz w:val="24"/>
          <w:szCs w:val="24"/>
          <w:lang w:val="en-US"/>
        </w:rPr>
        <w:t xml:space="preserve"> </w:t>
      </w:r>
      <w:r w:rsidR="00907DCF">
        <w:rPr>
          <w:rFonts w:ascii="Times New Roman" w:hAnsi="Times New Roman" w:cs="Times New Roman"/>
          <w:sz w:val="24"/>
          <w:szCs w:val="24"/>
          <w:lang w:val="en-US"/>
        </w:rPr>
        <w:t>Famously, Williams has argued that ‘liberalism’ is a normative project of</w:t>
      </w:r>
      <w:r w:rsidR="008B7813">
        <w:rPr>
          <w:rFonts w:ascii="Times New Roman" w:hAnsi="Times New Roman" w:cs="Times New Roman"/>
          <w:sz w:val="24"/>
          <w:szCs w:val="24"/>
          <w:lang w:val="en-US"/>
        </w:rPr>
        <w:t xml:space="preserve"> basic</w:t>
      </w:r>
      <w:r w:rsidR="00907DCF">
        <w:rPr>
          <w:rFonts w:ascii="Times New Roman" w:hAnsi="Times New Roman" w:cs="Times New Roman"/>
          <w:sz w:val="24"/>
          <w:szCs w:val="24"/>
          <w:lang w:val="en-US"/>
        </w:rPr>
        <w:t xml:space="preserve"> legitimation of political practices</w:t>
      </w:r>
      <w:r w:rsidR="008B7813">
        <w:rPr>
          <w:rFonts w:ascii="Times New Roman" w:hAnsi="Times New Roman" w:cs="Times New Roman"/>
          <w:sz w:val="24"/>
          <w:szCs w:val="24"/>
          <w:lang w:val="en-US"/>
        </w:rPr>
        <w:t xml:space="preserve"> (the so-called ‘basic legitimation demand’)</w:t>
      </w:r>
      <w:r w:rsidR="00907DCF">
        <w:rPr>
          <w:rFonts w:ascii="Times New Roman" w:hAnsi="Times New Roman" w:cs="Times New Roman"/>
          <w:sz w:val="24"/>
          <w:szCs w:val="24"/>
          <w:lang w:val="en-US"/>
        </w:rPr>
        <w:t xml:space="preserve"> that makes sense under conditions of </w:t>
      </w:r>
      <w:r w:rsidR="00907DCF">
        <w:rPr>
          <w:rFonts w:ascii="Times New Roman" w:hAnsi="Times New Roman" w:cs="Times New Roman"/>
          <w:i/>
          <w:sz w:val="24"/>
          <w:szCs w:val="24"/>
          <w:lang w:val="en-US"/>
        </w:rPr>
        <w:t>modernity</w:t>
      </w:r>
      <w:r w:rsidR="00907DCF">
        <w:rPr>
          <w:rFonts w:ascii="Times New Roman" w:hAnsi="Times New Roman" w:cs="Times New Roman"/>
          <w:sz w:val="24"/>
          <w:szCs w:val="24"/>
          <w:lang w:val="en-US"/>
        </w:rPr>
        <w:t xml:space="preserve">. Whilst what he meant by ‘modernity’ is open to </w:t>
      </w:r>
      <w:r w:rsidR="008B7813">
        <w:rPr>
          <w:rFonts w:ascii="Times New Roman" w:hAnsi="Times New Roman" w:cs="Times New Roman"/>
          <w:sz w:val="24"/>
          <w:szCs w:val="24"/>
          <w:lang w:val="en-US"/>
        </w:rPr>
        <w:t>a number of different</w:t>
      </w:r>
      <w:r w:rsidR="00907DCF">
        <w:rPr>
          <w:rFonts w:ascii="Times New Roman" w:hAnsi="Times New Roman" w:cs="Times New Roman"/>
          <w:sz w:val="24"/>
          <w:szCs w:val="24"/>
          <w:lang w:val="en-US"/>
        </w:rPr>
        <w:t xml:space="preserve"> interpretations, the claim implies at the very least that, if Western states have moved or are moving </w:t>
      </w:r>
      <w:r w:rsidR="00907DCF">
        <w:rPr>
          <w:rFonts w:ascii="Times New Roman" w:hAnsi="Times New Roman" w:cs="Times New Roman"/>
          <w:i/>
          <w:sz w:val="24"/>
          <w:szCs w:val="24"/>
          <w:lang w:val="en-US"/>
        </w:rPr>
        <w:t xml:space="preserve">beyond </w:t>
      </w:r>
      <w:r w:rsidR="008B7813">
        <w:rPr>
          <w:rFonts w:ascii="Times New Roman" w:hAnsi="Times New Roman" w:cs="Times New Roman"/>
          <w:sz w:val="24"/>
          <w:szCs w:val="24"/>
          <w:lang w:val="en-US"/>
        </w:rPr>
        <w:t>modernity, normative legitimation projects could be in the process of transforming accordingly.</w:t>
      </w:r>
      <w:r w:rsidR="00907DCF">
        <w:rPr>
          <w:rFonts w:ascii="Times New Roman" w:hAnsi="Times New Roman" w:cs="Times New Roman"/>
          <w:sz w:val="24"/>
          <w:szCs w:val="24"/>
          <w:lang w:val="en-US"/>
        </w:rPr>
        <w:t xml:space="preserve">  </w:t>
      </w:r>
    </w:p>
    <w:p w14:paraId="3636145B"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53B7C4F1" w14:textId="2F302597"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Now, Loughlin’s response to Wilkinson’s critique seems to be that black-boxing</w:t>
      </w:r>
      <w:r w:rsidR="00423B99">
        <w:rPr>
          <w:rFonts w:ascii="Times New Roman" w:hAnsi="Times New Roman" w:cs="Times New Roman"/>
          <w:sz w:val="24"/>
          <w:szCs w:val="24"/>
          <w:lang w:val="en-US"/>
        </w:rPr>
        <w:t xml:space="preserve"> the</w:t>
      </w:r>
      <w:r w:rsidRPr="0019082A">
        <w:rPr>
          <w:rFonts w:ascii="Times New Roman" w:hAnsi="Times New Roman" w:cs="Times New Roman"/>
          <w:sz w:val="24"/>
          <w:szCs w:val="24"/>
          <w:lang w:val="en-US"/>
        </w:rPr>
        <w:t xml:space="preserve"> material forces that condition the autonomy of public law is fine as far as epistemological choices go (</w:t>
      </w:r>
      <w:r w:rsidRPr="0019082A">
        <w:rPr>
          <w:rFonts w:ascii="Times New Roman" w:hAnsi="Times New Roman" w:cs="Times New Roman"/>
          <w:i/>
          <w:sz w:val="24"/>
          <w:szCs w:val="24"/>
          <w:lang w:val="en-US"/>
        </w:rPr>
        <w:t xml:space="preserve">QF </w:t>
      </w:r>
      <w:r w:rsidRPr="0019082A">
        <w:rPr>
          <w:rFonts w:ascii="Times New Roman" w:hAnsi="Times New Roman" w:cs="Times New Roman"/>
          <w:sz w:val="24"/>
          <w:szCs w:val="24"/>
          <w:lang w:val="en-US"/>
        </w:rPr>
        <w:t xml:space="preserve">p. 267). In fact, Loughlin fully accepts that </w:t>
      </w:r>
      <w:r w:rsidR="00B945DB">
        <w:rPr>
          <w:rFonts w:ascii="Times New Roman" w:hAnsi="Times New Roman" w:cs="Times New Roman"/>
          <w:sz w:val="24"/>
          <w:szCs w:val="24"/>
          <w:lang w:val="en-US"/>
        </w:rPr>
        <w:t>all different kinds of</w:t>
      </w:r>
      <w:r w:rsidRPr="0019082A">
        <w:rPr>
          <w:rFonts w:ascii="Times New Roman" w:hAnsi="Times New Roman" w:cs="Times New Roman"/>
          <w:sz w:val="24"/>
          <w:szCs w:val="24"/>
          <w:lang w:val="en-US"/>
        </w:rPr>
        <w:t xml:space="preserve"> causal relationships exist between </w:t>
      </w:r>
      <w:r w:rsidR="00CC7F1A">
        <w:rPr>
          <w:rFonts w:ascii="Times New Roman" w:hAnsi="Times New Roman" w:cs="Times New Roman"/>
          <w:sz w:val="24"/>
          <w:szCs w:val="24"/>
          <w:lang w:val="en-US"/>
        </w:rPr>
        <w:t>various</w:t>
      </w:r>
      <w:r w:rsidRPr="0019082A">
        <w:rPr>
          <w:rFonts w:ascii="Times New Roman" w:hAnsi="Times New Roman" w:cs="Times New Roman"/>
          <w:sz w:val="24"/>
          <w:szCs w:val="24"/>
          <w:lang w:val="en-US"/>
        </w:rPr>
        <w:t xml:space="preserve"> factors and political phenomena. However, he claims that, in order to get the project of political jurisprudence off the ground, all that is needed is the</w:t>
      </w:r>
      <w:r w:rsidR="00CC7F1A">
        <w:rPr>
          <w:rFonts w:ascii="Times New Roman" w:hAnsi="Times New Roman" w:cs="Times New Roman"/>
          <w:sz w:val="24"/>
          <w:szCs w:val="24"/>
          <w:lang w:val="en-US"/>
        </w:rPr>
        <w:t xml:space="preserve"> relatively thin</w:t>
      </w:r>
      <w:r w:rsidRPr="0019082A">
        <w:rPr>
          <w:rFonts w:ascii="Times New Roman" w:hAnsi="Times New Roman" w:cs="Times New Roman"/>
          <w:sz w:val="24"/>
          <w:szCs w:val="24"/>
          <w:lang w:val="en-US"/>
        </w:rPr>
        <w:t xml:space="preserve"> premise that political relations are not reducible to either moral or socio-economic ones (ibid.). Loughlin thus contends that the autonomy of the political, no matter how it is causally brought about, is sufficient </w:t>
      </w:r>
      <w:r w:rsidRPr="0019082A">
        <w:rPr>
          <w:rFonts w:ascii="Times New Roman" w:hAnsi="Times New Roman" w:cs="Times New Roman"/>
          <w:i/>
          <w:sz w:val="24"/>
          <w:szCs w:val="24"/>
          <w:lang w:val="en-US"/>
        </w:rPr>
        <w:t>qua</w:t>
      </w:r>
      <w:r w:rsidRPr="0019082A">
        <w:rPr>
          <w:rFonts w:ascii="Times New Roman" w:hAnsi="Times New Roman" w:cs="Times New Roman"/>
          <w:sz w:val="24"/>
          <w:szCs w:val="24"/>
          <w:lang w:val="en-US"/>
        </w:rPr>
        <w:t xml:space="preserve"> surface phenomenon</w:t>
      </w:r>
      <w:r w:rsidR="00531FD7">
        <w:rPr>
          <w:rFonts w:ascii="Times New Roman" w:hAnsi="Times New Roman" w:cs="Times New Roman"/>
          <w:sz w:val="24"/>
          <w:szCs w:val="24"/>
          <w:lang w:val="en-US"/>
        </w:rPr>
        <w:t xml:space="preserve"> that still exists</w:t>
      </w:r>
      <w:r w:rsidRPr="0019082A">
        <w:rPr>
          <w:rFonts w:ascii="Times New Roman" w:hAnsi="Times New Roman" w:cs="Times New Roman"/>
          <w:sz w:val="24"/>
          <w:szCs w:val="24"/>
          <w:lang w:val="en-US"/>
        </w:rPr>
        <w:t xml:space="preserve"> to warrant a distinctive kind of enquiry into public law from the point of view of political jurisprudence.</w:t>
      </w:r>
    </w:p>
    <w:p w14:paraId="4C0B423E"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66F9258E" w14:textId="1AC5C9C2"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 xml:space="preserve">I now want to suggest that a deeper understanding of the issue that separates Loughlin and Wilkinson might provide reasons to question the adequacy of Loughlin’s response as a vindication of the distinctive project of political jurisprudence. The starting point is to ask the question of what could </w:t>
      </w:r>
      <w:r w:rsidR="00BA3276">
        <w:rPr>
          <w:rFonts w:ascii="Times New Roman" w:hAnsi="Times New Roman" w:cs="Times New Roman"/>
          <w:sz w:val="24"/>
          <w:szCs w:val="24"/>
          <w:lang w:val="en-US"/>
        </w:rPr>
        <w:t>account for</w:t>
      </w:r>
      <w:r w:rsidRPr="0019082A">
        <w:rPr>
          <w:rFonts w:ascii="Times New Roman" w:hAnsi="Times New Roman" w:cs="Times New Roman"/>
          <w:sz w:val="24"/>
          <w:szCs w:val="24"/>
          <w:lang w:val="en-US"/>
        </w:rPr>
        <w:t xml:space="preserve"> the turn of late nineteenth and early twentieth century legal thought away from the ‘classical’ tradition of political jurisprudence</w:t>
      </w:r>
      <w:r w:rsidR="00F33DDE">
        <w:rPr>
          <w:rFonts w:ascii="Times New Roman" w:hAnsi="Times New Roman" w:cs="Times New Roman"/>
          <w:sz w:val="24"/>
          <w:szCs w:val="24"/>
          <w:lang w:val="en-US"/>
        </w:rPr>
        <w:t>, which Loughlin wants to revive, and toward</w:t>
      </w:r>
      <w:r w:rsidRPr="0019082A">
        <w:rPr>
          <w:rFonts w:ascii="Times New Roman" w:hAnsi="Times New Roman" w:cs="Times New Roman"/>
          <w:sz w:val="24"/>
          <w:szCs w:val="24"/>
          <w:lang w:val="en-US"/>
        </w:rPr>
        <w:t xml:space="preserve"> a positivist outlook, supplemented from the mid-twentieth century onwards with the emergence of a number of robust anti-positivist alternatives. Why was the ‘science of political right’ abandoned as an intellectual project? Are there any factors deeper than intellectual complacency or, even worse, idleness that could </w:t>
      </w:r>
      <w:r w:rsidR="00265EC0">
        <w:rPr>
          <w:rFonts w:ascii="Times New Roman" w:hAnsi="Times New Roman" w:cs="Times New Roman"/>
          <w:sz w:val="24"/>
          <w:szCs w:val="24"/>
          <w:lang w:val="en-US"/>
        </w:rPr>
        <w:t>explain</w:t>
      </w:r>
      <w:r w:rsidRPr="0019082A">
        <w:rPr>
          <w:rFonts w:ascii="Times New Roman" w:hAnsi="Times New Roman" w:cs="Times New Roman"/>
          <w:sz w:val="24"/>
          <w:szCs w:val="24"/>
          <w:lang w:val="en-US"/>
        </w:rPr>
        <w:t xml:space="preserve"> such a turn</w:t>
      </w:r>
      <w:r w:rsidR="0028460B">
        <w:rPr>
          <w:rFonts w:ascii="Times New Roman" w:hAnsi="Times New Roman" w:cs="Times New Roman"/>
          <w:sz w:val="24"/>
          <w:szCs w:val="24"/>
          <w:lang w:val="en-US"/>
        </w:rPr>
        <w:t xml:space="preserve"> in the history of ideas</w:t>
      </w:r>
      <w:r w:rsidRPr="0019082A">
        <w:rPr>
          <w:rFonts w:ascii="Times New Roman" w:hAnsi="Times New Roman" w:cs="Times New Roman"/>
          <w:sz w:val="24"/>
          <w:szCs w:val="24"/>
          <w:lang w:val="en-US"/>
        </w:rPr>
        <w:t>? My proposed diagnosis, which I cannot fully elaborate on for reasons of space, is that a</w:t>
      </w:r>
      <w:r w:rsidR="00774311">
        <w:rPr>
          <w:rFonts w:ascii="Times New Roman" w:hAnsi="Times New Roman" w:cs="Times New Roman"/>
          <w:sz w:val="24"/>
          <w:szCs w:val="24"/>
          <w:lang w:val="en-US"/>
        </w:rPr>
        <w:t>ny</w:t>
      </w:r>
      <w:r w:rsidRPr="0019082A">
        <w:rPr>
          <w:rFonts w:ascii="Times New Roman" w:hAnsi="Times New Roman" w:cs="Times New Roman"/>
          <w:sz w:val="24"/>
          <w:szCs w:val="24"/>
          <w:lang w:val="en-US"/>
        </w:rPr>
        <w:t xml:space="preserve"> </w:t>
      </w:r>
      <w:r w:rsidRPr="0019082A">
        <w:rPr>
          <w:rFonts w:ascii="Times New Roman" w:hAnsi="Times New Roman" w:cs="Times New Roman"/>
          <w:sz w:val="24"/>
          <w:szCs w:val="24"/>
          <w:lang w:val="en-US"/>
        </w:rPr>
        <w:lastRenderedPageBreak/>
        <w:t>satisfactory explanation should</w:t>
      </w:r>
      <w:r w:rsidR="00774311">
        <w:rPr>
          <w:rFonts w:ascii="Times New Roman" w:hAnsi="Times New Roman" w:cs="Times New Roman"/>
          <w:sz w:val="24"/>
          <w:szCs w:val="24"/>
          <w:lang w:val="en-US"/>
        </w:rPr>
        <w:t>, at the very least albeit in a non-exclusive manner,</w:t>
      </w:r>
      <w:r w:rsidRPr="0019082A">
        <w:rPr>
          <w:rFonts w:ascii="Times New Roman" w:hAnsi="Times New Roman" w:cs="Times New Roman"/>
          <w:sz w:val="24"/>
          <w:szCs w:val="24"/>
          <w:lang w:val="en-US"/>
        </w:rPr>
        <w:t xml:space="preserve"> point to the phenomenon of the rise of the social sciences</w:t>
      </w:r>
      <w:r w:rsidR="009D4BFE">
        <w:rPr>
          <w:rFonts w:ascii="Times New Roman" w:hAnsi="Times New Roman" w:cs="Times New Roman"/>
          <w:sz w:val="24"/>
          <w:szCs w:val="24"/>
          <w:lang w:val="en-US"/>
        </w:rPr>
        <w:t xml:space="preserve"> within the intellectual division of labor</w:t>
      </w:r>
      <w:r w:rsidRPr="0019082A">
        <w:rPr>
          <w:rFonts w:ascii="Times New Roman" w:hAnsi="Times New Roman" w:cs="Times New Roman"/>
          <w:sz w:val="24"/>
          <w:szCs w:val="24"/>
          <w:lang w:val="en-US"/>
        </w:rPr>
        <w:t>. The turn in legal thought away from political jurisprudence and towards forms of positivism and anti-positivism can then be explained</w:t>
      </w:r>
      <w:r w:rsidR="009A4D67">
        <w:rPr>
          <w:rFonts w:ascii="Times New Roman" w:hAnsi="Times New Roman" w:cs="Times New Roman"/>
          <w:sz w:val="24"/>
          <w:szCs w:val="24"/>
          <w:lang w:val="en-US"/>
        </w:rPr>
        <w:t xml:space="preserve"> partly</w:t>
      </w:r>
      <w:r w:rsidRPr="0019082A">
        <w:rPr>
          <w:rFonts w:ascii="Times New Roman" w:hAnsi="Times New Roman" w:cs="Times New Roman"/>
          <w:sz w:val="24"/>
          <w:szCs w:val="24"/>
          <w:lang w:val="en-US"/>
        </w:rPr>
        <w:t xml:space="preserve"> as a reaction to that rise.</w:t>
      </w:r>
    </w:p>
    <w:p w14:paraId="7F229B0A"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604CCAAE" w14:textId="19AC4039" w:rsidR="002A2958"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What exactly is the rise of the so</w:t>
      </w:r>
      <w:r w:rsidR="00BC4F60" w:rsidRPr="0019082A">
        <w:rPr>
          <w:rFonts w:ascii="Times New Roman" w:hAnsi="Times New Roman" w:cs="Times New Roman"/>
          <w:sz w:val="24"/>
          <w:szCs w:val="24"/>
          <w:lang w:val="en-US"/>
        </w:rPr>
        <w:t>cial sciences? In the crudest</w:t>
      </w:r>
      <w:r w:rsidRPr="0019082A">
        <w:rPr>
          <w:rFonts w:ascii="Times New Roman" w:hAnsi="Times New Roman" w:cs="Times New Roman"/>
          <w:sz w:val="24"/>
          <w:szCs w:val="24"/>
          <w:lang w:val="en-US"/>
        </w:rPr>
        <w:t xml:space="preserve"> terms</w:t>
      </w:r>
      <w:r w:rsidR="00BC4F60" w:rsidRPr="0019082A">
        <w:rPr>
          <w:rFonts w:ascii="Times New Roman" w:hAnsi="Times New Roman" w:cs="Times New Roman"/>
          <w:sz w:val="24"/>
          <w:szCs w:val="24"/>
          <w:lang w:val="en-US"/>
        </w:rPr>
        <w:t>,</w:t>
      </w:r>
      <w:r w:rsidRPr="0019082A">
        <w:rPr>
          <w:rFonts w:ascii="Times New Roman" w:hAnsi="Times New Roman" w:cs="Times New Roman"/>
          <w:sz w:val="24"/>
          <w:szCs w:val="24"/>
          <w:lang w:val="en-US"/>
        </w:rPr>
        <w:t xml:space="preserve"> it is the emergence, by the end of the nineteenth century, of a number of new disciplines, chief amongst which were economics and sociology.</w:t>
      </w:r>
      <w:r w:rsidRPr="0019082A">
        <w:rPr>
          <w:rFonts w:ascii="Times New Roman" w:hAnsi="Times New Roman" w:cs="Times New Roman"/>
          <w:sz w:val="24"/>
          <w:szCs w:val="24"/>
          <w:vertAlign w:val="superscript"/>
          <w:lang w:val="en-US"/>
        </w:rPr>
        <w:footnoteReference w:id="32"/>
      </w:r>
      <w:r w:rsidRPr="0019082A">
        <w:rPr>
          <w:rFonts w:ascii="Times New Roman" w:hAnsi="Times New Roman" w:cs="Times New Roman"/>
          <w:sz w:val="24"/>
          <w:szCs w:val="24"/>
          <w:lang w:val="en-US"/>
        </w:rPr>
        <w:t xml:space="preserve"> These disciplines explicitly articulated the ambition of making</w:t>
      </w:r>
      <w:r w:rsidR="00BC4F60" w:rsidRPr="0019082A">
        <w:rPr>
          <w:rFonts w:ascii="Times New Roman" w:hAnsi="Times New Roman" w:cs="Times New Roman"/>
          <w:sz w:val="24"/>
          <w:szCs w:val="24"/>
          <w:lang w:val="en-US"/>
        </w:rPr>
        <w:t xml:space="preserve"> systematic</w:t>
      </w:r>
      <w:r w:rsidRPr="0019082A">
        <w:rPr>
          <w:rFonts w:ascii="Times New Roman" w:hAnsi="Times New Roman" w:cs="Times New Roman"/>
          <w:sz w:val="24"/>
          <w:szCs w:val="24"/>
          <w:lang w:val="en-US"/>
        </w:rPr>
        <w:t xml:space="preserve"> sense of ‘societies’</w:t>
      </w:r>
      <w:r w:rsidRPr="0019082A">
        <w:rPr>
          <w:rFonts w:ascii="Times New Roman" w:hAnsi="Times New Roman" w:cs="Times New Roman"/>
          <w:sz w:val="24"/>
          <w:szCs w:val="24"/>
          <w:vertAlign w:val="superscript"/>
          <w:lang w:val="en-US"/>
        </w:rPr>
        <w:footnoteReference w:id="33"/>
      </w:r>
      <w:r w:rsidRPr="0019082A">
        <w:rPr>
          <w:rFonts w:ascii="Times New Roman" w:hAnsi="Times New Roman" w:cs="Times New Roman"/>
          <w:sz w:val="24"/>
          <w:szCs w:val="24"/>
          <w:lang w:val="en-US"/>
        </w:rPr>
        <w:t xml:space="preserve"> </w:t>
      </w:r>
      <w:r w:rsidRPr="0019082A">
        <w:rPr>
          <w:rFonts w:ascii="Times New Roman" w:hAnsi="Times New Roman" w:cs="Times New Roman"/>
          <w:i/>
          <w:sz w:val="24"/>
          <w:szCs w:val="24"/>
          <w:lang w:val="en-US"/>
        </w:rPr>
        <w:t xml:space="preserve">qua </w:t>
      </w:r>
      <w:r w:rsidRPr="0019082A">
        <w:rPr>
          <w:rFonts w:ascii="Times New Roman" w:hAnsi="Times New Roman" w:cs="Times New Roman"/>
          <w:sz w:val="24"/>
          <w:szCs w:val="24"/>
          <w:lang w:val="en-US"/>
        </w:rPr>
        <w:t>structured wholes through the deployment of</w:t>
      </w:r>
      <w:r w:rsidR="00092A01" w:rsidRPr="0019082A">
        <w:rPr>
          <w:rFonts w:ascii="Times New Roman" w:hAnsi="Times New Roman" w:cs="Times New Roman"/>
          <w:sz w:val="24"/>
          <w:szCs w:val="24"/>
          <w:lang w:val="en-US"/>
        </w:rPr>
        <w:t xml:space="preserve"> rigorous</w:t>
      </w:r>
      <w:r w:rsidRPr="0019082A">
        <w:rPr>
          <w:rFonts w:ascii="Times New Roman" w:hAnsi="Times New Roman" w:cs="Times New Roman"/>
          <w:sz w:val="24"/>
          <w:szCs w:val="24"/>
          <w:lang w:val="en-US"/>
        </w:rPr>
        <w:t xml:space="preserve"> empirical methods and by way of articulating causal relationships between various kinds of social phenomena. </w:t>
      </w:r>
      <w:r w:rsidR="002A2958">
        <w:rPr>
          <w:rFonts w:ascii="Times New Roman" w:hAnsi="Times New Roman" w:cs="Times New Roman"/>
          <w:sz w:val="24"/>
          <w:szCs w:val="24"/>
          <w:lang w:val="en-US"/>
        </w:rPr>
        <w:t>The specific forms that putative causal explanations</w:t>
      </w:r>
      <w:r w:rsidR="00257627">
        <w:rPr>
          <w:rFonts w:ascii="Times New Roman" w:hAnsi="Times New Roman" w:cs="Times New Roman"/>
          <w:sz w:val="24"/>
          <w:szCs w:val="24"/>
          <w:lang w:val="en-US"/>
        </w:rPr>
        <w:t xml:space="preserve"> take of course varied</w:t>
      </w:r>
      <w:r w:rsidR="002A2958">
        <w:rPr>
          <w:rFonts w:ascii="Times New Roman" w:hAnsi="Times New Roman" w:cs="Times New Roman"/>
          <w:sz w:val="24"/>
          <w:szCs w:val="24"/>
          <w:lang w:val="en-US"/>
        </w:rPr>
        <w:t xml:space="preserve"> and generate</w:t>
      </w:r>
      <w:r w:rsidR="00257627">
        <w:rPr>
          <w:rFonts w:ascii="Times New Roman" w:hAnsi="Times New Roman" w:cs="Times New Roman"/>
          <w:sz w:val="24"/>
          <w:szCs w:val="24"/>
          <w:lang w:val="en-US"/>
        </w:rPr>
        <w:t>d</w:t>
      </w:r>
      <w:r w:rsidR="002A2958">
        <w:rPr>
          <w:rFonts w:ascii="Times New Roman" w:hAnsi="Times New Roman" w:cs="Times New Roman"/>
          <w:sz w:val="24"/>
          <w:szCs w:val="24"/>
          <w:lang w:val="en-US"/>
        </w:rPr>
        <w:t xml:space="preserve"> many different kinds of social science. Thus, to take some</w:t>
      </w:r>
      <w:r w:rsidR="00DC2C58">
        <w:rPr>
          <w:rFonts w:ascii="Times New Roman" w:hAnsi="Times New Roman" w:cs="Times New Roman"/>
          <w:sz w:val="24"/>
          <w:szCs w:val="24"/>
          <w:lang w:val="en-US"/>
        </w:rPr>
        <w:t xml:space="preserve"> key</w:t>
      </w:r>
      <w:r w:rsidR="002A2958">
        <w:rPr>
          <w:rFonts w:ascii="Times New Roman" w:hAnsi="Times New Roman" w:cs="Times New Roman"/>
          <w:sz w:val="24"/>
          <w:szCs w:val="24"/>
          <w:lang w:val="en-US"/>
        </w:rPr>
        <w:t xml:space="preserve"> examples, Marx’s ‘laws’ of the accumulation of capital (even if</w:t>
      </w:r>
      <w:r w:rsidR="00110DBD">
        <w:rPr>
          <w:rFonts w:ascii="Times New Roman" w:hAnsi="Times New Roman" w:cs="Times New Roman"/>
          <w:sz w:val="24"/>
          <w:szCs w:val="24"/>
          <w:lang w:val="en-US"/>
        </w:rPr>
        <w:t xml:space="preserve"> these are but</w:t>
      </w:r>
      <w:r w:rsidR="002A2958">
        <w:rPr>
          <w:rFonts w:ascii="Times New Roman" w:hAnsi="Times New Roman" w:cs="Times New Roman"/>
          <w:sz w:val="24"/>
          <w:szCs w:val="24"/>
          <w:lang w:val="en-US"/>
        </w:rPr>
        <w:t xml:space="preserve"> </w:t>
      </w:r>
      <w:r w:rsidR="002A2958">
        <w:rPr>
          <w:rFonts w:ascii="Times New Roman" w:hAnsi="Times New Roman" w:cs="Times New Roman"/>
          <w:i/>
          <w:sz w:val="24"/>
          <w:szCs w:val="24"/>
          <w:lang w:val="en-US"/>
        </w:rPr>
        <w:t>ceteris paribus</w:t>
      </w:r>
      <w:r w:rsidR="002A2958">
        <w:rPr>
          <w:rFonts w:ascii="Times New Roman" w:hAnsi="Times New Roman" w:cs="Times New Roman"/>
          <w:sz w:val="24"/>
          <w:szCs w:val="24"/>
          <w:lang w:val="en-US"/>
        </w:rPr>
        <w:t xml:space="preserve"> laws</w:t>
      </w:r>
      <w:r w:rsidR="002A2958">
        <w:rPr>
          <w:rStyle w:val="FootnoteReference"/>
          <w:rFonts w:ascii="Times New Roman" w:hAnsi="Times New Roman" w:cs="Times New Roman"/>
          <w:sz w:val="24"/>
          <w:szCs w:val="24"/>
          <w:lang w:val="en-US"/>
        </w:rPr>
        <w:footnoteReference w:id="34"/>
      </w:r>
      <w:r w:rsidR="002A2958">
        <w:rPr>
          <w:rFonts w:ascii="Times New Roman" w:hAnsi="Times New Roman" w:cs="Times New Roman"/>
          <w:sz w:val="24"/>
          <w:szCs w:val="24"/>
          <w:lang w:val="en-US"/>
        </w:rPr>
        <w:t>) differ significantly from Durkheim’s more holistic causal explanations (for example, of practices of suicide by reference to patterns of social solidarity</w:t>
      </w:r>
      <w:r w:rsidR="002A2958">
        <w:rPr>
          <w:rStyle w:val="FootnoteReference"/>
          <w:rFonts w:ascii="Times New Roman" w:hAnsi="Times New Roman" w:cs="Times New Roman"/>
          <w:sz w:val="24"/>
          <w:szCs w:val="24"/>
          <w:lang w:val="en-US"/>
        </w:rPr>
        <w:footnoteReference w:id="35"/>
      </w:r>
      <w:r w:rsidR="002A2958">
        <w:rPr>
          <w:rFonts w:ascii="Times New Roman" w:hAnsi="Times New Roman" w:cs="Times New Roman"/>
          <w:sz w:val="24"/>
          <w:szCs w:val="24"/>
          <w:lang w:val="en-US"/>
        </w:rPr>
        <w:t xml:space="preserve">) or from Weber’s rigorous methodological individualism that set the stage for </w:t>
      </w:r>
      <w:r w:rsidR="00DC5DB2">
        <w:rPr>
          <w:rFonts w:ascii="Times New Roman" w:hAnsi="Times New Roman" w:cs="Times New Roman"/>
          <w:sz w:val="24"/>
          <w:szCs w:val="24"/>
          <w:lang w:val="en-US"/>
        </w:rPr>
        <w:t>action-based explanations that decompose social wholes.</w:t>
      </w:r>
      <w:r w:rsidR="00DC5DB2">
        <w:rPr>
          <w:rStyle w:val="FootnoteReference"/>
          <w:rFonts w:ascii="Times New Roman" w:hAnsi="Times New Roman" w:cs="Times New Roman"/>
          <w:sz w:val="24"/>
          <w:szCs w:val="24"/>
          <w:lang w:val="en-US"/>
        </w:rPr>
        <w:footnoteReference w:id="36"/>
      </w:r>
      <w:r w:rsidR="00257627">
        <w:rPr>
          <w:rFonts w:ascii="Times New Roman" w:hAnsi="Times New Roman" w:cs="Times New Roman"/>
          <w:sz w:val="24"/>
          <w:szCs w:val="24"/>
          <w:lang w:val="en-US"/>
        </w:rPr>
        <w:t xml:space="preserve"> </w:t>
      </w:r>
      <w:r w:rsidR="00815F93">
        <w:rPr>
          <w:rFonts w:ascii="Times New Roman" w:hAnsi="Times New Roman" w:cs="Times New Roman"/>
          <w:sz w:val="24"/>
          <w:szCs w:val="24"/>
          <w:lang w:val="en-US"/>
        </w:rPr>
        <w:t>In all these cases</w:t>
      </w:r>
      <w:r w:rsidR="00257627">
        <w:rPr>
          <w:rFonts w:ascii="Times New Roman" w:hAnsi="Times New Roman" w:cs="Times New Roman"/>
          <w:sz w:val="24"/>
          <w:szCs w:val="24"/>
          <w:lang w:val="en-US"/>
        </w:rPr>
        <w:t xml:space="preserve">, though, </w:t>
      </w:r>
      <w:r w:rsidR="00815F93">
        <w:rPr>
          <w:rFonts w:ascii="Times New Roman" w:hAnsi="Times New Roman" w:cs="Times New Roman"/>
          <w:sz w:val="24"/>
          <w:szCs w:val="24"/>
          <w:lang w:val="en-US"/>
        </w:rPr>
        <w:t>there was a deep commitment to an epistemological ideal that moves beyond merely</w:t>
      </w:r>
      <w:r w:rsidR="00257627">
        <w:rPr>
          <w:rFonts w:ascii="Times New Roman" w:hAnsi="Times New Roman" w:cs="Times New Roman"/>
          <w:sz w:val="24"/>
          <w:szCs w:val="24"/>
          <w:lang w:val="en-US"/>
        </w:rPr>
        <w:t xml:space="preserve"> true description of social phenomena</w:t>
      </w:r>
      <w:r w:rsidR="00815F93">
        <w:rPr>
          <w:rFonts w:ascii="Times New Roman" w:hAnsi="Times New Roman" w:cs="Times New Roman"/>
          <w:sz w:val="24"/>
          <w:szCs w:val="24"/>
          <w:lang w:val="en-US"/>
        </w:rPr>
        <w:t xml:space="preserve"> and aims at accounting for them</w:t>
      </w:r>
      <w:r w:rsidR="00257627">
        <w:rPr>
          <w:rFonts w:ascii="Times New Roman" w:hAnsi="Times New Roman" w:cs="Times New Roman"/>
          <w:sz w:val="24"/>
          <w:szCs w:val="24"/>
          <w:lang w:val="en-US"/>
        </w:rPr>
        <w:t xml:space="preserve"> </w:t>
      </w:r>
      <w:r w:rsidR="00815F93">
        <w:rPr>
          <w:rFonts w:ascii="Times New Roman" w:hAnsi="Times New Roman" w:cs="Times New Roman"/>
          <w:sz w:val="24"/>
          <w:szCs w:val="24"/>
          <w:lang w:val="en-US"/>
        </w:rPr>
        <w:t>in a causal manner</w:t>
      </w:r>
      <w:r w:rsidR="007151EE">
        <w:rPr>
          <w:rFonts w:ascii="Times New Roman" w:hAnsi="Times New Roman" w:cs="Times New Roman"/>
          <w:sz w:val="24"/>
          <w:szCs w:val="24"/>
          <w:lang w:val="en-US"/>
        </w:rPr>
        <w:t>.</w:t>
      </w:r>
    </w:p>
    <w:p w14:paraId="4714A61F" w14:textId="77777777" w:rsidR="002A2958" w:rsidRDefault="002A2958">
      <w:pPr>
        <w:pStyle w:val="normal0"/>
        <w:spacing w:line="360" w:lineRule="auto"/>
        <w:jc w:val="both"/>
        <w:rPr>
          <w:rFonts w:ascii="Times New Roman" w:hAnsi="Times New Roman" w:cs="Times New Roman"/>
          <w:sz w:val="24"/>
          <w:szCs w:val="24"/>
          <w:lang w:val="en-US"/>
        </w:rPr>
      </w:pPr>
    </w:p>
    <w:p w14:paraId="6DA2C265" w14:textId="22289606"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The twent</w:t>
      </w:r>
      <w:r w:rsidR="00204451" w:rsidRPr="0019082A">
        <w:rPr>
          <w:rFonts w:ascii="Times New Roman" w:hAnsi="Times New Roman" w:cs="Times New Roman"/>
          <w:sz w:val="24"/>
          <w:szCs w:val="24"/>
          <w:lang w:val="en-US"/>
        </w:rPr>
        <w:t>ieth century witnessed the ever-</w:t>
      </w:r>
      <w:r w:rsidRPr="0019082A">
        <w:rPr>
          <w:rFonts w:ascii="Times New Roman" w:hAnsi="Times New Roman" w:cs="Times New Roman"/>
          <w:sz w:val="24"/>
          <w:szCs w:val="24"/>
          <w:lang w:val="en-US"/>
        </w:rPr>
        <w:t>growing expansion and sophistication of these sciences, to cover not only social or economic but also psychological or political phenomena.</w:t>
      </w:r>
      <w:r w:rsidRPr="0019082A">
        <w:rPr>
          <w:rFonts w:ascii="Times New Roman" w:hAnsi="Times New Roman" w:cs="Times New Roman"/>
          <w:sz w:val="24"/>
          <w:szCs w:val="24"/>
          <w:vertAlign w:val="superscript"/>
          <w:lang w:val="en-US"/>
        </w:rPr>
        <w:footnoteReference w:id="37"/>
      </w:r>
      <w:r w:rsidRPr="0019082A">
        <w:rPr>
          <w:rFonts w:ascii="Times New Roman" w:hAnsi="Times New Roman" w:cs="Times New Roman"/>
          <w:sz w:val="24"/>
          <w:szCs w:val="24"/>
          <w:lang w:val="en-US"/>
        </w:rPr>
        <w:t xml:space="preserve"> </w:t>
      </w:r>
      <w:r w:rsidR="00B46C27">
        <w:rPr>
          <w:rFonts w:ascii="Times New Roman" w:hAnsi="Times New Roman" w:cs="Times New Roman"/>
          <w:sz w:val="24"/>
          <w:szCs w:val="24"/>
          <w:lang w:val="en-US"/>
        </w:rPr>
        <w:t>The result is a social scientific landscape that seems today deeply divided and fragmented.</w:t>
      </w:r>
      <w:r w:rsidR="00B46C27">
        <w:rPr>
          <w:rStyle w:val="FootnoteReference"/>
          <w:rFonts w:ascii="Times New Roman" w:hAnsi="Times New Roman" w:cs="Times New Roman"/>
          <w:sz w:val="24"/>
          <w:szCs w:val="24"/>
          <w:lang w:val="en-US"/>
        </w:rPr>
        <w:footnoteReference w:id="38"/>
      </w:r>
      <w:r w:rsidR="00B46C27">
        <w:rPr>
          <w:rFonts w:ascii="Times New Roman" w:hAnsi="Times New Roman" w:cs="Times New Roman"/>
          <w:sz w:val="24"/>
          <w:szCs w:val="24"/>
          <w:lang w:val="en-US"/>
        </w:rPr>
        <w:t xml:space="preserve"> </w:t>
      </w:r>
      <w:r w:rsidR="00B04085">
        <w:rPr>
          <w:rFonts w:ascii="Times New Roman" w:hAnsi="Times New Roman" w:cs="Times New Roman"/>
          <w:sz w:val="24"/>
          <w:szCs w:val="24"/>
          <w:lang w:val="en-US"/>
        </w:rPr>
        <w:t>Now</w:t>
      </w:r>
      <w:r w:rsidRPr="0019082A">
        <w:rPr>
          <w:rFonts w:ascii="Times New Roman" w:hAnsi="Times New Roman" w:cs="Times New Roman"/>
          <w:sz w:val="24"/>
          <w:szCs w:val="24"/>
          <w:lang w:val="en-US"/>
        </w:rPr>
        <w:t>, it is not possible to provide here even a rough sketch of the breadth and depth of these new forms of explanation</w:t>
      </w:r>
      <w:r w:rsidR="00B04085">
        <w:rPr>
          <w:rFonts w:ascii="Times New Roman" w:hAnsi="Times New Roman" w:cs="Times New Roman"/>
          <w:sz w:val="24"/>
          <w:szCs w:val="24"/>
          <w:lang w:val="en-US"/>
        </w:rPr>
        <w:t xml:space="preserve"> of the social</w:t>
      </w:r>
      <w:r w:rsidRPr="0019082A">
        <w:rPr>
          <w:rFonts w:ascii="Times New Roman" w:hAnsi="Times New Roman" w:cs="Times New Roman"/>
          <w:sz w:val="24"/>
          <w:szCs w:val="24"/>
          <w:lang w:val="en-US"/>
        </w:rPr>
        <w:t>. I shall confine myself to two succinct points</w:t>
      </w:r>
      <w:r w:rsidR="004853AC">
        <w:rPr>
          <w:rFonts w:ascii="Times New Roman" w:hAnsi="Times New Roman" w:cs="Times New Roman"/>
          <w:sz w:val="24"/>
          <w:szCs w:val="24"/>
          <w:lang w:val="en-US"/>
        </w:rPr>
        <w:t xml:space="preserve"> that seem to me important for my argument</w:t>
      </w:r>
      <w:r w:rsidRPr="0019082A">
        <w:rPr>
          <w:rFonts w:ascii="Times New Roman" w:hAnsi="Times New Roman" w:cs="Times New Roman"/>
          <w:sz w:val="24"/>
          <w:szCs w:val="24"/>
          <w:lang w:val="en-US"/>
        </w:rPr>
        <w:t xml:space="preserve">. First, the social sciences, and despite a host of still pending </w:t>
      </w:r>
      <w:r w:rsidRPr="0019082A">
        <w:rPr>
          <w:rFonts w:ascii="Times New Roman" w:hAnsi="Times New Roman" w:cs="Times New Roman"/>
          <w:sz w:val="24"/>
          <w:szCs w:val="24"/>
          <w:lang w:val="en-US"/>
        </w:rPr>
        <w:lastRenderedPageBreak/>
        <w:t>epistemological and methodological disagreements</w:t>
      </w:r>
      <w:r w:rsidRPr="0019082A">
        <w:rPr>
          <w:rFonts w:ascii="Times New Roman" w:hAnsi="Times New Roman" w:cs="Times New Roman"/>
          <w:sz w:val="24"/>
          <w:szCs w:val="24"/>
          <w:vertAlign w:val="superscript"/>
          <w:lang w:val="en-US"/>
        </w:rPr>
        <w:footnoteReference w:id="39"/>
      </w:r>
      <w:r w:rsidRPr="0019082A">
        <w:rPr>
          <w:rFonts w:ascii="Times New Roman" w:hAnsi="Times New Roman" w:cs="Times New Roman"/>
          <w:sz w:val="24"/>
          <w:szCs w:val="24"/>
          <w:lang w:val="en-US"/>
        </w:rPr>
        <w:t xml:space="preserve">, share the </w:t>
      </w:r>
      <w:r w:rsidR="00C51D4C" w:rsidRPr="0019082A">
        <w:rPr>
          <w:rFonts w:ascii="Times New Roman" w:hAnsi="Times New Roman" w:cs="Times New Roman"/>
          <w:sz w:val="24"/>
          <w:szCs w:val="24"/>
          <w:lang w:val="en-US"/>
        </w:rPr>
        <w:t>desideratum</w:t>
      </w:r>
      <w:r w:rsidRPr="0019082A">
        <w:rPr>
          <w:rFonts w:ascii="Times New Roman" w:hAnsi="Times New Roman" w:cs="Times New Roman"/>
          <w:sz w:val="24"/>
          <w:szCs w:val="24"/>
          <w:lang w:val="en-US"/>
        </w:rPr>
        <w:t xml:space="preserve"> of providing sufficient </w:t>
      </w:r>
      <w:r w:rsidRPr="0019082A">
        <w:rPr>
          <w:rFonts w:ascii="Times New Roman" w:hAnsi="Times New Roman" w:cs="Times New Roman"/>
          <w:i/>
          <w:sz w:val="24"/>
          <w:szCs w:val="24"/>
          <w:lang w:val="en-US"/>
        </w:rPr>
        <w:t>empirical grounding</w:t>
      </w:r>
      <w:r w:rsidRPr="0019082A">
        <w:rPr>
          <w:rFonts w:ascii="Times New Roman" w:hAnsi="Times New Roman" w:cs="Times New Roman"/>
          <w:sz w:val="24"/>
          <w:szCs w:val="24"/>
          <w:lang w:val="en-US"/>
        </w:rPr>
        <w:t xml:space="preserve"> for their findings. This constrains the ways in which evidence of such grounding is gathered and used by reference to more or less strict rules of method and causal inference.</w:t>
      </w:r>
      <w:r w:rsidRPr="0019082A">
        <w:rPr>
          <w:rFonts w:ascii="Times New Roman" w:hAnsi="Times New Roman" w:cs="Times New Roman"/>
          <w:sz w:val="24"/>
          <w:szCs w:val="24"/>
          <w:vertAlign w:val="superscript"/>
          <w:lang w:val="en-US"/>
        </w:rPr>
        <w:footnoteReference w:id="40"/>
      </w:r>
      <w:r w:rsidR="009A5C4D">
        <w:rPr>
          <w:rFonts w:ascii="Times New Roman" w:hAnsi="Times New Roman" w:cs="Times New Roman"/>
          <w:sz w:val="24"/>
          <w:szCs w:val="24"/>
          <w:lang w:val="en-US"/>
        </w:rPr>
        <w:t xml:space="preserve"> It is thus important to note that, apart from revolutionizing the ways in which causal explanations between social phenomena are sought, the social sciences also provided novel concepts for </w:t>
      </w:r>
      <w:r w:rsidR="009A5C4D">
        <w:rPr>
          <w:rFonts w:ascii="Times New Roman" w:hAnsi="Times New Roman" w:cs="Times New Roman"/>
          <w:i/>
          <w:sz w:val="24"/>
          <w:szCs w:val="24"/>
          <w:lang w:val="en-US"/>
        </w:rPr>
        <w:t>describing</w:t>
      </w:r>
      <w:r w:rsidR="009A5C4D">
        <w:rPr>
          <w:rFonts w:ascii="Times New Roman" w:hAnsi="Times New Roman" w:cs="Times New Roman"/>
          <w:sz w:val="24"/>
          <w:szCs w:val="24"/>
          <w:lang w:val="en-US"/>
        </w:rPr>
        <w:t xml:space="preserve"> such phenomena and thus </w:t>
      </w:r>
      <w:r w:rsidR="009A5C4D">
        <w:rPr>
          <w:rFonts w:ascii="Times New Roman" w:hAnsi="Times New Roman" w:cs="Times New Roman"/>
          <w:i/>
          <w:sz w:val="24"/>
          <w:szCs w:val="24"/>
          <w:lang w:val="en-US"/>
        </w:rPr>
        <w:t>interpreting</w:t>
      </w:r>
      <w:r w:rsidR="009A5C4D">
        <w:rPr>
          <w:rFonts w:ascii="Times New Roman" w:hAnsi="Times New Roman" w:cs="Times New Roman"/>
          <w:sz w:val="24"/>
          <w:szCs w:val="24"/>
          <w:lang w:val="en-US"/>
        </w:rPr>
        <w:t xml:space="preserve"> social actions.</w:t>
      </w:r>
      <w:r w:rsidRPr="0019082A">
        <w:rPr>
          <w:rFonts w:ascii="Times New Roman" w:hAnsi="Times New Roman" w:cs="Times New Roman"/>
          <w:sz w:val="24"/>
          <w:szCs w:val="24"/>
          <w:lang w:val="en-US"/>
        </w:rPr>
        <w:t xml:space="preserve"> Second, the</w:t>
      </w:r>
      <w:r w:rsidR="00116E0C">
        <w:rPr>
          <w:rFonts w:ascii="Times New Roman" w:hAnsi="Times New Roman" w:cs="Times New Roman"/>
          <w:sz w:val="24"/>
          <w:szCs w:val="24"/>
          <w:lang w:val="en-US"/>
        </w:rPr>
        <w:t xml:space="preserve"> more focused</w:t>
      </w:r>
      <w:r w:rsidRPr="0019082A">
        <w:rPr>
          <w:rFonts w:ascii="Times New Roman" w:hAnsi="Times New Roman" w:cs="Times New Roman"/>
          <w:sz w:val="24"/>
          <w:szCs w:val="24"/>
          <w:lang w:val="en-US"/>
        </w:rPr>
        <w:t xml:space="preserve"> ambition of the social sciences to uncover causal relationships between social phenomena in a systematic manner had profound implications for the ways in which other traditional forms of social inquiry were conducted. In particular, many of the canonical specimens of Western political and legal thought appeared increasingly, at least from the point of view of the</w:t>
      </w:r>
      <w:r w:rsidR="00002434" w:rsidRPr="0019082A">
        <w:rPr>
          <w:rFonts w:ascii="Times New Roman" w:hAnsi="Times New Roman" w:cs="Times New Roman"/>
          <w:sz w:val="24"/>
          <w:szCs w:val="24"/>
          <w:lang w:val="en-US"/>
        </w:rPr>
        <w:t xml:space="preserve"> nascent</w:t>
      </w:r>
      <w:r w:rsidRPr="0019082A">
        <w:rPr>
          <w:rFonts w:ascii="Times New Roman" w:hAnsi="Times New Roman" w:cs="Times New Roman"/>
          <w:sz w:val="24"/>
          <w:szCs w:val="24"/>
          <w:lang w:val="en-US"/>
        </w:rPr>
        <w:t xml:space="preserve"> social sciences, to be nothing more than an unsystematic hodge-podge of psychological precepts,</w:t>
      </w:r>
      <w:r w:rsidR="00002434" w:rsidRPr="0019082A">
        <w:rPr>
          <w:rFonts w:ascii="Times New Roman" w:hAnsi="Times New Roman" w:cs="Times New Roman"/>
          <w:sz w:val="24"/>
          <w:szCs w:val="24"/>
          <w:lang w:val="en-US"/>
        </w:rPr>
        <w:t xml:space="preserve"> armchair</w:t>
      </w:r>
      <w:r w:rsidRPr="0019082A">
        <w:rPr>
          <w:rFonts w:ascii="Times New Roman" w:hAnsi="Times New Roman" w:cs="Times New Roman"/>
          <w:sz w:val="24"/>
          <w:szCs w:val="24"/>
          <w:lang w:val="en-US"/>
        </w:rPr>
        <w:t xml:space="preserve"> philosophical ruminations and undisciplined uncovering of causal relationships, the proper study of which was now within the purview of these new ways of </w:t>
      </w:r>
      <w:r w:rsidR="009A5C4D" w:rsidRPr="0019082A">
        <w:rPr>
          <w:rFonts w:ascii="Times New Roman" w:hAnsi="Times New Roman" w:cs="Times New Roman"/>
          <w:sz w:val="24"/>
          <w:szCs w:val="24"/>
          <w:lang w:val="en-US"/>
        </w:rPr>
        <w:t>conceptualizing</w:t>
      </w:r>
      <w:r w:rsidRPr="0019082A">
        <w:rPr>
          <w:rFonts w:ascii="Times New Roman" w:hAnsi="Times New Roman" w:cs="Times New Roman"/>
          <w:sz w:val="24"/>
          <w:szCs w:val="24"/>
          <w:lang w:val="en-US"/>
        </w:rPr>
        <w:t xml:space="preserve"> and explaining the social world.</w:t>
      </w:r>
    </w:p>
    <w:p w14:paraId="18088EF6"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1B6126FF" w14:textId="07090F75" w:rsidR="00365C41" w:rsidRPr="0019082A" w:rsidRDefault="00300CA3">
      <w:pPr>
        <w:pStyle w:val="norm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do not need </w:t>
      </w:r>
      <w:r w:rsidR="008D4AD2">
        <w:rPr>
          <w:rFonts w:ascii="Times New Roman" w:hAnsi="Times New Roman" w:cs="Times New Roman"/>
          <w:sz w:val="24"/>
          <w:szCs w:val="24"/>
          <w:lang w:val="en-US"/>
        </w:rPr>
        <w:t>settle here the question</w:t>
      </w:r>
      <w:r>
        <w:rPr>
          <w:rFonts w:ascii="Times New Roman" w:hAnsi="Times New Roman" w:cs="Times New Roman"/>
          <w:sz w:val="24"/>
          <w:szCs w:val="24"/>
          <w:lang w:val="en-US"/>
        </w:rPr>
        <w:t xml:space="preserve"> whether the epistemological claims of the social sciences </w:t>
      </w:r>
      <w:r>
        <w:rPr>
          <w:rFonts w:ascii="Times New Roman" w:hAnsi="Times New Roman" w:cs="Times New Roman"/>
          <w:i/>
          <w:sz w:val="24"/>
          <w:szCs w:val="24"/>
          <w:lang w:val="en-US"/>
        </w:rPr>
        <w:t xml:space="preserve">qua </w:t>
      </w:r>
      <w:r>
        <w:rPr>
          <w:rFonts w:ascii="Times New Roman" w:hAnsi="Times New Roman" w:cs="Times New Roman"/>
          <w:sz w:val="24"/>
          <w:szCs w:val="24"/>
          <w:lang w:val="en-US"/>
        </w:rPr>
        <w:t xml:space="preserve">causal claims actually deliver </w:t>
      </w:r>
      <w:r w:rsidR="008D4AD2">
        <w:rPr>
          <w:rFonts w:ascii="Times New Roman" w:hAnsi="Times New Roman" w:cs="Times New Roman"/>
          <w:sz w:val="24"/>
          <w:szCs w:val="24"/>
          <w:lang w:val="en-US"/>
        </w:rPr>
        <w:t>the</w:t>
      </w:r>
      <w:r w:rsidR="005163C2">
        <w:rPr>
          <w:rFonts w:ascii="Times New Roman" w:hAnsi="Times New Roman" w:cs="Times New Roman"/>
          <w:sz w:val="24"/>
          <w:szCs w:val="24"/>
          <w:lang w:val="en-US"/>
        </w:rPr>
        <w:t xml:space="preserve"> promised knowledge</w:t>
      </w:r>
      <w:r w:rsidR="008D4AD2">
        <w:rPr>
          <w:rFonts w:ascii="Times New Roman" w:hAnsi="Times New Roman" w:cs="Times New Roman"/>
          <w:sz w:val="24"/>
          <w:szCs w:val="24"/>
          <w:lang w:val="en-US"/>
        </w:rPr>
        <w:t xml:space="preserve"> goods</w:t>
      </w:r>
      <w:r w:rsidR="005163C2">
        <w:rPr>
          <w:rFonts w:ascii="Times New Roman" w:hAnsi="Times New Roman" w:cs="Times New Roman"/>
          <w:sz w:val="24"/>
          <w:szCs w:val="24"/>
          <w:lang w:val="en-US"/>
        </w:rPr>
        <w:t>. As I have already said, this is too complex a question to tackle, to which we should simply add the</w:t>
      </w:r>
      <w:r w:rsidR="00AF0C74">
        <w:rPr>
          <w:rFonts w:ascii="Times New Roman" w:hAnsi="Times New Roman" w:cs="Times New Roman"/>
          <w:sz w:val="24"/>
          <w:szCs w:val="24"/>
          <w:lang w:val="en-US"/>
        </w:rPr>
        <w:t xml:space="preserve"> social sciences’ quite</w:t>
      </w:r>
      <w:r w:rsidR="005163C2">
        <w:rPr>
          <w:rFonts w:ascii="Times New Roman" w:hAnsi="Times New Roman" w:cs="Times New Roman"/>
          <w:sz w:val="24"/>
          <w:szCs w:val="24"/>
          <w:lang w:val="en-US"/>
        </w:rPr>
        <w:t xml:space="preserve"> mixed</w:t>
      </w:r>
      <w:r w:rsidR="00AF0C74">
        <w:rPr>
          <w:rFonts w:ascii="Times New Roman" w:hAnsi="Times New Roman" w:cs="Times New Roman"/>
          <w:sz w:val="24"/>
          <w:szCs w:val="24"/>
          <w:lang w:val="en-US"/>
        </w:rPr>
        <w:t xml:space="preserve"> track record.</w:t>
      </w:r>
      <w:r w:rsidR="00AF0C74">
        <w:rPr>
          <w:rStyle w:val="FootnoteReference"/>
          <w:rFonts w:ascii="Times New Roman" w:hAnsi="Times New Roman" w:cs="Times New Roman"/>
          <w:sz w:val="24"/>
          <w:szCs w:val="24"/>
          <w:lang w:val="en-US"/>
        </w:rPr>
        <w:footnoteReference w:id="41"/>
      </w:r>
      <w:r w:rsidR="005163C2">
        <w:rPr>
          <w:rFonts w:ascii="Times New Roman" w:hAnsi="Times New Roman" w:cs="Times New Roman"/>
          <w:sz w:val="24"/>
          <w:szCs w:val="24"/>
          <w:lang w:val="en-US"/>
        </w:rPr>
        <w:t xml:space="preserve"> </w:t>
      </w:r>
      <w:r w:rsidR="002E6F5F" w:rsidRPr="0019082A">
        <w:rPr>
          <w:rFonts w:ascii="Times New Roman" w:hAnsi="Times New Roman" w:cs="Times New Roman"/>
          <w:sz w:val="24"/>
          <w:szCs w:val="24"/>
          <w:lang w:val="en-US"/>
        </w:rPr>
        <w:t>My</w:t>
      </w:r>
      <w:r w:rsidR="00BF6FCA">
        <w:rPr>
          <w:rFonts w:ascii="Times New Roman" w:hAnsi="Times New Roman" w:cs="Times New Roman"/>
          <w:sz w:val="24"/>
          <w:szCs w:val="24"/>
          <w:lang w:val="en-US"/>
        </w:rPr>
        <w:t xml:space="preserve"> only</w:t>
      </w:r>
      <w:r w:rsidR="002E6F5F" w:rsidRPr="0019082A">
        <w:rPr>
          <w:rFonts w:ascii="Times New Roman" w:hAnsi="Times New Roman" w:cs="Times New Roman"/>
          <w:sz w:val="24"/>
          <w:szCs w:val="24"/>
          <w:lang w:val="en-US"/>
        </w:rPr>
        <w:t xml:space="preserve"> </w:t>
      </w:r>
      <w:r w:rsidR="00BF6FCA">
        <w:rPr>
          <w:rFonts w:ascii="Times New Roman" w:hAnsi="Times New Roman" w:cs="Times New Roman"/>
          <w:sz w:val="24"/>
          <w:szCs w:val="24"/>
          <w:lang w:val="en-US"/>
        </w:rPr>
        <w:t>argument here</w:t>
      </w:r>
      <w:r w:rsidR="002E6F5F" w:rsidRPr="0019082A">
        <w:rPr>
          <w:rFonts w:ascii="Times New Roman" w:hAnsi="Times New Roman" w:cs="Times New Roman"/>
          <w:sz w:val="24"/>
          <w:szCs w:val="24"/>
          <w:lang w:val="en-US"/>
        </w:rPr>
        <w:t xml:space="preserve"> is that</w:t>
      </w:r>
      <w:r w:rsidR="00BF6FCA">
        <w:rPr>
          <w:rFonts w:ascii="Times New Roman" w:hAnsi="Times New Roman" w:cs="Times New Roman"/>
          <w:sz w:val="24"/>
          <w:szCs w:val="24"/>
          <w:lang w:val="en-US"/>
        </w:rPr>
        <w:t>, irrespective of whether they were in fact successful as causal explanations go, the social sciences exerted a distinctive kind of epistemological pressure on other kinds of conceptualization of the social, such as more traditional legal methods. I thus contend that</w:t>
      </w:r>
      <w:r w:rsidR="002E6F5F" w:rsidRPr="0019082A">
        <w:rPr>
          <w:rFonts w:ascii="Times New Roman" w:hAnsi="Times New Roman" w:cs="Times New Roman"/>
          <w:sz w:val="24"/>
          <w:szCs w:val="24"/>
          <w:lang w:val="en-US"/>
        </w:rPr>
        <w:t xml:space="preserve"> the transformations in legal thought at the turn of the nineteenth century can be to a sign</w:t>
      </w:r>
      <w:r w:rsidR="002959DC">
        <w:rPr>
          <w:rFonts w:ascii="Times New Roman" w:hAnsi="Times New Roman" w:cs="Times New Roman"/>
          <w:sz w:val="24"/>
          <w:szCs w:val="24"/>
          <w:lang w:val="en-US"/>
        </w:rPr>
        <w:t>ificant extent attributed to the kind of</w:t>
      </w:r>
      <w:r w:rsidR="002E6F5F" w:rsidRPr="0019082A">
        <w:rPr>
          <w:rFonts w:ascii="Times New Roman" w:hAnsi="Times New Roman" w:cs="Times New Roman"/>
          <w:sz w:val="24"/>
          <w:szCs w:val="24"/>
          <w:lang w:val="en-US"/>
        </w:rPr>
        <w:t xml:space="preserve"> epistemological pressure</w:t>
      </w:r>
      <w:r w:rsidR="002959DC">
        <w:rPr>
          <w:rFonts w:ascii="Times New Roman" w:hAnsi="Times New Roman" w:cs="Times New Roman"/>
          <w:sz w:val="24"/>
          <w:szCs w:val="24"/>
          <w:lang w:val="en-US"/>
        </w:rPr>
        <w:t xml:space="preserve"> that was increasingly being</w:t>
      </w:r>
      <w:r w:rsidR="002E6F5F" w:rsidRPr="0019082A">
        <w:rPr>
          <w:rFonts w:ascii="Times New Roman" w:hAnsi="Times New Roman" w:cs="Times New Roman"/>
          <w:sz w:val="24"/>
          <w:szCs w:val="24"/>
          <w:lang w:val="en-US"/>
        </w:rPr>
        <w:t xml:space="preserve"> exerted by the </w:t>
      </w:r>
      <w:r w:rsidR="00002434" w:rsidRPr="0019082A">
        <w:rPr>
          <w:rFonts w:ascii="Times New Roman" w:hAnsi="Times New Roman" w:cs="Times New Roman"/>
          <w:sz w:val="24"/>
          <w:szCs w:val="24"/>
          <w:lang w:val="en-US"/>
        </w:rPr>
        <w:t>emerging</w:t>
      </w:r>
      <w:r w:rsidR="002E6F5F" w:rsidRPr="0019082A">
        <w:rPr>
          <w:rFonts w:ascii="Times New Roman" w:hAnsi="Times New Roman" w:cs="Times New Roman"/>
          <w:sz w:val="24"/>
          <w:szCs w:val="24"/>
          <w:lang w:val="en-US"/>
        </w:rPr>
        <w:t xml:space="preserve"> social sciences. In fact, legal scholars </w:t>
      </w:r>
      <w:r w:rsidR="00002434" w:rsidRPr="0019082A">
        <w:rPr>
          <w:rFonts w:ascii="Times New Roman" w:hAnsi="Times New Roman" w:cs="Times New Roman"/>
          <w:sz w:val="24"/>
          <w:szCs w:val="24"/>
          <w:lang w:val="en-US"/>
        </w:rPr>
        <w:t>were facing</w:t>
      </w:r>
      <w:r w:rsidR="002E6F5F" w:rsidRPr="0019082A">
        <w:rPr>
          <w:rFonts w:ascii="Times New Roman" w:hAnsi="Times New Roman" w:cs="Times New Roman"/>
          <w:sz w:val="24"/>
          <w:szCs w:val="24"/>
          <w:lang w:val="en-US"/>
        </w:rPr>
        <w:t xml:space="preserve"> a stark dilemma: they should either </w:t>
      </w:r>
      <w:r w:rsidR="00602C39" w:rsidRPr="0019082A">
        <w:rPr>
          <w:rFonts w:ascii="Times New Roman" w:hAnsi="Times New Roman" w:cs="Times New Roman"/>
          <w:sz w:val="24"/>
          <w:szCs w:val="24"/>
          <w:lang w:val="en-US"/>
        </w:rPr>
        <w:t>distinguish in a principled way</w:t>
      </w:r>
      <w:r w:rsidR="002E6F5F" w:rsidRPr="0019082A">
        <w:rPr>
          <w:rFonts w:ascii="Times New Roman" w:hAnsi="Times New Roman" w:cs="Times New Roman"/>
          <w:sz w:val="24"/>
          <w:szCs w:val="24"/>
          <w:lang w:val="en-US"/>
        </w:rPr>
        <w:t xml:space="preserve"> their intellectual discipline from the</w:t>
      </w:r>
      <w:r w:rsidR="0099371A">
        <w:rPr>
          <w:rFonts w:ascii="Times New Roman" w:hAnsi="Times New Roman" w:cs="Times New Roman"/>
          <w:sz w:val="24"/>
          <w:szCs w:val="24"/>
          <w:lang w:val="en-US"/>
        </w:rPr>
        <w:t xml:space="preserve"> nascent</w:t>
      </w:r>
      <w:r w:rsidR="002E6F5F" w:rsidRPr="0019082A">
        <w:rPr>
          <w:rFonts w:ascii="Times New Roman" w:hAnsi="Times New Roman" w:cs="Times New Roman"/>
          <w:sz w:val="24"/>
          <w:szCs w:val="24"/>
          <w:lang w:val="en-US"/>
        </w:rPr>
        <w:t xml:space="preserve"> social sciences, or else be accused of running together causal and normative claims in a confused</w:t>
      </w:r>
      <w:r w:rsidR="005244F9">
        <w:rPr>
          <w:rFonts w:ascii="Times New Roman" w:hAnsi="Times New Roman" w:cs="Times New Roman"/>
          <w:sz w:val="24"/>
          <w:szCs w:val="24"/>
          <w:lang w:val="en-US"/>
        </w:rPr>
        <w:t xml:space="preserve"> and </w:t>
      </w:r>
      <w:r w:rsidR="005244F9">
        <w:rPr>
          <w:rFonts w:ascii="Times New Roman" w:hAnsi="Times New Roman" w:cs="Times New Roman"/>
          <w:i/>
          <w:sz w:val="24"/>
          <w:szCs w:val="24"/>
          <w:lang w:val="en-US"/>
        </w:rPr>
        <w:t>ad hoc</w:t>
      </w:r>
      <w:r w:rsidR="002E6F5F" w:rsidRPr="0019082A">
        <w:rPr>
          <w:rFonts w:ascii="Times New Roman" w:hAnsi="Times New Roman" w:cs="Times New Roman"/>
          <w:sz w:val="24"/>
          <w:szCs w:val="24"/>
          <w:lang w:val="en-US"/>
        </w:rPr>
        <w:t xml:space="preserve"> manner. </w:t>
      </w:r>
      <w:r w:rsidR="00482B19">
        <w:rPr>
          <w:rFonts w:ascii="Times New Roman" w:hAnsi="Times New Roman" w:cs="Times New Roman"/>
          <w:sz w:val="24"/>
          <w:szCs w:val="24"/>
          <w:lang w:val="en-US"/>
        </w:rPr>
        <w:t>As far as legal method goes, t</w:t>
      </w:r>
      <w:r w:rsidR="002E6F5F" w:rsidRPr="0019082A">
        <w:rPr>
          <w:rFonts w:ascii="Times New Roman" w:hAnsi="Times New Roman" w:cs="Times New Roman"/>
          <w:sz w:val="24"/>
          <w:szCs w:val="24"/>
          <w:lang w:val="en-US"/>
        </w:rPr>
        <w:t>he</w:t>
      </w:r>
      <w:r w:rsidR="00482B19">
        <w:rPr>
          <w:rFonts w:ascii="Times New Roman" w:hAnsi="Times New Roman" w:cs="Times New Roman"/>
          <w:sz w:val="24"/>
          <w:szCs w:val="24"/>
          <w:lang w:val="en-US"/>
        </w:rPr>
        <w:t xml:space="preserve"> most significant</w:t>
      </w:r>
      <w:r w:rsidR="002E6F5F" w:rsidRPr="0019082A">
        <w:rPr>
          <w:rFonts w:ascii="Times New Roman" w:hAnsi="Times New Roman" w:cs="Times New Roman"/>
          <w:sz w:val="24"/>
          <w:szCs w:val="24"/>
          <w:lang w:val="en-US"/>
        </w:rPr>
        <w:t xml:space="preserve"> broadly Kantian solution out of this dilemma was provided by Hans Kelsen.</w:t>
      </w:r>
      <w:r w:rsidR="003D7212" w:rsidRPr="0019082A">
        <w:rPr>
          <w:rStyle w:val="FootnoteReference"/>
          <w:rFonts w:ascii="Times New Roman" w:hAnsi="Times New Roman" w:cs="Times New Roman"/>
          <w:sz w:val="24"/>
          <w:szCs w:val="24"/>
          <w:lang w:val="en-US"/>
        </w:rPr>
        <w:footnoteReference w:id="42"/>
      </w:r>
      <w:r w:rsidR="002E6F5F" w:rsidRPr="0019082A">
        <w:rPr>
          <w:rFonts w:ascii="Times New Roman" w:hAnsi="Times New Roman" w:cs="Times New Roman"/>
          <w:sz w:val="24"/>
          <w:szCs w:val="24"/>
          <w:lang w:val="en-US"/>
        </w:rPr>
        <w:t xml:space="preserve"> </w:t>
      </w:r>
      <w:r w:rsidR="002E6F5F" w:rsidRPr="0019082A">
        <w:rPr>
          <w:rFonts w:ascii="Times New Roman" w:hAnsi="Times New Roman" w:cs="Times New Roman"/>
          <w:sz w:val="24"/>
          <w:szCs w:val="24"/>
          <w:lang w:val="en-US"/>
        </w:rPr>
        <w:lastRenderedPageBreak/>
        <w:t xml:space="preserve">His response to the challenge was to prompt legal scholarship to become fully, openly and </w:t>
      </w:r>
      <w:r w:rsidR="002E6F5F" w:rsidRPr="0019082A">
        <w:rPr>
          <w:rFonts w:ascii="Times New Roman" w:hAnsi="Times New Roman" w:cs="Times New Roman"/>
          <w:i/>
          <w:sz w:val="24"/>
          <w:szCs w:val="24"/>
          <w:lang w:val="en-US"/>
        </w:rPr>
        <w:t>solely</w:t>
      </w:r>
      <w:r w:rsidR="002E6F5F" w:rsidRPr="0019082A">
        <w:rPr>
          <w:rFonts w:ascii="Times New Roman" w:hAnsi="Times New Roman" w:cs="Times New Roman"/>
          <w:sz w:val="24"/>
          <w:szCs w:val="24"/>
          <w:lang w:val="en-US"/>
        </w:rPr>
        <w:t xml:space="preserve"> normative. Kelsen’s chief idea was</w:t>
      </w:r>
      <w:r w:rsidR="00F80103" w:rsidRPr="0019082A">
        <w:rPr>
          <w:rFonts w:ascii="Times New Roman" w:hAnsi="Times New Roman" w:cs="Times New Roman"/>
          <w:sz w:val="24"/>
          <w:szCs w:val="24"/>
          <w:lang w:val="en-US"/>
        </w:rPr>
        <w:t xml:space="preserve"> thus</w:t>
      </w:r>
      <w:r w:rsidR="002E6F5F" w:rsidRPr="0019082A">
        <w:rPr>
          <w:rFonts w:ascii="Times New Roman" w:hAnsi="Times New Roman" w:cs="Times New Roman"/>
          <w:sz w:val="24"/>
          <w:szCs w:val="24"/>
          <w:lang w:val="en-US"/>
        </w:rPr>
        <w:t xml:space="preserve"> to black-box all causal relations and to insist that what he called ‘legal science’ should confine itself to describing and explaining distinctively </w:t>
      </w:r>
      <w:r w:rsidR="002E6F5F" w:rsidRPr="0019082A">
        <w:rPr>
          <w:rFonts w:ascii="Times New Roman" w:hAnsi="Times New Roman" w:cs="Times New Roman"/>
          <w:i/>
          <w:sz w:val="24"/>
          <w:szCs w:val="24"/>
          <w:lang w:val="en-US"/>
        </w:rPr>
        <w:t>normative</w:t>
      </w:r>
      <w:r w:rsidR="002E6F5F" w:rsidRPr="0019082A">
        <w:rPr>
          <w:rFonts w:ascii="Times New Roman" w:hAnsi="Times New Roman" w:cs="Times New Roman"/>
          <w:sz w:val="24"/>
          <w:szCs w:val="24"/>
          <w:lang w:val="en-US"/>
        </w:rPr>
        <w:t xml:space="preserve"> phenomena. In Kelsen’s terminology, the social sciences were concerned with causal relationsh</w:t>
      </w:r>
      <w:r w:rsidR="005B31F2">
        <w:rPr>
          <w:rFonts w:ascii="Times New Roman" w:hAnsi="Times New Roman" w:cs="Times New Roman"/>
          <w:sz w:val="24"/>
          <w:szCs w:val="24"/>
          <w:lang w:val="en-US"/>
        </w:rPr>
        <w:t>ips in the domain of ‘is’, whilst</w:t>
      </w:r>
      <w:r w:rsidR="002E6F5F" w:rsidRPr="0019082A">
        <w:rPr>
          <w:rFonts w:ascii="Times New Roman" w:hAnsi="Times New Roman" w:cs="Times New Roman"/>
          <w:sz w:val="24"/>
          <w:szCs w:val="24"/>
          <w:lang w:val="en-US"/>
        </w:rPr>
        <w:t xml:space="preserve"> legal science aimed at describing in a value-free way normative phenomena in the domain of ‘ought’.</w:t>
      </w:r>
      <w:r w:rsidR="002E6F5F" w:rsidRPr="0019082A">
        <w:rPr>
          <w:rFonts w:ascii="Times New Roman" w:hAnsi="Times New Roman" w:cs="Times New Roman"/>
          <w:sz w:val="24"/>
          <w:szCs w:val="24"/>
          <w:vertAlign w:val="superscript"/>
          <w:lang w:val="en-US"/>
        </w:rPr>
        <w:footnoteReference w:id="43"/>
      </w:r>
      <w:r w:rsidR="002E6F5F" w:rsidRPr="0019082A">
        <w:rPr>
          <w:rFonts w:ascii="Times New Roman" w:hAnsi="Times New Roman" w:cs="Times New Roman"/>
          <w:sz w:val="24"/>
          <w:szCs w:val="24"/>
          <w:lang w:val="en-US"/>
        </w:rPr>
        <w:t xml:space="preserve"> </w:t>
      </w:r>
      <w:r w:rsidR="00742155" w:rsidRPr="0019082A">
        <w:rPr>
          <w:rFonts w:ascii="Times New Roman" w:hAnsi="Times New Roman" w:cs="Times New Roman"/>
          <w:sz w:val="24"/>
          <w:szCs w:val="24"/>
          <w:lang w:val="en-US"/>
        </w:rPr>
        <w:t>Importantly,</w:t>
      </w:r>
      <w:r w:rsidR="002E6F5F" w:rsidRPr="0019082A">
        <w:rPr>
          <w:rFonts w:ascii="Times New Roman" w:hAnsi="Times New Roman" w:cs="Times New Roman"/>
          <w:sz w:val="24"/>
          <w:szCs w:val="24"/>
          <w:lang w:val="en-US"/>
        </w:rPr>
        <w:t xml:space="preserve"> Kelsen’s solution, despite its specifically positivist </w:t>
      </w:r>
      <w:r w:rsidR="00DA4383" w:rsidRPr="0019082A">
        <w:rPr>
          <w:rFonts w:ascii="Times New Roman" w:hAnsi="Times New Roman" w:cs="Times New Roman"/>
          <w:sz w:val="24"/>
          <w:szCs w:val="24"/>
          <w:lang w:val="en-US"/>
        </w:rPr>
        <w:t>content</w:t>
      </w:r>
      <w:r w:rsidR="002E6F5F" w:rsidRPr="0019082A">
        <w:rPr>
          <w:rFonts w:ascii="Times New Roman" w:hAnsi="Times New Roman" w:cs="Times New Roman"/>
          <w:sz w:val="24"/>
          <w:szCs w:val="24"/>
          <w:lang w:val="en-US"/>
        </w:rPr>
        <w:t xml:space="preserve">, is structurally neutral between positivist and anti-positivist theories of law. In fact, positivist as much as anti-positivist theories fall on the ‘ought’ side of the ‘is’/’ought’ divide. </w:t>
      </w:r>
      <w:r w:rsidR="00C46500" w:rsidRPr="0019082A">
        <w:rPr>
          <w:rFonts w:ascii="Times New Roman" w:hAnsi="Times New Roman" w:cs="Times New Roman"/>
          <w:sz w:val="24"/>
          <w:szCs w:val="24"/>
          <w:lang w:val="en-US"/>
        </w:rPr>
        <w:t>In both cases</w:t>
      </w:r>
      <w:r w:rsidR="002E6F5F" w:rsidRPr="0019082A">
        <w:rPr>
          <w:rFonts w:ascii="Times New Roman" w:hAnsi="Times New Roman" w:cs="Times New Roman"/>
          <w:sz w:val="24"/>
          <w:szCs w:val="24"/>
          <w:lang w:val="en-US"/>
        </w:rPr>
        <w:t xml:space="preserve">, principled epistemological reasons are </w:t>
      </w:r>
      <w:r w:rsidR="00C46500" w:rsidRPr="0019082A">
        <w:rPr>
          <w:rFonts w:ascii="Times New Roman" w:hAnsi="Times New Roman" w:cs="Times New Roman"/>
          <w:sz w:val="24"/>
          <w:szCs w:val="24"/>
          <w:lang w:val="en-US"/>
        </w:rPr>
        <w:t>provided</w:t>
      </w:r>
      <w:r w:rsidR="002E6F5F" w:rsidRPr="0019082A">
        <w:rPr>
          <w:rFonts w:ascii="Times New Roman" w:hAnsi="Times New Roman" w:cs="Times New Roman"/>
          <w:sz w:val="24"/>
          <w:szCs w:val="24"/>
          <w:lang w:val="en-US"/>
        </w:rPr>
        <w:t xml:space="preserve"> to support the view that normative disciplines are immune to causal accounts of social relationships, </w:t>
      </w:r>
      <w:r w:rsidR="00742155" w:rsidRPr="0019082A">
        <w:rPr>
          <w:rFonts w:ascii="Times New Roman" w:hAnsi="Times New Roman" w:cs="Times New Roman"/>
          <w:sz w:val="24"/>
          <w:szCs w:val="24"/>
          <w:lang w:val="en-US"/>
        </w:rPr>
        <w:t>insofar as</w:t>
      </w:r>
      <w:r w:rsidR="002E6F5F" w:rsidRPr="0019082A">
        <w:rPr>
          <w:rFonts w:ascii="Times New Roman" w:hAnsi="Times New Roman" w:cs="Times New Roman"/>
          <w:sz w:val="24"/>
          <w:szCs w:val="24"/>
          <w:lang w:val="en-US"/>
        </w:rPr>
        <w:t xml:space="preserve"> they</w:t>
      </w:r>
      <w:r w:rsidR="00BB5AE2">
        <w:rPr>
          <w:rFonts w:ascii="Times New Roman" w:hAnsi="Times New Roman" w:cs="Times New Roman"/>
          <w:sz w:val="24"/>
          <w:szCs w:val="24"/>
          <w:lang w:val="en-US"/>
        </w:rPr>
        <w:t xml:space="preserve"> are not reducible to them. The principled fallback on the normative thus provides a</w:t>
      </w:r>
      <w:r w:rsidR="003E610C">
        <w:rPr>
          <w:rFonts w:ascii="Times New Roman" w:hAnsi="Times New Roman" w:cs="Times New Roman"/>
          <w:sz w:val="24"/>
          <w:szCs w:val="24"/>
          <w:lang w:val="en-US"/>
        </w:rPr>
        <w:t xml:space="preserve"> kind of strategy that</w:t>
      </w:r>
      <w:r w:rsidR="002E6F5F" w:rsidRPr="0019082A">
        <w:rPr>
          <w:rFonts w:ascii="Times New Roman" w:hAnsi="Times New Roman" w:cs="Times New Roman"/>
          <w:sz w:val="24"/>
          <w:szCs w:val="24"/>
          <w:lang w:val="en-US"/>
        </w:rPr>
        <w:t xml:space="preserve"> allows theories of law to black-box </w:t>
      </w:r>
      <w:r w:rsidR="00372055">
        <w:rPr>
          <w:rFonts w:ascii="Times New Roman" w:hAnsi="Times New Roman" w:cs="Times New Roman"/>
          <w:sz w:val="24"/>
          <w:szCs w:val="24"/>
          <w:lang w:val="en-US"/>
        </w:rPr>
        <w:t>social scientific</w:t>
      </w:r>
      <w:r w:rsidR="00BD1389" w:rsidRPr="0019082A">
        <w:rPr>
          <w:rFonts w:ascii="Times New Roman" w:hAnsi="Times New Roman" w:cs="Times New Roman"/>
          <w:sz w:val="24"/>
          <w:szCs w:val="24"/>
          <w:lang w:val="en-US"/>
        </w:rPr>
        <w:t xml:space="preserve"> accounts</w:t>
      </w:r>
      <w:r w:rsidR="002E6F5F" w:rsidRPr="0019082A">
        <w:rPr>
          <w:rFonts w:ascii="Times New Roman" w:hAnsi="Times New Roman" w:cs="Times New Roman"/>
          <w:sz w:val="24"/>
          <w:szCs w:val="24"/>
          <w:lang w:val="en-US"/>
        </w:rPr>
        <w:t xml:space="preserve"> and thereby to survive the onslaught of the </w:t>
      </w:r>
      <w:r w:rsidR="00372055">
        <w:rPr>
          <w:rFonts w:ascii="Times New Roman" w:hAnsi="Times New Roman" w:cs="Times New Roman"/>
          <w:sz w:val="24"/>
          <w:szCs w:val="24"/>
          <w:lang w:val="en-US"/>
        </w:rPr>
        <w:t>causal claims about the law</w:t>
      </w:r>
      <w:r w:rsidR="002E6F5F" w:rsidRPr="0019082A">
        <w:rPr>
          <w:rFonts w:ascii="Times New Roman" w:hAnsi="Times New Roman" w:cs="Times New Roman"/>
          <w:sz w:val="24"/>
          <w:szCs w:val="24"/>
          <w:lang w:val="en-US"/>
        </w:rPr>
        <w:t xml:space="preserve">. Note, also, that the strategy is perfectly general. In fact, </w:t>
      </w:r>
      <w:r w:rsidR="00A73CF1" w:rsidRPr="0019082A">
        <w:rPr>
          <w:rFonts w:ascii="Times New Roman" w:hAnsi="Times New Roman" w:cs="Times New Roman"/>
          <w:sz w:val="24"/>
          <w:szCs w:val="24"/>
          <w:lang w:val="en-US"/>
        </w:rPr>
        <w:t>theorists who claim that normative philosophy, be it moral or political</w:t>
      </w:r>
      <w:r w:rsidR="00D04979" w:rsidRPr="0019082A">
        <w:rPr>
          <w:rFonts w:ascii="Times New Roman" w:hAnsi="Times New Roman" w:cs="Times New Roman"/>
          <w:sz w:val="24"/>
          <w:szCs w:val="24"/>
          <w:lang w:val="en-US"/>
        </w:rPr>
        <w:t>, is an autonomous discipline</w:t>
      </w:r>
      <w:r w:rsidR="002E6F5F" w:rsidRPr="0019082A">
        <w:rPr>
          <w:rFonts w:ascii="Times New Roman" w:hAnsi="Times New Roman" w:cs="Times New Roman"/>
          <w:sz w:val="24"/>
          <w:szCs w:val="24"/>
          <w:lang w:val="en-US"/>
        </w:rPr>
        <w:t>,</w:t>
      </w:r>
      <w:r w:rsidR="00A73CF1" w:rsidRPr="0019082A">
        <w:rPr>
          <w:rFonts w:ascii="Times New Roman" w:hAnsi="Times New Roman" w:cs="Times New Roman"/>
          <w:sz w:val="24"/>
          <w:szCs w:val="24"/>
          <w:lang w:val="en-US"/>
        </w:rPr>
        <w:t xml:space="preserve"> </w:t>
      </w:r>
      <w:r w:rsidR="00BD1389" w:rsidRPr="0019082A">
        <w:rPr>
          <w:rFonts w:ascii="Times New Roman" w:hAnsi="Times New Roman" w:cs="Times New Roman"/>
          <w:sz w:val="24"/>
          <w:szCs w:val="24"/>
          <w:lang w:val="en-US"/>
        </w:rPr>
        <w:t>also routinely use the same argument</w:t>
      </w:r>
      <w:r w:rsidR="00A73CF1" w:rsidRPr="0019082A">
        <w:rPr>
          <w:rFonts w:ascii="Times New Roman" w:hAnsi="Times New Roman" w:cs="Times New Roman"/>
          <w:sz w:val="24"/>
          <w:szCs w:val="24"/>
          <w:lang w:val="en-US"/>
        </w:rPr>
        <w:t xml:space="preserve"> to render the normative</w:t>
      </w:r>
      <w:r w:rsidR="00BD1389" w:rsidRPr="0019082A">
        <w:rPr>
          <w:rFonts w:ascii="Times New Roman" w:hAnsi="Times New Roman" w:cs="Times New Roman"/>
          <w:sz w:val="24"/>
          <w:szCs w:val="24"/>
          <w:lang w:val="en-US"/>
        </w:rPr>
        <w:t xml:space="preserve"> domain</w:t>
      </w:r>
      <w:r w:rsidR="002E6F5F" w:rsidRPr="0019082A">
        <w:rPr>
          <w:rFonts w:ascii="Times New Roman" w:hAnsi="Times New Roman" w:cs="Times New Roman"/>
          <w:sz w:val="24"/>
          <w:szCs w:val="24"/>
          <w:lang w:val="en-US"/>
        </w:rPr>
        <w:t xml:space="preserve"> immune</w:t>
      </w:r>
      <w:r w:rsidR="00BD1389" w:rsidRPr="0019082A">
        <w:rPr>
          <w:rFonts w:ascii="Times New Roman" w:hAnsi="Times New Roman" w:cs="Times New Roman"/>
          <w:sz w:val="24"/>
          <w:szCs w:val="24"/>
          <w:lang w:val="en-US"/>
        </w:rPr>
        <w:t xml:space="preserve"> from attempts at</w:t>
      </w:r>
      <w:r w:rsidR="002E6F5F" w:rsidRPr="0019082A">
        <w:rPr>
          <w:rFonts w:ascii="Times New Roman" w:hAnsi="Times New Roman" w:cs="Times New Roman"/>
          <w:sz w:val="24"/>
          <w:szCs w:val="24"/>
          <w:lang w:val="en-US"/>
        </w:rPr>
        <w:t xml:space="preserve"> empirical disconfirmation.</w:t>
      </w:r>
      <w:r w:rsidR="002E6F5F" w:rsidRPr="0019082A">
        <w:rPr>
          <w:rFonts w:ascii="Times New Roman" w:hAnsi="Times New Roman" w:cs="Times New Roman"/>
          <w:sz w:val="24"/>
          <w:szCs w:val="24"/>
          <w:vertAlign w:val="superscript"/>
          <w:lang w:val="en-US"/>
        </w:rPr>
        <w:footnoteReference w:id="44"/>
      </w:r>
      <w:r w:rsidR="002E6F5F" w:rsidRPr="0019082A">
        <w:rPr>
          <w:rFonts w:ascii="Times New Roman" w:hAnsi="Times New Roman" w:cs="Times New Roman"/>
          <w:sz w:val="24"/>
          <w:szCs w:val="24"/>
          <w:lang w:val="en-US"/>
        </w:rPr>
        <w:t xml:space="preserve">            </w:t>
      </w:r>
    </w:p>
    <w:p w14:paraId="7921BDE1"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1E7E5840" w14:textId="1CA882B3"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Now, the diagnosis offered above</w:t>
      </w:r>
      <w:r w:rsidR="00B70D28">
        <w:rPr>
          <w:rFonts w:ascii="Times New Roman" w:hAnsi="Times New Roman" w:cs="Times New Roman"/>
          <w:sz w:val="24"/>
          <w:szCs w:val="24"/>
          <w:lang w:val="en-US"/>
        </w:rPr>
        <w:t>, if correct,</w:t>
      </w:r>
      <w:r w:rsidRPr="0019082A">
        <w:rPr>
          <w:rFonts w:ascii="Times New Roman" w:hAnsi="Times New Roman" w:cs="Times New Roman"/>
          <w:sz w:val="24"/>
          <w:szCs w:val="24"/>
          <w:lang w:val="en-US"/>
        </w:rPr>
        <w:t xml:space="preserve"> points to a number of ambiguities in Loughlin’s project. The first </w:t>
      </w:r>
      <w:r w:rsidR="00996F6A">
        <w:rPr>
          <w:rFonts w:ascii="Times New Roman" w:hAnsi="Times New Roman" w:cs="Times New Roman"/>
          <w:sz w:val="24"/>
          <w:szCs w:val="24"/>
          <w:lang w:val="en-US"/>
        </w:rPr>
        <w:t>one</w:t>
      </w:r>
      <w:r w:rsidRPr="0019082A">
        <w:rPr>
          <w:rFonts w:ascii="Times New Roman" w:hAnsi="Times New Roman" w:cs="Times New Roman"/>
          <w:sz w:val="24"/>
          <w:szCs w:val="24"/>
          <w:lang w:val="en-US"/>
        </w:rPr>
        <w:t xml:space="preserve"> is to do with the extent to which Loughlin</w:t>
      </w:r>
      <w:r w:rsidR="006265C5" w:rsidRPr="0019082A">
        <w:rPr>
          <w:rFonts w:ascii="Times New Roman" w:hAnsi="Times New Roman" w:cs="Times New Roman"/>
          <w:sz w:val="24"/>
          <w:szCs w:val="24"/>
          <w:lang w:val="en-US"/>
        </w:rPr>
        <w:t>, despite his programmatic declarations to the contrary,</w:t>
      </w:r>
      <w:r w:rsidRPr="0019082A">
        <w:rPr>
          <w:rFonts w:ascii="Times New Roman" w:hAnsi="Times New Roman" w:cs="Times New Roman"/>
          <w:sz w:val="24"/>
          <w:szCs w:val="24"/>
          <w:lang w:val="en-US"/>
        </w:rPr>
        <w:t xml:space="preserve"> actually breaks with the Kelsenian epistemological predicament. In fact,</w:t>
      </w:r>
      <w:r w:rsidR="005740AE" w:rsidRPr="0019082A">
        <w:rPr>
          <w:rFonts w:ascii="Times New Roman" w:hAnsi="Times New Roman" w:cs="Times New Roman"/>
          <w:sz w:val="24"/>
          <w:szCs w:val="24"/>
          <w:lang w:val="en-US"/>
        </w:rPr>
        <w:t xml:space="preserve"> as his response to Wilkinson appears to suggest,</w:t>
      </w:r>
      <w:r w:rsidRPr="0019082A">
        <w:rPr>
          <w:rFonts w:ascii="Times New Roman" w:hAnsi="Times New Roman" w:cs="Times New Roman"/>
          <w:sz w:val="24"/>
          <w:szCs w:val="24"/>
          <w:lang w:val="en-US"/>
        </w:rPr>
        <w:t xml:space="preserve"> Loughlin </w:t>
      </w:r>
      <w:r w:rsidR="005740AE" w:rsidRPr="0019082A">
        <w:rPr>
          <w:rFonts w:ascii="Times New Roman" w:hAnsi="Times New Roman" w:cs="Times New Roman"/>
          <w:sz w:val="24"/>
          <w:szCs w:val="24"/>
          <w:lang w:val="en-US"/>
        </w:rPr>
        <w:t>seems</w:t>
      </w:r>
      <w:r w:rsidR="00DC3EEF">
        <w:rPr>
          <w:rFonts w:ascii="Times New Roman" w:hAnsi="Times New Roman" w:cs="Times New Roman"/>
          <w:sz w:val="24"/>
          <w:szCs w:val="24"/>
          <w:lang w:val="en-US"/>
        </w:rPr>
        <w:t xml:space="preserve"> to oscillate between two options. The first one consists in deliberately</w:t>
      </w:r>
      <w:r w:rsidRPr="0019082A">
        <w:rPr>
          <w:rFonts w:ascii="Times New Roman" w:hAnsi="Times New Roman" w:cs="Times New Roman"/>
          <w:sz w:val="24"/>
          <w:szCs w:val="24"/>
          <w:lang w:val="en-US"/>
        </w:rPr>
        <w:t xml:space="preserve"> </w:t>
      </w:r>
      <w:r w:rsidR="00DC3EEF">
        <w:rPr>
          <w:rFonts w:ascii="Times New Roman" w:hAnsi="Times New Roman" w:cs="Times New Roman"/>
          <w:sz w:val="24"/>
          <w:szCs w:val="24"/>
          <w:lang w:val="en-US"/>
        </w:rPr>
        <w:t>and completely black-boxing any</w:t>
      </w:r>
      <w:r w:rsidRPr="0019082A">
        <w:rPr>
          <w:rFonts w:ascii="Times New Roman" w:hAnsi="Times New Roman" w:cs="Times New Roman"/>
          <w:sz w:val="24"/>
          <w:szCs w:val="24"/>
          <w:lang w:val="en-US"/>
        </w:rPr>
        <w:t xml:space="preserve"> causal factors that underpin the autonomy of the politic</w:t>
      </w:r>
      <w:r w:rsidR="00DC3EEF">
        <w:rPr>
          <w:rFonts w:ascii="Times New Roman" w:hAnsi="Times New Roman" w:cs="Times New Roman"/>
          <w:sz w:val="24"/>
          <w:szCs w:val="24"/>
          <w:lang w:val="en-US"/>
        </w:rPr>
        <w:t>al. This option has</w:t>
      </w:r>
      <w:r w:rsidRPr="0019082A">
        <w:rPr>
          <w:rFonts w:ascii="Times New Roman" w:hAnsi="Times New Roman" w:cs="Times New Roman"/>
          <w:sz w:val="24"/>
          <w:szCs w:val="24"/>
          <w:lang w:val="en-US"/>
        </w:rPr>
        <w:t xml:space="preserve"> the inconvenience of bringing </w:t>
      </w:r>
      <w:r w:rsidR="00DC3EEF">
        <w:rPr>
          <w:rFonts w:ascii="Times New Roman" w:hAnsi="Times New Roman" w:cs="Times New Roman"/>
          <w:sz w:val="24"/>
          <w:szCs w:val="24"/>
          <w:lang w:val="en-US"/>
        </w:rPr>
        <w:t>Loughlin’s</w:t>
      </w:r>
      <w:r w:rsidRPr="0019082A">
        <w:rPr>
          <w:rFonts w:ascii="Times New Roman" w:hAnsi="Times New Roman" w:cs="Times New Roman"/>
          <w:sz w:val="24"/>
          <w:szCs w:val="24"/>
          <w:lang w:val="en-US"/>
        </w:rPr>
        <w:t xml:space="preserve"> project much closer to the more establish</w:t>
      </w:r>
      <w:r w:rsidR="00DC3EEF">
        <w:rPr>
          <w:rFonts w:ascii="Times New Roman" w:hAnsi="Times New Roman" w:cs="Times New Roman"/>
          <w:sz w:val="24"/>
          <w:szCs w:val="24"/>
          <w:lang w:val="en-US"/>
        </w:rPr>
        <w:t>ed approaches that he chastises. The second option consists in selectively opening the black-box to choose only a number of causal factors. Thus, for example, Loughlin seems to place a huge emphasis on secularization as a factor that sustains the autonomy of the political in Western democratic states. The worry here is that this kind of selectivity can appear</w:t>
      </w:r>
      <w:r w:rsidRPr="0019082A">
        <w:rPr>
          <w:rFonts w:ascii="Times New Roman" w:hAnsi="Times New Roman" w:cs="Times New Roman"/>
          <w:sz w:val="24"/>
          <w:szCs w:val="24"/>
          <w:lang w:val="en-US"/>
        </w:rPr>
        <w:t xml:space="preserve"> </w:t>
      </w:r>
      <w:r w:rsidR="005740AE" w:rsidRPr="0019082A">
        <w:rPr>
          <w:rFonts w:ascii="Times New Roman" w:hAnsi="Times New Roman" w:cs="Times New Roman"/>
          <w:sz w:val="24"/>
          <w:szCs w:val="24"/>
          <w:lang w:val="en-US"/>
        </w:rPr>
        <w:t>relatively</w:t>
      </w:r>
      <w:r w:rsidR="00DC3EEF">
        <w:rPr>
          <w:rFonts w:ascii="Times New Roman" w:hAnsi="Times New Roman" w:cs="Times New Roman"/>
          <w:sz w:val="24"/>
          <w:szCs w:val="24"/>
          <w:lang w:val="en-US"/>
        </w:rPr>
        <w:t xml:space="preserve"> </w:t>
      </w:r>
      <w:r w:rsidR="00DC3EEF">
        <w:rPr>
          <w:rFonts w:ascii="Times New Roman" w:hAnsi="Times New Roman" w:cs="Times New Roman"/>
          <w:i/>
          <w:sz w:val="24"/>
          <w:szCs w:val="24"/>
          <w:lang w:val="en-US"/>
        </w:rPr>
        <w:t>ad hoc</w:t>
      </w:r>
      <w:r w:rsidR="00DC3EEF">
        <w:rPr>
          <w:rFonts w:ascii="Times New Roman" w:hAnsi="Times New Roman" w:cs="Times New Roman"/>
          <w:sz w:val="24"/>
          <w:szCs w:val="24"/>
          <w:lang w:val="en-US"/>
        </w:rPr>
        <w:t xml:space="preserve"> and perhaps even undisciplined</w:t>
      </w:r>
      <w:r w:rsidRPr="0019082A">
        <w:rPr>
          <w:rFonts w:ascii="Times New Roman" w:hAnsi="Times New Roman" w:cs="Times New Roman"/>
          <w:sz w:val="24"/>
          <w:szCs w:val="24"/>
          <w:lang w:val="en-US"/>
        </w:rPr>
        <w:t xml:space="preserve">, </w:t>
      </w:r>
      <w:r w:rsidR="00DC3EEF">
        <w:rPr>
          <w:rFonts w:ascii="Times New Roman" w:hAnsi="Times New Roman" w:cs="Times New Roman"/>
          <w:sz w:val="24"/>
          <w:szCs w:val="24"/>
          <w:lang w:val="en-US"/>
        </w:rPr>
        <w:t>at least insofar as it is not justified by reference to a wider (and more complex) body of social scientific thought.</w:t>
      </w:r>
      <w:r w:rsidRPr="0019082A">
        <w:rPr>
          <w:rFonts w:ascii="Times New Roman" w:hAnsi="Times New Roman" w:cs="Times New Roman"/>
          <w:sz w:val="24"/>
          <w:szCs w:val="24"/>
          <w:lang w:val="en-US"/>
        </w:rPr>
        <w:t xml:space="preserve"> A </w:t>
      </w:r>
      <w:r w:rsidRPr="0019082A">
        <w:rPr>
          <w:rFonts w:ascii="Times New Roman" w:hAnsi="Times New Roman" w:cs="Times New Roman"/>
          <w:sz w:val="24"/>
          <w:szCs w:val="24"/>
          <w:lang w:val="en-US"/>
        </w:rPr>
        <w:lastRenderedPageBreak/>
        <w:t>variant of this last problem also</w:t>
      </w:r>
      <w:r w:rsidR="00DC3EEF">
        <w:rPr>
          <w:rFonts w:ascii="Times New Roman" w:hAnsi="Times New Roman" w:cs="Times New Roman"/>
          <w:sz w:val="24"/>
          <w:szCs w:val="24"/>
          <w:lang w:val="en-US"/>
        </w:rPr>
        <w:t xml:space="preserve"> seems to me</w:t>
      </w:r>
      <w:r w:rsidRPr="0019082A">
        <w:rPr>
          <w:rFonts w:ascii="Times New Roman" w:hAnsi="Times New Roman" w:cs="Times New Roman"/>
          <w:sz w:val="24"/>
          <w:szCs w:val="24"/>
          <w:lang w:val="en-US"/>
        </w:rPr>
        <w:t xml:space="preserve"> to sting Wilkinson’s ‘material’ account</w:t>
      </w:r>
      <w:r w:rsidR="00035081">
        <w:rPr>
          <w:rFonts w:ascii="Times New Roman" w:hAnsi="Times New Roman" w:cs="Times New Roman"/>
          <w:sz w:val="24"/>
          <w:szCs w:val="24"/>
          <w:lang w:val="en-US"/>
        </w:rPr>
        <w:t xml:space="preserve"> as well</w:t>
      </w:r>
      <w:r w:rsidRPr="0019082A">
        <w:rPr>
          <w:rFonts w:ascii="Times New Roman" w:hAnsi="Times New Roman" w:cs="Times New Roman"/>
          <w:sz w:val="24"/>
          <w:szCs w:val="24"/>
          <w:lang w:val="en-US"/>
        </w:rPr>
        <w:t xml:space="preserve">. The main issue is that, once the black-box of the causal factors that sustain the autonomy of the political is opened up, it will not do to just </w:t>
      </w:r>
      <w:r w:rsidR="007F20CF" w:rsidRPr="0019082A">
        <w:rPr>
          <w:rFonts w:ascii="Times New Roman" w:hAnsi="Times New Roman" w:cs="Times New Roman"/>
          <w:sz w:val="24"/>
          <w:szCs w:val="24"/>
          <w:lang w:val="en-US"/>
        </w:rPr>
        <w:t>choose</w:t>
      </w:r>
      <w:r w:rsidRPr="0019082A">
        <w:rPr>
          <w:rFonts w:ascii="Times New Roman" w:hAnsi="Times New Roman" w:cs="Times New Roman"/>
          <w:sz w:val="24"/>
          <w:szCs w:val="24"/>
          <w:lang w:val="en-US"/>
        </w:rPr>
        <w:t xml:space="preserve"> one possible grand social theoretical account among many about the relationships between, say, democracy and capitalism</w:t>
      </w:r>
      <w:r w:rsidR="00F56314" w:rsidRPr="0019082A">
        <w:rPr>
          <w:rFonts w:ascii="Times New Roman" w:hAnsi="Times New Roman" w:cs="Times New Roman"/>
          <w:sz w:val="24"/>
          <w:szCs w:val="24"/>
          <w:lang w:val="en-US"/>
        </w:rPr>
        <w:t xml:space="preserve">, as Wilkinson </w:t>
      </w:r>
      <w:r w:rsidR="00035081">
        <w:rPr>
          <w:rFonts w:ascii="Times New Roman" w:hAnsi="Times New Roman" w:cs="Times New Roman"/>
          <w:sz w:val="24"/>
          <w:szCs w:val="24"/>
          <w:lang w:val="en-US"/>
        </w:rPr>
        <w:t>appears</w:t>
      </w:r>
      <w:r w:rsidR="00F56314" w:rsidRPr="0019082A">
        <w:rPr>
          <w:rFonts w:ascii="Times New Roman" w:hAnsi="Times New Roman" w:cs="Times New Roman"/>
          <w:sz w:val="24"/>
          <w:szCs w:val="24"/>
          <w:lang w:val="en-US"/>
        </w:rPr>
        <w:t xml:space="preserve"> to</w:t>
      </w:r>
      <w:r w:rsidR="00035081">
        <w:rPr>
          <w:rFonts w:ascii="Times New Roman" w:hAnsi="Times New Roman" w:cs="Times New Roman"/>
          <w:sz w:val="24"/>
          <w:szCs w:val="24"/>
          <w:lang w:val="en-US"/>
        </w:rPr>
        <w:t xml:space="preserve"> be</w:t>
      </w:r>
      <w:r w:rsidR="00F56314" w:rsidRPr="0019082A">
        <w:rPr>
          <w:rFonts w:ascii="Times New Roman" w:hAnsi="Times New Roman" w:cs="Times New Roman"/>
          <w:sz w:val="24"/>
          <w:szCs w:val="24"/>
          <w:lang w:val="en-US"/>
        </w:rPr>
        <w:t xml:space="preserve"> do</w:t>
      </w:r>
      <w:r w:rsidR="00035081">
        <w:rPr>
          <w:rFonts w:ascii="Times New Roman" w:hAnsi="Times New Roman" w:cs="Times New Roman"/>
          <w:sz w:val="24"/>
          <w:szCs w:val="24"/>
          <w:lang w:val="en-US"/>
        </w:rPr>
        <w:t>ing</w:t>
      </w:r>
      <w:r w:rsidRPr="0019082A">
        <w:rPr>
          <w:rFonts w:ascii="Times New Roman" w:hAnsi="Times New Roman" w:cs="Times New Roman"/>
          <w:sz w:val="24"/>
          <w:szCs w:val="24"/>
          <w:lang w:val="en-US"/>
        </w:rPr>
        <w:t>. There are at least two concerns</w:t>
      </w:r>
      <w:r w:rsidR="007F20CF" w:rsidRPr="0019082A">
        <w:rPr>
          <w:rFonts w:ascii="Times New Roman" w:hAnsi="Times New Roman" w:cs="Times New Roman"/>
          <w:sz w:val="24"/>
          <w:szCs w:val="24"/>
          <w:lang w:val="en-US"/>
        </w:rPr>
        <w:t xml:space="preserve"> here</w:t>
      </w:r>
      <w:r w:rsidRPr="0019082A">
        <w:rPr>
          <w:rFonts w:ascii="Times New Roman" w:hAnsi="Times New Roman" w:cs="Times New Roman"/>
          <w:sz w:val="24"/>
          <w:szCs w:val="24"/>
          <w:lang w:val="en-US"/>
        </w:rPr>
        <w:t>. First, the proposition that there is a tension between phenomena</w:t>
      </w:r>
      <w:r w:rsidR="00A55116" w:rsidRPr="0019082A">
        <w:rPr>
          <w:rFonts w:ascii="Times New Roman" w:hAnsi="Times New Roman" w:cs="Times New Roman"/>
          <w:sz w:val="24"/>
          <w:szCs w:val="24"/>
          <w:lang w:val="en-US"/>
        </w:rPr>
        <w:t xml:space="preserve"> such as democracy and capitalism</w:t>
      </w:r>
      <w:r w:rsidRPr="0019082A">
        <w:rPr>
          <w:rFonts w:ascii="Times New Roman" w:hAnsi="Times New Roman" w:cs="Times New Roman"/>
          <w:sz w:val="24"/>
          <w:szCs w:val="24"/>
          <w:lang w:val="en-US"/>
        </w:rPr>
        <w:t>, like any other</w:t>
      </w:r>
      <w:r w:rsidR="00F56314" w:rsidRPr="0019082A">
        <w:rPr>
          <w:rFonts w:ascii="Times New Roman" w:hAnsi="Times New Roman" w:cs="Times New Roman"/>
          <w:sz w:val="24"/>
          <w:szCs w:val="24"/>
          <w:lang w:val="en-US"/>
        </w:rPr>
        <w:t xml:space="preserve"> proposition that purports to offer a causal account of</w:t>
      </w:r>
      <w:r w:rsidRPr="0019082A">
        <w:rPr>
          <w:rFonts w:ascii="Times New Roman" w:hAnsi="Times New Roman" w:cs="Times New Roman"/>
          <w:sz w:val="24"/>
          <w:szCs w:val="24"/>
          <w:lang w:val="en-US"/>
        </w:rPr>
        <w:t xml:space="preserve"> social</w:t>
      </w:r>
      <w:r w:rsidR="00F56314" w:rsidRPr="0019082A">
        <w:rPr>
          <w:rFonts w:ascii="Times New Roman" w:hAnsi="Times New Roman" w:cs="Times New Roman"/>
          <w:sz w:val="24"/>
          <w:szCs w:val="24"/>
          <w:lang w:val="en-US"/>
        </w:rPr>
        <w:t xml:space="preserve"> phenomena</w:t>
      </w:r>
      <w:r w:rsidR="00C467AA">
        <w:rPr>
          <w:rFonts w:ascii="Times New Roman" w:hAnsi="Times New Roman" w:cs="Times New Roman"/>
          <w:sz w:val="24"/>
          <w:szCs w:val="24"/>
          <w:lang w:val="en-US"/>
        </w:rPr>
        <w:t xml:space="preserve"> of that kind of generality</w:t>
      </w:r>
      <w:r w:rsidRPr="0019082A">
        <w:rPr>
          <w:rFonts w:ascii="Times New Roman" w:hAnsi="Times New Roman" w:cs="Times New Roman"/>
          <w:sz w:val="24"/>
          <w:szCs w:val="24"/>
          <w:lang w:val="en-US"/>
        </w:rPr>
        <w:t xml:space="preserve">, has to be </w:t>
      </w:r>
      <w:r w:rsidR="00C467AA">
        <w:rPr>
          <w:rFonts w:ascii="Times New Roman" w:hAnsi="Times New Roman" w:cs="Times New Roman"/>
          <w:sz w:val="24"/>
          <w:szCs w:val="24"/>
          <w:lang w:val="en-US"/>
        </w:rPr>
        <w:t>def</w:t>
      </w:r>
      <w:r w:rsidR="00D90919">
        <w:rPr>
          <w:rFonts w:ascii="Times New Roman" w:hAnsi="Times New Roman" w:cs="Times New Roman"/>
          <w:sz w:val="24"/>
          <w:szCs w:val="24"/>
          <w:lang w:val="en-US"/>
        </w:rPr>
        <w:t>ended much more thoroughly in order to become plausible</w:t>
      </w:r>
      <w:r w:rsidRPr="0019082A">
        <w:rPr>
          <w:rFonts w:ascii="Times New Roman" w:hAnsi="Times New Roman" w:cs="Times New Roman"/>
          <w:sz w:val="24"/>
          <w:szCs w:val="24"/>
          <w:lang w:val="en-US"/>
        </w:rPr>
        <w:t>.</w:t>
      </w:r>
      <w:r w:rsidR="00C467AA">
        <w:rPr>
          <w:rFonts w:ascii="Times New Roman" w:hAnsi="Times New Roman" w:cs="Times New Roman"/>
          <w:sz w:val="24"/>
          <w:szCs w:val="24"/>
          <w:lang w:val="en-US"/>
        </w:rPr>
        <w:t xml:space="preserve"> Second, even if this kind of</w:t>
      </w:r>
      <w:r w:rsidR="00BB2F3E">
        <w:rPr>
          <w:rFonts w:ascii="Times New Roman" w:hAnsi="Times New Roman" w:cs="Times New Roman"/>
          <w:sz w:val="24"/>
          <w:szCs w:val="24"/>
          <w:lang w:val="en-US"/>
        </w:rPr>
        <w:t xml:space="preserve"> thorough</w:t>
      </w:r>
      <w:r w:rsidR="00C467AA">
        <w:rPr>
          <w:rFonts w:ascii="Times New Roman" w:hAnsi="Times New Roman" w:cs="Times New Roman"/>
          <w:sz w:val="24"/>
          <w:szCs w:val="24"/>
          <w:lang w:val="en-US"/>
        </w:rPr>
        <w:t xml:space="preserve"> defense could somehow be provided</w:t>
      </w:r>
      <w:r w:rsidRPr="0019082A">
        <w:rPr>
          <w:rFonts w:ascii="Times New Roman" w:hAnsi="Times New Roman" w:cs="Times New Roman"/>
          <w:sz w:val="24"/>
          <w:szCs w:val="24"/>
          <w:lang w:val="en-US"/>
        </w:rPr>
        <w:t>, there</w:t>
      </w:r>
      <w:r w:rsidR="00C467AA">
        <w:rPr>
          <w:rFonts w:ascii="Times New Roman" w:hAnsi="Times New Roman" w:cs="Times New Roman"/>
          <w:sz w:val="24"/>
          <w:szCs w:val="24"/>
          <w:lang w:val="en-US"/>
        </w:rPr>
        <w:t xml:space="preserve"> remains the problem of the existence of</w:t>
      </w:r>
      <w:r w:rsidRPr="0019082A">
        <w:rPr>
          <w:rFonts w:ascii="Times New Roman" w:hAnsi="Times New Roman" w:cs="Times New Roman"/>
          <w:sz w:val="24"/>
          <w:szCs w:val="24"/>
          <w:lang w:val="en-US"/>
        </w:rPr>
        <w:t xml:space="preserve"> many</w:t>
      </w:r>
      <w:r w:rsidR="00C467AA">
        <w:rPr>
          <w:rFonts w:ascii="Times New Roman" w:hAnsi="Times New Roman" w:cs="Times New Roman"/>
          <w:sz w:val="24"/>
          <w:szCs w:val="24"/>
          <w:lang w:val="en-US"/>
        </w:rPr>
        <w:t xml:space="preserve"> different and</w:t>
      </w:r>
      <w:r w:rsidR="00D61B4C">
        <w:rPr>
          <w:rFonts w:ascii="Times New Roman" w:hAnsi="Times New Roman" w:cs="Times New Roman"/>
          <w:sz w:val="24"/>
          <w:szCs w:val="24"/>
          <w:lang w:val="en-US"/>
        </w:rPr>
        <w:t xml:space="preserve"> often</w:t>
      </w:r>
      <w:r w:rsidRPr="0019082A">
        <w:rPr>
          <w:rFonts w:ascii="Times New Roman" w:hAnsi="Times New Roman" w:cs="Times New Roman"/>
          <w:sz w:val="24"/>
          <w:szCs w:val="24"/>
          <w:lang w:val="en-US"/>
        </w:rPr>
        <w:t xml:space="preserve"> rival social theoretical accounts of the autonomy of the political</w:t>
      </w:r>
      <w:r w:rsidR="00C467AA">
        <w:rPr>
          <w:rFonts w:ascii="Times New Roman" w:hAnsi="Times New Roman" w:cs="Times New Roman"/>
          <w:sz w:val="24"/>
          <w:szCs w:val="24"/>
          <w:lang w:val="en-US"/>
        </w:rPr>
        <w:t xml:space="preserve"> currently</w:t>
      </w:r>
      <w:r w:rsidR="00A55116" w:rsidRPr="0019082A">
        <w:rPr>
          <w:rFonts w:ascii="Times New Roman" w:hAnsi="Times New Roman" w:cs="Times New Roman"/>
          <w:sz w:val="24"/>
          <w:szCs w:val="24"/>
          <w:lang w:val="en-US"/>
        </w:rPr>
        <w:t xml:space="preserve"> on offer</w:t>
      </w:r>
      <w:r w:rsidRPr="0019082A">
        <w:rPr>
          <w:rFonts w:ascii="Times New Roman" w:hAnsi="Times New Roman" w:cs="Times New Roman"/>
          <w:sz w:val="24"/>
          <w:szCs w:val="24"/>
          <w:lang w:val="en-US"/>
        </w:rPr>
        <w:t>. To pick just a random example</w:t>
      </w:r>
      <w:r w:rsidR="00A55116" w:rsidRPr="0019082A">
        <w:rPr>
          <w:rFonts w:ascii="Times New Roman" w:hAnsi="Times New Roman" w:cs="Times New Roman"/>
          <w:sz w:val="24"/>
          <w:szCs w:val="24"/>
          <w:lang w:val="en-US"/>
        </w:rPr>
        <w:t xml:space="preserve"> among a host of others</w:t>
      </w:r>
      <w:r w:rsidRPr="0019082A">
        <w:rPr>
          <w:rFonts w:ascii="Times New Roman" w:hAnsi="Times New Roman" w:cs="Times New Roman"/>
          <w:sz w:val="24"/>
          <w:szCs w:val="24"/>
          <w:lang w:val="en-US"/>
        </w:rPr>
        <w:t xml:space="preserve"> in order to</w:t>
      </w:r>
      <w:r w:rsidR="00A55116" w:rsidRPr="0019082A">
        <w:rPr>
          <w:rFonts w:ascii="Times New Roman" w:hAnsi="Times New Roman" w:cs="Times New Roman"/>
          <w:sz w:val="24"/>
          <w:szCs w:val="24"/>
          <w:lang w:val="en-US"/>
        </w:rPr>
        <w:t xml:space="preserve"> better</w:t>
      </w:r>
      <w:r w:rsidRPr="0019082A">
        <w:rPr>
          <w:rFonts w:ascii="Times New Roman" w:hAnsi="Times New Roman" w:cs="Times New Roman"/>
          <w:sz w:val="24"/>
          <w:szCs w:val="24"/>
          <w:lang w:val="en-US"/>
        </w:rPr>
        <w:t xml:space="preserve"> bring out this point: why should </w:t>
      </w:r>
      <w:r w:rsidR="000966B2" w:rsidRPr="0019082A">
        <w:rPr>
          <w:rFonts w:ascii="Times New Roman" w:hAnsi="Times New Roman" w:cs="Times New Roman"/>
          <w:sz w:val="24"/>
          <w:szCs w:val="24"/>
          <w:lang w:val="en-US"/>
        </w:rPr>
        <w:t xml:space="preserve">one prefer Wilkinson’s </w:t>
      </w:r>
      <w:r w:rsidR="00C94FEE" w:rsidRPr="0019082A">
        <w:rPr>
          <w:rFonts w:ascii="Times New Roman" w:hAnsi="Times New Roman" w:cs="Times New Roman"/>
          <w:sz w:val="24"/>
          <w:szCs w:val="24"/>
          <w:lang w:val="en-US"/>
        </w:rPr>
        <w:t>Marxist</w:t>
      </w:r>
      <w:r w:rsidRPr="0019082A">
        <w:rPr>
          <w:rFonts w:ascii="Times New Roman" w:hAnsi="Times New Roman" w:cs="Times New Roman"/>
          <w:sz w:val="24"/>
          <w:szCs w:val="24"/>
          <w:lang w:val="en-US"/>
        </w:rPr>
        <w:t xml:space="preserve"> (or</w:t>
      </w:r>
      <w:r w:rsidR="000966B2" w:rsidRPr="0019082A">
        <w:rPr>
          <w:rFonts w:ascii="Times New Roman" w:hAnsi="Times New Roman" w:cs="Times New Roman"/>
          <w:sz w:val="24"/>
          <w:szCs w:val="24"/>
          <w:lang w:val="en-US"/>
        </w:rPr>
        <w:t xml:space="preserve"> perhaps</w:t>
      </w:r>
      <w:r w:rsidRPr="0019082A">
        <w:rPr>
          <w:rFonts w:ascii="Times New Roman" w:hAnsi="Times New Roman" w:cs="Times New Roman"/>
          <w:sz w:val="24"/>
          <w:szCs w:val="24"/>
          <w:lang w:val="en-US"/>
        </w:rPr>
        <w:t xml:space="preserve"> Polanyian?) account to a systems-theoretical (the political</w:t>
      </w:r>
      <w:r w:rsidR="001B494F" w:rsidRPr="0019082A">
        <w:rPr>
          <w:rFonts w:ascii="Times New Roman" w:hAnsi="Times New Roman" w:cs="Times New Roman"/>
          <w:sz w:val="24"/>
          <w:szCs w:val="24"/>
          <w:lang w:val="en-US"/>
        </w:rPr>
        <w:t xml:space="preserve"> as a result of</w:t>
      </w:r>
      <w:r w:rsidR="00A55116" w:rsidRPr="0019082A">
        <w:rPr>
          <w:rFonts w:ascii="Times New Roman" w:hAnsi="Times New Roman" w:cs="Times New Roman"/>
          <w:sz w:val="24"/>
          <w:szCs w:val="24"/>
          <w:lang w:val="en-US"/>
        </w:rPr>
        <w:t xml:space="preserve"> increasing</w:t>
      </w:r>
      <w:r w:rsidRPr="0019082A">
        <w:rPr>
          <w:rFonts w:ascii="Times New Roman" w:hAnsi="Times New Roman" w:cs="Times New Roman"/>
          <w:sz w:val="24"/>
          <w:szCs w:val="24"/>
          <w:lang w:val="en-US"/>
        </w:rPr>
        <w:t xml:space="preserve"> internal differentiation</w:t>
      </w:r>
      <w:r w:rsidR="00A55116" w:rsidRPr="0019082A">
        <w:rPr>
          <w:rFonts w:ascii="Times New Roman" w:hAnsi="Times New Roman" w:cs="Times New Roman"/>
          <w:sz w:val="24"/>
          <w:szCs w:val="24"/>
          <w:lang w:val="en-US"/>
        </w:rPr>
        <w:t xml:space="preserve"> of autonomous social subsystems</w:t>
      </w:r>
      <w:r w:rsidRPr="0019082A">
        <w:rPr>
          <w:rFonts w:ascii="Times New Roman" w:hAnsi="Times New Roman" w:cs="Times New Roman"/>
          <w:sz w:val="24"/>
          <w:szCs w:val="24"/>
          <w:vertAlign w:val="superscript"/>
          <w:lang w:val="en-US"/>
        </w:rPr>
        <w:footnoteReference w:id="45"/>
      </w:r>
      <w:r w:rsidRPr="0019082A">
        <w:rPr>
          <w:rFonts w:ascii="Times New Roman" w:hAnsi="Times New Roman" w:cs="Times New Roman"/>
          <w:sz w:val="24"/>
          <w:szCs w:val="24"/>
          <w:lang w:val="en-US"/>
        </w:rPr>
        <w:t xml:space="preserve">) one? </w:t>
      </w:r>
      <w:r w:rsidR="00A55116" w:rsidRPr="0019082A">
        <w:rPr>
          <w:rFonts w:ascii="Times New Roman" w:hAnsi="Times New Roman" w:cs="Times New Roman"/>
          <w:sz w:val="24"/>
          <w:szCs w:val="24"/>
          <w:lang w:val="en-US"/>
        </w:rPr>
        <w:t xml:space="preserve">The need to choose between different (and often incompatible) accounts of the same social phenomena suggests that </w:t>
      </w:r>
      <w:r w:rsidR="00183234" w:rsidRPr="0019082A">
        <w:rPr>
          <w:rFonts w:ascii="Times New Roman" w:hAnsi="Times New Roman" w:cs="Times New Roman"/>
          <w:sz w:val="24"/>
          <w:szCs w:val="24"/>
          <w:lang w:val="en-US"/>
        </w:rPr>
        <w:t xml:space="preserve">it will not be enough to just find </w:t>
      </w:r>
      <w:r w:rsidR="00183234" w:rsidRPr="0019082A">
        <w:rPr>
          <w:rFonts w:ascii="Times New Roman" w:hAnsi="Times New Roman" w:cs="Times New Roman"/>
          <w:i/>
          <w:sz w:val="24"/>
          <w:szCs w:val="24"/>
          <w:lang w:val="en-US"/>
        </w:rPr>
        <w:t>some</w:t>
      </w:r>
      <w:r w:rsidR="00183234" w:rsidRPr="0019082A">
        <w:rPr>
          <w:rFonts w:ascii="Times New Roman" w:hAnsi="Times New Roman" w:cs="Times New Roman"/>
          <w:sz w:val="24"/>
          <w:szCs w:val="24"/>
          <w:lang w:val="en-US"/>
        </w:rPr>
        <w:t xml:space="preserve"> account of the </w:t>
      </w:r>
      <w:r w:rsidR="00614BCF" w:rsidRPr="0019082A">
        <w:rPr>
          <w:rFonts w:ascii="Times New Roman" w:hAnsi="Times New Roman" w:cs="Times New Roman"/>
          <w:sz w:val="24"/>
          <w:szCs w:val="24"/>
          <w:lang w:val="en-US"/>
        </w:rPr>
        <w:t>‘</w:t>
      </w:r>
      <w:r w:rsidR="00183234" w:rsidRPr="0019082A">
        <w:rPr>
          <w:rFonts w:ascii="Times New Roman" w:hAnsi="Times New Roman" w:cs="Times New Roman"/>
          <w:sz w:val="24"/>
          <w:szCs w:val="24"/>
          <w:lang w:val="en-US"/>
        </w:rPr>
        <w:t>material</w:t>
      </w:r>
      <w:r w:rsidR="00614BCF" w:rsidRPr="0019082A">
        <w:rPr>
          <w:rFonts w:ascii="Times New Roman" w:hAnsi="Times New Roman" w:cs="Times New Roman"/>
          <w:sz w:val="24"/>
          <w:szCs w:val="24"/>
          <w:lang w:val="en-US"/>
        </w:rPr>
        <w:t>’</w:t>
      </w:r>
      <w:r w:rsidR="00183234" w:rsidRPr="0019082A">
        <w:rPr>
          <w:rFonts w:ascii="Times New Roman" w:hAnsi="Times New Roman" w:cs="Times New Roman"/>
          <w:sz w:val="24"/>
          <w:szCs w:val="24"/>
          <w:lang w:val="en-US"/>
        </w:rPr>
        <w:t xml:space="preserve"> forces that condition the</w:t>
      </w:r>
      <w:r w:rsidR="00614BCF" w:rsidRPr="0019082A">
        <w:rPr>
          <w:rFonts w:ascii="Times New Roman" w:hAnsi="Times New Roman" w:cs="Times New Roman"/>
          <w:sz w:val="24"/>
          <w:szCs w:val="24"/>
          <w:lang w:val="en-US"/>
        </w:rPr>
        <w:t xml:space="preserve"> structure of the</w:t>
      </w:r>
      <w:r w:rsidR="00183234" w:rsidRPr="0019082A">
        <w:rPr>
          <w:rFonts w:ascii="Times New Roman" w:hAnsi="Times New Roman" w:cs="Times New Roman"/>
          <w:sz w:val="24"/>
          <w:szCs w:val="24"/>
          <w:lang w:val="en-US"/>
        </w:rPr>
        <w:t xml:space="preserve"> political</w:t>
      </w:r>
      <w:r w:rsidR="00614BCF" w:rsidRPr="0019082A">
        <w:rPr>
          <w:rFonts w:ascii="Times New Roman" w:hAnsi="Times New Roman" w:cs="Times New Roman"/>
          <w:sz w:val="24"/>
          <w:szCs w:val="24"/>
          <w:lang w:val="en-US"/>
        </w:rPr>
        <w:t xml:space="preserve"> domain</w:t>
      </w:r>
      <w:r w:rsidR="00183234" w:rsidRPr="0019082A">
        <w:rPr>
          <w:rFonts w:ascii="Times New Roman" w:hAnsi="Times New Roman" w:cs="Times New Roman"/>
          <w:sz w:val="24"/>
          <w:szCs w:val="24"/>
          <w:lang w:val="en-US"/>
        </w:rPr>
        <w:t xml:space="preserve">. </w:t>
      </w:r>
      <w:r w:rsidR="00183234" w:rsidRPr="002162DE">
        <w:rPr>
          <w:rFonts w:ascii="Times New Roman" w:hAnsi="Times New Roman" w:cs="Times New Roman"/>
          <w:i/>
          <w:sz w:val="24"/>
          <w:szCs w:val="24"/>
          <w:lang w:val="en-US"/>
        </w:rPr>
        <w:t>A</w:t>
      </w:r>
      <w:r w:rsidRPr="002162DE">
        <w:rPr>
          <w:rFonts w:ascii="Times New Roman" w:hAnsi="Times New Roman" w:cs="Times New Roman"/>
          <w:i/>
          <w:sz w:val="24"/>
          <w:szCs w:val="24"/>
          <w:lang w:val="en-US"/>
        </w:rPr>
        <w:t>ny</w:t>
      </w:r>
      <w:r w:rsidRPr="0019082A">
        <w:rPr>
          <w:rFonts w:ascii="Times New Roman" w:hAnsi="Times New Roman" w:cs="Times New Roman"/>
          <w:sz w:val="24"/>
          <w:szCs w:val="24"/>
          <w:lang w:val="en-US"/>
        </w:rPr>
        <w:t xml:space="preserve"> candidate explanation should be</w:t>
      </w:r>
      <w:r w:rsidR="00826302" w:rsidRPr="0019082A">
        <w:rPr>
          <w:rFonts w:ascii="Times New Roman" w:hAnsi="Times New Roman" w:cs="Times New Roman"/>
          <w:sz w:val="24"/>
          <w:szCs w:val="24"/>
          <w:lang w:val="en-US"/>
        </w:rPr>
        <w:t xml:space="preserve"> </w:t>
      </w:r>
      <w:r w:rsidR="00624B34" w:rsidRPr="0019082A">
        <w:rPr>
          <w:rFonts w:ascii="Times New Roman" w:hAnsi="Times New Roman" w:cs="Times New Roman"/>
          <w:sz w:val="24"/>
          <w:szCs w:val="24"/>
          <w:lang w:val="en-US"/>
        </w:rPr>
        <w:t>compared to</w:t>
      </w:r>
      <w:r w:rsidRPr="0019082A">
        <w:rPr>
          <w:rFonts w:ascii="Times New Roman" w:hAnsi="Times New Roman" w:cs="Times New Roman"/>
          <w:sz w:val="24"/>
          <w:szCs w:val="24"/>
          <w:lang w:val="en-US"/>
        </w:rPr>
        <w:t xml:space="preserve"> other rival explanations of the same phenomena</w:t>
      </w:r>
      <w:r w:rsidR="00183234" w:rsidRPr="0019082A">
        <w:rPr>
          <w:rFonts w:ascii="Times New Roman" w:hAnsi="Times New Roman" w:cs="Times New Roman"/>
          <w:sz w:val="24"/>
          <w:szCs w:val="24"/>
          <w:lang w:val="en-US"/>
        </w:rPr>
        <w:t xml:space="preserve"> in order to identify the one that is most convincing</w:t>
      </w:r>
      <w:r w:rsidR="00624B34" w:rsidRPr="0019082A">
        <w:rPr>
          <w:rFonts w:ascii="Times New Roman" w:hAnsi="Times New Roman" w:cs="Times New Roman"/>
          <w:sz w:val="24"/>
          <w:szCs w:val="24"/>
          <w:lang w:val="en-US"/>
        </w:rPr>
        <w:t xml:space="preserve"> all things considered</w:t>
      </w:r>
      <w:r w:rsidRPr="0019082A">
        <w:rPr>
          <w:rFonts w:ascii="Times New Roman" w:hAnsi="Times New Roman" w:cs="Times New Roman"/>
          <w:sz w:val="24"/>
          <w:szCs w:val="24"/>
          <w:lang w:val="en-US"/>
        </w:rPr>
        <w:t xml:space="preserve"> (or, less ambitiously, less implausible). The upshot is that opening the black-box of ‘material’ factors is a</w:t>
      </w:r>
      <w:r w:rsidR="00624B34" w:rsidRPr="0019082A">
        <w:rPr>
          <w:rFonts w:ascii="Times New Roman" w:hAnsi="Times New Roman" w:cs="Times New Roman"/>
          <w:sz w:val="24"/>
          <w:szCs w:val="24"/>
          <w:lang w:val="en-US"/>
        </w:rPr>
        <w:t>n exercise</w:t>
      </w:r>
      <w:r w:rsidRPr="0019082A">
        <w:rPr>
          <w:rFonts w:ascii="Times New Roman" w:hAnsi="Times New Roman" w:cs="Times New Roman"/>
          <w:sz w:val="24"/>
          <w:szCs w:val="24"/>
          <w:lang w:val="en-US"/>
        </w:rPr>
        <w:t xml:space="preserve"> much more demanding and fraught with dangers than Wilkinson’s contribution seems to suggest.   </w:t>
      </w:r>
    </w:p>
    <w:p w14:paraId="700C5E4C"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258A7BA7" w14:textId="6DA45CAB"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But there is also a second and perhaps even deeper problem with Loughlin’s attempt to revive</w:t>
      </w:r>
      <w:r w:rsidR="00A80310" w:rsidRPr="0019082A">
        <w:rPr>
          <w:rFonts w:ascii="Times New Roman" w:hAnsi="Times New Roman" w:cs="Times New Roman"/>
          <w:sz w:val="24"/>
          <w:szCs w:val="24"/>
          <w:lang w:val="en-US"/>
        </w:rPr>
        <w:t xml:space="preserve"> the historical tradition of</w:t>
      </w:r>
      <w:r w:rsidRPr="0019082A">
        <w:rPr>
          <w:rFonts w:ascii="Times New Roman" w:hAnsi="Times New Roman" w:cs="Times New Roman"/>
          <w:sz w:val="24"/>
          <w:szCs w:val="24"/>
          <w:lang w:val="en-US"/>
        </w:rPr>
        <w:t xml:space="preserve"> political jurisprudence. Recall that</w:t>
      </w:r>
      <w:r w:rsidR="003D0837" w:rsidRPr="0019082A">
        <w:rPr>
          <w:rFonts w:ascii="Times New Roman" w:hAnsi="Times New Roman" w:cs="Times New Roman"/>
          <w:sz w:val="24"/>
          <w:szCs w:val="24"/>
          <w:lang w:val="en-US"/>
        </w:rPr>
        <w:t xml:space="preserve"> the project of </w:t>
      </w:r>
      <w:r w:rsidR="003D0837" w:rsidRPr="0019082A">
        <w:rPr>
          <w:rFonts w:ascii="Times New Roman" w:hAnsi="Times New Roman" w:cs="Times New Roman"/>
          <w:i/>
          <w:sz w:val="24"/>
          <w:szCs w:val="24"/>
          <w:lang w:val="en-US"/>
        </w:rPr>
        <w:t xml:space="preserve">FPL </w:t>
      </w:r>
      <w:r w:rsidR="003D0837" w:rsidRPr="0019082A">
        <w:rPr>
          <w:rFonts w:ascii="Times New Roman" w:hAnsi="Times New Roman" w:cs="Times New Roman"/>
          <w:sz w:val="24"/>
          <w:szCs w:val="24"/>
          <w:lang w:val="en-US"/>
        </w:rPr>
        <w:t>is</w:t>
      </w:r>
      <w:r w:rsidRPr="0019082A">
        <w:rPr>
          <w:rFonts w:ascii="Times New Roman" w:hAnsi="Times New Roman" w:cs="Times New Roman"/>
          <w:sz w:val="24"/>
          <w:szCs w:val="24"/>
          <w:lang w:val="en-US"/>
        </w:rPr>
        <w:t xml:space="preserve"> not so much to supplement normative accounts of public law by relying on the social</w:t>
      </w:r>
      <w:r w:rsidR="00625C82">
        <w:rPr>
          <w:rFonts w:ascii="Times New Roman" w:hAnsi="Times New Roman" w:cs="Times New Roman"/>
          <w:sz w:val="24"/>
          <w:szCs w:val="24"/>
          <w:lang w:val="en-US"/>
        </w:rPr>
        <w:t xml:space="preserve"> sciences. R</w:t>
      </w:r>
      <w:r w:rsidR="003D0837" w:rsidRPr="0019082A">
        <w:rPr>
          <w:rFonts w:ascii="Times New Roman" w:hAnsi="Times New Roman" w:cs="Times New Roman"/>
          <w:sz w:val="24"/>
          <w:szCs w:val="24"/>
          <w:lang w:val="en-US"/>
        </w:rPr>
        <w:t>ather,</w:t>
      </w:r>
      <w:r w:rsidR="00625C82">
        <w:rPr>
          <w:rFonts w:ascii="Times New Roman" w:hAnsi="Times New Roman" w:cs="Times New Roman"/>
          <w:sz w:val="24"/>
          <w:szCs w:val="24"/>
          <w:lang w:val="en-US"/>
        </w:rPr>
        <w:t xml:space="preserve"> it is</w:t>
      </w:r>
      <w:r w:rsidRPr="0019082A">
        <w:rPr>
          <w:rFonts w:ascii="Times New Roman" w:hAnsi="Times New Roman" w:cs="Times New Roman"/>
          <w:sz w:val="24"/>
          <w:szCs w:val="24"/>
          <w:lang w:val="en-US"/>
        </w:rPr>
        <w:t xml:space="preserve"> to ‘turn the clock back’ to a reconsideration of the classical authors of the ‘science of political right’, from Bodin to Hegel.</w:t>
      </w:r>
      <w:r w:rsidRPr="0019082A">
        <w:rPr>
          <w:rFonts w:ascii="Times New Roman" w:hAnsi="Times New Roman" w:cs="Times New Roman"/>
          <w:sz w:val="24"/>
          <w:szCs w:val="24"/>
          <w:vertAlign w:val="superscript"/>
          <w:lang w:val="en-US"/>
        </w:rPr>
        <w:footnoteReference w:id="46"/>
      </w:r>
      <w:r w:rsidRPr="0019082A">
        <w:rPr>
          <w:rFonts w:ascii="Times New Roman" w:hAnsi="Times New Roman" w:cs="Times New Roman"/>
          <w:sz w:val="24"/>
          <w:szCs w:val="24"/>
          <w:lang w:val="en-US"/>
        </w:rPr>
        <w:t xml:space="preserve"> However, I </w:t>
      </w:r>
      <w:r w:rsidR="00E8151A" w:rsidRPr="0019082A">
        <w:rPr>
          <w:rFonts w:ascii="Times New Roman" w:hAnsi="Times New Roman" w:cs="Times New Roman"/>
          <w:sz w:val="24"/>
          <w:szCs w:val="24"/>
          <w:lang w:val="en-US"/>
        </w:rPr>
        <w:t>contend</w:t>
      </w:r>
      <w:r w:rsidRPr="0019082A">
        <w:rPr>
          <w:rFonts w:ascii="Times New Roman" w:hAnsi="Times New Roman" w:cs="Times New Roman"/>
          <w:sz w:val="24"/>
          <w:szCs w:val="24"/>
          <w:lang w:val="en-US"/>
        </w:rPr>
        <w:t xml:space="preserve"> that, due to the rise and subsequent development of the social sciences, this attempt </w:t>
      </w:r>
      <w:r w:rsidRPr="0019082A">
        <w:rPr>
          <w:rFonts w:ascii="Times New Roman" w:hAnsi="Times New Roman" w:cs="Times New Roman"/>
          <w:i/>
          <w:sz w:val="24"/>
          <w:szCs w:val="24"/>
          <w:lang w:val="en-US"/>
        </w:rPr>
        <w:t>nowadays</w:t>
      </w:r>
      <w:r w:rsidR="009E4FCB">
        <w:rPr>
          <w:rFonts w:ascii="Times New Roman" w:hAnsi="Times New Roman" w:cs="Times New Roman"/>
          <w:sz w:val="24"/>
          <w:szCs w:val="24"/>
          <w:lang w:val="en-US"/>
        </w:rPr>
        <w:t xml:space="preserve">, even if somehow possible, </w:t>
      </w:r>
      <w:r w:rsidRPr="0019082A">
        <w:rPr>
          <w:rFonts w:ascii="Times New Roman" w:hAnsi="Times New Roman" w:cs="Times New Roman"/>
          <w:sz w:val="24"/>
          <w:szCs w:val="24"/>
          <w:lang w:val="en-US"/>
        </w:rPr>
        <w:t>seems</w:t>
      </w:r>
      <w:r w:rsidR="00E8151A" w:rsidRPr="0019082A">
        <w:rPr>
          <w:rFonts w:ascii="Times New Roman" w:hAnsi="Times New Roman" w:cs="Times New Roman"/>
          <w:sz w:val="24"/>
          <w:szCs w:val="24"/>
          <w:lang w:val="en-US"/>
        </w:rPr>
        <w:t xml:space="preserve"> singularly</w:t>
      </w:r>
      <w:r w:rsidRPr="0019082A">
        <w:rPr>
          <w:rFonts w:ascii="Times New Roman" w:hAnsi="Times New Roman" w:cs="Times New Roman"/>
          <w:sz w:val="24"/>
          <w:szCs w:val="24"/>
          <w:lang w:val="en-US"/>
        </w:rPr>
        <w:t xml:space="preserve"> unconvincing. In particular, grand anthropological theories of the ‘political’ grounded on accounts of ‘human nature’ and its ‘essential propensities’, be they</w:t>
      </w:r>
      <w:r w:rsidR="00982B0D" w:rsidRPr="0019082A">
        <w:rPr>
          <w:rFonts w:ascii="Times New Roman" w:hAnsi="Times New Roman" w:cs="Times New Roman"/>
          <w:sz w:val="24"/>
          <w:szCs w:val="24"/>
          <w:lang w:val="en-US"/>
        </w:rPr>
        <w:t>, for example,</w:t>
      </w:r>
      <w:r w:rsidRPr="0019082A">
        <w:rPr>
          <w:rFonts w:ascii="Times New Roman" w:hAnsi="Times New Roman" w:cs="Times New Roman"/>
          <w:sz w:val="24"/>
          <w:szCs w:val="24"/>
          <w:lang w:val="en-US"/>
        </w:rPr>
        <w:t xml:space="preserve"> Aristotelian, </w:t>
      </w:r>
      <w:r w:rsidRPr="0019082A">
        <w:rPr>
          <w:rFonts w:ascii="Times New Roman" w:hAnsi="Times New Roman" w:cs="Times New Roman"/>
          <w:sz w:val="24"/>
          <w:szCs w:val="24"/>
          <w:lang w:val="en-US"/>
        </w:rPr>
        <w:lastRenderedPageBreak/>
        <w:t>Hobbesian or Rousseauian, are increasingly</w:t>
      </w:r>
      <w:r w:rsidR="007F34DD">
        <w:rPr>
          <w:rFonts w:ascii="Times New Roman" w:hAnsi="Times New Roman" w:cs="Times New Roman"/>
          <w:sz w:val="24"/>
          <w:szCs w:val="24"/>
          <w:lang w:val="en-US"/>
        </w:rPr>
        <w:t xml:space="preserve"> being</w:t>
      </w:r>
      <w:r w:rsidRPr="0019082A">
        <w:rPr>
          <w:rFonts w:ascii="Times New Roman" w:hAnsi="Times New Roman" w:cs="Times New Roman"/>
          <w:sz w:val="24"/>
          <w:szCs w:val="24"/>
          <w:lang w:val="en-US"/>
        </w:rPr>
        <w:t xml:space="preserve"> replaced by piecemeal, appropriately disciplined empirical enquiries into specific causal mechanisms whose presence </w:t>
      </w:r>
      <w:r w:rsidR="00C57412">
        <w:rPr>
          <w:rFonts w:ascii="Times New Roman" w:hAnsi="Times New Roman" w:cs="Times New Roman"/>
          <w:sz w:val="24"/>
          <w:szCs w:val="24"/>
          <w:lang w:val="en-US"/>
        </w:rPr>
        <w:t>is considered by the relevant epistemic communities to</w:t>
      </w:r>
      <w:r w:rsidRPr="0019082A">
        <w:rPr>
          <w:rFonts w:ascii="Times New Roman" w:hAnsi="Times New Roman" w:cs="Times New Roman"/>
          <w:sz w:val="24"/>
          <w:szCs w:val="24"/>
          <w:lang w:val="en-US"/>
        </w:rPr>
        <w:t xml:space="preserve"> adequately explain social, political and psychological phenomena. Moreover, even when such explanations are not</w:t>
      </w:r>
      <w:r w:rsidR="001E6786" w:rsidRPr="0019082A">
        <w:rPr>
          <w:rFonts w:ascii="Times New Roman" w:hAnsi="Times New Roman" w:cs="Times New Roman"/>
          <w:sz w:val="24"/>
          <w:szCs w:val="24"/>
          <w:lang w:val="en-US"/>
        </w:rPr>
        <w:t xml:space="preserve"> readily</w:t>
      </w:r>
      <w:r w:rsidRPr="0019082A">
        <w:rPr>
          <w:rFonts w:ascii="Times New Roman" w:hAnsi="Times New Roman" w:cs="Times New Roman"/>
          <w:sz w:val="24"/>
          <w:szCs w:val="24"/>
          <w:lang w:val="en-US"/>
        </w:rPr>
        <w:t xml:space="preserve"> available, they are sought after rather than </w:t>
      </w:r>
      <w:r w:rsidR="00982B0D" w:rsidRPr="0019082A">
        <w:rPr>
          <w:rFonts w:ascii="Times New Roman" w:hAnsi="Times New Roman" w:cs="Times New Roman"/>
          <w:sz w:val="24"/>
          <w:szCs w:val="24"/>
          <w:lang w:val="en-US"/>
        </w:rPr>
        <w:t>‘discovered’</w:t>
      </w:r>
      <w:r w:rsidRPr="0019082A">
        <w:rPr>
          <w:rFonts w:ascii="Times New Roman" w:hAnsi="Times New Roman" w:cs="Times New Roman"/>
          <w:sz w:val="24"/>
          <w:szCs w:val="24"/>
          <w:lang w:val="en-US"/>
        </w:rPr>
        <w:t xml:space="preserve"> through armchair</w:t>
      </w:r>
      <w:r w:rsidR="00F3076B" w:rsidRPr="0019082A">
        <w:rPr>
          <w:rFonts w:ascii="Times New Roman" w:hAnsi="Times New Roman" w:cs="Times New Roman"/>
          <w:sz w:val="24"/>
          <w:szCs w:val="24"/>
          <w:lang w:val="en-US"/>
        </w:rPr>
        <w:t xml:space="preserve"> philosophical</w:t>
      </w:r>
      <w:r w:rsidRPr="0019082A">
        <w:rPr>
          <w:rFonts w:ascii="Times New Roman" w:hAnsi="Times New Roman" w:cs="Times New Roman"/>
          <w:sz w:val="24"/>
          <w:szCs w:val="24"/>
          <w:lang w:val="en-US"/>
        </w:rPr>
        <w:t xml:space="preserve"> reflection. This is one reason why, for example, suitable empirical inquiry is widely considered today to constrain</w:t>
      </w:r>
      <w:r w:rsidR="009F48E8" w:rsidRPr="0019082A">
        <w:rPr>
          <w:rFonts w:ascii="Times New Roman" w:hAnsi="Times New Roman" w:cs="Times New Roman"/>
          <w:sz w:val="24"/>
          <w:szCs w:val="24"/>
          <w:lang w:val="en-US"/>
        </w:rPr>
        <w:t xml:space="preserve"> even</w:t>
      </w:r>
      <w:r w:rsidRPr="0019082A">
        <w:rPr>
          <w:rFonts w:ascii="Times New Roman" w:hAnsi="Times New Roman" w:cs="Times New Roman"/>
          <w:sz w:val="24"/>
          <w:szCs w:val="24"/>
          <w:lang w:val="en-US"/>
        </w:rPr>
        <w:t xml:space="preserve"> philosophical explorations of, for example, </w:t>
      </w:r>
      <w:r w:rsidR="00B642EB" w:rsidRPr="0019082A">
        <w:rPr>
          <w:rFonts w:ascii="Times New Roman" w:hAnsi="Times New Roman" w:cs="Times New Roman"/>
          <w:sz w:val="24"/>
          <w:szCs w:val="24"/>
          <w:lang w:val="en-US"/>
        </w:rPr>
        <w:t>the nature of the</w:t>
      </w:r>
      <w:r w:rsidRPr="0019082A">
        <w:rPr>
          <w:rFonts w:ascii="Times New Roman" w:hAnsi="Times New Roman" w:cs="Times New Roman"/>
          <w:sz w:val="24"/>
          <w:szCs w:val="24"/>
          <w:lang w:val="en-US"/>
        </w:rPr>
        <w:t xml:space="preserve"> human</w:t>
      </w:r>
      <w:r w:rsidR="00B642EB" w:rsidRPr="0019082A">
        <w:rPr>
          <w:rFonts w:ascii="Times New Roman" w:hAnsi="Times New Roman" w:cs="Times New Roman"/>
          <w:sz w:val="24"/>
          <w:szCs w:val="24"/>
          <w:lang w:val="en-US"/>
        </w:rPr>
        <w:t xml:space="preserve"> mind</w:t>
      </w:r>
      <w:r w:rsidRPr="0019082A">
        <w:rPr>
          <w:rFonts w:ascii="Times New Roman" w:hAnsi="Times New Roman" w:cs="Times New Roman"/>
          <w:sz w:val="24"/>
          <w:szCs w:val="24"/>
          <w:lang w:val="en-US"/>
        </w:rPr>
        <w:t>.</w:t>
      </w:r>
      <w:r w:rsidRPr="0019082A">
        <w:rPr>
          <w:rFonts w:ascii="Times New Roman" w:hAnsi="Times New Roman" w:cs="Times New Roman"/>
          <w:sz w:val="24"/>
          <w:szCs w:val="24"/>
          <w:vertAlign w:val="superscript"/>
          <w:lang w:val="en-US"/>
        </w:rPr>
        <w:footnoteReference w:id="47"/>
      </w:r>
      <w:r w:rsidRPr="0019082A">
        <w:rPr>
          <w:rFonts w:ascii="Times New Roman" w:hAnsi="Times New Roman" w:cs="Times New Roman"/>
          <w:sz w:val="24"/>
          <w:szCs w:val="24"/>
          <w:lang w:val="en-US"/>
        </w:rPr>
        <w:t xml:space="preserve"> </w:t>
      </w:r>
      <w:r w:rsidR="00C57412">
        <w:rPr>
          <w:rFonts w:ascii="Times New Roman" w:hAnsi="Times New Roman" w:cs="Times New Roman"/>
          <w:sz w:val="24"/>
          <w:szCs w:val="24"/>
          <w:lang w:val="en-US"/>
        </w:rPr>
        <w:t>Now, these scientific attempts at understanding the social and the political may well be more or less misguided. The fact remains, though, that they considerably alter the epistemic landscape.</w:t>
      </w:r>
      <w:bookmarkStart w:id="0" w:name="_GoBack"/>
      <w:bookmarkEnd w:id="0"/>
      <w:r w:rsidR="00C57412">
        <w:rPr>
          <w:rFonts w:ascii="Times New Roman" w:hAnsi="Times New Roman" w:cs="Times New Roman"/>
          <w:sz w:val="24"/>
          <w:szCs w:val="24"/>
          <w:lang w:val="en-US"/>
        </w:rPr>
        <w:t xml:space="preserve"> </w:t>
      </w:r>
      <w:r w:rsidRPr="0019082A">
        <w:rPr>
          <w:rFonts w:ascii="Times New Roman" w:hAnsi="Times New Roman" w:cs="Times New Roman"/>
          <w:sz w:val="24"/>
          <w:szCs w:val="24"/>
          <w:lang w:val="en-US"/>
        </w:rPr>
        <w:t>To put the point in historicist terms, there is</w:t>
      </w:r>
      <w:r w:rsidR="009F48E8" w:rsidRPr="0019082A">
        <w:rPr>
          <w:rFonts w:ascii="Times New Roman" w:hAnsi="Times New Roman" w:cs="Times New Roman"/>
          <w:sz w:val="24"/>
          <w:szCs w:val="24"/>
          <w:lang w:val="en-US"/>
        </w:rPr>
        <w:t xml:space="preserve"> </w:t>
      </w:r>
      <w:r w:rsidR="009F48E8" w:rsidRPr="0019082A">
        <w:rPr>
          <w:rFonts w:ascii="Times New Roman" w:hAnsi="Times New Roman" w:cs="Times New Roman"/>
          <w:i/>
          <w:sz w:val="24"/>
          <w:szCs w:val="24"/>
          <w:lang w:val="en-US"/>
        </w:rPr>
        <w:t>nowadays</w:t>
      </w:r>
      <w:r w:rsidRPr="0019082A">
        <w:rPr>
          <w:rFonts w:ascii="Times New Roman" w:hAnsi="Times New Roman" w:cs="Times New Roman"/>
          <w:sz w:val="24"/>
          <w:szCs w:val="24"/>
          <w:lang w:val="en-US"/>
        </w:rPr>
        <w:t xml:space="preserve"> no easy shortcut to an earlier stage of theoretical development, when ‘the science of political right’ </w:t>
      </w:r>
      <w:r w:rsidR="009F48E8" w:rsidRPr="0019082A">
        <w:rPr>
          <w:rFonts w:ascii="Times New Roman" w:hAnsi="Times New Roman" w:cs="Times New Roman"/>
          <w:sz w:val="24"/>
          <w:szCs w:val="24"/>
          <w:lang w:val="en-US"/>
        </w:rPr>
        <w:t>implied an (understandable, given the historical theoretical conjuncture)</w:t>
      </w:r>
      <w:r w:rsidRPr="0019082A">
        <w:rPr>
          <w:rFonts w:ascii="Times New Roman" w:hAnsi="Times New Roman" w:cs="Times New Roman"/>
          <w:sz w:val="24"/>
          <w:szCs w:val="24"/>
          <w:lang w:val="en-US"/>
        </w:rPr>
        <w:t xml:space="preserve"> intelle</w:t>
      </w:r>
      <w:r w:rsidR="009F48E8" w:rsidRPr="0019082A">
        <w:rPr>
          <w:rFonts w:ascii="Times New Roman" w:hAnsi="Times New Roman" w:cs="Times New Roman"/>
          <w:sz w:val="24"/>
          <w:szCs w:val="24"/>
          <w:lang w:val="en-US"/>
        </w:rPr>
        <w:t>ctual license to cram together in a comprehensive narrative what are perceived today to be distinct</w:t>
      </w:r>
      <w:r w:rsidRPr="0019082A">
        <w:rPr>
          <w:rFonts w:ascii="Times New Roman" w:hAnsi="Times New Roman" w:cs="Times New Roman"/>
          <w:sz w:val="24"/>
          <w:szCs w:val="24"/>
          <w:lang w:val="en-US"/>
        </w:rPr>
        <w:t xml:space="preserve"> psychological, sociological, normative and theological considerations.</w:t>
      </w:r>
      <w:r w:rsidR="009F48E8" w:rsidRPr="0019082A">
        <w:rPr>
          <w:rFonts w:ascii="Times New Roman" w:hAnsi="Times New Roman" w:cs="Times New Roman"/>
          <w:sz w:val="24"/>
          <w:szCs w:val="24"/>
          <w:lang w:val="en-US"/>
        </w:rPr>
        <w:t xml:space="preserve"> </w:t>
      </w:r>
      <w:r w:rsidR="00B642EB" w:rsidRPr="0019082A">
        <w:rPr>
          <w:rFonts w:ascii="Times New Roman" w:hAnsi="Times New Roman" w:cs="Times New Roman"/>
          <w:sz w:val="24"/>
          <w:szCs w:val="24"/>
          <w:lang w:val="en-US"/>
        </w:rPr>
        <w:t>In other words</w:t>
      </w:r>
      <w:r w:rsidR="009F48E8" w:rsidRPr="0019082A">
        <w:rPr>
          <w:rFonts w:ascii="Times New Roman" w:hAnsi="Times New Roman" w:cs="Times New Roman"/>
          <w:sz w:val="24"/>
          <w:szCs w:val="24"/>
          <w:lang w:val="en-US"/>
        </w:rPr>
        <w:t>, o</w:t>
      </w:r>
      <w:r w:rsidRPr="0019082A">
        <w:rPr>
          <w:rFonts w:ascii="Times New Roman" w:hAnsi="Times New Roman" w:cs="Times New Roman"/>
          <w:sz w:val="24"/>
          <w:szCs w:val="24"/>
          <w:lang w:val="en-US"/>
        </w:rPr>
        <w:t>nce the genie</w:t>
      </w:r>
      <w:r w:rsidR="009F48E8" w:rsidRPr="0019082A">
        <w:rPr>
          <w:rFonts w:ascii="Times New Roman" w:hAnsi="Times New Roman" w:cs="Times New Roman"/>
          <w:sz w:val="24"/>
          <w:szCs w:val="24"/>
          <w:lang w:val="en-US"/>
        </w:rPr>
        <w:t xml:space="preserve"> of the differentiation and sophisti</w:t>
      </w:r>
      <w:r w:rsidR="00925336" w:rsidRPr="0019082A">
        <w:rPr>
          <w:rFonts w:ascii="Times New Roman" w:hAnsi="Times New Roman" w:cs="Times New Roman"/>
          <w:sz w:val="24"/>
          <w:szCs w:val="24"/>
          <w:lang w:val="en-US"/>
        </w:rPr>
        <w:t xml:space="preserve">cation of the social sciences </w:t>
      </w:r>
      <w:r w:rsidR="0016157C" w:rsidRPr="0019082A">
        <w:rPr>
          <w:rFonts w:ascii="Times New Roman" w:hAnsi="Times New Roman" w:cs="Times New Roman"/>
          <w:sz w:val="24"/>
          <w:szCs w:val="24"/>
          <w:lang w:val="en-US"/>
        </w:rPr>
        <w:t>is</w:t>
      </w:r>
      <w:r w:rsidRPr="0019082A">
        <w:rPr>
          <w:rFonts w:ascii="Times New Roman" w:hAnsi="Times New Roman" w:cs="Times New Roman"/>
          <w:sz w:val="24"/>
          <w:szCs w:val="24"/>
          <w:lang w:val="en-US"/>
        </w:rPr>
        <w:t xml:space="preserve"> out </w:t>
      </w:r>
      <w:r w:rsidR="009F48E8" w:rsidRPr="0019082A">
        <w:rPr>
          <w:rFonts w:ascii="Times New Roman" w:hAnsi="Times New Roman" w:cs="Times New Roman"/>
          <w:sz w:val="24"/>
          <w:szCs w:val="24"/>
          <w:lang w:val="en-US"/>
        </w:rPr>
        <w:t xml:space="preserve">of the bottle, </w:t>
      </w:r>
      <w:r w:rsidR="00925336" w:rsidRPr="0019082A">
        <w:rPr>
          <w:rFonts w:ascii="Times New Roman" w:hAnsi="Times New Roman" w:cs="Times New Roman"/>
          <w:sz w:val="24"/>
          <w:szCs w:val="24"/>
          <w:lang w:val="en-US"/>
        </w:rPr>
        <w:t>a return to a prior epistemic state where these sciences are absent seems increasingly improbable</w:t>
      </w:r>
      <w:r w:rsidRPr="0019082A">
        <w:rPr>
          <w:rFonts w:ascii="Times New Roman" w:hAnsi="Times New Roman" w:cs="Times New Roman"/>
          <w:sz w:val="24"/>
          <w:szCs w:val="24"/>
          <w:lang w:val="en-US"/>
        </w:rPr>
        <w:t xml:space="preserve">. This is one </w:t>
      </w:r>
      <w:r w:rsidR="00F83C19" w:rsidRPr="0019082A">
        <w:rPr>
          <w:rFonts w:ascii="Times New Roman" w:hAnsi="Times New Roman" w:cs="Times New Roman"/>
          <w:sz w:val="24"/>
          <w:szCs w:val="24"/>
          <w:lang w:val="en-US"/>
        </w:rPr>
        <w:t>additional</w:t>
      </w:r>
      <w:r w:rsidRPr="0019082A">
        <w:rPr>
          <w:rFonts w:ascii="Times New Roman" w:hAnsi="Times New Roman" w:cs="Times New Roman"/>
          <w:sz w:val="24"/>
          <w:szCs w:val="24"/>
          <w:lang w:val="en-US"/>
        </w:rPr>
        <w:t xml:space="preserve"> reason why the challenge of the social sciences to Loughlin’s project</w:t>
      </w:r>
      <w:r w:rsidR="006014EC" w:rsidRPr="0019082A">
        <w:rPr>
          <w:rFonts w:ascii="Times New Roman" w:hAnsi="Times New Roman" w:cs="Times New Roman"/>
          <w:sz w:val="24"/>
          <w:szCs w:val="24"/>
          <w:lang w:val="en-US"/>
        </w:rPr>
        <w:t xml:space="preserve"> of</w:t>
      </w:r>
      <w:r w:rsidR="009F48E8" w:rsidRPr="0019082A">
        <w:rPr>
          <w:rFonts w:ascii="Times New Roman" w:hAnsi="Times New Roman" w:cs="Times New Roman"/>
          <w:sz w:val="24"/>
          <w:szCs w:val="24"/>
          <w:lang w:val="en-US"/>
        </w:rPr>
        <w:t xml:space="preserve"> revivify</w:t>
      </w:r>
      <w:r w:rsidR="006014EC" w:rsidRPr="0019082A">
        <w:rPr>
          <w:rFonts w:ascii="Times New Roman" w:hAnsi="Times New Roman" w:cs="Times New Roman"/>
          <w:sz w:val="24"/>
          <w:szCs w:val="24"/>
          <w:lang w:val="en-US"/>
        </w:rPr>
        <w:t>ing</w:t>
      </w:r>
      <w:r w:rsidR="009F48E8" w:rsidRPr="0019082A">
        <w:rPr>
          <w:rFonts w:ascii="Times New Roman" w:hAnsi="Times New Roman" w:cs="Times New Roman"/>
          <w:sz w:val="24"/>
          <w:szCs w:val="24"/>
          <w:lang w:val="en-US"/>
        </w:rPr>
        <w:t xml:space="preserve"> the ‘science of political right’</w:t>
      </w:r>
      <w:r w:rsidR="007C734B" w:rsidRPr="0019082A">
        <w:rPr>
          <w:rFonts w:ascii="Times New Roman" w:hAnsi="Times New Roman" w:cs="Times New Roman"/>
          <w:sz w:val="24"/>
          <w:szCs w:val="24"/>
          <w:lang w:val="en-US"/>
        </w:rPr>
        <w:t xml:space="preserve"> might cut deeper than he perhaps</w:t>
      </w:r>
      <w:r w:rsidRPr="0019082A">
        <w:rPr>
          <w:rFonts w:ascii="Times New Roman" w:hAnsi="Times New Roman" w:cs="Times New Roman"/>
          <w:sz w:val="24"/>
          <w:szCs w:val="24"/>
          <w:lang w:val="en-US"/>
        </w:rPr>
        <w:t xml:space="preserve"> think</w:t>
      </w:r>
      <w:r w:rsidR="007C734B" w:rsidRPr="0019082A">
        <w:rPr>
          <w:rFonts w:ascii="Times New Roman" w:hAnsi="Times New Roman" w:cs="Times New Roman"/>
          <w:sz w:val="24"/>
          <w:szCs w:val="24"/>
          <w:lang w:val="en-US"/>
        </w:rPr>
        <w:t>s</w:t>
      </w:r>
      <w:r w:rsidRPr="0019082A">
        <w:rPr>
          <w:rFonts w:ascii="Times New Roman" w:hAnsi="Times New Roman" w:cs="Times New Roman"/>
          <w:sz w:val="24"/>
          <w:szCs w:val="24"/>
          <w:lang w:val="en-US"/>
        </w:rPr>
        <w:t xml:space="preserve">.    </w:t>
      </w:r>
    </w:p>
    <w:p w14:paraId="4CB67AD4" w14:textId="77777777"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 xml:space="preserve">      </w:t>
      </w:r>
    </w:p>
    <w:p w14:paraId="0F92E398" w14:textId="77777777" w:rsidR="00365C41" w:rsidRPr="0019082A" w:rsidRDefault="00365C41">
      <w:pPr>
        <w:pStyle w:val="normal0"/>
        <w:spacing w:line="360" w:lineRule="auto"/>
        <w:jc w:val="both"/>
        <w:rPr>
          <w:rFonts w:ascii="Times New Roman" w:hAnsi="Times New Roman" w:cs="Times New Roman"/>
          <w:sz w:val="24"/>
          <w:szCs w:val="24"/>
          <w:lang w:val="en-US"/>
        </w:rPr>
      </w:pPr>
    </w:p>
    <w:p w14:paraId="11320A20" w14:textId="77777777" w:rsidR="00365C41" w:rsidRPr="0019082A" w:rsidRDefault="002E6F5F">
      <w:pPr>
        <w:pStyle w:val="normal0"/>
        <w:spacing w:line="360" w:lineRule="auto"/>
        <w:jc w:val="both"/>
        <w:rPr>
          <w:rFonts w:ascii="Times New Roman" w:hAnsi="Times New Roman" w:cs="Times New Roman"/>
          <w:sz w:val="24"/>
          <w:szCs w:val="24"/>
          <w:lang w:val="en-US"/>
        </w:rPr>
      </w:pPr>
      <w:r w:rsidRPr="0019082A">
        <w:rPr>
          <w:rFonts w:ascii="Times New Roman" w:hAnsi="Times New Roman" w:cs="Times New Roman"/>
          <w:sz w:val="24"/>
          <w:szCs w:val="24"/>
          <w:lang w:val="en-US"/>
        </w:rPr>
        <w:t xml:space="preserve">           </w:t>
      </w:r>
    </w:p>
    <w:sectPr w:rsidR="00365C41" w:rsidRPr="0019082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2621D" w14:textId="77777777" w:rsidR="00BB5AE2" w:rsidRDefault="00BB5AE2">
      <w:pPr>
        <w:spacing w:line="240" w:lineRule="auto"/>
      </w:pPr>
      <w:r>
        <w:separator/>
      </w:r>
    </w:p>
  </w:endnote>
  <w:endnote w:type="continuationSeparator" w:id="0">
    <w:p w14:paraId="12770E1C" w14:textId="77777777" w:rsidR="00BB5AE2" w:rsidRDefault="00BB5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ED8B3" w14:textId="77777777" w:rsidR="00BB5AE2" w:rsidRPr="007A7098" w:rsidRDefault="00BB5AE2">
    <w:pPr>
      <w:pStyle w:val="normal0"/>
      <w:jc w:val="right"/>
      <w:rPr>
        <w:rFonts w:ascii="Times New Roman" w:hAnsi="Times New Roman" w:cs="Times New Roman"/>
      </w:rPr>
    </w:pPr>
    <w:r w:rsidRPr="007A7098">
      <w:rPr>
        <w:rFonts w:ascii="Times New Roman" w:hAnsi="Times New Roman" w:cs="Times New Roman"/>
      </w:rPr>
      <w:fldChar w:fldCharType="begin"/>
    </w:r>
    <w:r w:rsidRPr="007A7098">
      <w:rPr>
        <w:rFonts w:ascii="Times New Roman" w:hAnsi="Times New Roman" w:cs="Times New Roman"/>
      </w:rPr>
      <w:instrText>PAGE</w:instrText>
    </w:r>
    <w:r w:rsidRPr="007A7098">
      <w:rPr>
        <w:rFonts w:ascii="Times New Roman" w:hAnsi="Times New Roman" w:cs="Times New Roman"/>
      </w:rPr>
      <w:fldChar w:fldCharType="separate"/>
    </w:r>
    <w:r w:rsidR="00C57412">
      <w:rPr>
        <w:rFonts w:ascii="Times New Roman" w:hAnsi="Times New Roman" w:cs="Times New Roman"/>
        <w:noProof/>
      </w:rPr>
      <w:t>13</w:t>
    </w:r>
    <w:r w:rsidRPr="007A7098">
      <w:rPr>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B212D" w14:textId="77777777" w:rsidR="00BB5AE2" w:rsidRDefault="00BB5AE2">
      <w:pPr>
        <w:spacing w:line="240" w:lineRule="auto"/>
      </w:pPr>
      <w:r>
        <w:separator/>
      </w:r>
    </w:p>
  </w:footnote>
  <w:footnote w:type="continuationSeparator" w:id="0">
    <w:p w14:paraId="71DE262D" w14:textId="77777777" w:rsidR="00BB5AE2" w:rsidRDefault="00BB5AE2">
      <w:pPr>
        <w:spacing w:line="240" w:lineRule="auto"/>
      </w:pPr>
      <w:r>
        <w:continuationSeparator/>
      </w:r>
    </w:p>
  </w:footnote>
  <w:footnote w:id="1">
    <w:p w14:paraId="2C88369F"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M. Loughlin, </w:t>
      </w:r>
      <w:r w:rsidRPr="00BF6FCA">
        <w:rPr>
          <w:rFonts w:ascii="Times New Roman" w:hAnsi="Times New Roman" w:cs="Times New Roman"/>
          <w:i/>
          <w:sz w:val="20"/>
          <w:szCs w:val="20"/>
        </w:rPr>
        <w:t>Foundations of Public Law</w:t>
      </w:r>
      <w:r w:rsidRPr="00BF6FCA">
        <w:rPr>
          <w:rFonts w:ascii="Times New Roman" w:hAnsi="Times New Roman" w:cs="Times New Roman"/>
          <w:sz w:val="20"/>
          <w:szCs w:val="20"/>
        </w:rPr>
        <w:t>, OUP, 2010.</w:t>
      </w:r>
    </w:p>
  </w:footnote>
  <w:footnote w:id="2">
    <w:p w14:paraId="00A4301B"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Previous work by Loughlin on the topic includes </w:t>
      </w:r>
      <w:r w:rsidRPr="00BF6FCA">
        <w:rPr>
          <w:rFonts w:ascii="Times New Roman" w:hAnsi="Times New Roman" w:cs="Times New Roman"/>
          <w:i/>
          <w:sz w:val="20"/>
          <w:szCs w:val="20"/>
        </w:rPr>
        <w:t xml:space="preserve">The Idea of Public Law </w:t>
      </w:r>
      <w:r w:rsidRPr="00BF6FCA">
        <w:rPr>
          <w:rFonts w:ascii="Times New Roman" w:hAnsi="Times New Roman" w:cs="Times New Roman"/>
          <w:sz w:val="20"/>
          <w:szCs w:val="20"/>
        </w:rPr>
        <w:t xml:space="preserve">and his older </w:t>
      </w:r>
      <w:r w:rsidRPr="00BF6FCA">
        <w:rPr>
          <w:rFonts w:ascii="Times New Roman" w:hAnsi="Times New Roman" w:cs="Times New Roman"/>
          <w:i/>
          <w:sz w:val="20"/>
          <w:szCs w:val="20"/>
        </w:rPr>
        <w:t>Public Law and Political Theory</w:t>
      </w:r>
      <w:r w:rsidRPr="00BF6FCA">
        <w:rPr>
          <w:rFonts w:ascii="Times New Roman" w:hAnsi="Times New Roman" w:cs="Times New Roman"/>
          <w:sz w:val="20"/>
          <w:szCs w:val="20"/>
        </w:rPr>
        <w:t>.</w:t>
      </w:r>
    </w:p>
  </w:footnote>
  <w:footnote w:id="3">
    <w:p w14:paraId="35D63415"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 to Mann.</w:t>
      </w:r>
    </w:p>
  </w:footnote>
  <w:footnote w:id="4">
    <w:p w14:paraId="7598CCEA"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5">
    <w:p w14:paraId="01FA16A9"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References.</w:t>
      </w:r>
    </w:p>
  </w:footnote>
  <w:footnote w:id="6">
    <w:p w14:paraId="7244095D"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7">
    <w:p w14:paraId="372828ED"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Caveat for ‘exclusive’ positivism here.</w:t>
      </w:r>
    </w:p>
  </w:footnote>
  <w:footnote w:id="8">
    <w:p w14:paraId="1AB6EB7C"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 to Justice in Robes. </w:t>
      </w:r>
    </w:p>
  </w:footnote>
  <w:footnote w:id="9">
    <w:p w14:paraId="7674B049"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10">
    <w:p w14:paraId="759BE238"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11">
    <w:p w14:paraId="7842685D"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12">
    <w:p w14:paraId="26AAB8E3"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13">
    <w:p w14:paraId="7E83B51A" w14:textId="041CCB5F"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 to Kelsen.</w:t>
      </w:r>
    </w:p>
  </w:footnote>
  <w:footnote w:id="14">
    <w:p w14:paraId="1DC7A214"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15">
    <w:p w14:paraId="0EA1A805"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16">
    <w:p w14:paraId="6AB7779E"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17">
    <w:p w14:paraId="1B74E442"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18">
    <w:p w14:paraId="6E65751E"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References.</w:t>
      </w:r>
    </w:p>
  </w:footnote>
  <w:footnote w:id="19">
    <w:p w14:paraId="454AE221"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20">
    <w:p w14:paraId="64D1EAEC"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21">
    <w:p w14:paraId="642E3EE4"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22">
    <w:p w14:paraId="5D2FA4E4"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23">
    <w:p w14:paraId="07D5A688"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24">
    <w:p w14:paraId="2A6271DF"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25">
    <w:p w14:paraId="1DB72FE9"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26">
    <w:p w14:paraId="17B5C474"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27">
    <w:p w14:paraId="333E6292"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Explain why they call this ‘material’. Reference to the ‘material constitution’.</w:t>
      </w:r>
    </w:p>
  </w:footnote>
  <w:footnote w:id="28">
    <w:p w14:paraId="4971BC39" w14:textId="6F2F367F" w:rsidR="00BB5AE2" w:rsidRPr="00BF6FCA" w:rsidRDefault="00BB5AE2">
      <w:pPr>
        <w:pStyle w:val="FootnoteText"/>
        <w:rPr>
          <w:rFonts w:ascii="Times New Roman" w:hAnsi="Times New Roman" w:cs="Times New Roman"/>
          <w:sz w:val="20"/>
          <w:szCs w:val="20"/>
          <w:lang w:val="en-US"/>
        </w:rPr>
      </w:pPr>
      <w:r w:rsidRPr="00BF6FCA">
        <w:rPr>
          <w:rStyle w:val="FootnoteReference"/>
          <w:rFonts w:ascii="Times New Roman" w:hAnsi="Times New Roman" w:cs="Times New Roman"/>
          <w:sz w:val="20"/>
          <w:szCs w:val="20"/>
        </w:rPr>
        <w:footnoteRef/>
      </w:r>
      <w:r w:rsidRPr="00BF6FCA">
        <w:rPr>
          <w:rFonts w:ascii="Times New Roman" w:hAnsi="Times New Roman" w:cs="Times New Roman"/>
          <w:sz w:val="20"/>
          <w:szCs w:val="20"/>
        </w:rPr>
        <w:t xml:space="preserve"> </w:t>
      </w:r>
      <w:r w:rsidRPr="00BF6FCA">
        <w:rPr>
          <w:rFonts w:ascii="Times New Roman" w:hAnsi="Times New Roman" w:cs="Times New Roman"/>
          <w:sz w:val="20"/>
          <w:szCs w:val="20"/>
          <w:lang w:val="en-US"/>
        </w:rPr>
        <w:t>Reference.</w:t>
      </w:r>
    </w:p>
  </w:footnote>
  <w:footnote w:id="29">
    <w:p w14:paraId="471D8A5C" w14:textId="103E8D19" w:rsidR="00BB5AE2" w:rsidRPr="00BF6FCA" w:rsidRDefault="00BB5AE2">
      <w:pPr>
        <w:pStyle w:val="FootnoteText"/>
        <w:rPr>
          <w:rFonts w:ascii="Times New Roman" w:hAnsi="Times New Roman" w:cs="Times New Roman"/>
          <w:sz w:val="20"/>
          <w:szCs w:val="20"/>
          <w:lang w:val="en-US"/>
        </w:rPr>
      </w:pPr>
      <w:r w:rsidRPr="00BF6FCA">
        <w:rPr>
          <w:rStyle w:val="FootnoteReference"/>
          <w:rFonts w:ascii="Times New Roman" w:hAnsi="Times New Roman" w:cs="Times New Roman"/>
          <w:sz w:val="20"/>
          <w:szCs w:val="20"/>
        </w:rPr>
        <w:footnoteRef/>
      </w:r>
      <w:r w:rsidRPr="00BF6FCA">
        <w:rPr>
          <w:rFonts w:ascii="Times New Roman" w:hAnsi="Times New Roman" w:cs="Times New Roman"/>
          <w:sz w:val="20"/>
          <w:szCs w:val="20"/>
        </w:rPr>
        <w:t xml:space="preserve"> </w:t>
      </w:r>
      <w:r w:rsidRPr="00BF6FCA">
        <w:rPr>
          <w:rFonts w:ascii="Times New Roman" w:hAnsi="Times New Roman" w:cs="Times New Roman"/>
          <w:sz w:val="20"/>
          <w:szCs w:val="20"/>
          <w:lang w:val="en-US"/>
        </w:rPr>
        <w:t>Reference to Milios.</w:t>
      </w:r>
    </w:p>
  </w:footnote>
  <w:footnote w:id="30">
    <w:p w14:paraId="7B583900"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31">
    <w:p w14:paraId="0ABA8E46" w14:textId="13EC396A" w:rsidR="00BB5AE2" w:rsidRPr="00BF6FCA" w:rsidRDefault="00BB5AE2">
      <w:pPr>
        <w:pStyle w:val="FootnoteText"/>
        <w:rPr>
          <w:rFonts w:ascii="Times New Roman" w:hAnsi="Times New Roman" w:cs="Times New Roman"/>
          <w:sz w:val="20"/>
          <w:szCs w:val="20"/>
          <w:lang w:val="en-US"/>
        </w:rPr>
      </w:pPr>
      <w:r w:rsidRPr="00BF6FCA">
        <w:rPr>
          <w:rStyle w:val="FootnoteReference"/>
          <w:rFonts w:ascii="Times New Roman" w:hAnsi="Times New Roman" w:cs="Times New Roman"/>
          <w:sz w:val="20"/>
          <w:szCs w:val="20"/>
        </w:rPr>
        <w:footnoteRef/>
      </w:r>
      <w:r w:rsidRPr="00BF6FCA">
        <w:rPr>
          <w:rFonts w:ascii="Times New Roman" w:hAnsi="Times New Roman" w:cs="Times New Roman"/>
          <w:sz w:val="20"/>
          <w:szCs w:val="20"/>
        </w:rPr>
        <w:t xml:space="preserve"> </w:t>
      </w:r>
      <w:r w:rsidRPr="00BF6FCA">
        <w:rPr>
          <w:rFonts w:ascii="Times New Roman" w:hAnsi="Times New Roman" w:cs="Times New Roman"/>
          <w:sz w:val="20"/>
          <w:szCs w:val="20"/>
          <w:lang w:val="en-US"/>
        </w:rPr>
        <w:t>Reference.</w:t>
      </w:r>
    </w:p>
  </w:footnote>
  <w:footnote w:id="32">
    <w:p w14:paraId="028FBD86"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References.</w:t>
      </w:r>
    </w:p>
  </w:footnote>
  <w:footnote w:id="33">
    <w:p w14:paraId="5F666F5B" w14:textId="77777777" w:rsidR="00BB5AE2" w:rsidRPr="00BF6FCA" w:rsidRDefault="00BB5AE2">
      <w:pPr>
        <w:pStyle w:val="normal0"/>
        <w:spacing w:line="240" w:lineRule="auto"/>
        <w:jc w:val="both"/>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 In fact, an argument can be made that there is a link between the conceptualisation of communities as ‘societies’ and the rise of sociology.</w:t>
      </w:r>
    </w:p>
  </w:footnote>
  <w:footnote w:id="34">
    <w:p w14:paraId="6DB8B2BF" w14:textId="7233A6AD" w:rsidR="00BB5AE2" w:rsidRPr="00BF6FCA" w:rsidRDefault="00BB5AE2">
      <w:pPr>
        <w:pStyle w:val="FootnoteText"/>
        <w:rPr>
          <w:rFonts w:ascii="Times New Roman" w:hAnsi="Times New Roman" w:cs="Times New Roman"/>
          <w:sz w:val="20"/>
          <w:szCs w:val="20"/>
          <w:lang w:val="en-US"/>
        </w:rPr>
      </w:pPr>
      <w:r w:rsidRPr="00BF6FCA">
        <w:rPr>
          <w:rStyle w:val="FootnoteReference"/>
          <w:rFonts w:ascii="Times New Roman" w:hAnsi="Times New Roman" w:cs="Times New Roman"/>
          <w:sz w:val="20"/>
          <w:szCs w:val="20"/>
        </w:rPr>
        <w:footnoteRef/>
      </w:r>
      <w:r w:rsidRPr="00BF6FCA">
        <w:rPr>
          <w:rFonts w:ascii="Times New Roman" w:hAnsi="Times New Roman" w:cs="Times New Roman"/>
          <w:sz w:val="20"/>
          <w:szCs w:val="20"/>
        </w:rPr>
        <w:t xml:space="preserve"> </w:t>
      </w:r>
    </w:p>
  </w:footnote>
  <w:footnote w:id="35">
    <w:p w14:paraId="67A6949D" w14:textId="26F59F8A" w:rsidR="00BB5AE2" w:rsidRPr="00BF6FCA" w:rsidRDefault="00BB5AE2">
      <w:pPr>
        <w:pStyle w:val="FootnoteText"/>
        <w:rPr>
          <w:rFonts w:ascii="Times New Roman" w:hAnsi="Times New Roman" w:cs="Times New Roman"/>
          <w:sz w:val="20"/>
          <w:szCs w:val="20"/>
          <w:lang w:val="en-US"/>
        </w:rPr>
      </w:pPr>
      <w:r w:rsidRPr="00BF6FCA">
        <w:rPr>
          <w:rStyle w:val="FootnoteReference"/>
          <w:rFonts w:ascii="Times New Roman" w:hAnsi="Times New Roman" w:cs="Times New Roman"/>
          <w:sz w:val="20"/>
          <w:szCs w:val="20"/>
        </w:rPr>
        <w:footnoteRef/>
      </w:r>
      <w:r w:rsidRPr="00BF6FCA">
        <w:rPr>
          <w:rFonts w:ascii="Times New Roman" w:hAnsi="Times New Roman" w:cs="Times New Roman"/>
          <w:sz w:val="20"/>
          <w:szCs w:val="20"/>
        </w:rPr>
        <w:t xml:space="preserve"> </w:t>
      </w:r>
    </w:p>
  </w:footnote>
  <w:footnote w:id="36">
    <w:p w14:paraId="3205EE2C" w14:textId="0D439C9F" w:rsidR="00BB5AE2" w:rsidRPr="00BF6FCA" w:rsidRDefault="00BB5AE2">
      <w:pPr>
        <w:pStyle w:val="FootnoteText"/>
        <w:rPr>
          <w:rFonts w:ascii="Times New Roman" w:hAnsi="Times New Roman" w:cs="Times New Roman"/>
          <w:sz w:val="20"/>
          <w:szCs w:val="20"/>
          <w:lang w:val="en-US"/>
        </w:rPr>
      </w:pPr>
      <w:r w:rsidRPr="00BF6FCA">
        <w:rPr>
          <w:rStyle w:val="FootnoteReference"/>
          <w:rFonts w:ascii="Times New Roman" w:hAnsi="Times New Roman" w:cs="Times New Roman"/>
          <w:sz w:val="20"/>
          <w:szCs w:val="20"/>
        </w:rPr>
        <w:footnoteRef/>
      </w:r>
      <w:r w:rsidRPr="00BF6FCA">
        <w:rPr>
          <w:rFonts w:ascii="Times New Roman" w:hAnsi="Times New Roman" w:cs="Times New Roman"/>
          <w:sz w:val="20"/>
          <w:szCs w:val="20"/>
        </w:rPr>
        <w:t xml:space="preserve"> </w:t>
      </w:r>
    </w:p>
  </w:footnote>
  <w:footnote w:id="37">
    <w:p w14:paraId="77CAE04E"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38">
    <w:p w14:paraId="5CC62F51" w14:textId="77777777" w:rsidR="00BB5AE2" w:rsidRPr="00BF6FCA" w:rsidRDefault="00BB5AE2" w:rsidP="00B46C27">
      <w:pPr>
        <w:pStyle w:val="FootnoteText"/>
        <w:rPr>
          <w:rFonts w:ascii="Times New Roman" w:hAnsi="Times New Roman" w:cs="Times New Roman"/>
          <w:sz w:val="20"/>
          <w:szCs w:val="20"/>
          <w:lang w:val="en-US"/>
        </w:rPr>
      </w:pPr>
      <w:r w:rsidRPr="00BF6FCA">
        <w:rPr>
          <w:rStyle w:val="FootnoteReference"/>
          <w:rFonts w:ascii="Times New Roman" w:hAnsi="Times New Roman" w:cs="Times New Roman"/>
          <w:sz w:val="20"/>
          <w:szCs w:val="20"/>
        </w:rPr>
        <w:footnoteRef/>
      </w:r>
      <w:r w:rsidRPr="00BF6FCA">
        <w:rPr>
          <w:rFonts w:ascii="Times New Roman" w:hAnsi="Times New Roman" w:cs="Times New Roman"/>
          <w:sz w:val="20"/>
          <w:szCs w:val="20"/>
        </w:rPr>
        <w:t xml:space="preserve"> </w:t>
      </w:r>
    </w:p>
  </w:footnote>
  <w:footnote w:id="39">
    <w:p w14:paraId="3D0C16E8"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References.</w:t>
      </w:r>
    </w:p>
  </w:footnote>
  <w:footnote w:id="40">
    <w:p w14:paraId="13D7A4D1"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41">
    <w:p w14:paraId="1D820201" w14:textId="5F5AEAB6" w:rsidR="00BB5AE2" w:rsidRPr="00BF6FCA" w:rsidRDefault="00BB5AE2">
      <w:pPr>
        <w:pStyle w:val="FootnoteText"/>
        <w:rPr>
          <w:rFonts w:ascii="Times New Roman" w:hAnsi="Times New Roman" w:cs="Times New Roman"/>
          <w:sz w:val="20"/>
          <w:szCs w:val="20"/>
          <w:lang w:val="en-US"/>
        </w:rPr>
      </w:pPr>
      <w:r w:rsidRPr="00BF6FCA">
        <w:rPr>
          <w:rStyle w:val="FootnoteReference"/>
          <w:rFonts w:ascii="Times New Roman" w:hAnsi="Times New Roman" w:cs="Times New Roman"/>
          <w:sz w:val="20"/>
          <w:szCs w:val="20"/>
        </w:rPr>
        <w:footnoteRef/>
      </w:r>
      <w:r w:rsidRPr="00BF6FCA">
        <w:rPr>
          <w:rFonts w:ascii="Times New Roman" w:hAnsi="Times New Roman" w:cs="Times New Roman"/>
          <w:sz w:val="20"/>
          <w:szCs w:val="20"/>
        </w:rPr>
        <w:t xml:space="preserve"> </w:t>
      </w:r>
      <w:r w:rsidRPr="00BF6FCA">
        <w:rPr>
          <w:rFonts w:ascii="Times New Roman" w:hAnsi="Times New Roman" w:cs="Times New Roman"/>
          <w:sz w:val="20"/>
          <w:szCs w:val="20"/>
          <w:lang w:val="en-US"/>
        </w:rPr>
        <w:t>Reference to Rosenberg.</w:t>
      </w:r>
    </w:p>
  </w:footnote>
  <w:footnote w:id="42">
    <w:p w14:paraId="16DCC83E" w14:textId="0AD3BA10" w:rsidR="00BB5AE2" w:rsidRPr="00BF6FCA" w:rsidRDefault="00BB5AE2">
      <w:pPr>
        <w:pStyle w:val="FootnoteText"/>
        <w:rPr>
          <w:rFonts w:ascii="Times New Roman" w:hAnsi="Times New Roman" w:cs="Times New Roman"/>
          <w:sz w:val="20"/>
          <w:szCs w:val="20"/>
          <w:lang w:val="en-US"/>
        </w:rPr>
      </w:pPr>
      <w:r w:rsidRPr="00BF6FCA">
        <w:rPr>
          <w:rStyle w:val="FootnoteReference"/>
          <w:rFonts w:ascii="Times New Roman" w:hAnsi="Times New Roman" w:cs="Times New Roman"/>
          <w:sz w:val="20"/>
          <w:szCs w:val="20"/>
        </w:rPr>
        <w:footnoteRef/>
      </w:r>
      <w:r w:rsidRPr="00BF6FCA">
        <w:rPr>
          <w:rFonts w:ascii="Times New Roman" w:hAnsi="Times New Roman" w:cs="Times New Roman"/>
          <w:sz w:val="20"/>
          <w:szCs w:val="20"/>
        </w:rPr>
        <w:t xml:space="preserve"> </w:t>
      </w:r>
      <w:r w:rsidRPr="00BF6FCA">
        <w:rPr>
          <w:rFonts w:ascii="Times New Roman" w:hAnsi="Times New Roman" w:cs="Times New Roman"/>
          <w:sz w:val="20"/>
          <w:szCs w:val="20"/>
          <w:lang w:val="en-US"/>
        </w:rPr>
        <w:t>Reference.</w:t>
      </w:r>
    </w:p>
  </w:footnote>
  <w:footnote w:id="43">
    <w:p w14:paraId="52DA93EE"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44">
    <w:p w14:paraId="0F6CD3D0" w14:textId="6C181BB4"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 to Cohen</w:t>
      </w:r>
      <w:r w:rsidR="0011406A">
        <w:rPr>
          <w:rFonts w:ascii="Times New Roman" w:hAnsi="Times New Roman" w:cs="Times New Roman"/>
          <w:sz w:val="20"/>
          <w:szCs w:val="20"/>
        </w:rPr>
        <w:t>/Estlund</w:t>
      </w:r>
      <w:r w:rsidRPr="00BF6FCA">
        <w:rPr>
          <w:rFonts w:ascii="Times New Roman" w:hAnsi="Times New Roman" w:cs="Times New Roman"/>
          <w:sz w:val="20"/>
          <w:szCs w:val="20"/>
        </w:rPr>
        <w:t>.</w:t>
      </w:r>
    </w:p>
  </w:footnote>
  <w:footnote w:id="45">
    <w:p w14:paraId="603C8930"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 to Luhmann’s work.</w:t>
      </w:r>
    </w:p>
  </w:footnote>
  <w:footnote w:id="46">
    <w:p w14:paraId="0D67E808"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w:t>
      </w:r>
    </w:p>
  </w:footnote>
  <w:footnote w:id="47">
    <w:p w14:paraId="663D3C77" w14:textId="77777777" w:rsidR="00BB5AE2" w:rsidRPr="00BF6FCA" w:rsidRDefault="00BB5AE2">
      <w:pPr>
        <w:pStyle w:val="normal0"/>
        <w:spacing w:line="240" w:lineRule="auto"/>
        <w:rPr>
          <w:rFonts w:ascii="Times New Roman" w:hAnsi="Times New Roman" w:cs="Times New Roman"/>
          <w:sz w:val="20"/>
          <w:szCs w:val="20"/>
        </w:rPr>
      </w:pPr>
      <w:r w:rsidRPr="00BF6FCA">
        <w:rPr>
          <w:rFonts w:ascii="Times New Roman" w:hAnsi="Times New Roman" w:cs="Times New Roman"/>
          <w:sz w:val="20"/>
          <w:szCs w:val="20"/>
          <w:vertAlign w:val="superscript"/>
        </w:rPr>
        <w:footnoteRef/>
      </w:r>
      <w:r w:rsidRPr="00BF6FCA">
        <w:rPr>
          <w:rFonts w:ascii="Times New Roman" w:hAnsi="Times New Roman" w:cs="Times New Roman"/>
          <w:sz w:val="20"/>
          <w:szCs w:val="20"/>
        </w:rPr>
        <w:t xml:space="preserve"> Reference to the rise of naturalism in analytical philosophy.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65C41"/>
    <w:rsid w:val="0000186B"/>
    <w:rsid w:val="00002434"/>
    <w:rsid w:val="00033927"/>
    <w:rsid w:val="00035081"/>
    <w:rsid w:val="00061D57"/>
    <w:rsid w:val="000775C7"/>
    <w:rsid w:val="00083141"/>
    <w:rsid w:val="00092A01"/>
    <w:rsid w:val="000966B2"/>
    <w:rsid w:val="000A4F52"/>
    <w:rsid w:val="000D2EA2"/>
    <w:rsid w:val="000F0A96"/>
    <w:rsid w:val="00110DBD"/>
    <w:rsid w:val="0011406A"/>
    <w:rsid w:val="00116E0C"/>
    <w:rsid w:val="00131850"/>
    <w:rsid w:val="00151B5D"/>
    <w:rsid w:val="0016157C"/>
    <w:rsid w:val="00180DA8"/>
    <w:rsid w:val="00183234"/>
    <w:rsid w:val="0019082A"/>
    <w:rsid w:val="001B494F"/>
    <w:rsid w:val="001D70E0"/>
    <w:rsid w:val="001E5C78"/>
    <w:rsid w:val="001E6786"/>
    <w:rsid w:val="00204451"/>
    <w:rsid w:val="00214C62"/>
    <w:rsid w:val="002162DE"/>
    <w:rsid w:val="002340D3"/>
    <w:rsid w:val="00254003"/>
    <w:rsid w:val="00257627"/>
    <w:rsid w:val="00265EC0"/>
    <w:rsid w:val="00273481"/>
    <w:rsid w:val="0028460B"/>
    <w:rsid w:val="002959DC"/>
    <w:rsid w:val="002A2958"/>
    <w:rsid w:val="002E6F5F"/>
    <w:rsid w:val="002F5CDB"/>
    <w:rsid w:val="00300CA3"/>
    <w:rsid w:val="00317E4E"/>
    <w:rsid w:val="00325F1F"/>
    <w:rsid w:val="00346186"/>
    <w:rsid w:val="00361FF8"/>
    <w:rsid w:val="00365C41"/>
    <w:rsid w:val="00372055"/>
    <w:rsid w:val="0038107F"/>
    <w:rsid w:val="00397A85"/>
    <w:rsid w:val="003C5FF7"/>
    <w:rsid w:val="003D0837"/>
    <w:rsid w:val="003D49AE"/>
    <w:rsid w:val="003D4DB7"/>
    <w:rsid w:val="003D7212"/>
    <w:rsid w:val="003E0FC0"/>
    <w:rsid w:val="003E610C"/>
    <w:rsid w:val="003F3D4F"/>
    <w:rsid w:val="00417308"/>
    <w:rsid w:val="00423B99"/>
    <w:rsid w:val="00455BBE"/>
    <w:rsid w:val="00471CD4"/>
    <w:rsid w:val="0047671E"/>
    <w:rsid w:val="00482B19"/>
    <w:rsid w:val="004853AC"/>
    <w:rsid w:val="004B45DE"/>
    <w:rsid w:val="004E05C4"/>
    <w:rsid w:val="004F0960"/>
    <w:rsid w:val="004F3790"/>
    <w:rsid w:val="004F65D3"/>
    <w:rsid w:val="00505732"/>
    <w:rsid w:val="005163C2"/>
    <w:rsid w:val="00516E2E"/>
    <w:rsid w:val="005210C1"/>
    <w:rsid w:val="005244F9"/>
    <w:rsid w:val="005262F9"/>
    <w:rsid w:val="00531FD7"/>
    <w:rsid w:val="005740AE"/>
    <w:rsid w:val="00590EC4"/>
    <w:rsid w:val="005A6D39"/>
    <w:rsid w:val="005B31F2"/>
    <w:rsid w:val="005B70C6"/>
    <w:rsid w:val="005C5666"/>
    <w:rsid w:val="005E3763"/>
    <w:rsid w:val="006014EC"/>
    <w:rsid w:val="00602C39"/>
    <w:rsid w:val="00614BCF"/>
    <w:rsid w:val="00624B34"/>
    <w:rsid w:val="00625C82"/>
    <w:rsid w:val="006265C5"/>
    <w:rsid w:val="00630D62"/>
    <w:rsid w:val="006333D3"/>
    <w:rsid w:val="00670AB0"/>
    <w:rsid w:val="006860ED"/>
    <w:rsid w:val="006A25A9"/>
    <w:rsid w:val="006D0A98"/>
    <w:rsid w:val="007151EE"/>
    <w:rsid w:val="00715833"/>
    <w:rsid w:val="00722BB2"/>
    <w:rsid w:val="00742155"/>
    <w:rsid w:val="007606F7"/>
    <w:rsid w:val="00771825"/>
    <w:rsid w:val="00774311"/>
    <w:rsid w:val="007744A2"/>
    <w:rsid w:val="007A5676"/>
    <w:rsid w:val="007A7098"/>
    <w:rsid w:val="007C734B"/>
    <w:rsid w:val="007D36F0"/>
    <w:rsid w:val="007D4A10"/>
    <w:rsid w:val="007F20CF"/>
    <w:rsid w:val="007F34DD"/>
    <w:rsid w:val="008142A2"/>
    <w:rsid w:val="00815F93"/>
    <w:rsid w:val="00826302"/>
    <w:rsid w:val="0085247F"/>
    <w:rsid w:val="008615B3"/>
    <w:rsid w:val="00870257"/>
    <w:rsid w:val="0089226A"/>
    <w:rsid w:val="008B7813"/>
    <w:rsid w:val="008D4AD2"/>
    <w:rsid w:val="00907DCF"/>
    <w:rsid w:val="00925336"/>
    <w:rsid w:val="00934AEC"/>
    <w:rsid w:val="00982B0D"/>
    <w:rsid w:val="0099371A"/>
    <w:rsid w:val="00996F6A"/>
    <w:rsid w:val="009A4D67"/>
    <w:rsid w:val="009A5C4D"/>
    <w:rsid w:val="009D4BFE"/>
    <w:rsid w:val="009E4FCB"/>
    <w:rsid w:val="009F48E8"/>
    <w:rsid w:val="00A04BB9"/>
    <w:rsid w:val="00A05AF7"/>
    <w:rsid w:val="00A1097A"/>
    <w:rsid w:val="00A55116"/>
    <w:rsid w:val="00A73CF1"/>
    <w:rsid w:val="00A75BBF"/>
    <w:rsid w:val="00A80310"/>
    <w:rsid w:val="00AC4C43"/>
    <w:rsid w:val="00AC580F"/>
    <w:rsid w:val="00AC70D3"/>
    <w:rsid w:val="00AD2425"/>
    <w:rsid w:val="00AD7F51"/>
    <w:rsid w:val="00AF0C74"/>
    <w:rsid w:val="00B04085"/>
    <w:rsid w:val="00B46C27"/>
    <w:rsid w:val="00B642EB"/>
    <w:rsid w:val="00B70D28"/>
    <w:rsid w:val="00B71A4B"/>
    <w:rsid w:val="00B74D99"/>
    <w:rsid w:val="00B945DB"/>
    <w:rsid w:val="00BA2713"/>
    <w:rsid w:val="00BA3276"/>
    <w:rsid w:val="00BA4073"/>
    <w:rsid w:val="00BB2F3E"/>
    <w:rsid w:val="00BB5AE2"/>
    <w:rsid w:val="00BC0B4F"/>
    <w:rsid w:val="00BC4F60"/>
    <w:rsid w:val="00BD1389"/>
    <w:rsid w:val="00BD497B"/>
    <w:rsid w:val="00BE09E1"/>
    <w:rsid w:val="00BF6FCA"/>
    <w:rsid w:val="00C149D9"/>
    <w:rsid w:val="00C244A4"/>
    <w:rsid w:val="00C43E8D"/>
    <w:rsid w:val="00C46500"/>
    <w:rsid w:val="00C467AA"/>
    <w:rsid w:val="00C51D4C"/>
    <w:rsid w:val="00C5540F"/>
    <w:rsid w:val="00C57412"/>
    <w:rsid w:val="00C75801"/>
    <w:rsid w:val="00C94FEE"/>
    <w:rsid w:val="00CC7F1A"/>
    <w:rsid w:val="00D04979"/>
    <w:rsid w:val="00D224F8"/>
    <w:rsid w:val="00D26396"/>
    <w:rsid w:val="00D517C7"/>
    <w:rsid w:val="00D61B4C"/>
    <w:rsid w:val="00D90919"/>
    <w:rsid w:val="00DA4383"/>
    <w:rsid w:val="00DC2C58"/>
    <w:rsid w:val="00DC3EEF"/>
    <w:rsid w:val="00DC5DB2"/>
    <w:rsid w:val="00E26505"/>
    <w:rsid w:val="00E7649B"/>
    <w:rsid w:val="00E8151A"/>
    <w:rsid w:val="00EA0F44"/>
    <w:rsid w:val="00F3076B"/>
    <w:rsid w:val="00F33DDE"/>
    <w:rsid w:val="00F56314"/>
    <w:rsid w:val="00F80103"/>
    <w:rsid w:val="00F83C19"/>
    <w:rsid w:val="00F97475"/>
    <w:rsid w:val="00FC0FC6"/>
    <w:rsid w:val="00FC517D"/>
    <w:rsid w:val="00FD5C63"/>
    <w:rsid w:val="00FE64D2"/>
    <w:rsid w:val="00FE72EE"/>
    <w:rsid w:val="00FE7C28"/>
    <w:rsid w:val="00FF0533"/>
    <w:rsid w:val="00FF2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6C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FootnoteText">
    <w:name w:val="footnote text"/>
    <w:basedOn w:val="Normal"/>
    <w:link w:val="FootnoteTextChar"/>
    <w:uiPriority w:val="99"/>
    <w:unhideWhenUsed/>
    <w:rsid w:val="003D7212"/>
    <w:pPr>
      <w:spacing w:line="240" w:lineRule="auto"/>
    </w:pPr>
    <w:rPr>
      <w:sz w:val="24"/>
      <w:szCs w:val="24"/>
    </w:rPr>
  </w:style>
  <w:style w:type="character" w:customStyle="1" w:styleId="FootnoteTextChar">
    <w:name w:val="Footnote Text Char"/>
    <w:basedOn w:val="DefaultParagraphFont"/>
    <w:link w:val="FootnoteText"/>
    <w:uiPriority w:val="99"/>
    <w:rsid w:val="003D7212"/>
    <w:rPr>
      <w:sz w:val="24"/>
      <w:szCs w:val="24"/>
    </w:rPr>
  </w:style>
  <w:style w:type="character" w:styleId="FootnoteReference">
    <w:name w:val="footnote reference"/>
    <w:basedOn w:val="DefaultParagraphFont"/>
    <w:uiPriority w:val="99"/>
    <w:unhideWhenUsed/>
    <w:rsid w:val="003D7212"/>
    <w:rPr>
      <w:vertAlign w:val="superscript"/>
    </w:rPr>
  </w:style>
  <w:style w:type="paragraph" w:styleId="Header">
    <w:name w:val="header"/>
    <w:basedOn w:val="Normal"/>
    <w:link w:val="HeaderChar"/>
    <w:uiPriority w:val="99"/>
    <w:unhideWhenUsed/>
    <w:rsid w:val="007A7098"/>
    <w:pPr>
      <w:tabs>
        <w:tab w:val="center" w:pos="4320"/>
        <w:tab w:val="right" w:pos="8640"/>
      </w:tabs>
      <w:spacing w:line="240" w:lineRule="auto"/>
    </w:pPr>
  </w:style>
  <w:style w:type="character" w:customStyle="1" w:styleId="HeaderChar">
    <w:name w:val="Header Char"/>
    <w:basedOn w:val="DefaultParagraphFont"/>
    <w:link w:val="Header"/>
    <w:uiPriority w:val="99"/>
    <w:rsid w:val="007A7098"/>
  </w:style>
  <w:style w:type="paragraph" w:styleId="Footer">
    <w:name w:val="footer"/>
    <w:basedOn w:val="Normal"/>
    <w:link w:val="FooterChar"/>
    <w:uiPriority w:val="99"/>
    <w:unhideWhenUsed/>
    <w:rsid w:val="007A7098"/>
    <w:pPr>
      <w:tabs>
        <w:tab w:val="center" w:pos="4320"/>
        <w:tab w:val="right" w:pos="8640"/>
      </w:tabs>
      <w:spacing w:line="240" w:lineRule="auto"/>
    </w:pPr>
  </w:style>
  <w:style w:type="character" w:customStyle="1" w:styleId="FooterChar">
    <w:name w:val="Footer Char"/>
    <w:basedOn w:val="DefaultParagraphFont"/>
    <w:link w:val="Footer"/>
    <w:uiPriority w:val="99"/>
    <w:rsid w:val="007A70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FootnoteText">
    <w:name w:val="footnote text"/>
    <w:basedOn w:val="Normal"/>
    <w:link w:val="FootnoteTextChar"/>
    <w:uiPriority w:val="99"/>
    <w:unhideWhenUsed/>
    <w:rsid w:val="003D7212"/>
    <w:pPr>
      <w:spacing w:line="240" w:lineRule="auto"/>
    </w:pPr>
    <w:rPr>
      <w:sz w:val="24"/>
      <w:szCs w:val="24"/>
    </w:rPr>
  </w:style>
  <w:style w:type="character" w:customStyle="1" w:styleId="FootnoteTextChar">
    <w:name w:val="Footnote Text Char"/>
    <w:basedOn w:val="DefaultParagraphFont"/>
    <w:link w:val="FootnoteText"/>
    <w:uiPriority w:val="99"/>
    <w:rsid w:val="003D7212"/>
    <w:rPr>
      <w:sz w:val="24"/>
      <w:szCs w:val="24"/>
    </w:rPr>
  </w:style>
  <w:style w:type="character" w:styleId="FootnoteReference">
    <w:name w:val="footnote reference"/>
    <w:basedOn w:val="DefaultParagraphFont"/>
    <w:uiPriority w:val="99"/>
    <w:unhideWhenUsed/>
    <w:rsid w:val="003D7212"/>
    <w:rPr>
      <w:vertAlign w:val="superscript"/>
    </w:rPr>
  </w:style>
  <w:style w:type="paragraph" w:styleId="Header">
    <w:name w:val="header"/>
    <w:basedOn w:val="Normal"/>
    <w:link w:val="HeaderChar"/>
    <w:uiPriority w:val="99"/>
    <w:unhideWhenUsed/>
    <w:rsid w:val="007A7098"/>
    <w:pPr>
      <w:tabs>
        <w:tab w:val="center" w:pos="4320"/>
        <w:tab w:val="right" w:pos="8640"/>
      </w:tabs>
      <w:spacing w:line="240" w:lineRule="auto"/>
    </w:pPr>
  </w:style>
  <w:style w:type="character" w:customStyle="1" w:styleId="HeaderChar">
    <w:name w:val="Header Char"/>
    <w:basedOn w:val="DefaultParagraphFont"/>
    <w:link w:val="Header"/>
    <w:uiPriority w:val="99"/>
    <w:rsid w:val="007A7098"/>
  </w:style>
  <w:style w:type="paragraph" w:styleId="Footer">
    <w:name w:val="footer"/>
    <w:basedOn w:val="Normal"/>
    <w:link w:val="FooterChar"/>
    <w:uiPriority w:val="99"/>
    <w:unhideWhenUsed/>
    <w:rsid w:val="007A7098"/>
    <w:pPr>
      <w:tabs>
        <w:tab w:val="center" w:pos="4320"/>
        <w:tab w:val="right" w:pos="8640"/>
      </w:tabs>
      <w:spacing w:line="240" w:lineRule="auto"/>
    </w:pPr>
  </w:style>
  <w:style w:type="character" w:customStyle="1" w:styleId="FooterChar">
    <w:name w:val="Footer Char"/>
    <w:basedOn w:val="DefaultParagraphFont"/>
    <w:link w:val="Footer"/>
    <w:uiPriority w:val="99"/>
    <w:rsid w:val="007A7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13</Pages>
  <Words>4606</Words>
  <Characters>26255</Characters>
  <Application>Microsoft Macintosh Word</Application>
  <DocSecurity>0</DocSecurity>
  <Lines>218</Lines>
  <Paragraphs>61</Paragraphs>
  <ScaleCrop>false</ScaleCrop>
  <Company/>
  <LinksUpToDate>false</LinksUpToDate>
  <CharactersWithSpaces>30800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Dimitrios Tsarapatsanis</cp:lastModifiedBy>
  <cp:revision>192</cp:revision>
  <dcterms:created xsi:type="dcterms:W3CDTF">2019-02-12T15:35:00Z</dcterms:created>
  <dcterms:modified xsi:type="dcterms:W3CDTF">2019-05-10T15:47:00Z</dcterms:modified>
</cp:coreProperties>
</file>