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8500F" w:rsidRDefault="005C0867">
      <w:pPr>
        <w:rPr>
          <w:b/>
          <w:sz w:val="24"/>
          <w:szCs w:val="24"/>
          <w:u w:val="single"/>
        </w:rPr>
      </w:pPr>
      <w:bookmarkStart w:id="0" w:name="_GoBack"/>
      <w:bookmarkEnd w:id="0"/>
      <w:r>
        <w:rPr>
          <w:b/>
          <w:sz w:val="24"/>
          <w:szCs w:val="24"/>
          <w:u w:val="single"/>
        </w:rPr>
        <w:t xml:space="preserve">Can we tame Big Tech’s Big Influence? </w:t>
      </w:r>
    </w:p>
    <w:p w14:paraId="00000002" w14:textId="77777777" w:rsidR="0048500F" w:rsidRDefault="005C0867">
      <w:pPr>
        <w:rPr>
          <w:i/>
          <w:sz w:val="24"/>
          <w:szCs w:val="24"/>
        </w:rPr>
      </w:pPr>
      <w:r>
        <w:rPr>
          <w:i/>
          <w:sz w:val="24"/>
          <w:szCs w:val="24"/>
        </w:rPr>
        <w:t>Paul A Tiffin</w:t>
      </w:r>
    </w:p>
    <w:p w14:paraId="00000003" w14:textId="77777777" w:rsidR="0048500F" w:rsidRDefault="005C0867">
      <w:pPr>
        <w:rPr>
          <w:i/>
          <w:sz w:val="24"/>
          <w:szCs w:val="24"/>
        </w:rPr>
      </w:pPr>
      <w:r>
        <w:rPr>
          <w:i/>
          <w:sz w:val="24"/>
          <w:szCs w:val="24"/>
        </w:rPr>
        <w:t>NIHR Career Development Fellow, Reader in Psychometric Epidemiology, Honorary Consultant in the Psychiatry of Adolescence, University of York, Hull York Medical School</w:t>
      </w:r>
    </w:p>
    <w:p w14:paraId="00000004" w14:textId="77777777" w:rsidR="0048500F" w:rsidRDefault="005C0867">
      <w:pPr>
        <w:rPr>
          <w:color w:val="444444"/>
          <w:sz w:val="24"/>
          <w:szCs w:val="24"/>
          <w:highlight w:val="white"/>
        </w:rPr>
      </w:pPr>
      <w:r>
        <w:rPr>
          <w:color w:val="444444"/>
          <w:sz w:val="24"/>
          <w:szCs w:val="24"/>
          <w:highlight w:val="white"/>
        </w:rPr>
        <w:t>In January, Juliet Bauer, Chief Digital Officer for NHS England, announced that she was joining LIVI, an independent provider of remote primary care advice. M</w:t>
      </w:r>
      <w:r>
        <w:rPr>
          <w:sz w:val="24"/>
          <w:szCs w:val="24"/>
        </w:rPr>
        <w:t xml:space="preserve">onths earlier, Michael </w:t>
      </w:r>
      <w:proofErr w:type="spellStart"/>
      <w:r>
        <w:rPr>
          <w:color w:val="444444"/>
          <w:sz w:val="24"/>
          <w:szCs w:val="24"/>
          <w:highlight w:val="white"/>
        </w:rPr>
        <w:t>Macdonnell</w:t>
      </w:r>
      <w:proofErr w:type="spellEnd"/>
      <w:r>
        <w:rPr>
          <w:color w:val="444444"/>
          <w:sz w:val="24"/>
          <w:szCs w:val="24"/>
          <w:highlight w:val="white"/>
        </w:rPr>
        <w:t xml:space="preserve">, </w:t>
      </w:r>
      <w:r>
        <w:rPr>
          <w:sz w:val="24"/>
          <w:szCs w:val="24"/>
        </w:rPr>
        <w:t xml:space="preserve">NHS England’s </w:t>
      </w:r>
      <w:r>
        <w:rPr>
          <w:color w:val="444444"/>
          <w:sz w:val="24"/>
          <w:szCs w:val="24"/>
          <w:highlight w:val="white"/>
        </w:rPr>
        <w:t xml:space="preserve">national director of Transforming Health Systems, declared he was leaving his role to join DeepMind Health, a subsidiary of Google. When NHS leaders join the private sector they take with them valuable insights into how Big Tech can access Europe’s largest single health market. The traffic goes both ways. Nicola Blackwood, who lost her Oxford parliamentary seat in 2017, was recently awarded a peerage, permitting her to return to government as </w:t>
      </w:r>
      <w:r>
        <w:rPr>
          <w:color w:val="404040"/>
          <w:sz w:val="24"/>
          <w:szCs w:val="24"/>
          <w:highlight w:val="white"/>
        </w:rPr>
        <w:t>Minister for Innovation. While out of government Ms Blackwood</w:t>
      </w:r>
      <w:r>
        <w:rPr>
          <w:color w:val="444444"/>
          <w:sz w:val="24"/>
          <w:szCs w:val="24"/>
          <w:highlight w:val="white"/>
        </w:rPr>
        <w:t xml:space="preserve"> undertook paid work for health sector technology companies such as Eagle Genomics, specialising in Big Data analytics for the health sciences. </w:t>
      </w:r>
    </w:p>
    <w:p w14:paraId="00000005" w14:textId="77777777" w:rsidR="0048500F" w:rsidRDefault="005C0867">
      <w:pPr>
        <w:rPr>
          <w:sz w:val="24"/>
          <w:szCs w:val="24"/>
          <w:highlight w:val="white"/>
        </w:rPr>
      </w:pPr>
      <w:r>
        <w:rPr>
          <w:color w:val="444444"/>
          <w:sz w:val="24"/>
          <w:szCs w:val="24"/>
          <w:highlight w:val="white"/>
        </w:rPr>
        <w:t xml:space="preserve">Theresa May and Matt Hancock have both publicly declared their enthusiasm for Artificial Intelligence (AI) based technology. A Guardian article suggested that politicians had been seduced by the positive media coverage of AI, often largely based on the industry’s own press releases [https://www.theguardian.com/commentisfree/2019/jan/13/dont-believe-the-hype-media-are-selling-us-an-ai-fantasy]. My own view is that it is more complicated than that. The idea that AI will revolutionise the delivery of healthcare plays well into the “personal responsibility” agenda of the current government and nicely distracts from the ongoing workforce crisis. Indeed, Juliet Bauer, while at NHS England, was quoted as saying, regarding health, </w:t>
      </w:r>
      <w:r>
        <w:rPr>
          <w:sz w:val="24"/>
          <w:szCs w:val="24"/>
          <w:highlight w:val="white"/>
        </w:rPr>
        <w:t>“</w:t>
      </w:r>
      <w:r>
        <w:rPr>
          <w:color w:val="000000"/>
          <w:sz w:val="24"/>
          <w:szCs w:val="24"/>
          <w:highlight w:val="white"/>
        </w:rPr>
        <w:t>We need to move away from the paternalistic, clinician-led culture</w:t>
      </w:r>
      <w:proofErr w:type="gramStart"/>
      <w:r>
        <w:rPr>
          <w:color w:val="000000"/>
          <w:sz w:val="24"/>
          <w:szCs w:val="24"/>
          <w:highlight w:val="white"/>
        </w:rPr>
        <w:t>”  [</w:t>
      </w:r>
      <w:proofErr w:type="gramEnd"/>
      <w:r>
        <w:rPr>
          <w:color w:val="000000"/>
          <w:sz w:val="24"/>
          <w:szCs w:val="24"/>
          <w:highlight w:val="white"/>
        </w:rPr>
        <w:t>https://www.theregister.co.uk/2019/01/11/nhs_england_chief_digital_officer_jumps_ship_for_gp_app_biz]</w:t>
      </w:r>
      <w:r>
        <w:rPr>
          <w:sz w:val="24"/>
          <w:szCs w:val="24"/>
          <w:highlight w:val="white"/>
        </w:rPr>
        <w:t>. The (not so) latent narrative seems clear; you don’t need to worry about a shortage of mental health workers as you can always chat to ‘</w:t>
      </w:r>
      <w:proofErr w:type="spellStart"/>
      <w:r>
        <w:rPr>
          <w:sz w:val="24"/>
          <w:szCs w:val="24"/>
          <w:highlight w:val="white"/>
        </w:rPr>
        <w:t>Woebot</w:t>
      </w:r>
      <w:proofErr w:type="spellEnd"/>
      <w:r>
        <w:rPr>
          <w:sz w:val="24"/>
          <w:szCs w:val="24"/>
          <w:highlight w:val="white"/>
        </w:rPr>
        <w:t>’ about your troubles. We needn’t concern ourselves about cuts to public health as there will be a new, empowering, app out soon to let you take control of your own wellbeing without interference from pesky “experts.”</w:t>
      </w:r>
    </w:p>
    <w:p w14:paraId="00000006" w14:textId="77777777" w:rsidR="0048500F" w:rsidRDefault="005C0867">
      <w:pPr>
        <w:rPr>
          <w:sz w:val="24"/>
          <w:szCs w:val="24"/>
          <w:highlight w:val="white"/>
        </w:rPr>
      </w:pPr>
      <w:r>
        <w:rPr>
          <w:sz w:val="24"/>
          <w:szCs w:val="24"/>
          <w:highlight w:val="white"/>
        </w:rPr>
        <w:t xml:space="preserve">All of the above could be dismissed as the paranoid ramblings of a Luddite, cynical NHS consultant (guilty on at least one of those charges). Except that I am also a data scientist, which is, apparently, now the </w:t>
      </w:r>
      <w:r>
        <w:rPr>
          <w:i/>
          <w:sz w:val="24"/>
          <w:szCs w:val="24"/>
          <w:highlight w:val="white"/>
        </w:rPr>
        <w:t>de rigueur</w:t>
      </w:r>
      <w:r>
        <w:rPr>
          <w:sz w:val="24"/>
          <w:szCs w:val="24"/>
          <w:highlight w:val="white"/>
        </w:rPr>
        <w:t xml:space="preserve"> term for someone like me who spends much of their time wrangling recalcitrant data and building predictive models. I have been struck by the almost daily announcements of AI “</w:t>
      </w:r>
      <w:proofErr w:type="spellStart"/>
      <w:r>
        <w:rPr>
          <w:sz w:val="24"/>
          <w:szCs w:val="24"/>
          <w:highlight w:val="white"/>
        </w:rPr>
        <w:t>microdiscoveries</w:t>
      </w:r>
      <w:proofErr w:type="spellEnd"/>
      <w:r>
        <w:rPr>
          <w:sz w:val="24"/>
          <w:szCs w:val="24"/>
          <w:highlight w:val="white"/>
        </w:rPr>
        <w:t>” in the news. Nevertheless, however technically impressive some of these predictive feats are in datasets, there have been almost no real world examples of where AI has either improved clinical outcomes or saved money. But we have been here before. Remember how telemedicine was going to revolutionise healthcare? Well it hasn’t. It is still, nonetheless, finding its place, and being implemented at a quieter, more sensible pace. AI-based systems hopefully will do likewise.</w:t>
      </w:r>
    </w:p>
    <w:p w14:paraId="00000007" w14:textId="77777777" w:rsidR="0048500F" w:rsidRDefault="005C0867">
      <w:pPr>
        <w:rPr>
          <w:color w:val="444444"/>
          <w:sz w:val="24"/>
          <w:szCs w:val="24"/>
          <w:highlight w:val="white"/>
        </w:rPr>
      </w:pPr>
      <w:r>
        <w:rPr>
          <w:sz w:val="24"/>
          <w:szCs w:val="24"/>
          <w:highlight w:val="white"/>
        </w:rPr>
        <w:t xml:space="preserve">Many parallels between Big Tech and Big Pharma are emerging. </w:t>
      </w:r>
      <w:r>
        <w:rPr>
          <w:color w:val="444444"/>
          <w:sz w:val="24"/>
          <w:szCs w:val="24"/>
          <w:highlight w:val="white"/>
        </w:rPr>
        <w:t xml:space="preserve">As </w:t>
      </w:r>
      <w:r>
        <w:rPr>
          <w:i/>
          <w:color w:val="444444"/>
          <w:sz w:val="24"/>
          <w:szCs w:val="24"/>
          <w:highlight w:val="white"/>
        </w:rPr>
        <w:t>The BMJ</w:t>
      </w:r>
      <w:r>
        <w:rPr>
          <w:color w:val="444444"/>
          <w:sz w:val="24"/>
          <w:szCs w:val="24"/>
          <w:highlight w:val="white"/>
        </w:rPr>
        <w:t xml:space="preserve"> itself has regularly highlighted, the influence of Big Pharma is pervasive at all levels of the health </w:t>
      </w:r>
      <w:r>
        <w:rPr>
          <w:color w:val="444444"/>
          <w:sz w:val="24"/>
          <w:szCs w:val="24"/>
          <w:highlight w:val="white"/>
        </w:rPr>
        <w:lastRenderedPageBreak/>
        <w:t xml:space="preserve">service. </w:t>
      </w:r>
      <w:r>
        <w:rPr>
          <w:sz w:val="24"/>
          <w:szCs w:val="24"/>
          <w:highlight w:val="white"/>
        </w:rPr>
        <w:t>Rolled out rapidly at scale, and misapplied, algorithms</w:t>
      </w:r>
      <w:r>
        <w:rPr>
          <w:color w:val="333333"/>
          <w:sz w:val="24"/>
          <w:szCs w:val="24"/>
          <w:highlight w:val="white"/>
        </w:rPr>
        <w:t>—</w:t>
      </w:r>
      <w:r>
        <w:rPr>
          <w:sz w:val="24"/>
          <w:szCs w:val="24"/>
          <w:highlight w:val="white"/>
        </w:rPr>
        <w:t>just like novel medications</w:t>
      </w:r>
      <w:r>
        <w:rPr>
          <w:color w:val="333333"/>
          <w:sz w:val="24"/>
          <w:szCs w:val="24"/>
          <w:highlight w:val="white"/>
        </w:rPr>
        <w:t>—</w:t>
      </w:r>
      <w:r>
        <w:rPr>
          <w:sz w:val="24"/>
          <w:szCs w:val="24"/>
          <w:highlight w:val="white"/>
        </w:rPr>
        <w:t>can cause unintended harm. The mathematician, Cathy O’Neil, refers to them as potential “weapons of math destruction” in her book of the same title. Already c</w:t>
      </w:r>
      <w:r>
        <w:rPr>
          <w:color w:val="444444"/>
          <w:sz w:val="24"/>
          <w:szCs w:val="24"/>
          <w:highlight w:val="white"/>
        </w:rPr>
        <w:t xml:space="preserve">oncerns have been raised about the implementation of remote and automated consultation services, as well as issues regarding data privacy and sharing. As with Big Pharma, the government is keen to subsidise data science companies with tax payers’ money in the hope that the growth of this sector will fuel UK economic growth. However, in the case of biotechnology, it is unclear what the return for the taxpayer has been. </w:t>
      </w:r>
    </w:p>
    <w:p w14:paraId="00000008" w14:textId="77777777" w:rsidR="0048500F" w:rsidRDefault="005C0867">
      <w:pPr>
        <w:rPr>
          <w:color w:val="444444"/>
          <w:sz w:val="24"/>
          <w:szCs w:val="24"/>
          <w:highlight w:val="white"/>
        </w:rPr>
      </w:pPr>
      <w:r>
        <w:rPr>
          <w:color w:val="444444"/>
          <w:sz w:val="24"/>
          <w:szCs w:val="24"/>
          <w:highlight w:val="white"/>
        </w:rPr>
        <w:t>We need to learn the lessons of our relationship with Big Pharma in order to manage, and build a trusting partnership with Big Tech. As with the former, this needs to be based on transparency, both of conflicts of interest and access to study data. Such relative transparency was hard won and an ongoing challenge. In the case of Big Tech, code is likely to be considered commercially sensitive. However, where queries arise independent experts should still be granted access to software. Machine learning studies are notoriously difficult to reproduce and clearer reporting standards are needed. Independent evaluation should focus on their potential for efficiencies, but also for harm, including any disadvantage to society’s “digitally excluded.” We need to work harder to retain expertise within the public sector, if only to collaborate meaningfully with industry, and expertly challenge them when concerns are raised.</w:t>
      </w:r>
    </w:p>
    <w:p w14:paraId="00000009" w14:textId="77777777" w:rsidR="0048500F" w:rsidRDefault="005C0867">
      <w:pPr>
        <w:rPr>
          <w:color w:val="444444"/>
          <w:sz w:val="24"/>
          <w:szCs w:val="24"/>
          <w:highlight w:val="white"/>
        </w:rPr>
      </w:pPr>
      <w:r>
        <w:rPr>
          <w:color w:val="444444"/>
          <w:sz w:val="24"/>
          <w:szCs w:val="24"/>
          <w:highlight w:val="white"/>
        </w:rPr>
        <w:t xml:space="preserve">Putting the public sector and Big Tech on an equal footing will be difficult. Firstly, we must begin by adopting a more realistic view of the potential for AI to improve health services. Secondly, we need to recognise the subtle but powerful corporate influences on policy related to healthcare technology. A scene from the 1999 movie “The Matrix” has given rise to a cultural meme. In it the protagonist Neo (Keanu Reeves) is offered a choice by his mentor, Morpheus; take a blue pill and stay in the comforting, but ultimately deceitful, virtual reality wonderland created by the machines, who have now enslaved mankind. Or swallow the red pill and wake up to the post-apocalyptic world as it really is, with Morpheus promising Neo to show him ‘…how deep the rabbit hole goes…’. In order to redress the current power imbalance between the private and public sectors perhaps we need to start by simply swallowing our own red pills… </w:t>
      </w:r>
    </w:p>
    <w:p w14:paraId="0000000A" w14:textId="77777777" w:rsidR="0048500F" w:rsidRDefault="0048500F">
      <w:pPr>
        <w:rPr>
          <w:color w:val="444444"/>
          <w:sz w:val="24"/>
          <w:szCs w:val="24"/>
          <w:highlight w:val="white"/>
        </w:rPr>
      </w:pPr>
    </w:p>
    <w:p w14:paraId="0000000B" w14:textId="77777777" w:rsidR="0048500F" w:rsidRDefault="005C0867">
      <w:pPr>
        <w:rPr>
          <w:b/>
          <w:color w:val="444444"/>
          <w:sz w:val="24"/>
          <w:szCs w:val="24"/>
          <w:highlight w:val="white"/>
        </w:rPr>
      </w:pPr>
      <w:r>
        <w:rPr>
          <w:b/>
          <w:color w:val="444444"/>
          <w:sz w:val="24"/>
          <w:szCs w:val="24"/>
          <w:highlight w:val="white"/>
        </w:rPr>
        <w:t>Disclaimer</w:t>
      </w:r>
    </w:p>
    <w:p w14:paraId="0000000C" w14:textId="77777777" w:rsidR="0048500F" w:rsidRDefault="005C0867">
      <w:pPr>
        <w:rPr>
          <w:color w:val="333333"/>
          <w:sz w:val="24"/>
          <w:szCs w:val="24"/>
          <w:highlight w:val="white"/>
        </w:rPr>
      </w:pPr>
      <w:r>
        <w:rPr>
          <w:color w:val="333333"/>
          <w:sz w:val="24"/>
          <w:szCs w:val="24"/>
          <w:highlight w:val="white"/>
        </w:rPr>
        <w:t>PAT is supported in his research by an NIHR Career Development Fellowship. This paper presents independent research part-funded by the National Institute for Health Research (NIHR). The views expressed are those of the authors and not necessarily those of the NHS, the NIHR or the Department of Health and Social Care.</w:t>
      </w:r>
    </w:p>
    <w:p w14:paraId="0000000D" w14:textId="77777777" w:rsidR="0048500F" w:rsidRDefault="0048500F">
      <w:pPr>
        <w:rPr>
          <w:color w:val="333333"/>
          <w:sz w:val="24"/>
          <w:szCs w:val="24"/>
          <w:highlight w:val="white"/>
        </w:rPr>
      </w:pPr>
    </w:p>
    <w:p w14:paraId="0000000E" w14:textId="77777777" w:rsidR="0048500F" w:rsidRDefault="005C0867">
      <w:pPr>
        <w:rPr>
          <w:b/>
          <w:color w:val="333333"/>
          <w:sz w:val="24"/>
          <w:szCs w:val="24"/>
          <w:highlight w:val="white"/>
        </w:rPr>
      </w:pPr>
      <w:r>
        <w:rPr>
          <w:b/>
          <w:color w:val="333333"/>
          <w:sz w:val="24"/>
          <w:szCs w:val="24"/>
          <w:highlight w:val="white"/>
        </w:rPr>
        <w:t>Conflicts of interest</w:t>
      </w:r>
    </w:p>
    <w:p w14:paraId="0000000F" w14:textId="77777777" w:rsidR="0048500F" w:rsidRDefault="005C0867">
      <w:pPr>
        <w:rPr>
          <w:color w:val="333333"/>
          <w:sz w:val="24"/>
          <w:szCs w:val="24"/>
          <w:highlight w:val="white"/>
        </w:rPr>
      </w:pPr>
      <w:r>
        <w:rPr>
          <w:color w:val="333333"/>
          <w:sz w:val="24"/>
          <w:szCs w:val="24"/>
          <w:highlight w:val="white"/>
        </w:rPr>
        <w:t xml:space="preserve">PAT has previously received research funding from the ESRC, the EPSRC, </w:t>
      </w:r>
      <w:proofErr w:type="gramStart"/>
      <w:r>
        <w:rPr>
          <w:color w:val="333333"/>
          <w:sz w:val="24"/>
          <w:szCs w:val="24"/>
          <w:highlight w:val="white"/>
        </w:rPr>
        <w:t>the</w:t>
      </w:r>
      <w:proofErr w:type="gramEnd"/>
      <w:r>
        <w:rPr>
          <w:color w:val="333333"/>
          <w:sz w:val="24"/>
          <w:szCs w:val="24"/>
          <w:highlight w:val="white"/>
        </w:rPr>
        <w:t xml:space="preserve"> DH for England, the UKCAT Board, and the GMC. In addition, PAT has previously performed consultancy </w:t>
      </w:r>
      <w:r>
        <w:rPr>
          <w:color w:val="333333"/>
          <w:sz w:val="24"/>
          <w:szCs w:val="24"/>
          <w:highlight w:val="white"/>
        </w:rPr>
        <w:lastRenderedPageBreak/>
        <w:t>work on behalf of his employing University for the UKCAT Board and Work Psychology Group and has received travel and subsistence expenses for attendance at the UKCAT Research Group. </w:t>
      </w:r>
    </w:p>
    <w:p w14:paraId="00000010" w14:textId="77777777" w:rsidR="0048500F" w:rsidRDefault="0048500F">
      <w:pPr>
        <w:rPr>
          <w:color w:val="333333"/>
          <w:sz w:val="24"/>
          <w:szCs w:val="24"/>
          <w:highlight w:val="white"/>
        </w:rPr>
      </w:pPr>
    </w:p>
    <w:p w14:paraId="00000011" w14:textId="77777777" w:rsidR="0048500F" w:rsidRDefault="005C0867">
      <w:pPr>
        <w:rPr>
          <w:b/>
          <w:color w:val="333333"/>
          <w:sz w:val="24"/>
          <w:szCs w:val="24"/>
          <w:highlight w:val="white"/>
        </w:rPr>
      </w:pPr>
      <w:proofErr w:type="spellStart"/>
      <w:r>
        <w:rPr>
          <w:b/>
          <w:color w:val="333333"/>
          <w:sz w:val="24"/>
          <w:szCs w:val="24"/>
          <w:highlight w:val="white"/>
        </w:rPr>
        <w:t>Contributorship</w:t>
      </w:r>
      <w:proofErr w:type="spellEnd"/>
      <w:r>
        <w:rPr>
          <w:b/>
          <w:color w:val="333333"/>
          <w:sz w:val="24"/>
          <w:szCs w:val="24"/>
          <w:highlight w:val="white"/>
        </w:rPr>
        <w:t xml:space="preserve"> statement</w:t>
      </w:r>
    </w:p>
    <w:p w14:paraId="00000012" w14:textId="77777777" w:rsidR="0048500F" w:rsidRDefault="005C0867">
      <w:pPr>
        <w:rPr>
          <w:color w:val="333333"/>
          <w:sz w:val="24"/>
          <w:szCs w:val="24"/>
          <w:highlight w:val="white"/>
        </w:rPr>
      </w:pPr>
      <w:r>
        <w:rPr>
          <w:color w:val="333333"/>
          <w:sz w:val="24"/>
          <w:szCs w:val="24"/>
          <w:highlight w:val="white"/>
        </w:rPr>
        <w:t>This article is the sole work of the named author.</w:t>
      </w:r>
    </w:p>
    <w:p w14:paraId="00000013" w14:textId="77777777" w:rsidR="0048500F" w:rsidRDefault="0048500F">
      <w:pPr>
        <w:rPr>
          <w:color w:val="333333"/>
          <w:sz w:val="24"/>
          <w:szCs w:val="24"/>
          <w:highlight w:val="white"/>
        </w:rPr>
      </w:pPr>
    </w:p>
    <w:p w14:paraId="00000014" w14:textId="77777777" w:rsidR="0048500F" w:rsidRDefault="005C0867">
      <w:pPr>
        <w:rPr>
          <w:b/>
          <w:color w:val="333333"/>
          <w:sz w:val="24"/>
          <w:szCs w:val="24"/>
          <w:highlight w:val="white"/>
        </w:rPr>
      </w:pPr>
      <w:bookmarkStart w:id="1" w:name="_gjdgxs" w:colFirst="0" w:colLast="0"/>
      <w:bookmarkEnd w:id="1"/>
      <w:r>
        <w:rPr>
          <w:b/>
          <w:color w:val="333333"/>
          <w:sz w:val="24"/>
          <w:szCs w:val="24"/>
          <w:highlight w:val="white"/>
        </w:rPr>
        <w:t>Patient and public involvement statement</w:t>
      </w:r>
    </w:p>
    <w:p w14:paraId="00000015" w14:textId="77777777" w:rsidR="0048500F" w:rsidRDefault="005C0867">
      <w:pPr>
        <w:rPr>
          <w:color w:val="333333"/>
          <w:sz w:val="24"/>
          <w:szCs w:val="24"/>
          <w:highlight w:val="white"/>
        </w:rPr>
      </w:pPr>
      <w:r>
        <w:rPr>
          <w:color w:val="333333"/>
          <w:sz w:val="24"/>
          <w:szCs w:val="24"/>
          <w:highlight w:val="white"/>
        </w:rPr>
        <w:t>No patients or public members were involved in the writing of this article.</w:t>
      </w:r>
    </w:p>
    <w:p w14:paraId="00000016" w14:textId="77777777" w:rsidR="0048500F" w:rsidRDefault="005C0867">
      <w:pPr>
        <w:rPr>
          <w:color w:val="333333"/>
          <w:sz w:val="24"/>
          <w:szCs w:val="24"/>
          <w:highlight w:val="white"/>
        </w:rPr>
      </w:pPr>
      <w:r>
        <w:rPr>
          <w:color w:val="333333"/>
          <w:sz w:val="24"/>
          <w:szCs w:val="24"/>
          <w:highlight w:val="white"/>
        </w:rPr>
        <w:t xml:space="preserve"> </w:t>
      </w:r>
    </w:p>
    <w:p w14:paraId="00000017" w14:textId="77777777" w:rsidR="0048500F" w:rsidRDefault="005C0867">
      <w:pPr>
        <w:rPr>
          <w:b/>
          <w:color w:val="333333"/>
          <w:sz w:val="24"/>
          <w:szCs w:val="24"/>
          <w:highlight w:val="white"/>
        </w:rPr>
      </w:pPr>
      <w:r>
        <w:rPr>
          <w:b/>
          <w:color w:val="333333"/>
          <w:sz w:val="24"/>
          <w:szCs w:val="24"/>
          <w:highlight w:val="white"/>
        </w:rPr>
        <w:t>Exclusive license statement</w:t>
      </w:r>
    </w:p>
    <w:p w14:paraId="00000018" w14:textId="77777777" w:rsidR="0048500F" w:rsidRDefault="005C0867">
      <w:pPr>
        <w:rPr>
          <w:color w:val="444444"/>
          <w:sz w:val="24"/>
          <w:szCs w:val="24"/>
          <w:highlight w:val="white"/>
        </w:rPr>
      </w:pPr>
      <w:r>
        <w:rPr>
          <w:color w:val="606060"/>
          <w:sz w:val="24"/>
          <w:szCs w:val="24"/>
          <w:highlight w:val="white"/>
        </w:rPr>
        <w:t>The Corresponding Author has the right to grant on behalf of all authors and does grant on behalf of all authors, a worldwide licence (</w:t>
      </w:r>
      <w:hyperlink r:id="rId4">
        <w:r>
          <w:rPr>
            <w:color w:val="0083BF"/>
            <w:sz w:val="24"/>
            <w:szCs w:val="24"/>
            <w:highlight w:val="white"/>
            <w:u w:val="single"/>
          </w:rPr>
          <w:t>http://www.bmj.com/sites/default/files/BMJ%20Author%20Licence%20March%202013.doc</w:t>
        </w:r>
      </w:hyperlink>
      <w:r>
        <w:rPr>
          <w:color w:val="606060"/>
          <w:sz w:val="24"/>
          <w:szCs w:val="24"/>
          <w:highlight w:val="white"/>
        </w:rPr>
        <w:t xml:space="preserve">) to the Publishers and its licensees in perpetuity, in all forms, formats and media (whether known now or created in the future), to </w:t>
      </w:r>
      <w:proofErr w:type="spellStart"/>
      <w:r>
        <w:rPr>
          <w:color w:val="606060"/>
          <w:sz w:val="24"/>
          <w:szCs w:val="24"/>
          <w:highlight w:val="white"/>
        </w:rPr>
        <w:t>i</w:t>
      </w:r>
      <w:proofErr w:type="spellEnd"/>
      <w:r>
        <w:rPr>
          <w:color w:val="606060"/>
          <w:sz w:val="24"/>
          <w:szCs w:val="24"/>
          <w:highlight w:val="white"/>
        </w:rPr>
        <w:t>) publish, reproduce, distribute, display and store the Contribution, ii) translate the Contribution into other languages, create adaptations, reprints, include within collections and create summaries, extracts and/or, abstracts of the Contribution and convert or allow conversion into any format including without limitation audio, iii) create any other derivative work(s) based in whole or part on the on the Contribution, iv) to exploit all subsidiary rights to exploit all subsidiary rights that currently exist or as may exist in the future in the Contribution, v) the inclusion of electronic links from the Contribution to third party material where-ever it may be located; and, vi) licence any third party to do any or all of the above. All research articles will be made available on an open access basis (with authors being asked to pay an open access fee—see</w:t>
      </w:r>
      <w:hyperlink r:id="rId5">
        <w:r>
          <w:rPr>
            <w:color w:val="0083BF"/>
            <w:sz w:val="24"/>
            <w:szCs w:val="24"/>
            <w:highlight w:val="white"/>
            <w:u w:val="single"/>
          </w:rPr>
          <w:t>http://www.bmj.com/about-bmj/resources-authors/forms-policies-and-checklists/copyright-open-access-and-permission-reuse</w:t>
        </w:r>
      </w:hyperlink>
      <w:r>
        <w:rPr>
          <w:color w:val="606060"/>
          <w:sz w:val="24"/>
          <w:szCs w:val="24"/>
          <w:highlight w:val="white"/>
        </w:rPr>
        <w:t>). The terms of such open access shall be governed by a </w:t>
      </w:r>
      <w:hyperlink r:id="rId6">
        <w:r>
          <w:rPr>
            <w:color w:val="0083BF"/>
            <w:sz w:val="24"/>
            <w:szCs w:val="24"/>
            <w:highlight w:val="white"/>
            <w:u w:val="single"/>
          </w:rPr>
          <w:t>Creative Commons</w:t>
        </w:r>
      </w:hyperlink>
      <w:r>
        <w:rPr>
          <w:color w:val="606060"/>
          <w:sz w:val="24"/>
          <w:szCs w:val="24"/>
          <w:highlight w:val="white"/>
        </w:rPr>
        <w:t> licence—details as to which Creative Commons licence will apply to the research article are set out in our worldwide licence referred to above.</w:t>
      </w:r>
    </w:p>
    <w:sectPr w:rsidR="0048500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0F"/>
    <w:rsid w:val="0048500F"/>
    <w:rsid w:val="005C0867"/>
    <w:rsid w:val="00BD2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A4240-3174-4648-837E-3E01FDBF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 TargetMode="External"/><Relationship Id="rId5" Type="http://schemas.openxmlformats.org/officeDocument/2006/relationships/hyperlink" Target="http://www.bmj.com/about-bmj/resources-authors/forms-policies-and-checklists/copyright-open-access-and-permission-reuse" TargetMode="External"/><Relationship Id="rId4" Type="http://schemas.openxmlformats.org/officeDocument/2006/relationships/hyperlink" Target="http://www.bmj.com/sites/default/files/BMJ%20Author%20Licence%20March%20201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Tiffin, P.A.</dc:creator>
  <cp:lastModifiedBy>Cipriano, K.</cp:lastModifiedBy>
  <cp:revision>2</cp:revision>
  <dcterms:created xsi:type="dcterms:W3CDTF">2019-06-20T13:55:00Z</dcterms:created>
  <dcterms:modified xsi:type="dcterms:W3CDTF">2019-06-20T13:55:00Z</dcterms:modified>
</cp:coreProperties>
</file>