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C2787" w14:textId="21516E3E" w:rsidR="00BC7F36" w:rsidRDefault="00241782" w:rsidP="00E61BB0">
      <w:pPr>
        <w:spacing w:line="360" w:lineRule="auto"/>
        <w:jc w:val="center"/>
        <w:rPr>
          <w:rFonts w:ascii="Times New Roman" w:eastAsiaTheme="majorEastAsia" w:hAnsi="Times New Roman" w:cstheme="majorBidi"/>
          <w:b/>
          <w:spacing w:val="5"/>
          <w:sz w:val="32"/>
          <w:szCs w:val="52"/>
        </w:rPr>
      </w:pPr>
      <w:r>
        <w:rPr>
          <w:rFonts w:ascii="Times New Roman" w:eastAsiaTheme="majorEastAsia" w:hAnsi="Times New Roman" w:cstheme="majorBidi"/>
          <w:b/>
          <w:spacing w:val="5"/>
          <w:sz w:val="32"/>
          <w:szCs w:val="52"/>
        </w:rPr>
        <w:t>The C</w:t>
      </w:r>
      <w:r w:rsidR="00C07E4C" w:rsidRPr="00C07E4C">
        <w:rPr>
          <w:rFonts w:ascii="Times New Roman" w:eastAsiaTheme="majorEastAsia" w:hAnsi="Times New Roman" w:cstheme="majorBidi"/>
          <w:b/>
          <w:spacing w:val="5"/>
          <w:sz w:val="32"/>
          <w:szCs w:val="52"/>
        </w:rPr>
        <w:t xml:space="preserve">linical and </w:t>
      </w:r>
      <w:r>
        <w:rPr>
          <w:rFonts w:ascii="Times New Roman" w:eastAsiaTheme="majorEastAsia" w:hAnsi="Times New Roman" w:cstheme="majorBidi"/>
          <w:b/>
          <w:spacing w:val="5"/>
          <w:sz w:val="32"/>
          <w:szCs w:val="52"/>
        </w:rPr>
        <w:t>Cost</w:t>
      </w:r>
      <w:r w:rsidR="00945E77">
        <w:rPr>
          <w:rFonts w:ascii="Times New Roman" w:eastAsiaTheme="majorEastAsia" w:hAnsi="Times New Roman" w:cstheme="majorBidi"/>
          <w:b/>
          <w:spacing w:val="5"/>
          <w:sz w:val="32"/>
          <w:szCs w:val="52"/>
        </w:rPr>
        <w:t>-</w:t>
      </w:r>
      <w:r>
        <w:rPr>
          <w:rFonts w:ascii="Times New Roman" w:eastAsiaTheme="majorEastAsia" w:hAnsi="Times New Roman" w:cstheme="majorBidi"/>
          <w:b/>
          <w:spacing w:val="5"/>
          <w:sz w:val="32"/>
          <w:szCs w:val="52"/>
        </w:rPr>
        <w:t>E</w:t>
      </w:r>
      <w:r w:rsidR="00C07E4C" w:rsidRPr="00C07E4C">
        <w:rPr>
          <w:rFonts w:ascii="Times New Roman" w:eastAsiaTheme="majorEastAsia" w:hAnsi="Times New Roman" w:cstheme="majorBidi"/>
          <w:b/>
          <w:spacing w:val="5"/>
          <w:sz w:val="32"/>
          <w:szCs w:val="52"/>
        </w:rPr>
        <w:t xml:space="preserve">ffectiveness of </w:t>
      </w:r>
      <w:proofErr w:type="spellStart"/>
      <w:r>
        <w:rPr>
          <w:rFonts w:ascii="Times New Roman" w:eastAsiaTheme="majorEastAsia" w:hAnsi="Times New Roman" w:cstheme="majorBidi"/>
          <w:b/>
          <w:spacing w:val="5"/>
          <w:sz w:val="32"/>
          <w:szCs w:val="52"/>
        </w:rPr>
        <w:t>Inotuzumab</w:t>
      </w:r>
      <w:proofErr w:type="spellEnd"/>
      <w:r>
        <w:rPr>
          <w:rFonts w:ascii="Times New Roman" w:eastAsiaTheme="majorEastAsia" w:hAnsi="Times New Roman" w:cstheme="majorBidi"/>
          <w:b/>
          <w:spacing w:val="5"/>
          <w:sz w:val="32"/>
          <w:szCs w:val="52"/>
        </w:rPr>
        <w:t xml:space="preserve"> </w:t>
      </w:r>
      <w:proofErr w:type="spellStart"/>
      <w:r>
        <w:rPr>
          <w:rFonts w:ascii="Times New Roman" w:eastAsiaTheme="majorEastAsia" w:hAnsi="Times New Roman" w:cstheme="majorBidi"/>
          <w:b/>
          <w:spacing w:val="5"/>
          <w:sz w:val="32"/>
          <w:szCs w:val="52"/>
        </w:rPr>
        <w:t>O</w:t>
      </w:r>
      <w:r w:rsidR="00C07E4C" w:rsidRPr="00C07E4C">
        <w:rPr>
          <w:rFonts w:ascii="Times New Roman" w:eastAsiaTheme="majorEastAsia" w:hAnsi="Times New Roman" w:cstheme="majorBidi"/>
          <w:b/>
          <w:spacing w:val="5"/>
          <w:sz w:val="32"/>
          <w:szCs w:val="52"/>
        </w:rPr>
        <w:t>zogamicin</w:t>
      </w:r>
      <w:proofErr w:type="spellEnd"/>
      <w:r w:rsidR="00C07E4C" w:rsidRPr="00C07E4C">
        <w:rPr>
          <w:rFonts w:ascii="Times New Roman" w:eastAsiaTheme="majorEastAsia" w:hAnsi="Times New Roman" w:cstheme="majorBidi"/>
          <w:b/>
          <w:spacing w:val="5"/>
          <w:sz w:val="32"/>
          <w:szCs w:val="52"/>
        </w:rPr>
        <w:t xml:space="preserve"> for the </w:t>
      </w:r>
      <w:r>
        <w:rPr>
          <w:rFonts w:ascii="Times New Roman" w:eastAsiaTheme="majorEastAsia" w:hAnsi="Times New Roman" w:cstheme="majorBidi"/>
          <w:b/>
          <w:spacing w:val="5"/>
          <w:sz w:val="32"/>
          <w:szCs w:val="52"/>
        </w:rPr>
        <w:t>T</w:t>
      </w:r>
      <w:r w:rsidR="00C07E4C" w:rsidRPr="00C07E4C">
        <w:rPr>
          <w:rFonts w:ascii="Times New Roman" w:eastAsiaTheme="majorEastAsia" w:hAnsi="Times New Roman" w:cstheme="majorBidi"/>
          <w:b/>
          <w:spacing w:val="5"/>
          <w:sz w:val="32"/>
          <w:szCs w:val="52"/>
        </w:rPr>
        <w:t xml:space="preserve">reatment of </w:t>
      </w:r>
      <w:r>
        <w:rPr>
          <w:rFonts w:ascii="Times New Roman" w:eastAsiaTheme="majorEastAsia" w:hAnsi="Times New Roman" w:cstheme="majorBidi"/>
          <w:b/>
          <w:spacing w:val="5"/>
          <w:sz w:val="32"/>
          <w:szCs w:val="52"/>
        </w:rPr>
        <w:t>Adult R</w:t>
      </w:r>
      <w:r w:rsidR="00C07E4C" w:rsidRPr="00C07E4C">
        <w:rPr>
          <w:rFonts w:ascii="Times New Roman" w:eastAsiaTheme="majorEastAsia" w:hAnsi="Times New Roman" w:cstheme="majorBidi"/>
          <w:b/>
          <w:spacing w:val="5"/>
          <w:sz w:val="32"/>
          <w:szCs w:val="52"/>
        </w:rPr>
        <w:t xml:space="preserve">elapsed or </w:t>
      </w:r>
      <w:r>
        <w:rPr>
          <w:rFonts w:ascii="Times New Roman" w:eastAsiaTheme="majorEastAsia" w:hAnsi="Times New Roman" w:cstheme="majorBidi"/>
          <w:b/>
          <w:spacing w:val="5"/>
          <w:sz w:val="32"/>
          <w:szCs w:val="52"/>
        </w:rPr>
        <w:t>R</w:t>
      </w:r>
      <w:r w:rsidR="00C07E4C" w:rsidRPr="00C07E4C">
        <w:rPr>
          <w:rFonts w:ascii="Times New Roman" w:eastAsiaTheme="majorEastAsia" w:hAnsi="Times New Roman" w:cstheme="majorBidi"/>
          <w:b/>
          <w:spacing w:val="5"/>
          <w:sz w:val="32"/>
          <w:szCs w:val="52"/>
        </w:rPr>
        <w:t xml:space="preserve">efractory B-cell </w:t>
      </w:r>
      <w:r>
        <w:rPr>
          <w:rFonts w:ascii="Times New Roman" w:eastAsiaTheme="majorEastAsia" w:hAnsi="Times New Roman" w:cstheme="majorBidi"/>
          <w:b/>
          <w:spacing w:val="5"/>
          <w:sz w:val="32"/>
          <w:szCs w:val="52"/>
        </w:rPr>
        <w:t>Acute L</w:t>
      </w:r>
      <w:r w:rsidR="00C07E4C" w:rsidRPr="00C07E4C">
        <w:rPr>
          <w:rFonts w:ascii="Times New Roman" w:eastAsiaTheme="majorEastAsia" w:hAnsi="Times New Roman" w:cstheme="majorBidi"/>
          <w:b/>
          <w:spacing w:val="5"/>
          <w:sz w:val="32"/>
          <w:szCs w:val="52"/>
        </w:rPr>
        <w:t xml:space="preserve">ymphoblastic </w:t>
      </w:r>
      <w:r>
        <w:rPr>
          <w:rFonts w:ascii="Times New Roman" w:eastAsiaTheme="majorEastAsia" w:hAnsi="Times New Roman" w:cstheme="majorBidi"/>
          <w:b/>
          <w:spacing w:val="5"/>
          <w:sz w:val="32"/>
          <w:szCs w:val="52"/>
        </w:rPr>
        <w:t>L</w:t>
      </w:r>
      <w:r w:rsidR="00C07E4C" w:rsidRPr="00C07E4C">
        <w:rPr>
          <w:rFonts w:ascii="Times New Roman" w:eastAsiaTheme="majorEastAsia" w:hAnsi="Times New Roman" w:cstheme="majorBidi"/>
          <w:b/>
          <w:spacing w:val="5"/>
          <w:sz w:val="32"/>
          <w:szCs w:val="52"/>
        </w:rPr>
        <w:t xml:space="preserve">eukaemia: </w:t>
      </w:r>
      <w:r w:rsidR="00602DFA">
        <w:rPr>
          <w:rFonts w:ascii="Times New Roman" w:eastAsiaTheme="majorEastAsia" w:hAnsi="Times New Roman" w:cstheme="majorBidi"/>
          <w:b/>
          <w:spacing w:val="5"/>
          <w:sz w:val="32"/>
          <w:szCs w:val="52"/>
        </w:rPr>
        <w:t>an</w:t>
      </w:r>
      <w:r w:rsidR="00C07E4C" w:rsidRPr="00C07E4C">
        <w:rPr>
          <w:rFonts w:ascii="Times New Roman" w:eastAsiaTheme="majorEastAsia" w:hAnsi="Times New Roman" w:cstheme="majorBidi"/>
          <w:b/>
          <w:spacing w:val="5"/>
          <w:sz w:val="32"/>
          <w:szCs w:val="52"/>
        </w:rPr>
        <w:t xml:space="preserve"> </w:t>
      </w:r>
      <w:r>
        <w:rPr>
          <w:rFonts w:ascii="Times New Roman" w:eastAsiaTheme="majorEastAsia" w:hAnsi="Times New Roman" w:cstheme="majorBidi"/>
          <w:b/>
          <w:spacing w:val="5"/>
          <w:sz w:val="32"/>
          <w:szCs w:val="52"/>
        </w:rPr>
        <w:t>E</w:t>
      </w:r>
      <w:r w:rsidR="00C07E4C" w:rsidRPr="00C07E4C">
        <w:rPr>
          <w:rFonts w:ascii="Times New Roman" w:eastAsiaTheme="majorEastAsia" w:hAnsi="Times New Roman" w:cstheme="majorBidi"/>
          <w:b/>
          <w:spacing w:val="5"/>
          <w:sz w:val="32"/>
          <w:szCs w:val="52"/>
        </w:rPr>
        <w:t>vidence</w:t>
      </w:r>
      <w:r w:rsidR="00602DFA">
        <w:rPr>
          <w:rFonts w:ascii="Times New Roman" w:eastAsiaTheme="majorEastAsia" w:hAnsi="Times New Roman" w:cstheme="majorBidi"/>
          <w:b/>
          <w:spacing w:val="5"/>
          <w:sz w:val="32"/>
          <w:szCs w:val="52"/>
        </w:rPr>
        <w:t xml:space="preserve"> Review Group Evaluation of a NICE Single Technology Appraisal</w:t>
      </w:r>
    </w:p>
    <w:p w14:paraId="6E7523D8" w14:textId="266FBD2C" w:rsidR="00C07E4C" w:rsidRPr="00DD657B" w:rsidRDefault="00EE4671" w:rsidP="00E61BB0">
      <w:pPr>
        <w:spacing w:line="360" w:lineRule="auto"/>
        <w:jc w:val="center"/>
        <w:rPr>
          <w:rFonts w:ascii="Times New Roman" w:hAnsi="Times New Roman" w:cs="Times New Roman"/>
        </w:rPr>
      </w:pPr>
      <w:r w:rsidRPr="00DD657B">
        <w:rPr>
          <w:rFonts w:ascii="Times New Roman" w:hAnsi="Times New Roman" w:cs="Times New Roman"/>
          <w:b/>
        </w:rPr>
        <w:t>Edward Cox</w:t>
      </w:r>
      <w:r w:rsidR="00C07E4C" w:rsidRPr="00DD657B">
        <w:rPr>
          <w:rFonts w:ascii="Cambria Math" w:hAnsi="Cambria Math" w:cs="Cambria Math"/>
          <w:b/>
          <w:sz w:val="28"/>
          <w:szCs w:val="28"/>
          <w:vertAlign w:val="superscript"/>
        </w:rPr>
        <w:t>₁</w:t>
      </w:r>
      <w:r w:rsidR="007D3247" w:rsidRPr="00DD657B">
        <w:rPr>
          <w:rFonts w:ascii="Times New Roman" w:hAnsi="Times New Roman" w:cs="Times New Roman"/>
          <w:b/>
        </w:rPr>
        <w:t xml:space="preserve"> </w:t>
      </w:r>
      <w:r w:rsidR="007D3247" w:rsidRPr="00DD657B">
        <w:rPr>
          <w:rFonts w:ascii="Times New Roman" w:hAnsi="Times New Roman" w:cs="Times New Roman"/>
          <w:b/>
          <w:sz w:val="16"/>
          <w:szCs w:val="16"/>
        </w:rPr>
        <w:t>•</w:t>
      </w:r>
      <w:r w:rsidR="007D3247" w:rsidRPr="00DD657B">
        <w:rPr>
          <w:rFonts w:ascii="Times New Roman" w:hAnsi="Times New Roman" w:cs="Times New Roman"/>
          <w:b/>
        </w:rPr>
        <w:t xml:space="preserve"> </w:t>
      </w:r>
      <w:proofErr w:type="spellStart"/>
      <w:r>
        <w:rPr>
          <w:rFonts w:ascii="Times New Roman" w:hAnsi="Times New Roman" w:cs="Times New Roman"/>
          <w:b/>
        </w:rPr>
        <w:t>Ros</w:t>
      </w:r>
      <w:proofErr w:type="spellEnd"/>
      <w:r>
        <w:rPr>
          <w:rFonts w:ascii="Times New Roman" w:hAnsi="Times New Roman" w:cs="Times New Roman"/>
          <w:b/>
        </w:rPr>
        <w:t xml:space="preserve"> Wade</w:t>
      </w:r>
      <w:r w:rsidR="00C07E4C" w:rsidRPr="00DD657B">
        <w:rPr>
          <w:rFonts w:ascii="Cambria Math" w:hAnsi="Cambria Math" w:cs="Cambria Math"/>
          <w:b/>
          <w:sz w:val="28"/>
          <w:szCs w:val="28"/>
          <w:vertAlign w:val="superscript"/>
        </w:rPr>
        <w:t>₂</w:t>
      </w:r>
      <w:r w:rsidR="007D3247" w:rsidRPr="00DD657B">
        <w:rPr>
          <w:rFonts w:ascii="Times New Roman" w:hAnsi="Times New Roman" w:cs="Times New Roman"/>
          <w:b/>
        </w:rPr>
        <w:t xml:space="preserve"> </w:t>
      </w:r>
      <w:r w:rsidR="007D3247" w:rsidRPr="00DD657B">
        <w:rPr>
          <w:rFonts w:ascii="Times New Roman" w:hAnsi="Times New Roman" w:cs="Times New Roman"/>
          <w:b/>
          <w:sz w:val="16"/>
          <w:szCs w:val="16"/>
        </w:rPr>
        <w:t>•</w:t>
      </w:r>
      <w:r w:rsidR="00C07E4C" w:rsidRPr="00DD657B">
        <w:rPr>
          <w:rFonts w:ascii="Times New Roman" w:hAnsi="Times New Roman" w:cs="Times New Roman"/>
          <w:b/>
        </w:rPr>
        <w:t xml:space="preserve"> </w:t>
      </w:r>
      <w:proofErr w:type="spellStart"/>
      <w:r w:rsidR="00C07E4C" w:rsidRPr="00DD657B">
        <w:rPr>
          <w:rFonts w:ascii="Times New Roman" w:hAnsi="Times New Roman" w:cs="Times New Roman"/>
          <w:b/>
        </w:rPr>
        <w:t>Mathilde</w:t>
      </w:r>
      <w:proofErr w:type="spellEnd"/>
      <w:r w:rsidR="00C07E4C" w:rsidRPr="00DD657B">
        <w:rPr>
          <w:rFonts w:ascii="Times New Roman" w:hAnsi="Times New Roman" w:cs="Times New Roman"/>
          <w:b/>
        </w:rPr>
        <w:t xml:space="preserve"> Peron</w:t>
      </w:r>
      <w:r w:rsidRPr="00DD657B">
        <w:rPr>
          <w:rFonts w:ascii="Cambria Math" w:hAnsi="Cambria Math" w:cs="Cambria Math"/>
          <w:b/>
          <w:sz w:val="28"/>
          <w:szCs w:val="28"/>
          <w:vertAlign w:val="superscript"/>
        </w:rPr>
        <w:t>₁</w:t>
      </w:r>
      <w:r w:rsidR="007D3247" w:rsidRPr="00DD657B">
        <w:rPr>
          <w:rFonts w:ascii="Times New Roman" w:hAnsi="Times New Roman" w:cs="Times New Roman"/>
          <w:b/>
        </w:rPr>
        <w:t xml:space="preserve"> </w:t>
      </w:r>
      <w:r w:rsidR="007D3247" w:rsidRPr="00DD657B">
        <w:rPr>
          <w:rFonts w:ascii="Times New Roman" w:hAnsi="Times New Roman" w:cs="Times New Roman"/>
          <w:b/>
          <w:sz w:val="16"/>
          <w:szCs w:val="16"/>
        </w:rPr>
        <w:t>•</w:t>
      </w:r>
      <w:r w:rsidR="00C07E4C" w:rsidRPr="00DD657B">
        <w:rPr>
          <w:rFonts w:ascii="Times New Roman" w:hAnsi="Times New Roman" w:cs="Times New Roman"/>
          <w:b/>
        </w:rPr>
        <w:t xml:space="preserve"> Kristina Charlotte Dietz</w:t>
      </w:r>
      <w:r w:rsidRPr="00DD657B">
        <w:rPr>
          <w:rFonts w:ascii="Cambria Math" w:hAnsi="Cambria Math" w:cs="Cambria Math"/>
          <w:b/>
          <w:sz w:val="28"/>
          <w:szCs w:val="28"/>
          <w:vertAlign w:val="superscript"/>
        </w:rPr>
        <w:t>₂</w:t>
      </w:r>
      <w:r w:rsidR="007D3247" w:rsidRPr="00DD657B">
        <w:rPr>
          <w:rFonts w:ascii="Times New Roman" w:hAnsi="Times New Roman" w:cs="Times New Roman"/>
          <w:b/>
        </w:rPr>
        <w:t xml:space="preserve"> </w:t>
      </w:r>
      <w:r w:rsidR="007D3247" w:rsidRPr="00DD657B">
        <w:rPr>
          <w:rFonts w:ascii="Times New Roman" w:hAnsi="Times New Roman" w:cs="Times New Roman"/>
          <w:b/>
          <w:sz w:val="16"/>
          <w:szCs w:val="16"/>
        </w:rPr>
        <w:t>•</w:t>
      </w:r>
      <w:r w:rsidR="00C07E4C" w:rsidRPr="00DD657B">
        <w:rPr>
          <w:rFonts w:ascii="Times New Roman" w:hAnsi="Times New Roman" w:cs="Times New Roman"/>
          <w:b/>
        </w:rPr>
        <w:t xml:space="preserve"> Alison Eastwood</w:t>
      </w:r>
      <w:r w:rsidRPr="00DD657B">
        <w:rPr>
          <w:rFonts w:ascii="Cambria Math" w:hAnsi="Cambria Math" w:cs="Cambria Math"/>
          <w:b/>
          <w:sz w:val="28"/>
          <w:szCs w:val="28"/>
          <w:vertAlign w:val="superscript"/>
        </w:rPr>
        <w:t>₂</w:t>
      </w:r>
      <w:r w:rsidR="007D3247" w:rsidRPr="00DD657B">
        <w:rPr>
          <w:rFonts w:ascii="Times New Roman" w:hAnsi="Times New Roman" w:cs="Times New Roman"/>
          <w:b/>
        </w:rPr>
        <w:t xml:space="preserve"> </w:t>
      </w:r>
      <w:r w:rsidR="007D3247" w:rsidRPr="00DD657B">
        <w:rPr>
          <w:rFonts w:ascii="Times New Roman" w:hAnsi="Times New Roman" w:cs="Times New Roman"/>
          <w:b/>
          <w:sz w:val="16"/>
          <w:szCs w:val="16"/>
        </w:rPr>
        <w:t>•</w:t>
      </w:r>
      <w:r w:rsidR="00C07E4C" w:rsidRPr="00DD657B">
        <w:rPr>
          <w:rFonts w:ascii="Times New Roman" w:hAnsi="Times New Roman" w:cs="Times New Roman"/>
          <w:b/>
        </w:rPr>
        <w:t xml:space="preserve"> Stephen Palmer</w:t>
      </w:r>
      <w:r w:rsidRPr="00DD657B">
        <w:rPr>
          <w:rFonts w:ascii="Cambria Math" w:hAnsi="Cambria Math" w:cs="Cambria Math"/>
          <w:b/>
          <w:sz w:val="28"/>
          <w:szCs w:val="28"/>
          <w:vertAlign w:val="superscript"/>
        </w:rPr>
        <w:t>₁</w:t>
      </w:r>
      <w:r w:rsidR="007D3247" w:rsidRPr="00DD657B">
        <w:rPr>
          <w:rFonts w:ascii="Times New Roman" w:hAnsi="Times New Roman" w:cs="Times New Roman"/>
          <w:b/>
        </w:rPr>
        <w:t xml:space="preserve"> </w:t>
      </w:r>
      <w:r w:rsidR="007D3247" w:rsidRPr="00DD657B">
        <w:rPr>
          <w:rFonts w:ascii="Times New Roman" w:hAnsi="Times New Roman" w:cs="Times New Roman"/>
          <w:b/>
          <w:sz w:val="16"/>
          <w:szCs w:val="16"/>
        </w:rPr>
        <w:t>•</w:t>
      </w:r>
      <w:r w:rsidR="00C07E4C" w:rsidRPr="00DD657B">
        <w:rPr>
          <w:rFonts w:ascii="Times New Roman" w:hAnsi="Times New Roman" w:cs="Times New Roman"/>
          <w:b/>
        </w:rPr>
        <w:t xml:space="preserve"> Susan Griffin</w:t>
      </w:r>
      <w:r w:rsidRPr="00DD657B">
        <w:rPr>
          <w:rFonts w:ascii="Cambria Math" w:hAnsi="Cambria Math" w:cs="Cambria Math"/>
          <w:b/>
          <w:sz w:val="28"/>
          <w:szCs w:val="28"/>
          <w:vertAlign w:val="superscript"/>
        </w:rPr>
        <w:t>₁</w:t>
      </w:r>
    </w:p>
    <w:p w14:paraId="65A5858D" w14:textId="77777777" w:rsidR="00EE4671" w:rsidRPr="00DD657B" w:rsidRDefault="00C07E4C" w:rsidP="00EE4671">
      <w:pPr>
        <w:spacing w:after="0" w:line="360" w:lineRule="auto"/>
        <w:jc w:val="center"/>
        <w:rPr>
          <w:rFonts w:ascii="Times New Roman" w:hAnsi="Times New Roman" w:cs="Times New Roman"/>
        </w:rPr>
      </w:pPr>
      <w:r w:rsidRPr="002C68F3">
        <w:rPr>
          <w:rFonts w:ascii="Cambria Math" w:hAnsi="Cambria Math" w:cs="Cambria Math"/>
        </w:rPr>
        <w:t>₁</w:t>
      </w:r>
      <w:r w:rsidRPr="00DD657B">
        <w:rPr>
          <w:rFonts w:ascii="Times New Roman" w:hAnsi="Times New Roman" w:cs="Times New Roman"/>
        </w:rPr>
        <w:t xml:space="preserve"> </w:t>
      </w:r>
      <w:r w:rsidR="00EE4671" w:rsidRPr="00DD657B">
        <w:rPr>
          <w:rFonts w:ascii="Times New Roman" w:hAnsi="Times New Roman" w:cs="Times New Roman"/>
          <w:color w:val="000000"/>
        </w:rPr>
        <w:t>Centre for Health Economics (</w:t>
      </w:r>
      <w:r w:rsidR="00EE4671" w:rsidRPr="00DD657B">
        <w:rPr>
          <w:rFonts w:ascii="Times New Roman" w:hAnsi="Times New Roman" w:cs="Times New Roman"/>
          <w:color w:val="000000"/>
          <w:u w:val="single"/>
        </w:rPr>
        <w:t>CHE</w:t>
      </w:r>
      <w:r w:rsidR="00EE4671" w:rsidRPr="00DD657B">
        <w:rPr>
          <w:rFonts w:ascii="Times New Roman" w:hAnsi="Times New Roman" w:cs="Times New Roman"/>
          <w:color w:val="000000"/>
        </w:rPr>
        <w:t>), University of York, UK</w:t>
      </w:r>
    </w:p>
    <w:p w14:paraId="1E789C6A" w14:textId="62578625" w:rsidR="00EE4671" w:rsidRPr="00DD657B" w:rsidRDefault="00C07E4C" w:rsidP="00EE4671">
      <w:pPr>
        <w:spacing w:after="0" w:line="360" w:lineRule="auto"/>
        <w:jc w:val="center"/>
        <w:rPr>
          <w:rFonts w:ascii="Times New Roman" w:hAnsi="Times New Roman" w:cs="Times New Roman"/>
        </w:rPr>
      </w:pPr>
      <w:r w:rsidRPr="00DD657B">
        <w:rPr>
          <w:rFonts w:ascii="Cambria Math" w:hAnsi="Cambria Math" w:cs="Cambria Math"/>
        </w:rPr>
        <w:t>₂</w:t>
      </w:r>
      <w:r w:rsidRPr="00DD657B">
        <w:rPr>
          <w:rFonts w:ascii="Times New Roman" w:hAnsi="Times New Roman" w:cs="Times New Roman"/>
        </w:rPr>
        <w:t xml:space="preserve"> </w:t>
      </w:r>
      <w:r w:rsidR="00EE4671" w:rsidRPr="00DD657B">
        <w:rPr>
          <w:rFonts w:ascii="Times New Roman" w:hAnsi="Times New Roman" w:cs="Times New Roman"/>
          <w:color w:val="000000"/>
        </w:rPr>
        <w:t>Centre for Reviews and Dissemination (</w:t>
      </w:r>
      <w:r w:rsidR="00EE4671" w:rsidRPr="00DD657B">
        <w:rPr>
          <w:rFonts w:ascii="Times New Roman" w:hAnsi="Times New Roman" w:cs="Times New Roman"/>
          <w:color w:val="000000"/>
          <w:u w:val="single"/>
        </w:rPr>
        <w:t>CRD</w:t>
      </w:r>
      <w:r w:rsidR="00EE4671" w:rsidRPr="00DD657B">
        <w:rPr>
          <w:rFonts w:ascii="Times New Roman" w:hAnsi="Times New Roman" w:cs="Times New Roman"/>
          <w:color w:val="000000"/>
        </w:rPr>
        <w:t>), University of York, UK</w:t>
      </w:r>
    </w:p>
    <w:p w14:paraId="2EDFE374" w14:textId="4F7389C1" w:rsidR="00C07E4C" w:rsidRDefault="00C07E4C" w:rsidP="00EE4671">
      <w:pPr>
        <w:spacing w:after="0" w:line="360" w:lineRule="auto"/>
        <w:jc w:val="center"/>
      </w:pPr>
    </w:p>
    <w:p w14:paraId="3314644C" w14:textId="77777777" w:rsidR="00E06576" w:rsidRPr="000A7F48" w:rsidRDefault="00E06576" w:rsidP="00E06576">
      <w:pPr>
        <w:rPr>
          <w:rFonts w:ascii="Times New Roman" w:hAnsi="Times New Roman" w:cs="Times New Roman"/>
          <w:b/>
          <w:sz w:val="20"/>
        </w:rPr>
      </w:pPr>
      <w:r w:rsidRPr="000A7F48">
        <w:rPr>
          <w:rFonts w:ascii="Times New Roman" w:hAnsi="Times New Roman" w:cs="Times New Roman"/>
          <w:b/>
          <w:sz w:val="20"/>
        </w:rPr>
        <w:t>Corresponding author:</w:t>
      </w:r>
    </w:p>
    <w:p w14:paraId="3058834A" w14:textId="7D6266F9" w:rsidR="00E06576" w:rsidRPr="000A7F48" w:rsidRDefault="00E06576" w:rsidP="00E06576">
      <w:pPr>
        <w:spacing w:after="0"/>
        <w:rPr>
          <w:rFonts w:ascii="Times New Roman" w:hAnsi="Times New Roman" w:cs="Times New Roman"/>
        </w:rPr>
      </w:pPr>
      <w:r w:rsidRPr="000A7F48">
        <w:rPr>
          <w:rFonts w:ascii="Times New Roman" w:hAnsi="Times New Roman" w:cs="Times New Roman"/>
        </w:rPr>
        <w:t>Edward Cox, Centre for Health Economics, University of York, York, YO10 5DD, UK</w:t>
      </w:r>
    </w:p>
    <w:p w14:paraId="4EB172E4" w14:textId="6B36BF81" w:rsidR="00E06576" w:rsidRPr="000A7F48" w:rsidRDefault="00E06576" w:rsidP="00E06576">
      <w:pPr>
        <w:spacing w:after="0"/>
        <w:rPr>
          <w:rFonts w:ascii="Times New Roman" w:hAnsi="Times New Roman" w:cs="Times New Roman"/>
        </w:rPr>
      </w:pPr>
      <w:r w:rsidRPr="000A7F48">
        <w:rPr>
          <w:rFonts w:ascii="Times New Roman" w:hAnsi="Times New Roman" w:cs="Times New Roman"/>
        </w:rPr>
        <w:t xml:space="preserve">Email: </w:t>
      </w:r>
      <w:hyperlink r:id="rId8" w:history="1">
        <w:r w:rsidRPr="000A7F48">
          <w:rPr>
            <w:rStyle w:val="Hyperlink"/>
            <w:rFonts w:ascii="Times New Roman" w:hAnsi="Times New Roman" w:cs="Times New Roman"/>
          </w:rPr>
          <w:t>edward.cox@york.ac.uk</w:t>
        </w:r>
      </w:hyperlink>
      <w:r w:rsidRPr="000A7F48">
        <w:rPr>
          <w:rFonts w:ascii="Times New Roman" w:hAnsi="Times New Roman" w:cs="Times New Roman"/>
        </w:rPr>
        <w:t xml:space="preserve"> Tel: + 44 (0)1904 321490</w:t>
      </w:r>
    </w:p>
    <w:p w14:paraId="089179D6" w14:textId="77777777" w:rsidR="00E06576" w:rsidRPr="000A7F48" w:rsidRDefault="00E06576" w:rsidP="00E06576">
      <w:pPr>
        <w:rPr>
          <w:rFonts w:ascii="Times New Roman" w:hAnsi="Times New Roman" w:cs="Times New Roman"/>
          <w:b/>
        </w:rPr>
      </w:pPr>
    </w:p>
    <w:p w14:paraId="7700C91D" w14:textId="41E9B0C1" w:rsidR="00295B5A" w:rsidRPr="00E03105" w:rsidRDefault="00194E0C" w:rsidP="00295B5A">
      <w:pPr>
        <w:rPr>
          <w:rFonts w:ascii="Times New Roman" w:hAnsi="Times New Roman" w:cs="Times New Roman"/>
          <w:b/>
          <w:sz w:val="20"/>
        </w:rPr>
      </w:pPr>
      <w:r>
        <w:rPr>
          <w:rFonts w:ascii="Times New Roman" w:hAnsi="Times New Roman" w:cs="Times New Roman"/>
          <w:b/>
          <w:sz w:val="20"/>
        </w:rPr>
        <w:t>P</w:t>
      </w:r>
      <w:r w:rsidR="00295B5A" w:rsidRPr="00E03105">
        <w:rPr>
          <w:rFonts w:ascii="Times New Roman" w:hAnsi="Times New Roman" w:cs="Times New Roman"/>
          <w:b/>
          <w:sz w:val="20"/>
        </w:rPr>
        <w:t>aper</w:t>
      </w:r>
      <w:r>
        <w:rPr>
          <w:rFonts w:ascii="Times New Roman" w:hAnsi="Times New Roman" w:cs="Times New Roman"/>
          <w:b/>
          <w:sz w:val="20"/>
        </w:rPr>
        <w:t xml:space="preserve"> type</w:t>
      </w:r>
      <w:r w:rsidR="00295B5A" w:rsidRPr="00E03105">
        <w:rPr>
          <w:rFonts w:ascii="Times New Roman" w:hAnsi="Times New Roman" w:cs="Times New Roman"/>
          <w:b/>
          <w:sz w:val="20"/>
        </w:rPr>
        <w:t>:</w:t>
      </w:r>
    </w:p>
    <w:p w14:paraId="2F636E6A" w14:textId="77777777" w:rsidR="00295B5A" w:rsidRDefault="00295B5A" w:rsidP="00295B5A">
      <w:pPr>
        <w:rPr>
          <w:rFonts w:ascii="Times New Roman" w:hAnsi="Times New Roman" w:cs="Times New Roman"/>
        </w:rPr>
      </w:pPr>
      <w:r>
        <w:rPr>
          <w:rFonts w:ascii="Times New Roman" w:hAnsi="Times New Roman" w:cs="Times New Roman"/>
        </w:rPr>
        <w:t>Review article</w:t>
      </w:r>
    </w:p>
    <w:p w14:paraId="01295317" w14:textId="77777777" w:rsidR="00295B5A" w:rsidRDefault="00295B5A" w:rsidP="00295B5A">
      <w:pPr>
        <w:spacing w:after="0"/>
        <w:rPr>
          <w:rFonts w:ascii="Times New Roman" w:hAnsi="Times New Roman" w:cs="Times New Roman"/>
          <w:b/>
          <w:sz w:val="20"/>
        </w:rPr>
      </w:pPr>
    </w:p>
    <w:p w14:paraId="4FFBB486" w14:textId="417002D4" w:rsidR="00E06576" w:rsidRPr="000A7F48" w:rsidRDefault="00E06576" w:rsidP="00295B5A">
      <w:pPr>
        <w:rPr>
          <w:rFonts w:ascii="Times New Roman" w:hAnsi="Times New Roman" w:cs="Times New Roman"/>
          <w:b/>
          <w:sz w:val="20"/>
        </w:rPr>
      </w:pPr>
      <w:r w:rsidRPr="000A7F48">
        <w:rPr>
          <w:rFonts w:ascii="Times New Roman" w:hAnsi="Times New Roman" w:cs="Times New Roman"/>
          <w:b/>
          <w:sz w:val="20"/>
        </w:rPr>
        <w:t xml:space="preserve">Running heading: </w:t>
      </w:r>
    </w:p>
    <w:p w14:paraId="355C91A5" w14:textId="1F305A0C" w:rsidR="00E03105" w:rsidRDefault="00E06576">
      <w:pPr>
        <w:rPr>
          <w:rFonts w:ascii="Times New Roman" w:hAnsi="Times New Roman" w:cs="Times New Roman"/>
        </w:rPr>
      </w:pPr>
      <w:proofErr w:type="spellStart"/>
      <w:r w:rsidRPr="000A7F48">
        <w:rPr>
          <w:rFonts w:ascii="Times New Roman" w:hAnsi="Times New Roman" w:cs="Times New Roman"/>
        </w:rPr>
        <w:t>Inotuzumab</w:t>
      </w:r>
      <w:proofErr w:type="spellEnd"/>
      <w:r w:rsidRPr="000A7F48">
        <w:rPr>
          <w:rFonts w:ascii="Times New Roman" w:hAnsi="Times New Roman" w:cs="Times New Roman"/>
        </w:rPr>
        <w:t xml:space="preserve"> for the treatment of adult </w:t>
      </w:r>
      <w:r w:rsidR="000A7F48" w:rsidRPr="000A7F48">
        <w:rPr>
          <w:rFonts w:ascii="Times New Roman" w:hAnsi="Times New Roman" w:cs="Times New Roman"/>
        </w:rPr>
        <w:t>R/R</w:t>
      </w:r>
      <w:r w:rsidRPr="000A7F48">
        <w:rPr>
          <w:rFonts w:ascii="Times New Roman" w:hAnsi="Times New Roman" w:cs="Times New Roman"/>
        </w:rPr>
        <w:t xml:space="preserve"> B-cell </w:t>
      </w:r>
      <w:r w:rsidR="000A7F48" w:rsidRPr="000A7F48">
        <w:rPr>
          <w:rFonts w:ascii="Times New Roman" w:hAnsi="Times New Roman" w:cs="Times New Roman"/>
        </w:rPr>
        <w:t>ALL</w:t>
      </w:r>
      <w:r w:rsidRPr="000A7F48">
        <w:rPr>
          <w:rFonts w:ascii="Times New Roman" w:hAnsi="Times New Roman" w:cs="Times New Roman"/>
        </w:rPr>
        <w:t xml:space="preserve">: </w:t>
      </w:r>
      <w:r w:rsidR="00602DFA">
        <w:rPr>
          <w:rFonts w:ascii="Times New Roman" w:hAnsi="Times New Roman" w:cs="Times New Roman"/>
        </w:rPr>
        <w:t xml:space="preserve">an ERG perspective </w:t>
      </w:r>
    </w:p>
    <w:p w14:paraId="56DD97A5" w14:textId="77777777" w:rsidR="00E03105" w:rsidRDefault="00E03105" w:rsidP="00E03105">
      <w:pPr>
        <w:spacing w:after="0"/>
        <w:rPr>
          <w:rFonts w:ascii="Times New Roman" w:hAnsi="Times New Roman" w:cs="Times New Roman"/>
        </w:rPr>
      </w:pPr>
    </w:p>
    <w:p w14:paraId="539766F5" w14:textId="041E7D1E" w:rsidR="00194E0C" w:rsidRDefault="003822FA" w:rsidP="00194E0C">
      <w:pPr>
        <w:rPr>
          <w:rFonts w:ascii="Times New Roman" w:hAnsi="Times New Roman" w:cs="Times New Roman"/>
          <w:b/>
          <w:sz w:val="20"/>
        </w:rPr>
      </w:pPr>
      <w:r>
        <w:rPr>
          <w:rFonts w:ascii="Times New Roman" w:hAnsi="Times New Roman" w:cs="Times New Roman"/>
          <w:b/>
          <w:sz w:val="20"/>
        </w:rPr>
        <w:t>Manuscript w</w:t>
      </w:r>
      <w:r w:rsidR="00194E0C">
        <w:rPr>
          <w:rFonts w:ascii="Times New Roman" w:hAnsi="Times New Roman" w:cs="Times New Roman"/>
          <w:b/>
          <w:sz w:val="20"/>
        </w:rPr>
        <w:t>ord count (excluding abstract</w:t>
      </w:r>
      <w:r>
        <w:rPr>
          <w:rFonts w:ascii="Times New Roman" w:hAnsi="Times New Roman" w:cs="Times New Roman"/>
          <w:b/>
          <w:sz w:val="20"/>
        </w:rPr>
        <w:t>, references and tables</w:t>
      </w:r>
      <w:r w:rsidR="00194E0C">
        <w:rPr>
          <w:rFonts w:ascii="Times New Roman" w:hAnsi="Times New Roman" w:cs="Times New Roman"/>
          <w:b/>
          <w:sz w:val="20"/>
        </w:rPr>
        <w:t>)</w:t>
      </w:r>
      <w:r w:rsidR="00194E0C" w:rsidRPr="000A7F48">
        <w:rPr>
          <w:rFonts w:ascii="Times New Roman" w:hAnsi="Times New Roman" w:cs="Times New Roman"/>
          <w:b/>
          <w:sz w:val="20"/>
        </w:rPr>
        <w:t>:</w:t>
      </w:r>
      <w:r w:rsidR="002D18FC">
        <w:rPr>
          <w:rFonts w:ascii="Times New Roman" w:hAnsi="Times New Roman" w:cs="Times New Roman"/>
          <w:b/>
          <w:sz w:val="20"/>
        </w:rPr>
        <w:t xml:space="preserve"> 5,</w:t>
      </w:r>
      <w:r w:rsidR="009823F1">
        <w:rPr>
          <w:rFonts w:ascii="Times New Roman" w:hAnsi="Times New Roman" w:cs="Times New Roman"/>
          <w:b/>
          <w:sz w:val="20"/>
        </w:rPr>
        <w:t>337</w:t>
      </w:r>
    </w:p>
    <w:p w14:paraId="4C095EA9" w14:textId="3B95A5A7" w:rsidR="00E06576" w:rsidRDefault="00E06576">
      <w:pPr>
        <w:rPr>
          <w:rFonts w:ascii="Times New Roman" w:eastAsiaTheme="majorEastAsia" w:hAnsi="Times New Roman" w:cs="Times New Roman"/>
          <w:b/>
          <w:bCs/>
          <w:sz w:val="28"/>
          <w:szCs w:val="28"/>
        </w:rPr>
      </w:pPr>
      <w:r>
        <w:rPr>
          <w:rFonts w:ascii="Times New Roman" w:eastAsiaTheme="majorEastAsia" w:hAnsi="Times New Roman" w:cs="Times New Roman"/>
          <w:b/>
          <w:bCs/>
          <w:sz w:val="28"/>
          <w:szCs w:val="28"/>
        </w:rPr>
        <w:br w:type="page"/>
      </w:r>
    </w:p>
    <w:p w14:paraId="5E25AEA2" w14:textId="47C7836A" w:rsidR="00C07E4C" w:rsidRDefault="00C07E4C" w:rsidP="00E61BB0">
      <w:pPr>
        <w:spacing w:line="360" w:lineRule="auto"/>
        <w:rPr>
          <w:rFonts w:ascii="Times New Roman" w:eastAsiaTheme="majorEastAsia" w:hAnsi="Times New Roman" w:cs="Times New Roman"/>
          <w:b/>
          <w:bCs/>
          <w:sz w:val="28"/>
          <w:szCs w:val="28"/>
        </w:rPr>
      </w:pPr>
      <w:r w:rsidRPr="00DD657B">
        <w:rPr>
          <w:rFonts w:ascii="Times New Roman" w:eastAsiaTheme="majorEastAsia" w:hAnsi="Times New Roman" w:cs="Times New Roman"/>
          <w:b/>
          <w:bCs/>
          <w:sz w:val="28"/>
          <w:szCs w:val="28"/>
        </w:rPr>
        <w:lastRenderedPageBreak/>
        <w:t>Abstract</w:t>
      </w:r>
    </w:p>
    <w:p w14:paraId="14371404" w14:textId="3BC99F04" w:rsidR="009D7C8A" w:rsidRDefault="00304BC1" w:rsidP="00E61BB0">
      <w:pPr>
        <w:spacing w:line="360" w:lineRule="auto"/>
        <w:rPr>
          <w:rFonts w:ascii="Times New Roman" w:hAnsi="Times New Roman" w:cs="Times New Roman"/>
          <w:color w:val="000000"/>
        </w:rPr>
      </w:pPr>
      <w:r w:rsidRPr="00304BC1">
        <w:rPr>
          <w:rFonts w:ascii="Times New Roman" w:hAnsi="Times New Roman" w:cs="Times New Roman"/>
          <w:color w:val="000000"/>
        </w:rPr>
        <w:t>The National Institute for Health and Care</w:t>
      </w:r>
      <w:r>
        <w:rPr>
          <w:rFonts w:ascii="Times New Roman" w:hAnsi="Times New Roman" w:cs="Times New Roman"/>
          <w:color w:val="000000"/>
        </w:rPr>
        <w:t xml:space="preserve"> </w:t>
      </w:r>
      <w:r w:rsidRPr="00304BC1">
        <w:rPr>
          <w:rFonts w:ascii="Times New Roman" w:hAnsi="Times New Roman" w:cs="Times New Roman"/>
          <w:color w:val="000000"/>
        </w:rPr>
        <w:t>Excellence (NICE) invited</w:t>
      </w:r>
      <w:r w:rsidR="00141B8A">
        <w:rPr>
          <w:rFonts w:ascii="Times New Roman" w:hAnsi="Times New Roman" w:cs="Times New Roman"/>
          <w:color w:val="000000"/>
        </w:rPr>
        <w:t xml:space="preserve"> Pfizer,</w:t>
      </w:r>
      <w:r w:rsidRPr="00304BC1">
        <w:rPr>
          <w:rFonts w:ascii="Times New Roman" w:hAnsi="Times New Roman" w:cs="Times New Roman"/>
          <w:color w:val="000000"/>
        </w:rPr>
        <w:t xml:space="preserve"> the manufacture</w:t>
      </w:r>
      <w:r w:rsidR="007D273D">
        <w:rPr>
          <w:rFonts w:ascii="Times New Roman" w:hAnsi="Times New Roman" w:cs="Times New Roman"/>
          <w:color w:val="000000"/>
        </w:rPr>
        <w:t>r of</w:t>
      </w:r>
      <w:r w:rsidRPr="00304BC1">
        <w:rPr>
          <w:rFonts w:ascii="Times New Roman" w:hAnsi="Times New Roman" w:cs="Times New Roman"/>
          <w:color w:val="000000"/>
        </w:rPr>
        <w:t xml:space="preserve"> </w:t>
      </w:r>
      <w:proofErr w:type="spellStart"/>
      <w:r>
        <w:rPr>
          <w:rFonts w:ascii="Times New Roman" w:hAnsi="Times New Roman" w:cs="Times New Roman"/>
          <w:color w:val="000000"/>
        </w:rPr>
        <w:t>inotuzumab</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ozogamacin</w:t>
      </w:r>
      <w:proofErr w:type="spellEnd"/>
      <w:r w:rsidR="0004519E">
        <w:rPr>
          <w:rFonts w:ascii="Times New Roman" w:hAnsi="Times New Roman" w:cs="Times New Roman"/>
          <w:color w:val="000000"/>
        </w:rPr>
        <w:t xml:space="preserve"> (henceforth </w:t>
      </w:r>
      <w:proofErr w:type="spellStart"/>
      <w:r w:rsidR="0004519E">
        <w:rPr>
          <w:rFonts w:ascii="Times New Roman" w:hAnsi="Times New Roman" w:cs="Times New Roman"/>
          <w:color w:val="000000"/>
        </w:rPr>
        <w:t>inotuzumab</w:t>
      </w:r>
      <w:proofErr w:type="spellEnd"/>
      <w:r w:rsidR="0004519E">
        <w:rPr>
          <w:rFonts w:ascii="Times New Roman" w:hAnsi="Times New Roman" w:cs="Times New Roman"/>
          <w:color w:val="000000"/>
        </w:rPr>
        <w:t>)</w:t>
      </w:r>
      <w:r w:rsidR="00141B8A">
        <w:rPr>
          <w:rFonts w:ascii="Times New Roman" w:hAnsi="Times New Roman" w:cs="Times New Roman"/>
          <w:color w:val="000000"/>
        </w:rPr>
        <w:t>,</w:t>
      </w:r>
      <w:r w:rsidRPr="00304BC1">
        <w:rPr>
          <w:rFonts w:ascii="Times New Roman" w:hAnsi="Times New Roman" w:cs="Times New Roman"/>
          <w:color w:val="000000"/>
        </w:rPr>
        <w:t xml:space="preserve"> to submit clinical and cost-effectiveness</w:t>
      </w:r>
      <w:r>
        <w:rPr>
          <w:rFonts w:ascii="Times New Roman" w:hAnsi="Times New Roman" w:cs="Times New Roman"/>
          <w:color w:val="000000"/>
        </w:rPr>
        <w:t xml:space="preserve"> </w:t>
      </w:r>
      <w:r w:rsidRPr="00304BC1">
        <w:rPr>
          <w:rFonts w:ascii="Times New Roman" w:hAnsi="Times New Roman" w:cs="Times New Roman"/>
          <w:color w:val="000000"/>
        </w:rPr>
        <w:t xml:space="preserve">evidence for </w:t>
      </w:r>
      <w:proofErr w:type="spellStart"/>
      <w:r>
        <w:rPr>
          <w:rFonts w:ascii="Times New Roman" w:hAnsi="Times New Roman" w:cs="Times New Roman"/>
          <w:color w:val="000000"/>
        </w:rPr>
        <w:t>inotuzumab</w:t>
      </w:r>
      <w:proofErr w:type="spellEnd"/>
      <w:r w:rsidRPr="00304BC1">
        <w:rPr>
          <w:rFonts w:ascii="Times New Roman" w:hAnsi="Times New Roman" w:cs="Times New Roman"/>
          <w:color w:val="000000"/>
        </w:rPr>
        <w:t xml:space="preserve">, as part of </w:t>
      </w:r>
      <w:r w:rsidR="00AB6741">
        <w:rPr>
          <w:rFonts w:ascii="Times New Roman" w:hAnsi="Times New Roman" w:cs="Times New Roman"/>
          <w:color w:val="000000"/>
        </w:rPr>
        <w:t>NICE</w:t>
      </w:r>
      <w:r w:rsidR="00AB6741" w:rsidRPr="00304BC1">
        <w:rPr>
          <w:rFonts w:ascii="Times New Roman" w:hAnsi="Times New Roman" w:cs="Times New Roman"/>
          <w:color w:val="000000"/>
        </w:rPr>
        <w:t>’s</w:t>
      </w:r>
      <w:r w:rsidR="00AB6741">
        <w:rPr>
          <w:rFonts w:ascii="Times New Roman" w:hAnsi="Times New Roman" w:cs="Times New Roman"/>
          <w:color w:val="000000"/>
        </w:rPr>
        <w:t xml:space="preserve"> </w:t>
      </w:r>
      <w:r w:rsidRPr="00304BC1">
        <w:rPr>
          <w:rFonts w:ascii="Times New Roman" w:hAnsi="Times New Roman" w:cs="Times New Roman"/>
          <w:color w:val="000000"/>
        </w:rPr>
        <w:t>Single Technology Appraisal process. The Centre</w:t>
      </w:r>
      <w:r>
        <w:rPr>
          <w:rFonts w:ascii="Times New Roman" w:hAnsi="Times New Roman" w:cs="Times New Roman"/>
          <w:color w:val="000000"/>
        </w:rPr>
        <w:t xml:space="preserve"> </w:t>
      </w:r>
      <w:r w:rsidRPr="00304BC1">
        <w:rPr>
          <w:rFonts w:ascii="Times New Roman" w:hAnsi="Times New Roman" w:cs="Times New Roman"/>
          <w:color w:val="000000"/>
        </w:rPr>
        <w:t>for Reviews and Dissemination and Centre for Health</w:t>
      </w:r>
      <w:r>
        <w:rPr>
          <w:rFonts w:ascii="Times New Roman" w:hAnsi="Times New Roman" w:cs="Times New Roman"/>
          <w:color w:val="000000"/>
        </w:rPr>
        <w:t xml:space="preserve"> </w:t>
      </w:r>
      <w:r w:rsidRPr="00304BC1">
        <w:rPr>
          <w:rFonts w:ascii="Times New Roman" w:hAnsi="Times New Roman" w:cs="Times New Roman"/>
          <w:color w:val="000000"/>
        </w:rPr>
        <w:t>Economics at the University of York were commissioned</w:t>
      </w:r>
      <w:r>
        <w:rPr>
          <w:rFonts w:ascii="Times New Roman" w:hAnsi="Times New Roman" w:cs="Times New Roman"/>
          <w:color w:val="000000"/>
        </w:rPr>
        <w:t xml:space="preserve"> </w:t>
      </w:r>
      <w:r w:rsidRPr="00304BC1">
        <w:rPr>
          <w:rFonts w:ascii="Times New Roman" w:hAnsi="Times New Roman" w:cs="Times New Roman"/>
          <w:color w:val="000000"/>
        </w:rPr>
        <w:t>as the independent Evidence Review Group (ERG).</w:t>
      </w:r>
      <w:r w:rsidR="00036D72">
        <w:rPr>
          <w:rFonts w:ascii="Times New Roman" w:hAnsi="Times New Roman" w:cs="Times New Roman"/>
          <w:color w:val="000000"/>
        </w:rPr>
        <w:t xml:space="preserve"> </w:t>
      </w:r>
      <w:r w:rsidR="007C25C4">
        <w:rPr>
          <w:rFonts w:ascii="Times New Roman" w:hAnsi="Times New Roman" w:cs="Times New Roman"/>
          <w:color w:val="000000"/>
        </w:rPr>
        <w:t xml:space="preserve">The clinical effectiveness </w:t>
      </w:r>
      <w:r w:rsidR="00E913D4">
        <w:rPr>
          <w:rFonts w:ascii="Times New Roman" w:hAnsi="Times New Roman" w:cs="Times New Roman"/>
          <w:color w:val="000000"/>
        </w:rPr>
        <w:t>data</w:t>
      </w:r>
      <w:r w:rsidR="007C25C4">
        <w:rPr>
          <w:rFonts w:ascii="Times New Roman" w:hAnsi="Times New Roman" w:cs="Times New Roman"/>
          <w:color w:val="000000"/>
        </w:rPr>
        <w:t xml:space="preserve"> w</w:t>
      </w:r>
      <w:r w:rsidR="00F53666">
        <w:rPr>
          <w:rFonts w:ascii="Times New Roman" w:hAnsi="Times New Roman" w:cs="Times New Roman"/>
          <w:color w:val="000000"/>
        </w:rPr>
        <w:t>ere</w:t>
      </w:r>
      <w:r w:rsidR="007C25C4">
        <w:rPr>
          <w:rFonts w:ascii="Times New Roman" w:hAnsi="Times New Roman" w:cs="Times New Roman"/>
          <w:color w:val="000000"/>
        </w:rPr>
        <w:t xml:space="preserve"> from a multicentre randomised control</w:t>
      </w:r>
      <w:r w:rsidR="008B3FFE">
        <w:rPr>
          <w:rFonts w:ascii="Times New Roman" w:hAnsi="Times New Roman" w:cs="Times New Roman"/>
          <w:color w:val="000000"/>
        </w:rPr>
        <w:t>led</w:t>
      </w:r>
      <w:r w:rsidR="007C25C4">
        <w:rPr>
          <w:rFonts w:ascii="Times New Roman" w:hAnsi="Times New Roman" w:cs="Times New Roman"/>
          <w:color w:val="000000"/>
        </w:rPr>
        <w:t xml:space="preserve"> trial </w:t>
      </w:r>
      <w:r w:rsidR="007C25C4" w:rsidRPr="002F1A1A">
        <w:rPr>
          <w:rFonts w:ascii="Times New Roman" w:hAnsi="Times New Roman" w:cs="Times New Roman"/>
          <w:color w:val="000000"/>
        </w:rPr>
        <w:t>which compare</w:t>
      </w:r>
      <w:r w:rsidR="00E61BB0">
        <w:rPr>
          <w:rFonts w:ascii="Times New Roman" w:hAnsi="Times New Roman" w:cs="Times New Roman"/>
          <w:color w:val="000000"/>
        </w:rPr>
        <w:t>d</w:t>
      </w:r>
      <w:r w:rsidR="007C25C4" w:rsidRPr="002F1A1A">
        <w:rPr>
          <w:rFonts w:ascii="Times New Roman" w:hAnsi="Times New Roman" w:cs="Times New Roman"/>
          <w:color w:val="000000"/>
        </w:rPr>
        <w:t xml:space="preserve"> </w:t>
      </w:r>
      <w:proofErr w:type="spellStart"/>
      <w:r w:rsidR="007C25C4" w:rsidRPr="002F1A1A">
        <w:rPr>
          <w:rFonts w:ascii="Times New Roman" w:hAnsi="Times New Roman" w:cs="Times New Roman"/>
          <w:color w:val="000000"/>
        </w:rPr>
        <w:t>inotuzumab</w:t>
      </w:r>
      <w:proofErr w:type="spellEnd"/>
      <w:r w:rsidR="007C25C4" w:rsidRPr="002F1A1A">
        <w:rPr>
          <w:rFonts w:ascii="Times New Roman" w:hAnsi="Times New Roman" w:cs="Times New Roman"/>
          <w:color w:val="000000"/>
        </w:rPr>
        <w:t xml:space="preserve"> </w:t>
      </w:r>
      <w:r w:rsidR="007C25C4">
        <w:rPr>
          <w:rFonts w:ascii="Times New Roman" w:hAnsi="Times New Roman" w:cs="Times New Roman"/>
          <w:color w:val="000000"/>
        </w:rPr>
        <w:t xml:space="preserve">to </w:t>
      </w:r>
      <w:r w:rsidR="009C083A">
        <w:rPr>
          <w:rFonts w:ascii="Times New Roman" w:hAnsi="Times New Roman" w:cs="Times New Roman"/>
          <w:color w:val="000000"/>
        </w:rPr>
        <w:t>standard of care (</w:t>
      </w:r>
      <w:proofErr w:type="spellStart"/>
      <w:r w:rsidR="007C25C4">
        <w:rPr>
          <w:rFonts w:ascii="Times New Roman" w:hAnsi="Times New Roman" w:cs="Times New Roman"/>
          <w:color w:val="000000"/>
        </w:rPr>
        <w:t>SoC</w:t>
      </w:r>
      <w:proofErr w:type="spellEnd"/>
      <w:r w:rsidR="009C083A">
        <w:rPr>
          <w:rFonts w:ascii="Times New Roman" w:hAnsi="Times New Roman" w:cs="Times New Roman"/>
          <w:color w:val="000000"/>
        </w:rPr>
        <w:t>)</w:t>
      </w:r>
      <w:r w:rsidR="00E61BB0">
        <w:rPr>
          <w:rFonts w:ascii="Times New Roman" w:hAnsi="Times New Roman" w:cs="Times New Roman"/>
          <w:color w:val="000000"/>
        </w:rPr>
        <w:t xml:space="preserve">, where </w:t>
      </w:r>
      <w:proofErr w:type="spellStart"/>
      <w:r w:rsidR="00E61BB0">
        <w:rPr>
          <w:rFonts w:ascii="Times New Roman" w:hAnsi="Times New Roman" w:cs="Times New Roman"/>
          <w:color w:val="000000"/>
        </w:rPr>
        <w:t>SoC</w:t>
      </w:r>
      <w:proofErr w:type="spellEnd"/>
      <w:r w:rsidR="007C25C4" w:rsidRPr="002F1A1A">
        <w:rPr>
          <w:rFonts w:ascii="Times New Roman" w:hAnsi="Times New Roman" w:cs="Times New Roman"/>
          <w:color w:val="000000"/>
        </w:rPr>
        <w:t xml:space="preserve"> was t</w:t>
      </w:r>
      <w:r w:rsidR="007C25C4">
        <w:rPr>
          <w:rFonts w:ascii="Times New Roman" w:hAnsi="Times New Roman" w:cs="Times New Roman"/>
          <w:color w:val="000000"/>
        </w:rPr>
        <w:t xml:space="preserve">he investigator’s choice of </w:t>
      </w:r>
      <w:r w:rsidR="009C083A">
        <w:rPr>
          <w:rFonts w:ascii="Times New Roman" w:hAnsi="Times New Roman" w:cs="Times New Roman"/>
          <w:color w:val="000000"/>
        </w:rPr>
        <w:t>chemotherapy</w:t>
      </w:r>
      <w:r w:rsidR="00E913D4">
        <w:rPr>
          <w:rFonts w:ascii="Times New Roman" w:hAnsi="Times New Roman" w:cs="Times New Roman"/>
          <w:color w:val="000000"/>
        </w:rPr>
        <w:t>.</w:t>
      </w:r>
      <w:r w:rsidR="007C25C4">
        <w:rPr>
          <w:rFonts w:ascii="Times New Roman" w:hAnsi="Times New Roman" w:cs="Times New Roman"/>
          <w:color w:val="000000"/>
        </w:rPr>
        <w:t xml:space="preserve"> </w:t>
      </w:r>
      <w:proofErr w:type="spellStart"/>
      <w:r w:rsidR="006C371E">
        <w:rPr>
          <w:rFonts w:ascii="Times New Roman" w:hAnsi="Times New Roman" w:cs="Times New Roman"/>
          <w:color w:val="000000"/>
        </w:rPr>
        <w:t>I</w:t>
      </w:r>
      <w:r w:rsidR="00FD67D6">
        <w:rPr>
          <w:rFonts w:ascii="Times New Roman" w:hAnsi="Times New Roman" w:cs="Times New Roman"/>
          <w:color w:val="000000"/>
        </w:rPr>
        <w:t>notuzumab</w:t>
      </w:r>
      <w:proofErr w:type="spellEnd"/>
      <w:r w:rsidR="00FD67D6">
        <w:rPr>
          <w:rFonts w:ascii="Times New Roman" w:hAnsi="Times New Roman" w:cs="Times New Roman"/>
          <w:color w:val="000000"/>
        </w:rPr>
        <w:t xml:space="preserve"> demonstrated </w:t>
      </w:r>
      <w:r w:rsidR="00D24C22">
        <w:rPr>
          <w:rFonts w:ascii="Times New Roman" w:hAnsi="Times New Roman" w:cs="Times New Roman"/>
          <w:color w:val="000000"/>
        </w:rPr>
        <w:t xml:space="preserve">statistically </w:t>
      </w:r>
      <w:r w:rsidR="00FD67D6">
        <w:rPr>
          <w:rFonts w:ascii="Times New Roman" w:hAnsi="Times New Roman" w:cs="Times New Roman"/>
          <w:color w:val="000000"/>
        </w:rPr>
        <w:t xml:space="preserve">significant improvements in </w:t>
      </w:r>
      <w:r w:rsidR="00BA71A0">
        <w:rPr>
          <w:rFonts w:ascii="Times New Roman" w:hAnsi="Times New Roman" w:cs="Times New Roman"/>
          <w:color w:val="000000"/>
        </w:rPr>
        <w:t xml:space="preserve">the </w:t>
      </w:r>
      <w:r w:rsidR="00E913D4">
        <w:rPr>
          <w:rFonts w:ascii="Times New Roman" w:hAnsi="Times New Roman" w:cs="Times New Roman"/>
          <w:color w:val="000000"/>
        </w:rPr>
        <w:t xml:space="preserve">rates of </w:t>
      </w:r>
      <w:r w:rsidR="00A96E1A" w:rsidRPr="00A96E1A">
        <w:rPr>
          <w:rFonts w:ascii="Times New Roman" w:hAnsi="Times New Roman" w:cs="Times New Roman"/>
          <w:color w:val="000000"/>
        </w:rPr>
        <w:t xml:space="preserve">response or </w:t>
      </w:r>
      <w:r w:rsidR="00D24C22">
        <w:rPr>
          <w:rFonts w:ascii="Times New Roman" w:hAnsi="Times New Roman" w:cs="Times New Roman"/>
          <w:color w:val="000000"/>
        </w:rPr>
        <w:t>in the</w:t>
      </w:r>
      <w:r w:rsidR="0004519E" w:rsidRPr="0004519E">
        <w:rPr>
          <w:rFonts w:ascii="Times New Roman" w:hAnsi="Times New Roman" w:cs="Times New Roman"/>
          <w:color w:val="000000"/>
        </w:rPr>
        <w:t xml:space="preserve"> proportion of patients progressing to </w:t>
      </w:r>
      <w:r w:rsidR="0004519E">
        <w:rPr>
          <w:rFonts w:ascii="Times New Roman" w:hAnsi="Times New Roman" w:cs="Times New Roman"/>
          <w:color w:val="000000"/>
        </w:rPr>
        <w:t>h</w:t>
      </w:r>
      <w:r w:rsidR="0004519E" w:rsidRPr="008B7DFC">
        <w:rPr>
          <w:rFonts w:ascii="Times New Roman" w:hAnsi="Times New Roman" w:cs="Times New Roman"/>
          <w:color w:val="000000"/>
        </w:rPr>
        <w:t xml:space="preserve">aematopoietic stem cell transplant </w:t>
      </w:r>
      <w:r w:rsidR="0004519E">
        <w:rPr>
          <w:rFonts w:ascii="Times New Roman" w:hAnsi="Times New Roman" w:cs="Times New Roman"/>
          <w:color w:val="000000"/>
        </w:rPr>
        <w:t>(</w:t>
      </w:r>
      <w:r w:rsidR="0004519E" w:rsidRPr="0004519E">
        <w:rPr>
          <w:rFonts w:ascii="Times New Roman" w:hAnsi="Times New Roman" w:cs="Times New Roman"/>
          <w:color w:val="000000"/>
        </w:rPr>
        <w:t>HSCT</w:t>
      </w:r>
      <w:r w:rsidR="0004519E">
        <w:rPr>
          <w:rFonts w:ascii="Times New Roman" w:hAnsi="Times New Roman" w:cs="Times New Roman"/>
          <w:color w:val="000000"/>
        </w:rPr>
        <w:t>)</w:t>
      </w:r>
      <w:r w:rsidR="009C083A">
        <w:rPr>
          <w:rFonts w:ascii="Times New Roman" w:hAnsi="Times New Roman" w:cs="Times New Roman"/>
          <w:color w:val="000000"/>
        </w:rPr>
        <w:t>, but</w:t>
      </w:r>
      <w:r w:rsidR="0004519E">
        <w:rPr>
          <w:rFonts w:ascii="Times New Roman" w:hAnsi="Times New Roman" w:cs="Times New Roman"/>
          <w:color w:val="000000"/>
        </w:rPr>
        <w:t xml:space="preserve"> fail</w:t>
      </w:r>
      <w:r w:rsidR="00E913D4">
        <w:rPr>
          <w:rFonts w:ascii="Times New Roman" w:hAnsi="Times New Roman" w:cs="Times New Roman"/>
          <w:color w:val="000000"/>
        </w:rPr>
        <w:t>ed</w:t>
      </w:r>
      <w:r w:rsidR="0004519E">
        <w:rPr>
          <w:rFonts w:ascii="Times New Roman" w:hAnsi="Times New Roman" w:cs="Times New Roman"/>
          <w:color w:val="000000"/>
        </w:rPr>
        <w:t xml:space="preserve"> t</w:t>
      </w:r>
      <w:r w:rsidR="00FD67D6" w:rsidRPr="00FD67D6">
        <w:rPr>
          <w:rFonts w:ascii="Times New Roman" w:hAnsi="Times New Roman" w:cs="Times New Roman"/>
          <w:color w:val="000000"/>
        </w:rPr>
        <w:t xml:space="preserve">o meet </w:t>
      </w:r>
      <w:r w:rsidR="00E61BB0">
        <w:rPr>
          <w:rFonts w:ascii="Times New Roman" w:hAnsi="Times New Roman" w:cs="Times New Roman"/>
          <w:color w:val="000000"/>
        </w:rPr>
        <w:t>the</w:t>
      </w:r>
      <w:r w:rsidR="00FD67D6" w:rsidRPr="00FD67D6">
        <w:rPr>
          <w:rFonts w:ascii="Times New Roman" w:hAnsi="Times New Roman" w:cs="Times New Roman"/>
          <w:color w:val="000000"/>
        </w:rPr>
        <w:t xml:space="preserve"> second primary objective of longer overall survival</w:t>
      </w:r>
      <w:r w:rsidR="008B7B9E">
        <w:rPr>
          <w:rFonts w:ascii="Times New Roman" w:hAnsi="Times New Roman" w:cs="Times New Roman"/>
          <w:color w:val="000000"/>
        </w:rPr>
        <w:t xml:space="preserve">. </w:t>
      </w:r>
      <w:r w:rsidR="00D24C22">
        <w:rPr>
          <w:rFonts w:ascii="Times New Roman" w:hAnsi="Times New Roman" w:cs="Times New Roman"/>
        </w:rPr>
        <w:t>T</w:t>
      </w:r>
      <w:r w:rsidR="008B7B9E" w:rsidRPr="007338B8">
        <w:rPr>
          <w:rFonts w:ascii="Times New Roman" w:hAnsi="Times New Roman" w:cs="Times New Roman"/>
        </w:rPr>
        <w:t>reatment-emergent adverse events</w:t>
      </w:r>
      <w:r w:rsidR="008B7B9E">
        <w:rPr>
          <w:rFonts w:ascii="Times New Roman" w:hAnsi="Times New Roman" w:cs="Times New Roman"/>
        </w:rPr>
        <w:t xml:space="preserve"> </w:t>
      </w:r>
      <w:r w:rsidR="008B7B9E" w:rsidRPr="008B7B9E">
        <w:rPr>
          <w:rFonts w:ascii="Times New Roman" w:hAnsi="Times New Roman" w:cs="Times New Roman"/>
        </w:rPr>
        <w:t xml:space="preserve">were more frequent in the </w:t>
      </w:r>
      <w:proofErr w:type="spellStart"/>
      <w:r w:rsidR="008B7B9E" w:rsidRPr="008B7B9E">
        <w:rPr>
          <w:rFonts w:ascii="Times New Roman" w:hAnsi="Times New Roman" w:cs="Times New Roman"/>
        </w:rPr>
        <w:t>SoC</w:t>
      </w:r>
      <w:proofErr w:type="spellEnd"/>
      <w:r w:rsidR="008B7B9E" w:rsidRPr="008B7B9E">
        <w:rPr>
          <w:rFonts w:ascii="Times New Roman" w:hAnsi="Times New Roman" w:cs="Times New Roman"/>
        </w:rPr>
        <w:t xml:space="preserve"> arm </w:t>
      </w:r>
      <w:r w:rsidR="008B7B9E">
        <w:rPr>
          <w:rFonts w:ascii="Times New Roman" w:hAnsi="Times New Roman" w:cs="Times New Roman"/>
        </w:rPr>
        <w:t xml:space="preserve">with </w:t>
      </w:r>
      <w:r w:rsidR="001E3419">
        <w:rPr>
          <w:rFonts w:ascii="Times New Roman" w:hAnsi="Times New Roman" w:cs="Times New Roman"/>
        </w:rPr>
        <w:t xml:space="preserve">the </w:t>
      </w:r>
      <w:r w:rsidR="008B7B9E">
        <w:rPr>
          <w:rFonts w:ascii="Times New Roman" w:hAnsi="Times New Roman" w:cs="Times New Roman"/>
        </w:rPr>
        <w:t xml:space="preserve">exception </w:t>
      </w:r>
      <w:r w:rsidR="001E3419">
        <w:rPr>
          <w:rFonts w:ascii="Times New Roman" w:hAnsi="Times New Roman" w:cs="Times New Roman"/>
        </w:rPr>
        <w:t>of</w:t>
      </w:r>
      <w:r w:rsidR="008B7B9E">
        <w:rPr>
          <w:rFonts w:ascii="Times New Roman" w:hAnsi="Times New Roman" w:cs="Times New Roman"/>
        </w:rPr>
        <w:t xml:space="preserve"> </w:t>
      </w:r>
      <w:proofErr w:type="spellStart"/>
      <w:r w:rsidR="008B7B9E">
        <w:rPr>
          <w:rFonts w:ascii="Times New Roman" w:hAnsi="Times New Roman" w:cs="Times New Roman"/>
          <w:color w:val="000000"/>
        </w:rPr>
        <w:t>veno</w:t>
      </w:r>
      <w:proofErr w:type="spellEnd"/>
      <w:r w:rsidR="008B7B9E">
        <w:rPr>
          <w:rFonts w:ascii="Times New Roman" w:hAnsi="Times New Roman" w:cs="Times New Roman"/>
          <w:color w:val="000000"/>
        </w:rPr>
        <w:t xml:space="preserve">-occlusive disease which </w:t>
      </w:r>
      <w:r w:rsidR="008B7B9E" w:rsidRPr="008B7B9E">
        <w:rPr>
          <w:rFonts w:ascii="Times New Roman" w:hAnsi="Times New Roman" w:cs="Times New Roman"/>
          <w:color w:val="000000"/>
        </w:rPr>
        <w:t xml:space="preserve">was more frequent in the </w:t>
      </w:r>
      <w:proofErr w:type="spellStart"/>
      <w:r w:rsidR="008B7B9E" w:rsidRPr="008B7B9E">
        <w:rPr>
          <w:rFonts w:ascii="Times New Roman" w:hAnsi="Times New Roman" w:cs="Times New Roman"/>
          <w:color w:val="000000"/>
        </w:rPr>
        <w:t>inotuzumab</w:t>
      </w:r>
      <w:proofErr w:type="spellEnd"/>
      <w:r w:rsidR="008B7B9E" w:rsidRPr="008B7B9E">
        <w:rPr>
          <w:rFonts w:ascii="Times New Roman" w:hAnsi="Times New Roman" w:cs="Times New Roman"/>
          <w:color w:val="000000"/>
        </w:rPr>
        <w:t xml:space="preserve"> arm</w:t>
      </w:r>
      <w:r w:rsidR="008B7B9E">
        <w:rPr>
          <w:rFonts w:ascii="Times New Roman" w:hAnsi="Times New Roman" w:cs="Times New Roman"/>
          <w:color w:val="000000"/>
        </w:rPr>
        <w:t>.</w:t>
      </w:r>
      <w:r w:rsidR="008B7B9E" w:rsidRPr="008B7B9E">
        <w:rPr>
          <w:rFonts w:ascii="Times New Roman" w:hAnsi="Times New Roman" w:cs="Times New Roman"/>
          <w:color w:val="000000"/>
        </w:rPr>
        <w:t xml:space="preserve"> </w:t>
      </w:r>
      <w:r w:rsidR="00502A61">
        <w:rPr>
          <w:rFonts w:ascii="Times New Roman" w:hAnsi="Times New Roman" w:cs="Times New Roman"/>
          <w:color w:val="000000"/>
        </w:rPr>
        <w:t xml:space="preserve">The company’s economic model </w:t>
      </w:r>
      <w:r w:rsidR="00FF2B34">
        <w:rPr>
          <w:rFonts w:ascii="Times New Roman" w:hAnsi="Times New Roman" w:cs="Times New Roman"/>
          <w:color w:val="000000"/>
        </w:rPr>
        <w:t>split patients into three post-hoc subgroups</w:t>
      </w:r>
      <w:r w:rsidR="00F542AA">
        <w:rPr>
          <w:rFonts w:ascii="Times New Roman" w:hAnsi="Times New Roman" w:cs="Times New Roman"/>
          <w:color w:val="000000"/>
        </w:rPr>
        <w:t xml:space="preserve"> and</w:t>
      </w:r>
      <w:r w:rsidR="00FF2B34">
        <w:rPr>
          <w:rFonts w:ascii="Times New Roman" w:hAnsi="Times New Roman" w:cs="Times New Roman"/>
          <w:color w:val="000000"/>
        </w:rPr>
        <w:t xml:space="preserve"> </w:t>
      </w:r>
      <w:r w:rsidR="009A055F">
        <w:rPr>
          <w:rFonts w:ascii="Times New Roman" w:hAnsi="Times New Roman" w:cs="Times New Roman"/>
          <w:color w:val="000000"/>
        </w:rPr>
        <w:t>us</w:t>
      </w:r>
      <w:r w:rsidR="00F542AA">
        <w:rPr>
          <w:rFonts w:ascii="Times New Roman" w:hAnsi="Times New Roman" w:cs="Times New Roman"/>
          <w:color w:val="000000"/>
        </w:rPr>
        <w:t>ed</w:t>
      </w:r>
      <w:r w:rsidR="009A055F">
        <w:rPr>
          <w:rFonts w:ascii="Times New Roman" w:hAnsi="Times New Roman" w:cs="Times New Roman"/>
          <w:color w:val="000000"/>
        </w:rPr>
        <w:t xml:space="preserve"> </w:t>
      </w:r>
      <w:r w:rsidR="00502A61" w:rsidRPr="00502A61">
        <w:rPr>
          <w:rFonts w:ascii="Times New Roman" w:hAnsi="Times New Roman" w:cs="Times New Roman"/>
          <w:color w:val="000000"/>
        </w:rPr>
        <w:t>a partitioned survival approach</w:t>
      </w:r>
      <w:r w:rsidR="00FF2B34">
        <w:rPr>
          <w:rFonts w:ascii="Times New Roman" w:hAnsi="Times New Roman" w:cs="Times New Roman"/>
          <w:color w:val="000000"/>
        </w:rPr>
        <w:t xml:space="preserve"> within each group</w:t>
      </w:r>
      <w:r w:rsidR="00502A61" w:rsidRPr="00502A61">
        <w:rPr>
          <w:rFonts w:ascii="Times New Roman" w:hAnsi="Times New Roman" w:cs="Times New Roman"/>
          <w:color w:val="000000"/>
        </w:rPr>
        <w:t xml:space="preserve"> with a</w:t>
      </w:r>
      <w:r w:rsidR="00502A61">
        <w:rPr>
          <w:rFonts w:ascii="Times New Roman" w:hAnsi="Times New Roman" w:cs="Times New Roman"/>
          <w:color w:val="000000"/>
        </w:rPr>
        <w:t xml:space="preserve"> cure</w:t>
      </w:r>
      <w:r w:rsidR="00502A61" w:rsidRPr="00502A61">
        <w:rPr>
          <w:rFonts w:ascii="Times New Roman" w:hAnsi="Times New Roman" w:cs="Times New Roman"/>
          <w:color w:val="000000"/>
        </w:rPr>
        <w:t xml:space="preserve"> assumption </w:t>
      </w:r>
      <w:r w:rsidR="0004519E">
        <w:rPr>
          <w:rFonts w:ascii="Times New Roman" w:hAnsi="Times New Roman" w:cs="Times New Roman"/>
          <w:color w:val="000000"/>
        </w:rPr>
        <w:t xml:space="preserve">three years after receipt of </w:t>
      </w:r>
      <w:r w:rsidR="00502A61" w:rsidRPr="00502A61">
        <w:rPr>
          <w:rFonts w:ascii="Times New Roman" w:hAnsi="Times New Roman" w:cs="Times New Roman"/>
          <w:color w:val="000000"/>
        </w:rPr>
        <w:t>HSCT.</w:t>
      </w:r>
      <w:r w:rsidR="00502A61">
        <w:rPr>
          <w:rFonts w:ascii="Times New Roman" w:hAnsi="Times New Roman" w:cs="Times New Roman"/>
          <w:color w:val="000000"/>
        </w:rPr>
        <w:t xml:space="preserve"> </w:t>
      </w:r>
      <w:r w:rsidR="009C083A">
        <w:rPr>
          <w:rFonts w:ascii="Times New Roman" w:hAnsi="Times New Roman" w:cs="Times New Roman"/>
          <w:color w:val="000000"/>
        </w:rPr>
        <w:t>In contra</w:t>
      </w:r>
      <w:r w:rsidR="0054331C">
        <w:rPr>
          <w:rFonts w:ascii="Times New Roman" w:hAnsi="Times New Roman" w:cs="Times New Roman"/>
          <w:color w:val="000000"/>
        </w:rPr>
        <w:t>st</w:t>
      </w:r>
      <w:r w:rsidR="009C083A">
        <w:rPr>
          <w:rFonts w:ascii="Times New Roman" w:hAnsi="Times New Roman" w:cs="Times New Roman"/>
          <w:color w:val="000000"/>
        </w:rPr>
        <w:t xml:space="preserve"> to the trial results, the economic model </w:t>
      </w:r>
      <w:r w:rsidR="00C35F51">
        <w:rPr>
          <w:rFonts w:ascii="Times New Roman" w:hAnsi="Times New Roman" w:cs="Times New Roman"/>
          <w:color w:val="000000"/>
        </w:rPr>
        <w:t>estimated</w:t>
      </w:r>
      <w:r w:rsidR="009C083A">
        <w:rPr>
          <w:rFonts w:ascii="Times New Roman" w:hAnsi="Times New Roman" w:cs="Times New Roman"/>
          <w:color w:val="000000"/>
        </w:rPr>
        <w:t xml:space="preserve"> substantial improvement in survival with </w:t>
      </w:r>
      <w:proofErr w:type="spellStart"/>
      <w:r w:rsidR="009C083A">
        <w:rPr>
          <w:rFonts w:ascii="Times New Roman" w:hAnsi="Times New Roman" w:cs="Times New Roman"/>
          <w:color w:val="000000"/>
        </w:rPr>
        <w:t>inotuzumab</w:t>
      </w:r>
      <w:proofErr w:type="spellEnd"/>
      <w:r w:rsidR="009C083A">
        <w:rPr>
          <w:rFonts w:ascii="Times New Roman" w:hAnsi="Times New Roman" w:cs="Times New Roman"/>
          <w:color w:val="000000"/>
        </w:rPr>
        <w:t xml:space="preserve"> compared to </w:t>
      </w:r>
      <w:proofErr w:type="spellStart"/>
      <w:r w:rsidR="009C083A">
        <w:rPr>
          <w:rFonts w:ascii="Times New Roman" w:hAnsi="Times New Roman" w:cs="Times New Roman"/>
          <w:color w:val="000000"/>
        </w:rPr>
        <w:t>SoC</w:t>
      </w:r>
      <w:proofErr w:type="spellEnd"/>
      <w:r w:rsidR="00C35F51">
        <w:rPr>
          <w:rFonts w:ascii="Times New Roman" w:hAnsi="Times New Roman" w:cs="Times New Roman"/>
          <w:color w:val="000000"/>
        </w:rPr>
        <w:t xml:space="preserve">, providing an additional 5.2 life years and </w:t>
      </w:r>
      <w:r w:rsidR="00F53666">
        <w:rPr>
          <w:rFonts w:ascii="Times New Roman" w:hAnsi="Times New Roman" w:cs="Times New Roman"/>
          <w:color w:val="000000"/>
        </w:rPr>
        <w:t>2.2</w:t>
      </w:r>
      <w:r w:rsidR="009C083A">
        <w:rPr>
          <w:rFonts w:ascii="Times New Roman" w:hAnsi="Times New Roman" w:cs="Times New Roman"/>
          <w:color w:val="000000"/>
        </w:rPr>
        <w:t xml:space="preserve"> quality</w:t>
      </w:r>
      <w:r w:rsidR="00F53666">
        <w:rPr>
          <w:rFonts w:ascii="Times New Roman" w:hAnsi="Times New Roman" w:cs="Times New Roman"/>
          <w:color w:val="000000"/>
        </w:rPr>
        <w:t>-</w:t>
      </w:r>
      <w:r w:rsidR="009C083A">
        <w:rPr>
          <w:rFonts w:ascii="Times New Roman" w:hAnsi="Times New Roman" w:cs="Times New Roman"/>
          <w:color w:val="000000"/>
        </w:rPr>
        <w:t>adjusted life years</w:t>
      </w:r>
      <w:r w:rsidR="00C35F51">
        <w:rPr>
          <w:rFonts w:ascii="Times New Roman" w:hAnsi="Times New Roman" w:cs="Times New Roman"/>
          <w:color w:val="000000"/>
        </w:rPr>
        <w:t xml:space="preserve"> (QALYs) using a discount rate of </w:t>
      </w:r>
      <w:r w:rsidR="00F53666">
        <w:rPr>
          <w:rFonts w:ascii="Times New Roman" w:hAnsi="Times New Roman" w:cs="Times New Roman"/>
          <w:color w:val="000000"/>
        </w:rPr>
        <w:t>1</w:t>
      </w:r>
      <w:r w:rsidR="00C35F51">
        <w:rPr>
          <w:rFonts w:ascii="Times New Roman" w:hAnsi="Times New Roman" w:cs="Times New Roman"/>
          <w:color w:val="000000"/>
        </w:rPr>
        <w:t>.5% per annum.</w:t>
      </w:r>
      <w:r w:rsidR="009C083A">
        <w:rPr>
          <w:rFonts w:ascii="Times New Roman" w:hAnsi="Times New Roman" w:cs="Times New Roman"/>
          <w:color w:val="000000"/>
        </w:rPr>
        <w:t xml:space="preserve"> </w:t>
      </w:r>
      <w:r w:rsidR="00C35F51">
        <w:rPr>
          <w:rFonts w:ascii="Times New Roman" w:hAnsi="Times New Roman" w:cs="Times New Roman"/>
          <w:color w:val="000000"/>
        </w:rPr>
        <w:t xml:space="preserve"> </w:t>
      </w:r>
      <w:r w:rsidR="00502A61">
        <w:rPr>
          <w:rFonts w:ascii="Times New Roman" w:hAnsi="Times New Roman" w:cs="Times New Roman"/>
          <w:color w:val="000000"/>
        </w:rPr>
        <w:t xml:space="preserve">The ERG’s </w:t>
      </w:r>
      <w:r w:rsidR="009A055F">
        <w:rPr>
          <w:rFonts w:ascii="Times New Roman" w:hAnsi="Times New Roman" w:cs="Times New Roman"/>
          <w:color w:val="000000"/>
        </w:rPr>
        <w:t xml:space="preserve">critique </w:t>
      </w:r>
      <w:r w:rsidR="00502A61">
        <w:rPr>
          <w:rFonts w:ascii="Times New Roman" w:hAnsi="Times New Roman" w:cs="Times New Roman"/>
          <w:color w:val="000000"/>
        </w:rPr>
        <w:t>highlighted a number of concerns, including:</w:t>
      </w:r>
      <w:r w:rsidR="0022243E">
        <w:rPr>
          <w:rFonts w:ascii="Times New Roman" w:hAnsi="Times New Roman" w:cs="Times New Roman"/>
          <w:color w:val="000000"/>
        </w:rPr>
        <w:t xml:space="preserve"> </w:t>
      </w:r>
      <w:r w:rsidR="00FF2B34">
        <w:rPr>
          <w:rFonts w:ascii="Times New Roman" w:hAnsi="Times New Roman" w:cs="Times New Roman"/>
          <w:color w:val="000000"/>
        </w:rPr>
        <w:t xml:space="preserve">the use of a post-hoc post-randomisation </w:t>
      </w:r>
      <w:r w:rsidR="00F542AA">
        <w:rPr>
          <w:rFonts w:ascii="Times New Roman" w:hAnsi="Times New Roman" w:cs="Times New Roman"/>
          <w:color w:val="000000"/>
        </w:rPr>
        <w:t xml:space="preserve">patient </w:t>
      </w:r>
      <w:r w:rsidR="00FF2B34">
        <w:rPr>
          <w:rFonts w:ascii="Times New Roman" w:hAnsi="Times New Roman" w:cs="Times New Roman"/>
          <w:color w:val="000000"/>
        </w:rPr>
        <w:t xml:space="preserve">subset for extrapolation; </w:t>
      </w:r>
      <w:r w:rsidR="0022243E">
        <w:rPr>
          <w:rFonts w:ascii="Times New Roman" w:hAnsi="Times New Roman" w:cs="Times New Roman"/>
          <w:color w:val="000000"/>
        </w:rPr>
        <w:t xml:space="preserve">the choice of </w:t>
      </w:r>
      <w:r w:rsidR="00FF2B34">
        <w:rPr>
          <w:rFonts w:ascii="Times New Roman" w:hAnsi="Times New Roman" w:cs="Times New Roman"/>
          <w:color w:val="000000"/>
        </w:rPr>
        <w:t xml:space="preserve">a 1.5% </w:t>
      </w:r>
      <w:r w:rsidR="0022243E">
        <w:rPr>
          <w:rFonts w:ascii="Times New Roman" w:hAnsi="Times New Roman" w:cs="Times New Roman"/>
          <w:color w:val="000000"/>
        </w:rPr>
        <w:t>discount rate</w:t>
      </w:r>
      <w:r w:rsidR="008C4FE0">
        <w:rPr>
          <w:rFonts w:ascii="Times New Roman" w:hAnsi="Times New Roman" w:cs="Times New Roman"/>
          <w:color w:val="000000"/>
        </w:rPr>
        <w:t>;</w:t>
      </w:r>
      <w:r w:rsidR="0022243E">
        <w:rPr>
          <w:rFonts w:ascii="Times New Roman" w:hAnsi="Times New Roman" w:cs="Times New Roman"/>
          <w:color w:val="000000"/>
        </w:rPr>
        <w:t xml:space="preserve"> the complexity of the parametric modelling</w:t>
      </w:r>
      <w:r w:rsidR="008C4FE0">
        <w:rPr>
          <w:rFonts w:ascii="Times New Roman" w:hAnsi="Times New Roman" w:cs="Times New Roman"/>
          <w:color w:val="000000"/>
        </w:rPr>
        <w:t>;</w:t>
      </w:r>
      <w:r w:rsidR="0022243E">
        <w:rPr>
          <w:rFonts w:ascii="Times New Roman" w:hAnsi="Times New Roman" w:cs="Times New Roman"/>
          <w:color w:val="000000"/>
        </w:rPr>
        <w:t xml:space="preserve"> </w:t>
      </w:r>
      <w:r w:rsidR="00D24C22">
        <w:rPr>
          <w:rFonts w:ascii="Times New Roman" w:hAnsi="Times New Roman" w:cs="Times New Roman"/>
          <w:color w:val="000000"/>
        </w:rPr>
        <w:t>the assumption of further</w:t>
      </w:r>
      <w:r w:rsidR="0022243E">
        <w:rPr>
          <w:rFonts w:ascii="Times New Roman" w:hAnsi="Times New Roman" w:cs="Times New Roman"/>
          <w:color w:val="000000"/>
        </w:rPr>
        <w:t xml:space="preserve"> treatment</w:t>
      </w:r>
      <w:r w:rsidR="00502A61">
        <w:rPr>
          <w:rFonts w:ascii="Times New Roman" w:hAnsi="Times New Roman" w:cs="Times New Roman"/>
          <w:color w:val="000000"/>
        </w:rPr>
        <w:t xml:space="preserve"> </w:t>
      </w:r>
      <w:r w:rsidR="0022243E">
        <w:rPr>
          <w:rFonts w:ascii="Times New Roman" w:hAnsi="Times New Roman" w:cs="Times New Roman"/>
          <w:color w:val="000000"/>
        </w:rPr>
        <w:t>benefit post-HSCT</w:t>
      </w:r>
      <w:r w:rsidR="008C4FE0">
        <w:rPr>
          <w:rFonts w:ascii="Times New Roman" w:hAnsi="Times New Roman" w:cs="Times New Roman"/>
          <w:color w:val="000000"/>
        </w:rPr>
        <w:t>;</w:t>
      </w:r>
      <w:r w:rsidR="0022243E">
        <w:rPr>
          <w:rFonts w:ascii="Times New Roman" w:hAnsi="Times New Roman" w:cs="Times New Roman"/>
          <w:color w:val="000000"/>
        </w:rPr>
        <w:t xml:space="preserve"> </w:t>
      </w:r>
      <w:r w:rsidR="009E6293">
        <w:rPr>
          <w:rFonts w:ascii="Times New Roman" w:hAnsi="Times New Roman" w:cs="Times New Roman"/>
          <w:color w:val="000000"/>
        </w:rPr>
        <w:t xml:space="preserve">the </w:t>
      </w:r>
      <w:r w:rsidR="00FF2B34">
        <w:rPr>
          <w:rFonts w:ascii="Times New Roman" w:hAnsi="Times New Roman" w:cs="Times New Roman"/>
          <w:color w:val="000000"/>
        </w:rPr>
        <w:t xml:space="preserve">nature of the </w:t>
      </w:r>
      <w:r w:rsidR="009E6293">
        <w:rPr>
          <w:rFonts w:ascii="Times New Roman" w:hAnsi="Times New Roman" w:cs="Times New Roman"/>
          <w:color w:val="000000"/>
        </w:rPr>
        <w:t>cure</w:t>
      </w:r>
      <w:r w:rsidR="00FF2B34">
        <w:rPr>
          <w:rFonts w:ascii="Times New Roman" w:hAnsi="Times New Roman" w:cs="Times New Roman"/>
          <w:color w:val="000000"/>
        </w:rPr>
        <w:t xml:space="preserve"> assumption</w:t>
      </w:r>
      <w:r w:rsidR="008C4FE0">
        <w:rPr>
          <w:rFonts w:ascii="Times New Roman" w:hAnsi="Times New Roman" w:cs="Times New Roman"/>
          <w:color w:val="000000"/>
        </w:rPr>
        <w:t>;</w:t>
      </w:r>
      <w:r w:rsidR="0022243E">
        <w:rPr>
          <w:rFonts w:ascii="Times New Roman" w:hAnsi="Times New Roman" w:cs="Times New Roman"/>
          <w:color w:val="000000"/>
        </w:rPr>
        <w:t xml:space="preserve"> </w:t>
      </w:r>
      <w:r w:rsidR="009E6293">
        <w:rPr>
          <w:rFonts w:ascii="Times New Roman" w:hAnsi="Times New Roman" w:cs="Times New Roman"/>
          <w:color w:val="000000"/>
        </w:rPr>
        <w:t xml:space="preserve">and the </w:t>
      </w:r>
      <w:r w:rsidR="00FF2B34">
        <w:rPr>
          <w:rFonts w:ascii="Times New Roman" w:hAnsi="Times New Roman" w:cs="Times New Roman"/>
          <w:color w:val="000000"/>
        </w:rPr>
        <w:t>length of inpatient stay</w:t>
      </w:r>
      <w:r w:rsidR="00D24C22">
        <w:rPr>
          <w:rFonts w:ascii="Times New Roman" w:hAnsi="Times New Roman" w:cs="Times New Roman"/>
          <w:color w:val="000000"/>
        </w:rPr>
        <w:t xml:space="preserve"> during receipt of treatment</w:t>
      </w:r>
      <w:r w:rsidR="009E6293">
        <w:rPr>
          <w:rFonts w:ascii="Times New Roman" w:hAnsi="Times New Roman" w:cs="Times New Roman"/>
          <w:color w:val="000000"/>
        </w:rPr>
        <w:t xml:space="preserve">. </w:t>
      </w:r>
      <w:r w:rsidR="003C26D2" w:rsidRPr="003C26D2">
        <w:rPr>
          <w:rFonts w:ascii="Times New Roman" w:hAnsi="Times New Roman" w:cs="Times New Roman"/>
          <w:color w:val="000000"/>
        </w:rPr>
        <w:t>The</w:t>
      </w:r>
      <w:r w:rsidR="00394291">
        <w:rPr>
          <w:rFonts w:ascii="Times New Roman" w:hAnsi="Times New Roman" w:cs="Times New Roman"/>
          <w:color w:val="000000"/>
        </w:rPr>
        <w:t xml:space="preserve"> combination of the </w:t>
      </w:r>
      <w:r w:rsidR="003C26D2">
        <w:rPr>
          <w:rFonts w:ascii="Times New Roman" w:hAnsi="Times New Roman" w:cs="Times New Roman"/>
          <w:color w:val="000000"/>
        </w:rPr>
        <w:t>ERG</w:t>
      </w:r>
      <w:r w:rsidR="00394291">
        <w:rPr>
          <w:rFonts w:ascii="Times New Roman" w:hAnsi="Times New Roman" w:cs="Times New Roman"/>
          <w:color w:val="000000"/>
        </w:rPr>
        <w:t xml:space="preserve">’s </w:t>
      </w:r>
      <w:r w:rsidR="00D24C22">
        <w:rPr>
          <w:rFonts w:ascii="Times New Roman" w:hAnsi="Times New Roman" w:cs="Times New Roman"/>
          <w:color w:val="000000"/>
        </w:rPr>
        <w:t>adjustments</w:t>
      </w:r>
      <w:r w:rsidR="003C26D2">
        <w:rPr>
          <w:rFonts w:ascii="Times New Roman" w:hAnsi="Times New Roman" w:cs="Times New Roman"/>
          <w:color w:val="000000"/>
        </w:rPr>
        <w:t xml:space="preserve"> </w:t>
      </w:r>
      <w:r w:rsidR="003C26D2" w:rsidRPr="003C26D2">
        <w:rPr>
          <w:rFonts w:ascii="Times New Roman" w:hAnsi="Times New Roman" w:cs="Times New Roman"/>
          <w:color w:val="000000"/>
        </w:rPr>
        <w:t>result</w:t>
      </w:r>
      <w:r w:rsidR="003C26D2">
        <w:rPr>
          <w:rFonts w:ascii="Times New Roman" w:hAnsi="Times New Roman" w:cs="Times New Roman"/>
          <w:color w:val="000000"/>
        </w:rPr>
        <w:t xml:space="preserve">ed </w:t>
      </w:r>
      <w:r w:rsidR="003C26D2" w:rsidRPr="003C26D2">
        <w:rPr>
          <w:rFonts w:ascii="Times New Roman" w:hAnsi="Times New Roman" w:cs="Times New Roman"/>
          <w:color w:val="000000"/>
        </w:rPr>
        <w:t>in a</w:t>
      </w:r>
      <w:r w:rsidR="00D24C22">
        <w:rPr>
          <w:rFonts w:ascii="Times New Roman" w:hAnsi="Times New Roman" w:cs="Times New Roman"/>
          <w:color w:val="000000"/>
        </w:rPr>
        <w:t>n</w:t>
      </w:r>
      <w:r w:rsidR="003C26D2" w:rsidRPr="003C26D2">
        <w:rPr>
          <w:rFonts w:ascii="Times New Roman" w:hAnsi="Times New Roman" w:cs="Times New Roman"/>
          <w:color w:val="000000"/>
        </w:rPr>
        <w:t xml:space="preserve"> </w:t>
      </w:r>
      <w:r w:rsidR="008C4FE0">
        <w:rPr>
          <w:rFonts w:ascii="Times New Roman" w:hAnsi="Times New Roman" w:cs="Times New Roman"/>
          <w:color w:val="000000"/>
        </w:rPr>
        <w:t>incremental cost-effectiveness ratio (</w:t>
      </w:r>
      <w:r w:rsidR="003C26D2" w:rsidRPr="003C26D2">
        <w:rPr>
          <w:rFonts w:ascii="Times New Roman" w:hAnsi="Times New Roman" w:cs="Times New Roman"/>
          <w:color w:val="000000"/>
        </w:rPr>
        <w:t>ICER</w:t>
      </w:r>
      <w:r w:rsidR="008C4FE0">
        <w:rPr>
          <w:rFonts w:ascii="Times New Roman" w:hAnsi="Times New Roman" w:cs="Times New Roman"/>
          <w:color w:val="000000"/>
        </w:rPr>
        <w:t>)</w:t>
      </w:r>
      <w:r w:rsidR="003C26D2" w:rsidRPr="003C26D2">
        <w:rPr>
          <w:rFonts w:ascii="Times New Roman" w:hAnsi="Times New Roman" w:cs="Times New Roman"/>
          <w:color w:val="000000"/>
        </w:rPr>
        <w:t xml:space="preserve"> of £122,174</w:t>
      </w:r>
      <w:r w:rsidR="008C4FE0">
        <w:rPr>
          <w:rFonts w:ascii="Times New Roman" w:hAnsi="Times New Roman" w:cs="Times New Roman"/>
          <w:color w:val="000000"/>
        </w:rPr>
        <w:t xml:space="preserve"> per Q</w:t>
      </w:r>
      <w:r w:rsidR="00E762FD">
        <w:rPr>
          <w:rFonts w:ascii="Times New Roman" w:hAnsi="Times New Roman" w:cs="Times New Roman"/>
          <w:color w:val="000000"/>
        </w:rPr>
        <w:t>ALY</w:t>
      </w:r>
      <w:r w:rsidR="00F53666">
        <w:rPr>
          <w:rFonts w:ascii="Times New Roman" w:hAnsi="Times New Roman" w:cs="Times New Roman"/>
          <w:color w:val="000000"/>
        </w:rPr>
        <w:t xml:space="preserve"> gained</w:t>
      </w:r>
      <w:r w:rsidR="003C26D2" w:rsidRPr="003C26D2">
        <w:rPr>
          <w:rFonts w:ascii="Times New Roman" w:hAnsi="Times New Roman" w:cs="Times New Roman"/>
          <w:color w:val="000000"/>
        </w:rPr>
        <w:t xml:space="preserve"> </w:t>
      </w:r>
      <w:r w:rsidR="001B550D">
        <w:rPr>
          <w:rFonts w:ascii="Times New Roman" w:hAnsi="Times New Roman" w:cs="Times New Roman"/>
          <w:color w:val="000000"/>
        </w:rPr>
        <w:t xml:space="preserve">using Kaplan-Meier </w:t>
      </w:r>
      <w:r w:rsidR="007C48A4">
        <w:rPr>
          <w:rFonts w:ascii="Times New Roman" w:hAnsi="Times New Roman" w:cs="Times New Roman"/>
          <w:color w:val="000000"/>
        </w:rPr>
        <w:t>sur</w:t>
      </w:r>
      <w:r w:rsidR="001B550D">
        <w:rPr>
          <w:rFonts w:ascii="Times New Roman" w:hAnsi="Times New Roman" w:cs="Times New Roman"/>
          <w:color w:val="000000"/>
        </w:rPr>
        <w:t>vival estimates</w:t>
      </w:r>
      <w:r w:rsidR="00D24C22">
        <w:rPr>
          <w:rFonts w:ascii="Times New Roman" w:hAnsi="Times New Roman" w:cs="Times New Roman"/>
          <w:color w:val="000000"/>
        </w:rPr>
        <w:t xml:space="preserve">, </w:t>
      </w:r>
      <w:r w:rsidR="003C26D2" w:rsidRPr="003C26D2">
        <w:rPr>
          <w:rFonts w:ascii="Times New Roman" w:hAnsi="Times New Roman" w:cs="Times New Roman"/>
          <w:color w:val="000000"/>
        </w:rPr>
        <w:t>and £114,078</w:t>
      </w:r>
      <w:r w:rsidR="0054331C">
        <w:rPr>
          <w:rFonts w:ascii="Times New Roman" w:hAnsi="Times New Roman" w:cs="Times New Roman"/>
          <w:color w:val="000000"/>
        </w:rPr>
        <w:t xml:space="preserve"> per</w:t>
      </w:r>
      <w:r w:rsidR="00C17AD9">
        <w:rPr>
          <w:rFonts w:ascii="Times New Roman" w:hAnsi="Times New Roman" w:cs="Times New Roman"/>
          <w:color w:val="000000"/>
        </w:rPr>
        <w:t xml:space="preserve"> </w:t>
      </w:r>
      <w:r w:rsidR="00E762FD">
        <w:rPr>
          <w:rFonts w:ascii="Times New Roman" w:hAnsi="Times New Roman" w:cs="Times New Roman"/>
          <w:color w:val="000000"/>
        </w:rPr>
        <w:t>QALY</w:t>
      </w:r>
      <w:r w:rsidR="00F53666">
        <w:rPr>
          <w:rFonts w:ascii="Times New Roman" w:hAnsi="Times New Roman" w:cs="Times New Roman"/>
          <w:color w:val="000000"/>
        </w:rPr>
        <w:t xml:space="preserve"> gained</w:t>
      </w:r>
      <w:r w:rsidR="00D24C22">
        <w:rPr>
          <w:rFonts w:ascii="Times New Roman" w:hAnsi="Times New Roman" w:cs="Times New Roman"/>
          <w:color w:val="000000"/>
        </w:rPr>
        <w:t xml:space="preserve"> with parametric survival models</w:t>
      </w:r>
      <w:r w:rsidR="007C48A4">
        <w:rPr>
          <w:rFonts w:ascii="Times New Roman" w:hAnsi="Times New Roman" w:cs="Times New Roman"/>
          <w:color w:val="000000"/>
        </w:rPr>
        <w:t xml:space="preserve"> fit to the trial data</w:t>
      </w:r>
      <w:r w:rsidR="00394291">
        <w:rPr>
          <w:rFonts w:ascii="Times New Roman" w:hAnsi="Times New Roman" w:cs="Times New Roman"/>
          <w:color w:val="000000"/>
        </w:rPr>
        <w:t>.</w:t>
      </w:r>
      <w:r w:rsidR="003C26D2" w:rsidRPr="003C26D2">
        <w:rPr>
          <w:rFonts w:ascii="Times New Roman" w:hAnsi="Times New Roman" w:cs="Times New Roman"/>
          <w:color w:val="000000"/>
        </w:rPr>
        <w:t xml:space="preserve"> </w:t>
      </w:r>
      <w:r w:rsidR="002037AD">
        <w:rPr>
          <w:rFonts w:ascii="Times New Roman" w:hAnsi="Times New Roman" w:cs="Times New Roman"/>
          <w:color w:val="000000"/>
        </w:rPr>
        <w:t>The final determination of the appraisal followed</w:t>
      </w:r>
      <w:r w:rsidR="009746D1">
        <w:rPr>
          <w:rFonts w:ascii="Times New Roman" w:hAnsi="Times New Roman" w:cs="Times New Roman"/>
          <w:color w:val="000000"/>
        </w:rPr>
        <w:t xml:space="preserve"> </w:t>
      </w:r>
      <w:r w:rsidR="00760B85">
        <w:rPr>
          <w:rFonts w:ascii="Times New Roman" w:hAnsi="Times New Roman" w:cs="Times New Roman"/>
          <w:color w:val="000000"/>
        </w:rPr>
        <w:t>four</w:t>
      </w:r>
      <w:r w:rsidR="002037AD">
        <w:rPr>
          <w:rFonts w:ascii="Times New Roman" w:hAnsi="Times New Roman" w:cs="Times New Roman"/>
          <w:color w:val="000000"/>
        </w:rPr>
        <w:t xml:space="preserve"> NICE </w:t>
      </w:r>
      <w:r w:rsidR="001E3419">
        <w:rPr>
          <w:rFonts w:ascii="Times New Roman" w:hAnsi="Times New Roman" w:cs="Times New Roman"/>
          <w:color w:val="000000"/>
        </w:rPr>
        <w:t>Appraisal</w:t>
      </w:r>
      <w:r w:rsidR="002037AD">
        <w:rPr>
          <w:rFonts w:ascii="Times New Roman" w:hAnsi="Times New Roman" w:cs="Times New Roman"/>
          <w:color w:val="000000"/>
        </w:rPr>
        <w:t xml:space="preserve"> </w:t>
      </w:r>
      <w:r w:rsidR="001E3419">
        <w:rPr>
          <w:rFonts w:ascii="Times New Roman" w:hAnsi="Times New Roman" w:cs="Times New Roman"/>
          <w:color w:val="000000"/>
        </w:rPr>
        <w:t>C</w:t>
      </w:r>
      <w:r w:rsidR="002037AD">
        <w:rPr>
          <w:rFonts w:ascii="Times New Roman" w:hAnsi="Times New Roman" w:cs="Times New Roman"/>
          <w:color w:val="000000"/>
        </w:rPr>
        <w:t>ommittee</w:t>
      </w:r>
      <w:r w:rsidR="002037AD" w:rsidRPr="003C26D2">
        <w:rPr>
          <w:rFonts w:ascii="Times New Roman" w:hAnsi="Times New Roman" w:cs="Times New Roman"/>
          <w:color w:val="000000"/>
        </w:rPr>
        <w:t xml:space="preserve"> meeting</w:t>
      </w:r>
      <w:r w:rsidR="002037AD">
        <w:rPr>
          <w:rFonts w:ascii="Times New Roman" w:hAnsi="Times New Roman" w:cs="Times New Roman"/>
          <w:color w:val="000000"/>
        </w:rPr>
        <w:t>s</w:t>
      </w:r>
      <w:r w:rsidR="009A055F">
        <w:rPr>
          <w:rFonts w:ascii="Times New Roman" w:hAnsi="Times New Roman" w:cs="Times New Roman"/>
          <w:color w:val="000000"/>
        </w:rPr>
        <w:t>,</w:t>
      </w:r>
      <w:r w:rsidR="009746D1">
        <w:rPr>
          <w:rFonts w:ascii="Times New Roman" w:hAnsi="Times New Roman" w:cs="Times New Roman"/>
          <w:color w:val="000000"/>
        </w:rPr>
        <w:t xml:space="preserve"> an appeal</w:t>
      </w:r>
      <w:r w:rsidR="00B23CCD">
        <w:rPr>
          <w:rFonts w:ascii="Times New Roman" w:hAnsi="Times New Roman" w:cs="Times New Roman"/>
          <w:color w:val="000000"/>
        </w:rPr>
        <w:t xml:space="preserve"> by the company and other stakeholders,</w:t>
      </w:r>
      <w:r w:rsidR="009746D1">
        <w:rPr>
          <w:rFonts w:ascii="Times New Roman" w:hAnsi="Times New Roman" w:cs="Times New Roman"/>
          <w:color w:val="000000"/>
        </w:rPr>
        <w:t xml:space="preserve"> </w:t>
      </w:r>
      <w:r w:rsidR="001F262F">
        <w:rPr>
          <w:rFonts w:ascii="Times New Roman" w:hAnsi="Times New Roman" w:cs="Times New Roman"/>
          <w:color w:val="000000"/>
        </w:rPr>
        <w:t xml:space="preserve">two patient access schemes </w:t>
      </w:r>
      <w:r w:rsidR="009746D1">
        <w:rPr>
          <w:rFonts w:ascii="Times New Roman" w:hAnsi="Times New Roman" w:cs="Times New Roman"/>
          <w:color w:val="000000"/>
        </w:rPr>
        <w:t>and a</w:t>
      </w:r>
      <w:r w:rsidR="00B23CCD">
        <w:rPr>
          <w:rFonts w:ascii="Times New Roman" w:hAnsi="Times New Roman" w:cs="Times New Roman"/>
          <w:color w:val="000000"/>
        </w:rPr>
        <w:t xml:space="preserve"> </w:t>
      </w:r>
      <w:r w:rsidR="00F542AA">
        <w:rPr>
          <w:rFonts w:ascii="Times New Roman" w:hAnsi="Times New Roman" w:cs="Times New Roman"/>
          <w:color w:val="000000"/>
        </w:rPr>
        <w:t xml:space="preserve">company </w:t>
      </w:r>
      <w:r w:rsidR="009746D1">
        <w:rPr>
          <w:rFonts w:ascii="Times New Roman" w:hAnsi="Times New Roman" w:cs="Times New Roman"/>
          <w:color w:val="000000"/>
        </w:rPr>
        <w:t>response to each</w:t>
      </w:r>
      <w:r w:rsidR="00B23CCD">
        <w:rPr>
          <w:rFonts w:ascii="Times New Roman" w:hAnsi="Times New Roman" w:cs="Times New Roman"/>
          <w:color w:val="000000"/>
        </w:rPr>
        <w:t xml:space="preserve"> appraisal consultation. </w:t>
      </w:r>
      <w:r w:rsidR="00AD3C21">
        <w:rPr>
          <w:rFonts w:ascii="Times New Roman" w:hAnsi="Times New Roman" w:cs="Times New Roman"/>
          <w:color w:val="000000"/>
        </w:rPr>
        <w:t>The</w:t>
      </w:r>
      <w:r w:rsidR="00C07A32">
        <w:rPr>
          <w:rFonts w:ascii="Times New Roman" w:hAnsi="Times New Roman" w:cs="Times New Roman"/>
          <w:color w:val="000000"/>
        </w:rPr>
        <w:t xml:space="preserve"> final</w:t>
      </w:r>
      <w:r w:rsidR="00BC0222">
        <w:rPr>
          <w:rFonts w:ascii="Times New Roman" w:hAnsi="Times New Roman" w:cs="Times New Roman"/>
          <w:color w:val="000000"/>
        </w:rPr>
        <w:t xml:space="preserve"> ICER post-</w:t>
      </w:r>
      <w:r w:rsidR="00AD3C21">
        <w:rPr>
          <w:rFonts w:ascii="Times New Roman" w:hAnsi="Times New Roman" w:cs="Times New Roman"/>
          <w:color w:val="000000"/>
        </w:rPr>
        <w:t>consul</w:t>
      </w:r>
      <w:r w:rsidR="005F393D">
        <w:rPr>
          <w:rFonts w:ascii="Times New Roman" w:hAnsi="Times New Roman" w:cs="Times New Roman"/>
          <w:color w:val="000000"/>
        </w:rPr>
        <w:t>t</w:t>
      </w:r>
      <w:r w:rsidR="00AD3C21">
        <w:rPr>
          <w:rFonts w:ascii="Times New Roman" w:hAnsi="Times New Roman" w:cs="Times New Roman"/>
          <w:color w:val="000000"/>
        </w:rPr>
        <w:t xml:space="preserve">ation </w:t>
      </w:r>
      <w:r w:rsidR="00FA0E3D">
        <w:rPr>
          <w:rFonts w:ascii="Times New Roman" w:hAnsi="Times New Roman" w:cs="Times New Roman"/>
          <w:color w:val="000000"/>
        </w:rPr>
        <w:t xml:space="preserve">was </w:t>
      </w:r>
      <w:r w:rsidR="00FA0E3D" w:rsidRPr="00FA0E3D">
        <w:rPr>
          <w:rFonts w:ascii="Times New Roman" w:hAnsi="Times New Roman" w:cs="Times New Roman"/>
          <w:color w:val="000000"/>
        </w:rPr>
        <w:t>between £33,749 and £37,497 per QALY</w:t>
      </w:r>
      <w:r w:rsidR="00F53666">
        <w:rPr>
          <w:rFonts w:ascii="Times New Roman" w:hAnsi="Times New Roman" w:cs="Times New Roman"/>
          <w:color w:val="000000"/>
        </w:rPr>
        <w:t xml:space="preserve"> gained</w:t>
      </w:r>
      <w:r w:rsidR="00FA0E3D" w:rsidRPr="00FA0E3D">
        <w:rPr>
          <w:rFonts w:ascii="Times New Roman" w:hAnsi="Times New Roman" w:cs="Times New Roman"/>
          <w:color w:val="000000"/>
        </w:rPr>
        <w:t xml:space="preserve"> compared to </w:t>
      </w:r>
      <w:proofErr w:type="spellStart"/>
      <w:r w:rsidR="0097084F">
        <w:rPr>
          <w:rFonts w:ascii="Times New Roman" w:hAnsi="Times New Roman" w:cs="Times New Roman"/>
          <w:color w:val="000000"/>
        </w:rPr>
        <w:t>SoC</w:t>
      </w:r>
      <w:proofErr w:type="spellEnd"/>
      <w:r w:rsidR="000C3203">
        <w:rPr>
          <w:rFonts w:ascii="Times New Roman" w:hAnsi="Times New Roman" w:cs="Times New Roman"/>
          <w:color w:val="000000"/>
        </w:rPr>
        <w:t xml:space="preserve"> (excluding the confidential discount for </w:t>
      </w:r>
      <w:proofErr w:type="spellStart"/>
      <w:r w:rsidR="001B550D">
        <w:rPr>
          <w:rFonts w:ascii="Times New Roman" w:hAnsi="Times New Roman" w:cs="Times New Roman"/>
          <w:color w:val="000000"/>
        </w:rPr>
        <w:t>blinatumomab</w:t>
      </w:r>
      <w:proofErr w:type="spellEnd"/>
      <w:r w:rsidR="001B550D">
        <w:rPr>
          <w:rFonts w:ascii="Times New Roman" w:hAnsi="Times New Roman" w:cs="Times New Roman"/>
          <w:color w:val="000000"/>
        </w:rPr>
        <w:t xml:space="preserve"> received </w:t>
      </w:r>
      <w:r w:rsidR="000C3203">
        <w:rPr>
          <w:rFonts w:ascii="Times New Roman" w:hAnsi="Times New Roman" w:cs="Times New Roman"/>
          <w:color w:val="000000"/>
        </w:rPr>
        <w:t>a</w:t>
      </w:r>
      <w:r w:rsidR="001B550D">
        <w:rPr>
          <w:rFonts w:ascii="Times New Roman" w:hAnsi="Times New Roman" w:cs="Times New Roman"/>
          <w:color w:val="000000"/>
        </w:rPr>
        <w:t>s</w:t>
      </w:r>
      <w:r w:rsidR="000C3203">
        <w:rPr>
          <w:rFonts w:ascii="Times New Roman" w:hAnsi="Times New Roman" w:cs="Times New Roman"/>
          <w:color w:val="000000"/>
        </w:rPr>
        <w:t xml:space="preserve"> subsequent therapy)</w:t>
      </w:r>
      <w:r w:rsidR="00AD3C21" w:rsidRPr="00FA0E3D">
        <w:rPr>
          <w:rFonts w:ascii="Times New Roman" w:hAnsi="Times New Roman" w:cs="Times New Roman"/>
          <w:color w:val="000000"/>
        </w:rPr>
        <w:t>.</w:t>
      </w:r>
      <w:r w:rsidR="00AD3C21">
        <w:rPr>
          <w:rFonts w:ascii="Times New Roman" w:hAnsi="Times New Roman" w:cs="Times New Roman"/>
          <w:color w:val="000000"/>
        </w:rPr>
        <w:t xml:space="preserve"> </w:t>
      </w:r>
      <w:r w:rsidR="0041065C">
        <w:rPr>
          <w:rFonts w:ascii="Times New Roman" w:hAnsi="Times New Roman" w:cs="Times New Roman"/>
          <w:color w:val="000000"/>
        </w:rPr>
        <w:t xml:space="preserve"> </w:t>
      </w:r>
      <w:r w:rsidR="009D7C8A">
        <w:rPr>
          <w:rFonts w:ascii="Times New Roman" w:hAnsi="Times New Roman" w:cs="Times New Roman"/>
          <w:color w:val="000000"/>
        </w:rPr>
        <w:t>The Appraisal Committee</w:t>
      </w:r>
      <w:r w:rsidR="009E6293">
        <w:rPr>
          <w:rFonts w:ascii="Times New Roman" w:hAnsi="Times New Roman" w:cs="Times New Roman"/>
          <w:color w:val="000000"/>
        </w:rPr>
        <w:t xml:space="preserve"> concluded that the ICER for </w:t>
      </w:r>
      <w:proofErr w:type="spellStart"/>
      <w:r w:rsidR="009E6293">
        <w:rPr>
          <w:rFonts w:ascii="Times New Roman" w:hAnsi="Times New Roman" w:cs="Times New Roman"/>
          <w:color w:val="000000"/>
        </w:rPr>
        <w:t>inotuzumab</w:t>
      </w:r>
      <w:proofErr w:type="spellEnd"/>
      <w:r w:rsidR="009E6293">
        <w:rPr>
          <w:rFonts w:ascii="Times New Roman" w:hAnsi="Times New Roman" w:cs="Times New Roman"/>
          <w:color w:val="000000"/>
        </w:rPr>
        <w:t xml:space="preserve"> was </w:t>
      </w:r>
      <w:r w:rsidR="002037AD">
        <w:rPr>
          <w:rFonts w:ascii="Times New Roman" w:hAnsi="Times New Roman" w:cs="Times New Roman"/>
          <w:color w:val="000000"/>
        </w:rPr>
        <w:t xml:space="preserve">within </w:t>
      </w:r>
      <w:r w:rsidR="009E6293">
        <w:rPr>
          <w:rFonts w:ascii="Times New Roman" w:hAnsi="Times New Roman" w:cs="Times New Roman"/>
          <w:color w:val="000000"/>
        </w:rPr>
        <w:t>the range usually considered cost-effective</w:t>
      </w:r>
      <w:r w:rsidR="00B23CCD">
        <w:rPr>
          <w:rFonts w:ascii="Times New Roman" w:hAnsi="Times New Roman" w:cs="Times New Roman"/>
          <w:color w:val="000000"/>
        </w:rPr>
        <w:t xml:space="preserve"> for end-of-life care</w:t>
      </w:r>
      <w:r w:rsidR="009E6293">
        <w:rPr>
          <w:rFonts w:ascii="Times New Roman" w:hAnsi="Times New Roman" w:cs="Times New Roman"/>
          <w:color w:val="000000"/>
        </w:rPr>
        <w:t>, and recommend</w:t>
      </w:r>
      <w:r w:rsidR="002037AD">
        <w:rPr>
          <w:rFonts w:ascii="Times New Roman" w:hAnsi="Times New Roman" w:cs="Times New Roman"/>
          <w:color w:val="000000"/>
        </w:rPr>
        <w:t>ed</w:t>
      </w:r>
      <w:r w:rsidR="009E6293">
        <w:rPr>
          <w:rFonts w:ascii="Times New Roman" w:hAnsi="Times New Roman" w:cs="Times New Roman"/>
          <w:color w:val="000000"/>
        </w:rPr>
        <w:t xml:space="preserve"> </w:t>
      </w:r>
      <w:proofErr w:type="spellStart"/>
      <w:r w:rsidR="009E6293">
        <w:rPr>
          <w:rFonts w:ascii="Times New Roman" w:hAnsi="Times New Roman" w:cs="Times New Roman"/>
          <w:color w:val="000000"/>
        </w:rPr>
        <w:t>inotuzumab</w:t>
      </w:r>
      <w:proofErr w:type="spellEnd"/>
      <w:r w:rsidR="009E6293">
        <w:rPr>
          <w:rFonts w:ascii="Times New Roman" w:hAnsi="Times New Roman" w:cs="Times New Roman"/>
          <w:color w:val="000000"/>
        </w:rPr>
        <w:t xml:space="preserve"> within its licensed indication. </w:t>
      </w:r>
    </w:p>
    <w:p w14:paraId="624E0A77" w14:textId="77777777" w:rsidR="009D7C8A" w:rsidRDefault="009D7C8A">
      <w:pPr>
        <w:rPr>
          <w:rFonts w:ascii="Times New Roman" w:hAnsi="Times New Roman" w:cs="Times New Roman"/>
          <w:color w:val="000000"/>
        </w:rPr>
      </w:pPr>
      <w:r>
        <w:rPr>
          <w:rFonts w:ascii="Times New Roman" w:hAnsi="Times New Roman" w:cs="Times New Roman"/>
          <w:color w:val="000000"/>
        </w:rPr>
        <w:br w:type="page"/>
      </w:r>
      <w:bookmarkStart w:id="0" w:name="_GoBack"/>
      <w:bookmarkEnd w:id="0"/>
    </w:p>
    <w:p w14:paraId="58696FAF" w14:textId="6221D1EB" w:rsidR="000A7F48" w:rsidRDefault="000A7F48" w:rsidP="000A7F48">
      <w:pPr>
        <w:spacing w:line="360" w:lineRule="auto"/>
        <w:rPr>
          <w:rFonts w:ascii="Times New Roman" w:eastAsiaTheme="majorEastAsia" w:hAnsi="Times New Roman" w:cs="Times New Roman"/>
          <w:b/>
          <w:bCs/>
          <w:sz w:val="28"/>
          <w:szCs w:val="28"/>
        </w:rPr>
      </w:pPr>
      <w:r>
        <w:rPr>
          <w:rFonts w:ascii="Times New Roman" w:eastAsiaTheme="majorEastAsia" w:hAnsi="Times New Roman" w:cs="Times New Roman"/>
          <w:b/>
          <w:bCs/>
          <w:sz w:val="28"/>
          <w:szCs w:val="28"/>
        </w:rPr>
        <w:lastRenderedPageBreak/>
        <w:t>Key points for decision makers</w:t>
      </w:r>
    </w:p>
    <w:p w14:paraId="28C1FE79" w14:textId="567B8210" w:rsidR="00020505" w:rsidRPr="00897915" w:rsidRDefault="002F13DE" w:rsidP="002C68F3">
      <w:pPr>
        <w:pStyle w:val="ListParagraph"/>
        <w:numPr>
          <w:ilvl w:val="0"/>
          <w:numId w:val="15"/>
        </w:numPr>
        <w:spacing w:line="360" w:lineRule="auto"/>
        <w:ind w:left="714" w:hanging="357"/>
        <w:contextualSpacing w:val="0"/>
        <w:rPr>
          <w:rFonts w:ascii="Times New Roman" w:eastAsiaTheme="majorEastAsia" w:hAnsi="Times New Roman" w:cs="Times New Roman"/>
          <w:b/>
          <w:bCs/>
          <w:sz w:val="28"/>
          <w:szCs w:val="28"/>
        </w:rPr>
      </w:pPr>
      <w:proofErr w:type="spellStart"/>
      <w:r w:rsidRPr="00897915">
        <w:rPr>
          <w:rFonts w:ascii="Times New Roman" w:hAnsi="Times New Roman" w:cs="Times New Roman"/>
          <w:color w:val="000000"/>
        </w:rPr>
        <w:t>Inotuzumab</w:t>
      </w:r>
      <w:proofErr w:type="spellEnd"/>
      <w:r w:rsidR="00FE00DF" w:rsidRPr="00897915">
        <w:rPr>
          <w:rFonts w:ascii="Times New Roman" w:hAnsi="Times New Roman" w:cs="Times New Roman"/>
          <w:color w:val="000000"/>
        </w:rPr>
        <w:t xml:space="preserve"> </w:t>
      </w:r>
      <w:r w:rsidR="00A455CF" w:rsidRPr="00897915">
        <w:rPr>
          <w:rFonts w:ascii="Times New Roman" w:hAnsi="Times New Roman" w:cs="Times New Roman"/>
          <w:color w:val="000000"/>
        </w:rPr>
        <w:t>for the treatment of adult relapsed or refractory B-cell acute lymphoblastic leukaemia</w:t>
      </w:r>
      <w:r w:rsidR="0070697D" w:rsidRPr="00897915">
        <w:rPr>
          <w:rFonts w:ascii="Times New Roman" w:hAnsi="Times New Roman" w:cs="Times New Roman"/>
          <w:color w:val="000000"/>
        </w:rPr>
        <w:t xml:space="preserve"> (ALL)</w:t>
      </w:r>
      <w:r w:rsidR="00A455CF" w:rsidRPr="00897915">
        <w:rPr>
          <w:rFonts w:ascii="Times New Roman" w:hAnsi="Times New Roman" w:cs="Times New Roman"/>
          <w:color w:val="000000"/>
        </w:rPr>
        <w:t xml:space="preserve"> </w:t>
      </w:r>
      <w:r w:rsidR="00DD04BF" w:rsidRPr="00897915">
        <w:rPr>
          <w:rFonts w:ascii="Times New Roman" w:hAnsi="Times New Roman" w:cs="Times New Roman"/>
          <w:color w:val="000000"/>
        </w:rPr>
        <w:t xml:space="preserve">is </w:t>
      </w:r>
      <w:r w:rsidR="00FC24F5" w:rsidRPr="00897915">
        <w:rPr>
          <w:rFonts w:ascii="Times New Roman" w:hAnsi="Times New Roman" w:cs="Times New Roman"/>
          <w:color w:val="000000"/>
        </w:rPr>
        <w:t>an effective bridg</w:t>
      </w:r>
      <w:r w:rsidR="000B3A55" w:rsidRPr="00897915">
        <w:rPr>
          <w:rFonts w:ascii="Times New Roman" w:hAnsi="Times New Roman" w:cs="Times New Roman"/>
          <w:color w:val="000000"/>
        </w:rPr>
        <w:t>e</w:t>
      </w:r>
      <w:r w:rsidR="00FC24F5" w:rsidRPr="00897915">
        <w:rPr>
          <w:rFonts w:ascii="Times New Roman" w:hAnsi="Times New Roman" w:cs="Times New Roman"/>
          <w:color w:val="000000"/>
        </w:rPr>
        <w:t xml:space="preserve"> </w:t>
      </w:r>
      <w:r w:rsidR="00E22021" w:rsidRPr="00897915">
        <w:rPr>
          <w:rFonts w:ascii="Times New Roman" w:hAnsi="Times New Roman" w:cs="Times New Roman"/>
          <w:color w:val="000000"/>
        </w:rPr>
        <w:t>therapy</w:t>
      </w:r>
      <w:r w:rsidR="007B0856" w:rsidRPr="00897915">
        <w:rPr>
          <w:rFonts w:ascii="Times New Roman" w:hAnsi="Times New Roman" w:cs="Times New Roman"/>
          <w:color w:val="000000"/>
        </w:rPr>
        <w:t>,</w:t>
      </w:r>
      <w:r w:rsidR="00DD04BF" w:rsidRPr="00897915">
        <w:rPr>
          <w:rFonts w:ascii="Times New Roman" w:hAnsi="Times New Roman" w:cs="Times New Roman"/>
          <w:color w:val="000000"/>
        </w:rPr>
        <w:t xml:space="preserve"> </w:t>
      </w:r>
      <w:r w:rsidR="000B3A55" w:rsidRPr="00897915">
        <w:rPr>
          <w:rFonts w:ascii="Times New Roman" w:hAnsi="Times New Roman" w:cs="Times New Roman"/>
          <w:color w:val="000000"/>
        </w:rPr>
        <w:t>with</w:t>
      </w:r>
      <w:r w:rsidR="007B0856" w:rsidRPr="00897915">
        <w:rPr>
          <w:rFonts w:ascii="Times New Roman" w:hAnsi="Times New Roman" w:cs="Times New Roman"/>
          <w:color w:val="000000"/>
        </w:rPr>
        <w:t xml:space="preserve"> improved rates of</w:t>
      </w:r>
      <w:r w:rsidR="00FE00DF" w:rsidRPr="00897915">
        <w:rPr>
          <w:rFonts w:ascii="Times New Roman" w:hAnsi="Times New Roman" w:cs="Times New Roman"/>
          <w:color w:val="000000"/>
        </w:rPr>
        <w:t xml:space="preserve"> </w:t>
      </w:r>
      <w:r w:rsidR="007B0856" w:rsidRPr="00897915">
        <w:rPr>
          <w:rFonts w:ascii="Times New Roman" w:hAnsi="Times New Roman" w:cs="Times New Roman"/>
          <w:color w:val="000000"/>
        </w:rPr>
        <w:t>remission</w:t>
      </w:r>
      <w:r w:rsidR="00FE00DF" w:rsidRPr="00897915">
        <w:rPr>
          <w:rFonts w:ascii="Times New Roman" w:hAnsi="Times New Roman" w:cs="Times New Roman"/>
          <w:color w:val="000000"/>
        </w:rPr>
        <w:t xml:space="preserve"> and </w:t>
      </w:r>
      <w:r w:rsidR="007B0856" w:rsidRPr="00897915">
        <w:rPr>
          <w:rFonts w:ascii="Times New Roman" w:hAnsi="Times New Roman" w:cs="Times New Roman"/>
          <w:color w:val="000000"/>
        </w:rPr>
        <w:t xml:space="preserve">progression </w:t>
      </w:r>
      <w:r w:rsidR="00020505" w:rsidRPr="00897915">
        <w:rPr>
          <w:rFonts w:ascii="Times New Roman" w:hAnsi="Times New Roman" w:cs="Times New Roman"/>
          <w:color w:val="000000"/>
        </w:rPr>
        <w:t xml:space="preserve">to </w:t>
      </w:r>
      <w:r w:rsidR="00D06144">
        <w:rPr>
          <w:rFonts w:ascii="Times New Roman" w:hAnsi="Times New Roman" w:cs="Times New Roman"/>
          <w:color w:val="000000"/>
        </w:rPr>
        <w:t>h</w:t>
      </w:r>
      <w:r w:rsidR="00D06144" w:rsidRPr="008B7DFC">
        <w:rPr>
          <w:rFonts w:ascii="Times New Roman" w:hAnsi="Times New Roman" w:cs="Times New Roman"/>
          <w:color w:val="000000"/>
        </w:rPr>
        <w:t xml:space="preserve">aematopoietic stem cell transplant </w:t>
      </w:r>
      <w:r w:rsidR="007B0856" w:rsidRPr="00897915">
        <w:rPr>
          <w:rFonts w:ascii="Times New Roman" w:hAnsi="Times New Roman" w:cs="Times New Roman"/>
          <w:color w:val="000000"/>
        </w:rPr>
        <w:t xml:space="preserve">treatment </w:t>
      </w:r>
      <w:r w:rsidR="00194E0C" w:rsidRPr="00897915">
        <w:rPr>
          <w:rFonts w:ascii="Times New Roman" w:hAnsi="Times New Roman" w:cs="Times New Roman"/>
          <w:color w:val="000000"/>
        </w:rPr>
        <w:t>compared to standard of care</w:t>
      </w:r>
      <w:r w:rsidR="007B0856" w:rsidRPr="00897915">
        <w:rPr>
          <w:rFonts w:ascii="Times New Roman" w:hAnsi="Times New Roman" w:cs="Times New Roman"/>
          <w:color w:val="000000"/>
        </w:rPr>
        <w:t>.</w:t>
      </w:r>
      <w:r w:rsidR="00FE00DF" w:rsidRPr="00897915">
        <w:rPr>
          <w:rFonts w:ascii="Times New Roman" w:hAnsi="Times New Roman" w:cs="Times New Roman"/>
          <w:color w:val="000000"/>
        </w:rPr>
        <w:t xml:space="preserve"> </w:t>
      </w:r>
    </w:p>
    <w:p w14:paraId="4D400332" w14:textId="5C52FAAE" w:rsidR="007B2888" w:rsidRDefault="00F32180" w:rsidP="004B5845">
      <w:pPr>
        <w:pStyle w:val="ListParagraph"/>
        <w:numPr>
          <w:ilvl w:val="0"/>
          <w:numId w:val="15"/>
        </w:numPr>
        <w:spacing w:line="360" w:lineRule="auto"/>
        <w:contextualSpacing w:val="0"/>
        <w:rPr>
          <w:rFonts w:ascii="Times New Roman" w:hAnsi="Times New Roman" w:cs="Times New Roman"/>
          <w:color w:val="000000"/>
        </w:rPr>
      </w:pPr>
      <w:r w:rsidRPr="001F7113">
        <w:rPr>
          <w:rFonts w:ascii="Times New Roman" w:hAnsi="Times New Roman" w:cs="Times New Roman"/>
          <w:color w:val="000000"/>
        </w:rPr>
        <w:t>The company and other stakeholder</w:t>
      </w:r>
      <w:r w:rsidR="009D7C8A" w:rsidRPr="001F7113">
        <w:rPr>
          <w:rFonts w:ascii="Times New Roman" w:hAnsi="Times New Roman" w:cs="Times New Roman"/>
          <w:color w:val="000000"/>
        </w:rPr>
        <w:t>s</w:t>
      </w:r>
      <w:r w:rsidRPr="001F7113">
        <w:rPr>
          <w:rFonts w:ascii="Times New Roman" w:hAnsi="Times New Roman" w:cs="Times New Roman"/>
          <w:color w:val="000000"/>
        </w:rPr>
        <w:t xml:space="preserve"> </w:t>
      </w:r>
      <w:r w:rsidR="009D7C8A" w:rsidRPr="001F7113">
        <w:rPr>
          <w:rFonts w:ascii="Times New Roman" w:hAnsi="Times New Roman" w:cs="Times New Roman"/>
          <w:color w:val="000000"/>
        </w:rPr>
        <w:t xml:space="preserve">were successful in </w:t>
      </w:r>
      <w:r w:rsidR="00FC24F5" w:rsidRPr="001F7113">
        <w:rPr>
          <w:rFonts w:ascii="Times New Roman" w:hAnsi="Times New Roman" w:cs="Times New Roman"/>
          <w:color w:val="000000"/>
        </w:rPr>
        <w:t>appeal</w:t>
      </w:r>
      <w:r w:rsidR="009D7C8A" w:rsidRPr="001F7113">
        <w:rPr>
          <w:rFonts w:ascii="Times New Roman" w:hAnsi="Times New Roman" w:cs="Times New Roman"/>
          <w:color w:val="000000"/>
        </w:rPr>
        <w:t xml:space="preserve">ing the initial </w:t>
      </w:r>
      <w:r w:rsidR="000B3A55" w:rsidRPr="001F7113">
        <w:rPr>
          <w:rFonts w:ascii="Times New Roman" w:hAnsi="Times New Roman" w:cs="Times New Roman"/>
          <w:color w:val="000000"/>
        </w:rPr>
        <w:t>negative recommendation</w:t>
      </w:r>
      <w:r w:rsidR="00897915" w:rsidRPr="001F7113">
        <w:rPr>
          <w:rFonts w:ascii="Times New Roman" w:hAnsi="Times New Roman" w:cs="Times New Roman"/>
          <w:color w:val="000000"/>
        </w:rPr>
        <w:t xml:space="preserve"> </w:t>
      </w:r>
      <w:r w:rsidR="00A70093" w:rsidRPr="001F7113">
        <w:rPr>
          <w:rFonts w:ascii="Times New Roman" w:hAnsi="Times New Roman" w:cs="Times New Roman"/>
          <w:color w:val="000000"/>
        </w:rPr>
        <w:t xml:space="preserve">on the grounds that </w:t>
      </w:r>
      <w:r w:rsidR="00A70093">
        <w:rPr>
          <w:rFonts w:ascii="Times New Roman" w:hAnsi="Times New Roman" w:cs="Times New Roman"/>
          <w:color w:val="000000"/>
        </w:rPr>
        <w:t xml:space="preserve">the </w:t>
      </w:r>
      <w:r w:rsidR="0054331C">
        <w:rPr>
          <w:rFonts w:ascii="Times New Roman" w:hAnsi="Times New Roman" w:cs="Times New Roman"/>
          <w:color w:val="000000"/>
        </w:rPr>
        <w:t>A</w:t>
      </w:r>
      <w:r w:rsidR="00A70093">
        <w:rPr>
          <w:rFonts w:ascii="Times New Roman" w:hAnsi="Times New Roman" w:cs="Times New Roman"/>
          <w:color w:val="000000"/>
        </w:rPr>
        <w:t xml:space="preserve">ppraisal </w:t>
      </w:r>
      <w:r w:rsidR="0054331C">
        <w:rPr>
          <w:rFonts w:ascii="Times New Roman" w:hAnsi="Times New Roman" w:cs="Times New Roman"/>
          <w:color w:val="000000"/>
        </w:rPr>
        <w:t>C</w:t>
      </w:r>
      <w:r w:rsidR="00A70093">
        <w:rPr>
          <w:rFonts w:ascii="Times New Roman" w:hAnsi="Times New Roman" w:cs="Times New Roman"/>
          <w:color w:val="000000"/>
        </w:rPr>
        <w:t xml:space="preserve">ommittee acted unfairly and that the recommendation was unreasonable in the light of the evidence; </w:t>
      </w:r>
      <w:r w:rsidR="00A5079A">
        <w:rPr>
          <w:rFonts w:ascii="Times New Roman" w:hAnsi="Times New Roman" w:cs="Times New Roman"/>
          <w:color w:val="000000"/>
        </w:rPr>
        <w:t xml:space="preserve">the company </w:t>
      </w:r>
      <w:r w:rsidR="009D7C8A">
        <w:rPr>
          <w:rFonts w:ascii="Times New Roman" w:hAnsi="Times New Roman" w:cs="Times New Roman"/>
          <w:color w:val="000000"/>
        </w:rPr>
        <w:t xml:space="preserve">subsequently </w:t>
      </w:r>
      <w:r w:rsidR="00A5079A">
        <w:rPr>
          <w:rFonts w:ascii="Times New Roman" w:hAnsi="Times New Roman" w:cs="Times New Roman"/>
          <w:color w:val="000000"/>
        </w:rPr>
        <w:t xml:space="preserve">submitted a </w:t>
      </w:r>
      <w:r w:rsidR="0070697D" w:rsidRPr="00286E00">
        <w:rPr>
          <w:rFonts w:ascii="Times New Roman" w:hAnsi="Times New Roman" w:cs="Times New Roman"/>
          <w:color w:val="000000"/>
        </w:rPr>
        <w:t xml:space="preserve">revised </w:t>
      </w:r>
      <w:r w:rsidR="00F53666">
        <w:rPr>
          <w:rFonts w:ascii="Times New Roman" w:hAnsi="Times New Roman" w:cs="Times New Roman"/>
          <w:color w:val="000000"/>
        </w:rPr>
        <w:t>patient access scheme (</w:t>
      </w:r>
      <w:r w:rsidR="0070697D" w:rsidRPr="00286E00">
        <w:rPr>
          <w:rFonts w:ascii="Times New Roman" w:hAnsi="Times New Roman" w:cs="Times New Roman"/>
          <w:color w:val="000000"/>
        </w:rPr>
        <w:t>PAS</w:t>
      </w:r>
      <w:r w:rsidR="00F53666">
        <w:rPr>
          <w:rFonts w:ascii="Times New Roman" w:hAnsi="Times New Roman" w:cs="Times New Roman"/>
          <w:color w:val="000000"/>
        </w:rPr>
        <w:t>)</w:t>
      </w:r>
      <w:r w:rsidR="009D7C8A">
        <w:rPr>
          <w:rFonts w:ascii="Times New Roman" w:hAnsi="Times New Roman" w:cs="Times New Roman"/>
          <w:color w:val="000000"/>
        </w:rPr>
        <w:t>.</w:t>
      </w:r>
      <w:r w:rsidR="0070697D" w:rsidRPr="00286E00">
        <w:rPr>
          <w:rFonts w:ascii="Times New Roman" w:hAnsi="Times New Roman" w:cs="Times New Roman"/>
          <w:color w:val="000000"/>
        </w:rPr>
        <w:t xml:space="preserve"> </w:t>
      </w:r>
    </w:p>
    <w:p w14:paraId="6E20E4DB" w14:textId="0A77CAEA" w:rsidR="00286E00" w:rsidRPr="00286E00" w:rsidRDefault="000B3A55" w:rsidP="007B2888">
      <w:pPr>
        <w:pStyle w:val="ListParagraph"/>
        <w:numPr>
          <w:ilvl w:val="0"/>
          <w:numId w:val="15"/>
        </w:numPr>
        <w:spacing w:line="360" w:lineRule="auto"/>
        <w:contextualSpacing w:val="0"/>
        <w:rPr>
          <w:rFonts w:ascii="Times New Roman" w:hAnsi="Times New Roman" w:cs="Times New Roman"/>
          <w:color w:val="000000"/>
        </w:rPr>
      </w:pPr>
      <w:r>
        <w:rPr>
          <w:rFonts w:ascii="Times New Roman" w:hAnsi="Times New Roman" w:cs="Times New Roman"/>
          <w:color w:val="000000"/>
        </w:rPr>
        <w:t>Following</w:t>
      </w:r>
      <w:r w:rsidR="00C07A32">
        <w:rPr>
          <w:rFonts w:ascii="Times New Roman" w:hAnsi="Times New Roman" w:cs="Times New Roman"/>
          <w:color w:val="000000"/>
        </w:rPr>
        <w:t xml:space="preserve"> new evidence </w:t>
      </w:r>
      <w:r>
        <w:rPr>
          <w:rFonts w:ascii="Times New Roman" w:hAnsi="Times New Roman" w:cs="Times New Roman"/>
          <w:color w:val="000000"/>
        </w:rPr>
        <w:t xml:space="preserve">on inpatient stay </w:t>
      </w:r>
      <w:r w:rsidR="00C07A32">
        <w:rPr>
          <w:rFonts w:ascii="Times New Roman" w:hAnsi="Times New Roman" w:cs="Times New Roman"/>
          <w:color w:val="000000"/>
        </w:rPr>
        <w:t>from clinical experts</w:t>
      </w:r>
      <w:r>
        <w:rPr>
          <w:rFonts w:ascii="Times New Roman" w:hAnsi="Times New Roman" w:cs="Times New Roman"/>
          <w:color w:val="000000"/>
        </w:rPr>
        <w:t>, updated subsequent the</w:t>
      </w:r>
      <w:r w:rsidR="00897915">
        <w:rPr>
          <w:rFonts w:ascii="Times New Roman" w:hAnsi="Times New Roman" w:cs="Times New Roman"/>
          <w:color w:val="000000"/>
        </w:rPr>
        <w:t>r</w:t>
      </w:r>
      <w:r>
        <w:rPr>
          <w:rFonts w:ascii="Times New Roman" w:hAnsi="Times New Roman" w:cs="Times New Roman"/>
          <w:color w:val="000000"/>
        </w:rPr>
        <w:t>apy costs and with</w:t>
      </w:r>
      <w:r w:rsidR="00E22021" w:rsidRPr="00286E00">
        <w:rPr>
          <w:rFonts w:ascii="Times New Roman" w:hAnsi="Times New Roman" w:cs="Times New Roman"/>
          <w:color w:val="000000"/>
        </w:rPr>
        <w:t xml:space="preserve"> upward adjustments </w:t>
      </w:r>
      <w:r w:rsidR="0070697D" w:rsidRPr="00286E00">
        <w:rPr>
          <w:rFonts w:ascii="Times New Roman" w:hAnsi="Times New Roman" w:cs="Times New Roman"/>
          <w:color w:val="000000"/>
        </w:rPr>
        <w:t>in</w:t>
      </w:r>
      <w:r w:rsidR="00E22021" w:rsidRPr="00286E00">
        <w:rPr>
          <w:rFonts w:ascii="Times New Roman" w:hAnsi="Times New Roman" w:cs="Times New Roman"/>
          <w:color w:val="000000"/>
        </w:rPr>
        <w:t xml:space="preserve"> the</w:t>
      </w:r>
      <w:r w:rsidR="0070697D" w:rsidRPr="00286E00">
        <w:rPr>
          <w:rFonts w:ascii="Times New Roman" w:hAnsi="Times New Roman" w:cs="Times New Roman"/>
          <w:color w:val="000000"/>
        </w:rPr>
        <w:t xml:space="preserve"> long-term</w:t>
      </w:r>
      <w:r w:rsidR="00E22021" w:rsidRPr="00286E00">
        <w:rPr>
          <w:rFonts w:ascii="Times New Roman" w:hAnsi="Times New Roman" w:cs="Times New Roman"/>
          <w:color w:val="000000"/>
        </w:rPr>
        <w:t xml:space="preserve"> util</w:t>
      </w:r>
      <w:r w:rsidR="004C10F7" w:rsidRPr="00286E00">
        <w:rPr>
          <w:rFonts w:ascii="Times New Roman" w:hAnsi="Times New Roman" w:cs="Times New Roman"/>
          <w:color w:val="000000"/>
        </w:rPr>
        <w:t>ities</w:t>
      </w:r>
      <w:r>
        <w:rPr>
          <w:rFonts w:ascii="Times New Roman" w:hAnsi="Times New Roman" w:cs="Times New Roman"/>
          <w:color w:val="000000"/>
        </w:rPr>
        <w:t xml:space="preserve"> the </w:t>
      </w:r>
      <w:r w:rsidR="007B2888">
        <w:rPr>
          <w:rFonts w:ascii="Times New Roman" w:hAnsi="Times New Roman" w:cs="Times New Roman"/>
          <w:color w:val="000000"/>
        </w:rPr>
        <w:t>deterministic</w:t>
      </w:r>
      <w:r>
        <w:rPr>
          <w:rFonts w:ascii="Times New Roman" w:hAnsi="Times New Roman" w:cs="Times New Roman"/>
          <w:color w:val="000000"/>
        </w:rPr>
        <w:t xml:space="preserve"> ICER was </w:t>
      </w:r>
      <w:r w:rsidR="006A6CA3">
        <w:rPr>
          <w:rFonts w:ascii="Times New Roman" w:hAnsi="Times New Roman" w:cs="Times New Roman"/>
          <w:color w:val="000000"/>
        </w:rPr>
        <w:t>between</w:t>
      </w:r>
      <w:r w:rsidR="00286E00" w:rsidRPr="00286E00">
        <w:rPr>
          <w:rFonts w:ascii="Times New Roman" w:hAnsi="Times New Roman" w:cs="Times New Roman"/>
          <w:color w:val="000000"/>
        </w:rPr>
        <w:t xml:space="preserve"> £33,749</w:t>
      </w:r>
      <w:r w:rsidR="00731B57">
        <w:rPr>
          <w:rFonts w:ascii="Times New Roman" w:hAnsi="Times New Roman" w:cs="Times New Roman"/>
          <w:color w:val="000000"/>
        </w:rPr>
        <w:t xml:space="preserve"> </w:t>
      </w:r>
      <w:r w:rsidR="00286E00">
        <w:rPr>
          <w:rFonts w:ascii="Times New Roman" w:hAnsi="Times New Roman" w:cs="Times New Roman"/>
          <w:color w:val="000000"/>
        </w:rPr>
        <w:t xml:space="preserve">and </w:t>
      </w:r>
      <w:r w:rsidR="00286E00" w:rsidRPr="00286E00">
        <w:rPr>
          <w:rFonts w:ascii="Times New Roman" w:hAnsi="Times New Roman" w:cs="Times New Roman"/>
          <w:color w:val="000000"/>
        </w:rPr>
        <w:t>£37,497</w:t>
      </w:r>
      <w:r w:rsidR="00731B57">
        <w:rPr>
          <w:rFonts w:ascii="Times New Roman" w:hAnsi="Times New Roman" w:cs="Times New Roman"/>
          <w:color w:val="000000"/>
        </w:rPr>
        <w:t xml:space="preserve"> per </w:t>
      </w:r>
      <w:r w:rsidR="00F53666">
        <w:rPr>
          <w:rFonts w:ascii="Times New Roman" w:hAnsi="Times New Roman" w:cs="Times New Roman"/>
          <w:color w:val="000000"/>
        </w:rPr>
        <w:t>quality-adjusted life year (</w:t>
      </w:r>
      <w:r w:rsidR="00286E00">
        <w:rPr>
          <w:rFonts w:ascii="Times New Roman" w:hAnsi="Times New Roman" w:cs="Times New Roman"/>
          <w:color w:val="000000"/>
        </w:rPr>
        <w:t>QALY</w:t>
      </w:r>
      <w:r w:rsidR="00F53666">
        <w:rPr>
          <w:rFonts w:ascii="Times New Roman" w:hAnsi="Times New Roman" w:cs="Times New Roman"/>
          <w:color w:val="000000"/>
        </w:rPr>
        <w:t>)</w:t>
      </w:r>
      <w:r w:rsidR="00731B57">
        <w:rPr>
          <w:rFonts w:ascii="Times New Roman" w:hAnsi="Times New Roman" w:cs="Times New Roman"/>
          <w:color w:val="000000"/>
        </w:rPr>
        <w:t xml:space="preserve"> </w:t>
      </w:r>
      <w:r w:rsidR="00F53666">
        <w:rPr>
          <w:rFonts w:ascii="Times New Roman" w:hAnsi="Times New Roman" w:cs="Times New Roman"/>
          <w:color w:val="000000"/>
        </w:rPr>
        <w:t xml:space="preserve">gained </w:t>
      </w:r>
      <w:r w:rsidR="00731B57">
        <w:rPr>
          <w:rFonts w:ascii="Times New Roman" w:hAnsi="Times New Roman" w:cs="Times New Roman"/>
          <w:color w:val="000000"/>
        </w:rPr>
        <w:t>compared to standard of care</w:t>
      </w:r>
      <w:r w:rsidR="006A6CA3">
        <w:rPr>
          <w:rFonts w:ascii="Times New Roman" w:hAnsi="Times New Roman" w:cs="Times New Roman"/>
          <w:color w:val="000000"/>
        </w:rPr>
        <w:t>.</w:t>
      </w:r>
    </w:p>
    <w:p w14:paraId="765E60CD" w14:textId="6F0A988F" w:rsidR="00FC24F5" w:rsidRPr="0070697D" w:rsidRDefault="00FC24F5" w:rsidP="0070697D">
      <w:pPr>
        <w:pStyle w:val="ListParagraph"/>
        <w:numPr>
          <w:ilvl w:val="0"/>
          <w:numId w:val="15"/>
        </w:numPr>
        <w:spacing w:line="360" w:lineRule="auto"/>
        <w:contextualSpacing w:val="0"/>
        <w:rPr>
          <w:rFonts w:ascii="Times New Roman" w:hAnsi="Times New Roman" w:cs="Times New Roman"/>
          <w:color w:val="000000"/>
        </w:rPr>
      </w:pPr>
      <w:r>
        <w:rPr>
          <w:rFonts w:ascii="Times New Roman" w:hAnsi="Times New Roman" w:cs="Times New Roman"/>
          <w:color w:val="000000"/>
        </w:rPr>
        <w:t xml:space="preserve">The NICE Appraisal Committee concluded that </w:t>
      </w:r>
      <w:proofErr w:type="spellStart"/>
      <w:r>
        <w:rPr>
          <w:rFonts w:ascii="Times New Roman" w:hAnsi="Times New Roman" w:cs="Times New Roman"/>
          <w:color w:val="000000"/>
        </w:rPr>
        <w:t>inotuzumab</w:t>
      </w:r>
      <w:proofErr w:type="spellEnd"/>
      <w:r>
        <w:rPr>
          <w:rFonts w:ascii="Times New Roman" w:hAnsi="Times New Roman" w:cs="Times New Roman"/>
          <w:color w:val="000000"/>
        </w:rPr>
        <w:t xml:space="preserve"> should be recommended within its licensed indication</w:t>
      </w:r>
      <w:r w:rsidR="0070697D">
        <w:rPr>
          <w:rFonts w:ascii="Times New Roman" w:hAnsi="Times New Roman" w:cs="Times New Roman"/>
          <w:color w:val="000000"/>
        </w:rPr>
        <w:t xml:space="preserve"> </w:t>
      </w:r>
      <w:r w:rsidR="0070697D" w:rsidRPr="0070697D">
        <w:rPr>
          <w:rFonts w:ascii="Times New Roman" w:hAnsi="Times New Roman" w:cs="Times New Roman"/>
          <w:color w:val="000000"/>
        </w:rPr>
        <w:t xml:space="preserve">as </w:t>
      </w:r>
      <w:r w:rsidR="0070697D">
        <w:rPr>
          <w:rFonts w:ascii="Times New Roman" w:hAnsi="Times New Roman" w:cs="Times New Roman"/>
          <w:color w:val="000000"/>
        </w:rPr>
        <w:t xml:space="preserve">a </w:t>
      </w:r>
      <w:r w:rsidR="0070697D" w:rsidRPr="0070697D">
        <w:rPr>
          <w:rFonts w:ascii="Times New Roman" w:hAnsi="Times New Roman" w:cs="Times New Roman"/>
          <w:color w:val="000000"/>
        </w:rPr>
        <w:t>monotherapy for the treatment of adults with relapsed or refractory CD22-positive B-cell precursor ALL</w:t>
      </w:r>
      <w:r w:rsidR="0070697D">
        <w:rPr>
          <w:rFonts w:ascii="Times New Roman" w:hAnsi="Times New Roman" w:cs="Times New Roman"/>
          <w:color w:val="000000"/>
        </w:rPr>
        <w:t>.</w:t>
      </w:r>
    </w:p>
    <w:p w14:paraId="3CE22A61" w14:textId="2DAD375C" w:rsidR="00194E0C" w:rsidRDefault="00194E0C">
      <w:pPr>
        <w:rPr>
          <w:rFonts w:ascii="Times New Roman" w:hAnsi="Times New Roman" w:cs="Times New Roman"/>
        </w:rPr>
      </w:pPr>
      <w:r>
        <w:rPr>
          <w:rFonts w:ascii="Times New Roman" w:hAnsi="Times New Roman" w:cs="Times New Roman"/>
        </w:rPr>
        <w:br w:type="page"/>
      </w:r>
    </w:p>
    <w:p w14:paraId="2A54A6BE" w14:textId="4D2F8177" w:rsidR="00DD657B" w:rsidRPr="00DD657B" w:rsidRDefault="00C07E4C" w:rsidP="00E61BB0">
      <w:pPr>
        <w:pStyle w:val="Heading1"/>
        <w:spacing w:after="160" w:line="360" w:lineRule="auto"/>
        <w:ind w:left="431" w:hanging="431"/>
      </w:pPr>
      <w:r w:rsidRPr="00DD657B">
        <w:lastRenderedPageBreak/>
        <w:t>Introduction</w:t>
      </w:r>
    </w:p>
    <w:p w14:paraId="0C8D9F38" w14:textId="593DDDD8" w:rsidR="001709A3" w:rsidRPr="00DD657B" w:rsidRDefault="001709A3" w:rsidP="00E61BB0">
      <w:pPr>
        <w:spacing w:line="360" w:lineRule="auto"/>
        <w:rPr>
          <w:rFonts w:ascii="Times New Roman" w:hAnsi="Times New Roman" w:cs="Times New Roman"/>
          <w:color w:val="000000"/>
        </w:rPr>
      </w:pPr>
      <w:r w:rsidRPr="00DD657B">
        <w:rPr>
          <w:rFonts w:ascii="Times New Roman" w:hAnsi="Times New Roman" w:cs="Times New Roman"/>
          <w:color w:val="000000"/>
        </w:rPr>
        <w:t xml:space="preserve">The National Institute for Health and Care Excellence (NICE) is an independent organisation responsible for providing </w:t>
      </w:r>
      <w:r w:rsidR="007C5108">
        <w:rPr>
          <w:rFonts w:ascii="Times New Roman" w:hAnsi="Times New Roman" w:cs="Times New Roman"/>
          <w:color w:val="000000"/>
        </w:rPr>
        <w:t>evidence-based guidance</w:t>
      </w:r>
      <w:r w:rsidR="00D83A88">
        <w:rPr>
          <w:rFonts w:ascii="Times New Roman" w:hAnsi="Times New Roman" w:cs="Times New Roman"/>
          <w:color w:val="000000"/>
        </w:rPr>
        <w:t xml:space="preserve"> to the </w:t>
      </w:r>
      <w:r w:rsidR="00D83A88" w:rsidRPr="00DD657B">
        <w:rPr>
          <w:rFonts w:ascii="Times New Roman" w:hAnsi="Times New Roman" w:cs="Times New Roman"/>
          <w:color w:val="000000"/>
        </w:rPr>
        <w:t>National Health Service (NHS) in England</w:t>
      </w:r>
      <w:r w:rsidR="00D83A88">
        <w:rPr>
          <w:rFonts w:ascii="Times New Roman" w:hAnsi="Times New Roman" w:cs="Times New Roman"/>
          <w:color w:val="000000"/>
        </w:rPr>
        <w:t xml:space="preserve"> for a range of health and social care issues.</w:t>
      </w:r>
      <w:r w:rsidRPr="00DD657B">
        <w:rPr>
          <w:rFonts w:ascii="Times New Roman" w:hAnsi="Times New Roman" w:cs="Times New Roman"/>
          <w:color w:val="000000"/>
        </w:rPr>
        <w:t xml:space="preserve"> Single </w:t>
      </w:r>
      <w:r w:rsidR="001E3419">
        <w:rPr>
          <w:rFonts w:ascii="Times New Roman" w:hAnsi="Times New Roman" w:cs="Times New Roman"/>
          <w:color w:val="000000"/>
        </w:rPr>
        <w:t>T</w:t>
      </w:r>
      <w:r w:rsidRPr="00DD657B">
        <w:rPr>
          <w:rFonts w:ascii="Times New Roman" w:hAnsi="Times New Roman" w:cs="Times New Roman"/>
          <w:color w:val="000000"/>
        </w:rPr>
        <w:t xml:space="preserve">echnology </w:t>
      </w:r>
      <w:r w:rsidR="001E3419">
        <w:rPr>
          <w:rFonts w:ascii="Times New Roman" w:hAnsi="Times New Roman" w:cs="Times New Roman"/>
          <w:color w:val="000000"/>
        </w:rPr>
        <w:t>A</w:t>
      </w:r>
      <w:r w:rsidRPr="00DD657B">
        <w:rPr>
          <w:rFonts w:ascii="Times New Roman" w:hAnsi="Times New Roman" w:cs="Times New Roman"/>
          <w:color w:val="000000"/>
        </w:rPr>
        <w:t xml:space="preserve">ppraisals (STAs) evaluate a single technology </w:t>
      </w:r>
      <w:r w:rsidR="007B2888">
        <w:rPr>
          <w:rFonts w:ascii="Times New Roman" w:hAnsi="Times New Roman" w:cs="Times New Roman"/>
          <w:color w:val="000000"/>
        </w:rPr>
        <w:t>with respect to</w:t>
      </w:r>
      <w:r w:rsidRPr="00DD657B">
        <w:rPr>
          <w:rFonts w:ascii="Times New Roman" w:hAnsi="Times New Roman" w:cs="Times New Roman"/>
          <w:color w:val="000000"/>
        </w:rPr>
        <w:t xml:space="preserve"> a single indication. </w:t>
      </w:r>
      <w:r w:rsidR="008B7DFC" w:rsidRPr="008B7DFC">
        <w:rPr>
          <w:rFonts w:ascii="Times New Roman" w:hAnsi="Times New Roman" w:cs="Times New Roman"/>
          <w:color w:val="000000"/>
        </w:rPr>
        <w:t>The STA process is designed to provide recommendations</w:t>
      </w:r>
      <w:r w:rsidR="008B7DFC">
        <w:rPr>
          <w:rFonts w:ascii="Times New Roman" w:hAnsi="Times New Roman" w:cs="Times New Roman"/>
          <w:color w:val="000000"/>
        </w:rPr>
        <w:t xml:space="preserve"> in the form of NICE guidance </w:t>
      </w:r>
      <w:r w:rsidR="008B7DFC" w:rsidRPr="008B7DFC">
        <w:rPr>
          <w:rFonts w:ascii="Times New Roman" w:hAnsi="Times New Roman" w:cs="Times New Roman"/>
          <w:color w:val="000000"/>
        </w:rPr>
        <w:t>on the use of treatments in the NHS</w:t>
      </w:r>
      <w:r w:rsidR="00293E21">
        <w:rPr>
          <w:rFonts w:ascii="Times New Roman" w:hAnsi="Times New Roman" w:cs="Times New Roman"/>
          <w:color w:val="000000"/>
        </w:rPr>
        <w:t xml:space="preserve"> </w:t>
      </w:r>
      <w:r w:rsidR="00920FC6">
        <w:rPr>
          <w:rFonts w:ascii="Times New Roman" w:hAnsi="Times New Roman" w:cs="Times New Roman"/>
          <w:color w:val="000000"/>
        </w:rPr>
        <w:fldChar w:fldCharType="begin"/>
      </w:r>
      <w:r w:rsidR="00BE567A">
        <w:rPr>
          <w:rFonts w:ascii="Times New Roman" w:hAnsi="Times New Roman" w:cs="Times New Roman"/>
          <w:color w:val="000000"/>
        </w:rPr>
        <w:instrText xml:space="preserve"> ADDIN EN.CITE &lt;EndNote&gt;&lt;Cite&gt;&lt;Author&gt;National Institute for Health and Care Excellence&lt;/Author&gt;&lt;Year&gt;2009&lt;/Year&gt;&lt;RecNum&gt;43&lt;/RecNum&gt;&lt;DisplayText&gt;[1]&lt;/DisplayText&gt;&lt;record&gt;&lt;rec-number&gt;43&lt;/rec-number&gt;&lt;foreign-keys&gt;&lt;key app="EN" db-id="9f090dpxqtedprezvanxwdxlwv2d9d9dp2rs" timestamp="0"&gt;43&lt;/key&gt;&lt;/foreign-keys&gt;&lt;ref-type name="Web Page"&gt;12&lt;/ref-type&gt;&lt;contributors&gt;&lt;authors&gt;&lt;author&gt;National Institute for Health and Care Excellence,&lt;/author&gt;&lt;/authors&gt;&lt;/contributors&gt;&lt;titles&gt;&lt;title&gt;Guide to the single technology appraisal process.&lt;/title&gt;&lt;/titles&gt;&lt;dates&gt;&lt;year&gt;2009&lt;/year&gt;&lt;/dates&gt;&lt;urls&gt;&lt;related-urls&gt;&lt;url&gt;&lt;style face="underline" font="default" size="100%"&gt;https://www.nice.org.uk/Media/Default/About/what-we-do/NICE-guidance/NICE-technology-appraisals/Guide-to-the-single-technology-appraisal-process.pdf&lt;/style&gt;&lt;/url&gt;&lt;/related-urls&gt;&lt;/urls&gt;&lt;/record&gt;&lt;/Cite&gt;&lt;/EndNote&gt;</w:instrText>
      </w:r>
      <w:r w:rsidR="00920FC6">
        <w:rPr>
          <w:rFonts w:ascii="Times New Roman" w:hAnsi="Times New Roman" w:cs="Times New Roman"/>
          <w:color w:val="000000"/>
        </w:rPr>
        <w:fldChar w:fldCharType="separate"/>
      </w:r>
      <w:r w:rsidR="0006339D">
        <w:rPr>
          <w:rFonts w:ascii="Times New Roman" w:hAnsi="Times New Roman" w:cs="Times New Roman"/>
          <w:noProof/>
          <w:color w:val="000000"/>
        </w:rPr>
        <w:t>[1]</w:t>
      </w:r>
      <w:r w:rsidR="00920FC6">
        <w:rPr>
          <w:rFonts w:ascii="Times New Roman" w:hAnsi="Times New Roman" w:cs="Times New Roman"/>
          <w:color w:val="000000"/>
        </w:rPr>
        <w:fldChar w:fldCharType="end"/>
      </w:r>
      <w:r w:rsidR="00293E21">
        <w:rPr>
          <w:rFonts w:ascii="Times New Roman" w:hAnsi="Times New Roman" w:cs="Times New Roman"/>
          <w:color w:val="000000"/>
        </w:rPr>
        <w:t>.</w:t>
      </w:r>
      <w:r w:rsidR="008B7DFC" w:rsidRPr="008B7DFC">
        <w:rPr>
          <w:rFonts w:ascii="Times New Roman" w:hAnsi="Times New Roman" w:cs="Times New Roman"/>
          <w:color w:val="000000"/>
        </w:rPr>
        <w:t xml:space="preserve"> </w:t>
      </w:r>
      <w:r w:rsidRPr="00DD657B">
        <w:rPr>
          <w:rFonts w:ascii="Times New Roman" w:hAnsi="Times New Roman" w:cs="Times New Roman"/>
          <w:color w:val="000000"/>
        </w:rPr>
        <w:t xml:space="preserve">The </w:t>
      </w:r>
      <w:r w:rsidR="00481402">
        <w:rPr>
          <w:rFonts w:ascii="Times New Roman" w:hAnsi="Times New Roman" w:cs="Times New Roman"/>
          <w:color w:val="000000"/>
        </w:rPr>
        <w:t>company</w:t>
      </w:r>
      <w:r w:rsidR="00481402" w:rsidRPr="00DD657B">
        <w:rPr>
          <w:rFonts w:ascii="Times New Roman" w:hAnsi="Times New Roman" w:cs="Times New Roman"/>
          <w:color w:val="000000"/>
        </w:rPr>
        <w:t xml:space="preserve"> </w:t>
      </w:r>
      <w:r w:rsidRPr="00DD657B">
        <w:rPr>
          <w:rFonts w:ascii="Times New Roman" w:hAnsi="Times New Roman" w:cs="Times New Roman"/>
          <w:color w:val="000000"/>
        </w:rPr>
        <w:t>or sponsor of the technology submits the principal evidence supporting the clinical and cost</w:t>
      </w:r>
      <w:r w:rsidR="001E3419">
        <w:rPr>
          <w:rFonts w:ascii="Times New Roman" w:hAnsi="Times New Roman" w:cs="Times New Roman"/>
          <w:color w:val="000000"/>
        </w:rPr>
        <w:t>-</w:t>
      </w:r>
      <w:r w:rsidRPr="00DD657B">
        <w:rPr>
          <w:rFonts w:ascii="Times New Roman" w:hAnsi="Times New Roman" w:cs="Times New Roman"/>
          <w:color w:val="000000"/>
        </w:rPr>
        <w:t>effectiveness of the product, and an external independent academic organisation</w:t>
      </w:r>
      <w:r w:rsidR="00D43BFC">
        <w:rPr>
          <w:rFonts w:ascii="Times New Roman" w:hAnsi="Times New Roman" w:cs="Times New Roman"/>
          <w:color w:val="000000"/>
        </w:rPr>
        <w:t xml:space="preserve">, known as </w:t>
      </w:r>
      <w:r w:rsidRPr="00DD657B">
        <w:rPr>
          <w:rFonts w:ascii="Times New Roman" w:hAnsi="Times New Roman" w:cs="Times New Roman"/>
          <w:color w:val="000000"/>
        </w:rPr>
        <w:t>the Evidence Review Group (ERG)</w:t>
      </w:r>
      <w:r w:rsidR="00D43BFC">
        <w:rPr>
          <w:rFonts w:ascii="Times New Roman" w:hAnsi="Times New Roman" w:cs="Times New Roman"/>
          <w:color w:val="000000"/>
        </w:rPr>
        <w:t>,</w:t>
      </w:r>
      <w:r w:rsidRPr="00DD657B">
        <w:rPr>
          <w:rFonts w:ascii="Times New Roman" w:hAnsi="Times New Roman" w:cs="Times New Roman"/>
          <w:color w:val="000000"/>
        </w:rPr>
        <w:t xml:space="preserve"> is commissioned to produce a review and critique of the evidence submitted</w:t>
      </w:r>
      <w:r w:rsidR="00293E21">
        <w:rPr>
          <w:rFonts w:ascii="Times New Roman" w:hAnsi="Times New Roman" w:cs="Times New Roman"/>
          <w:color w:val="000000"/>
        </w:rPr>
        <w:t xml:space="preserve"> </w:t>
      </w:r>
      <w:r w:rsidR="007A4AC4" w:rsidRPr="00DD657B">
        <w:rPr>
          <w:rFonts w:ascii="Times New Roman" w:hAnsi="Times New Roman" w:cs="Times New Roman"/>
          <w:color w:val="000000"/>
        </w:rPr>
        <w:fldChar w:fldCharType="begin"/>
      </w:r>
      <w:r w:rsidR="00BE567A">
        <w:rPr>
          <w:rFonts w:ascii="Times New Roman" w:hAnsi="Times New Roman" w:cs="Times New Roman"/>
          <w:color w:val="000000"/>
        </w:rPr>
        <w:instrText xml:space="preserve"> ADDIN EN.CITE &lt;EndNote&gt;&lt;Cite&gt;&lt;Author&gt;Wade&lt;/Author&gt;&lt;Year&gt;2017&lt;/Year&gt;&lt;RecNum&gt;44&lt;/RecNum&gt;&lt;DisplayText&gt;[2]&lt;/DisplayText&gt;&lt;record&gt;&lt;rec-number&gt;44&lt;/rec-number&gt;&lt;foreign-keys&gt;&lt;key app="EN" db-id="9f090dpxqtedprezvanxwdxlwv2d9d9dp2rs" timestamp="0"&gt;44&lt;/key&gt;&lt;/foreign-keys&gt;&lt;ref-type name="Web Page"&gt;12&lt;/ref-type&gt;&lt;contributors&gt;&lt;authors&gt;&lt;author&gt;Wade, R.&lt;/author&gt;&lt;author&gt;Cox, E.&lt;/author&gt;&lt;author&gt;Peron, M.&lt;/author&gt;&lt;author&gt;Dietz, K.C.&lt;/author&gt;&lt;author&gt;Harden, M. &lt;/author&gt;&lt;author&gt;Eastwood, A.&lt;/author&gt;&lt;author&gt;Palmer, S.&lt;/author&gt;&lt;author&gt;Griffin, S. &lt;/author&gt;&lt;/authors&gt;&lt;/contributors&gt;&lt;titles&gt;&lt;title&gt;Inotuzumab ozogamicin for treating relapsed or refractory B-cell acute lymphoblastic leukaemia&lt;/title&gt;&lt;/titles&gt;&lt;dates&gt;&lt;year&gt;2017&lt;/year&gt;&lt;/dates&gt;&lt;label&gt;Wade17&lt;/label&gt;&lt;urls&gt;&lt;related-urls&gt;&lt;url&gt;https://www.nice.org.uk/guidance/ta541/documents/committee-papers-2&lt;/url&gt;&lt;/related-urls&gt;&lt;/urls&gt;&lt;modified-date&gt;Wade17&lt;/modified-date&gt;&lt;/record&gt;&lt;/Cite&gt;&lt;/EndNote&gt;</w:instrText>
      </w:r>
      <w:r w:rsidR="007A4AC4" w:rsidRPr="00DD657B">
        <w:rPr>
          <w:rFonts w:ascii="Times New Roman" w:hAnsi="Times New Roman" w:cs="Times New Roman"/>
          <w:color w:val="000000"/>
        </w:rPr>
        <w:fldChar w:fldCharType="separate"/>
      </w:r>
      <w:r w:rsidR="0006339D">
        <w:rPr>
          <w:rFonts w:ascii="Times New Roman" w:hAnsi="Times New Roman" w:cs="Times New Roman"/>
          <w:noProof/>
          <w:color w:val="000000"/>
        </w:rPr>
        <w:t>[2]</w:t>
      </w:r>
      <w:r w:rsidR="007A4AC4" w:rsidRPr="00DD657B">
        <w:rPr>
          <w:rFonts w:ascii="Times New Roman" w:hAnsi="Times New Roman" w:cs="Times New Roman"/>
          <w:color w:val="000000"/>
        </w:rPr>
        <w:fldChar w:fldCharType="end"/>
      </w:r>
      <w:r w:rsidR="00293E21">
        <w:rPr>
          <w:rFonts w:ascii="Times New Roman" w:hAnsi="Times New Roman" w:cs="Times New Roman"/>
          <w:color w:val="000000"/>
        </w:rPr>
        <w:t>.</w:t>
      </w:r>
      <w:r w:rsidRPr="00DD657B">
        <w:rPr>
          <w:rFonts w:ascii="Times New Roman" w:hAnsi="Times New Roman" w:cs="Times New Roman"/>
          <w:color w:val="000000"/>
        </w:rPr>
        <w:t xml:space="preserve"> </w:t>
      </w:r>
      <w:r w:rsidR="00D43BFC">
        <w:rPr>
          <w:rFonts w:ascii="Times New Roman" w:hAnsi="Times New Roman" w:cs="Times New Roman"/>
          <w:color w:val="000000"/>
        </w:rPr>
        <w:t>Consultees, c</w:t>
      </w:r>
      <w:r w:rsidRPr="00DD657B">
        <w:rPr>
          <w:rFonts w:ascii="Times New Roman" w:hAnsi="Times New Roman" w:cs="Times New Roman"/>
          <w:color w:val="000000"/>
        </w:rPr>
        <w:t xml:space="preserve">linical specialists, NHS commissioning experts and patient </w:t>
      </w:r>
      <w:r w:rsidR="00D71A2E">
        <w:rPr>
          <w:rFonts w:ascii="Times New Roman" w:hAnsi="Times New Roman" w:cs="Times New Roman"/>
          <w:color w:val="000000"/>
        </w:rPr>
        <w:t>representatives</w:t>
      </w:r>
      <w:r w:rsidRPr="00DD657B">
        <w:rPr>
          <w:rFonts w:ascii="Times New Roman" w:hAnsi="Times New Roman" w:cs="Times New Roman"/>
          <w:color w:val="000000"/>
        </w:rPr>
        <w:t xml:space="preserve"> provide </w:t>
      </w:r>
      <w:r w:rsidR="00D43BFC">
        <w:rPr>
          <w:rFonts w:ascii="Times New Roman" w:hAnsi="Times New Roman" w:cs="Times New Roman"/>
          <w:color w:val="000000"/>
        </w:rPr>
        <w:t>additional information</w:t>
      </w:r>
      <w:r w:rsidRPr="00DD657B">
        <w:rPr>
          <w:rFonts w:ascii="Times New Roman" w:hAnsi="Times New Roman" w:cs="Times New Roman"/>
          <w:color w:val="000000"/>
        </w:rPr>
        <w:t xml:space="preserve"> for consideration by the NICE Appraisal Committee in formulating their guidance</w:t>
      </w:r>
      <w:r w:rsidR="00293E21">
        <w:rPr>
          <w:rFonts w:ascii="Times New Roman" w:hAnsi="Times New Roman" w:cs="Times New Roman"/>
          <w:color w:val="000000"/>
        </w:rPr>
        <w:t xml:space="preserve"> </w:t>
      </w:r>
      <w:r w:rsidR="00FF7B0D">
        <w:rPr>
          <w:rFonts w:ascii="Times New Roman" w:hAnsi="Times New Roman" w:cs="Times New Roman"/>
          <w:color w:val="000000"/>
        </w:rPr>
        <w:fldChar w:fldCharType="begin"/>
      </w:r>
      <w:r w:rsidR="00BE567A">
        <w:rPr>
          <w:rFonts w:ascii="Times New Roman" w:hAnsi="Times New Roman" w:cs="Times New Roman"/>
          <w:color w:val="000000"/>
        </w:rPr>
        <w:instrText xml:space="preserve"> ADDIN EN.CITE &lt;EndNote&gt;&lt;Cite&gt;&lt;Author&gt;National Institute for Health and Care Excellence&lt;/Author&gt;&lt;Year&gt;2009&lt;/Year&gt;&lt;RecNum&gt;43&lt;/RecNum&gt;&lt;DisplayText&gt;[1]&lt;/DisplayText&gt;&lt;record&gt;&lt;rec-number&gt;43&lt;/rec-number&gt;&lt;foreign-keys&gt;&lt;key app="EN" db-id="9f090dpxqtedprezvanxwdxlwv2d9d9dp2rs" timestamp="0"&gt;43&lt;/key&gt;&lt;/foreign-keys&gt;&lt;ref-type name="Web Page"&gt;12&lt;/ref-type&gt;&lt;contributors&gt;&lt;authors&gt;&lt;author&gt;National Institute for Health and Care Excellence,&lt;/author&gt;&lt;/authors&gt;&lt;/contributors&gt;&lt;titles&gt;&lt;title&gt;Guide to the single technology appraisal process.&lt;/title&gt;&lt;/titles&gt;&lt;dates&gt;&lt;year&gt;2009&lt;/year&gt;&lt;/dates&gt;&lt;urls&gt;&lt;related-urls&gt;&lt;url&gt;&lt;style face="underline" font="default" size="100%"&gt;https://www.nice.org.uk/Media/Default/About/what-we-do/NICE-guidance/NICE-technology-appraisals/Guide-to-the-single-technology-appraisal-process.pdf&lt;/style&gt;&lt;/url&gt;&lt;/related-urls&gt;&lt;/urls&gt;&lt;/record&gt;&lt;/Cite&gt;&lt;/EndNote&gt;</w:instrText>
      </w:r>
      <w:r w:rsidR="00FF7B0D">
        <w:rPr>
          <w:rFonts w:ascii="Times New Roman" w:hAnsi="Times New Roman" w:cs="Times New Roman"/>
          <w:color w:val="000000"/>
        </w:rPr>
        <w:fldChar w:fldCharType="separate"/>
      </w:r>
      <w:r w:rsidR="0006339D">
        <w:rPr>
          <w:rFonts w:ascii="Times New Roman" w:hAnsi="Times New Roman" w:cs="Times New Roman"/>
          <w:noProof/>
          <w:color w:val="000000"/>
        </w:rPr>
        <w:t>[1]</w:t>
      </w:r>
      <w:r w:rsidR="00FF7B0D">
        <w:rPr>
          <w:rFonts w:ascii="Times New Roman" w:hAnsi="Times New Roman" w:cs="Times New Roman"/>
          <w:color w:val="000000"/>
        </w:rPr>
        <w:fldChar w:fldCharType="end"/>
      </w:r>
      <w:r w:rsidR="00293E21">
        <w:rPr>
          <w:rFonts w:ascii="Times New Roman" w:hAnsi="Times New Roman" w:cs="Times New Roman"/>
          <w:color w:val="000000"/>
        </w:rPr>
        <w:t>.</w:t>
      </w:r>
      <w:r w:rsidRPr="00DD657B">
        <w:rPr>
          <w:rFonts w:ascii="Times New Roman" w:hAnsi="Times New Roman" w:cs="Times New Roman"/>
          <w:color w:val="000000"/>
        </w:rPr>
        <w:t xml:space="preserve"> Once published, NICE technology guidance </w:t>
      </w:r>
      <w:r w:rsidR="00D43BFC">
        <w:rPr>
          <w:rFonts w:ascii="Times New Roman" w:hAnsi="Times New Roman" w:cs="Times New Roman"/>
          <w:color w:val="000000"/>
        </w:rPr>
        <w:t>constitutes</w:t>
      </w:r>
      <w:r w:rsidRPr="00DD657B">
        <w:rPr>
          <w:rFonts w:ascii="Times New Roman" w:hAnsi="Times New Roman" w:cs="Times New Roman"/>
          <w:color w:val="000000"/>
        </w:rPr>
        <w:t xml:space="preserve"> a legal obligation for NHS providers to reimburse</w:t>
      </w:r>
      <w:r w:rsidR="00B15F8C">
        <w:rPr>
          <w:rFonts w:ascii="Times New Roman" w:hAnsi="Times New Roman" w:cs="Times New Roman"/>
          <w:color w:val="000000"/>
        </w:rPr>
        <w:t xml:space="preserve"> an</w:t>
      </w:r>
      <w:r w:rsidRPr="00DD657B">
        <w:rPr>
          <w:rFonts w:ascii="Times New Roman" w:hAnsi="Times New Roman" w:cs="Times New Roman"/>
          <w:color w:val="000000"/>
        </w:rPr>
        <w:t xml:space="preserve"> </w:t>
      </w:r>
      <w:r w:rsidR="00B15F8C">
        <w:rPr>
          <w:rFonts w:ascii="Times New Roman" w:hAnsi="Times New Roman" w:cs="Times New Roman"/>
          <w:color w:val="000000"/>
        </w:rPr>
        <w:t xml:space="preserve">approved </w:t>
      </w:r>
      <w:r w:rsidRPr="00DD657B">
        <w:rPr>
          <w:rFonts w:ascii="Times New Roman" w:hAnsi="Times New Roman" w:cs="Times New Roman"/>
          <w:color w:val="000000"/>
        </w:rPr>
        <w:t>technolog</w:t>
      </w:r>
      <w:r w:rsidR="00B15F8C">
        <w:rPr>
          <w:rFonts w:ascii="Times New Roman" w:hAnsi="Times New Roman" w:cs="Times New Roman"/>
          <w:color w:val="000000"/>
        </w:rPr>
        <w:t>y</w:t>
      </w:r>
      <w:r w:rsidRPr="00DD657B">
        <w:rPr>
          <w:rFonts w:ascii="Times New Roman" w:hAnsi="Times New Roman" w:cs="Times New Roman"/>
          <w:color w:val="000000"/>
        </w:rPr>
        <w:t xml:space="preserve"> </w:t>
      </w:r>
      <w:r w:rsidR="00D43BFC">
        <w:rPr>
          <w:rFonts w:ascii="Times New Roman" w:hAnsi="Times New Roman" w:cs="Times New Roman"/>
          <w:color w:val="000000"/>
        </w:rPr>
        <w:t xml:space="preserve">within </w:t>
      </w:r>
      <w:r w:rsidR="00B15F8C">
        <w:rPr>
          <w:rFonts w:ascii="Times New Roman" w:hAnsi="Times New Roman" w:cs="Times New Roman"/>
          <w:color w:val="000000"/>
        </w:rPr>
        <w:t>its</w:t>
      </w:r>
      <w:r w:rsidR="00D43BFC">
        <w:rPr>
          <w:rFonts w:ascii="Times New Roman" w:hAnsi="Times New Roman" w:cs="Times New Roman"/>
          <w:color w:val="000000"/>
        </w:rPr>
        <w:t xml:space="preserve"> licensed indication</w:t>
      </w:r>
      <w:r w:rsidR="00293E21">
        <w:rPr>
          <w:rFonts w:ascii="Times New Roman" w:hAnsi="Times New Roman" w:cs="Times New Roman"/>
          <w:color w:val="000000"/>
        </w:rPr>
        <w:t xml:space="preserve"> </w:t>
      </w:r>
      <w:r w:rsidR="00AD6445">
        <w:rPr>
          <w:rFonts w:ascii="Times New Roman" w:hAnsi="Times New Roman" w:cs="Times New Roman"/>
          <w:color w:val="000000"/>
        </w:rPr>
        <w:fldChar w:fldCharType="begin"/>
      </w:r>
      <w:r w:rsidR="00BE567A">
        <w:rPr>
          <w:rFonts w:ascii="Times New Roman" w:hAnsi="Times New Roman" w:cs="Times New Roman"/>
          <w:color w:val="000000"/>
        </w:rPr>
        <w:instrText xml:space="preserve"> ADDIN EN.CITE &lt;EndNote&gt;&lt;Cite&gt;&lt;Author&gt;National Institute of Health and Care Excellence&lt;/Author&gt;&lt;Year&gt;2013&lt;/Year&gt;&lt;RecNum&gt;46&lt;/RecNum&gt;&lt;DisplayText&gt;[3]&lt;/DisplayText&gt;&lt;record&gt;&lt;rec-number&gt;46&lt;/rec-number&gt;&lt;foreign-keys&gt;&lt;key app="EN" db-id="9f090dpxqtedprezvanxwdxlwv2d9d9dp2rs" timestamp="0"&gt;46&lt;/key&gt;&lt;/foreign-keys&gt;&lt;ref-type name="Web Page"&gt;12&lt;/ref-type&gt;&lt;contributors&gt;&lt;authors&gt;&lt;author&gt;National Institute of Health and Care Excellence,&lt;/author&gt;&lt;/authors&gt;&lt;/contributors&gt;&lt;titles&gt;&lt;title&gt;Guide to the methods of technology appraisal&lt;/title&gt;&lt;/titles&gt;&lt;dates&gt;&lt;year&gt;2013&lt;/year&gt;&lt;/dates&gt;&lt;urls&gt;&lt;related-urls&gt;&lt;url&gt;https://www.nice.org.uk/process/pmg9/chapter/foreword&lt;/url&gt;&lt;/related-urls&gt;&lt;/urls&gt;&lt;/record&gt;&lt;/Cite&gt;&lt;/EndNote&gt;</w:instrText>
      </w:r>
      <w:r w:rsidR="00AD6445">
        <w:rPr>
          <w:rFonts w:ascii="Times New Roman" w:hAnsi="Times New Roman" w:cs="Times New Roman"/>
          <w:color w:val="000000"/>
        </w:rPr>
        <w:fldChar w:fldCharType="separate"/>
      </w:r>
      <w:r w:rsidR="0006339D">
        <w:rPr>
          <w:rFonts w:ascii="Times New Roman" w:hAnsi="Times New Roman" w:cs="Times New Roman"/>
          <w:noProof/>
          <w:color w:val="000000"/>
        </w:rPr>
        <w:t>[3]</w:t>
      </w:r>
      <w:r w:rsidR="00AD6445">
        <w:rPr>
          <w:rFonts w:ascii="Times New Roman" w:hAnsi="Times New Roman" w:cs="Times New Roman"/>
          <w:color w:val="000000"/>
        </w:rPr>
        <w:fldChar w:fldCharType="end"/>
      </w:r>
      <w:r w:rsidR="00293E21">
        <w:rPr>
          <w:rFonts w:ascii="Times New Roman" w:hAnsi="Times New Roman" w:cs="Times New Roman"/>
          <w:color w:val="000000"/>
        </w:rPr>
        <w:t>.</w:t>
      </w:r>
      <w:r w:rsidR="00FE0153" w:rsidRPr="00DD657B">
        <w:rPr>
          <w:rFonts w:ascii="Times New Roman" w:hAnsi="Times New Roman" w:cs="Times New Roman"/>
          <w:color w:val="000000"/>
        </w:rPr>
        <w:fldChar w:fldCharType="begin"/>
      </w:r>
      <w:r w:rsidR="00FE0153" w:rsidRPr="00DD657B">
        <w:rPr>
          <w:rFonts w:ascii="Times New Roman" w:hAnsi="Times New Roman" w:cs="Times New Roman"/>
          <w:color w:val="000000"/>
        </w:rPr>
        <w:fldChar w:fldCharType="separate"/>
      </w:r>
      <w:r w:rsidR="00AD6445">
        <w:rPr>
          <w:rFonts w:ascii="Times New Roman" w:hAnsi="Times New Roman" w:cs="Times New Roman"/>
          <w:color w:val="000000"/>
        </w:rPr>
        <w:t>(2, 3)</w:t>
      </w:r>
      <w:r w:rsidR="00FE0153" w:rsidRPr="00DD657B">
        <w:rPr>
          <w:rFonts w:ascii="Times New Roman" w:hAnsi="Times New Roman" w:cs="Times New Roman"/>
          <w:color w:val="000000"/>
        </w:rPr>
        <w:fldChar w:fldCharType="end"/>
      </w:r>
    </w:p>
    <w:p w14:paraId="1CA0E9CD" w14:textId="5C96C8EF" w:rsidR="001709A3" w:rsidRPr="00DD657B" w:rsidRDefault="001709A3" w:rsidP="00EC65F6">
      <w:pPr>
        <w:spacing w:line="360" w:lineRule="auto"/>
        <w:ind w:firstLine="431"/>
        <w:rPr>
          <w:rFonts w:ascii="Times New Roman" w:hAnsi="Times New Roman" w:cs="Times New Roman"/>
          <w:color w:val="000000"/>
        </w:rPr>
      </w:pPr>
      <w:r w:rsidRPr="00DD657B">
        <w:rPr>
          <w:rFonts w:ascii="Times New Roman" w:hAnsi="Times New Roman" w:cs="Times New Roman"/>
          <w:color w:val="000000"/>
        </w:rPr>
        <w:t xml:space="preserve">NICE invited </w:t>
      </w:r>
      <w:r w:rsidR="009464A8" w:rsidRPr="00DD657B">
        <w:rPr>
          <w:rFonts w:ascii="Times New Roman" w:hAnsi="Times New Roman" w:cs="Times New Roman"/>
          <w:color w:val="000000"/>
        </w:rPr>
        <w:t xml:space="preserve">Pfizer, </w:t>
      </w:r>
      <w:r w:rsidRPr="00DD657B">
        <w:rPr>
          <w:rFonts w:ascii="Times New Roman" w:hAnsi="Times New Roman" w:cs="Times New Roman"/>
          <w:color w:val="000000"/>
        </w:rPr>
        <w:t xml:space="preserve">the manufacturer of </w:t>
      </w:r>
      <w:proofErr w:type="spellStart"/>
      <w:r w:rsidRPr="00DD657B">
        <w:rPr>
          <w:rFonts w:ascii="Times New Roman" w:hAnsi="Times New Roman" w:cs="Times New Roman"/>
          <w:color w:val="000000"/>
        </w:rPr>
        <w:t>inotuzumab</w:t>
      </w:r>
      <w:proofErr w:type="spellEnd"/>
      <w:r w:rsidRPr="00DD657B">
        <w:rPr>
          <w:rFonts w:ascii="Times New Roman" w:hAnsi="Times New Roman" w:cs="Times New Roman"/>
          <w:color w:val="000000"/>
        </w:rPr>
        <w:t xml:space="preserve"> </w:t>
      </w:r>
      <w:proofErr w:type="spellStart"/>
      <w:r w:rsidRPr="00DD657B">
        <w:rPr>
          <w:rFonts w:ascii="Times New Roman" w:hAnsi="Times New Roman" w:cs="Times New Roman"/>
          <w:color w:val="000000"/>
        </w:rPr>
        <w:t>oz</w:t>
      </w:r>
      <w:r w:rsidR="00C06056">
        <w:rPr>
          <w:rFonts w:ascii="Times New Roman" w:hAnsi="Times New Roman" w:cs="Times New Roman"/>
          <w:color w:val="000000"/>
        </w:rPr>
        <w:t>o</w:t>
      </w:r>
      <w:r w:rsidRPr="00DD657B">
        <w:rPr>
          <w:rFonts w:ascii="Times New Roman" w:hAnsi="Times New Roman" w:cs="Times New Roman"/>
          <w:color w:val="000000"/>
        </w:rPr>
        <w:t>gam</w:t>
      </w:r>
      <w:r w:rsidR="00C06056">
        <w:rPr>
          <w:rFonts w:ascii="Times New Roman" w:hAnsi="Times New Roman" w:cs="Times New Roman"/>
          <w:color w:val="000000"/>
        </w:rPr>
        <w:t>i</w:t>
      </w:r>
      <w:r w:rsidRPr="00DD657B">
        <w:rPr>
          <w:rFonts w:ascii="Times New Roman" w:hAnsi="Times New Roman" w:cs="Times New Roman"/>
          <w:color w:val="000000"/>
        </w:rPr>
        <w:t>cin</w:t>
      </w:r>
      <w:proofErr w:type="spellEnd"/>
      <w:r w:rsidR="009464A8" w:rsidRPr="00DD657B">
        <w:rPr>
          <w:rFonts w:ascii="Times New Roman" w:hAnsi="Times New Roman" w:cs="Times New Roman"/>
          <w:color w:val="000000"/>
        </w:rPr>
        <w:t xml:space="preserve"> (hereafter </w:t>
      </w:r>
      <w:proofErr w:type="spellStart"/>
      <w:r w:rsidR="009464A8" w:rsidRPr="00DD657B">
        <w:rPr>
          <w:rFonts w:ascii="Times New Roman" w:hAnsi="Times New Roman" w:cs="Times New Roman"/>
          <w:color w:val="000000"/>
        </w:rPr>
        <w:t>inotuzumab</w:t>
      </w:r>
      <w:proofErr w:type="spellEnd"/>
      <w:r w:rsidR="009464A8" w:rsidRPr="00DD657B">
        <w:rPr>
          <w:rFonts w:ascii="Times New Roman" w:hAnsi="Times New Roman" w:cs="Times New Roman"/>
          <w:color w:val="000000"/>
        </w:rPr>
        <w:t>),</w:t>
      </w:r>
      <w:r w:rsidRPr="00DD657B">
        <w:rPr>
          <w:rFonts w:ascii="Times New Roman" w:hAnsi="Times New Roman" w:cs="Times New Roman"/>
          <w:color w:val="000000"/>
        </w:rPr>
        <w:t xml:space="preserve"> to submit clinical and cost-effectiveness evidence for </w:t>
      </w:r>
      <w:proofErr w:type="spellStart"/>
      <w:r w:rsidRPr="00DD657B">
        <w:rPr>
          <w:rFonts w:ascii="Times New Roman" w:hAnsi="Times New Roman" w:cs="Times New Roman"/>
          <w:color w:val="000000"/>
        </w:rPr>
        <w:t>inotuzumab</w:t>
      </w:r>
      <w:proofErr w:type="spellEnd"/>
      <w:r w:rsidRPr="00DD657B">
        <w:rPr>
          <w:rFonts w:ascii="Times New Roman" w:hAnsi="Times New Roman" w:cs="Times New Roman"/>
          <w:color w:val="000000"/>
        </w:rPr>
        <w:t xml:space="preserve"> for the treatment of adult patients with relapsed or refractory (R/R) B-cell acute lymphoblastic leukaemia (ALL), as part of </w:t>
      </w:r>
      <w:r w:rsidR="007B2888">
        <w:rPr>
          <w:rFonts w:ascii="Times New Roman" w:hAnsi="Times New Roman" w:cs="Times New Roman"/>
          <w:color w:val="000000"/>
        </w:rPr>
        <w:t>the</w:t>
      </w:r>
      <w:r w:rsidR="00AB6741" w:rsidRPr="00DD657B">
        <w:rPr>
          <w:rFonts w:ascii="Times New Roman" w:hAnsi="Times New Roman" w:cs="Times New Roman"/>
          <w:color w:val="000000"/>
        </w:rPr>
        <w:t xml:space="preserve"> </w:t>
      </w:r>
      <w:r w:rsidR="008B3FFE">
        <w:rPr>
          <w:rFonts w:ascii="Times New Roman" w:hAnsi="Times New Roman" w:cs="Times New Roman"/>
          <w:color w:val="000000"/>
        </w:rPr>
        <w:t>STA</w:t>
      </w:r>
      <w:r w:rsidRPr="00DD657B">
        <w:rPr>
          <w:rFonts w:ascii="Times New Roman" w:hAnsi="Times New Roman" w:cs="Times New Roman"/>
          <w:color w:val="000000"/>
        </w:rPr>
        <w:t xml:space="preserve"> process.</w:t>
      </w:r>
      <w:r w:rsidR="00AE09E6">
        <w:rPr>
          <w:rFonts w:ascii="Times New Roman" w:hAnsi="Times New Roman" w:cs="Times New Roman"/>
          <w:color w:val="000000"/>
        </w:rPr>
        <w:t xml:space="preserve"> </w:t>
      </w:r>
      <w:r w:rsidR="00AE09E6" w:rsidRPr="00AE09E6">
        <w:rPr>
          <w:rFonts w:ascii="Times New Roman" w:hAnsi="Times New Roman" w:cs="Times New Roman"/>
          <w:color w:val="000000"/>
        </w:rPr>
        <w:t xml:space="preserve">The Centre for Reviews and Dissemination and Centre for Health Economics at the University of York were commissioned as the independent Evidence Review Group (ERG). </w:t>
      </w:r>
      <w:r w:rsidRPr="00DD657B">
        <w:rPr>
          <w:rFonts w:ascii="Times New Roman" w:hAnsi="Times New Roman" w:cs="Times New Roman"/>
          <w:color w:val="000000"/>
        </w:rPr>
        <w:t xml:space="preserve"> This article presents a summary of the ERG's independent </w:t>
      </w:r>
      <w:r w:rsidR="00B15F8C">
        <w:rPr>
          <w:rFonts w:ascii="Times New Roman" w:hAnsi="Times New Roman" w:cs="Times New Roman"/>
          <w:color w:val="000000"/>
        </w:rPr>
        <w:t xml:space="preserve">report </w:t>
      </w:r>
      <w:r w:rsidR="008B3FFE">
        <w:rPr>
          <w:rFonts w:ascii="Times New Roman" w:hAnsi="Times New Roman" w:cs="Times New Roman"/>
          <w:color w:val="000000"/>
        </w:rPr>
        <w:t>on</w:t>
      </w:r>
      <w:r w:rsidR="00B15F8C">
        <w:rPr>
          <w:rFonts w:ascii="Times New Roman" w:hAnsi="Times New Roman" w:cs="Times New Roman"/>
          <w:color w:val="000000"/>
        </w:rPr>
        <w:t xml:space="preserve"> </w:t>
      </w:r>
      <w:r w:rsidRPr="00DD657B">
        <w:rPr>
          <w:rFonts w:ascii="Times New Roman" w:hAnsi="Times New Roman" w:cs="Times New Roman"/>
          <w:color w:val="000000"/>
        </w:rPr>
        <w:t>the company's submission</w:t>
      </w:r>
      <w:r w:rsidR="00760B85">
        <w:rPr>
          <w:rFonts w:ascii="Times New Roman" w:hAnsi="Times New Roman" w:cs="Times New Roman"/>
          <w:color w:val="000000"/>
        </w:rPr>
        <w:t>s</w:t>
      </w:r>
      <w:r w:rsidRPr="00DD657B">
        <w:rPr>
          <w:rFonts w:ascii="Times New Roman" w:hAnsi="Times New Roman" w:cs="Times New Roman"/>
          <w:color w:val="000000"/>
        </w:rPr>
        <w:t xml:space="preserve"> to NICE</w:t>
      </w:r>
      <w:r w:rsidR="00822AE9">
        <w:rPr>
          <w:rFonts w:ascii="Times New Roman" w:hAnsi="Times New Roman" w:cs="Times New Roman"/>
          <w:color w:val="000000"/>
        </w:rPr>
        <w:t>,</w:t>
      </w:r>
      <w:r w:rsidRPr="00DD657B">
        <w:rPr>
          <w:rFonts w:ascii="Times New Roman" w:hAnsi="Times New Roman" w:cs="Times New Roman"/>
          <w:color w:val="000000"/>
        </w:rPr>
        <w:t xml:space="preserve"> and the subsequent development of NICE guidance for the use of </w:t>
      </w:r>
      <w:proofErr w:type="spellStart"/>
      <w:r w:rsidRPr="00DD657B">
        <w:rPr>
          <w:rFonts w:ascii="Times New Roman" w:hAnsi="Times New Roman" w:cs="Times New Roman"/>
          <w:color w:val="000000"/>
        </w:rPr>
        <w:t>inotuzumab</w:t>
      </w:r>
      <w:proofErr w:type="spellEnd"/>
      <w:r w:rsidRPr="00DD657B">
        <w:rPr>
          <w:rFonts w:ascii="Times New Roman" w:hAnsi="Times New Roman" w:cs="Times New Roman"/>
          <w:color w:val="000000"/>
        </w:rPr>
        <w:t xml:space="preserve"> for the treatment of R/R B-cell ALL in adults. Full details of the relevant appraisal</w:t>
      </w:r>
      <w:r w:rsidR="007D273D">
        <w:rPr>
          <w:rFonts w:ascii="Times New Roman" w:hAnsi="Times New Roman" w:cs="Times New Roman"/>
          <w:color w:val="000000"/>
        </w:rPr>
        <w:t xml:space="preserve"> </w:t>
      </w:r>
      <w:r w:rsidRPr="00DD657B">
        <w:rPr>
          <w:rFonts w:ascii="Times New Roman" w:hAnsi="Times New Roman" w:cs="Times New Roman"/>
          <w:color w:val="000000"/>
        </w:rPr>
        <w:t xml:space="preserve">documents, including the appraisal scope, </w:t>
      </w:r>
      <w:r w:rsidR="00B15F8C">
        <w:rPr>
          <w:rFonts w:ascii="Times New Roman" w:hAnsi="Times New Roman" w:cs="Times New Roman"/>
          <w:color w:val="000000"/>
        </w:rPr>
        <w:t>company and consultee</w:t>
      </w:r>
      <w:r w:rsidRPr="00DD657B">
        <w:rPr>
          <w:rFonts w:ascii="Times New Roman" w:hAnsi="Times New Roman" w:cs="Times New Roman"/>
          <w:color w:val="000000"/>
        </w:rPr>
        <w:t xml:space="preserve"> submission</w:t>
      </w:r>
      <w:r w:rsidR="00B15F8C">
        <w:rPr>
          <w:rFonts w:ascii="Times New Roman" w:hAnsi="Times New Roman" w:cs="Times New Roman"/>
          <w:color w:val="000000"/>
        </w:rPr>
        <w:t>s</w:t>
      </w:r>
      <w:r w:rsidRPr="00DD657B">
        <w:rPr>
          <w:rFonts w:ascii="Times New Roman" w:hAnsi="Times New Roman" w:cs="Times New Roman"/>
          <w:color w:val="000000"/>
        </w:rPr>
        <w:t>, ERG report, Appraisal Consultation Document (ACD),</w:t>
      </w:r>
      <w:r w:rsidR="00FC152B">
        <w:rPr>
          <w:rFonts w:ascii="Times New Roman" w:hAnsi="Times New Roman" w:cs="Times New Roman"/>
          <w:color w:val="000000"/>
        </w:rPr>
        <w:t xml:space="preserve"> </w:t>
      </w:r>
      <w:r w:rsidRPr="00DD657B">
        <w:rPr>
          <w:rFonts w:ascii="Times New Roman" w:hAnsi="Times New Roman" w:cs="Times New Roman"/>
          <w:color w:val="000000"/>
        </w:rPr>
        <w:t>Final Appraisal Determination (FAD)</w:t>
      </w:r>
      <w:r w:rsidR="00FC152B">
        <w:rPr>
          <w:rFonts w:ascii="Times New Roman" w:hAnsi="Times New Roman" w:cs="Times New Roman"/>
          <w:color w:val="000000"/>
        </w:rPr>
        <w:t>, company appeal</w:t>
      </w:r>
      <w:r w:rsidRPr="00DD657B">
        <w:rPr>
          <w:rFonts w:ascii="Times New Roman" w:hAnsi="Times New Roman" w:cs="Times New Roman"/>
          <w:color w:val="000000"/>
        </w:rPr>
        <w:t xml:space="preserve"> and responses to these documents can be found on the NICE website</w:t>
      </w:r>
      <w:r w:rsidR="00293E21">
        <w:rPr>
          <w:rFonts w:ascii="Times New Roman" w:hAnsi="Times New Roman" w:cs="Times New Roman"/>
          <w:color w:val="000000"/>
        </w:rPr>
        <w:t xml:space="preserve"> </w:t>
      </w:r>
      <w:r w:rsidR="0063183C" w:rsidRPr="00DD657B">
        <w:rPr>
          <w:rFonts w:ascii="Times New Roman" w:hAnsi="Times New Roman" w:cs="Times New Roman"/>
          <w:color w:val="000000"/>
        </w:rPr>
        <w:fldChar w:fldCharType="begin"/>
      </w:r>
      <w:r w:rsidR="00BE567A">
        <w:rPr>
          <w:rFonts w:ascii="Times New Roman" w:hAnsi="Times New Roman" w:cs="Times New Roman"/>
          <w:color w:val="000000"/>
        </w:rPr>
        <w:instrText xml:space="preserve"> ADDIN EN.CITE &lt;EndNote&gt;&lt;Cite&gt;&lt;Author&gt;National Institute for Health and Care Excellence&lt;/Author&gt;&lt;Year&gt;2018&lt;/Year&gt;&lt;RecNum&gt;45&lt;/RecNum&gt;&lt;DisplayText&gt;[4]&lt;/DisplayText&gt;&lt;record&gt;&lt;rec-number&gt;45&lt;/rec-number&gt;&lt;foreign-keys&gt;&lt;key app="EN" db-id="9f090dpxqtedprezvanxwdxlwv2d9d9dp2rs" timestamp="0"&gt;45&lt;/key&gt;&lt;/foreign-keys&gt;&lt;ref-type name="Web Page"&gt;12&lt;/ref-type&gt;&lt;contributors&gt;&lt;authors&gt;&lt;author&gt;National Institute for Health and Care Excellence,&lt;/author&gt;&lt;/authors&gt;&lt;/contributors&gt;&lt;titles&gt;&lt;title&gt;Inotuzumab ozogamicin for treating relapsed or refractory acute lymphoblastic leukaemia [ID893]&lt;/title&gt;&lt;/titles&gt;&lt;dates&gt;&lt;year&gt;2018&lt;/year&gt;&lt;/dates&gt;&lt;urls&gt;&lt;related-urls&gt;&lt;url&gt;&lt;style face="underline" font="default" size="100%"&gt;https://www.nice.org.uk/guidance/indevelopment/gid-ta10091&lt;/style&gt;&lt;/url&gt;&lt;/related-urls&gt;&lt;/urls&gt;&lt;/record&gt;&lt;/Cite&gt;&lt;/EndNote&gt;</w:instrText>
      </w:r>
      <w:r w:rsidR="0063183C" w:rsidRPr="00DD657B">
        <w:rPr>
          <w:rFonts w:ascii="Times New Roman" w:hAnsi="Times New Roman" w:cs="Times New Roman"/>
          <w:color w:val="000000"/>
        </w:rPr>
        <w:fldChar w:fldCharType="separate"/>
      </w:r>
      <w:r w:rsidR="0006339D">
        <w:rPr>
          <w:rFonts w:ascii="Times New Roman" w:hAnsi="Times New Roman" w:cs="Times New Roman"/>
          <w:noProof/>
          <w:color w:val="000000"/>
        </w:rPr>
        <w:t>[4]</w:t>
      </w:r>
      <w:r w:rsidR="0063183C" w:rsidRPr="00DD657B">
        <w:rPr>
          <w:rFonts w:ascii="Times New Roman" w:hAnsi="Times New Roman" w:cs="Times New Roman"/>
          <w:color w:val="000000"/>
        </w:rPr>
        <w:fldChar w:fldCharType="end"/>
      </w:r>
      <w:r w:rsidR="00293E21">
        <w:rPr>
          <w:rFonts w:ascii="Times New Roman" w:hAnsi="Times New Roman" w:cs="Times New Roman"/>
          <w:color w:val="000000"/>
        </w:rPr>
        <w:t>.</w:t>
      </w:r>
    </w:p>
    <w:p w14:paraId="0BFB0C02" w14:textId="4F11CB32" w:rsidR="00D16658" w:rsidRPr="00D16658" w:rsidRDefault="007B2825" w:rsidP="00E61BB0">
      <w:pPr>
        <w:pStyle w:val="Heading1"/>
        <w:spacing w:after="160" w:line="360" w:lineRule="auto"/>
        <w:ind w:left="431" w:hanging="431"/>
      </w:pPr>
      <w:r w:rsidRPr="008A224E">
        <w:rPr>
          <w:rFonts w:cs="Times New Roman"/>
        </w:rPr>
        <w:t>Decision Problem</w:t>
      </w:r>
    </w:p>
    <w:p w14:paraId="39086DA9" w14:textId="036C61E7" w:rsidR="00DD657B" w:rsidRPr="008B7DFC" w:rsidRDefault="00DD657B" w:rsidP="00E61BB0">
      <w:pPr>
        <w:spacing w:line="360" w:lineRule="auto"/>
        <w:rPr>
          <w:rFonts w:ascii="Times New Roman" w:hAnsi="Times New Roman" w:cs="Times New Roman"/>
          <w:color w:val="000000"/>
        </w:rPr>
      </w:pPr>
      <w:r w:rsidRPr="008B7DFC">
        <w:rPr>
          <w:rFonts w:ascii="Times New Roman" w:hAnsi="Times New Roman" w:cs="Times New Roman"/>
          <w:color w:val="000000"/>
        </w:rPr>
        <w:t>Acute lymphoblastic leukaemia (ALL) is a type of cancer affecting the white blood cells. Whilst ALL is the most common type of childhood cancer,</w:t>
      </w:r>
      <w:r w:rsidR="006E55EA">
        <w:rPr>
          <w:rFonts w:ascii="Times New Roman" w:hAnsi="Times New Roman" w:cs="Times New Roman"/>
          <w:color w:val="000000"/>
        </w:rPr>
        <w:t xml:space="preserve"> it is rarer in adults, and</w:t>
      </w:r>
      <w:r w:rsidR="00F77E31" w:rsidRPr="00F77E31">
        <w:rPr>
          <w:rFonts w:ascii="Times New Roman" w:hAnsi="Times New Roman" w:cs="Times New Roman"/>
          <w:color w:val="000000"/>
        </w:rPr>
        <w:t xml:space="preserve"> accounts for less than 1% of all new </w:t>
      </w:r>
      <w:r w:rsidR="00AB6741">
        <w:rPr>
          <w:rFonts w:ascii="Times New Roman" w:hAnsi="Times New Roman" w:cs="Times New Roman"/>
          <w:color w:val="000000"/>
        </w:rPr>
        <w:t xml:space="preserve">cancer </w:t>
      </w:r>
      <w:r w:rsidR="00F77E31" w:rsidRPr="00F77E31">
        <w:rPr>
          <w:rFonts w:ascii="Times New Roman" w:hAnsi="Times New Roman" w:cs="Times New Roman"/>
          <w:color w:val="000000"/>
        </w:rPr>
        <w:t>cases in the UK</w:t>
      </w:r>
      <w:r w:rsidR="00293E21">
        <w:rPr>
          <w:rFonts w:ascii="Times New Roman" w:hAnsi="Times New Roman" w:cs="Times New Roman"/>
          <w:color w:val="000000"/>
        </w:rPr>
        <w:t xml:space="preserve"> </w:t>
      </w:r>
      <w:r w:rsidR="00AA7A3C">
        <w:rPr>
          <w:rFonts w:ascii="Times New Roman" w:hAnsi="Times New Roman" w:cs="Times New Roman"/>
          <w:color w:val="000000"/>
        </w:rPr>
        <w:fldChar w:fldCharType="begin"/>
      </w:r>
      <w:r w:rsidR="00BE567A">
        <w:rPr>
          <w:rFonts w:ascii="Times New Roman" w:hAnsi="Times New Roman" w:cs="Times New Roman"/>
          <w:color w:val="000000"/>
        </w:rPr>
        <w:instrText xml:space="preserve"> ADDIN EN.CITE &lt;EndNote&gt;&lt;Cite&gt;&lt;Author&gt;Cancer Research UK&lt;/Author&gt;&lt;RecNum&gt;58&lt;/RecNum&gt;&lt;DisplayText&gt;[5]&lt;/DisplayText&gt;&lt;record&gt;&lt;rec-number&gt;58&lt;/rec-number&gt;&lt;foreign-keys&gt;&lt;key app="EN" db-id="9f090dpxqtedprezvanxwdxlwv2d9d9dp2rs" timestamp="0"&gt;58&lt;/key&gt;&lt;/foreign-keys&gt;&lt;ref-type name="Web Page"&gt;12&lt;/ref-type&gt;&lt;contributors&gt;&lt;authors&gt;&lt;author&gt;Cancer Research UK,&lt;/author&gt;&lt;/authors&gt;&lt;/contributors&gt;&lt;titles&gt;&lt;title&gt;Acute lymphoblastic leukaemia (ALL) incidence statistics&lt;/title&gt;&lt;/titles&gt;&lt;volume&gt;2018&lt;/volume&gt;&lt;number&gt;January &lt;/number&gt;&lt;dates&gt;&lt;pub-dates&gt;&lt;date&gt;2014&lt;/date&gt;&lt;/pub-dates&gt;&lt;/dates&gt;&lt;urls&gt;&lt;related-urls&gt;&lt;url&gt;http://www.cancerresearchuk.org/health-professional/cancer-statistics/statistics-by-cancer-type/leukaemia-all/incidence#heading-Zero&lt;/url&gt;&lt;/related-urls&gt;&lt;/urls&gt;&lt;/record&gt;&lt;/Cite&gt;&lt;/EndNote&gt;</w:instrText>
      </w:r>
      <w:r w:rsidR="00AA7A3C">
        <w:rPr>
          <w:rFonts w:ascii="Times New Roman" w:hAnsi="Times New Roman" w:cs="Times New Roman"/>
          <w:color w:val="000000"/>
        </w:rPr>
        <w:fldChar w:fldCharType="separate"/>
      </w:r>
      <w:r w:rsidR="0006339D">
        <w:rPr>
          <w:rFonts w:ascii="Times New Roman" w:hAnsi="Times New Roman" w:cs="Times New Roman"/>
          <w:noProof/>
          <w:color w:val="000000"/>
        </w:rPr>
        <w:t>[5]</w:t>
      </w:r>
      <w:r w:rsidR="00AA7A3C">
        <w:rPr>
          <w:rFonts w:ascii="Times New Roman" w:hAnsi="Times New Roman" w:cs="Times New Roman"/>
          <w:color w:val="000000"/>
        </w:rPr>
        <w:fldChar w:fldCharType="end"/>
      </w:r>
      <w:r w:rsidR="00293E21">
        <w:rPr>
          <w:rFonts w:ascii="Times New Roman" w:hAnsi="Times New Roman" w:cs="Times New Roman"/>
          <w:color w:val="000000"/>
        </w:rPr>
        <w:t>.</w:t>
      </w:r>
      <w:r w:rsidR="00F77E31">
        <w:rPr>
          <w:rFonts w:ascii="Times New Roman" w:hAnsi="Times New Roman" w:cs="Times New Roman"/>
          <w:color w:val="000000"/>
        </w:rPr>
        <w:t xml:space="preserve"> </w:t>
      </w:r>
      <w:r w:rsidR="00965F9D">
        <w:rPr>
          <w:rFonts w:ascii="Times New Roman" w:hAnsi="Times New Roman" w:cs="Times New Roman"/>
          <w:color w:val="000000"/>
        </w:rPr>
        <w:t>The risk of mortality with ALL is highest in adults</w:t>
      </w:r>
      <w:r w:rsidR="0054331C">
        <w:rPr>
          <w:rFonts w:ascii="Times New Roman" w:hAnsi="Times New Roman" w:cs="Times New Roman"/>
          <w:color w:val="000000"/>
        </w:rPr>
        <w:t>,</w:t>
      </w:r>
      <w:r w:rsidR="00965F9D">
        <w:rPr>
          <w:rFonts w:ascii="Times New Roman" w:hAnsi="Times New Roman" w:cs="Times New Roman"/>
          <w:color w:val="000000"/>
        </w:rPr>
        <w:t xml:space="preserve"> who</w:t>
      </w:r>
      <w:r w:rsidRPr="008B7DFC">
        <w:rPr>
          <w:rFonts w:ascii="Times New Roman" w:hAnsi="Times New Roman" w:cs="Times New Roman"/>
          <w:color w:val="000000"/>
        </w:rPr>
        <w:t xml:space="preserve"> </w:t>
      </w:r>
      <w:r w:rsidR="006E55EA">
        <w:rPr>
          <w:rFonts w:ascii="Times New Roman" w:hAnsi="Times New Roman" w:cs="Times New Roman"/>
          <w:color w:val="000000"/>
        </w:rPr>
        <w:t>represent</w:t>
      </w:r>
      <w:r w:rsidRPr="008B7DFC">
        <w:rPr>
          <w:rFonts w:ascii="Times New Roman" w:hAnsi="Times New Roman" w:cs="Times New Roman"/>
          <w:color w:val="000000"/>
        </w:rPr>
        <w:t xml:space="preserve"> 40% of ALL cases</w:t>
      </w:r>
      <w:r w:rsidR="0021548A">
        <w:rPr>
          <w:rFonts w:ascii="Times New Roman" w:hAnsi="Times New Roman" w:cs="Times New Roman"/>
          <w:color w:val="000000"/>
        </w:rPr>
        <w:t>,</w:t>
      </w:r>
      <w:r w:rsidRPr="008B7DFC">
        <w:rPr>
          <w:rFonts w:ascii="Times New Roman" w:hAnsi="Times New Roman" w:cs="Times New Roman"/>
          <w:color w:val="000000"/>
        </w:rPr>
        <w:t xml:space="preserve"> but </w:t>
      </w:r>
      <w:r w:rsidR="00965F9D">
        <w:rPr>
          <w:rFonts w:ascii="Times New Roman" w:hAnsi="Times New Roman" w:cs="Times New Roman"/>
          <w:color w:val="000000"/>
        </w:rPr>
        <w:t>constitute</w:t>
      </w:r>
      <w:r w:rsidRPr="008B7DFC">
        <w:rPr>
          <w:rFonts w:ascii="Times New Roman" w:hAnsi="Times New Roman" w:cs="Times New Roman"/>
          <w:color w:val="000000"/>
        </w:rPr>
        <w:t xml:space="preserve"> 80% of ALL deaths</w:t>
      </w:r>
      <w:r w:rsidR="00293E21">
        <w:rPr>
          <w:rFonts w:ascii="Times New Roman" w:hAnsi="Times New Roman" w:cs="Times New Roman"/>
          <w:color w:val="000000"/>
        </w:rPr>
        <w:t xml:space="preserve"> </w:t>
      </w:r>
      <w:r w:rsidR="00627EC9">
        <w:rPr>
          <w:rFonts w:ascii="Times New Roman" w:hAnsi="Times New Roman" w:cs="Times New Roman"/>
          <w:color w:val="000000"/>
        </w:rPr>
        <w:fldChar w:fldCharType="begin"/>
      </w:r>
      <w:r w:rsidR="00BE567A">
        <w:rPr>
          <w:rFonts w:ascii="Times New Roman" w:hAnsi="Times New Roman" w:cs="Times New Roman"/>
          <w:color w:val="000000"/>
        </w:rPr>
        <w:instrText xml:space="preserve"> ADDIN EN.CITE &lt;EndNote&gt;&lt;Cite&gt;&lt;Author&gt;Inaba&lt;/Author&gt;&lt;RecNum&gt;48&lt;/RecNum&gt;&lt;DisplayText&gt;[6, 7]&lt;/DisplayText&gt;&lt;record&gt;&lt;rec-number&gt;48&lt;/rec-number&gt;&lt;foreign-keys&gt;&lt;key app="EN" db-id="9f090dpxqtedprezvanxwdxlwv2d9d9dp2rs" timestamp="0"&gt;48&lt;/key&gt;&lt;/foreign-keys&gt;&lt;ref-type name="Journal Article"&gt;17&lt;/ref-type&gt;&lt;contributors&gt;&lt;authors&gt;&lt;author&gt;Inaba, Hiroto&lt;/author&gt;&lt;author&gt;Greaves, Mel&lt;/author&gt;&lt;author&gt;Mullighan, Charles G.&lt;/author&gt;&lt;/authors&gt;&lt;/contributors&gt;&lt;titles&gt;&lt;title&gt;Acute lymphoblastic leukaemia&lt;/title&gt;&lt;secondary-title&gt;The Lancet&lt;/secondary-title&gt;&lt;/titles&gt;&lt;pages&gt;1943-1955&lt;/pages&gt;&lt;volume&gt;381&lt;/volume&gt;&lt;number&gt;9881&lt;/number&gt;&lt;dates&gt;&lt;/dates&gt;&lt;publisher&gt;Elsevier&lt;/publisher&gt;&lt;isbn&gt;0140-6736&lt;/isbn&gt;&lt;urls&gt;&lt;related-urls&gt;&lt;url&gt;http://dx.doi.org/10.1016/S0140-6736(12)62187-4&lt;/url&gt;&lt;/related-urls&gt;&lt;/urls&gt;&lt;electronic-resource-num&gt;10.1016/S0140-6736(12)62187-4&lt;/electronic-resource-num&gt;&lt;access-date&gt;2017/11/09&lt;/access-date&gt;&lt;/record&gt;&lt;/Cite&gt;&lt;Cite&gt;&lt;Author&gt;American Cancer Society&lt;/Author&gt;&lt;Year&gt;Last revised January 5, 2017&lt;/Year&gt;&lt;RecNum&gt;49&lt;/RecNum&gt;&lt;record&gt;&lt;rec-number&gt;49&lt;/rec-number&gt;&lt;foreign-keys&gt;&lt;key app="EN" db-id="9f090dpxqtedprezvanxwdxlwv2d9d9dp2rs" timestamp="0"&gt;49&lt;/key&gt;&lt;/foreign-keys&gt;&lt;ref-type name="Web Page"&gt;12&lt;/ref-type&gt;&lt;contributors&gt;&lt;authors&gt;&lt;author&gt;American Cancer Society,&lt;/author&gt;&lt;/authors&gt;&lt;/contributors&gt;&lt;titles&gt;&lt;title&gt;What Are the Key Statistics About Acute Lymphocytic Leukemia?&lt;/title&gt;&lt;/titles&gt;&lt;volume&gt;2017&lt;/volume&gt;&lt;dates&gt;&lt;year&gt;Last revised January 5, 2017&lt;/year&gt;&lt;/dates&gt;&lt;urls&gt;&lt;related-urls&gt;&lt;url&gt;https://www.cancer.org/cancer/acute-lymphocytic-leukemia/about/key-statistics.html#references&lt;/url&gt;&lt;/related-urls&gt;&lt;/urls&gt;&lt;/record&gt;&lt;/Cite&gt;&lt;/EndNote&gt;</w:instrText>
      </w:r>
      <w:r w:rsidR="00627EC9">
        <w:rPr>
          <w:rFonts w:ascii="Times New Roman" w:hAnsi="Times New Roman" w:cs="Times New Roman"/>
          <w:color w:val="000000"/>
        </w:rPr>
        <w:fldChar w:fldCharType="separate"/>
      </w:r>
      <w:r w:rsidR="0006339D">
        <w:rPr>
          <w:rFonts w:ascii="Times New Roman" w:hAnsi="Times New Roman" w:cs="Times New Roman"/>
          <w:noProof/>
          <w:color w:val="000000"/>
        </w:rPr>
        <w:t>[6, 7]</w:t>
      </w:r>
      <w:r w:rsidR="00627EC9">
        <w:rPr>
          <w:rFonts w:ascii="Times New Roman" w:hAnsi="Times New Roman" w:cs="Times New Roman"/>
          <w:color w:val="000000"/>
        </w:rPr>
        <w:fldChar w:fldCharType="end"/>
      </w:r>
      <w:r w:rsidR="00293E21">
        <w:rPr>
          <w:rFonts w:ascii="Times New Roman" w:hAnsi="Times New Roman" w:cs="Times New Roman"/>
          <w:color w:val="000000"/>
        </w:rPr>
        <w:t>.</w:t>
      </w:r>
      <w:r w:rsidRPr="008B7DFC">
        <w:rPr>
          <w:rFonts w:ascii="Times New Roman" w:hAnsi="Times New Roman" w:cs="Times New Roman"/>
          <w:color w:val="000000"/>
        </w:rPr>
        <w:t xml:space="preserve"> </w:t>
      </w:r>
      <w:r w:rsidR="007B1EDC" w:rsidRPr="008B7DFC">
        <w:rPr>
          <w:rFonts w:ascii="Times New Roman" w:hAnsi="Times New Roman" w:cs="Times New Roman"/>
          <w:color w:val="000000"/>
        </w:rPr>
        <w:t>Approximately</w:t>
      </w:r>
      <w:r w:rsidRPr="008B7DFC">
        <w:rPr>
          <w:rFonts w:ascii="Times New Roman" w:hAnsi="Times New Roman" w:cs="Times New Roman"/>
          <w:color w:val="000000"/>
        </w:rPr>
        <w:t xml:space="preserve"> three quarters of ALL patients have disease derived from precursor B-c</w:t>
      </w:r>
      <w:r w:rsidR="003E0602">
        <w:rPr>
          <w:rFonts w:ascii="Times New Roman" w:hAnsi="Times New Roman" w:cs="Times New Roman"/>
          <w:color w:val="000000"/>
        </w:rPr>
        <w:t>ells (B-cell ALL)</w:t>
      </w:r>
      <w:r w:rsidR="006829AB">
        <w:rPr>
          <w:rFonts w:ascii="Times New Roman" w:hAnsi="Times New Roman" w:cs="Times New Roman"/>
          <w:color w:val="000000"/>
        </w:rPr>
        <w:t xml:space="preserve"> </w:t>
      </w:r>
      <w:r w:rsidR="006829AB" w:rsidRPr="006829AB">
        <w:rPr>
          <w:rFonts w:ascii="Times New Roman" w:hAnsi="Times New Roman" w:cs="Times New Roman"/>
          <w:color w:val="000000"/>
        </w:rPr>
        <w:t>while T-cell ALL comprises the remaining cases</w:t>
      </w:r>
      <w:r w:rsidR="00293E21">
        <w:rPr>
          <w:rFonts w:ascii="Times New Roman" w:hAnsi="Times New Roman" w:cs="Times New Roman"/>
          <w:color w:val="000000"/>
        </w:rPr>
        <w:t xml:space="preserve"> </w:t>
      </w:r>
      <w:r w:rsidR="00AA7A3C">
        <w:rPr>
          <w:rFonts w:ascii="Times New Roman" w:hAnsi="Times New Roman" w:cs="Times New Roman"/>
          <w:color w:val="000000"/>
        </w:rPr>
        <w:fldChar w:fldCharType="begin"/>
      </w:r>
      <w:r w:rsidR="00BE567A">
        <w:rPr>
          <w:rFonts w:ascii="Times New Roman" w:hAnsi="Times New Roman" w:cs="Times New Roman"/>
          <w:color w:val="000000"/>
        </w:rPr>
        <w:instrText xml:space="preserve"> ADDIN EN.CITE &lt;EndNote&gt;&lt;Cite&gt;&lt;Author&gt;Terwilliger&lt;/Author&gt;&lt;Year&gt;2017&lt;/Year&gt;&lt;RecNum&gt;57&lt;/RecNum&gt;&lt;DisplayText&gt;[8]&lt;/DisplayText&gt;&lt;record&gt;&lt;rec-number&gt;57&lt;/rec-number&gt;&lt;foreign-keys&gt;&lt;key app="EN" db-id="9f090dpxqtedprezvanxwdxlwv2d9d9dp2rs" timestamp="0"&gt;57&lt;/key&gt;&lt;/foreign-keys&gt;&lt;ref-type name="Journal Article"&gt;17&lt;/ref-type&gt;&lt;contributors&gt;&lt;authors&gt;&lt;author&gt;Terwilliger, T.&lt;/author&gt;&lt;author&gt;Abdul-Hay, M.&lt;/author&gt;&lt;/authors&gt;&lt;/contributors&gt;&lt;titles&gt;&lt;title&gt;Acute lymphoblastic leukemia: a comprehensive review and 2017 update&lt;/title&gt;&lt;secondary-title&gt;Blood Cancer Journal&lt;/secondary-title&gt;&lt;/titles&gt;&lt;pages&gt;e577&lt;/pages&gt;&lt;volume&gt;7&lt;/volume&gt;&lt;number&gt;6&lt;/number&gt;&lt;dates&gt;&lt;year&gt;2017&lt;/year&gt;&lt;pub-dates&gt;&lt;date&gt;06/30&amp;#xD;03/28/received&amp;#xD;04/21/accepted&lt;/date&gt;&lt;/pub-dates&gt;&lt;/dates&gt;&lt;publisher&gt;Nature Publishing Group&lt;/publisher&gt;&lt;isbn&gt;2044-5385&lt;/isbn&gt;&lt;accession-num&gt;PMC5520400&lt;/accession-num&gt;&lt;urls&gt;&lt;related-urls&gt;&lt;url&gt;http://www.ncbi.nlm.nih.gov/pmc/articles/PMC5520400/&lt;/url&gt;&lt;/related-urls&gt;&lt;/urls&gt;&lt;electronic-resource-num&gt;10.1038/bcj.2017.53&lt;/electronic-resource-num&gt;&lt;remote-database-name&gt;PMC&lt;/remote-database-name&gt;&lt;/record&gt;&lt;/Cite&gt;&lt;/EndNote&gt;</w:instrText>
      </w:r>
      <w:r w:rsidR="00AA7A3C">
        <w:rPr>
          <w:rFonts w:ascii="Times New Roman" w:hAnsi="Times New Roman" w:cs="Times New Roman"/>
          <w:color w:val="000000"/>
        </w:rPr>
        <w:fldChar w:fldCharType="separate"/>
      </w:r>
      <w:r w:rsidR="0006339D">
        <w:rPr>
          <w:rFonts w:ascii="Times New Roman" w:hAnsi="Times New Roman" w:cs="Times New Roman"/>
          <w:noProof/>
          <w:color w:val="000000"/>
        </w:rPr>
        <w:t>[8]</w:t>
      </w:r>
      <w:r w:rsidR="00AA7A3C">
        <w:rPr>
          <w:rFonts w:ascii="Times New Roman" w:hAnsi="Times New Roman" w:cs="Times New Roman"/>
          <w:color w:val="000000"/>
        </w:rPr>
        <w:fldChar w:fldCharType="end"/>
      </w:r>
      <w:r w:rsidR="00293E21">
        <w:rPr>
          <w:rFonts w:ascii="Times New Roman" w:hAnsi="Times New Roman" w:cs="Times New Roman"/>
          <w:color w:val="000000"/>
        </w:rPr>
        <w:t>.</w:t>
      </w:r>
      <w:r w:rsidR="006829AB">
        <w:rPr>
          <w:rFonts w:ascii="Times New Roman" w:hAnsi="Times New Roman" w:cs="Times New Roman"/>
          <w:color w:val="000000"/>
        </w:rPr>
        <w:t xml:space="preserve"> T</w:t>
      </w:r>
      <w:r w:rsidR="008A6ED8">
        <w:rPr>
          <w:rFonts w:ascii="Times New Roman" w:hAnsi="Times New Roman" w:cs="Times New Roman"/>
          <w:color w:val="000000"/>
        </w:rPr>
        <w:t>he</w:t>
      </w:r>
      <w:r w:rsidR="00BE7BBE">
        <w:rPr>
          <w:rFonts w:ascii="Times New Roman" w:hAnsi="Times New Roman" w:cs="Times New Roman"/>
          <w:color w:val="000000"/>
        </w:rPr>
        <w:t xml:space="preserve"> majority of adult</w:t>
      </w:r>
      <w:r w:rsidR="00211BF9">
        <w:rPr>
          <w:rFonts w:ascii="Times New Roman" w:hAnsi="Times New Roman" w:cs="Times New Roman"/>
          <w:color w:val="000000"/>
        </w:rPr>
        <w:t xml:space="preserve"> </w:t>
      </w:r>
      <w:r w:rsidR="006829AB">
        <w:rPr>
          <w:rFonts w:ascii="Times New Roman" w:hAnsi="Times New Roman" w:cs="Times New Roman"/>
          <w:color w:val="000000"/>
        </w:rPr>
        <w:t xml:space="preserve">ALL </w:t>
      </w:r>
      <w:r w:rsidR="001E3419">
        <w:rPr>
          <w:rFonts w:ascii="Times New Roman" w:hAnsi="Times New Roman" w:cs="Times New Roman"/>
          <w:color w:val="000000"/>
        </w:rPr>
        <w:t>patients</w:t>
      </w:r>
      <w:r w:rsidR="00BE7BBE">
        <w:rPr>
          <w:rFonts w:ascii="Times New Roman" w:hAnsi="Times New Roman" w:cs="Times New Roman"/>
          <w:color w:val="000000"/>
        </w:rPr>
        <w:t xml:space="preserve"> </w:t>
      </w:r>
      <w:r w:rsidRPr="008B7DFC">
        <w:rPr>
          <w:rFonts w:ascii="Times New Roman" w:hAnsi="Times New Roman" w:cs="Times New Roman"/>
          <w:color w:val="000000"/>
        </w:rPr>
        <w:t xml:space="preserve">under the age of 60 </w:t>
      </w:r>
      <w:r w:rsidR="001E3419">
        <w:rPr>
          <w:rFonts w:ascii="Times New Roman" w:hAnsi="Times New Roman" w:cs="Times New Roman"/>
          <w:color w:val="000000"/>
        </w:rPr>
        <w:t>have</w:t>
      </w:r>
      <w:r w:rsidRPr="008B7DFC">
        <w:rPr>
          <w:rFonts w:ascii="Times New Roman" w:hAnsi="Times New Roman" w:cs="Times New Roman"/>
          <w:color w:val="000000"/>
        </w:rPr>
        <w:t xml:space="preserve"> </w:t>
      </w:r>
      <w:r w:rsidR="003E0602" w:rsidRPr="008B7DFC">
        <w:rPr>
          <w:rFonts w:ascii="Times New Roman" w:hAnsi="Times New Roman" w:cs="Times New Roman"/>
          <w:color w:val="000000"/>
        </w:rPr>
        <w:t xml:space="preserve">Philadelphia chromosome </w:t>
      </w:r>
      <w:r w:rsidRPr="008B7DFC">
        <w:rPr>
          <w:rFonts w:ascii="Times New Roman" w:hAnsi="Times New Roman" w:cs="Times New Roman"/>
          <w:color w:val="000000"/>
        </w:rPr>
        <w:t>negative (</w:t>
      </w:r>
      <w:proofErr w:type="spellStart"/>
      <w:r w:rsidRPr="008B7DFC">
        <w:rPr>
          <w:rFonts w:ascii="Times New Roman" w:hAnsi="Times New Roman" w:cs="Times New Roman"/>
          <w:color w:val="000000"/>
        </w:rPr>
        <w:t>Ph</w:t>
      </w:r>
      <w:proofErr w:type="spellEnd"/>
      <w:r w:rsidRPr="008B7DFC">
        <w:rPr>
          <w:rFonts w:ascii="Times New Roman" w:hAnsi="Times New Roman" w:cs="Times New Roman"/>
          <w:color w:val="000000"/>
        </w:rPr>
        <w:t>-)</w:t>
      </w:r>
      <w:r w:rsidR="001E3419">
        <w:rPr>
          <w:rFonts w:ascii="Times New Roman" w:hAnsi="Times New Roman" w:cs="Times New Roman"/>
          <w:color w:val="000000"/>
        </w:rPr>
        <w:t xml:space="preserve"> disease</w:t>
      </w:r>
      <w:r w:rsidRPr="008B7DFC">
        <w:rPr>
          <w:rFonts w:ascii="Times New Roman" w:hAnsi="Times New Roman" w:cs="Times New Roman"/>
          <w:color w:val="000000"/>
        </w:rPr>
        <w:t xml:space="preserve"> </w:t>
      </w:r>
      <w:r w:rsidR="00A321B0">
        <w:rPr>
          <w:rFonts w:ascii="Times New Roman" w:hAnsi="Times New Roman" w:cs="Times New Roman"/>
          <w:color w:val="000000"/>
        </w:rPr>
        <w:t xml:space="preserve">which </w:t>
      </w:r>
      <w:r w:rsidR="002B67BC">
        <w:rPr>
          <w:rFonts w:ascii="Times New Roman" w:hAnsi="Times New Roman" w:cs="Times New Roman"/>
          <w:color w:val="000000"/>
        </w:rPr>
        <w:t>is</w:t>
      </w:r>
      <w:r w:rsidR="00A321B0">
        <w:rPr>
          <w:rFonts w:ascii="Times New Roman" w:hAnsi="Times New Roman" w:cs="Times New Roman"/>
          <w:color w:val="000000"/>
        </w:rPr>
        <w:t xml:space="preserve"> associated with better outcomes compared with</w:t>
      </w:r>
      <w:r w:rsidR="009636AD">
        <w:rPr>
          <w:rFonts w:ascii="Times New Roman" w:hAnsi="Times New Roman" w:cs="Times New Roman"/>
          <w:color w:val="000000"/>
        </w:rPr>
        <w:t xml:space="preserve"> </w:t>
      </w:r>
      <w:r w:rsidR="00C7348A" w:rsidRPr="008B7DFC">
        <w:rPr>
          <w:rFonts w:ascii="Times New Roman" w:hAnsi="Times New Roman" w:cs="Times New Roman"/>
          <w:color w:val="000000"/>
        </w:rPr>
        <w:t xml:space="preserve">Philadelphia chromosome </w:t>
      </w:r>
      <w:r w:rsidR="007F3CBD" w:rsidRPr="007F3CBD">
        <w:rPr>
          <w:rFonts w:ascii="Times New Roman" w:hAnsi="Times New Roman" w:cs="Times New Roman"/>
          <w:color w:val="000000"/>
        </w:rPr>
        <w:t>positive (</w:t>
      </w:r>
      <w:proofErr w:type="spellStart"/>
      <w:r w:rsidR="007F3CBD" w:rsidRPr="007F3CBD">
        <w:rPr>
          <w:rFonts w:ascii="Times New Roman" w:hAnsi="Times New Roman" w:cs="Times New Roman"/>
          <w:color w:val="000000"/>
        </w:rPr>
        <w:t>Ph</w:t>
      </w:r>
      <w:proofErr w:type="spellEnd"/>
      <w:r w:rsidR="007F3CBD" w:rsidRPr="007F3CBD">
        <w:rPr>
          <w:rFonts w:ascii="Times New Roman" w:hAnsi="Times New Roman" w:cs="Times New Roman"/>
          <w:color w:val="000000"/>
        </w:rPr>
        <w:t>+) disease</w:t>
      </w:r>
      <w:r w:rsidR="00A14C65">
        <w:rPr>
          <w:rFonts w:ascii="Times New Roman" w:hAnsi="Times New Roman" w:cs="Times New Roman"/>
          <w:color w:val="000000"/>
        </w:rPr>
        <w:t xml:space="preserve"> for those that relapse following initial treatment</w:t>
      </w:r>
      <w:r w:rsidR="007F3CBD" w:rsidRPr="007F3CBD">
        <w:rPr>
          <w:rFonts w:ascii="Times New Roman" w:hAnsi="Times New Roman" w:cs="Times New Roman"/>
          <w:color w:val="000000"/>
        </w:rPr>
        <w:t>.</w:t>
      </w:r>
      <w:r w:rsidR="007F3CBD">
        <w:rPr>
          <w:rFonts w:ascii="Times New Roman" w:hAnsi="Times New Roman" w:cs="Times New Roman"/>
          <w:color w:val="000000"/>
        </w:rPr>
        <w:t xml:space="preserve"> </w:t>
      </w:r>
      <w:r w:rsidR="005B15E8">
        <w:rPr>
          <w:rFonts w:ascii="Times New Roman" w:hAnsi="Times New Roman" w:cs="Times New Roman"/>
          <w:color w:val="000000"/>
        </w:rPr>
        <w:t>H</w:t>
      </w:r>
      <w:r w:rsidR="00075133" w:rsidRPr="008B7DFC">
        <w:rPr>
          <w:rFonts w:ascii="Times New Roman" w:hAnsi="Times New Roman" w:cs="Times New Roman"/>
          <w:color w:val="000000"/>
        </w:rPr>
        <w:t>aematopoietic stem cell transplant (HSCT)</w:t>
      </w:r>
      <w:r w:rsidR="005B15E8">
        <w:rPr>
          <w:rFonts w:ascii="Times New Roman" w:hAnsi="Times New Roman" w:cs="Times New Roman"/>
          <w:color w:val="000000"/>
        </w:rPr>
        <w:t xml:space="preserve"> is a potentially curative treatment option</w:t>
      </w:r>
      <w:r w:rsidR="00075133" w:rsidRPr="008B7DFC">
        <w:rPr>
          <w:rFonts w:ascii="Times New Roman" w:hAnsi="Times New Roman" w:cs="Times New Roman"/>
          <w:color w:val="000000"/>
        </w:rPr>
        <w:t xml:space="preserve">, although only </w:t>
      </w:r>
      <w:r w:rsidR="00075133" w:rsidRPr="008B7DFC">
        <w:rPr>
          <w:rFonts w:ascii="Times New Roman" w:hAnsi="Times New Roman" w:cs="Times New Roman"/>
          <w:color w:val="000000"/>
        </w:rPr>
        <w:lastRenderedPageBreak/>
        <w:t>available to patients who achieve a complete remission (CR) or complete remission with incomplete count recovery (</w:t>
      </w:r>
      <w:proofErr w:type="spellStart"/>
      <w:r w:rsidR="00075133" w:rsidRPr="008B7DFC">
        <w:rPr>
          <w:rFonts w:ascii="Times New Roman" w:hAnsi="Times New Roman" w:cs="Times New Roman"/>
          <w:color w:val="000000"/>
        </w:rPr>
        <w:t>CRi</w:t>
      </w:r>
      <w:proofErr w:type="spellEnd"/>
      <w:r w:rsidR="00075133" w:rsidRPr="008B7DFC">
        <w:rPr>
          <w:rFonts w:ascii="Times New Roman" w:hAnsi="Times New Roman" w:cs="Times New Roman"/>
          <w:color w:val="000000"/>
        </w:rPr>
        <w:t>)</w:t>
      </w:r>
      <w:r w:rsidR="00456C5B">
        <w:rPr>
          <w:rFonts w:ascii="Times New Roman" w:hAnsi="Times New Roman" w:cs="Times New Roman"/>
          <w:color w:val="000000"/>
        </w:rPr>
        <w:t>,</w:t>
      </w:r>
      <w:r w:rsidR="00075133" w:rsidRPr="008B7DFC">
        <w:rPr>
          <w:rFonts w:ascii="Times New Roman" w:hAnsi="Times New Roman" w:cs="Times New Roman"/>
          <w:color w:val="000000"/>
        </w:rPr>
        <w:t xml:space="preserve"> and for whom a suitable donor can be found. </w:t>
      </w:r>
      <w:r w:rsidR="00670AB4" w:rsidRPr="008B7DFC">
        <w:rPr>
          <w:rFonts w:ascii="Times New Roman" w:hAnsi="Times New Roman" w:cs="Times New Roman"/>
          <w:color w:val="000000"/>
        </w:rPr>
        <w:t>Overall survival</w:t>
      </w:r>
      <w:r w:rsidR="005F4945">
        <w:rPr>
          <w:rFonts w:ascii="Times New Roman" w:hAnsi="Times New Roman" w:cs="Times New Roman"/>
          <w:color w:val="000000"/>
        </w:rPr>
        <w:t xml:space="preserve"> </w:t>
      </w:r>
      <w:r w:rsidR="00670AB4" w:rsidRPr="008B7DFC">
        <w:rPr>
          <w:rFonts w:ascii="Times New Roman" w:hAnsi="Times New Roman" w:cs="Times New Roman"/>
          <w:color w:val="000000"/>
        </w:rPr>
        <w:t>at 36-months is reported to be 11% in the overall</w:t>
      </w:r>
      <w:r w:rsidR="00BC6E22">
        <w:rPr>
          <w:rFonts w:ascii="Times New Roman" w:hAnsi="Times New Roman" w:cs="Times New Roman"/>
          <w:color w:val="000000"/>
        </w:rPr>
        <w:t xml:space="preserve"> </w:t>
      </w:r>
      <w:proofErr w:type="spellStart"/>
      <w:r w:rsidR="00BC6E22">
        <w:rPr>
          <w:rFonts w:ascii="Times New Roman" w:hAnsi="Times New Roman" w:cs="Times New Roman"/>
          <w:color w:val="000000"/>
        </w:rPr>
        <w:t>Ph</w:t>
      </w:r>
      <w:proofErr w:type="spellEnd"/>
      <w:r w:rsidR="00BC6E22">
        <w:rPr>
          <w:rFonts w:ascii="Times New Roman" w:hAnsi="Times New Roman" w:cs="Times New Roman"/>
          <w:color w:val="000000"/>
        </w:rPr>
        <w:t>-</w:t>
      </w:r>
      <w:r w:rsidR="00670AB4" w:rsidRPr="008B7DFC">
        <w:rPr>
          <w:rFonts w:ascii="Times New Roman" w:hAnsi="Times New Roman" w:cs="Times New Roman"/>
          <w:color w:val="000000"/>
        </w:rPr>
        <w:t xml:space="preserve"> population (including patients who did and did not receive</w:t>
      </w:r>
      <w:r w:rsidR="00BC6E22">
        <w:rPr>
          <w:rFonts w:ascii="Times New Roman" w:hAnsi="Times New Roman" w:cs="Times New Roman"/>
          <w:color w:val="000000"/>
        </w:rPr>
        <w:t xml:space="preserve"> prior</w:t>
      </w:r>
      <w:r w:rsidR="00670AB4" w:rsidRPr="008B7DFC">
        <w:rPr>
          <w:rFonts w:ascii="Times New Roman" w:hAnsi="Times New Roman" w:cs="Times New Roman"/>
          <w:color w:val="000000"/>
        </w:rPr>
        <w:t xml:space="preserve"> HSCT)</w:t>
      </w:r>
      <w:r w:rsidR="00F23025">
        <w:rPr>
          <w:rFonts w:ascii="Times New Roman" w:hAnsi="Times New Roman" w:cs="Times New Roman"/>
          <w:color w:val="000000"/>
        </w:rPr>
        <w:t>,</w:t>
      </w:r>
      <w:r w:rsidR="00670AB4" w:rsidRPr="008B7DFC">
        <w:rPr>
          <w:rFonts w:ascii="Times New Roman" w:hAnsi="Times New Roman" w:cs="Times New Roman"/>
          <w:color w:val="000000"/>
        </w:rPr>
        <w:t xml:space="preserve"> and </w:t>
      </w:r>
      <w:r w:rsidR="00090D5B">
        <w:rPr>
          <w:rFonts w:ascii="Times New Roman" w:hAnsi="Times New Roman" w:cs="Times New Roman"/>
          <w:color w:val="000000"/>
        </w:rPr>
        <w:t>greater than</w:t>
      </w:r>
      <w:r w:rsidR="00670AB4" w:rsidRPr="008B7DFC">
        <w:rPr>
          <w:rFonts w:ascii="Times New Roman" w:hAnsi="Times New Roman" w:cs="Times New Roman"/>
          <w:color w:val="000000"/>
        </w:rPr>
        <w:t xml:space="preserve"> 20% in patients who received HSCT following first salvage t</w:t>
      </w:r>
      <w:r w:rsidR="00090D5B">
        <w:rPr>
          <w:rFonts w:ascii="Times New Roman" w:hAnsi="Times New Roman" w:cs="Times New Roman"/>
          <w:color w:val="000000"/>
        </w:rPr>
        <w:t>herapy</w:t>
      </w:r>
      <w:r w:rsidR="00293E21">
        <w:rPr>
          <w:rFonts w:ascii="Times New Roman" w:hAnsi="Times New Roman" w:cs="Times New Roman"/>
          <w:color w:val="000000"/>
        </w:rPr>
        <w:t xml:space="preserve"> </w:t>
      </w:r>
      <w:r w:rsidR="00670AB4" w:rsidRPr="008B7DFC">
        <w:rPr>
          <w:rFonts w:ascii="Times New Roman" w:hAnsi="Times New Roman" w:cs="Times New Roman"/>
          <w:color w:val="000000"/>
        </w:rPr>
        <w:fldChar w:fldCharType="begin">
          <w:fldData xml:space="preserve">PEVuZE5vdGU+PENpdGU+PEF1dGhvcj5Hb2tidWdldDwvQXV0aG9yPjxZZWFyPjIwMTY8L1llYXI+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</w:fldData>
        </w:fldChar>
      </w:r>
      <w:r w:rsidR="00BE567A">
        <w:rPr>
          <w:rFonts w:ascii="Times New Roman" w:hAnsi="Times New Roman" w:cs="Times New Roman"/>
          <w:color w:val="000000"/>
        </w:rPr>
        <w:instrText xml:space="preserve"> ADDIN EN.CITE </w:instrText>
      </w:r>
      <w:r w:rsidR="00BE567A">
        <w:rPr>
          <w:rFonts w:ascii="Times New Roman" w:hAnsi="Times New Roman" w:cs="Times New Roman"/>
          <w:color w:val="000000"/>
        </w:rPr>
        <w:fldChar w:fldCharType="begin">
          <w:fldData xml:space="preserve">PEVuZE5vdGU+PENpdGU+PEF1dGhvcj5Hb2tidWdldDwvQXV0aG9yPjxZZWFyPjIwMTY8L1llYXI+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</w:fldData>
        </w:fldChar>
      </w:r>
      <w:r w:rsidR="00BE567A">
        <w:rPr>
          <w:rFonts w:ascii="Times New Roman" w:hAnsi="Times New Roman" w:cs="Times New Roman"/>
          <w:color w:val="000000"/>
        </w:rPr>
        <w:instrText xml:space="preserve"> ADDIN EN.CITE.DATA </w:instrText>
      </w:r>
      <w:r w:rsidR="00BE567A">
        <w:rPr>
          <w:rFonts w:ascii="Times New Roman" w:hAnsi="Times New Roman" w:cs="Times New Roman"/>
          <w:color w:val="000000"/>
        </w:rPr>
      </w:r>
      <w:r w:rsidR="00BE567A">
        <w:rPr>
          <w:rFonts w:ascii="Times New Roman" w:hAnsi="Times New Roman" w:cs="Times New Roman"/>
          <w:color w:val="000000"/>
        </w:rPr>
        <w:fldChar w:fldCharType="end"/>
      </w:r>
      <w:r w:rsidR="00670AB4" w:rsidRPr="008B7DFC">
        <w:rPr>
          <w:rFonts w:ascii="Times New Roman" w:hAnsi="Times New Roman" w:cs="Times New Roman"/>
          <w:color w:val="000000"/>
        </w:rPr>
      </w:r>
      <w:r w:rsidR="00670AB4" w:rsidRPr="008B7DFC">
        <w:rPr>
          <w:rFonts w:ascii="Times New Roman" w:hAnsi="Times New Roman" w:cs="Times New Roman"/>
          <w:color w:val="000000"/>
        </w:rPr>
        <w:fldChar w:fldCharType="separate"/>
      </w:r>
      <w:r w:rsidR="0006339D">
        <w:rPr>
          <w:rFonts w:ascii="Times New Roman" w:hAnsi="Times New Roman" w:cs="Times New Roman"/>
          <w:noProof/>
          <w:color w:val="000000"/>
        </w:rPr>
        <w:t>[9]</w:t>
      </w:r>
      <w:r w:rsidR="00670AB4" w:rsidRPr="008B7DFC">
        <w:rPr>
          <w:rFonts w:ascii="Times New Roman" w:hAnsi="Times New Roman" w:cs="Times New Roman"/>
          <w:color w:val="000000"/>
        </w:rPr>
        <w:fldChar w:fldCharType="end"/>
      </w:r>
      <w:r w:rsidR="00293E21">
        <w:rPr>
          <w:rFonts w:ascii="Times New Roman" w:hAnsi="Times New Roman" w:cs="Times New Roman"/>
          <w:color w:val="000000"/>
        </w:rPr>
        <w:t>.</w:t>
      </w:r>
    </w:p>
    <w:p w14:paraId="6791DB8C" w14:textId="049AC52E" w:rsidR="00926816" w:rsidRDefault="008B3FFE" w:rsidP="00E61BB0">
      <w:pPr>
        <w:spacing w:line="360" w:lineRule="auto"/>
        <w:ind w:firstLine="432"/>
        <w:rPr>
          <w:rFonts w:ascii="Times New Roman" w:hAnsi="Times New Roman" w:cs="Times New Roman"/>
          <w:color w:val="000000"/>
        </w:rPr>
      </w:pPr>
      <w:r>
        <w:rPr>
          <w:rFonts w:ascii="Times New Roman" w:hAnsi="Times New Roman" w:cs="Times New Roman"/>
          <w:color w:val="000000"/>
        </w:rPr>
        <w:t>At the time of the appraisal t</w:t>
      </w:r>
      <w:r w:rsidR="00482AC4" w:rsidRPr="008B7DFC">
        <w:rPr>
          <w:rFonts w:ascii="Times New Roman" w:hAnsi="Times New Roman" w:cs="Times New Roman"/>
          <w:color w:val="000000"/>
        </w:rPr>
        <w:t xml:space="preserve">here </w:t>
      </w:r>
      <w:r w:rsidR="00090D5B">
        <w:rPr>
          <w:rFonts w:ascii="Times New Roman" w:hAnsi="Times New Roman" w:cs="Times New Roman"/>
          <w:color w:val="000000"/>
        </w:rPr>
        <w:t>were no</w:t>
      </w:r>
      <w:r w:rsidR="00482AC4" w:rsidRPr="008B7DFC">
        <w:rPr>
          <w:rFonts w:ascii="Times New Roman" w:hAnsi="Times New Roman" w:cs="Times New Roman"/>
          <w:color w:val="000000"/>
        </w:rPr>
        <w:t xml:space="preserve"> clinical guidelines from NICE relevant to the specific population of R/R B-cell ALL patients. </w:t>
      </w:r>
      <w:r w:rsidR="00855AA8">
        <w:rPr>
          <w:rFonts w:ascii="Times New Roman" w:hAnsi="Times New Roman" w:cs="Times New Roman"/>
          <w:color w:val="000000"/>
        </w:rPr>
        <w:t>T</w:t>
      </w:r>
      <w:r w:rsidR="00482AC4" w:rsidRPr="008B7DFC">
        <w:rPr>
          <w:rFonts w:ascii="Times New Roman" w:hAnsi="Times New Roman" w:cs="Times New Roman"/>
          <w:color w:val="000000"/>
        </w:rPr>
        <w:t xml:space="preserve">reatment options </w:t>
      </w:r>
      <w:r w:rsidR="00090D5B">
        <w:rPr>
          <w:rFonts w:ascii="Times New Roman" w:hAnsi="Times New Roman" w:cs="Times New Roman"/>
          <w:color w:val="000000"/>
        </w:rPr>
        <w:t>we</w:t>
      </w:r>
      <w:r w:rsidR="00482AC4" w:rsidRPr="008B7DFC">
        <w:rPr>
          <w:rFonts w:ascii="Times New Roman" w:hAnsi="Times New Roman" w:cs="Times New Roman"/>
          <w:color w:val="000000"/>
        </w:rPr>
        <w:t>re limited and include</w:t>
      </w:r>
      <w:r w:rsidR="00855AA8">
        <w:rPr>
          <w:rFonts w:ascii="Times New Roman" w:hAnsi="Times New Roman" w:cs="Times New Roman"/>
          <w:color w:val="000000"/>
        </w:rPr>
        <w:t>d</w:t>
      </w:r>
      <w:r w:rsidR="008325AD" w:rsidRPr="008B7DFC">
        <w:rPr>
          <w:rFonts w:ascii="Times New Roman" w:hAnsi="Times New Roman" w:cs="Times New Roman"/>
          <w:color w:val="000000"/>
        </w:rPr>
        <w:t xml:space="preserve"> </w:t>
      </w:r>
      <w:r w:rsidR="00482AC4" w:rsidRPr="008B7DFC">
        <w:rPr>
          <w:rFonts w:ascii="Times New Roman" w:hAnsi="Times New Roman" w:cs="Times New Roman"/>
          <w:color w:val="000000"/>
        </w:rPr>
        <w:t>chemotherapy-based regimens</w:t>
      </w:r>
      <w:r w:rsidR="008400EC">
        <w:rPr>
          <w:rFonts w:ascii="Times New Roman" w:hAnsi="Times New Roman" w:cs="Times New Roman"/>
          <w:color w:val="000000"/>
        </w:rPr>
        <w:t xml:space="preserve">, </w:t>
      </w:r>
      <w:r w:rsidR="008400EC" w:rsidRPr="00A14DE8">
        <w:rPr>
          <w:rFonts w:ascii="Times New Roman" w:hAnsi="Times New Roman" w:cs="Times New Roman"/>
          <w:color w:val="000000"/>
        </w:rPr>
        <w:t>tyrosine kinase inhibitor</w:t>
      </w:r>
      <w:r w:rsidR="008400EC">
        <w:rPr>
          <w:rFonts w:ascii="Times New Roman" w:hAnsi="Times New Roman" w:cs="Times New Roman"/>
          <w:color w:val="000000"/>
        </w:rPr>
        <w:t>s (TKI)</w:t>
      </w:r>
      <w:r w:rsidR="000A52ED">
        <w:rPr>
          <w:rFonts w:ascii="Times New Roman" w:hAnsi="Times New Roman" w:cs="Times New Roman"/>
          <w:color w:val="000000"/>
        </w:rPr>
        <w:t xml:space="preserve"> alone or in combination with chemotherapy</w:t>
      </w:r>
      <w:r w:rsidR="008400EC">
        <w:rPr>
          <w:rFonts w:ascii="Times New Roman" w:hAnsi="Times New Roman" w:cs="Times New Roman"/>
          <w:color w:val="000000"/>
        </w:rPr>
        <w:t xml:space="preserve">, </w:t>
      </w:r>
      <w:r w:rsidR="00642B2A">
        <w:rPr>
          <w:rFonts w:ascii="Times New Roman" w:hAnsi="Times New Roman" w:cs="Times New Roman"/>
          <w:color w:val="000000"/>
        </w:rPr>
        <w:t>or</w:t>
      </w:r>
      <w:r w:rsidR="00A14DE8">
        <w:rPr>
          <w:rFonts w:ascii="Times New Roman" w:hAnsi="Times New Roman" w:cs="Times New Roman"/>
          <w:color w:val="000000"/>
        </w:rPr>
        <w:t xml:space="preserve"> </w:t>
      </w:r>
      <w:r w:rsidR="00482AC4" w:rsidRPr="008B7DFC">
        <w:rPr>
          <w:rFonts w:ascii="Times New Roman" w:hAnsi="Times New Roman" w:cs="Times New Roman"/>
          <w:color w:val="000000"/>
        </w:rPr>
        <w:t>palliative care for those unfit for intensive treatment</w:t>
      </w:r>
      <w:r w:rsidR="00090D5B">
        <w:rPr>
          <w:rFonts w:ascii="Times New Roman" w:hAnsi="Times New Roman" w:cs="Times New Roman"/>
          <w:color w:val="000000"/>
        </w:rPr>
        <w:t xml:space="preserve">.  </w:t>
      </w:r>
      <w:r w:rsidR="00C35F51">
        <w:rPr>
          <w:rFonts w:ascii="Times New Roman" w:hAnsi="Times New Roman" w:cs="Times New Roman"/>
          <w:color w:val="000000"/>
        </w:rPr>
        <w:t>The treatment landscape is evolving with the introduction of novel agents, and d</w:t>
      </w:r>
      <w:r w:rsidR="004B0868">
        <w:rPr>
          <w:rFonts w:ascii="Times New Roman" w:hAnsi="Times New Roman" w:cs="Times New Roman"/>
          <w:color w:val="000000"/>
        </w:rPr>
        <w:t>uring</w:t>
      </w:r>
      <w:r w:rsidR="00090D5B">
        <w:rPr>
          <w:rFonts w:ascii="Times New Roman" w:hAnsi="Times New Roman" w:cs="Times New Roman"/>
          <w:color w:val="000000"/>
        </w:rPr>
        <w:t xml:space="preserve"> the STA for </w:t>
      </w:r>
      <w:proofErr w:type="spellStart"/>
      <w:r w:rsidR="00090D5B">
        <w:rPr>
          <w:rFonts w:ascii="Times New Roman" w:hAnsi="Times New Roman" w:cs="Times New Roman"/>
          <w:color w:val="000000"/>
        </w:rPr>
        <w:t>inotuzumab</w:t>
      </w:r>
      <w:proofErr w:type="spellEnd"/>
      <w:r w:rsidR="00090D5B">
        <w:rPr>
          <w:rFonts w:ascii="Times New Roman" w:hAnsi="Times New Roman" w:cs="Times New Roman"/>
          <w:color w:val="000000"/>
        </w:rPr>
        <w:t xml:space="preserve">, </w:t>
      </w:r>
      <w:proofErr w:type="spellStart"/>
      <w:r w:rsidR="00926816">
        <w:rPr>
          <w:rFonts w:ascii="Times New Roman" w:hAnsi="Times New Roman" w:cs="Times New Roman"/>
          <w:color w:val="000000"/>
        </w:rPr>
        <w:t>b</w:t>
      </w:r>
      <w:r w:rsidR="003F553C">
        <w:rPr>
          <w:rFonts w:ascii="Times New Roman" w:hAnsi="Times New Roman" w:cs="Times New Roman"/>
          <w:color w:val="000000"/>
        </w:rPr>
        <w:t>linatumomab</w:t>
      </w:r>
      <w:proofErr w:type="spellEnd"/>
      <w:r w:rsidR="004B0868">
        <w:rPr>
          <w:rFonts w:ascii="Times New Roman" w:hAnsi="Times New Roman" w:cs="Times New Roman"/>
          <w:color w:val="000000"/>
        </w:rPr>
        <w:t xml:space="preserve"> (</w:t>
      </w:r>
      <w:proofErr w:type="spellStart"/>
      <w:r w:rsidR="004B0868">
        <w:rPr>
          <w:rFonts w:ascii="Times New Roman" w:hAnsi="Times New Roman" w:cs="Times New Roman"/>
          <w:color w:val="000000"/>
        </w:rPr>
        <w:t>Blincyto</w:t>
      </w:r>
      <w:proofErr w:type="spellEnd"/>
      <w:r w:rsidR="004B0868">
        <w:rPr>
          <w:rFonts w:ascii="Times New Roman" w:hAnsi="Times New Roman" w:cs="Times New Roman"/>
          <w:color w:val="000000"/>
        </w:rPr>
        <w:sym w:font="Symbol" w:char="F0D2"/>
      </w:r>
      <w:r w:rsidR="004B0868">
        <w:rPr>
          <w:rFonts w:ascii="Times New Roman" w:hAnsi="Times New Roman" w:cs="Times New Roman"/>
          <w:color w:val="000000"/>
        </w:rPr>
        <w:t>)</w:t>
      </w:r>
      <w:r w:rsidR="003F553C">
        <w:rPr>
          <w:rFonts w:ascii="Times New Roman" w:hAnsi="Times New Roman" w:cs="Times New Roman"/>
          <w:color w:val="000000"/>
        </w:rPr>
        <w:t xml:space="preserve"> </w:t>
      </w:r>
      <w:r w:rsidR="00090D5B">
        <w:rPr>
          <w:rFonts w:ascii="Times New Roman" w:hAnsi="Times New Roman" w:cs="Times New Roman"/>
          <w:color w:val="000000"/>
        </w:rPr>
        <w:t xml:space="preserve">was recommended by NICE </w:t>
      </w:r>
      <w:r w:rsidR="003F553C">
        <w:rPr>
          <w:rFonts w:ascii="Times New Roman" w:hAnsi="Times New Roman" w:cs="Times New Roman"/>
          <w:color w:val="000000"/>
        </w:rPr>
        <w:t>for</w:t>
      </w:r>
      <w:r w:rsidR="00AD4A9F">
        <w:rPr>
          <w:rFonts w:ascii="Times New Roman" w:hAnsi="Times New Roman" w:cs="Times New Roman"/>
          <w:color w:val="000000"/>
        </w:rPr>
        <w:t xml:space="preserve"> treating adult</w:t>
      </w:r>
      <w:r w:rsidR="009F567E">
        <w:rPr>
          <w:rFonts w:ascii="Times New Roman" w:hAnsi="Times New Roman" w:cs="Times New Roman"/>
          <w:color w:val="000000"/>
        </w:rPr>
        <w:t xml:space="preserve"> patients</w:t>
      </w:r>
      <w:r w:rsidR="003F553C">
        <w:rPr>
          <w:rFonts w:ascii="Times New Roman" w:hAnsi="Times New Roman" w:cs="Times New Roman"/>
          <w:color w:val="000000"/>
        </w:rPr>
        <w:t xml:space="preserve"> </w:t>
      </w:r>
      <w:r w:rsidR="009F567E">
        <w:rPr>
          <w:rFonts w:ascii="Times New Roman" w:hAnsi="Times New Roman" w:cs="Times New Roman"/>
          <w:color w:val="000000"/>
        </w:rPr>
        <w:t>with relapsed or refractory</w:t>
      </w:r>
      <w:r w:rsidR="00AD4A9F">
        <w:rPr>
          <w:rFonts w:ascii="Times New Roman" w:hAnsi="Times New Roman" w:cs="Times New Roman"/>
          <w:color w:val="000000"/>
        </w:rPr>
        <w:t xml:space="preserve"> B-cell</w:t>
      </w:r>
      <w:r w:rsidR="003F553C">
        <w:rPr>
          <w:rFonts w:ascii="Times New Roman" w:hAnsi="Times New Roman" w:cs="Times New Roman"/>
          <w:color w:val="000000"/>
        </w:rPr>
        <w:t xml:space="preserve"> </w:t>
      </w:r>
      <w:proofErr w:type="spellStart"/>
      <w:r w:rsidR="003F553C">
        <w:rPr>
          <w:rFonts w:ascii="Times New Roman" w:hAnsi="Times New Roman" w:cs="Times New Roman"/>
          <w:color w:val="000000"/>
        </w:rPr>
        <w:t>Ph</w:t>
      </w:r>
      <w:proofErr w:type="spellEnd"/>
      <w:r w:rsidR="003F553C">
        <w:rPr>
          <w:rFonts w:ascii="Times New Roman" w:hAnsi="Times New Roman" w:cs="Times New Roman"/>
          <w:color w:val="000000"/>
        </w:rPr>
        <w:t>- ALL</w:t>
      </w:r>
      <w:r w:rsidR="00293E21">
        <w:rPr>
          <w:rFonts w:ascii="Times New Roman" w:hAnsi="Times New Roman" w:cs="Times New Roman"/>
          <w:color w:val="000000"/>
        </w:rPr>
        <w:t xml:space="preserve"> </w:t>
      </w:r>
      <w:r w:rsidR="00AD4A9F">
        <w:rPr>
          <w:rFonts w:ascii="Times New Roman" w:hAnsi="Times New Roman" w:cs="Times New Roman"/>
          <w:color w:val="000000"/>
        </w:rPr>
        <w:fldChar w:fldCharType="begin"/>
      </w:r>
      <w:r w:rsidR="00BE567A">
        <w:rPr>
          <w:rFonts w:ascii="Times New Roman" w:hAnsi="Times New Roman" w:cs="Times New Roman"/>
          <w:color w:val="000000"/>
        </w:rPr>
        <w:instrText xml:space="preserve"> ADDIN EN.CITE &lt;EndNote&gt;&lt;Cite&gt;&lt;Author&gt;National Institute for Health and Care Excellence&lt;/Author&gt;&lt;Year&gt;2017&lt;/Year&gt;&lt;RecNum&gt;59&lt;/RecNum&gt;&lt;DisplayText&gt;[10]&lt;/DisplayText&gt;&lt;record&gt;&lt;rec-number&gt;59&lt;/rec-number&gt;&lt;foreign-keys&gt;&lt;key app="EN" db-id="9f090dpxqtedprezvanxwdxlwv2d9d9dp2rs" timestamp="0"&gt;59&lt;/key&gt;&lt;/foreign-keys&gt;&lt;ref-type name="Web Page"&gt;12&lt;/ref-type&gt;&lt;contributors&gt;&lt;authors&gt;&lt;author&gt;National Institute for Health and Care Excellence,&lt;/author&gt;&lt;/authors&gt;&lt;/contributors&gt;&lt;titles&gt;&lt;title&gt;Blinatumomab for previously treated Philadelphia-chromosome-negative acute lymphoblastic leukaemia&lt;/title&gt;&lt;/titles&gt;&lt;dates&gt;&lt;year&gt;2017&lt;/year&gt;&lt;/dates&gt;&lt;urls&gt;&lt;related-urls&gt;&lt;url&gt;https://www.nice.org.uk/guidance/ta450/history&lt;/url&gt;&lt;/related-urls&gt;&lt;/urls&gt;&lt;/record&gt;&lt;/Cite&gt;&lt;/EndNote&gt;</w:instrText>
      </w:r>
      <w:r w:rsidR="00AD4A9F">
        <w:rPr>
          <w:rFonts w:ascii="Times New Roman" w:hAnsi="Times New Roman" w:cs="Times New Roman"/>
          <w:color w:val="000000"/>
        </w:rPr>
        <w:fldChar w:fldCharType="separate"/>
      </w:r>
      <w:r w:rsidR="0006339D">
        <w:rPr>
          <w:rFonts w:ascii="Times New Roman" w:hAnsi="Times New Roman" w:cs="Times New Roman"/>
          <w:noProof/>
          <w:color w:val="000000"/>
        </w:rPr>
        <w:t>[10]</w:t>
      </w:r>
      <w:r w:rsidR="00AD4A9F">
        <w:rPr>
          <w:rFonts w:ascii="Times New Roman" w:hAnsi="Times New Roman" w:cs="Times New Roman"/>
          <w:color w:val="000000"/>
        </w:rPr>
        <w:fldChar w:fldCharType="end"/>
      </w:r>
      <w:r w:rsidR="00293E21">
        <w:rPr>
          <w:rFonts w:ascii="Times New Roman" w:hAnsi="Times New Roman" w:cs="Times New Roman"/>
          <w:color w:val="000000"/>
        </w:rPr>
        <w:t>.</w:t>
      </w:r>
    </w:p>
    <w:p w14:paraId="01B9E4B6" w14:textId="0A9B506F" w:rsidR="00CD3555" w:rsidRDefault="004C22D7" w:rsidP="00E61BB0">
      <w:pPr>
        <w:spacing w:line="360" w:lineRule="auto"/>
        <w:ind w:firstLine="432"/>
        <w:rPr>
          <w:rFonts w:ascii="Times New Roman" w:hAnsi="Times New Roman" w:cs="Times New Roman"/>
          <w:color w:val="000000"/>
        </w:rPr>
      </w:pPr>
      <w:proofErr w:type="spellStart"/>
      <w:r w:rsidRPr="008B7DFC">
        <w:rPr>
          <w:rFonts w:ascii="Times New Roman" w:hAnsi="Times New Roman" w:cs="Times New Roman"/>
          <w:color w:val="000000"/>
        </w:rPr>
        <w:t>Inotuzumab</w:t>
      </w:r>
      <w:proofErr w:type="spellEnd"/>
      <w:r w:rsidRPr="008B7DFC">
        <w:rPr>
          <w:rFonts w:ascii="Times New Roman" w:hAnsi="Times New Roman" w:cs="Times New Roman"/>
          <w:color w:val="000000"/>
        </w:rPr>
        <w:t xml:space="preserve"> (</w:t>
      </w:r>
      <w:proofErr w:type="spellStart"/>
      <w:r w:rsidRPr="008B7DFC">
        <w:rPr>
          <w:rFonts w:ascii="Times New Roman" w:hAnsi="Times New Roman" w:cs="Times New Roman"/>
          <w:color w:val="000000"/>
        </w:rPr>
        <w:t>Besponsa</w:t>
      </w:r>
      <w:proofErr w:type="spellEnd"/>
      <w:r w:rsidR="008B3FFE">
        <w:rPr>
          <w:rFonts w:ascii="Times New Roman" w:hAnsi="Times New Roman" w:cs="Times New Roman"/>
          <w:color w:val="000000"/>
        </w:rPr>
        <w:sym w:font="Symbol" w:char="F0D2"/>
      </w:r>
      <w:r w:rsidRPr="008B7DFC">
        <w:rPr>
          <w:rFonts w:ascii="Times New Roman" w:hAnsi="Times New Roman" w:cs="Times New Roman"/>
          <w:color w:val="000000"/>
        </w:rPr>
        <w:t xml:space="preserve">) </w:t>
      </w:r>
      <w:r>
        <w:rPr>
          <w:rFonts w:ascii="Times New Roman" w:hAnsi="Times New Roman" w:cs="Times New Roman"/>
          <w:color w:val="000000"/>
        </w:rPr>
        <w:t>is a licensed</w:t>
      </w:r>
      <w:r w:rsidRPr="008B7DFC">
        <w:rPr>
          <w:rFonts w:ascii="Times New Roman" w:hAnsi="Times New Roman" w:cs="Times New Roman"/>
          <w:color w:val="000000"/>
        </w:rPr>
        <w:t xml:space="preserve"> anti-CD22 antibody drug conjugate indicated as monotherapy for the treatment of adults with R/R CD22-positive B-cell ALL where adult patients with </w:t>
      </w:r>
      <w:proofErr w:type="spellStart"/>
      <w:r w:rsidRPr="008B7DFC">
        <w:rPr>
          <w:rFonts w:ascii="Times New Roman" w:hAnsi="Times New Roman" w:cs="Times New Roman"/>
          <w:color w:val="000000"/>
        </w:rPr>
        <w:t>Ph</w:t>
      </w:r>
      <w:proofErr w:type="spellEnd"/>
      <w:r w:rsidRPr="008B7DFC">
        <w:rPr>
          <w:rFonts w:ascii="Times New Roman" w:hAnsi="Times New Roman" w:cs="Times New Roman"/>
          <w:color w:val="000000"/>
        </w:rPr>
        <w:t>+ R/R B</w:t>
      </w:r>
      <w:r w:rsidR="0027496F">
        <w:rPr>
          <w:rFonts w:ascii="Times New Roman" w:hAnsi="Times New Roman" w:cs="Times New Roman"/>
          <w:color w:val="000000"/>
        </w:rPr>
        <w:t>-</w:t>
      </w:r>
      <w:r w:rsidRPr="008B7DFC">
        <w:rPr>
          <w:rFonts w:ascii="Times New Roman" w:hAnsi="Times New Roman" w:cs="Times New Roman"/>
          <w:color w:val="000000"/>
        </w:rPr>
        <w:t>cell ALL should have failed treatment with at least 1 tyrosine kinase inhibitor (TKI).</w:t>
      </w:r>
      <w:r>
        <w:rPr>
          <w:rFonts w:ascii="Times New Roman" w:hAnsi="Times New Roman" w:cs="Times New Roman"/>
          <w:color w:val="000000"/>
        </w:rPr>
        <w:t xml:space="preserve"> The European Commission granted a marketing authorisation </w:t>
      </w:r>
      <w:r w:rsidR="00090D5B">
        <w:rPr>
          <w:rFonts w:ascii="Times New Roman" w:hAnsi="Times New Roman" w:cs="Times New Roman"/>
          <w:color w:val="000000"/>
        </w:rPr>
        <w:t xml:space="preserve">(in line with the draft marketing authorisation used in the appraisal) </w:t>
      </w:r>
      <w:r>
        <w:rPr>
          <w:rFonts w:ascii="Times New Roman" w:hAnsi="Times New Roman" w:cs="Times New Roman"/>
          <w:color w:val="000000"/>
        </w:rPr>
        <w:t xml:space="preserve">for </w:t>
      </w:r>
      <w:proofErr w:type="spellStart"/>
      <w:r w:rsidR="005D1277">
        <w:rPr>
          <w:rFonts w:ascii="Times New Roman" w:hAnsi="Times New Roman" w:cs="Times New Roman"/>
          <w:color w:val="000000"/>
        </w:rPr>
        <w:t>i</w:t>
      </w:r>
      <w:r>
        <w:rPr>
          <w:rFonts w:ascii="Times New Roman" w:hAnsi="Times New Roman" w:cs="Times New Roman"/>
          <w:color w:val="000000"/>
        </w:rPr>
        <w:t>notuzumab</w:t>
      </w:r>
      <w:proofErr w:type="spellEnd"/>
      <w:r>
        <w:rPr>
          <w:rFonts w:ascii="Times New Roman" w:hAnsi="Times New Roman" w:cs="Times New Roman"/>
          <w:color w:val="000000"/>
        </w:rPr>
        <w:t xml:space="preserve"> in July 2017</w:t>
      </w:r>
      <w:r w:rsidR="00293E21">
        <w:rPr>
          <w:rFonts w:ascii="Times New Roman" w:hAnsi="Times New Roman" w:cs="Times New Roman"/>
          <w:color w:val="000000"/>
        </w:rPr>
        <w:t xml:space="preserve"> </w:t>
      </w:r>
      <w:r>
        <w:rPr>
          <w:rFonts w:ascii="Times New Roman" w:hAnsi="Times New Roman" w:cs="Times New Roman"/>
          <w:color w:val="000000"/>
        </w:rPr>
        <w:fldChar w:fldCharType="begin"/>
      </w:r>
      <w:r w:rsidR="00BE567A">
        <w:rPr>
          <w:rFonts w:ascii="Times New Roman" w:hAnsi="Times New Roman" w:cs="Times New Roman"/>
          <w:color w:val="000000"/>
        </w:rPr>
        <w:instrText xml:space="preserve"> ADDIN EN.CITE &lt;EndNote&gt;&lt;Cite&gt;&lt;Author&gt;Agency&lt;/Author&gt;&lt;Year&gt;2017&lt;/Year&gt;&lt;RecNum&gt;47&lt;/RecNum&gt;&lt;DisplayText&gt;[11]&lt;/DisplayText&gt;&lt;record&gt;&lt;rec-number&gt;47&lt;/rec-number&gt;&lt;foreign-keys&gt;&lt;key app="EN" db-id="9f090dpxqtedprezvanxwdxlwv2d9d9dp2rs" timestamp="0"&gt;47&lt;/key&gt;&lt;/foreign-keys&gt;&lt;ref-type name="Journal Article"&gt;17&lt;/ref-type&gt;&lt;contributors&gt;&lt;authors&gt;&lt;author&gt;European Medicines Agency,&lt;/author&gt;&lt;/authors&gt;&lt;/contributors&gt;&lt;titles&gt;&lt;title&gt;Besponsa : EPAR - Public assessment report. EMA/269417/2017&lt;/title&gt;&lt;/titles&gt;&lt;dates&gt;&lt;year&gt;2017&lt;/year&gt;&lt;/dates&gt;&lt;urls&gt;&lt;/urls&gt;&lt;/record&gt;&lt;/Cite&gt;&lt;/EndNote&gt;</w:instrText>
      </w:r>
      <w:r>
        <w:rPr>
          <w:rFonts w:ascii="Times New Roman" w:hAnsi="Times New Roman" w:cs="Times New Roman"/>
          <w:color w:val="000000"/>
        </w:rPr>
        <w:fldChar w:fldCharType="separate"/>
      </w:r>
      <w:r w:rsidR="0006339D">
        <w:rPr>
          <w:rFonts w:ascii="Times New Roman" w:hAnsi="Times New Roman" w:cs="Times New Roman"/>
          <w:noProof/>
          <w:color w:val="000000"/>
        </w:rPr>
        <w:t>[11]</w:t>
      </w:r>
      <w:r>
        <w:rPr>
          <w:rFonts w:ascii="Times New Roman" w:hAnsi="Times New Roman" w:cs="Times New Roman"/>
          <w:color w:val="000000"/>
        </w:rPr>
        <w:fldChar w:fldCharType="end"/>
      </w:r>
      <w:r w:rsidR="00293E21">
        <w:rPr>
          <w:rFonts w:ascii="Times New Roman" w:hAnsi="Times New Roman" w:cs="Times New Roman"/>
          <w:color w:val="000000"/>
        </w:rPr>
        <w:t>.</w:t>
      </w:r>
      <w:r w:rsidRPr="008B7DFC">
        <w:rPr>
          <w:rFonts w:ascii="Times New Roman" w:hAnsi="Times New Roman" w:cs="Times New Roman"/>
          <w:color w:val="000000"/>
        </w:rPr>
        <w:t xml:space="preserve"> </w:t>
      </w:r>
    </w:p>
    <w:p w14:paraId="16248634" w14:textId="1311D71E" w:rsidR="00A27389" w:rsidRPr="002F1A1A" w:rsidRDefault="001478F3" w:rsidP="00E61BB0">
      <w:pPr>
        <w:spacing w:line="360" w:lineRule="auto"/>
        <w:ind w:firstLine="432"/>
        <w:rPr>
          <w:rFonts w:ascii="Times New Roman" w:hAnsi="Times New Roman" w:cs="Times New Roman"/>
          <w:color w:val="000000"/>
        </w:rPr>
      </w:pPr>
      <w:r w:rsidRPr="002F1A1A">
        <w:rPr>
          <w:rFonts w:ascii="Times New Roman" w:hAnsi="Times New Roman" w:cs="Times New Roman"/>
          <w:color w:val="000000"/>
        </w:rPr>
        <w:t>NICE issued a final scope</w:t>
      </w:r>
      <w:r w:rsidR="00200AFF">
        <w:rPr>
          <w:rFonts w:ascii="Times New Roman" w:hAnsi="Times New Roman" w:cs="Times New Roman"/>
          <w:color w:val="000000"/>
        </w:rPr>
        <w:t xml:space="preserve"> </w:t>
      </w:r>
      <w:r w:rsidRPr="002F1A1A">
        <w:rPr>
          <w:rFonts w:ascii="Times New Roman" w:hAnsi="Times New Roman" w:cs="Times New Roman"/>
          <w:color w:val="000000"/>
        </w:rPr>
        <w:t xml:space="preserve">in December 2016 to appraise the clinical and cost-effectiveness of </w:t>
      </w:r>
      <w:proofErr w:type="spellStart"/>
      <w:r w:rsidRPr="002F1A1A">
        <w:rPr>
          <w:rFonts w:ascii="Times New Roman" w:hAnsi="Times New Roman" w:cs="Times New Roman"/>
          <w:color w:val="000000"/>
        </w:rPr>
        <w:t>inotuzumab</w:t>
      </w:r>
      <w:proofErr w:type="spellEnd"/>
      <w:r w:rsidRPr="002F1A1A">
        <w:rPr>
          <w:rFonts w:ascii="Times New Roman" w:hAnsi="Times New Roman" w:cs="Times New Roman"/>
          <w:color w:val="000000"/>
        </w:rPr>
        <w:t xml:space="preserve"> within</w:t>
      </w:r>
      <w:r w:rsidR="009940FF">
        <w:rPr>
          <w:rFonts w:ascii="Times New Roman" w:hAnsi="Times New Roman" w:cs="Times New Roman"/>
          <w:color w:val="000000"/>
        </w:rPr>
        <w:t xml:space="preserve"> its</w:t>
      </w:r>
      <w:r w:rsidRPr="002F1A1A">
        <w:rPr>
          <w:rFonts w:ascii="Times New Roman" w:hAnsi="Times New Roman" w:cs="Times New Roman"/>
          <w:color w:val="000000"/>
        </w:rPr>
        <w:t xml:space="preserve"> </w:t>
      </w:r>
      <w:r w:rsidR="00090D5B">
        <w:rPr>
          <w:rFonts w:ascii="Times New Roman" w:hAnsi="Times New Roman" w:cs="Times New Roman"/>
          <w:color w:val="000000"/>
        </w:rPr>
        <w:t>proposed</w:t>
      </w:r>
      <w:r w:rsidRPr="002F1A1A">
        <w:rPr>
          <w:rFonts w:ascii="Times New Roman" w:hAnsi="Times New Roman" w:cs="Times New Roman"/>
          <w:color w:val="000000"/>
        </w:rPr>
        <w:t xml:space="preserve"> license indication</w:t>
      </w:r>
      <w:r w:rsidR="00293E21">
        <w:rPr>
          <w:rFonts w:ascii="Times New Roman" w:hAnsi="Times New Roman" w:cs="Times New Roman"/>
          <w:color w:val="000000"/>
        </w:rPr>
        <w:t xml:space="preserve"> </w:t>
      </w:r>
      <w:r w:rsidR="00200AFF">
        <w:rPr>
          <w:rFonts w:ascii="Times New Roman" w:hAnsi="Times New Roman" w:cs="Times New Roman"/>
          <w:color w:val="000000"/>
        </w:rPr>
        <w:fldChar w:fldCharType="begin"/>
      </w:r>
      <w:r w:rsidR="00BE567A">
        <w:rPr>
          <w:rFonts w:ascii="Times New Roman" w:hAnsi="Times New Roman" w:cs="Times New Roman"/>
          <w:color w:val="000000"/>
        </w:rPr>
        <w:instrText xml:space="preserve"> ADDIN EN.CITE &lt;EndNote&gt;&lt;Cite&gt;&lt;Author&gt;National Institute for Health and Care Excellence&lt;/Author&gt;&lt;Year&gt;2016&lt;/Year&gt;&lt;RecNum&gt;9&lt;/RecNum&gt;&lt;DisplayText&gt;[12]&lt;/DisplayText&gt;&lt;record&gt;&lt;rec-number&gt;9&lt;/rec-number&gt;&lt;foreign-keys&gt;&lt;key app="EN" db-id="9f090dpxqtedprezvanxwdxlwv2d9d9dp2rs" timestamp="0"&gt;9&lt;/key&gt;&lt;/foreign-keys&gt;&lt;ref-type name="Web Page"&gt;12&lt;/ref-type&gt;&lt;contributors&gt;&lt;authors&gt;&lt;author&gt;National Institute for Health and Care Excellence,&lt;/author&gt;&lt;/authors&gt;&lt;/contributors&gt;&lt;titles&gt;&lt;title&gt;Single Technology Appraisal. Inotuzumab ozogamicin for treating relapsed or refractory B-cell acute lymphoblastic leukaemia. Final scope&lt;/title&gt;&lt;/titles&gt;&lt;dates&gt;&lt;year&gt;2016&lt;/year&gt;&lt;/dates&gt;&lt;urls&gt;&lt;related-urls&gt;&lt;url&gt;https://www.nice.org.uk/guidance/gid-ta10091/documents/final-scope&lt;/url&gt;&lt;/related-urls&gt;&lt;/urls&gt;&lt;/record&gt;&lt;/Cite&gt;&lt;/EndNote&gt;</w:instrText>
      </w:r>
      <w:r w:rsidR="00200AFF">
        <w:rPr>
          <w:rFonts w:ascii="Times New Roman" w:hAnsi="Times New Roman" w:cs="Times New Roman"/>
          <w:color w:val="000000"/>
        </w:rPr>
        <w:fldChar w:fldCharType="separate"/>
      </w:r>
      <w:r w:rsidR="0006339D">
        <w:rPr>
          <w:rFonts w:ascii="Times New Roman" w:hAnsi="Times New Roman" w:cs="Times New Roman"/>
          <w:noProof/>
          <w:color w:val="000000"/>
        </w:rPr>
        <w:t>[12]</w:t>
      </w:r>
      <w:r w:rsidR="00200AFF">
        <w:rPr>
          <w:rFonts w:ascii="Times New Roman" w:hAnsi="Times New Roman" w:cs="Times New Roman"/>
          <w:color w:val="000000"/>
        </w:rPr>
        <w:fldChar w:fldCharType="end"/>
      </w:r>
      <w:r w:rsidR="00293E21">
        <w:rPr>
          <w:rFonts w:ascii="Times New Roman" w:hAnsi="Times New Roman" w:cs="Times New Roman"/>
          <w:color w:val="000000"/>
        </w:rPr>
        <w:t>.</w:t>
      </w:r>
      <w:r w:rsidRPr="002F1A1A">
        <w:rPr>
          <w:rFonts w:ascii="Times New Roman" w:hAnsi="Times New Roman" w:cs="Times New Roman"/>
          <w:color w:val="000000"/>
        </w:rPr>
        <w:t xml:space="preserve"> The scope specified three relevant comparators for </w:t>
      </w:r>
      <w:proofErr w:type="spellStart"/>
      <w:r w:rsidRPr="002F1A1A">
        <w:rPr>
          <w:rFonts w:ascii="Times New Roman" w:hAnsi="Times New Roman" w:cs="Times New Roman"/>
          <w:color w:val="000000"/>
        </w:rPr>
        <w:t>Ph</w:t>
      </w:r>
      <w:proofErr w:type="spellEnd"/>
      <w:r w:rsidRPr="002F1A1A">
        <w:rPr>
          <w:rFonts w:ascii="Times New Roman" w:hAnsi="Times New Roman" w:cs="Times New Roman"/>
          <w:color w:val="000000"/>
        </w:rPr>
        <w:t xml:space="preserve">- and </w:t>
      </w:r>
      <w:proofErr w:type="spellStart"/>
      <w:r w:rsidRPr="002F1A1A">
        <w:rPr>
          <w:rFonts w:ascii="Times New Roman" w:hAnsi="Times New Roman" w:cs="Times New Roman"/>
          <w:color w:val="000000"/>
        </w:rPr>
        <w:t>Ph</w:t>
      </w:r>
      <w:proofErr w:type="spellEnd"/>
      <w:r w:rsidRPr="002F1A1A">
        <w:rPr>
          <w:rFonts w:ascii="Times New Roman" w:hAnsi="Times New Roman" w:cs="Times New Roman"/>
          <w:color w:val="000000"/>
        </w:rPr>
        <w:t xml:space="preserve">+ patients able to </w:t>
      </w:r>
      <w:r w:rsidR="0027496F">
        <w:rPr>
          <w:rFonts w:ascii="Times New Roman" w:hAnsi="Times New Roman" w:cs="Times New Roman"/>
          <w:color w:val="000000"/>
        </w:rPr>
        <w:t>tolerate</w:t>
      </w:r>
      <w:r w:rsidRPr="002F1A1A">
        <w:rPr>
          <w:rFonts w:ascii="Times New Roman" w:hAnsi="Times New Roman" w:cs="Times New Roman"/>
          <w:color w:val="000000"/>
        </w:rPr>
        <w:t xml:space="preserve"> chemotherapy: (</w:t>
      </w:r>
      <w:proofErr w:type="spellStart"/>
      <w:r w:rsidR="009940FF">
        <w:rPr>
          <w:rFonts w:ascii="Times New Roman" w:hAnsi="Times New Roman" w:cs="Times New Roman"/>
          <w:color w:val="000000"/>
        </w:rPr>
        <w:t>i</w:t>
      </w:r>
      <w:proofErr w:type="spellEnd"/>
      <w:r w:rsidRPr="002F1A1A">
        <w:rPr>
          <w:rFonts w:ascii="Times New Roman" w:hAnsi="Times New Roman" w:cs="Times New Roman"/>
          <w:color w:val="000000"/>
        </w:rPr>
        <w:t xml:space="preserve">) </w:t>
      </w:r>
      <w:proofErr w:type="spellStart"/>
      <w:r w:rsidRPr="002F1A1A">
        <w:rPr>
          <w:rFonts w:ascii="Times New Roman" w:hAnsi="Times New Roman" w:cs="Times New Roman"/>
          <w:color w:val="000000"/>
        </w:rPr>
        <w:t>fludarabine</w:t>
      </w:r>
      <w:proofErr w:type="spellEnd"/>
      <w:r w:rsidRPr="002F1A1A">
        <w:rPr>
          <w:rFonts w:ascii="Times New Roman" w:hAnsi="Times New Roman" w:cs="Times New Roman"/>
          <w:color w:val="000000"/>
        </w:rPr>
        <w:t xml:space="preserve">, </w:t>
      </w:r>
      <w:proofErr w:type="spellStart"/>
      <w:r w:rsidRPr="002F1A1A">
        <w:rPr>
          <w:rFonts w:ascii="Times New Roman" w:hAnsi="Times New Roman" w:cs="Times New Roman"/>
          <w:color w:val="000000"/>
        </w:rPr>
        <w:t>cytarabine</w:t>
      </w:r>
      <w:proofErr w:type="spellEnd"/>
      <w:r w:rsidRPr="002F1A1A">
        <w:rPr>
          <w:rFonts w:ascii="Times New Roman" w:hAnsi="Times New Roman" w:cs="Times New Roman"/>
          <w:color w:val="000000"/>
        </w:rPr>
        <w:t xml:space="preserve"> and granulocyte colony stimulating factor (FLAG)</w:t>
      </w:r>
      <w:r w:rsidR="001C6B20">
        <w:rPr>
          <w:rFonts w:ascii="Times New Roman" w:hAnsi="Times New Roman" w:cs="Times New Roman"/>
          <w:color w:val="000000"/>
        </w:rPr>
        <w:t>-</w:t>
      </w:r>
      <w:r w:rsidR="00B72D12">
        <w:rPr>
          <w:rFonts w:ascii="Times New Roman" w:hAnsi="Times New Roman" w:cs="Times New Roman"/>
          <w:color w:val="000000"/>
        </w:rPr>
        <w:t>based chemotherapy</w:t>
      </w:r>
      <w:r w:rsidRPr="002F1A1A">
        <w:rPr>
          <w:rFonts w:ascii="Times New Roman" w:hAnsi="Times New Roman" w:cs="Times New Roman"/>
          <w:color w:val="000000"/>
        </w:rPr>
        <w:t xml:space="preserve"> (</w:t>
      </w:r>
      <w:proofErr w:type="spellStart"/>
      <w:r w:rsidRPr="002F1A1A">
        <w:rPr>
          <w:rFonts w:ascii="Times New Roman" w:hAnsi="Times New Roman" w:cs="Times New Roman"/>
          <w:color w:val="000000"/>
        </w:rPr>
        <w:t>Ph</w:t>
      </w:r>
      <w:proofErr w:type="spellEnd"/>
      <w:r w:rsidRPr="002F1A1A">
        <w:rPr>
          <w:rFonts w:ascii="Times New Roman" w:hAnsi="Times New Roman" w:cs="Times New Roman"/>
          <w:color w:val="000000"/>
        </w:rPr>
        <w:t>-), (</w:t>
      </w:r>
      <w:r w:rsidR="009940FF">
        <w:rPr>
          <w:rFonts w:ascii="Times New Roman" w:hAnsi="Times New Roman" w:cs="Times New Roman"/>
          <w:color w:val="000000"/>
        </w:rPr>
        <w:t>ii</w:t>
      </w:r>
      <w:r w:rsidRPr="002F1A1A">
        <w:rPr>
          <w:rFonts w:ascii="Times New Roman" w:hAnsi="Times New Roman" w:cs="Times New Roman"/>
          <w:color w:val="000000"/>
        </w:rPr>
        <w:t xml:space="preserve">) </w:t>
      </w:r>
      <w:proofErr w:type="spellStart"/>
      <w:r w:rsidRPr="002F1A1A">
        <w:rPr>
          <w:rFonts w:ascii="Times New Roman" w:hAnsi="Times New Roman" w:cs="Times New Roman"/>
          <w:color w:val="000000"/>
        </w:rPr>
        <w:t>clofarabine</w:t>
      </w:r>
      <w:proofErr w:type="spellEnd"/>
      <w:r w:rsidR="001C6B20">
        <w:rPr>
          <w:rFonts w:ascii="Times New Roman" w:hAnsi="Times New Roman" w:cs="Times New Roman"/>
          <w:color w:val="000000"/>
        </w:rPr>
        <w:t>-</w:t>
      </w:r>
      <w:r w:rsidRPr="002F1A1A">
        <w:rPr>
          <w:rFonts w:ascii="Times New Roman" w:hAnsi="Times New Roman" w:cs="Times New Roman"/>
          <w:color w:val="000000"/>
        </w:rPr>
        <w:t>based combi</w:t>
      </w:r>
      <w:r w:rsidR="009940FF">
        <w:rPr>
          <w:rFonts w:ascii="Times New Roman" w:hAnsi="Times New Roman" w:cs="Times New Roman"/>
          <w:color w:val="000000"/>
        </w:rPr>
        <w:t>nation chemotherapy (</w:t>
      </w:r>
      <w:proofErr w:type="spellStart"/>
      <w:r w:rsidR="009940FF">
        <w:rPr>
          <w:rFonts w:ascii="Times New Roman" w:hAnsi="Times New Roman" w:cs="Times New Roman"/>
          <w:color w:val="000000"/>
        </w:rPr>
        <w:t>Ph</w:t>
      </w:r>
      <w:proofErr w:type="spellEnd"/>
      <w:r w:rsidR="009940FF">
        <w:rPr>
          <w:rFonts w:ascii="Times New Roman" w:hAnsi="Times New Roman" w:cs="Times New Roman"/>
          <w:color w:val="000000"/>
        </w:rPr>
        <w:t>-) and (iii</w:t>
      </w:r>
      <w:r w:rsidRPr="002F1A1A">
        <w:rPr>
          <w:rFonts w:ascii="Times New Roman" w:hAnsi="Times New Roman" w:cs="Times New Roman"/>
          <w:color w:val="000000"/>
        </w:rPr>
        <w:t xml:space="preserve">) </w:t>
      </w:r>
      <w:r w:rsidR="0052522D">
        <w:rPr>
          <w:rFonts w:ascii="Times New Roman" w:hAnsi="Times New Roman" w:cs="Times New Roman"/>
          <w:color w:val="000000"/>
        </w:rPr>
        <w:t xml:space="preserve">TKIs </w:t>
      </w:r>
      <w:r w:rsidRPr="002F1A1A">
        <w:rPr>
          <w:rFonts w:ascii="Times New Roman" w:hAnsi="Times New Roman" w:cs="Times New Roman"/>
          <w:color w:val="000000"/>
        </w:rPr>
        <w:t>alone or in combination with FLAG</w:t>
      </w:r>
      <w:r w:rsidR="005F1237">
        <w:rPr>
          <w:rFonts w:ascii="Times New Roman" w:hAnsi="Times New Roman" w:cs="Times New Roman"/>
          <w:color w:val="000000"/>
        </w:rPr>
        <w:t>-</w:t>
      </w:r>
      <w:r w:rsidRPr="002F1A1A">
        <w:rPr>
          <w:rFonts w:ascii="Times New Roman" w:hAnsi="Times New Roman" w:cs="Times New Roman"/>
          <w:color w:val="000000"/>
        </w:rPr>
        <w:t xml:space="preserve"> or </w:t>
      </w:r>
      <w:proofErr w:type="spellStart"/>
      <w:r w:rsidRPr="002F1A1A">
        <w:rPr>
          <w:rFonts w:ascii="Times New Roman" w:hAnsi="Times New Roman" w:cs="Times New Roman"/>
          <w:color w:val="000000"/>
        </w:rPr>
        <w:t>clofarabine</w:t>
      </w:r>
      <w:proofErr w:type="spellEnd"/>
      <w:r w:rsidR="00945E77">
        <w:rPr>
          <w:rFonts w:ascii="Times New Roman" w:hAnsi="Times New Roman" w:cs="Times New Roman"/>
          <w:color w:val="000000"/>
        </w:rPr>
        <w:t>-</w:t>
      </w:r>
      <w:r w:rsidRPr="002F1A1A">
        <w:rPr>
          <w:rFonts w:ascii="Times New Roman" w:hAnsi="Times New Roman" w:cs="Times New Roman"/>
          <w:color w:val="000000"/>
        </w:rPr>
        <w:t>based chemotherap</w:t>
      </w:r>
      <w:r w:rsidR="001C6B20">
        <w:rPr>
          <w:rFonts w:ascii="Times New Roman" w:hAnsi="Times New Roman" w:cs="Times New Roman"/>
          <w:color w:val="000000"/>
        </w:rPr>
        <w:t>y</w:t>
      </w:r>
      <w:r w:rsidRPr="002F1A1A">
        <w:rPr>
          <w:rFonts w:ascii="Times New Roman" w:hAnsi="Times New Roman" w:cs="Times New Roman"/>
          <w:color w:val="000000"/>
        </w:rPr>
        <w:t xml:space="preserve"> (</w:t>
      </w:r>
      <w:proofErr w:type="spellStart"/>
      <w:r w:rsidRPr="002F1A1A">
        <w:rPr>
          <w:rFonts w:ascii="Times New Roman" w:hAnsi="Times New Roman" w:cs="Times New Roman"/>
          <w:color w:val="000000"/>
        </w:rPr>
        <w:t>Ph</w:t>
      </w:r>
      <w:proofErr w:type="spellEnd"/>
      <w:r w:rsidRPr="002F1A1A">
        <w:rPr>
          <w:rFonts w:ascii="Times New Roman" w:hAnsi="Times New Roman" w:cs="Times New Roman"/>
          <w:color w:val="000000"/>
        </w:rPr>
        <w:t xml:space="preserve">+). </w:t>
      </w:r>
      <w:proofErr w:type="spellStart"/>
      <w:r w:rsidR="00C174D6" w:rsidRPr="00C174D6">
        <w:rPr>
          <w:rFonts w:ascii="Times New Roman" w:hAnsi="Times New Roman" w:cs="Times New Roman"/>
          <w:color w:val="000000"/>
        </w:rPr>
        <w:t>Blinatumomab</w:t>
      </w:r>
      <w:proofErr w:type="spellEnd"/>
      <w:r w:rsidR="00C174D6" w:rsidRPr="00C174D6">
        <w:rPr>
          <w:rFonts w:ascii="Times New Roman" w:hAnsi="Times New Roman" w:cs="Times New Roman"/>
          <w:color w:val="000000"/>
        </w:rPr>
        <w:t xml:space="preserve"> was not included as a comparator in the final scope issued by NICE and was under appraisal at the time of the company’s submission to NICE (February 2017).</w:t>
      </w:r>
      <w:r w:rsidR="00C174D6">
        <w:rPr>
          <w:rFonts w:ascii="Times New Roman" w:hAnsi="Times New Roman" w:cs="Times New Roman"/>
          <w:color w:val="000000"/>
        </w:rPr>
        <w:t xml:space="preserve"> </w:t>
      </w:r>
      <w:r w:rsidRPr="002F1A1A">
        <w:rPr>
          <w:rFonts w:ascii="Times New Roman" w:hAnsi="Times New Roman" w:cs="Times New Roman"/>
          <w:color w:val="000000"/>
        </w:rPr>
        <w:t xml:space="preserve">Best supportive care </w:t>
      </w:r>
      <w:r w:rsidR="003E2F99">
        <w:rPr>
          <w:rFonts w:ascii="Times New Roman" w:hAnsi="Times New Roman" w:cs="Times New Roman"/>
          <w:color w:val="000000"/>
        </w:rPr>
        <w:t xml:space="preserve">(BSC) </w:t>
      </w:r>
      <w:r w:rsidRPr="002F1A1A">
        <w:rPr>
          <w:rFonts w:ascii="Times New Roman" w:hAnsi="Times New Roman" w:cs="Times New Roman"/>
          <w:color w:val="000000"/>
        </w:rPr>
        <w:t xml:space="preserve">was the only specified comparator for patients unable to </w:t>
      </w:r>
      <w:r w:rsidR="0027496F">
        <w:rPr>
          <w:rFonts w:ascii="Times New Roman" w:hAnsi="Times New Roman" w:cs="Times New Roman"/>
          <w:color w:val="000000"/>
        </w:rPr>
        <w:t>tolerate</w:t>
      </w:r>
      <w:r w:rsidR="0027496F" w:rsidRPr="002F1A1A">
        <w:rPr>
          <w:rFonts w:ascii="Times New Roman" w:hAnsi="Times New Roman" w:cs="Times New Roman"/>
          <w:color w:val="000000"/>
        </w:rPr>
        <w:t xml:space="preserve"> </w:t>
      </w:r>
      <w:r w:rsidRPr="002F1A1A">
        <w:rPr>
          <w:rFonts w:ascii="Times New Roman" w:hAnsi="Times New Roman" w:cs="Times New Roman"/>
          <w:color w:val="000000"/>
        </w:rPr>
        <w:t xml:space="preserve">chemotherapy. </w:t>
      </w:r>
      <w:r w:rsidR="002B2074" w:rsidRPr="002F1A1A">
        <w:rPr>
          <w:rFonts w:ascii="Times New Roman" w:hAnsi="Times New Roman" w:cs="Times New Roman"/>
          <w:color w:val="000000"/>
        </w:rPr>
        <w:t>T</w:t>
      </w:r>
      <w:r w:rsidR="0085719E" w:rsidRPr="002F1A1A">
        <w:rPr>
          <w:rFonts w:ascii="Times New Roman" w:hAnsi="Times New Roman" w:cs="Times New Roman"/>
          <w:color w:val="000000"/>
        </w:rPr>
        <w:t xml:space="preserve">he </w:t>
      </w:r>
      <w:r w:rsidR="00090D5B">
        <w:rPr>
          <w:rFonts w:ascii="Times New Roman" w:hAnsi="Times New Roman" w:cs="Times New Roman"/>
          <w:color w:val="000000"/>
        </w:rPr>
        <w:t>company</w:t>
      </w:r>
      <w:r w:rsidR="0085719E" w:rsidRPr="002F1A1A">
        <w:rPr>
          <w:rFonts w:ascii="Times New Roman" w:hAnsi="Times New Roman" w:cs="Times New Roman"/>
          <w:color w:val="000000"/>
        </w:rPr>
        <w:t xml:space="preserve"> submission </w:t>
      </w:r>
      <w:r w:rsidR="00A456E1" w:rsidRPr="002F1A1A">
        <w:rPr>
          <w:rFonts w:ascii="Times New Roman" w:hAnsi="Times New Roman" w:cs="Times New Roman"/>
          <w:color w:val="000000"/>
        </w:rPr>
        <w:t>omitt</w:t>
      </w:r>
      <w:r w:rsidR="00090D5B">
        <w:rPr>
          <w:rFonts w:ascii="Times New Roman" w:hAnsi="Times New Roman" w:cs="Times New Roman"/>
          <w:color w:val="000000"/>
        </w:rPr>
        <w:t>ed several comparators specified in the scope:</w:t>
      </w:r>
      <w:r w:rsidR="00A456E1" w:rsidRPr="002F1A1A">
        <w:rPr>
          <w:rFonts w:ascii="Times New Roman" w:hAnsi="Times New Roman" w:cs="Times New Roman"/>
          <w:color w:val="000000"/>
        </w:rPr>
        <w:t xml:space="preserve"> </w:t>
      </w:r>
      <w:proofErr w:type="spellStart"/>
      <w:r w:rsidR="00A456E1" w:rsidRPr="002F1A1A">
        <w:rPr>
          <w:rFonts w:ascii="Times New Roman" w:hAnsi="Times New Roman" w:cs="Times New Roman"/>
          <w:color w:val="000000"/>
        </w:rPr>
        <w:t>clofarabine</w:t>
      </w:r>
      <w:proofErr w:type="spellEnd"/>
      <w:r w:rsidR="00A456E1" w:rsidRPr="002F1A1A">
        <w:rPr>
          <w:rFonts w:ascii="Times New Roman" w:hAnsi="Times New Roman" w:cs="Times New Roman"/>
          <w:color w:val="000000"/>
        </w:rPr>
        <w:t xml:space="preserve">, TKIs alone and </w:t>
      </w:r>
      <w:r w:rsidR="00AB6741">
        <w:rPr>
          <w:rFonts w:ascii="Times New Roman" w:hAnsi="Times New Roman" w:cs="Times New Roman"/>
          <w:color w:val="000000"/>
        </w:rPr>
        <w:t>BSC</w:t>
      </w:r>
      <w:r w:rsidR="00A456E1" w:rsidRPr="002F1A1A">
        <w:rPr>
          <w:rFonts w:ascii="Times New Roman" w:hAnsi="Times New Roman" w:cs="Times New Roman"/>
          <w:color w:val="000000"/>
        </w:rPr>
        <w:t>.</w:t>
      </w:r>
      <w:r w:rsidR="00A27389" w:rsidRPr="002F1A1A">
        <w:rPr>
          <w:rFonts w:ascii="Times New Roman" w:hAnsi="Times New Roman" w:cs="Times New Roman"/>
          <w:color w:val="000000"/>
        </w:rPr>
        <w:t xml:space="preserve"> </w:t>
      </w:r>
      <w:r w:rsidR="002B11E0" w:rsidRPr="002F1A1A">
        <w:rPr>
          <w:rFonts w:ascii="Times New Roman" w:hAnsi="Times New Roman" w:cs="Times New Roman"/>
          <w:color w:val="000000"/>
        </w:rPr>
        <w:t xml:space="preserve">The </w:t>
      </w:r>
      <w:r w:rsidR="004F6B8F">
        <w:rPr>
          <w:rFonts w:ascii="Times New Roman" w:hAnsi="Times New Roman" w:cs="Times New Roman"/>
          <w:color w:val="000000"/>
        </w:rPr>
        <w:t>company presented a comparison against</w:t>
      </w:r>
      <w:r w:rsidR="002B11E0" w:rsidRPr="002F1A1A">
        <w:rPr>
          <w:rFonts w:ascii="Times New Roman" w:hAnsi="Times New Roman" w:cs="Times New Roman"/>
          <w:color w:val="000000"/>
        </w:rPr>
        <w:t xml:space="preserve"> chemotherapy “standard of care”</w:t>
      </w:r>
      <w:r w:rsidR="00570C81">
        <w:rPr>
          <w:rFonts w:ascii="Times New Roman" w:hAnsi="Times New Roman" w:cs="Times New Roman"/>
          <w:color w:val="000000"/>
        </w:rPr>
        <w:t xml:space="preserve"> (</w:t>
      </w:r>
      <w:proofErr w:type="spellStart"/>
      <w:r w:rsidR="00570C81">
        <w:rPr>
          <w:rFonts w:ascii="Times New Roman" w:hAnsi="Times New Roman" w:cs="Times New Roman"/>
          <w:color w:val="000000"/>
        </w:rPr>
        <w:t>SoC</w:t>
      </w:r>
      <w:proofErr w:type="spellEnd"/>
      <w:r w:rsidR="00570C81">
        <w:rPr>
          <w:rFonts w:ascii="Times New Roman" w:hAnsi="Times New Roman" w:cs="Times New Roman"/>
          <w:color w:val="000000"/>
        </w:rPr>
        <w:t>)</w:t>
      </w:r>
      <w:r w:rsidR="002B11E0" w:rsidRPr="002F1A1A">
        <w:rPr>
          <w:rFonts w:ascii="Times New Roman" w:hAnsi="Times New Roman" w:cs="Times New Roman"/>
          <w:color w:val="000000"/>
        </w:rPr>
        <w:t xml:space="preserve"> based on the investigator’s choice arm used in the INO-VATE 1022 trial</w:t>
      </w:r>
      <w:r w:rsidR="005F15F8">
        <w:rPr>
          <w:rFonts w:ascii="Times New Roman" w:hAnsi="Times New Roman" w:cs="Times New Roman"/>
          <w:color w:val="000000"/>
        </w:rPr>
        <w:t xml:space="preserve"> </w:t>
      </w:r>
      <w:r w:rsidR="005F15F8">
        <w:rPr>
          <w:rFonts w:ascii="Times New Roman" w:hAnsi="Times New Roman" w:cs="Times New Roman"/>
          <w:color w:val="000000"/>
        </w:rPr>
        <w:fldChar w:fldCharType="begin"/>
      </w:r>
      <w:r w:rsidR="005F15F8">
        <w:rPr>
          <w:rFonts w:ascii="Times New Roman" w:hAnsi="Times New Roman" w:cs="Times New Roman"/>
          <w:color w:val="000000"/>
        </w:rPr>
        <w:instrText xml:space="preserve"> ADDIN EN.CITE &lt;EndNote&gt;&lt;Cite&gt;&lt;Author&gt;Kantarjian&lt;/Author&gt;&lt;Year&gt;2016&lt;/Year&gt;&lt;RecNum&gt;5&lt;/RecNum&gt;&lt;DisplayText&gt;[13]&lt;/DisplayText&gt;&lt;record&gt;&lt;rec-number&gt;5&lt;/rec-number&gt;&lt;foreign-keys&gt;&lt;key app="EN" db-id="9f090dpxqtedprezvanxwdxlwv2d9d9dp2rs" timestamp="0"&gt;5&lt;/key&gt;&lt;/foreign-keys&gt;&lt;ref-type name="Journal Article"&gt;17&lt;/ref-type&gt;&lt;contributors&gt;&lt;authors&gt;&lt;author&gt;Kantarjian, H M&lt;/author&gt;&lt;author&gt;DeAngelo, D J&lt;/author&gt;&lt;author&gt;Stelljes, M&lt;/author&gt;&lt;author&gt;Martinelli, G&lt;/author&gt;&lt;author&gt;Liedtke, M&lt;/author&gt;&lt;author&gt;Stock, W&lt;/author&gt;&lt;author&gt;Gokbuget, N&lt;/author&gt;&lt;author&gt;O&amp;apos;Brien, S&lt;/author&gt;&lt;author&gt;Wang, K&lt;/author&gt;&lt;author&gt;Wang, T&lt;/author&gt;&lt;author&gt;Paccagnella, L&lt;/author&gt;&lt;author&gt;Sleight, B&lt;/author&gt;&lt;author&gt;Vandendries, E&lt;/author&gt;&lt;author&gt;Advani, A S&lt;/author&gt;&lt;/authors&gt;&lt;/contributors&gt;&lt;titles&gt;&lt;title&gt;Inotuzumab ozogamicin versus standard therapy for acute lymphoblastic leukemia&lt;/title&gt;&lt;secondary-title&gt;New England Journal of Medicine&lt;/secondary-title&gt;&lt;/titles&gt;&lt;pages&gt;740-53&lt;/pages&gt;&lt;volume&gt;375&lt;/volume&gt;&lt;number&gt;8&lt;/number&gt;&lt;dates&gt;&lt;year&gt;2016&lt;/year&gt;&lt;/dates&gt;&lt;urls&gt;&lt;/urls&gt;&lt;/record&gt;&lt;/Cite&gt;&lt;/EndNote&gt;</w:instrText>
      </w:r>
      <w:r w:rsidR="005F15F8">
        <w:rPr>
          <w:rFonts w:ascii="Times New Roman" w:hAnsi="Times New Roman" w:cs="Times New Roman"/>
          <w:color w:val="000000"/>
        </w:rPr>
        <w:fldChar w:fldCharType="separate"/>
      </w:r>
      <w:r w:rsidR="005F15F8">
        <w:rPr>
          <w:rFonts w:ascii="Times New Roman" w:hAnsi="Times New Roman" w:cs="Times New Roman"/>
          <w:noProof/>
          <w:color w:val="000000"/>
        </w:rPr>
        <w:t>[13]</w:t>
      </w:r>
      <w:r w:rsidR="005F15F8">
        <w:rPr>
          <w:rFonts w:ascii="Times New Roman" w:hAnsi="Times New Roman" w:cs="Times New Roman"/>
          <w:color w:val="000000"/>
        </w:rPr>
        <w:fldChar w:fldCharType="end"/>
      </w:r>
      <w:r w:rsidR="002B11E0" w:rsidRPr="002F1A1A">
        <w:rPr>
          <w:rFonts w:ascii="Times New Roman" w:hAnsi="Times New Roman" w:cs="Times New Roman"/>
          <w:color w:val="000000"/>
        </w:rPr>
        <w:t xml:space="preserve">, comprising one of the following three regimens: FLAG, </w:t>
      </w:r>
      <w:proofErr w:type="spellStart"/>
      <w:r w:rsidR="004C22D7" w:rsidRPr="002F1A1A">
        <w:rPr>
          <w:rFonts w:ascii="Times New Roman" w:hAnsi="Times New Roman" w:cs="Times New Roman"/>
          <w:color w:val="000000"/>
        </w:rPr>
        <w:t>cytarabine</w:t>
      </w:r>
      <w:proofErr w:type="spellEnd"/>
      <w:r w:rsidR="004C22D7" w:rsidRPr="002F1A1A">
        <w:rPr>
          <w:rFonts w:ascii="Times New Roman" w:hAnsi="Times New Roman" w:cs="Times New Roman"/>
          <w:color w:val="000000"/>
        </w:rPr>
        <w:t xml:space="preserve"> plus </w:t>
      </w:r>
      <w:proofErr w:type="spellStart"/>
      <w:r w:rsidR="004C22D7" w:rsidRPr="002F1A1A">
        <w:rPr>
          <w:rFonts w:ascii="Times New Roman" w:hAnsi="Times New Roman" w:cs="Times New Roman"/>
          <w:color w:val="000000"/>
        </w:rPr>
        <w:t>mitoxantrone</w:t>
      </w:r>
      <w:proofErr w:type="spellEnd"/>
      <w:r w:rsidR="004C22D7" w:rsidRPr="002F1A1A">
        <w:rPr>
          <w:rFonts w:ascii="Times New Roman" w:hAnsi="Times New Roman" w:cs="Times New Roman"/>
          <w:color w:val="000000"/>
        </w:rPr>
        <w:t xml:space="preserve"> (</w:t>
      </w:r>
      <w:r w:rsidR="002B11E0" w:rsidRPr="002F1A1A">
        <w:rPr>
          <w:rFonts w:ascii="Times New Roman" w:hAnsi="Times New Roman" w:cs="Times New Roman"/>
          <w:color w:val="000000"/>
        </w:rPr>
        <w:t>CM</w:t>
      </w:r>
      <w:r w:rsidR="004C22D7" w:rsidRPr="002F1A1A">
        <w:rPr>
          <w:rFonts w:ascii="Times New Roman" w:hAnsi="Times New Roman" w:cs="Times New Roman"/>
          <w:color w:val="000000"/>
        </w:rPr>
        <w:t>)</w:t>
      </w:r>
      <w:r w:rsidR="002B11E0" w:rsidRPr="002F1A1A">
        <w:rPr>
          <w:rFonts w:ascii="Times New Roman" w:hAnsi="Times New Roman" w:cs="Times New Roman"/>
          <w:color w:val="000000"/>
        </w:rPr>
        <w:t xml:space="preserve"> or </w:t>
      </w:r>
      <w:r w:rsidR="004C22D7" w:rsidRPr="002F1A1A">
        <w:rPr>
          <w:rFonts w:ascii="Times New Roman" w:hAnsi="Times New Roman" w:cs="Times New Roman"/>
          <w:color w:val="000000"/>
        </w:rPr>
        <w:t xml:space="preserve">high-dose </w:t>
      </w:r>
      <w:proofErr w:type="spellStart"/>
      <w:r w:rsidR="004C22D7" w:rsidRPr="002F1A1A">
        <w:rPr>
          <w:rFonts w:ascii="Times New Roman" w:hAnsi="Times New Roman" w:cs="Times New Roman"/>
          <w:color w:val="000000"/>
        </w:rPr>
        <w:t>cytarabine</w:t>
      </w:r>
      <w:proofErr w:type="spellEnd"/>
      <w:r w:rsidR="004C22D7" w:rsidRPr="002F1A1A">
        <w:rPr>
          <w:rFonts w:ascii="Times New Roman" w:hAnsi="Times New Roman" w:cs="Times New Roman"/>
          <w:color w:val="000000"/>
        </w:rPr>
        <w:t xml:space="preserve"> (</w:t>
      </w:r>
      <w:r w:rsidR="002B11E0" w:rsidRPr="002F1A1A">
        <w:rPr>
          <w:rFonts w:ascii="Times New Roman" w:hAnsi="Times New Roman" w:cs="Times New Roman"/>
          <w:color w:val="000000"/>
        </w:rPr>
        <w:t>HIDAC</w:t>
      </w:r>
      <w:r w:rsidR="004C22D7" w:rsidRPr="002F1A1A">
        <w:rPr>
          <w:rFonts w:ascii="Times New Roman" w:hAnsi="Times New Roman" w:cs="Times New Roman"/>
          <w:color w:val="000000"/>
        </w:rPr>
        <w:t>)</w:t>
      </w:r>
      <w:r w:rsidR="00A44068">
        <w:rPr>
          <w:rFonts w:ascii="Times New Roman" w:hAnsi="Times New Roman" w:cs="Times New Roman"/>
          <w:color w:val="000000"/>
        </w:rPr>
        <w:t>.</w:t>
      </w:r>
      <w:r w:rsidR="002B11E0" w:rsidRPr="002F1A1A">
        <w:rPr>
          <w:rFonts w:ascii="Times New Roman" w:hAnsi="Times New Roman" w:cs="Times New Roman"/>
          <w:color w:val="000000"/>
        </w:rPr>
        <w:t xml:space="preserve"> </w:t>
      </w:r>
    </w:p>
    <w:p w14:paraId="78307057" w14:textId="7940A48C" w:rsidR="004B4175" w:rsidRPr="008A224E" w:rsidRDefault="007B2825" w:rsidP="00E61BB0">
      <w:pPr>
        <w:pStyle w:val="Heading1"/>
        <w:spacing w:after="160" w:line="360" w:lineRule="auto"/>
        <w:ind w:left="431" w:hanging="431"/>
        <w:rPr>
          <w:rFonts w:cs="Times New Roman"/>
        </w:rPr>
      </w:pPr>
      <w:r w:rsidRPr="00DD657B">
        <w:rPr>
          <w:rFonts w:cs="Times New Roman"/>
        </w:rPr>
        <w:t xml:space="preserve">The Independent Evidence Review Group (ERG) Review </w:t>
      </w:r>
    </w:p>
    <w:p w14:paraId="53BB9734" w14:textId="037B574C" w:rsidR="002136B3" w:rsidRPr="00304BC1" w:rsidRDefault="002136B3" w:rsidP="00E61BB0">
      <w:pPr>
        <w:spacing w:line="360" w:lineRule="auto"/>
        <w:rPr>
          <w:rFonts w:ascii="Times New Roman" w:hAnsi="Times New Roman" w:cs="Times New Roman"/>
          <w:color w:val="000000"/>
        </w:rPr>
      </w:pPr>
      <w:r w:rsidRPr="00304BC1">
        <w:rPr>
          <w:rFonts w:ascii="Times New Roman" w:hAnsi="Times New Roman" w:cs="Times New Roman"/>
          <w:color w:val="000000"/>
        </w:rPr>
        <w:t xml:space="preserve">The </w:t>
      </w:r>
      <w:r w:rsidR="00481402">
        <w:rPr>
          <w:rFonts w:ascii="Times New Roman" w:hAnsi="Times New Roman" w:cs="Times New Roman"/>
          <w:color w:val="000000"/>
        </w:rPr>
        <w:t xml:space="preserve">company </w:t>
      </w:r>
      <w:r w:rsidR="00ED403D">
        <w:rPr>
          <w:rFonts w:ascii="Times New Roman" w:hAnsi="Times New Roman" w:cs="Times New Roman"/>
          <w:color w:val="000000"/>
        </w:rPr>
        <w:t>submitted evidence</w:t>
      </w:r>
      <w:r w:rsidRPr="00304BC1">
        <w:rPr>
          <w:rFonts w:ascii="Times New Roman" w:hAnsi="Times New Roman" w:cs="Times New Roman"/>
          <w:color w:val="000000"/>
        </w:rPr>
        <w:t xml:space="preserve"> to NICE on the use of </w:t>
      </w:r>
      <w:proofErr w:type="spellStart"/>
      <w:r w:rsidRPr="00304BC1">
        <w:rPr>
          <w:rFonts w:ascii="Times New Roman" w:hAnsi="Times New Roman" w:cs="Times New Roman"/>
          <w:color w:val="000000"/>
        </w:rPr>
        <w:t>inotuzumab</w:t>
      </w:r>
      <w:proofErr w:type="spellEnd"/>
      <w:r w:rsidRPr="00304BC1">
        <w:rPr>
          <w:rFonts w:ascii="Times New Roman" w:hAnsi="Times New Roman" w:cs="Times New Roman"/>
          <w:color w:val="000000"/>
        </w:rPr>
        <w:t xml:space="preserve"> </w:t>
      </w:r>
      <w:r w:rsidR="00EA27AB">
        <w:rPr>
          <w:rFonts w:ascii="Times New Roman" w:hAnsi="Times New Roman" w:cs="Times New Roman"/>
          <w:color w:val="000000"/>
        </w:rPr>
        <w:t>within its proposed licensed indication</w:t>
      </w:r>
      <w:r w:rsidR="00C174D6" w:rsidRPr="00C174D6">
        <w:rPr>
          <w:rFonts w:ascii="Times New Roman" w:hAnsi="Times New Roman" w:cs="Times New Roman"/>
          <w:color w:val="000000"/>
        </w:rPr>
        <w:t>.</w:t>
      </w:r>
      <w:r w:rsidR="00BD0DFF" w:rsidRPr="00304BC1">
        <w:rPr>
          <w:rFonts w:ascii="Times New Roman" w:hAnsi="Times New Roman" w:cs="Times New Roman"/>
          <w:color w:val="000000"/>
        </w:rPr>
        <w:t xml:space="preserve"> The ERG critically </w:t>
      </w:r>
      <w:r w:rsidR="00665FAF">
        <w:rPr>
          <w:rFonts w:ascii="Times New Roman" w:hAnsi="Times New Roman" w:cs="Times New Roman"/>
          <w:color w:val="000000"/>
        </w:rPr>
        <w:t xml:space="preserve">evaluated the company’s </w:t>
      </w:r>
      <w:r w:rsidR="00BD0DFF" w:rsidRPr="00304BC1">
        <w:rPr>
          <w:rFonts w:ascii="Times New Roman" w:hAnsi="Times New Roman" w:cs="Times New Roman"/>
          <w:color w:val="000000"/>
        </w:rPr>
        <w:t>evidence submission by assessing (</w:t>
      </w:r>
      <w:proofErr w:type="spellStart"/>
      <w:r w:rsidR="001746A3">
        <w:rPr>
          <w:rFonts w:ascii="Times New Roman" w:hAnsi="Times New Roman" w:cs="Times New Roman"/>
          <w:color w:val="000000"/>
        </w:rPr>
        <w:t>i</w:t>
      </w:r>
      <w:proofErr w:type="spellEnd"/>
      <w:r w:rsidR="00BD0DFF" w:rsidRPr="00304BC1">
        <w:rPr>
          <w:rFonts w:ascii="Times New Roman" w:hAnsi="Times New Roman" w:cs="Times New Roman"/>
          <w:color w:val="000000"/>
        </w:rPr>
        <w:t>) whether the submission conformed to NICE methodological guidelines; (</w:t>
      </w:r>
      <w:r w:rsidR="001746A3">
        <w:rPr>
          <w:rFonts w:ascii="Times New Roman" w:hAnsi="Times New Roman" w:cs="Times New Roman"/>
          <w:color w:val="000000"/>
        </w:rPr>
        <w:t>ii)</w:t>
      </w:r>
      <w:r w:rsidR="00BD0DFF" w:rsidRPr="00304BC1">
        <w:rPr>
          <w:rFonts w:ascii="Times New Roman" w:hAnsi="Times New Roman" w:cs="Times New Roman"/>
          <w:color w:val="000000"/>
        </w:rPr>
        <w:t xml:space="preserve"> whether the </w:t>
      </w:r>
      <w:r w:rsidR="00481402">
        <w:rPr>
          <w:rFonts w:ascii="Times New Roman" w:hAnsi="Times New Roman" w:cs="Times New Roman"/>
          <w:color w:val="000000"/>
        </w:rPr>
        <w:t>company</w:t>
      </w:r>
      <w:r w:rsidR="00BD0DFF" w:rsidRPr="00304BC1">
        <w:rPr>
          <w:rFonts w:ascii="Times New Roman" w:hAnsi="Times New Roman" w:cs="Times New Roman"/>
          <w:color w:val="000000"/>
        </w:rPr>
        <w:t>’s interpretation and analysis of the e</w:t>
      </w:r>
      <w:r w:rsidR="001746A3">
        <w:rPr>
          <w:rFonts w:ascii="Times New Roman" w:hAnsi="Times New Roman" w:cs="Times New Roman"/>
          <w:color w:val="000000"/>
        </w:rPr>
        <w:t>vidence were appropriate; and (iii</w:t>
      </w:r>
      <w:r w:rsidR="00BD0DFF" w:rsidRPr="00304BC1">
        <w:rPr>
          <w:rFonts w:ascii="Times New Roman" w:hAnsi="Times New Roman" w:cs="Times New Roman"/>
          <w:color w:val="000000"/>
        </w:rPr>
        <w:t xml:space="preserve">) the </w:t>
      </w:r>
      <w:r w:rsidR="004F6B8F">
        <w:rPr>
          <w:rFonts w:ascii="Times New Roman" w:hAnsi="Times New Roman" w:cs="Times New Roman"/>
          <w:color w:val="000000"/>
        </w:rPr>
        <w:t>existence</w:t>
      </w:r>
      <w:r w:rsidR="00BD0DFF" w:rsidRPr="00304BC1">
        <w:rPr>
          <w:rFonts w:ascii="Times New Roman" w:hAnsi="Times New Roman" w:cs="Times New Roman"/>
          <w:color w:val="000000"/>
        </w:rPr>
        <w:t xml:space="preserve"> of other evidence </w:t>
      </w:r>
      <w:r w:rsidR="004F6B8F">
        <w:rPr>
          <w:rFonts w:ascii="Times New Roman" w:hAnsi="Times New Roman" w:cs="Times New Roman"/>
          <w:color w:val="000000"/>
        </w:rPr>
        <w:lastRenderedPageBreak/>
        <w:t>and the impact of</w:t>
      </w:r>
      <w:r w:rsidR="00BD0DFF" w:rsidRPr="00304BC1">
        <w:rPr>
          <w:rFonts w:ascii="Times New Roman" w:hAnsi="Times New Roman" w:cs="Times New Roman"/>
          <w:color w:val="000000"/>
        </w:rPr>
        <w:t xml:space="preserve"> alternative interpretations of the evidence</w:t>
      </w:r>
      <w:r w:rsidR="00293E21">
        <w:rPr>
          <w:rFonts w:ascii="Times New Roman" w:hAnsi="Times New Roman" w:cs="Times New Roman"/>
          <w:color w:val="000000"/>
        </w:rPr>
        <w:t xml:space="preserve"> </w:t>
      </w:r>
      <w:r w:rsidR="00ED403D" w:rsidRPr="00304BC1">
        <w:rPr>
          <w:rFonts w:ascii="Times New Roman" w:hAnsi="Times New Roman" w:cs="Times New Roman"/>
          <w:color w:val="000000"/>
        </w:rPr>
        <w:fldChar w:fldCharType="begin"/>
      </w:r>
      <w:r w:rsidR="00BE567A">
        <w:rPr>
          <w:rFonts w:ascii="Times New Roman" w:hAnsi="Times New Roman" w:cs="Times New Roman"/>
          <w:color w:val="000000"/>
        </w:rPr>
        <w:instrText xml:space="preserve"> ADDIN EN.CITE &lt;EndNote&gt;&lt;Cite&gt;&lt;Author&gt;Wade&lt;/Author&gt;&lt;Year&gt;2017&lt;/Year&gt;&lt;RecNum&gt;44&lt;/RecNum&gt;&lt;DisplayText&gt;[2]&lt;/DisplayText&gt;&lt;record&gt;&lt;rec-number&gt;44&lt;/rec-number&gt;&lt;foreign-keys&gt;&lt;key app="EN" db-id="9f090dpxqtedprezvanxwdxlwv2d9d9dp2rs" timestamp="0"&gt;44&lt;/key&gt;&lt;/foreign-keys&gt;&lt;ref-type name="Web Page"&gt;12&lt;/ref-type&gt;&lt;contributors&gt;&lt;authors&gt;&lt;author&gt;Wade, R.&lt;/author&gt;&lt;author&gt;Cox, E.&lt;/author&gt;&lt;author&gt;Peron, M.&lt;/author&gt;&lt;author&gt;Dietz, K.C.&lt;/author&gt;&lt;author&gt;Harden, M. &lt;/author&gt;&lt;author&gt;Eastwood, A.&lt;/author&gt;&lt;author&gt;Palmer, S.&lt;/author&gt;&lt;author&gt;Griffin, S. &lt;/author&gt;&lt;/authors&gt;&lt;/contributors&gt;&lt;titles&gt;&lt;title&gt;Inotuzumab ozogamicin for treating relapsed or refractory B-cell acute lymphoblastic leukaemia&lt;/title&gt;&lt;/titles&gt;&lt;dates&gt;&lt;year&gt;2017&lt;/year&gt;&lt;/dates&gt;&lt;label&gt;Wade17&lt;/label&gt;&lt;urls&gt;&lt;related-urls&gt;&lt;url&gt;https://www.nice.org.uk/guidance/ta541/documents/committee-papers-2&lt;/url&gt;&lt;/related-urls&gt;&lt;/urls&gt;&lt;modified-date&gt;Wade17&lt;/modified-date&gt;&lt;/record&gt;&lt;/Cite&gt;&lt;/EndNote&gt;</w:instrText>
      </w:r>
      <w:r w:rsidR="00ED403D" w:rsidRPr="00304BC1">
        <w:rPr>
          <w:rFonts w:ascii="Times New Roman" w:hAnsi="Times New Roman" w:cs="Times New Roman"/>
          <w:color w:val="000000"/>
        </w:rPr>
        <w:fldChar w:fldCharType="separate"/>
      </w:r>
      <w:r w:rsidR="0006339D">
        <w:rPr>
          <w:rFonts w:ascii="Times New Roman" w:hAnsi="Times New Roman" w:cs="Times New Roman"/>
          <w:noProof/>
          <w:color w:val="000000"/>
        </w:rPr>
        <w:t>[2]</w:t>
      </w:r>
      <w:r w:rsidR="00ED403D" w:rsidRPr="00304BC1">
        <w:rPr>
          <w:rFonts w:ascii="Times New Roman" w:hAnsi="Times New Roman" w:cs="Times New Roman"/>
          <w:color w:val="000000"/>
        </w:rPr>
        <w:fldChar w:fldCharType="end"/>
      </w:r>
      <w:r w:rsidR="00293E21">
        <w:rPr>
          <w:rFonts w:ascii="Times New Roman" w:hAnsi="Times New Roman" w:cs="Times New Roman"/>
          <w:color w:val="000000"/>
        </w:rPr>
        <w:t>.</w:t>
      </w:r>
      <w:r w:rsidR="00ED403D" w:rsidRPr="00304BC1">
        <w:rPr>
          <w:rFonts w:ascii="Times New Roman" w:hAnsi="Times New Roman" w:cs="Times New Roman"/>
          <w:color w:val="000000"/>
        </w:rPr>
        <w:t xml:space="preserve"> </w:t>
      </w:r>
      <w:r w:rsidR="00665FAF">
        <w:rPr>
          <w:rFonts w:ascii="Times New Roman" w:hAnsi="Times New Roman" w:cs="Times New Roman"/>
          <w:color w:val="000000"/>
        </w:rPr>
        <w:t>A</w:t>
      </w:r>
      <w:r w:rsidR="00BD0DFF" w:rsidRPr="00304BC1">
        <w:rPr>
          <w:rFonts w:ascii="Times New Roman" w:hAnsi="Times New Roman" w:cs="Times New Roman"/>
          <w:color w:val="000000"/>
        </w:rPr>
        <w:t>ddition</w:t>
      </w:r>
      <w:r w:rsidR="00665FAF">
        <w:rPr>
          <w:rFonts w:ascii="Times New Roman" w:hAnsi="Times New Roman" w:cs="Times New Roman"/>
          <w:color w:val="000000"/>
        </w:rPr>
        <w:t>ally</w:t>
      </w:r>
      <w:r w:rsidR="00BD0DFF" w:rsidRPr="00304BC1">
        <w:rPr>
          <w:rFonts w:ascii="Times New Roman" w:hAnsi="Times New Roman" w:cs="Times New Roman"/>
          <w:color w:val="000000"/>
        </w:rPr>
        <w:t xml:space="preserve">, the ERG identified areas requiring clarification, for which the </w:t>
      </w:r>
      <w:r w:rsidR="00481402">
        <w:rPr>
          <w:rFonts w:ascii="Times New Roman" w:hAnsi="Times New Roman" w:cs="Times New Roman"/>
          <w:color w:val="000000"/>
        </w:rPr>
        <w:t>company</w:t>
      </w:r>
      <w:r w:rsidR="00BD0DFF" w:rsidRPr="00304BC1">
        <w:rPr>
          <w:rFonts w:ascii="Times New Roman" w:hAnsi="Times New Roman" w:cs="Times New Roman"/>
          <w:color w:val="000000"/>
        </w:rPr>
        <w:t xml:space="preserve"> provided additional evidence</w:t>
      </w:r>
      <w:r w:rsidR="00ED403D">
        <w:rPr>
          <w:rFonts w:ascii="Times New Roman" w:hAnsi="Times New Roman" w:cs="Times New Roman"/>
          <w:color w:val="000000"/>
        </w:rPr>
        <w:t xml:space="preserve"> and an updated cost-effectiveness model</w:t>
      </w:r>
      <w:r w:rsidR="009B5B48">
        <w:rPr>
          <w:rFonts w:ascii="Times New Roman" w:hAnsi="Times New Roman" w:cs="Times New Roman"/>
          <w:color w:val="000000"/>
        </w:rPr>
        <w:t xml:space="preserve"> in accordance with STA procedures</w:t>
      </w:r>
      <w:r w:rsidR="004B4175">
        <w:rPr>
          <w:rFonts w:ascii="Times New Roman" w:hAnsi="Times New Roman" w:cs="Times New Roman"/>
          <w:color w:val="000000"/>
        </w:rPr>
        <w:t>.</w:t>
      </w:r>
      <w:r w:rsidR="00EA27AB">
        <w:rPr>
          <w:rFonts w:ascii="Times New Roman" w:hAnsi="Times New Roman" w:cs="Times New Roman"/>
          <w:color w:val="000000"/>
        </w:rPr>
        <w:t xml:space="preserve"> </w:t>
      </w:r>
    </w:p>
    <w:p w14:paraId="5EA47CF5" w14:textId="77777777" w:rsidR="007B2825" w:rsidRPr="00DD657B" w:rsidRDefault="007B2825" w:rsidP="00E61BB0">
      <w:pPr>
        <w:pStyle w:val="Heading2"/>
        <w:spacing w:line="360" w:lineRule="auto"/>
        <w:rPr>
          <w:rFonts w:cs="Times New Roman"/>
        </w:rPr>
      </w:pPr>
      <w:r w:rsidRPr="00DD657B">
        <w:rPr>
          <w:rFonts w:cs="Times New Roman"/>
        </w:rPr>
        <w:t xml:space="preserve">Clinical Evidence </w:t>
      </w:r>
    </w:p>
    <w:p w14:paraId="206591AC" w14:textId="0B24DECF" w:rsidR="001B3F49" w:rsidRPr="008A224E" w:rsidRDefault="007B2825" w:rsidP="00E61BB0">
      <w:pPr>
        <w:pStyle w:val="Heading3"/>
        <w:spacing w:after="160" w:line="360" w:lineRule="auto"/>
        <w:rPr>
          <w:rFonts w:cs="Times New Roman"/>
        </w:rPr>
      </w:pPr>
      <w:r w:rsidRPr="00DD657B">
        <w:rPr>
          <w:rFonts w:cs="Times New Roman"/>
        </w:rPr>
        <w:t xml:space="preserve">Summary of the Clinical Evidence </w:t>
      </w:r>
    </w:p>
    <w:p w14:paraId="7C0A4A37" w14:textId="5F68FEDE" w:rsidR="001E1FD7" w:rsidRPr="002F1A1A" w:rsidRDefault="00304FC5" w:rsidP="002C790E">
      <w:pPr>
        <w:spacing w:before="240" w:line="360" w:lineRule="auto"/>
        <w:rPr>
          <w:rFonts w:ascii="Times New Roman" w:hAnsi="Times New Roman" w:cs="Times New Roman"/>
          <w:color w:val="000000"/>
        </w:rPr>
      </w:pPr>
      <w:r w:rsidRPr="00304FC5">
        <w:rPr>
          <w:rFonts w:ascii="Times New Roman" w:hAnsi="Times New Roman" w:cs="Times New Roman"/>
          <w:color w:val="000000"/>
        </w:rPr>
        <w:t xml:space="preserve">The company described a systematic review of comparative studies of specified interventions used in </w:t>
      </w:r>
      <w:r w:rsidRPr="002F1A1A">
        <w:rPr>
          <w:rFonts w:ascii="Times New Roman" w:hAnsi="Times New Roman" w:cs="Times New Roman"/>
          <w:color w:val="000000"/>
        </w:rPr>
        <w:t xml:space="preserve">the treatment of R/R B-cell ALL. The </w:t>
      </w:r>
      <w:r w:rsidR="008314C6">
        <w:rPr>
          <w:rFonts w:ascii="Times New Roman" w:hAnsi="Times New Roman" w:cs="Times New Roman"/>
          <w:color w:val="000000"/>
        </w:rPr>
        <w:t>clinical</w:t>
      </w:r>
      <w:r w:rsidR="00B16049">
        <w:rPr>
          <w:rFonts w:ascii="Times New Roman" w:hAnsi="Times New Roman" w:cs="Times New Roman"/>
          <w:color w:val="000000"/>
        </w:rPr>
        <w:t xml:space="preserve"> </w:t>
      </w:r>
      <w:r w:rsidR="008314C6">
        <w:rPr>
          <w:rFonts w:ascii="Times New Roman" w:hAnsi="Times New Roman" w:cs="Times New Roman"/>
          <w:color w:val="000000"/>
        </w:rPr>
        <w:t>effectiveness data</w:t>
      </w:r>
      <w:r w:rsidRPr="002F1A1A">
        <w:rPr>
          <w:rFonts w:ascii="Times New Roman" w:hAnsi="Times New Roman" w:cs="Times New Roman"/>
          <w:color w:val="000000"/>
        </w:rPr>
        <w:t xml:space="preserve"> presented </w:t>
      </w:r>
      <w:r w:rsidR="004F6B8F">
        <w:rPr>
          <w:rFonts w:ascii="Times New Roman" w:hAnsi="Times New Roman" w:cs="Times New Roman"/>
          <w:color w:val="000000"/>
        </w:rPr>
        <w:t>by</w:t>
      </w:r>
      <w:r w:rsidRPr="002F1A1A">
        <w:rPr>
          <w:rFonts w:ascii="Times New Roman" w:hAnsi="Times New Roman" w:cs="Times New Roman"/>
          <w:color w:val="000000"/>
        </w:rPr>
        <w:t xml:space="preserve"> the </w:t>
      </w:r>
      <w:r w:rsidR="003E2F99">
        <w:rPr>
          <w:rFonts w:ascii="Times New Roman" w:hAnsi="Times New Roman" w:cs="Times New Roman"/>
          <w:color w:val="000000"/>
        </w:rPr>
        <w:t>c</w:t>
      </w:r>
      <w:r w:rsidR="003A42D3">
        <w:rPr>
          <w:rFonts w:ascii="Times New Roman" w:hAnsi="Times New Roman" w:cs="Times New Roman"/>
          <w:color w:val="000000"/>
        </w:rPr>
        <w:t>ompany</w:t>
      </w:r>
      <w:r w:rsidRPr="002F1A1A">
        <w:rPr>
          <w:rFonts w:ascii="Times New Roman" w:hAnsi="Times New Roman" w:cs="Times New Roman"/>
          <w:color w:val="000000"/>
        </w:rPr>
        <w:t xml:space="preserve"> was primarily based on one</w:t>
      </w:r>
      <w:r w:rsidR="00665FAF">
        <w:rPr>
          <w:rFonts w:ascii="Times New Roman" w:hAnsi="Times New Roman" w:cs="Times New Roman"/>
          <w:color w:val="000000"/>
        </w:rPr>
        <w:t xml:space="preserve"> </w:t>
      </w:r>
      <w:r w:rsidR="00F450AC">
        <w:rPr>
          <w:rFonts w:ascii="Times New Roman" w:hAnsi="Times New Roman" w:cs="Times New Roman"/>
          <w:color w:val="000000"/>
        </w:rPr>
        <w:t>international multicentre</w:t>
      </w:r>
      <w:r w:rsidR="001B3F49" w:rsidRPr="002F1A1A">
        <w:rPr>
          <w:rFonts w:ascii="Times New Roman" w:hAnsi="Times New Roman" w:cs="Times New Roman"/>
          <w:color w:val="000000"/>
        </w:rPr>
        <w:t xml:space="preserve"> open label</w:t>
      </w:r>
      <w:r w:rsidR="00F450AC">
        <w:rPr>
          <w:rFonts w:ascii="Times New Roman" w:hAnsi="Times New Roman" w:cs="Times New Roman"/>
          <w:color w:val="000000"/>
        </w:rPr>
        <w:t xml:space="preserve"> parallel group</w:t>
      </w:r>
      <w:r w:rsidRPr="002F1A1A">
        <w:rPr>
          <w:rFonts w:ascii="Times New Roman" w:hAnsi="Times New Roman" w:cs="Times New Roman"/>
          <w:color w:val="000000"/>
        </w:rPr>
        <w:t xml:space="preserve"> </w:t>
      </w:r>
      <w:r w:rsidR="0017422F">
        <w:rPr>
          <w:rFonts w:ascii="Times New Roman" w:hAnsi="Times New Roman" w:cs="Times New Roman"/>
          <w:color w:val="000000"/>
        </w:rPr>
        <w:t>randomised controlled trial</w:t>
      </w:r>
      <w:r w:rsidRPr="002F1A1A">
        <w:rPr>
          <w:rFonts w:ascii="Times New Roman" w:hAnsi="Times New Roman" w:cs="Times New Roman"/>
          <w:color w:val="000000"/>
        </w:rPr>
        <w:t>; the INO-VATE 1022 trial</w:t>
      </w:r>
      <w:r w:rsidR="00293E21">
        <w:rPr>
          <w:rFonts w:ascii="Times New Roman" w:hAnsi="Times New Roman" w:cs="Times New Roman"/>
          <w:color w:val="000000"/>
        </w:rPr>
        <w:t xml:space="preserve"> </w:t>
      </w:r>
      <w:r w:rsidR="00200AFF">
        <w:rPr>
          <w:rFonts w:ascii="Times New Roman" w:hAnsi="Times New Roman" w:cs="Times New Roman"/>
          <w:color w:val="000000"/>
        </w:rPr>
        <w:fldChar w:fldCharType="begin"/>
      </w:r>
      <w:r w:rsidR="005F15F8">
        <w:rPr>
          <w:rFonts w:ascii="Times New Roman" w:hAnsi="Times New Roman" w:cs="Times New Roman"/>
          <w:color w:val="000000"/>
        </w:rPr>
        <w:instrText xml:space="preserve"> ADDIN EN.CITE &lt;EndNote&gt;&lt;Cite&gt;&lt;Author&gt;Kantarjian&lt;/Author&gt;&lt;Year&gt;2016&lt;/Year&gt;&lt;RecNum&gt;5&lt;/RecNum&gt;&lt;DisplayText&gt;[13]&lt;/DisplayText&gt;&lt;record&gt;&lt;rec-number&gt;5&lt;/rec-number&gt;&lt;foreign-keys&gt;&lt;key app="EN" db-id="9f090dpxqtedprezvanxwdxlwv2d9d9dp2rs" timestamp="0"&gt;5&lt;/key&gt;&lt;/foreign-keys&gt;&lt;ref-type name="Journal Article"&gt;17&lt;/ref-type&gt;&lt;contributors&gt;&lt;authors&gt;&lt;author&gt;Kantarjian, H M&lt;/author&gt;&lt;author&gt;DeAngelo, D J&lt;/author&gt;&lt;author&gt;Stelljes, M&lt;/author&gt;&lt;author&gt;Martinelli, G&lt;/author&gt;&lt;author&gt;Liedtke, M&lt;/author&gt;&lt;author&gt;Stock, W&lt;/author&gt;&lt;author&gt;Gokbuget, N&lt;/author&gt;&lt;author&gt;O&amp;apos;Brien, S&lt;/author&gt;&lt;author&gt;Wang, K&lt;/author&gt;&lt;author&gt;Wang, T&lt;/author&gt;&lt;author&gt;Paccagnella, L&lt;/author&gt;&lt;author&gt;Sleight, B&lt;/author&gt;&lt;author&gt;Vandendries, E&lt;/author&gt;&lt;author&gt;Advani, A S&lt;/author&gt;&lt;/authors&gt;&lt;/contributors&gt;&lt;titles&gt;&lt;title&gt;Inotuzumab ozogamicin versus standard therapy for acute lymphoblastic leukemia&lt;/title&gt;&lt;secondary-title&gt;New England Journal of Medicine&lt;/secondary-title&gt;&lt;/titles&gt;&lt;pages&gt;740-53&lt;/pages&gt;&lt;volume&gt;375&lt;/volume&gt;&lt;number&gt;8&lt;/number&gt;&lt;dates&gt;&lt;year&gt;2016&lt;/year&gt;&lt;/dates&gt;&lt;urls&gt;&lt;/urls&gt;&lt;/record&gt;&lt;/Cite&gt;&lt;/EndNote&gt;</w:instrText>
      </w:r>
      <w:r w:rsidR="00200AFF">
        <w:rPr>
          <w:rFonts w:ascii="Times New Roman" w:hAnsi="Times New Roman" w:cs="Times New Roman"/>
          <w:color w:val="000000"/>
        </w:rPr>
        <w:fldChar w:fldCharType="separate"/>
      </w:r>
      <w:r w:rsidR="005F15F8">
        <w:rPr>
          <w:rFonts w:ascii="Times New Roman" w:hAnsi="Times New Roman" w:cs="Times New Roman"/>
          <w:noProof/>
          <w:color w:val="000000"/>
        </w:rPr>
        <w:t>[13]</w:t>
      </w:r>
      <w:r w:rsidR="00200AFF">
        <w:rPr>
          <w:rFonts w:ascii="Times New Roman" w:hAnsi="Times New Roman" w:cs="Times New Roman"/>
          <w:color w:val="000000"/>
        </w:rPr>
        <w:fldChar w:fldCharType="end"/>
      </w:r>
      <w:r w:rsidR="00293E21">
        <w:rPr>
          <w:rFonts w:ascii="Times New Roman" w:hAnsi="Times New Roman" w:cs="Times New Roman"/>
          <w:color w:val="000000"/>
        </w:rPr>
        <w:t>,</w:t>
      </w:r>
      <w:r w:rsidRPr="002F1A1A">
        <w:rPr>
          <w:rFonts w:ascii="Times New Roman" w:hAnsi="Times New Roman" w:cs="Times New Roman"/>
          <w:color w:val="000000"/>
        </w:rPr>
        <w:t xml:space="preserve"> which</w:t>
      </w:r>
      <w:r w:rsidR="001E1FD7" w:rsidRPr="002F1A1A">
        <w:rPr>
          <w:rFonts w:ascii="Times New Roman" w:hAnsi="Times New Roman" w:cs="Times New Roman"/>
          <w:color w:val="000000"/>
        </w:rPr>
        <w:t xml:space="preserve"> was designed to</w:t>
      </w:r>
      <w:r w:rsidRPr="002F1A1A">
        <w:rPr>
          <w:rFonts w:ascii="Times New Roman" w:hAnsi="Times New Roman" w:cs="Times New Roman"/>
          <w:color w:val="000000"/>
        </w:rPr>
        <w:t xml:space="preserve"> com</w:t>
      </w:r>
      <w:r w:rsidR="001E1FD7" w:rsidRPr="002F1A1A">
        <w:rPr>
          <w:rFonts w:ascii="Times New Roman" w:hAnsi="Times New Roman" w:cs="Times New Roman"/>
          <w:color w:val="000000"/>
        </w:rPr>
        <w:t>pare</w:t>
      </w:r>
      <w:r w:rsidRPr="002F1A1A">
        <w:rPr>
          <w:rFonts w:ascii="Times New Roman" w:hAnsi="Times New Roman" w:cs="Times New Roman"/>
          <w:color w:val="000000"/>
        </w:rPr>
        <w:t xml:space="preserve"> </w:t>
      </w:r>
      <w:proofErr w:type="spellStart"/>
      <w:r w:rsidRPr="002F1A1A">
        <w:rPr>
          <w:rFonts w:ascii="Times New Roman" w:hAnsi="Times New Roman" w:cs="Times New Roman"/>
          <w:color w:val="000000"/>
        </w:rPr>
        <w:t>inotuzumab</w:t>
      </w:r>
      <w:proofErr w:type="spellEnd"/>
      <w:r w:rsidR="001E1FD7" w:rsidRPr="002F1A1A">
        <w:rPr>
          <w:rFonts w:ascii="Times New Roman" w:hAnsi="Times New Roman" w:cs="Times New Roman"/>
          <w:color w:val="000000"/>
        </w:rPr>
        <w:t xml:space="preserve"> (</w:t>
      </w:r>
      <w:r w:rsidR="00D86189" w:rsidRPr="00A01321">
        <w:rPr>
          <w:rFonts w:ascii="Times New Roman" w:hAnsi="Times New Roman" w:cs="Times New Roman"/>
          <w:color w:val="000000"/>
        </w:rPr>
        <w:t>n=164</w:t>
      </w:r>
      <w:r w:rsidR="001E1FD7" w:rsidRPr="002F1A1A">
        <w:rPr>
          <w:rFonts w:ascii="Times New Roman" w:hAnsi="Times New Roman" w:cs="Times New Roman"/>
          <w:color w:val="000000"/>
        </w:rPr>
        <w:t>)</w:t>
      </w:r>
      <w:r w:rsidRPr="002F1A1A">
        <w:rPr>
          <w:rFonts w:ascii="Times New Roman" w:hAnsi="Times New Roman" w:cs="Times New Roman"/>
          <w:color w:val="000000"/>
        </w:rPr>
        <w:t xml:space="preserve"> to </w:t>
      </w:r>
      <w:proofErr w:type="spellStart"/>
      <w:r w:rsidRPr="002F1A1A">
        <w:rPr>
          <w:rFonts w:ascii="Times New Roman" w:hAnsi="Times New Roman" w:cs="Times New Roman"/>
          <w:color w:val="000000"/>
        </w:rPr>
        <w:t>SoC</w:t>
      </w:r>
      <w:proofErr w:type="spellEnd"/>
      <w:r w:rsidR="00A01321">
        <w:rPr>
          <w:rFonts w:ascii="Times New Roman" w:hAnsi="Times New Roman" w:cs="Times New Roman"/>
          <w:color w:val="000000"/>
        </w:rPr>
        <w:t xml:space="preserve"> (</w:t>
      </w:r>
      <w:r w:rsidR="00A01321" w:rsidRPr="00A01321">
        <w:rPr>
          <w:rFonts w:ascii="Times New Roman" w:hAnsi="Times New Roman" w:cs="Times New Roman"/>
          <w:color w:val="000000"/>
        </w:rPr>
        <w:t>n=162</w:t>
      </w:r>
      <w:r w:rsidR="00A01321">
        <w:rPr>
          <w:rFonts w:ascii="Times New Roman" w:hAnsi="Times New Roman" w:cs="Times New Roman"/>
          <w:color w:val="000000"/>
        </w:rPr>
        <w:t>)</w:t>
      </w:r>
      <w:r w:rsidRPr="002F1A1A">
        <w:rPr>
          <w:rFonts w:ascii="Times New Roman" w:hAnsi="Times New Roman" w:cs="Times New Roman"/>
          <w:color w:val="000000"/>
        </w:rPr>
        <w:t>, which was the investigator’s choice of FLAG</w:t>
      </w:r>
      <w:r w:rsidR="001E1FD7" w:rsidRPr="002F1A1A">
        <w:rPr>
          <w:rFonts w:ascii="Times New Roman" w:hAnsi="Times New Roman" w:cs="Times New Roman"/>
          <w:color w:val="000000"/>
        </w:rPr>
        <w:t xml:space="preserve"> (</w:t>
      </w:r>
      <w:r w:rsidR="001E1FD7" w:rsidRPr="00A01321">
        <w:rPr>
          <w:rFonts w:ascii="Times New Roman" w:hAnsi="Times New Roman" w:cs="Times New Roman"/>
          <w:color w:val="000000"/>
        </w:rPr>
        <w:t>n=102</w:t>
      </w:r>
      <w:r w:rsidR="001E1FD7" w:rsidRPr="002F1A1A">
        <w:rPr>
          <w:rFonts w:ascii="Times New Roman" w:hAnsi="Times New Roman" w:cs="Times New Roman"/>
          <w:color w:val="000000"/>
        </w:rPr>
        <w:t>)</w:t>
      </w:r>
      <w:r w:rsidRPr="002F1A1A">
        <w:rPr>
          <w:rFonts w:ascii="Times New Roman" w:hAnsi="Times New Roman" w:cs="Times New Roman"/>
          <w:color w:val="000000"/>
        </w:rPr>
        <w:t xml:space="preserve">, CM </w:t>
      </w:r>
      <w:r w:rsidR="001E1FD7" w:rsidRPr="002F1A1A">
        <w:rPr>
          <w:rFonts w:ascii="Times New Roman" w:hAnsi="Times New Roman" w:cs="Times New Roman"/>
          <w:color w:val="000000"/>
        </w:rPr>
        <w:t>(</w:t>
      </w:r>
      <w:r w:rsidR="001E1FD7" w:rsidRPr="00A01321">
        <w:rPr>
          <w:rFonts w:ascii="Times New Roman" w:hAnsi="Times New Roman" w:cs="Times New Roman"/>
          <w:color w:val="000000"/>
        </w:rPr>
        <w:t>n=38</w:t>
      </w:r>
      <w:r w:rsidR="001E1FD7" w:rsidRPr="002F1A1A">
        <w:rPr>
          <w:rFonts w:ascii="Times New Roman" w:hAnsi="Times New Roman" w:cs="Times New Roman"/>
          <w:color w:val="000000"/>
        </w:rPr>
        <w:t xml:space="preserve">) </w:t>
      </w:r>
      <w:r w:rsidRPr="002F1A1A">
        <w:rPr>
          <w:rFonts w:ascii="Times New Roman" w:hAnsi="Times New Roman" w:cs="Times New Roman"/>
          <w:color w:val="000000"/>
        </w:rPr>
        <w:t>or HIDAC</w:t>
      </w:r>
      <w:r w:rsidR="001E1FD7" w:rsidRPr="002F1A1A">
        <w:rPr>
          <w:rFonts w:ascii="Times New Roman" w:hAnsi="Times New Roman" w:cs="Times New Roman"/>
          <w:color w:val="000000"/>
        </w:rPr>
        <w:t xml:space="preserve"> (</w:t>
      </w:r>
      <w:r w:rsidR="001E1FD7" w:rsidRPr="00A01321">
        <w:rPr>
          <w:rFonts w:ascii="Times New Roman" w:hAnsi="Times New Roman" w:cs="Times New Roman"/>
          <w:color w:val="000000"/>
        </w:rPr>
        <w:t>n=22</w:t>
      </w:r>
      <w:r w:rsidR="001E1FD7" w:rsidRPr="002F1A1A">
        <w:rPr>
          <w:rFonts w:ascii="Times New Roman" w:hAnsi="Times New Roman" w:cs="Times New Roman"/>
          <w:color w:val="000000"/>
        </w:rPr>
        <w:t>)</w:t>
      </w:r>
      <w:r w:rsidRPr="002F1A1A">
        <w:rPr>
          <w:rFonts w:ascii="Times New Roman" w:hAnsi="Times New Roman" w:cs="Times New Roman"/>
          <w:color w:val="000000"/>
        </w:rPr>
        <w:t>.</w:t>
      </w:r>
      <w:r w:rsidR="00F37A35">
        <w:rPr>
          <w:rFonts w:ascii="Times New Roman" w:hAnsi="Times New Roman" w:cs="Times New Roman"/>
          <w:color w:val="000000"/>
        </w:rPr>
        <w:t xml:space="preserve"> </w:t>
      </w:r>
      <w:r w:rsidR="00601C2A">
        <w:rPr>
          <w:rFonts w:ascii="Times New Roman" w:hAnsi="Times New Roman" w:cs="Times New Roman"/>
          <w:color w:val="000000"/>
        </w:rPr>
        <w:t>The trial exclusively recruited patients</w:t>
      </w:r>
      <w:r w:rsidR="00601C2A">
        <w:rPr>
          <w:rFonts w:ascii="Times New Roman" w:hAnsi="Times New Roman" w:cs="Times New Roman"/>
        </w:rPr>
        <w:t xml:space="preserve"> due to receive </w:t>
      </w:r>
      <w:r w:rsidR="00D21614">
        <w:rPr>
          <w:rFonts w:ascii="Times New Roman" w:hAnsi="Times New Roman" w:cs="Times New Roman"/>
        </w:rPr>
        <w:t>their first or second</w:t>
      </w:r>
      <w:r w:rsidR="00601C2A">
        <w:rPr>
          <w:rFonts w:ascii="Times New Roman" w:hAnsi="Times New Roman" w:cs="Times New Roman"/>
        </w:rPr>
        <w:t xml:space="preserve"> salvage </w:t>
      </w:r>
      <w:r w:rsidR="00D21614">
        <w:rPr>
          <w:rFonts w:ascii="Times New Roman" w:hAnsi="Times New Roman" w:cs="Times New Roman"/>
        </w:rPr>
        <w:t>t</w:t>
      </w:r>
      <w:r w:rsidR="00601C2A">
        <w:rPr>
          <w:rFonts w:ascii="Times New Roman" w:hAnsi="Times New Roman" w:cs="Times New Roman"/>
        </w:rPr>
        <w:t>herapy.</w:t>
      </w:r>
      <w:r w:rsidR="00601C2A">
        <w:rPr>
          <w:rFonts w:ascii="Times New Roman" w:hAnsi="Times New Roman" w:cs="Times New Roman"/>
          <w:color w:val="000000"/>
        </w:rPr>
        <w:t xml:space="preserve"> </w:t>
      </w:r>
      <w:r w:rsidR="002A10A6">
        <w:rPr>
          <w:rFonts w:ascii="Times New Roman" w:hAnsi="Times New Roman" w:cs="Times New Roman"/>
          <w:color w:val="000000"/>
        </w:rPr>
        <w:t>T</w:t>
      </w:r>
      <w:r w:rsidR="001C6F69" w:rsidRPr="001C6F69">
        <w:rPr>
          <w:rFonts w:ascii="Times New Roman" w:hAnsi="Times New Roman" w:cs="Times New Roman"/>
          <w:color w:val="000000"/>
        </w:rPr>
        <w:t>he safety population</w:t>
      </w:r>
      <w:r w:rsidR="00C94D31">
        <w:rPr>
          <w:rFonts w:ascii="Times New Roman" w:hAnsi="Times New Roman" w:cs="Times New Roman"/>
          <w:color w:val="000000"/>
        </w:rPr>
        <w:t xml:space="preserve"> </w:t>
      </w:r>
      <w:r w:rsidR="001C6F69">
        <w:rPr>
          <w:rFonts w:ascii="Times New Roman" w:hAnsi="Times New Roman" w:cs="Times New Roman"/>
          <w:color w:val="000000"/>
        </w:rPr>
        <w:t>compris</w:t>
      </w:r>
      <w:r w:rsidR="002A10A6">
        <w:rPr>
          <w:rFonts w:ascii="Times New Roman" w:hAnsi="Times New Roman" w:cs="Times New Roman"/>
          <w:color w:val="000000"/>
        </w:rPr>
        <w:t>ed</w:t>
      </w:r>
      <w:r w:rsidR="001C6F69">
        <w:rPr>
          <w:rFonts w:ascii="Times New Roman" w:hAnsi="Times New Roman" w:cs="Times New Roman"/>
          <w:color w:val="000000"/>
        </w:rPr>
        <w:t xml:space="preserve"> </w:t>
      </w:r>
      <w:r w:rsidR="001C6F69" w:rsidRPr="001C6F69">
        <w:rPr>
          <w:rFonts w:ascii="Times New Roman" w:hAnsi="Times New Roman" w:cs="Times New Roman"/>
          <w:color w:val="000000"/>
        </w:rPr>
        <w:t>all randomised patients</w:t>
      </w:r>
      <w:r w:rsidR="002C790E">
        <w:rPr>
          <w:rFonts w:ascii="Times New Roman" w:hAnsi="Times New Roman" w:cs="Times New Roman"/>
          <w:color w:val="000000"/>
        </w:rPr>
        <w:t xml:space="preserve"> </w:t>
      </w:r>
      <w:r w:rsidR="001C6F69" w:rsidRPr="001C6F69">
        <w:rPr>
          <w:rFonts w:ascii="Times New Roman" w:hAnsi="Times New Roman" w:cs="Times New Roman"/>
          <w:color w:val="000000"/>
        </w:rPr>
        <w:t>who received at least one dose of study drug</w:t>
      </w:r>
      <w:r w:rsidR="00D24CAF">
        <w:rPr>
          <w:rFonts w:ascii="Times New Roman" w:hAnsi="Times New Roman" w:cs="Times New Roman"/>
          <w:color w:val="000000"/>
        </w:rPr>
        <w:t xml:space="preserve"> </w:t>
      </w:r>
      <w:r w:rsidR="002C790E" w:rsidRPr="002C790E">
        <w:rPr>
          <w:rFonts w:ascii="Times New Roman" w:hAnsi="Times New Roman" w:cs="Times New Roman"/>
          <w:color w:val="000000"/>
        </w:rPr>
        <w:t>(</w:t>
      </w:r>
      <w:r w:rsidR="002C790E">
        <w:rPr>
          <w:rFonts w:ascii="Times New Roman" w:hAnsi="Times New Roman" w:cs="Times New Roman"/>
          <w:color w:val="000000"/>
        </w:rPr>
        <w:t>n=</w:t>
      </w:r>
      <w:r w:rsidR="002C790E" w:rsidRPr="002C790E">
        <w:rPr>
          <w:rFonts w:ascii="Times New Roman" w:hAnsi="Times New Roman" w:cs="Times New Roman"/>
          <w:color w:val="000000"/>
        </w:rPr>
        <w:t xml:space="preserve">164 </w:t>
      </w:r>
      <w:proofErr w:type="spellStart"/>
      <w:r w:rsidR="002C790E" w:rsidRPr="002C790E">
        <w:rPr>
          <w:rFonts w:ascii="Times New Roman" w:hAnsi="Times New Roman" w:cs="Times New Roman"/>
          <w:color w:val="000000"/>
        </w:rPr>
        <w:t>inotuzumab</w:t>
      </w:r>
      <w:proofErr w:type="spellEnd"/>
      <w:r w:rsidR="002A10A6">
        <w:rPr>
          <w:rFonts w:ascii="Times New Roman" w:hAnsi="Times New Roman" w:cs="Times New Roman"/>
          <w:color w:val="000000"/>
        </w:rPr>
        <w:t>,</w:t>
      </w:r>
      <w:r w:rsidR="002C790E" w:rsidRPr="002C790E">
        <w:rPr>
          <w:rFonts w:ascii="Times New Roman" w:hAnsi="Times New Roman" w:cs="Times New Roman"/>
          <w:color w:val="000000"/>
        </w:rPr>
        <w:t xml:space="preserve"> </w:t>
      </w:r>
      <w:r w:rsidR="002C790E">
        <w:rPr>
          <w:rFonts w:ascii="Times New Roman" w:hAnsi="Times New Roman" w:cs="Times New Roman"/>
          <w:color w:val="000000"/>
        </w:rPr>
        <w:t>n=</w:t>
      </w:r>
      <w:r w:rsidR="002C790E" w:rsidRPr="002C790E">
        <w:rPr>
          <w:rFonts w:ascii="Times New Roman" w:hAnsi="Times New Roman" w:cs="Times New Roman"/>
          <w:color w:val="000000"/>
        </w:rPr>
        <w:t xml:space="preserve">143 </w:t>
      </w:r>
      <w:proofErr w:type="spellStart"/>
      <w:r w:rsidR="002C790E" w:rsidRPr="002C790E">
        <w:rPr>
          <w:rFonts w:ascii="Times New Roman" w:hAnsi="Times New Roman" w:cs="Times New Roman"/>
          <w:color w:val="000000"/>
        </w:rPr>
        <w:t>SoC</w:t>
      </w:r>
      <w:proofErr w:type="spellEnd"/>
      <w:r w:rsidR="002C790E" w:rsidRPr="002C790E">
        <w:rPr>
          <w:rFonts w:ascii="Times New Roman" w:hAnsi="Times New Roman" w:cs="Times New Roman"/>
          <w:color w:val="000000"/>
        </w:rPr>
        <w:t>)</w:t>
      </w:r>
      <w:r w:rsidR="00C94D31">
        <w:rPr>
          <w:rFonts w:ascii="Times New Roman" w:hAnsi="Times New Roman" w:cs="Times New Roman"/>
          <w:color w:val="000000"/>
        </w:rPr>
        <w:t xml:space="preserve">; </w:t>
      </w:r>
      <w:r w:rsidR="009925BC">
        <w:rPr>
          <w:rFonts w:ascii="Times New Roman" w:hAnsi="Times New Roman" w:cs="Times New Roman"/>
          <w:color w:val="000000"/>
        </w:rPr>
        <w:t>the ITT218 population consisted of the first 218 patients recruited into the trial with at least 3 months follow-up post-randomisation; and</w:t>
      </w:r>
      <w:r w:rsidR="009925BC">
        <w:t xml:space="preserve"> </w:t>
      </w:r>
      <w:r w:rsidR="00C94D31">
        <w:rPr>
          <w:rFonts w:ascii="Times New Roman" w:hAnsi="Times New Roman" w:cs="Times New Roman"/>
          <w:color w:val="000000"/>
        </w:rPr>
        <w:t>the full intention to treat (ITT) population</w:t>
      </w:r>
      <w:r w:rsidR="009925BC">
        <w:rPr>
          <w:rFonts w:ascii="Times New Roman" w:hAnsi="Times New Roman" w:cs="Times New Roman"/>
          <w:color w:val="000000"/>
        </w:rPr>
        <w:t xml:space="preserve"> included all 326 randomised patients</w:t>
      </w:r>
      <w:r w:rsidR="00C94D31">
        <w:rPr>
          <w:rFonts w:ascii="Times New Roman" w:hAnsi="Times New Roman" w:cs="Times New Roman"/>
          <w:color w:val="000000"/>
        </w:rPr>
        <w:t xml:space="preserve"> </w:t>
      </w:r>
      <w:r w:rsidR="008117E2">
        <w:rPr>
          <w:rFonts w:ascii="Times New Roman" w:hAnsi="Times New Roman" w:cs="Times New Roman"/>
          <w:color w:val="000000"/>
        </w:rPr>
        <w:t xml:space="preserve">with </w:t>
      </w:r>
      <w:r w:rsidR="009925BC">
        <w:rPr>
          <w:rFonts w:ascii="Times New Roman" w:hAnsi="Times New Roman" w:cs="Times New Roman"/>
          <w:color w:val="000000"/>
        </w:rPr>
        <w:t>the cut-off date</w:t>
      </w:r>
      <w:r w:rsidR="004255FE">
        <w:rPr>
          <w:rFonts w:ascii="Times New Roman" w:hAnsi="Times New Roman" w:cs="Times New Roman"/>
          <w:color w:val="000000"/>
        </w:rPr>
        <w:t xml:space="preserve"> set to</w:t>
      </w:r>
      <w:r w:rsidR="009925BC">
        <w:rPr>
          <w:rFonts w:ascii="Times New Roman" w:hAnsi="Times New Roman" w:cs="Times New Roman"/>
          <w:color w:val="000000"/>
        </w:rPr>
        <w:t xml:space="preserve"> the 248th survival</w:t>
      </w:r>
      <w:r w:rsidR="009925BC" w:rsidRPr="009925BC">
        <w:rPr>
          <w:rFonts w:ascii="Times New Roman" w:hAnsi="Times New Roman" w:cs="Times New Roman"/>
          <w:color w:val="000000"/>
        </w:rPr>
        <w:t xml:space="preserve"> event</w:t>
      </w:r>
      <w:r w:rsidR="008117E2">
        <w:rPr>
          <w:rFonts w:ascii="Times New Roman" w:hAnsi="Times New Roman" w:cs="Times New Roman"/>
          <w:color w:val="000000"/>
        </w:rPr>
        <w:t xml:space="preserve"> for all survival-related analyses</w:t>
      </w:r>
      <w:r w:rsidR="009925BC" w:rsidRPr="009925BC">
        <w:rPr>
          <w:rFonts w:ascii="Times New Roman" w:hAnsi="Times New Roman" w:cs="Times New Roman"/>
          <w:color w:val="000000"/>
        </w:rPr>
        <w:t xml:space="preserve"> </w:t>
      </w:r>
      <w:r w:rsidR="00723277">
        <w:rPr>
          <w:rFonts w:ascii="Times New Roman" w:hAnsi="Times New Roman" w:cs="Times New Roman"/>
          <w:color w:val="000000"/>
        </w:rPr>
        <w:t>(</w:t>
      </w:r>
      <w:r w:rsidR="009925BC">
        <w:rPr>
          <w:rFonts w:ascii="Times New Roman" w:hAnsi="Times New Roman" w:cs="Times New Roman"/>
          <w:color w:val="000000"/>
        </w:rPr>
        <w:t xml:space="preserve">which </w:t>
      </w:r>
      <w:r w:rsidR="009925BC" w:rsidRPr="009925BC">
        <w:rPr>
          <w:rFonts w:ascii="Times New Roman" w:hAnsi="Times New Roman" w:cs="Times New Roman"/>
          <w:color w:val="000000"/>
        </w:rPr>
        <w:t>was reached on 8 March 2016</w:t>
      </w:r>
      <w:r w:rsidR="00723277">
        <w:rPr>
          <w:rFonts w:ascii="Times New Roman" w:hAnsi="Times New Roman" w:cs="Times New Roman"/>
          <w:color w:val="000000"/>
        </w:rPr>
        <w:t>)</w:t>
      </w:r>
      <w:r w:rsidR="009925BC">
        <w:rPr>
          <w:rFonts w:ascii="Times New Roman" w:hAnsi="Times New Roman" w:cs="Times New Roman"/>
          <w:color w:val="000000"/>
        </w:rPr>
        <w:t>.</w:t>
      </w:r>
    </w:p>
    <w:p w14:paraId="0529FC4E" w14:textId="2E7994D6" w:rsidR="001E1FD7" w:rsidRDefault="00304FC5" w:rsidP="00E61BB0">
      <w:pPr>
        <w:spacing w:line="360" w:lineRule="auto"/>
        <w:ind w:firstLine="432"/>
        <w:rPr>
          <w:rFonts w:ascii="Times New Roman" w:hAnsi="Times New Roman" w:cs="Times New Roman"/>
          <w:color w:val="000000"/>
        </w:rPr>
      </w:pPr>
      <w:r w:rsidRPr="002F1A1A">
        <w:rPr>
          <w:rFonts w:ascii="Times New Roman" w:hAnsi="Times New Roman" w:cs="Times New Roman"/>
          <w:color w:val="000000"/>
        </w:rPr>
        <w:t xml:space="preserve">The trial </w:t>
      </w:r>
      <w:r w:rsidR="009F6B18">
        <w:rPr>
          <w:rFonts w:ascii="Times New Roman" w:hAnsi="Times New Roman" w:cs="Times New Roman"/>
          <w:color w:val="000000"/>
        </w:rPr>
        <w:t xml:space="preserve">met its primary objective </w:t>
      </w:r>
      <w:r w:rsidR="0008253C">
        <w:rPr>
          <w:rFonts w:ascii="Times New Roman" w:hAnsi="Times New Roman" w:cs="Times New Roman"/>
          <w:color w:val="000000"/>
        </w:rPr>
        <w:t>by</w:t>
      </w:r>
      <w:r w:rsidR="009F6B18">
        <w:rPr>
          <w:rFonts w:ascii="Times New Roman" w:hAnsi="Times New Roman" w:cs="Times New Roman"/>
          <w:color w:val="000000"/>
        </w:rPr>
        <w:t xml:space="preserve"> </w:t>
      </w:r>
      <w:r w:rsidR="0008253C">
        <w:rPr>
          <w:rFonts w:ascii="Times New Roman" w:hAnsi="Times New Roman" w:cs="Times New Roman"/>
          <w:color w:val="000000"/>
        </w:rPr>
        <w:t>demonstrating</w:t>
      </w:r>
      <w:r w:rsidRPr="002F1A1A">
        <w:rPr>
          <w:rFonts w:ascii="Times New Roman" w:hAnsi="Times New Roman" w:cs="Times New Roman"/>
          <w:color w:val="000000"/>
        </w:rPr>
        <w:t xml:space="preserve"> that </w:t>
      </w:r>
      <w:proofErr w:type="spellStart"/>
      <w:r w:rsidRPr="002F1A1A">
        <w:rPr>
          <w:rFonts w:ascii="Times New Roman" w:hAnsi="Times New Roman" w:cs="Times New Roman"/>
          <w:color w:val="000000"/>
        </w:rPr>
        <w:t>inotuzumab</w:t>
      </w:r>
      <w:proofErr w:type="spellEnd"/>
      <w:r w:rsidRPr="002F1A1A">
        <w:rPr>
          <w:rFonts w:ascii="Times New Roman" w:hAnsi="Times New Roman" w:cs="Times New Roman"/>
          <w:color w:val="000000"/>
        </w:rPr>
        <w:t xml:space="preserve"> confers </w:t>
      </w:r>
      <w:r w:rsidR="009F6B18">
        <w:rPr>
          <w:rFonts w:ascii="Times New Roman" w:hAnsi="Times New Roman" w:cs="Times New Roman"/>
          <w:color w:val="000000"/>
        </w:rPr>
        <w:t xml:space="preserve">a statistically </w:t>
      </w:r>
      <w:r w:rsidRPr="002F1A1A">
        <w:rPr>
          <w:rFonts w:ascii="Times New Roman" w:hAnsi="Times New Roman" w:cs="Times New Roman"/>
          <w:color w:val="000000"/>
        </w:rPr>
        <w:t xml:space="preserve">significant benefit in terms of </w:t>
      </w:r>
      <w:r w:rsidR="009F6B18">
        <w:rPr>
          <w:rFonts w:ascii="Times New Roman" w:hAnsi="Times New Roman" w:cs="Times New Roman"/>
          <w:color w:val="000000"/>
        </w:rPr>
        <w:t xml:space="preserve">achieving </w:t>
      </w:r>
      <w:r w:rsidRPr="002F1A1A">
        <w:rPr>
          <w:rFonts w:ascii="Times New Roman" w:hAnsi="Times New Roman" w:cs="Times New Roman"/>
          <w:color w:val="000000"/>
        </w:rPr>
        <w:t>CR/</w:t>
      </w:r>
      <w:proofErr w:type="spellStart"/>
      <w:r w:rsidRPr="002F1A1A">
        <w:rPr>
          <w:rFonts w:ascii="Times New Roman" w:hAnsi="Times New Roman" w:cs="Times New Roman"/>
          <w:color w:val="000000"/>
        </w:rPr>
        <w:t>C</w:t>
      </w:r>
      <w:r w:rsidR="008117E2">
        <w:rPr>
          <w:rFonts w:ascii="Times New Roman" w:hAnsi="Times New Roman" w:cs="Times New Roman"/>
          <w:color w:val="000000"/>
        </w:rPr>
        <w:t>R</w:t>
      </w:r>
      <w:r w:rsidRPr="002F1A1A">
        <w:rPr>
          <w:rFonts w:ascii="Times New Roman" w:hAnsi="Times New Roman" w:cs="Times New Roman"/>
          <w:color w:val="000000"/>
        </w:rPr>
        <w:t>i</w:t>
      </w:r>
      <w:proofErr w:type="spellEnd"/>
      <w:r w:rsidR="00723277">
        <w:rPr>
          <w:rFonts w:ascii="Times New Roman" w:hAnsi="Times New Roman" w:cs="Times New Roman"/>
          <w:color w:val="000000"/>
        </w:rPr>
        <w:t xml:space="preserve"> in the full ITT population</w:t>
      </w:r>
      <w:r w:rsidR="00DB73DE">
        <w:rPr>
          <w:rFonts w:ascii="Times New Roman" w:hAnsi="Times New Roman" w:cs="Times New Roman"/>
          <w:color w:val="000000"/>
        </w:rPr>
        <w:t xml:space="preserve"> (Table 1)</w:t>
      </w:r>
      <w:r w:rsidRPr="002F1A1A">
        <w:rPr>
          <w:rFonts w:ascii="Times New Roman" w:hAnsi="Times New Roman" w:cs="Times New Roman"/>
          <w:color w:val="000000"/>
        </w:rPr>
        <w:t xml:space="preserve">. </w:t>
      </w:r>
      <w:r w:rsidR="001E1FD7" w:rsidRPr="002F1A1A">
        <w:rPr>
          <w:rFonts w:ascii="Times New Roman" w:hAnsi="Times New Roman" w:cs="Times New Roman"/>
          <w:color w:val="000000"/>
        </w:rPr>
        <w:t xml:space="preserve">A total of </w:t>
      </w:r>
      <w:r w:rsidR="001E1FD7" w:rsidRPr="00B20AF0">
        <w:rPr>
          <w:rFonts w:ascii="Times New Roman" w:hAnsi="Times New Roman" w:cs="Times New Roman"/>
          <w:color w:val="000000"/>
        </w:rPr>
        <w:t xml:space="preserve">73.2% </w:t>
      </w:r>
      <w:proofErr w:type="spellStart"/>
      <w:r w:rsidR="001E1FD7" w:rsidRPr="002F1A1A">
        <w:rPr>
          <w:rFonts w:ascii="Times New Roman" w:hAnsi="Times New Roman" w:cs="Times New Roman"/>
          <w:color w:val="000000"/>
        </w:rPr>
        <w:t>inotuzumab</w:t>
      </w:r>
      <w:proofErr w:type="spellEnd"/>
      <w:r w:rsidR="001E1FD7" w:rsidRPr="002F1A1A">
        <w:rPr>
          <w:rFonts w:ascii="Times New Roman" w:hAnsi="Times New Roman" w:cs="Times New Roman"/>
          <w:color w:val="000000"/>
        </w:rPr>
        <w:t xml:space="preserve"> patients achieved CR/</w:t>
      </w:r>
      <w:proofErr w:type="spellStart"/>
      <w:r w:rsidR="001E1FD7" w:rsidRPr="002F1A1A">
        <w:rPr>
          <w:rFonts w:ascii="Times New Roman" w:hAnsi="Times New Roman" w:cs="Times New Roman"/>
          <w:color w:val="000000"/>
        </w:rPr>
        <w:t>CRi</w:t>
      </w:r>
      <w:proofErr w:type="spellEnd"/>
      <w:r w:rsidR="001E1FD7" w:rsidRPr="002F1A1A">
        <w:rPr>
          <w:rFonts w:ascii="Times New Roman" w:hAnsi="Times New Roman" w:cs="Times New Roman"/>
          <w:color w:val="000000"/>
        </w:rPr>
        <w:t xml:space="preserve"> compared with </w:t>
      </w:r>
      <w:r w:rsidR="001E1FD7" w:rsidRPr="00B20AF0">
        <w:rPr>
          <w:rFonts w:ascii="Times New Roman" w:hAnsi="Times New Roman" w:cs="Times New Roman"/>
          <w:color w:val="000000"/>
        </w:rPr>
        <w:t>30.9%</w:t>
      </w:r>
      <w:r w:rsidR="001E1FD7" w:rsidRPr="002F1A1A">
        <w:rPr>
          <w:rFonts w:ascii="Times New Roman" w:hAnsi="Times New Roman" w:cs="Times New Roman"/>
          <w:color w:val="000000"/>
        </w:rPr>
        <w:t xml:space="preserve"> </w:t>
      </w:r>
      <w:proofErr w:type="spellStart"/>
      <w:r w:rsidR="001E1FD7" w:rsidRPr="002F1A1A">
        <w:rPr>
          <w:rFonts w:ascii="Times New Roman" w:hAnsi="Times New Roman" w:cs="Times New Roman"/>
          <w:color w:val="000000"/>
        </w:rPr>
        <w:t>SoC</w:t>
      </w:r>
      <w:proofErr w:type="spellEnd"/>
      <w:r w:rsidR="001E1FD7" w:rsidRPr="002F1A1A">
        <w:rPr>
          <w:rFonts w:ascii="Times New Roman" w:hAnsi="Times New Roman" w:cs="Times New Roman"/>
          <w:color w:val="000000"/>
        </w:rPr>
        <w:t xml:space="preserve"> patients; of which a significantly greater proportion</w:t>
      </w:r>
      <w:r w:rsidR="009C2C71">
        <w:rPr>
          <w:rFonts w:ascii="Times New Roman" w:hAnsi="Times New Roman" w:cs="Times New Roman"/>
          <w:color w:val="000000"/>
        </w:rPr>
        <w:t xml:space="preserve"> with CR/</w:t>
      </w:r>
      <w:proofErr w:type="spellStart"/>
      <w:r w:rsidR="009C2C71">
        <w:rPr>
          <w:rFonts w:ascii="Times New Roman" w:hAnsi="Times New Roman" w:cs="Times New Roman"/>
          <w:color w:val="000000"/>
        </w:rPr>
        <w:t>CRi</w:t>
      </w:r>
      <w:proofErr w:type="spellEnd"/>
      <w:r w:rsidR="001E1FD7" w:rsidRPr="002F1A1A">
        <w:rPr>
          <w:rFonts w:ascii="Times New Roman" w:hAnsi="Times New Roman" w:cs="Times New Roman"/>
          <w:color w:val="000000"/>
        </w:rPr>
        <w:t xml:space="preserve"> in the </w:t>
      </w:r>
      <w:proofErr w:type="spellStart"/>
      <w:r w:rsidR="001E1FD7" w:rsidRPr="002F1A1A">
        <w:rPr>
          <w:rFonts w:ascii="Times New Roman" w:hAnsi="Times New Roman" w:cs="Times New Roman"/>
          <w:color w:val="000000"/>
        </w:rPr>
        <w:t>inotuzumab</w:t>
      </w:r>
      <w:proofErr w:type="spellEnd"/>
      <w:r w:rsidR="001E1FD7" w:rsidRPr="002F1A1A">
        <w:rPr>
          <w:rFonts w:ascii="Times New Roman" w:hAnsi="Times New Roman" w:cs="Times New Roman"/>
          <w:color w:val="000000"/>
        </w:rPr>
        <w:t xml:space="preserve"> arm also achieved </w:t>
      </w:r>
      <w:r w:rsidR="00BF28B5" w:rsidRPr="002F1A1A">
        <w:rPr>
          <w:rFonts w:ascii="Times New Roman" w:hAnsi="Times New Roman" w:cs="Times New Roman"/>
          <w:color w:val="000000"/>
        </w:rPr>
        <w:t>minimal residual disease (</w:t>
      </w:r>
      <w:r w:rsidR="001E1FD7" w:rsidRPr="002F1A1A">
        <w:rPr>
          <w:rFonts w:ascii="Times New Roman" w:hAnsi="Times New Roman" w:cs="Times New Roman"/>
          <w:color w:val="000000"/>
        </w:rPr>
        <w:t>MRD</w:t>
      </w:r>
      <w:r w:rsidR="00BF28B5" w:rsidRPr="002F1A1A">
        <w:rPr>
          <w:rFonts w:ascii="Times New Roman" w:hAnsi="Times New Roman" w:cs="Times New Roman"/>
          <w:color w:val="000000"/>
        </w:rPr>
        <w:t>)</w:t>
      </w:r>
      <w:r w:rsidR="001E1FD7" w:rsidRPr="002F1A1A">
        <w:rPr>
          <w:rFonts w:ascii="Times New Roman" w:hAnsi="Times New Roman" w:cs="Times New Roman"/>
          <w:color w:val="000000"/>
        </w:rPr>
        <w:t xml:space="preserve"> negativity </w:t>
      </w:r>
      <w:r w:rsidR="007338B8">
        <w:rPr>
          <w:rFonts w:ascii="Times New Roman" w:hAnsi="Times New Roman" w:cs="Times New Roman"/>
          <w:color w:val="000000"/>
        </w:rPr>
        <w:t xml:space="preserve">(76.7%) </w:t>
      </w:r>
      <w:r w:rsidR="001E1FD7" w:rsidRPr="002F1A1A">
        <w:rPr>
          <w:rFonts w:ascii="Times New Roman" w:hAnsi="Times New Roman" w:cs="Times New Roman"/>
          <w:color w:val="000000"/>
        </w:rPr>
        <w:t xml:space="preserve">compared with the </w:t>
      </w:r>
      <w:proofErr w:type="spellStart"/>
      <w:r w:rsidR="001E1FD7" w:rsidRPr="002F1A1A">
        <w:rPr>
          <w:rFonts w:ascii="Times New Roman" w:hAnsi="Times New Roman" w:cs="Times New Roman"/>
          <w:color w:val="000000"/>
        </w:rPr>
        <w:t>SoC</w:t>
      </w:r>
      <w:proofErr w:type="spellEnd"/>
      <w:r w:rsidR="001E1FD7" w:rsidRPr="002F1A1A">
        <w:rPr>
          <w:rFonts w:ascii="Times New Roman" w:hAnsi="Times New Roman" w:cs="Times New Roman"/>
          <w:color w:val="000000"/>
        </w:rPr>
        <w:t xml:space="preserve"> arm</w:t>
      </w:r>
      <w:r w:rsidR="007338B8">
        <w:rPr>
          <w:rFonts w:ascii="Times New Roman" w:hAnsi="Times New Roman" w:cs="Times New Roman"/>
          <w:color w:val="000000"/>
        </w:rPr>
        <w:t xml:space="preserve"> (38</w:t>
      </w:r>
      <w:r w:rsidR="00855AA8">
        <w:rPr>
          <w:rFonts w:ascii="Times New Roman" w:hAnsi="Times New Roman" w:cs="Times New Roman"/>
          <w:color w:val="000000"/>
        </w:rPr>
        <w:t>.0</w:t>
      </w:r>
      <w:r w:rsidR="007338B8">
        <w:rPr>
          <w:rFonts w:ascii="Times New Roman" w:hAnsi="Times New Roman" w:cs="Times New Roman"/>
          <w:color w:val="000000"/>
        </w:rPr>
        <w:t>%)</w:t>
      </w:r>
      <w:r w:rsidR="009967CF">
        <w:rPr>
          <w:rFonts w:ascii="Times New Roman" w:hAnsi="Times New Roman" w:cs="Times New Roman"/>
          <w:color w:val="000000"/>
        </w:rPr>
        <w:t>.</w:t>
      </w:r>
      <w:r w:rsidR="001E1FD7" w:rsidRPr="002F1A1A">
        <w:rPr>
          <w:rFonts w:ascii="Times New Roman" w:hAnsi="Times New Roman" w:cs="Times New Roman"/>
          <w:color w:val="000000"/>
        </w:rPr>
        <w:t xml:space="preserve">  </w:t>
      </w:r>
      <w:proofErr w:type="spellStart"/>
      <w:r w:rsidR="002F1A1A" w:rsidRPr="002F1A1A">
        <w:rPr>
          <w:rFonts w:ascii="Times New Roman" w:hAnsi="Times New Roman" w:cs="Times New Roman"/>
          <w:color w:val="000000"/>
        </w:rPr>
        <w:t>Inotuzumab</w:t>
      </w:r>
      <w:proofErr w:type="spellEnd"/>
      <w:r w:rsidR="002F1A1A" w:rsidRPr="002F1A1A">
        <w:rPr>
          <w:rFonts w:ascii="Times New Roman" w:hAnsi="Times New Roman" w:cs="Times New Roman"/>
          <w:color w:val="000000"/>
        </w:rPr>
        <w:t xml:space="preserve"> was also associated with a statistically significantly higher proportion of patients progressing to HSCT</w:t>
      </w:r>
      <w:r w:rsidR="002C790E">
        <w:rPr>
          <w:rFonts w:ascii="Times New Roman" w:hAnsi="Times New Roman" w:cs="Times New Roman"/>
          <w:color w:val="000000"/>
        </w:rPr>
        <w:t xml:space="preserve"> </w:t>
      </w:r>
      <w:r w:rsidR="002F1A1A" w:rsidRPr="002F1A1A">
        <w:rPr>
          <w:rFonts w:ascii="Times New Roman" w:hAnsi="Times New Roman" w:cs="Times New Roman"/>
          <w:color w:val="000000"/>
        </w:rPr>
        <w:t xml:space="preserve">after study therapy, and prior to the start of any post induction therapy than </w:t>
      </w:r>
      <w:proofErr w:type="spellStart"/>
      <w:r w:rsidR="002F1A1A" w:rsidRPr="002F1A1A">
        <w:rPr>
          <w:rFonts w:ascii="Times New Roman" w:hAnsi="Times New Roman" w:cs="Times New Roman"/>
          <w:color w:val="000000"/>
        </w:rPr>
        <w:t>SoC</w:t>
      </w:r>
      <w:proofErr w:type="spellEnd"/>
      <w:r w:rsidR="007338B8">
        <w:rPr>
          <w:rFonts w:ascii="Times New Roman" w:hAnsi="Times New Roman" w:cs="Times New Roman"/>
          <w:color w:val="000000"/>
        </w:rPr>
        <w:t>; 43.3% versus 11.1%</w:t>
      </w:r>
      <w:r w:rsidR="00DB73DE">
        <w:rPr>
          <w:rFonts w:ascii="Times New Roman" w:hAnsi="Times New Roman" w:cs="Times New Roman"/>
          <w:color w:val="000000"/>
        </w:rPr>
        <w:t>.</w:t>
      </w:r>
    </w:p>
    <w:p w14:paraId="13C7858C" w14:textId="6CB3935C" w:rsidR="002F1A1A" w:rsidRDefault="00723277" w:rsidP="00E61BB0">
      <w:pPr>
        <w:spacing w:line="360" w:lineRule="auto"/>
        <w:ind w:firstLine="432"/>
        <w:rPr>
          <w:rFonts w:ascii="Times New Roman" w:hAnsi="Times New Roman" w:cs="Times New Roman"/>
          <w:color w:val="000000"/>
        </w:rPr>
      </w:pPr>
      <w:r>
        <w:rPr>
          <w:rFonts w:ascii="Times New Roman" w:hAnsi="Times New Roman" w:cs="Times New Roman"/>
          <w:color w:val="000000"/>
        </w:rPr>
        <w:t>Based on the full ITT population, t</w:t>
      </w:r>
      <w:r w:rsidR="002F1A1A" w:rsidRPr="002F1A1A">
        <w:rPr>
          <w:rFonts w:ascii="Times New Roman" w:hAnsi="Times New Roman" w:cs="Times New Roman"/>
          <w:color w:val="000000"/>
        </w:rPr>
        <w:t xml:space="preserve">he median overall survival was 7.7 months (95% </w:t>
      </w:r>
      <w:r w:rsidR="00F567BE">
        <w:rPr>
          <w:rFonts w:ascii="Times New Roman" w:hAnsi="Times New Roman" w:cs="Times New Roman"/>
          <w:color w:val="000000"/>
        </w:rPr>
        <w:t>confidence interval (</w:t>
      </w:r>
      <w:r w:rsidR="002F1A1A" w:rsidRPr="002F1A1A">
        <w:rPr>
          <w:rFonts w:ascii="Times New Roman" w:hAnsi="Times New Roman" w:cs="Times New Roman"/>
          <w:color w:val="000000"/>
        </w:rPr>
        <w:t>CI</w:t>
      </w:r>
      <w:r w:rsidR="00F567BE">
        <w:rPr>
          <w:rFonts w:ascii="Times New Roman" w:hAnsi="Times New Roman" w:cs="Times New Roman"/>
          <w:color w:val="000000"/>
        </w:rPr>
        <w:t>)</w:t>
      </w:r>
      <w:r w:rsidR="002F1A1A" w:rsidRPr="002F1A1A">
        <w:rPr>
          <w:rFonts w:ascii="Times New Roman" w:hAnsi="Times New Roman" w:cs="Times New Roman"/>
          <w:color w:val="000000"/>
        </w:rPr>
        <w:t xml:space="preserve">: 6.0 to 9.2) in the </w:t>
      </w:r>
      <w:proofErr w:type="spellStart"/>
      <w:r w:rsidR="002F1A1A" w:rsidRPr="002F1A1A">
        <w:rPr>
          <w:rFonts w:ascii="Times New Roman" w:hAnsi="Times New Roman" w:cs="Times New Roman"/>
          <w:color w:val="000000"/>
        </w:rPr>
        <w:t>inotuzumab</w:t>
      </w:r>
      <w:proofErr w:type="spellEnd"/>
      <w:r w:rsidR="002F1A1A" w:rsidRPr="002F1A1A">
        <w:rPr>
          <w:rFonts w:ascii="Times New Roman" w:hAnsi="Times New Roman" w:cs="Times New Roman"/>
          <w:color w:val="000000"/>
        </w:rPr>
        <w:t xml:space="preserve"> group and 6.7 months (95% CI: 4.9 to 8.3) in the </w:t>
      </w:r>
      <w:proofErr w:type="spellStart"/>
      <w:r w:rsidR="002F1A1A" w:rsidRPr="002F1A1A">
        <w:rPr>
          <w:rFonts w:ascii="Times New Roman" w:hAnsi="Times New Roman" w:cs="Times New Roman"/>
          <w:color w:val="000000"/>
        </w:rPr>
        <w:t>SoC</w:t>
      </w:r>
      <w:proofErr w:type="spellEnd"/>
      <w:r w:rsidR="002F1A1A" w:rsidRPr="002F1A1A">
        <w:rPr>
          <w:rFonts w:ascii="Times New Roman" w:hAnsi="Times New Roman" w:cs="Times New Roman"/>
          <w:color w:val="000000"/>
        </w:rPr>
        <w:t xml:space="preserve"> group.  The INO-VATE 1022 trial did not meet its second primary objective of significantly longer </w:t>
      </w:r>
      <w:r w:rsidR="004F6B8F">
        <w:rPr>
          <w:rFonts w:ascii="Times New Roman" w:hAnsi="Times New Roman" w:cs="Times New Roman"/>
          <w:color w:val="000000"/>
        </w:rPr>
        <w:t>overall survival</w:t>
      </w:r>
      <w:r w:rsidR="002F1A1A" w:rsidRPr="002F1A1A">
        <w:rPr>
          <w:rFonts w:ascii="Times New Roman" w:hAnsi="Times New Roman" w:cs="Times New Roman"/>
          <w:color w:val="000000"/>
        </w:rPr>
        <w:t xml:space="preserve"> in the </w:t>
      </w:r>
      <w:proofErr w:type="spellStart"/>
      <w:r w:rsidR="002F1A1A" w:rsidRPr="002F1A1A">
        <w:rPr>
          <w:rFonts w:ascii="Times New Roman" w:hAnsi="Times New Roman" w:cs="Times New Roman"/>
          <w:color w:val="000000"/>
        </w:rPr>
        <w:t>inotuzumab</w:t>
      </w:r>
      <w:proofErr w:type="spellEnd"/>
      <w:r w:rsidR="002F1A1A" w:rsidRPr="002F1A1A">
        <w:rPr>
          <w:rFonts w:ascii="Times New Roman" w:hAnsi="Times New Roman" w:cs="Times New Roman"/>
          <w:color w:val="000000"/>
        </w:rPr>
        <w:t xml:space="preserve"> group than the </w:t>
      </w:r>
      <w:proofErr w:type="spellStart"/>
      <w:r w:rsidR="002F1A1A" w:rsidRPr="002F1A1A">
        <w:rPr>
          <w:rFonts w:ascii="Times New Roman" w:hAnsi="Times New Roman" w:cs="Times New Roman"/>
          <w:color w:val="000000"/>
        </w:rPr>
        <w:t>SoC</w:t>
      </w:r>
      <w:proofErr w:type="spellEnd"/>
      <w:r w:rsidR="002F1A1A" w:rsidRPr="002F1A1A">
        <w:rPr>
          <w:rFonts w:ascii="Times New Roman" w:hAnsi="Times New Roman" w:cs="Times New Roman"/>
          <w:color w:val="000000"/>
        </w:rPr>
        <w:t xml:space="preserve"> group, at a </w:t>
      </w:r>
      <w:proofErr w:type="spellStart"/>
      <w:r w:rsidR="002F1A1A" w:rsidRPr="002F1A1A">
        <w:rPr>
          <w:rFonts w:ascii="Times New Roman" w:hAnsi="Times New Roman" w:cs="Times New Roman"/>
          <w:color w:val="000000"/>
        </w:rPr>
        <w:t>prespecified</w:t>
      </w:r>
      <w:proofErr w:type="spellEnd"/>
      <w:r w:rsidR="002F1A1A" w:rsidRPr="002F1A1A">
        <w:rPr>
          <w:rFonts w:ascii="Times New Roman" w:hAnsi="Times New Roman" w:cs="Times New Roman"/>
          <w:color w:val="000000"/>
        </w:rPr>
        <w:t xml:space="preserve"> </w:t>
      </w:r>
      <w:r w:rsidR="00EF1D07">
        <w:rPr>
          <w:rFonts w:ascii="Times New Roman" w:hAnsi="Times New Roman" w:cs="Times New Roman"/>
          <w:color w:val="000000"/>
        </w:rPr>
        <w:t xml:space="preserve">two-sided </w:t>
      </w:r>
      <w:r w:rsidR="002F1A1A" w:rsidRPr="002F1A1A">
        <w:rPr>
          <w:rFonts w:ascii="Times New Roman" w:hAnsi="Times New Roman" w:cs="Times New Roman"/>
          <w:color w:val="000000"/>
        </w:rPr>
        <w:t xml:space="preserve">boundary of P=0.0208.  However, the </w:t>
      </w:r>
      <w:r w:rsidR="004F6B8F">
        <w:rPr>
          <w:rFonts w:ascii="Times New Roman" w:hAnsi="Times New Roman" w:cs="Times New Roman"/>
          <w:color w:val="000000"/>
        </w:rPr>
        <w:t>overall survival</w:t>
      </w:r>
      <w:r w:rsidR="002F1A1A" w:rsidRPr="002F1A1A">
        <w:rPr>
          <w:rFonts w:ascii="Times New Roman" w:hAnsi="Times New Roman" w:cs="Times New Roman"/>
          <w:color w:val="000000"/>
        </w:rPr>
        <w:t xml:space="preserve"> data </w:t>
      </w:r>
      <w:r w:rsidR="0053010A">
        <w:rPr>
          <w:rFonts w:ascii="Times New Roman" w:hAnsi="Times New Roman" w:cs="Times New Roman"/>
          <w:color w:val="000000"/>
        </w:rPr>
        <w:t>did not exhibit</w:t>
      </w:r>
      <w:r w:rsidR="002F1A1A" w:rsidRPr="002F1A1A">
        <w:rPr>
          <w:rFonts w:ascii="Times New Roman" w:hAnsi="Times New Roman" w:cs="Times New Roman"/>
          <w:color w:val="000000"/>
        </w:rPr>
        <w:t xml:space="preserve"> proportional hazards</w:t>
      </w:r>
      <w:r w:rsidR="0053010A">
        <w:rPr>
          <w:rFonts w:ascii="Times New Roman" w:hAnsi="Times New Roman" w:cs="Times New Roman"/>
          <w:color w:val="000000"/>
        </w:rPr>
        <w:t>,</w:t>
      </w:r>
      <w:r w:rsidR="00B23C09">
        <w:rPr>
          <w:rFonts w:ascii="Times New Roman" w:hAnsi="Times New Roman" w:cs="Times New Roman"/>
          <w:color w:val="000000"/>
        </w:rPr>
        <w:t xml:space="preserve"> </w:t>
      </w:r>
      <w:r w:rsidR="002F1A1A" w:rsidRPr="002F1A1A">
        <w:rPr>
          <w:rFonts w:ascii="Times New Roman" w:hAnsi="Times New Roman" w:cs="Times New Roman"/>
          <w:color w:val="000000"/>
        </w:rPr>
        <w:t>with the separation of</w:t>
      </w:r>
      <w:r w:rsidR="00B23C09">
        <w:rPr>
          <w:rFonts w:ascii="Times New Roman" w:hAnsi="Times New Roman" w:cs="Times New Roman"/>
          <w:color w:val="000000"/>
        </w:rPr>
        <w:t xml:space="preserve"> the</w:t>
      </w:r>
      <w:r w:rsidR="002F1A1A" w:rsidRPr="002F1A1A">
        <w:rPr>
          <w:rFonts w:ascii="Times New Roman" w:hAnsi="Times New Roman" w:cs="Times New Roman"/>
          <w:color w:val="000000"/>
        </w:rPr>
        <w:t xml:space="preserve"> curves in the Kaplan-Meier plots appearing after the median had been reached</w:t>
      </w:r>
      <w:r w:rsidR="00B23C09">
        <w:rPr>
          <w:rFonts w:ascii="Times New Roman" w:hAnsi="Times New Roman" w:cs="Times New Roman"/>
          <w:color w:val="000000"/>
        </w:rPr>
        <w:t xml:space="preserve"> (at around 15 months)</w:t>
      </w:r>
      <w:r w:rsidR="002F1A1A" w:rsidRPr="002F1A1A">
        <w:rPr>
          <w:rFonts w:ascii="Times New Roman" w:hAnsi="Times New Roman" w:cs="Times New Roman"/>
          <w:color w:val="000000"/>
        </w:rPr>
        <w:t xml:space="preserve">.  Therefore, an exploratory post-hoc restricted mean survival time (RMST) analysis was undertaken.  The RMST </w:t>
      </w:r>
      <w:r w:rsidR="00CA3442">
        <w:rPr>
          <w:rFonts w:ascii="Times New Roman" w:hAnsi="Times New Roman" w:cs="Times New Roman"/>
          <w:color w:val="000000"/>
        </w:rPr>
        <w:t xml:space="preserve">estimates of </w:t>
      </w:r>
      <w:r w:rsidR="0053010A">
        <w:rPr>
          <w:rFonts w:ascii="Times New Roman" w:hAnsi="Times New Roman" w:cs="Times New Roman"/>
          <w:color w:val="000000"/>
        </w:rPr>
        <w:t>overall survival</w:t>
      </w:r>
      <w:r w:rsidR="00CA3442">
        <w:rPr>
          <w:rFonts w:ascii="Times New Roman" w:hAnsi="Times New Roman" w:cs="Times New Roman"/>
          <w:color w:val="000000"/>
        </w:rPr>
        <w:t xml:space="preserve"> at 37.7 months follow up were</w:t>
      </w:r>
      <w:r w:rsidR="002F1A1A" w:rsidRPr="002F1A1A">
        <w:rPr>
          <w:rFonts w:ascii="Times New Roman" w:hAnsi="Times New Roman" w:cs="Times New Roman"/>
          <w:color w:val="000000"/>
        </w:rPr>
        <w:t xml:space="preserve"> 13.9 months </w:t>
      </w:r>
      <w:r w:rsidR="000B2FDA" w:rsidRPr="002F1A1A">
        <w:rPr>
          <w:rFonts w:ascii="Times New Roman" w:hAnsi="Times New Roman" w:cs="Times New Roman"/>
          <w:color w:val="000000"/>
        </w:rPr>
        <w:t xml:space="preserve">in the </w:t>
      </w:r>
      <w:proofErr w:type="spellStart"/>
      <w:r w:rsidR="000B2FDA" w:rsidRPr="002F1A1A">
        <w:rPr>
          <w:rFonts w:ascii="Times New Roman" w:hAnsi="Times New Roman" w:cs="Times New Roman"/>
          <w:color w:val="000000"/>
        </w:rPr>
        <w:t>inotuzumab</w:t>
      </w:r>
      <w:proofErr w:type="spellEnd"/>
      <w:r w:rsidR="000B2FDA" w:rsidRPr="002F1A1A">
        <w:rPr>
          <w:rFonts w:ascii="Times New Roman" w:hAnsi="Times New Roman" w:cs="Times New Roman"/>
          <w:color w:val="000000"/>
        </w:rPr>
        <w:t xml:space="preserve"> group </w:t>
      </w:r>
      <w:r w:rsidR="002F1A1A" w:rsidRPr="002F1A1A">
        <w:rPr>
          <w:rFonts w:ascii="Times New Roman" w:hAnsi="Times New Roman" w:cs="Times New Roman"/>
          <w:color w:val="000000"/>
        </w:rPr>
        <w:t xml:space="preserve">and 9.9 months </w:t>
      </w:r>
      <w:r w:rsidR="000B2FDA" w:rsidRPr="002F1A1A">
        <w:rPr>
          <w:rFonts w:ascii="Times New Roman" w:hAnsi="Times New Roman" w:cs="Times New Roman"/>
          <w:color w:val="000000"/>
        </w:rPr>
        <w:t xml:space="preserve">for </w:t>
      </w:r>
      <w:proofErr w:type="spellStart"/>
      <w:r w:rsidR="000B2FDA" w:rsidRPr="002F1A1A">
        <w:rPr>
          <w:rFonts w:ascii="Times New Roman" w:hAnsi="Times New Roman" w:cs="Times New Roman"/>
          <w:color w:val="000000"/>
        </w:rPr>
        <w:t>SoC</w:t>
      </w:r>
      <w:proofErr w:type="spellEnd"/>
      <w:r w:rsidR="002F1A1A" w:rsidRPr="002F1A1A">
        <w:rPr>
          <w:rFonts w:ascii="Times New Roman" w:hAnsi="Times New Roman" w:cs="Times New Roman"/>
          <w:color w:val="000000"/>
        </w:rPr>
        <w:t xml:space="preserve">, with a difference of 3.9 months between groups (95% CI: 1.2 to 6.7).  </w:t>
      </w:r>
    </w:p>
    <w:p w14:paraId="17BA971D" w14:textId="0DED44EE" w:rsidR="00BF5F65" w:rsidRDefault="00F567BE" w:rsidP="006F4048">
      <w:pPr>
        <w:spacing w:line="360" w:lineRule="auto"/>
        <w:ind w:firstLine="432"/>
        <w:rPr>
          <w:rFonts w:ascii="Times New Roman" w:hAnsi="Times New Roman" w:cs="Times New Roman"/>
          <w:color w:val="000000"/>
        </w:rPr>
      </w:pPr>
      <w:r>
        <w:rPr>
          <w:rFonts w:ascii="Times New Roman" w:hAnsi="Times New Roman" w:cs="Times New Roman"/>
          <w:color w:val="000000"/>
        </w:rPr>
        <w:lastRenderedPageBreak/>
        <w:t>H</w:t>
      </w:r>
      <w:r w:rsidR="00BC409F">
        <w:rPr>
          <w:rFonts w:ascii="Times New Roman" w:hAnsi="Times New Roman" w:cs="Times New Roman"/>
          <w:color w:val="000000"/>
        </w:rPr>
        <w:t>ealth-related quality of life (</w:t>
      </w:r>
      <w:proofErr w:type="spellStart"/>
      <w:r w:rsidR="00BC409F">
        <w:rPr>
          <w:rFonts w:ascii="Times New Roman" w:hAnsi="Times New Roman" w:cs="Times New Roman"/>
          <w:color w:val="000000"/>
        </w:rPr>
        <w:t>HRQoL</w:t>
      </w:r>
      <w:proofErr w:type="spellEnd"/>
      <w:r w:rsidR="00BC409F">
        <w:rPr>
          <w:rFonts w:ascii="Times New Roman" w:hAnsi="Times New Roman" w:cs="Times New Roman"/>
          <w:color w:val="000000"/>
        </w:rPr>
        <w:t>)</w:t>
      </w:r>
      <w:r>
        <w:rPr>
          <w:rFonts w:ascii="Times New Roman" w:hAnsi="Times New Roman" w:cs="Times New Roman"/>
          <w:color w:val="000000"/>
        </w:rPr>
        <w:t xml:space="preserve"> was measured using</w:t>
      </w:r>
      <w:r w:rsidR="00BC409F">
        <w:rPr>
          <w:rFonts w:ascii="Times New Roman" w:hAnsi="Times New Roman" w:cs="Times New Roman"/>
          <w:color w:val="000000"/>
        </w:rPr>
        <w:t xml:space="preserve"> </w:t>
      </w:r>
      <w:r w:rsidR="00BC409F" w:rsidRPr="00BC409F">
        <w:rPr>
          <w:rFonts w:ascii="Times New Roman" w:hAnsi="Times New Roman" w:cs="Times New Roman"/>
          <w:color w:val="000000"/>
        </w:rPr>
        <w:t xml:space="preserve">the European Organisation for Research and Treatment of Cancer Quality of Life Questionnaire-Core 30 (EORTC QLQ-C30), the </w:t>
      </w:r>
      <w:r w:rsidR="002B0424">
        <w:rPr>
          <w:rFonts w:ascii="Times New Roman" w:hAnsi="Times New Roman" w:cs="Times New Roman"/>
          <w:color w:val="000000"/>
        </w:rPr>
        <w:t>5</w:t>
      </w:r>
      <w:r w:rsidR="00BC409F" w:rsidRPr="00BC409F">
        <w:rPr>
          <w:rFonts w:ascii="Times New Roman" w:hAnsi="Times New Roman" w:cs="Times New Roman"/>
          <w:color w:val="000000"/>
        </w:rPr>
        <w:t xml:space="preserve">-dimension European Quality of Life questionnaire (EQ-5D) and the </w:t>
      </w:r>
      <w:proofErr w:type="spellStart"/>
      <w:r w:rsidR="00BC409F" w:rsidRPr="00BC409F">
        <w:rPr>
          <w:rFonts w:ascii="Times New Roman" w:hAnsi="Times New Roman" w:cs="Times New Roman"/>
          <w:color w:val="000000"/>
        </w:rPr>
        <w:t>EuroQol</w:t>
      </w:r>
      <w:proofErr w:type="spellEnd"/>
      <w:r w:rsidR="00BC409F" w:rsidRPr="00BC409F">
        <w:rPr>
          <w:rFonts w:ascii="Times New Roman" w:hAnsi="Times New Roman" w:cs="Times New Roman"/>
          <w:color w:val="000000"/>
        </w:rPr>
        <w:t xml:space="preserve"> visual analogue scale (EQ-VAS)</w:t>
      </w:r>
      <w:r w:rsidR="00BC409F">
        <w:rPr>
          <w:rFonts w:ascii="Times New Roman" w:hAnsi="Times New Roman" w:cs="Times New Roman"/>
          <w:color w:val="000000"/>
        </w:rPr>
        <w:t xml:space="preserve">. </w:t>
      </w:r>
      <w:r w:rsidR="00BC409F" w:rsidRPr="00BC409F">
        <w:rPr>
          <w:rFonts w:ascii="Times New Roman" w:hAnsi="Times New Roman" w:cs="Times New Roman"/>
          <w:color w:val="000000"/>
        </w:rPr>
        <w:t xml:space="preserve">The </w:t>
      </w:r>
      <w:r w:rsidR="00570C81">
        <w:rPr>
          <w:rFonts w:ascii="Times New Roman" w:hAnsi="Times New Roman" w:cs="Times New Roman"/>
          <w:color w:val="000000"/>
        </w:rPr>
        <w:t xml:space="preserve">results </w:t>
      </w:r>
      <w:r w:rsidR="00BC409F" w:rsidRPr="00BC409F">
        <w:rPr>
          <w:rFonts w:ascii="Times New Roman" w:hAnsi="Times New Roman" w:cs="Times New Roman"/>
          <w:color w:val="000000"/>
        </w:rPr>
        <w:t>indicat</w:t>
      </w:r>
      <w:r>
        <w:rPr>
          <w:rFonts w:ascii="Times New Roman" w:hAnsi="Times New Roman" w:cs="Times New Roman"/>
          <w:color w:val="000000"/>
        </w:rPr>
        <w:t>ed</w:t>
      </w:r>
      <w:r w:rsidR="00BC409F" w:rsidRPr="00BC409F">
        <w:rPr>
          <w:rFonts w:ascii="Times New Roman" w:hAnsi="Times New Roman" w:cs="Times New Roman"/>
          <w:color w:val="000000"/>
        </w:rPr>
        <w:t xml:space="preserve"> improvement in scores for most dimensions of quality of life, functioning and symptoms on the EORTC QLQ-C30 scale for patients in the </w:t>
      </w:r>
      <w:proofErr w:type="spellStart"/>
      <w:r w:rsidR="00BC409F" w:rsidRPr="00BC409F">
        <w:rPr>
          <w:rFonts w:ascii="Times New Roman" w:hAnsi="Times New Roman" w:cs="Times New Roman"/>
          <w:color w:val="000000"/>
        </w:rPr>
        <w:t>inotuzumab</w:t>
      </w:r>
      <w:proofErr w:type="spellEnd"/>
      <w:r w:rsidR="00BC409F" w:rsidRPr="00BC409F">
        <w:rPr>
          <w:rFonts w:ascii="Times New Roman" w:hAnsi="Times New Roman" w:cs="Times New Roman"/>
          <w:color w:val="000000"/>
        </w:rPr>
        <w:t xml:space="preserve"> group</w:t>
      </w:r>
      <w:r>
        <w:rPr>
          <w:rFonts w:ascii="Times New Roman" w:hAnsi="Times New Roman" w:cs="Times New Roman"/>
          <w:color w:val="000000"/>
        </w:rPr>
        <w:t xml:space="preserve">, but </w:t>
      </w:r>
      <w:r w:rsidR="00BC409F" w:rsidRPr="00BC409F">
        <w:rPr>
          <w:rFonts w:ascii="Times New Roman" w:hAnsi="Times New Roman" w:cs="Times New Roman"/>
          <w:color w:val="000000"/>
        </w:rPr>
        <w:t>the difference was only statistically s</w:t>
      </w:r>
      <w:r w:rsidR="00F4596C">
        <w:rPr>
          <w:rFonts w:ascii="Times New Roman" w:hAnsi="Times New Roman" w:cs="Times New Roman"/>
          <w:color w:val="000000"/>
        </w:rPr>
        <w:t>ig</w:t>
      </w:r>
      <w:r w:rsidR="00FA50AC">
        <w:rPr>
          <w:rFonts w:ascii="Times New Roman" w:hAnsi="Times New Roman" w:cs="Times New Roman"/>
          <w:color w:val="000000"/>
        </w:rPr>
        <w:t xml:space="preserve">nificant </w:t>
      </w:r>
      <w:r w:rsidR="006F4048">
        <w:rPr>
          <w:rFonts w:ascii="Times New Roman" w:hAnsi="Times New Roman" w:cs="Times New Roman"/>
          <w:color w:val="000000"/>
        </w:rPr>
        <w:t>in</w:t>
      </w:r>
      <w:r w:rsidR="00FA50AC">
        <w:rPr>
          <w:rFonts w:ascii="Times New Roman" w:hAnsi="Times New Roman" w:cs="Times New Roman"/>
          <w:color w:val="000000"/>
        </w:rPr>
        <w:t xml:space="preserve"> </w:t>
      </w:r>
      <w:r w:rsidR="006F4048" w:rsidRPr="006F4048">
        <w:rPr>
          <w:rFonts w:ascii="Times New Roman" w:hAnsi="Times New Roman" w:cs="Times New Roman"/>
          <w:color w:val="000000"/>
        </w:rPr>
        <w:t>role function</w:t>
      </w:r>
      <w:r w:rsidR="006F4048">
        <w:rPr>
          <w:rFonts w:ascii="Times New Roman" w:hAnsi="Times New Roman" w:cs="Times New Roman"/>
          <w:color w:val="000000"/>
        </w:rPr>
        <w:t xml:space="preserve">ing (64.7 </w:t>
      </w:r>
      <w:proofErr w:type="spellStart"/>
      <w:r w:rsidR="006F4048">
        <w:rPr>
          <w:rFonts w:ascii="Times New Roman" w:hAnsi="Times New Roman" w:cs="Times New Roman"/>
          <w:color w:val="000000"/>
        </w:rPr>
        <w:t>inotuzumab</w:t>
      </w:r>
      <w:proofErr w:type="spellEnd"/>
      <w:r w:rsidR="006F4048">
        <w:rPr>
          <w:rFonts w:ascii="Times New Roman" w:hAnsi="Times New Roman" w:cs="Times New Roman"/>
          <w:color w:val="000000"/>
        </w:rPr>
        <w:t xml:space="preserve"> versus 53.4 </w:t>
      </w:r>
      <w:proofErr w:type="spellStart"/>
      <w:r w:rsidR="006F4048">
        <w:rPr>
          <w:rFonts w:ascii="Times New Roman" w:hAnsi="Times New Roman" w:cs="Times New Roman"/>
          <w:color w:val="000000"/>
        </w:rPr>
        <w:t>SoC</w:t>
      </w:r>
      <w:proofErr w:type="spellEnd"/>
      <w:r w:rsidR="006F4048">
        <w:rPr>
          <w:rFonts w:ascii="Times New Roman" w:hAnsi="Times New Roman" w:cs="Times New Roman"/>
          <w:color w:val="000000"/>
        </w:rPr>
        <w:t>)</w:t>
      </w:r>
      <w:r w:rsidR="006F4048" w:rsidRPr="006F4048">
        <w:rPr>
          <w:rFonts w:ascii="Times New Roman" w:hAnsi="Times New Roman" w:cs="Times New Roman"/>
          <w:color w:val="000000"/>
        </w:rPr>
        <w:t>,</w:t>
      </w:r>
      <w:r w:rsidR="006F4048">
        <w:rPr>
          <w:rFonts w:ascii="Times New Roman" w:hAnsi="Times New Roman" w:cs="Times New Roman"/>
          <w:color w:val="000000"/>
        </w:rPr>
        <w:t xml:space="preserve"> </w:t>
      </w:r>
      <w:r w:rsidR="006F4048" w:rsidRPr="006F4048">
        <w:rPr>
          <w:rFonts w:ascii="Times New Roman" w:hAnsi="Times New Roman" w:cs="Times New Roman"/>
          <w:color w:val="000000"/>
        </w:rPr>
        <w:t>physical functioning (75.0 vs 68.1</w:t>
      </w:r>
      <w:r w:rsidR="006F4048">
        <w:rPr>
          <w:rFonts w:ascii="Times New Roman" w:hAnsi="Times New Roman" w:cs="Times New Roman"/>
          <w:color w:val="000000"/>
        </w:rPr>
        <w:t>), social functioning (68.1 v</w:t>
      </w:r>
      <w:r w:rsidR="006F4048" w:rsidRPr="006F4048">
        <w:rPr>
          <w:rFonts w:ascii="Times New Roman" w:hAnsi="Times New Roman" w:cs="Times New Roman"/>
          <w:color w:val="000000"/>
        </w:rPr>
        <w:t>s 59.8</w:t>
      </w:r>
      <w:r w:rsidR="006F4048">
        <w:rPr>
          <w:rFonts w:ascii="Times New Roman" w:hAnsi="Times New Roman" w:cs="Times New Roman"/>
          <w:color w:val="000000"/>
        </w:rPr>
        <w:t>), and appetite loss (17.6 vs 26.3)</w:t>
      </w:r>
      <w:r w:rsidR="006F4048" w:rsidRPr="006F4048" w:rsidDel="006F4048">
        <w:rPr>
          <w:rFonts w:ascii="Times New Roman" w:hAnsi="Times New Roman" w:cs="Times New Roman"/>
          <w:color w:val="000000"/>
        </w:rPr>
        <w:t xml:space="preserve"> </w:t>
      </w:r>
      <w:r w:rsidR="00FA50AC">
        <w:rPr>
          <w:rFonts w:ascii="Times New Roman" w:hAnsi="Times New Roman" w:cs="Times New Roman"/>
          <w:color w:val="000000"/>
        </w:rPr>
        <w:t>. N</w:t>
      </w:r>
      <w:r w:rsidR="00570C81">
        <w:rPr>
          <w:rFonts w:ascii="Times New Roman" w:hAnsi="Times New Roman" w:cs="Times New Roman"/>
          <w:color w:val="000000"/>
        </w:rPr>
        <w:t xml:space="preserve">o </w:t>
      </w:r>
      <w:r w:rsidR="00BC409F" w:rsidRPr="00BC409F">
        <w:rPr>
          <w:rFonts w:ascii="Times New Roman" w:hAnsi="Times New Roman" w:cs="Times New Roman"/>
          <w:color w:val="000000"/>
        </w:rPr>
        <w:t>statistically significant differences between groups in the EQ-5D or EQ-VAS scores</w:t>
      </w:r>
      <w:r w:rsidR="00570C81">
        <w:rPr>
          <w:rFonts w:ascii="Times New Roman" w:hAnsi="Times New Roman" w:cs="Times New Roman"/>
          <w:color w:val="000000"/>
        </w:rPr>
        <w:t xml:space="preserve"> were found</w:t>
      </w:r>
      <w:r w:rsidR="00E46484">
        <w:rPr>
          <w:rFonts w:ascii="Times New Roman" w:hAnsi="Times New Roman" w:cs="Times New Roman"/>
          <w:color w:val="000000"/>
        </w:rPr>
        <w:t xml:space="preserve"> (Table 1)</w:t>
      </w:r>
      <w:r w:rsidR="00BC409F" w:rsidRPr="00BC409F">
        <w:rPr>
          <w:rFonts w:ascii="Times New Roman" w:hAnsi="Times New Roman" w:cs="Times New Roman"/>
          <w:color w:val="000000"/>
        </w:rPr>
        <w:t>.</w:t>
      </w:r>
      <w:r w:rsidR="00BF5F65">
        <w:rPr>
          <w:rFonts w:ascii="Times New Roman" w:hAnsi="Times New Roman" w:cs="Times New Roman"/>
          <w:color w:val="000000"/>
        </w:rPr>
        <w:t xml:space="preserve"> </w:t>
      </w:r>
    </w:p>
    <w:p w14:paraId="007B5202" w14:textId="386E0E8D" w:rsidR="00BF5F65" w:rsidRPr="00EE182A" w:rsidRDefault="007338B8" w:rsidP="00AD052D">
      <w:pPr>
        <w:spacing w:line="360" w:lineRule="auto"/>
        <w:ind w:firstLine="432"/>
        <w:rPr>
          <w:rFonts w:ascii="Times New Roman" w:hAnsi="Times New Roman" w:cs="Times New Roman"/>
        </w:rPr>
      </w:pPr>
      <w:r w:rsidRPr="007338B8">
        <w:rPr>
          <w:rFonts w:ascii="Times New Roman" w:hAnsi="Times New Roman" w:cs="Times New Roman"/>
        </w:rPr>
        <w:t xml:space="preserve">In the INO-VATE </w:t>
      </w:r>
      <w:r w:rsidR="0027496F">
        <w:rPr>
          <w:rFonts w:ascii="Times New Roman" w:hAnsi="Times New Roman" w:cs="Times New Roman"/>
        </w:rPr>
        <w:t xml:space="preserve">1022 </w:t>
      </w:r>
      <w:r w:rsidRPr="007338B8">
        <w:rPr>
          <w:rFonts w:ascii="Times New Roman" w:hAnsi="Times New Roman" w:cs="Times New Roman"/>
        </w:rPr>
        <w:t xml:space="preserve">trial, 99.4% patients in the </w:t>
      </w:r>
      <w:proofErr w:type="spellStart"/>
      <w:r w:rsidRPr="007338B8">
        <w:rPr>
          <w:rFonts w:ascii="Times New Roman" w:hAnsi="Times New Roman" w:cs="Times New Roman"/>
        </w:rPr>
        <w:t>inotuzumab</w:t>
      </w:r>
      <w:proofErr w:type="spellEnd"/>
      <w:r w:rsidRPr="007338B8">
        <w:rPr>
          <w:rFonts w:ascii="Times New Roman" w:hAnsi="Times New Roman" w:cs="Times New Roman"/>
        </w:rPr>
        <w:t xml:space="preserve"> group and 100% </w:t>
      </w:r>
      <w:r w:rsidR="003860CC">
        <w:rPr>
          <w:rFonts w:ascii="Times New Roman" w:hAnsi="Times New Roman" w:cs="Times New Roman"/>
        </w:rPr>
        <w:t xml:space="preserve">patients </w:t>
      </w:r>
      <w:r w:rsidRPr="007338B8">
        <w:rPr>
          <w:rFonts w:ascii="Times New Roman" w:hAnsi="Times New Roman" w:cs="Times New Roman"/>
        </w:rPr>
        <w:t xml:space="preserve">in the </w:t>
      </w:r>
      <w:proofErr w:type="spellStart"/>
      <w:r w:rsidRPr="007338B8">
        <w:rPr>
          <w:rFonts w:ascii="Times New Roman" w:hAnsi="Times New Roman" w:cs="Times New Roman"/>
        </w:rPr>
        <w:t>SoC</w:t>
      </w:r>
      <w:proofErr w:type="spellEnd"/>
      <w:r w:rsidRPr="007338B8">
        <w:rPr>
          <w:rFonts w:ascii="Times New Roman" w:hAnsi="Times New Roman" w:cs="Times New Roman"/>
        </w:rPr>
        <w:t xml:space="preserve"> group reported treatment-emergent adverse events (TEAEs). Grade ≥3 TEAEs were reported by 90.9% patients in the </w:t>
      </w:r>
      <w:proofErr w:type="spellStart"/>
      <w:r w:rsidRPr="007338B8">
        <w:rPr>
          <w:rFonts w:ascii="Times New Roman" w:hAnsi="Times New Roman" w:cs="Times New Roman"/>
        </w:rPr>
        <w:t>inotuzumab</w:t>
      </w:r>
      <w:proofErr w:type="spellEnd"/>
      <w:r w:rsidRPr="007338B8">
        <w:rPr>
          <w:rFonts w:ascii="Times New Roman" w:hAnsi="Times New Roman" w:cs="Times New Roman"/>
        </w:rPr>
        <w:t xml:space="preserve"> group and 95.8% patients in the </w:t>
      </w:r>
      <w:proofErr w:type="spellStart"/>
      <w:r w:rsidRPr="007338B8">
        <w:rPr>
          <w:rFonts w:ascii="Times New Roman" w:hAnsi="Times New Roman" w:cs="Times New Roman"/>
        </w:rPr>
        <w:t>S</w:t>
      </w:r>
      <w:r w:rsidR="000B4015">
        <w:rPr>
          <w:rFonts w:ascii="Times New Roman" w:hAnsi="Times New Roman" w:cs="Times New Roman"/>
        </w:rPr>
        <w:t>o</w:t>
      </w:r>
      <w:r w:rsidRPr="007338B8">
        <w:rPr>
          <w:rFonts w:ascii="Times New Roman" w:hAnsi="Times New Roman" w:cs="Times New Roman"/>
        </w:rPr>
        <w:t>C</w:t>
      </w:r>
      <w:proofErr w:type="spellEnd"/>
      <w:r w:rsidRPr="007338B8">
        <w:rPr>
          <w:rFonts w:ascii="Times New Roman" w:hAnsi="Times New Roman" w:cs="Times New Roman"/>
        </w:rPr>
        <w:t xml:space="preserve"> group.  Most TEAEs were more frequent in the </w:t>
      </w:r>
      <w:proofErr w:type="spellStart"/>
      <w:r w:rsidRPr="007338B8">
        <w:rPr>
          <w:rFonts w:ascii="Times New Roman" w:hAnsi="Times New Roman" w:cs="Times New Roman"/>
        </w:rPr>
        <w:t>SoC</w:t>
      </w:r>
      <w:proofErr w:type="spellEnd"/>
      <w:r w:rsidRPr="007338B8">
        <w:rPr>
          <w:rFonts w:ascii="Times New Roman" w:hAnsi="Times New Roman" w:cs="Times New Roman"/>
        </w:rPr>
        <w:t xml:space="preserve"> arm than the </w:t>
      </w:r>
      <w:proofErr w:type="spellStart"/>
      <w:r w:rsidRPr="007338B8">
        <w:rPr>
          <w:rFonts w:ascii="Times New Roman" w:hAnsi="Times New Roman" w:cs="Times New Roman"/>
        </w:rPr>
        <w:t>inotuzumab</w:t>
      </w:r>
      <w:proofErr w:type="spellEnd"/>
      <w:r w:rsidRPr="007338B8">
        <w:rPr>
          <w:rFonts w:ascii="Times New Roman" w:hAnsi="Times New Roman" w:cs="Times New Roman"/>
        </w:rPr>
        <w:t xml:space="preserve"> arm. The most frequently reported TEAEs were thrombocytopenia (49.4% </w:t>
      </w:r>
      <w:proofErr w:type="spellStart"/>
      <w:r w:rsidRPr="007338B8">
        <w:rPr>
          <w:rFonts w:ascii="Times New Roman" w:hAnsi="Times New Roman" w:cs="Times New Roman"/>
        </w:rPr>
        <w:t>inotuzumab</w:t>
      </w:r>
      <w:proofErr w:type="spellEnd"/>
      <w:r w:rsidRPr="007338B8">
        <w:rPr>
          <w:rFonts w:ascii="Times New Roman" w:hAnsi="Times New Roman" w:cs="Times New Roman"/>
        </w:rPr>
        <w:t xml:space="preserve"> vs 60.8% </w:t>
      </w:r>
      <w:proofErr w:type="spellStart"/>
      <w:r w:rsidRPr="007338B8">
        <w:rPr>
          <w:rFonts w:ascii="Times New Roman" w:hAnsi="Times New Roman" w:cs="Times New Roman"/>
        </w:rPr>
        <w:t>SoC</w:t>
      </w:r>
      <w:proofErr w:type="spellEnd"/>
      <w:r w:rsidRPr="007338B8">
        <w:rPr>
          <w:rFonts w:ascii="Times New Roman" w:hAnsi="Times New Roman" w:cs="Times New Roman"/>
        </w:rPr>
        <w:t xml:space="preserve">), neutropenia (48.8% vs 46.2%), anaemia (33.5% vs 55.2%), nausea (32.3% vs 47.6%) and pyrexia (31.7% vs 42.0%). However, </w:t>
      </w:r>
      <w:proofErr w:type="spellStart"/>
      <w:r w:rsidRPr="007338B8">
        <w:rPr>
          <w:rFonts w:ascii="Times New Roman" w:hAnsi="Times New Roman" w:cs="Times New Roman"/>
        </w:rPr>
        <w:t>veno</w:t>
      </w:r>
      <w:proofErr w:type="spellEnd"/>
      <w:r w:rsidRPr="007338B8">
        <w:rPr>
          <w:rFonts w:ascii="Times New Roman" w:hAnsi="Times New Roman" w:cs="Times New Roman"/>
        </w:rPr>
        <w:t xml:space="preserve">-occlusive disease (VOD) was statistically significantly more frequent in the </w:t>
      </w:r>
      <w:proofErr w:type="spellStart"/>
      <w:r w:rsidRPr="007338B8">
        <w:rPr>
          <w:rFonts w:ascii="Times New Roman" w:hAnsi="Times New Roman" w:cs="Times New Roman"/>
        </w:rPr>
        <w:t>inotuzumab</w:t>
      </w:r>
      <w:proofErr w:type="spellEnd"/>
      <w:r w:rsidRPr="007338B8">
        <w:rPr>
          <w:rFonts w:ascii="Times New Roman" w:hAnsi="Times New Roman" w:cs="Times New Roman"/>
        </w:rPr>
        <w:t xml:space="preserve"> arm</w:t>
      </w:r>
      <w:r w:rsidR="00383857">
        <w:rPr>
          <w:rFonts w:ascii="Times New Roman" w:hAnsi="Times New Roman" w:cs="Times New Roman"/>
        </w:rPr>
        <w:t xml:space="preserve"> (22/164)</w:t>
      </w:r>
      <w:r w:rsidRPr="007338B8">
        <w:rPr>
          <w:rFonts w:ascii="Times New Roman" w:hAnsi="Times New Roman" w:cs="Times New Roman"/>
        </w:rPr>
        <w:t xml:space="preserve"> than the </w:t>
      </w:r>
      <w:proofErr w:type="spellStart"/>
      <w:r w:rsidRPr="007338B8">
        <w:rPr>
          <w:rFonts w:ascii="Times New Roman" w:hAnsi="Times New Roman" w:cs="Times New Roman"/>
        </w:rPr>
        <w:t>SoC</w:t>
      </w:r>
      <w:proofErr w:type="spellEnd"/>
      <w:r w:rsidRPr="007338B8">
        <w:rPr>
          <w:rFonts w:ascii="Times New Roman" w:hAnsi="Times New Roman" w:cs="Times New Roman"/>
        </w:rPr>
        <w:t xml:space="preserve"> arm </w:t>
      </w:r>
      <w:r w:rsidR="00432C25">
        <w:rPr>
          <w:rFonts w:ascii="Times New Roman" w:hAnsi="Times New Roman" w:cs="Times New Roman"/>
        </w:rPr>
        <w:t>(</w:t>
      </w:r>
      <w:r w:rsidRPr="007338B8">
        <w:rPr>
          <w:rFonts w:ascii="Times New Roman" w:hAnsi="Times New Roman" w:cs="Times New Roman"/>
        </w:rPr>
        <w:t>1</w:t>
      </w:r>
      <w:r w:rsidR="00432C25">
        <w:rPr>
          <w:rFonts w:ascii="Times New Roman" w:hAnsi="Times New Roman" w:cs="Times New Roman"/>
        </w:rPr>
        <w:t>/143</w:t>
      </w:r>
      <w:r w:rsidRPr="007338B8">
        <w:rPr>
          <w:rFonts w:ascii="Times New Roman" w:hAnsi="Times New Roman" w:cs="Times New Roman"/>
        </w:rPr>
        <w:t xml:space="preserve">).  </w:t>
      </w:r>
      <w:r w:rsidR="00432C25">
        <w:rPr>
          <w:rFonts w:ascii="Times New Roman" w:hAnsi="Times New Roman" w:cs="Times New Roman"/>
        </w:rPr>
        <w:t xml:space="preserve">Of the </w:t>
      </w:r>
      <w:r w:rsidRPr="007338B8">
        <w:rPr>
          <w:rFonts w:ascii="Times New Roman" w:hAnsi="Times New Roman" w:cs="Times New Roman"/>
        </w:rPr>
        <w:t xml:space="preserve">22 </w:t>
      </w:r>
      <w:r w:rsidR="00432C25">
        <w:rPr>
          <w:rFonts w:ascii="Times New Roman" w:hAnsi="Times New Roman" w:cs="Times New Roman"/>
        </w:rPr>
        <w:t xml:space="preserve">cases of VOD </w:t>
      </w:r>
      <w:r w:rsidRPr="007338B8">
        <w:rPr>
          <w:rFonts w:ascii="Times New Roman" w:hAnsi="Times New Roman" w:cs="Times New Roman"/>
        </w:rPr>
        <w:t>in</w:t>
      </w:r>
      <w:r w:rsidR="00432C25">
        <w:rPr>
          <w:rFonts w:ascii="Times New Roman" w:hAnsi="Times New Roman" w:cs="Times New Roman"/>
        </w:rPr>
        <w:t xml:space="preserve"> the </w:t>
      </w:r>
      <w:proofErr w:type="spellStart"/>
      <w:r w:rsidR="00432C25">
        <w:rPr>
          <w:rFonts w:ascii="Times New Roman" w:hAnsi="Times New Roman" w:cs="Times New Roman"/>
        </w:rPr>
        <w:t>inotuzumab</w:t>
      </w:r>
      <w:proofErr w:type="spellEnd"/>
      <w:r w:rsidR="00432C25">
        <w:rPr>
          <w:rFonts w:ascii="Times New Roman" w:hAnsi="Times New Roman" w:cs="Times New Roman"/>
        </w:rPr>
        <w:t xml:space="preserve"> treatment group, 5 cases were </w:t>
      </w:r>
      <w:r w:rsidRPr="007338B8">
        <w:rPr>
          <w:rFonts w:ascii="Times New Roman" w:hAnsi="Times New Roman" w:cs="Times New Roman"/>
        </w:rPr>
        <w:t>fatal</w:t>
      </w:r>
      <w:r w:rsidR="00BF5F65" w:rsidRPr="00BF5F65">
        <w:rPr>
          <w:rFonts w:ascii="Times New Roman" w:hAnsi="Times New Roman" w:cs="Times New Roman"/>
        </w:rPr>
        <w:t xml:space="preserve">.  </w:t>
      </w:r>
      <w:r w:rsidR="00AD052D">
        <w:rPr>
          <w:rFonts w:ascii="Times New Roman" w:hAnsi="Times New Roman" w:cs="Times New Roman"/>
        </w:rPr>
        <w:t xml:space="preserve">Table 1 displays a summary </w:t>
      </w:r>
      <w:r w:rsidR="00AD052D" w:rsidRPr="00EE182A">
        <w:rPr>
          <w:rFonts w:ascii="Times New Roman" w:hAnsi="Times New Roman" w:cs="Times New Roman"/>
        </w:rPr>
        <w:t xml:space="preserve">of </w:t>
      </w:r>
      <w:r w:rsidR="00AD052D">
        <w:rPr>
          <w:rFonts w:ascii="Times New Roman" w:hAnsi="Times New Roman" w:cs="Times New Roman"/>
        </w:rPr>
        <w:t>the relevant clinical outcomes and event data submitted by the company.</w:t>
      </w:r>
    </w:p>
    <w:p w14:paraId="255D25DA" w14:textId="3DA20F72" w:rsidR="00995206" w:rsidRPr="00BF5F65" w:rsidRDefault="00995206" w:rsidP="00995206">
      <w:pPr>
        <w:spacing w:line="360" w:lineRule="auto"/>
        <w:ind w:firstLine="432"/>
        <w:jc w:val="center"/>
        <w:rPr>
          <w:rFonts w:ascii="Times New Roman" w:hAnsi="Times New Roman" w:cs="Times New Roman"/>
          <w:color w:val="000000"/>
        </w:rPr>
      </w:pPr>
      <w:r>
        <w:rPr>
          <w:rFonts w:ascii="Times New Roman" w:hAnsi="Times New Roman" w:cs="Times New Roman"/>
        </w:rPr>
        <w:t>[Table 1]</w:t>
      </w:r>
    </w:p>
    <w:p w14:paraId="4E558FED" w14:textId="16649ED4" w:rsidR="0054454B" w:rsidRPr="008A224E" w:rsidRDefault="007B2825" w:rsidP="00E61BB0">
      <w:pPr>
        <w:pStyle w:val="Heading3"/>
        <w:spacing w:after="160" w:line="360" w:lineRule="auto"/>
        <w:rPr>
          <w:rFonts w:cs="Times New Roman"/>
        </w:rPr>
      </w:pPr>
      <w:r w:rsidRPr="00DD657B">
        <w:rPr>
          <w:rFonts w:cs="Times New Roman"/>
        </w:rPr>
        <w:t>Critique of the Clinical Evidence</w:t>
      </w:r>
    </w:p>
    <w:p w14:paraId="230B6F10" w14:textId="5404D303" w:rsidR="00347AE3" w:rsidRDefault="00CA3442" w:rsidP="00E61BB0">
      <w:pPr>
        <w:spacing w:line="360" w:lineRule="auto"/>
        <w:rPr>
          <w:rFonts w:ascii="Times New Roman" w:hAnsi="Times New Roman" w:cs="Times New Roman"/>
        </w:rPr>
      </w:pPr>
      <w:r>
        <w:rPr>
          <w:rFonts w:ascii="Times New Roman" w:hAnsi="Times New Roman" w:cs="Times New Roman"/>
        </w:rPr>
        <w:t xml:space="preserve">The </w:t>
      </w:r>
      <w:r w:rsidR="00EE3F61">
        <w:rPr>
          <w:rFonts w:ascii="Times New Roman" w:hAnsi="Times New Roman" w:cs="Times New Roman"/>
        </w:rPr>
        <w:t>INO-</w:t>
      </w:r>
      <w:r w:rsidR="005C1C42">
        <w:rPr>
          <w:rFonts w:ascii="Times New Roman" w:hAnsi="Times New Roman" w:cs="Times New Roman"/>
        </w:rPr>
        <w:t xml:space="preserve">VATE </w:t>
      </w:r>
      <w:r w:rsidR="0027496F">
        <w:rPr>
          <w:rFonts w:ascii="Times New Roman" w:hAnsi="Times New Roman" w:cs="Times New Roman"/>
        </w:rPr>
        <w:t xml:space="preserve">1022 </w:t>
      </w:r>
      <w:r>
        <w:rPr>
          <w:rFonts w:ascii="Times New Roman" w:hAnsi="Times New Roman" w:cs="Times New Roman"/>
        </w:rPr>
        <w:t xml:space="preserve">trial </w:t>
      </w:r>
      <w:r w:rsidR="005C1C42">
        <w:rPr>
          <w:rFonts w:ascii="Times New Roman" w:hAnsi="Times New Roman" w:cs="Times New Roman"/>
        </w:rPr>
        <w:t xml:space="preserve">was </w:t>
      </w:r>
      <w:r>
        <w:rPr>
          <w:rFonts w:ascii="Times New Roman" w:hAnsi="Times New Roman" w:cs="Times New Roman"/>
        </w:rPr>
        <w:t xml:space="preserve">considered to be </w:t>
      </w:r>
      <w:r w:rsidR="00EE3F61">
        <w:rPr>
          <w:rFonts w:ascii="Times New Roman" w:hAnsi="Times New Roman" w:cs="Times New Roman"/>
        </w:rPr>
        <w:t>of reasonabl</w:t>
      </w:r>
      <w:r w:rsidR="00690509">
        <w:rPr>
          <w:rFonts w:ascii="Times New Roman" w:hAnsi="Times New Roman" w:cs="Times New Roman"/>
        </w:rPr>
        <w:t>e</w:t>
      </w:r>
      <w:r w:rsidR="00EE3F61">
        <w:rPr>
          <w:rFonts w:ascii="Times New Roman" w:hAnsi="Times New Roman" w:cs="Times New Roman"/>
        </w:rPr>
        <w:t xml:space="preserve"> quality</w:t>
      </w:r>
      <w:r>
        <w:rPr>
          <w:rFonts w:ascii="Times New Roman" w:hAnsi="Times New Roman" w:cs="Times New Roman"/>
        </w:rPr>
        <w:t xml:space="preserve"> and</w:t>
      </w:r>
      <w:r w:rsidR="003226BA" w:rsidRPr="003E64F5">
        <w:rPr>
          <w:rFonts w:ascii="Times New Roman" w:hAnsi="Times New Roman" w:cs="Times New Roman"/>
        </w:rPr>
        <w:t xml:space="preserve"> broadly applicable to patients seen in NHS practice</w:t>
      </w:r>
      <w:r>
        <w:rPr>
          <w:rFonts w:ascii="Times New Roman" w:hAnsi="Times New Roman" w:cs="Times New Roman"/>
        </w:rPr>
        <w:t>.  However</w:t>
      </w:r>
      <w:r w:rsidR="003226BA" w:rsidRPr="003E64F5">
        <w:rPr>
          <w:rFonts w:ascii="Times New Roman" w:hAnsi="Times New Roman" w:cs="Times New Roman"/>
        </w:rPr>
        <w:t xml:space="preserve">, </w:t>
      </w:r>
      <w:r w:rsidR="00601C2A">
        <w:rPr>
          <w:rFonts w:ascii="Times New Roman" w:hAnsi="Times New Roman" w:cs="Times New Roman"/>
        </w:rPr>
        <w:t>the trial</w:t>
      </w:r>
      <w:r w:rsidR="00601C2A" w:rsidRPr="00BE74BE">
        <w:rPr>
          <w:rFonts w:ascii="Times New Roman" w:hAnsi="Times New Roman" w:cs="Times New Roman"/>
        </w:rPr>
        <w:t xml:space="preserve"> only included patients suitable for intensive therapy</w:t>
      </w:r>
      <w:r w:rsidR="00601C2A">
        <w:rPr>
          <w:rFonts w:ascii="Times New Roman" w:hAnsi="Times New Roman" w:cs="Times New Roman"/>
        </w:rPr>
        <w:t xml:space="preserve"> and due to receive</w:t>
      </w:r>
      <w:r w:rsidR="00D21614">
        <w:rPr>
          <w:rFonts w:ascii="Times New Roman" w:hAnsi="Times New Roman" w:cs="Times New Roman"/>
        </w:rPr>
        <w:t xml:space="preserve"> their</w:t>
      </w:r>
      <w:r w:rsidR="00601C2A">
        <w:rPr>
          <w:rFonts w:ascii="Times New Roman" w:hAnsi="Times New Roman" w:cs="Times New Roman"/>
        </w:rPr>
        <w:t xml:space="preserve"> </w:t>
      </w:r>
      <w:r w:rsidR="00D21614">
        <w:rPr>
          <w:rFonts w:ascii="Times New Roman" w:hAnsi="Times New Roman" w:cs="Times New Roman"/>
        </w:rPr>
        <w:t>first or second</w:t>
      </w:r>
      <w:r w:rsidR="00601C2A">
        <w:rPr>
          <w:rFonts w:ascii="Times New Roman" w:hAnsi="Times New Roman" w:cs="Times New Roman"/>
        </w:rPr>
        <w:t xml:space="preserve"> salvage therapy</w:t>
      </w:r>
      <w:r w:rsidR="00601C2A" w:rsidRPr="00BE74BE">
        <w:rPr>
          <w:rFonts w:ascii="Times New Roman" w:hAnsi="Times New Roman" w:cs="Times New Roman"/>
        </w:rPr>
        <w:t xml:space="preserve">, which </w:t>
      </w:r>
      <w:r>
        <w:rPr>
          <w:rFonts w:ascii="Times New Roman" w:hAnsi="Times New Roman" w:cs="Times New Roman"/>
        </w:rPr>
        <w:t>represent</w:t>
      </w:r>
      <w:r w:rsidR="00601C2A" w:rsidRPr="00BE74BE">
        <w:rPr>
          <w:rFonts w:ascii="Times New Roman" w:hAnsi="Times New Roman" w:cs="Times New Roman"/>
        </w:rPr>
        <w:t xml:space="preserve"> a subset of the anticipated licensed population</w:t>
      </w:r>
      <w:r w:rsidR="00601C2A">
        <w:rPr>
          <w:rFonts w:ascii="Times New Roman" w:hAnsi="Times New Roman" w:cs="Times New Roman"/>
        </w:rPr>
        <w:t xml:space="preserve">. </w:t>
      </w:r>
      <w:r>
        <w:rPr>
          <w:rFonts w:ascii="Times New Roman" w:hAnsi="Times New Roman" w:cs="Times New Roman"/>
        </w:rPr>
        <w:t>I</w:t>
      </w:r>
      <w:r w:rsidR="003226BA" w:rsidRPr="003E64F5">
        <w:rPr>
          <w:rFonts w:ascii="Times New Roman" w:hAnsi="Times New Roman" w:cs="Times New Roman"/>
        </w:rPr>
        <w:t xml:space="preserve">t </w:t>
      </w:r>
      <w:r>
        <w:rPr>
          <w:rFonts w:ascii="Times New Roman" w:hAnsi="Times New Roman" w:cs="Times New Roman"/>
        </w:rPr>
        <w:t>wa</w:t>
      </w:r>
      <w:r w:rsidR="003226BA" w:rsidRPr="003E64F5">
        <w:rPr>
          <w:rFonts w:ascii="Times New Roman" w:hAnsi="Times New Roman" w:cs="Times New Roman"/>
        </w:rPr>
        <w:t xml:space="preserve">s unclear what previous chemotherapy regimens patients had relapsed on, and whether these previous regimens </w:t>
      </w:r>
      <w:r>
        <w:rPr>
          <w:rFonts w:ascii="Times New Roman" w:hAnsi="Times New Roman" w:cs="Times New Roman"/>
        </w:rPr>
        <w:t>we</w:t>
      </w:r>
      <w:r w:rsidR="003226BA" w:rsidRPr="003E64F5">
        <w:rPr>
          <w:rFonts w:ascii="Times New Roman" w:hAnsi="Times New Roman" w:cs="Times New Roman"/>
        </w:rPr>
        <w:t>re relevant to UK</w:t>
      </w:r>
      <w:r w:rsidR="00A30F93">
        <w:rPr>
          <w:rFonts w:ascii="Times New Roman" w:hAnsi="Times New Roman" w:cs="Times New Roman"/>
        </w:rPr>
        <w:t xml:space="preserve"> p</w:t>
      </w:r>
      <w:r w:rsidR="003226BA" w:rsidRPr="003E64F5">
        <w:rPr>
          <w:rFonts w:ascii="Times New Roman" w:hAnsi="Times New Roman" w:cs="Times New Roman"/>
        </w:rPr>
        <w:t>ractice.</w:t>
      </w:r>
      <w:r w:rsidR="003226BA">
        <w:rPr>
          <w:rFonts w:ascii="Times New Roman" w:hAnsi="Times New Roman" w:cs="Times New Roman"/>
        </w:rPr>
        <w:t xml:space="preserve"> </w:t>
      </w:r>
    </w:p>
    <w:p w14:paraId="188F73E9" w14:textId="7F54D218" w:rsidR="00F450AC" w:rsidRDefault="002A10A6" w:rsidP="00E61BB0">
      <w:pPr>
        <w:spacing w:line="360" w:lineRule="auto"/>
        <w:rPr>
          <w:rFonts w:ascii="Times New Roman" w:hAnsi="Times New Roman" w:cs="Times New Roman"/>
        </w:rPr>
      </w:pPr>
      <w:r>
        <w:rPr>
          <w:rFonts w:ascii="Times New Roman" w:hAnsi="Times New Roman" w:cs="Times New Roman"/>
        </w:rPr>
        <w:t>T</w:t>
      </w:r>
      <w:r w:rsidR="005C1C42" w:rsidRPr="00330EF9">
        <w:rPr>
          <w:rFonts w:ascii="Times New Roman" w:hAnsi="Times New Roman" w:cs="Times New Roman"/>
        </w:rPr>
        <w:t>he</w:t>
      </w:r>
      <w:r w:rsidR="005C1C42">
        <w:rPr>
          <w:rFonts w:ascii="Times New Roman" w:hAnsi="Times New Roman" w:cs="Times New Roman"/>
        </w:rPr>
        <w:t xml:space="preserve"> primary</w:t>
      </w:r>
      <w:r w:rsidR="005C1C42" w:rsidRPr="00330EF9">
        <w:rPr>
          <w:rFonts w:ascii="Times New Roman" w:hAnsi="Times New Roman" w:cs="Times New Roman"/>
        </w:rPr>
        <w:t xml:space="preserve"> results of the trial</w:t>
      </w:r>
      <w:r w:rsidR="00347AE3">
        <w:rPr>
          <w:rFonts w:ascii="Times New Roman" w:hAnsi="Times New Roman" w:cs="Times New Roman"/>
        </w:rPr>
        <w:t>,</w:t>
      </w:r>
      <w:r w:rsidR="005C1C42" w:rsidRPr="00330EF9">
        <w:rPr>
          <w:rFonts w:ascii="Times New Roman" w:hAnsi="Times New Roman" w:cs="Times New Roman"/>
        </w:rPr>
        <w:t xml:space="preserve"> relating to CR/</w:t>
      </w:r>
      <w:proofErr w:type="spellStart"/>
      <w:r w:rsidR="005C1C42" w:rsidRPr="00330EF9">
        <w:rPr>
          <w:rFonts w:ascii="Times New Roman" w:hAnsi="Times New Roman" w:cs="Times New Roman"/>
        </w:rPr>
        <w:t>CRi</w:t>
      </w:r>
      <w:proofErr w:type="spellEnd"/>
      <w:r w:rsidR="00347AE3">
        <w:rPr>
          <w:rFonts w:ascii="Times New Roman" w:hAnsi="Times New Roman" w:cs="Times New Roman"/>
        </w:rPr>
        <w:t>,</w:t>
      </w:r>
      <w:r w:rsidR="005C1C42" w:rsidRPr="00330EF9">
        <w:rPr>
          <w:rFonts w:ascii="Times New Roman" w:hAnsi="Times New Roman" w:cs="Times New Roman"/>
        </w:rPr>
        <w:t xml:space="preserve"> </w:t>
      </w:r>
      <w:r w:rsidR="00CA3442">
        <w:rPr>
          <w:rFonts w:ascii="Times New Roman" w:hAnsi="Times New Roman" w:cs="Times New Roman"/>
        </w:rPr>
        <w:t>we</w:t>
      </w:r>
      <w:r w:rsidR="00A30F93">
        <w:rPr>
          <w:rFonts w:ascii="Times New Roman" w:hAnsi="Times New Roman" w:cs="Times New Roman"/>
        </w:rPr>
        <w:t>re</w:t>
      </w:r>
      <w:r w:rsidR="005C1C42" w:rsidRPr="00330EF9">
        <w:rPr>
          <w:rFonts w:ascii="Times New Roman" w:hAnsi="Times New Roman" w:cs="Times New Roman"/>
        </w:rPr>
        <w:t xml:space="preserve"> </w:t>
      </w:r>
      <w:r w:rsidR="00CA3442">
        <w:rPr>
          <w:rFonts w:ascii="Times New Roman" w:hAnsi="Times New Roman" w:cs="Times New Roman"/>
        </w:rPr>
        <w:t>considered</w:t>
      </w:r>
      <w:r w:rsidR="005C1C42" w:rsidRPr="00330EF9">
        <w:rPr>
          <w:rFonts w:ascii="Times New Roman" w:hAnsi="Times New Roman" w:cs="Times New Roman"/>
        </w:rPr>
        <w:t xml:space="preserve"> reliable</w:t>
      </w:r>
      <w:r w:rsidR="00F37A35">
        <w:rPr>
          <w:rFonts w:ascii="Times New Roman" w:hAnsi="Times New Roman" w:cs="Times New Roman"/>
        </w:rPr>
        <w:t>.</w:t>
      </w:r>
      <w:r w:rsidR="005C1C42" w:rsidRPr="00330EF9">
        <w:rPr>
          <w:rFonts w:ascii="Times New Roman" w:hAnsi="Times New Roman" w:cs="Times New Roman"/>
        </w:rPr>
        <w:t xml:space="preserve"> </w:t>
      </w:r>
      <w:r w:rsidR="00F37A35">
        <w:rPr>
          <w:rFonts w:ascii="Times New Roman" w:hAnsi="Times New Roman" w:cs="Times New Roman"/>
        </w:rPr>
        <w:t>W</w:t>
      </w:r>
      <w:r w:rsidR="00C459C3">
        <w:rPr>
          <w:rFonts w:ascii="Times New Roman" w:hAnsi="Times New Roman" w:cs="Times New Roman"/>
        </w:rPr>
        <w:t>hilst</w:t>
      </w:r>
      <w:r w:rsidR="005C1C42" w:rsidRPr="00330EF9">
        <w:rPr>
          <w:rFonts w:ascii="Times New Roman" w:hAnsi="Times New Roman" w:cs="Times New Roman"/>
        </w:rPr>
        <w:t xml:space="preserve"> remission outcomes were assessed by </w:t>
      </w:r>
      <w:proofErr w:type="spellStart"/>
      <w:r w:rsidR="005C1C42" w:rsidRPr="00330EF9">
        <w:rPr>
          <w:rFonts w:ascii="Times New Roman" w:hAnsi="Times New Roman" w:cs="Times New Roman"/>
        </w:rPr>
        <w:t>unblinded</w:t>
      </w:r>
      <w:proofErr w:type="spellEnd"/>
      <w:r w:rsidR="005C1C42" w:rsidRPr="00330EF9">
        <w:rPr>
          <w:rFonts w:ascii="Times New Roman" w:hAnsi="Times New Roman" w:cs="Times New Roman"/>
        </w:rPr>
        <w:t xml:space="preserve"> study personnel, the results for the full </w:t>
      </w:r>
      <w:r>
        <w:rPr>
          <w:rFonts w:ascii="Times New Roman" w:hAnsi="Times New Roman" w:cs="Times New Roman"/>
        </w:rPr>
        <w:t>trial</w:t>
      </w:r>
      <w:r w:rsidR="005C1C42" w:rsidRPr="00330EF9">
        <w:rPr>
          <w:rFonts w:ascii="Times New Roman" w:hAnsi="Times New Roman" w:cs="Times New Roman"/>
        </w:rPr>
        <w:t xml:space="preserve"> population were similar to those of the smaller ITT218 population, whose remission outcomes were assessed by an independent Endpoint Adjudication Committee. </w:t>
      </w:r>
      <w:r w:rsidR="003226BA" w:rsidRPr="003226BA">
        <w:rPr>
          <w:rFonts w:ascii="Times New Roman" w:hAnsi="Times New Roman" w:cs="Times New Roman"/>
        </w:rPr>
        <w:t xml:space="preserve">The results relating to the higher proportion of </w:t>
      </w:r>
      <w:proofErr w:type="spellStart"/>
      <w:r w:rsidR="003226BA" w:rsidRPr="003226BA">
        <w:rPr>
          <w:rFonts w:ascii="Times New Roman" w:hAnsi="Times New Roman" w:cs="Times New Roman"/>
        </w:rPr>
        <w:t>inotuzumab</w:t>
      </w:r>
      <w:proofErr w:type="spellEnd"/>
      <w:r w:rsidR="003226BA" w:rsidRPr="003226BA">
        <w:rPr>
          <w:rFonts w:ascii="Times New Roman" w:hAnsi="Times New Roman" w:cs="Times New Roman"/>
        </w:rPr>
        <w:t xml:space="preserve"> patients proceeding to HSCT </w:t>
      </w:r>
      <w:r w:rsidR="00CA3442">
        <w:rPr>
          <w:rFonts w:ascii="Times New Roman" w:hAnsi="Times New Roman" w:cs="Times New Roman"/>
        </w:rPr>
        <w:t>we</w:t>
      </w:r>
      <w:r w:rsidR="003226BA" w:rsidRPr="003226BA">
        <w:rPr>
          <w:rFonts w:ascii="Times New Roman" w:hAnsi="Times New Roman" w:cs="Times New Roman"/>
        </w:rPr>
        <w:t>re also likely to be reliable</w:t>
      </w:r>
      <w:r w:rsidR="00CA3442">
        <w:rPr>
          <w:rFonts w:ascii="Times New Roman" w:hAnsi="Times New Roman" w:cs="Times New Roman"/>
        </w:rPr>
        <w:t>.  However</w:t>
      </w:r>
      <w:r w:rsidR="003226BA" w:rsidRPr="003226BA">
        <w:rPr>
          <w:rFonts w:ascii="Times New Roman" w:hAnsi="Times New Roman" w:cs="Times New Roman"/>
        </w:rPr>
        <w:t xml:space="preserve">, </w:t>
      </w:r>
      <w:r w:rsidR="003702BE">
        <w:rPr>
          <w:rFonts w:ascii="Times New Roman" w:hAnsi="Times New Roman" w:cs="Times New Roman"/>
        </w:rPr>
        <w:t>some</w:t>
      </w:r>
      <w:r w:rsidR="003226BA" w:rsidRPr="003226BA">
        <w:rPr>
          <w:rFonts w:ascii="Times New Roman" w:hAnsi="Times New Roman" w:cs="Times New Roman"/>
        </w:rPr>
        <w:t xml:space="preserve"> patients</w:t>
      </w:r>
      <w:r w:rsidR="00EF7B6C">
        <w:rPr>
          <w:rFonts w:ascii="Times New Roman" w:hAnsi="Times New Roman" w:cs="Times New Roman"/>
        </w:rPr>
        <w:t xml:space="preserve"> r</w:t>
      </w:r>
      <w:r w:rsidR="003226BA" w:rsidRPr="003226BA">
        <w:rPr>
          <w:rFonts w:ascii="Times New Roman" w:hAnsi="Times New Roman" w:cs="Times New Roman"/>
        </w:rPr>
        <w:t>eceived HSCT despite not achieving CR/</w:t>
      </w:r>
      <w:proofErr w:type="spellStart"/>
      <w:r w:rsidR="003226BA" w:rsidRPr="003226BA">
        <w:rPr>
          <w:rFonts w:ascii="Times New Roman" w:hAnsi="Times New Roman" w:cs="Times New Roman"/>
        </w:rPr>
        <w:t>CRi</w:t>
      </w:r>
      <w:proofErr w:type="spellEnd"/>
      <w:r w:rsidR="003226BA" w:rsidRPr="003226BA">
        <w:rPr>
          <w:rFonts w:ascii="Times New Roman" w:hAnsi="Times New Roman" w:cs="Times New Roman"/>
        </w:rPr>
        <w:t>, which is not reflective of NHS practice</w:t>
      </w:r>
      <w:r w:rsidR="00CA3442">
        <w:rPr>
          <w:rFonts w:ascii="Times New Roman" w:hAnsi="Times New Roman" w:cs="Times New Roman"/>
        </w:rPr>
        <w:t>.</w:t>
      </w:r>
      <w:r w:rsidR="003226BA">
        <w:rPr>
          <w:rFonts w:ascii="Times New Roman" w:hAnsi="Times New Roman" w:cs="Times New Roman"/>
        </w:rPr>
        <w:t xml:space="preserve"> </w:t>
      </w:r>
      <w:r w:rsidR="00347AE3" w:rsidRPr="00347AE3">
        <w:rPr>
          <w:rFonts w:ascii="Times New Roman" w:hAnsi="Times New Roman" w:cs="Times New Roman"/>
        </w:rPr>
        <w:t xml:space="preserve">In addition, </w:t>
      </w:r>
      <w:r w:rsidR="00212FE2">
        <w:rPr>
          <w:rFonts w:ascii="Times New Roman" w:hAnsi="Times New Roman" w:cs="Times New Roman"/>
        </w:rPr>
        <w:t>some</w:t>
      </w:r>
      <w:r w:rsidR="00347AE3" w:rsidRPr="00347AE3">
        <w:rPr>
          <w:rFonts w:ascii="Times New Roman" w:hAnsi="Times New Roman" w:cs="Times New Roman"/>
        </w:rPr>
        <w:t xml:space="preserve"> patients did not receive HSCT, despite achieving CR/</w:t>
      </w:r>
      <w:proofErr w:type="spellStart"/>
      <w:r w:rsidR="00347AE3" w:rsidRPr="00347AE3">
        <w:rPr>
          <w:rFonts w:ascii="Times New Roman" w:hAnsi="Times New Roman" w:cs="Times New Roman"/>
        </w:rPr>
        <w:t>CRi</w:t>
      </w:r>
      <w:proofErr w:type="spellEnd"/>
      <w:r w:rsidR="00347AE3" w:rsidRPr="00347AE3">
        <w:rPr>
          <w:rFonts w:ascii="Times New Roman" w:hAnsi="Times New Roman" w:cs="Times New Roman"/>
        </w:rPr>
        <w:t>.</w:t>
      </w:r>
    </w:p>
    <w:p w14:paraId="46CE538C" w14:textId="6522F96E" w:rsidR="008314C6" w:rsidRPr="008314C6" w:rsidRDefault="008314C6" w:rsidP="00E61BB0">
      <w:pPr>
        <w:spacing w:line="360" w:lineRule="auto"/>
        <w:ind w:firstLine="432"/>
        <w:rPr>
          <w:rFonts w:ascii="Times New Roman" w:hAnsi="Times New Roman" w:cs="Times New Roman"/>
          <w:color w:val="000000"/>
        </w:rPr>
      </w:pPr>
      <w:r w:rsidRPr="008314C6">
        <w:rPr>
          <w:rFonts w:ascii="Times New Roman" w:hAnsi="Times New Roman" w:cs="Times New Roman"/>
          <w:color w:val="000000"/>
        </w:rPr>
        <w:lastRenderedPageBreak/>
        <w:t xml:space="preserve">The </w:t>
      </w:r>
      <w:r w:rsidR="00F567BE">
        <w:rPr>
          <w:rFonts w:ascii="Times New Roman" w:hAnsi="Times New Roman" w:cs="Times New Roman"/>
          <w:color w:val="000000"/>
        </w:rPr>
        <w:t>overall survival</w:t>
      </w:r>
      <w:r w:rsidRPr="008314C6">
        <w:rPr>
          <w:rFonts w:ascii="Times New Roman" w:hAnsi="Times New Roman" w:cs="Times New Roman"/>
          <w:color w:val="000000"/>
        </w:rPr>
        <w:t xml:space="preserve"> data</w:t>
      </w:r>
      <w:r>
        <w:rPr>
          <w:rFonts w:ascii="Times New Roman" w:hAnsi="Times New Roman" w:cs="Times New Roman"/>
          <w:color w:val="000000"/>
        </w:rPr>
        <w:t xml:space="preserve"> presented by the company</w:t>
      </w:r>
      <w:r w:rsidRPr="008314C6">
        <w:rPr>
          <w:rFonts w:ascii="Times New Roman" w:hAnsi="Times New Roman" w:cs="Times New Roman"/>
          <w:color w:val="000000"/>
        </w:rPr>
        <w:t xml:space="preserve"> were subject to some limitations.  RMST results were strongly dependent on the choice of truncation time</w:t>
      </w:r>
      <w:r w:rsidR="00690509">
        <w:rPr>
          <w:rFonts w:ascii="Times New Roman" w:hAnsi="Times New Roman" w:cs="Times New Roman"/>
          <w:color w:val="000000"/>
        </w:rPr>
        <w:t>.  There was</w:t>
      </w:r>
      <w:r w:rsidRPr="008314C6">
        <w:rPr>
          <w:rFonts w:ascii="Times New Roman" w:hAnsi="Times New Roman" w:cs="Times New Roman"/>
          <w:color w:val="000000"/>
        </w:rPr>
        <w:t xml:space="preserve"> little difference between the treatment groups in the 18 month analys</w:t>
      </w:r>
      <w:r w:rsidR="00690509">
        <w:rPr>
          <w:rFonts w:ascii="Times New Roman" w:hAnsi="Times New Roman" w:cs="Times New Roman"/>
          <w:color w:val="000000"/>
        </w:rPr>
        <w:t>i</w:t>
      </w:r>
      <w:r w:rsidRPr="008314C6">
        <w:rPr>
          <w:rFonts w:ascii="Times New Roman" w:hAnsi="Times New Roman" w:cs="Times New Roman"/>
          <w:color w:val="000000"/>
        </w:rPr>
        <w:t>s</w:t>
      </w:r>
      <w:r w:rsidR="0061531B">
        <w:rPr>
          <w:rFonts w:ascii="Times New Roman" w:hAnsi="Times New Roman" w:cs="Times New Roman"/>
          <w:color w:val="000000"/>
        </w:rPr>
        <w:t xml:space="preserve"> requested by the ERG</w:t>
      </w:r>
      <w:r w:rsidRPr="008314C6">
        <w:rPr>
          <w:rFonts w:ascii="Times New Roman" w:hAnsi="Times New Roman" w:cs="Times New Roman"/>
          <w:color w:val="000000"/>
        </w:rPr>
        <w:t>.  The difference between groups only bec</w:t>
      </w:r>
      <w:r w:rsidR="00690509">
        <w:rPr>
          <w:rFonts w:ascii="Times New Roman" w:hAnsi="Times New Roman" w:cs="Times New Roman"/>
          <w:color w:val="000000"/>
        </w:rPr>
        <w:t>ame</w:t>
      </w:r>
      <w:r w:rsidRPr="008314C6">
        <w:rPr>
          <w:rFonts w:ascii="Times New Roman" w:hAnsi="Times New Roman" w:cs="Times New Roman"/>
          <w:color w:val="000000"/>
        </w:rPr>
        <w:t xml:space="preserve"> statistically significant at 24 months, at which time few patients were included in the analysis (13 in the </w:t>
      </w:r>
      <w:proofErr w:type="spellStart"/>
      <w:r w:rsidRPr="008314C6">
        <w:rPr>
          <w:rFonts w:ascii="Times New Roman" w:hAnsi="Times New Roman" w:cs="Times New Roman"/>
          <w:color w:val="000000"/>
        </w:rPr>
        <w:t>inotuzumab</w:t>
      </w:r>
      <w:proofErr w:type="spellEnd"/>
      <w:r w:rsidRPr="008314C6">
        <w:rPr>
          <w:rFonts w:ascii="Times New Roman" w:hAnsi="Times New Roman" w:cs="Times New Roman"/>
          <w:color w:val="000000"/>
        </w:rPr>
        <w:t xml:space="preserve"> group and 5 in the </w:t>
      </w:r>
      <w:proofErr w:type="spellStart"/>
      <w:r w:rsidRPr="008314C6">
        <w:rPr>
          <w:rFonts w:ascii="Times New Roman" w:hAnsi="Times New Roman" w:cs="Times New Roman"/>
          <w:color w:val="000000"/>
        </w:rPr>
        <w:t>SoC</w:t>
      </w:r>
      <w:proofErr w:type="spellEnd"/>
      <w:r w:rsidRPr="008314C6">
        <w:rPr>
          <w:rFonts w:ascii="Times New Roman" w:hAnsi="Times New Roman" w:cs="Times New Roman"/>
          <w:color w:val="000000"/>
        </w:rPr>
        <w:t xml:space="preserve"> group).  By 36 months only one patient was included in the analysis from each treatment arm.  The </w:t>
      </w:r>
      <w:r w:rsidR="00690509">
        <w:rPr>
          <w:rFonts w:ascii="Times New Roman" w:hAnsi="Times New Roman" w:cs="Times New Roman"/>
          <w:color w:val="000000"/>
        </w:rPr>
        <w:t>RMST</w:t>
      </w:r>
      <w:r w:rsidRPr="008314C6">
        <w:rPr>
          <w:rFonts w:ascii="Times New Roman" w:hAnsi="Times New Roman" w:cs="Times New Roman"/>
          <w:color w:val="000000"/>
        </w:rPr>
        <w:t xml:space="preserve"> </w:t>
      </w:r>
      <w:r w:rsidR="00690509">
        <w:rPr>
          <w:rFonts w:ascii="Times New Roman" w:hAnsi="Times New Roman" w:cs="Times New Roman"/>
          <w:color w:val="000000"/>
        </w:rPr>
        <w:t xml:space="preserve">of 9.9 months </w:t>
      </w:r>
      <w:r w:rsidRPr="008314C6">
        <w:rPr>
          <w:rFonts w:ascii="Times New Roman" w:hAnsi="Times New Roman" w:cs="Times New Roman"/>
          <w:color w:val="000000"/>
        </w:rPr>
        <w:t xml:space="preserve">for the </w:t>
      </w:r>
      <w:proofErr w:type="spellStart"/>
      <w:r w:rsidRPr="008314C6">
        <w:rPr>
          <w:rFonts w:ascii="Times New Roman" w:hAnsi="Times New Roman" w:cs="Times New Roman"/>
          <w:color w:val="000000"/>
        </w:rPr>
        <w:t>SoC</w:t>
      </w:r>
      <w:proofErr w:type="spellEnd"/>
      <w:r w:rsidRPr="008314C6">
        <w:rPr>
          <w:rFonts w:ascii="Times New Roman" w:hAnsi="Times New Roman" w:cs="Times New Roman"/>
          <w:color w:val="000000"/>
        </w:rPr>
        <w:t xml:space="preserve"> group was higher than other estimates </w:t>
      </w:r>
      <w:r w:rsidR="005427BD">
        <w:rPr>
          <w:rFonts w:ascii="Times New Roman" w:hAnsi="Times New Roman" w:cs="Times New Roman"/>
          <w:color w:val="000000"/>
        </w:rPr>
        <w:t>presented</w:t>
      </w:r>
      <w:r>
        <w:rPr>
          <w:rFonts w:ascii="Times New Roman" w:hAnsi="Times New Roman" w:cs="Times New Roman"/>
          <w:color w:val="000000"/>
        </w:rPr>
        <w:t xml:space="preserve"> by the company (</w:t>
      </w:r>
      <w:r w:rsidRPr="008314C6">
        <w:rPr>
          <w:rFonts w:ascii="Times New Roman" w:hAnsi="Times New Roman" w:cs="Times New Roman"/>
          <w:color w:val="000000"/>
        </w:rPr>
        <w:t>range 3 to 5 months)</w:t>
      </w:r>
      <w:r w:rsidR="005C6E21">
        <w:rPr>
          <w:rFonts w:ascii="Times New Roman" w:hAnsi="Times New Roman" w:cs="Times New Roman"/>
          <w:color w:val="000000"/>
        </w:rPr>
        <w:t xml:space="preserve"> </w:t>
      </w:r>
      <w:r w:rsidR="00200AFF">
        <w:rPr>
          <w:rFonts w:ascii="Times New Roman" w:hAnsi="Times New Roman" w:cs="Times New Roman"/>
          <w:color w:val="000000"/>
        </w:rPr>
        <w:fldChar w:fldCharType="begin">
          <w:fldData xml:space="preserve">PEVuZE5vdGU+PENpdGU+PEF1dGhvcj5LYW50YXJqaWFuPC9BdXRob3I+PFllYXI+MjAxNzwvWWVh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==
</w:fldData>
        </w:fldChar>
      </w:r>
      <w:r w:rsidR="005F15F8">
        <w:rPr>
          <w:rFonts w:ascii="Times New Roman" w:hAnsi="Times New Roman" w:cs="Times New Roman"/>
          <w:color w:val="000000"/>
        </w:rPr>
        <w:instrText xml:space="preserve"> ADDIN EN.CITE </w:instrText>
      </w:r>
      <w:r w:rsidR="005F15F8">
        <w:rPr>
          <w:rFonts w:ascii="Times New Roman" w:hAnsi="Times New Roman" w:cs="Times New Roman"/>
          <w:color w:val="000000"/>
        </w:rPr>
        <w:fldChar w:fldCharType="begin">
          <w:fldData xml:space="preserve">PEVuZE5vdGU+PENpdGU+PEF1dGhvcj5LYW50YXJqaWFuPC9BdXRob3I+PFllYXI+MjAxNzwvWWVh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==
</w:fldData>
        </w:fldChar>
      </w:r>
      <w:r w:rsidR="005F15F8">
        <w:rPr>
          <w:rFonts w:ascii="Times New Roman" w:hAnsi="Times New Roman" w:cs="Times New Roman"/>
          <w:color w:val="000000"/>
        </w:rPr>
        <w:instrText xml:space="preserve"> ADDIN EN.CITE.DATA </w:instrText>
      </w:r>
      <w:r w:rsidR="005F15F8">
        <w:rPr>
          <w:rFonts w:ascii="Times New Roman" w:hAnsi="Times New Roman" w:cs="Times New Roman"/>
          <w:color w:val="000000"/>
        </w:rPr>
      </w:r>
      <w:r w:rsidR="005F15F8">
        <w:rPr>
          <w:rFonts w:ascii="Times New Roman" w:hAnsi="Times New Roman" w:cs="Times New Roman"/>
          <w:color w:val="000000"/>
        </w:rPr>
        <w:fldChar w:fldCharType="end"/>
      </w:r>
      <w:r w:rsidR="00200AFF">
        <w:rPr>
          <w:rFonts w:ascii="Times New Roman" w:hAnsi="Times New Roman" w:cs="Times New Roman"/>
          <w:color w:val="000000"/>
        </w:rPr>
      </w:r>
      <w:r w:rsidR="00200AFF">
        <w:rPr>
          <w:rFonts w:ascii="Times New Roman" w:hAnsi="Times New Roman" w:cs="Times New Roman"/>
          <w:color w:val="000000"/>
        </w:rPr>
        <w:fldChar w:fldCharType="separate"/>
      </w:r>
      <w:r w:rsidR="005F15F8">
        <w:rPr>
          <w:rFonts w:ascii="Times New Roman" w:hAnsi="Times New Roman" w:cs="Times New Roman"/>
          <w:noProof/>
          <w:color w:val="000000"/>
        </w:rPr>
        <w:t>[14-17]</w:t>
      </w:r>
      <w:r w:rsidR="00200AFF">
        <w:rPr>
          <w:rFonts w:ascii="Times New Roman" w:hAnsi="Times New Roman" w:cs="Times New Roman"/>
          <w:color w:val="000000"/>
        </w:rPr>
        <w:fldChar w:fldCharType="end"/>
      </w:r>
      <w:r>
        <w:rPr>
          <w:rFonts w:ascii="Times New Roman" w:hAnsi="Times New Roman" w:cs="Times New Roman"/>
          <w:color w:val="000000"/>
        </w:rPr>
        <w:t xml:space="preserve"> </w:t>
      </w:r>
      <w:r w:rsidRPr="008314C6">
        <w:rPr>
          <w:rFonts w:ascii="Times New Roman" w:hAnsi="Times New Roman" w:cs="Times New Roman"/>
          <w:color w:val="000000"/>
        </w:rPr>
        <w:t xml:space="preserve">suggesting that the RMST analysis appears to </w:t>
      </w:r>
      <w:r w:rsidR="00690509">
        <w:rPr>
          <w:rFonts w:ascii="Times New Roman" w:hAnsi="Times New Roman" w:cs="Times New Roman"/>
          <w:color w:val="000000"/>
        </w:rPr>
        <w:t>overestimate</w:t>
      </w:r>
      <w:r w:rsidRPr="008314C6">
        <w:rPr>
          <w:rFonts w:ascii="Times New Roman" w:hAnsi="Times New Roman" w:cs="Times New Roman"/>
          <w:color w:val="000000"/>
        </w:rPr>
        <w:t xml:space="preserve"> </w:t>
      </w:r>
      <w:r w:rsidR="007C48A4">
        <w:rPr>
          <w:rFonts w:ascii="Times New Roman" w:hAnsi="Times New Roman" w:cs="Times New Roman"/>
          <w:color w:val="000000"/>
        </w:rPr>
        <w:t>overall survival</w:t>
      </w:r>
      <w:r w:rsidRPr="008314C6">
        <w:rPr>
          <w:rFonts w:ascii="Times New Roman" w:hAnsi="Times New Roman" w:cs="Times New Roman"/>
          <w:color w:val="000000"/>
        </w:rPr>
        <w:t>.</w:t>
      </w:r>
    </w:p>
    <w:p w14:paraId="68B9FD36" w14:textId="238B9FEC" w:rsidR="005427BD" w:rsidRPr="003226BA" w:rsidRDefault="005427BD" w:rsidP="00E61BB0">
      <w:pPr>
        <w:spacing w:line="360" w:lineRule="auto"/>
        <w:ind w:firstLine="432"/>
        <w:rPr>
          <w:rFonts w:ascii="Times New Roman" w:hAnsi="Times New Roman" w:cs="Times New Roman"/>
          <w:color w:val="000000"/>
        </w:rPr>
      </w:pPr>
      <w:r w:rsidRPr="003226BA">
        <w:rPr>
          <w:rFonts w:ascii="Times New Roman" w:hAnsi="Times New Roman" w:cs="Times New Roman"/>
          <w:color w:val="000000"/>
        </w:rPr>
        <w:t xml:space="preserve">The ERG </w:t>
      </w:r>
      <w:r>
        <w:rPr>
          <w:rFonts w:ascii="Times New Roman" w:hAnsi="Times New Roman" w:cs="Times New Roman"/>
          <w:color w:val="000000"/>
        </w:rPr>
        <w:t>had concerns that not all</w:t>
      </w:r>
      <w:r w:rsidRPr="003226BA">
        <w:rPr>
          <w:rFonts w:ascii="Times New Roman" w:hAnsi="Times New Roman" w:cs="Times New Roman"/>
          <w:color w:val="000000"/>
        </w:rPr>
        <w:t xml:space="preserve"> </w:t>
      </w:r>
      <w:r w:rsidR="007C48A4">
        <w:rPr>
          <w:rFonts w:ascii="Times New Roman" w:hAnsi="Times New Roman" w:cs="Times New Roman"/>
          <w:color w:val="000000"/>
        </w:rPr>
        <w:t xml:space="preserve">relevant </w:t>
      </w:r>
      <w:r w:rsidRPr="003226BA">
        <w:rPr>
          <w:rFonts w:ascii="Times New Roman" w:hAnsi="Times New Roman" w:cs="Times New Roman"/>
          <w:color w:val="000000"/>
        </w:rPr>
        <w:t xml:space="preserve">comparators </w:t>
      </w:r>
      <w:r>
        <w:rPr>
          <w:rFonts w:ascii="Times New Roman" w:hAnsi="Times New Roman" w:cs="Times New Roman"/>
          <w:color w:val="000000"/>
        </w:rPr>
        <w:t>were included in the analysis</w:t>
      </w:r>
      <w:r w:rsidRPr="003226BA">
        <w:rPr>
          <w:rFonts w:ascii="Times New Roman" w:hAnsi="Times New Roman" w:cs="Times New Roman"/>
          <w:color w:val="000000"/>
        </w:rPr>
        <w:t xml:space="preserve">. Clinical advice received by the ERG indicated </w:t>
      </w:r>
      <w:r w:rsidR="0027496F">
        <w:rPr>
          <w:rFonts w:ascii="Times New Roman" w:hAnsi="Times New Roman" w:cs="Times New Roman"/>
          <w:color w:val="000000"/>
        </w:rPr>
        <w:t xml:space="preserve">that </w:t>
      </w:r>
      <w:proofErr w:type="spellStart"/>
      <w:r w:rsidRPr="003226BA">
        <w:rPr>
          <w:rFonts w:ascii="Times New Roman" w:hAnsi="Times New Roman" w:cs="Times New Roman"/>
          <w:color w:val="000000"/>
        </w:rPr>
        <w:t>clofarabine</w:t>
      </w:r>
      <w:proofErr w:type="spellEnd"/>
      <w:r w:rsidR="00872EA2">
        <w:rPr>
          <w:rFonts w:ascii="Times New Roman" w:hAnsi="Times New Roman" w:cs="Times New Roman"/>
          <w:color w:val="000000"/>
        </w:rPr>
        <w:t>-based chemotherapy regimens</w:t>
      </w:r>
      <w:r w:rsidRPr="003226BA">
        <w:rPr>
          <w:rFonts w:ascii="Times New Roman" w:hAnsi="Times New Roman" w:cs="Times New Roman"/>
          <w:color w:val="000000"/>
        </w:rPr>
        <w:t xml:space="preserve"> and TKIs alone</w:t>
      </w:r>
      <w:r w:rsidR="00872EA2">
        <w:rPr>
          <w:rFonts w:ascii="Times New Roman" w:hAnsi="Times New Roman" w:cs="Times New Roman"/>
          <w:color w:val="000000"/>
        </w:rPr>
        <w:t xml:space="preserve"> (</w:t>
      </w:r>
      <w:proofErr w:type="spellStart"/>
      <w:r w:rsidR="00872EA2">
        <w:rPr>
          <w:rFonts w:ascii="Times New Roman" w:hAnsi="Times New Roman" w:cs="Times New Roman"/>
          <w:color w:val="000000"/>
        </w:rPr>
        <w:t>Ph</w:t>
      </w:r>
      <w:proofErr w:type="spellEnd"/>
      <w:r w:rsidR="00872EA2">
        <w:rPr>
          <w:rFonts w:ascii="Times New Roman" w:hAnsi="Times New Roman" w:cs="Times New Roman"/>
          <w:color w:val="000000"/>
        </w:rPr>
        <w:t>+)</w:t>
      </w:r>
      <w:r w:rsidRPr="003226BA">
        <w:rPr>
          <w:rFonts w:ascii="Times New Roman" w:hAnsi="Times New Roman" w:cs="Times New Roman"/>
          <w:color w:val="000000"/>
        </w:rPr>
        <w:t xml:space="preserve"> are efficacious alternatives to current FLAG based regimes in UK clinical practice and</w:t>
      </w:r>
      <w:r w:rsidR="007C48A4">
        <w:rPr>
          <w:rFonts w:ascii="Times New Roman" w:hAnsi="Times New Roman" w:cs="Times New Roman"/>
          <w:color w:val="000000"/>
        </w:rPr>
        <w:t xml:space="preserve"> </w:t>
      </w:r>
      <w:r w:rsidRPr="003226BA">
        <w:rPr>
          <w:rFonts w:ascii="Times New Roman" w:hAnsi="Times New Roman" w:cs="Times New Roman"/>
          <w:color w:val="000000"/>
        </w:rPr>
        <w:t xml:space="preserve">ought to have been comparators. </w:t>
      </w:r>
      <w:r w:rsidR="007C48A4">
        <w:rPr>
          <w:rFonts w:ascii="Times New Roman" w:hAnsi="Times New Roman" w:cs="Times New Roman"/>
          <w:color w:val="000000"/>
        </w:rPr>
        <w:t>Given that</w:t>
      </w:r>
      <w:r w:rsidRPr="003226BA">
        <w:rPr>
          <w:rFonts w:ascii="Times New Roman" w:hAnsi="Times New Roman" w:cs="Times New Roman"/>
          <w:color w:val="000000"/>
        </w:rPr>
        <w:t xml:space="preserve"> </w:t>
      </w:r>
      <w:proofErr w:type="spellStart"/>
      <w:r w:rsidRPr="003226BA">
        <w:rPr>
          <w:rFonts w:ascii="Times New Roman" w:hAnsi="Times New Roman" w:cs="Times New Roman"/>
          <w:color w:val="000000"/>
        </w:rPr>
        <w:t>blinatumomab</w:t>
      </w:r>
      <w:proofErr w:type="spellEnd"/>
      <w:r w:rsidRPr="003226BA">
        <w:rPr>
          <w:rFonts w:ascii="Times New Roman" w:hAnsi="Times New Roman" w:cs="Times New Roman"/>
          <w:color w:val="000000"/>
        </w:rPr>
        <w:t xml:space="preserve"> was not used in the NHS at the time the NICE scope was finalised and was under appraisal itself during the STA process for </w:t>
      </w:r>
      <w:proofErr w:type="spellStart"/>
      <w:r w:rsidRPr="003226BA">
        <w:rPr>
          <w:rFonts w:ascii="Times New Roman" w:hAnsi="Times New Roman" w:cs="Times New Roman"/>
          <w:color w:val="000000"/>
        </w:rPr>
        <w:t>inotuzumab</w:t>
      </w:r>
      <w:proofErr w:type="spellEnd"/>
      <w:r w:rsidR="00C921C3">
        <w:rPr>
          <w:rFonts w:ascii="Times New Roman" w:hAnsi="Times New Roman" w:cs="Times New Roman"/>
          <w:color w:val="000000"/>
        </w:rPr>
        <w:t>,</w:t>
      </w:r>
      <w:r w:rsidR="007C48A4">
        <w:rPr>
          <w:rFonts w:ascii="Times New Roman" w:hAnsi="Times New Roman" w:cs="Times New Roman"/>
          <w:color w:val="000000"/>
        </w:rPr>
        <w:t xml:space="preserve"> </w:t>
      </w:r>
      <w:r w:rsidR="00C921C3">
        <w:rPr>
          <w:rFonts w:ascii="Times New Roman" w:hAnsi="Times New Roman" w:cs="Times New Roman"/>
          <w:color w:val="000000"/>
        </w:rPr>
        <w:t>t</w:t>
      </w:r>
      <w:r w:rsidRPr="003226BA">
        <w:rPr>
          <w:rFonts w:ascii="Times New Roman" w:hAnsi="Times New Roman" w:cs="Times New Roman"/>
          <w:color w:val="000000"/>
        </w:rPr>
        <w:t xml:space="preserve">he ERG deemed it appropriate that </w:t>
      </w:r>
      <w:proofErr w:type="spellStart"/>
      <w:r w:rsidRPr="003226BA">
        <w:rPr>
          <w:rFonts w:ascii="Times New Roman" w:hAnsi="Times New Roman" w:cs="Times New Roman"/>
          <w:color w:val="000000"/>
        </w:rPr>
        <w:t>blinatum</w:t>
      </w:r>
      <w:r w:rsidR="00B0107F">
        <w:rPr>
          <w:rFonts w:ascii="Times New Roman" w:hAnsi="Times New Roman" w:cs="Times New Roman"/>
          <w:color w:val="000000"/>
        </w:rPr>
        <w:t>o</w:t>
      </w:r>
      <w:r w:rsidRPr="003226BA">
        <w:rPr>
          <w:rFonts w:ascii="Times New Roman" w:hAnsi="Times New Roman" w:cs="Times New Roman"/>
          <w:color w:val="000000"/>
        </w:rPr>
        <w:t>mab</w:t>
      </w:r>
      <w:proofErr w:type="spellEnd"/>
      <w:r w:rsidRPr="003226BA">
        <w:rPr>
          <w:rFonts w:ascii="Times New Roman" w:hAnsi="Times New Roman" w:cs="Times New Roman"/>
          <w:color w:val="000000"/>
        </w:rPr>
        <w:t xml:space="preserve"> was not included as a comparator. </w:t>
      </w:r>
    </w:p>
    <w:p w14:paraId="34054626" w14:textId="511AD135" w:rsidR="008314C6" w:rsidRDefault="001162C5" w:rsidP="00E61BB0">
      <w:pPr>
        <w:spacing w:line="360" w:lineRule="auto"/>
        <w:ind w:firstLine="432"/>
        <w:rPr>
          <w:rFonts w:ascii="Times New Roman" w:hAnsi="Times New Roman" w:cs="Times New Roman"/>
          <w:color w:val="000000"/>
        </w:rPr>
      </w:pPr>
      <w:r>
        <w:rPr>
          <w:rFonts w:ascii="Times New Roman" w:hAnsi="Times New Roman" w:cs="Times New Roman"/>
          <w:color w:val="000000"/>
        </w:rPr>
        <w:t xml:space="preserve">There were concerns regarding </w:t>
      </w:r>
      <w:r w:rsidR="008314C6" w:rsidRPr="008314C6">
        <w:rPr>
          <w:rFonts w:ascii="Times New Roman" w:hAnsi="Times New Roman" w:cs="Times New Roman"/>
          <w:color w:val="000000"/>
        </w:rPr>
        <w:t>the number of patients who completed</w:t>
      </w:r>
      <w:r w:rsidR="00945E77">
        <w:rPr>
          <w:rFonts w:ascii="Times New Roman" w:hAnsi="Times New Roman" w:cs="Times New Roman"/>
          <w:color w:val="000000"/>
        </w:rPr>
        <w:t xml:space="preserve"> </w:t>
      </w:r>
      <w:proofErr w:type="spellStart"/>
      <w:r w:rsidR="00945E77">
        <w:rPr>
          <w:rFonts w:ascii="Times New Roman" w:hAnsi="Times New Roman" w:cs="Times New Roman"/>
          <w:color w:val="000000"/>
        </w:rPr>
        <w:t>HRQoL</w:t>
      </w:r>
      <w:proofErr w:type="spellEnd"/>
      <w:r w:rsidR="008314C6" w:rsidRPr="008314C6">
        <w:rPr>
          <w:rFonts w:ascii="Times New Roman" w:hAnsi="Times New Roman" w:cs="Times New Roman"/>
          <w:color w:val="000000"/>
        </w:rPr>
        <w:t xml:space="preserve"> questionnaires after treatment and </w:t>
      </w:r>
      <w:r w:rsidR="00AF5599">
        <w:rPr>
          <w:rFonts w:ascii="Times New Roman" w:hAnsi="Times New Roman" w:cs="Times New Roman"/>
          <w:color w:val="000000"/>
        </w:rPr>
        <w:t>that t</w:t>
      </w:r>
      <w:r w:rsidR="007C48A4" w:rsidRPr="008314C6">
        <w:rPr>
          <w:rFonts w:ascii="Times New Roman" w:hAnsi="Times New Roman" w:cs="Times New Roman"/>
          <w:color w:val="000000"/>
        </w:rPr>
        <w:t>he open label nature of the trial introduces potential bias for subjective endpoints.</w:t>
      </w:r>
      <w:r w:rsidR="007C48A4">
        <w:rPr>
          <w:rFonts w:ascii="Times New Roman" w:hAnsi="Times New Roman" w:cs="Times New Roman"/>
          <w:color w:val="000000"/>
        </w:rPr>
        <w:t xml:space="preserve">  </w:t>
      </w:r>
      <w:r>
        <w:rPr>
          <w:rFonts w:ascii="Times New Roman" w:hAnsi="Times New Roman" w:cs="Times New Roman"/>
          <w:color w:val="000000"/>
        </w:rPr>
        <w:t xml:space="preserve">These limitations led the ERG to conclude </w:t>
      </w:r>
      <w:r w:rsidR="008314C6" w:rsidRPr="008314C6">
        <w:rPr>
          <w:rFonts w:ascii="Times New Roman" w:hAnsi="Times New Roman" w:cs="Times New Roman"/>
          <w:color w:val="000000"/>
        </w:rPr>
        <w:t xml:space="preserve">that </w:t>
      </w:r>
      <w:r w:rsidR="0061531B">
        <w:rPr>
          <w:rFonts w:ascii="Times New Roman" w:hAnsi="Times New Roman" w:cs="Times New Roman"/>
          <w:color w:val="000000"/>
        </w:rPr>
        <w:t xml:space="preserve">the company’s </w:t>
      </w:r>
      <w:proofErr w:type="spellStart"/>
      <w:r w:rsidR="0061531B">
        <w:rPr>
          <w:rFonts w:ascii="Times New Roman" w:hAnsi="Times New Roman" w:cs="Times New Roman"/>
          <w:color w:val="000000"/>
        </w:rPr>
        <w:t>HRQoL</w:t>
      </w:r>
      <w:proofErr w:type="spellEnd"/>
      <w:r w:rsidR="0061531B">
        <w:rPr>
          <w:rFonts w:ascii="Times New Roman" w:hAnsi="Times New Roman" w:cs="Times New Roman"/>
          <w:color w:val="000000"/>
        </w:rPr>
        <w:t xml:space="preserve"> findings</w:t>
      </w:r>
      <w:r w:rsidR="008314C6" w:rsidRPr="008314C6">
        <w:rPr>
          <w:rFonts w:ascii="Times New Roman" w:hAnsi="Times New Roman" w:cs="Times New Roman"/>
          <w:color w:val="000000"/>
        </w:rPr>
        <w:t xml:space="preserve"> should be interpreted with caution.  </w:t>
      </w:r>
    </w:p>
    <w:p w14:paraId="339729AE" w14:textId="77777777" w:rsidR="007B2825" w:rsidRPr="00DD657B" w:rsidRDefault="007B2825" w:rsidP="00E61BB0">
      <w:pPr>
        <w:pStyle w:val="Heading2"/>
        <w:spacing w:line="360" w:lineRule="auto"/>
        <w:ind w:left="578" w:hanging="578"/>
        <w:rPr>
          <w:rFonts w:cs="Times New Roman"/>
        </w:rPr>
      </w:pPr>
      <w:r w:rsidRPr="00DD657B">
        <w:rPr>
          <w:rFonts w:cs="Times New Roman"/>
        </w:rPr>
        <w:t xml:space="preserve">Cost-Effectiveness Evidence </w:t>
      </w:r>
    </w:p>
    <w:p w14:paraId="0B96B360" w14:textId="69613572" w:rsidR="008A224E" w:rsidRDefault="007B2825" w:rsidP="00E61BB0">
      <w:pPr>
        <w:pStyle w:val="Heading3"/>
        <w:spacing w:after="160" w:line="360" w:lineRule="auto"/>
        <w:rPr>
          <w:rFonts w:cs="Times New Roman"/>
        </w:rPr>
      </w:pPr>
      <w:r w:rsidRPr="00DD657B">
        <w:rPr>
          <w:rFonts w:cs="Times New Roman"/>
        </w:rPr>
        <w:t xml:space="preserve">Summary of </w:t>
      </w:r>
      <w:r w:rsidR="004849BD">
        <w:rPr>
          <w:rFonts w:cs="Times New Roman"/>
        </w:rPr>
        <w:t xml:space="preserve">the </w:t>
      </w:r>
      <w:r w:rsidRPr="00DD657B">
        <w:rPr>
          <w:rFonts w:cs="Times New Roman"/>
        </w:rPr>
        <w:t xml:space="preserve">Cost-Effectiveness Evidence </w:t>
      </w:r>
    </w:p>
    <w:p w14:paraId="1A4A7A6A" w14:textId="24BDC9AA" w:rsidR="00EE6A12" w:rsidRPr="006F6BCE" w:rsidRDefault="00AF0C13" w:rsidP="007C0737">
      <w:pPr>
        <w:spacing w:line="360" w:lineRule="auto"/>
        <w:rPr>
          <w:rFonts w:ascii="Times New Roman" w:hAnsi="Times New Roman" w:cs="Times New Roman"/>
          <w:color w:val="000000"/>
        </w:rPr>
      </w:pPr>
      <w:r w:rsidRPr="00AF0C13">
        <w:rPr>
          <w:rFonts w:ascii="Times New Roman" w:hAnsi="Times New Roman" w:cs="Times New Roman"/>
        </w:rPr>
        <w:t xml:space="preserve">The company's systematic review of published evidence on the cost-effectiveness, </w:t>
      </w:r>
      <w:proofErr w:type="spellStart"/>
      <w:r w:rsidR="004E1445">
        <w:rPr>
          <w:rFonts w:ascii="Times New Roman" w:hAnsi="Times New Roman" w:cs="Times New Roman"/>
        </w:rPr>
        <w:t>HRQoL</w:t>
      </w:r>
      <w:proofErr w:type="spellEnd"/>
      <w:r w:rsidRPr="00AF0C13">
        <w:rPr>
          <w:rFonts w:ascii="Times New Roman" w:hAnsi="Times New Roman" w:cs="Times New Roman"/>
        </w:rPr>
        <w:t xml:space="preserve">, resource use and costs associated with </w:t>
      </w:r>
      <w:proofErr w:type="spellStart"/>
      <w:r w:rsidRPr="00AF0C13">
        <w:rPr>
          <w:rFonts w:ascii="Times New Roman" w:hAnsi="Times New Roman" w:cs="Times New Roman"/>
        </w:rPr>
        <w:t>inotuzumab</w:t>
      </w:r>
      <w:proofErr w:type="spellEnd"/>
      <w:r w:rsidRPr="00AF0C13">
        <w:rPr>
          <w:rFonts w:ascii="Times New Roman" w:hAnsi="Times New Roman" w:cs="Times New Roman"/>
        </w:rPr>
        <w:t xml:space="preserve"> and the treatment of R/R B cell ALL did not identify any relevant cost</w:t>
      </w:r>
      <w:r w:rsidR="00945E77">
        <w:rPr>
          <w:rFonts w:ascii="Times New Roman" w:hAnsi="Times New Roman" w:cs="Times New Roman"/>
        </w:rPr>
        <w:t>-</w:t>
      </w:r>
      <w:r w:rsidRPr="00AF0C13">
        <w:rPr>
          <w:rFonts w:ascii="Times New Roman" w:hAnsi="Times New Roman" w:cs="Times New Roman"/>
        </w:rPr>
        <w:t>effectiveness analyses.</w:t>
      </w:r>
      <w:r w:rsidR="007F2C91">
        <w:rPr>
          <w:rFonts w:ascii="Times New Roman" w:hAnsi="Times New Roman" w:cs="Times New Roman"/>
        </w:rPr>
        <w:t xml:space="preserve"> </w:t>
      </w:r>
      <w:r w:rsidR="00EE6A12">
        <w:rPr>
          <w:rFonts w:ascii="Times New Roman" w:hAnsi="Times New Roman" w:cs="Times New Roman"/>
        </w:rPr>
        <w:t>Consequently</w:t>
      </w:r>
      <w:r w:rsidR="007F2C91">
        <w:rPr>
          <w:rFonts w:ascii="Times New Roman" w:hAnsi="Times New Roman" w:cs="Times New Roman"/>
        </w:rPr>
        <w:t>, t</w:t>
      </w:r>
      <w:r>
        <w:rPr>
          <w:rFonts w:ascii="Times New Roman" w:hAnsi="Times New Roman" w:cs="Times New Roman"/>
          <w:color w:val="000000"/>
        </w:rPr>
        <w:t>he company</w:t>
      </w:r>
      <w:r w:rsidR="007F2C91">
        <w:rPr>
          <w:rFonts w:ascii="Times New Roman" w:hAnsi="Times New Roman" w:cs="Times New Roman"/>
          <w:color w:val="000000"/>
        </w:rPr>
        <w:t xml:space="preserve"> </w:t>
      </w:r>
      <w:r w:rsidR="007C48A4">
        <w:rPr>
          <w:rFonts w:ascii="Times New Roman" w:hAnsi="Times New Roman" w:cs="Times New Roman"/>
          <w:color w:val="000000"/>
        </w:rPr>
        <w:t xml:space="preserve">developed its own model to </w:t>
      </w:r>
      <w:r w:rsidR="007F2C91">
        <w:rPr>
          <w:rFonts w:ascii="Times New Roman" w:hAnsi="Times New Roman" w:cs="Times New Roman"/>
          <w:color w:val="000000"/>
        </w:rPr>
        <w:t xml:space="preserve">assess </w:t>
      </w:r>
      <w:r>
        <w:rPr>
          <w:rFonts w:ascii="Times New Roman" w:hAnsi="Times New Roman" w:cs="Times New Roman"/>
          <w:color w:val="000000"/>
        </w:rPr>
        <w:t xml:space="preserve">the </w:t>
      </w:r>
      <w:r w:rsidR="008A224E" w:rsidRPr="00AF0C13">
        <w:rPr>
          <w:rFonts w:ascii="Times New Roman" w:hAnsi="Times New Roman" w:cs="Times New Roman"/>
          <w:color w:val="000000"/>
        </w:rPr>
        <w:t>cost</w:t>
      </w:r>
      <w:r w:rsidR="00945E77">
        <w:rPr>
          <w:rFonts w:ascii="Times New Roman" w:hAnsi="Times New Roman" w:cs="Times New Roman"/>
          <w:color w:val="000000"/>
        </w:rPr>
        <w:t>-</w:t>
      </w:r>
      <w:r w:rsidR="008A224E" w:rsidRPr="00AF0C13">
        <w:rPr>
          <w:rFonts w:ascii="Times New Roman" w:hAnsi="Times New Roman" w:cs="Times New Roman"/>
          <w:color w:val="000000"/>
        </w:rPr>
        <w:t xml:space="preserve">effectiveness of </w:t>
      </w:r>
      <w:proofErr w:type="spellStart"/>
      <w:r w:rsidR="008A224E" w:rsidRPr="00AF0C13">
        <w:rPr>
          <w:rFonts w:ascii="Times New Roman" w:hAnsi="Times New Roman" w:cs="Times New Roman"/>
          <w:color w:val="000000"/>
        </w:rPr>
        <w:t>inotuzumab</w:t>
      </w:r>
      <w:proofErr w:type="spellEnd"/>
      <w:r w:rsidR="007F2C91">
        <w:rPr>
          <w:rFonts w:ascii="Times New Roman" w:hAnsi="Times New Roman" w:cs="Times New Roman"/>
          <w:color w:val="000000"/>
        </w:rPr>
        <w:t>.</w:t>
      </w:r>
      <w:r w:rsidR="00F258EA">
        <w:rPr>
          <w:rFonts w:ascii="Times New Roman" w:hAnsi="Times New Roman" w:cs="Times New Roman"/>
          <w:color w:val="000000"/>
        </w:rPr>
        <w:t xml:space="preserve"> The model was</w:t>
      </w:r>
      <w:r w:rsidR="008A224E" w:rsidRPr="00AF0C13">
        <w:rPr>
          <w:rFonts w:ascii="Times New Roman" w:hAnsi="Times New Roman" w:cs="Times New Roman"/>
          <w:color w:val="000000"/>
        </w:rPr>
        <w:t xml:space="preserve"> in the form of a decision tree combined with a partitioned survival approach</w:t>
      </w:r>
      <w:r w:rsidR="007C48A4">
        <w:rPr>
          <w:rFonts w:ascii="Times New Roman" w:hAnsi="Times New Roman" w:cs="Times New Roman"/>
          <w:color w:val="000000"/>
        </w:rPr>
        <w:t>.  The company assumed</w:t>
      </w:r>
      <w:r w:rsidR="008A224E" w:rsidRPr="00AF0C13">
        <w:rPr>
          <w:rFonts w:ascii="Times New Roman" w:hAnsi="Times New Roman" w:cs="Times New Roman"/>
          <w:color w:val="000000"/>
        </w:rPr>
        <w:t xml:space="preserve"> that patients surviving three years after receipt of HSCT would be cured</w:t>
      </w:r>
      <w:r w:rsidR="00ED1300">
        <w:rPr>
          <w:rFonts w:ascii="Times New Roman" w:hAnsi="Times New Roman" w:cs="Times New Roman"/>
          <w:color w:val="000000"/>
        </w:rPr>
        <w:t xml:space="preserve"> and return to</w:t>
      </w:r>
      <w:r w:rsidR="00211341">
        <w:rPr>
          <w:rFonts w:ascii="Times New Roman" w:hAnsi="Times New Roman" w:cs="Times New Roman"/>
          <w:color w:val="000000"/>
        </w:rPr>
        <w:t xml:space="preserve"> the mortality risk for the</w:t>
      </w:r>
      <w:r w:rsidR="00ED1300">
        <w:rPr>
          <w:rFonts w:ascii="Times New Roman" w:hAnsi="Times New Roman" w:cs="Times New Roman"/>
          <w:color w:val="000000"/>
        </w:rPr>
        <w:t xml:space="preserve"> general population</w:t>
      </w:r>
      <w:r w:rsidR="008A224E" w:rsidRPr="00AF0C13">
        <w:rPr>
          <w:rFonts w:ascii="Times New Roman" w:hAnsi="Times New Roman" w:cs="Times New Roman"/>
          <w:color w:val="000000"/>
        </w:rPr>
        <w:t xml:space="preserve">. </w:t>
      </w:r>
      <w:r>
        <w:rPr>
          <w:rFonts w:ascii="Times New Roman" w:hAnsi="Times New Roman" w:cs="Times New Roman"/>
          <w:color w:val="000000"/>
        </w:rPr>
        <w:t>T</w:t>
      </w:r>
      <w:r w:rsidRPr="00AF0C13">
        <w:rPr>
          <w:rFonts w:ascii="Times New Roman" w:hAnsi="Times New Roman" w:cs="Times New Roman"/>
          <w:color w:val="000000"/>
        </w:rPr>
        <w:t>he model split the patient population into three</w:t>
      </w:r>
      <w:r w:rsidR="0015721F">
        <w:rPr>
          <w:rFonts w:ascii="Times New Roman" w:hAnsi="Times New Roman" w:cs="Times New Roman"/>
          <w:color w:val="000000"/>
        </w:rPr>
        <w:t xml:space="preserve"> mutually exclusive</w:t>
      </w:r>
      <w:r w:rsidRPr="00AF0C13">
        <w:rPr>
          <w:rFonts w:ascii="Times New Roman" w:hAnsi="Times New Roman" w:cs="Times New Roman"/>
          <w:color w:val="000000"/>
        </w:rPr>
        <w:t xml:space="preserve"> sub</w:t>
      </w:r>
      <w:r w:rsidR="00945E77">
        <w:rPr>
          <w:rFonts w:ascii="Times New Roman" w:hAnsi="Times New Roman" w:cs="Times New Roman"/>
          <w:color w:val="000000"/>
        </w:rPr>
        <w:t>-</w:t>
      </w:r>
      <w:r w:rsidRPr="00AF0C13">
        <w:rPr>
          <w:rFonts w:ascii="Times New Roman" w:hAnsi="Times New Roman" w:cs="Times New Roman"/>
          <w:color w:val="000000"/>
        </w:rPr>
        <w:t>populations: (</w:t>
      </w:r>
      <w:proofErr w:type="spellStart"/>
      <w:r w:rsidRPr="00AF0C13">
        <w:rPr>
          <w:rFonts w:ascii="Times New Roman" w:hAnsi="Times New Roman" w:cs="Times New Roman"/>
          <w:color w:val="000000"/>
        </w:rPr>
        <w:t>i</w:t>
      </w:r>
      <w:proofErr w:type="spellEnd"/>
      <w:r w:rsidRPr="00AF0C13">
        <w:rPr>
          <w:rFonts w:ascii="Times New Roman" w:hAnsi="Times New Roman" w:cs="Times New Roman"/>
          <w:color w:val="000000"/>
        </w:rPr>
        <w:t>) No CR/</w:t>
      </w:r>
      <w:proofErr w:type="spellStart"/>
      <w:r w:rsidRPr="00AF0C13">
        <w:rPr>
          <w:rFonts w:ascii="Times New Roman" w:hAnsi="Times New Roman" w:cs="Times New Roman"/>
          <w:color w:val="000000"/>
        </w:rPr>
        <w:t>CRi</w:t>
      </w:r>
      <w:proofErr w:type="spellEnd"/>
      <w:r w:rsidRPr="00AF0C13">
        <w:rPr>
          <w:rFonts w:ascii="Times New Roman" w:hAnsi="Times New Roman" w:cs="Times New Roman"/>
          <w:color w:val="000000"/>
        </w:rPr>
        <w:t xml:space="preserve"> and no HSCT; (ii) CR/</w:t>
      </w:r>
      <w:proofErr w:type="spellStart"/>
      <w:r w:rsidRPr="00AF0C13">
        <w:rPr>
          <w:rFonts w:ascii="Times New Roman" w:hAnsi="Times New Roman" w:cs="Times New Roman"/>
          <w:color w:val="000000"/>
        </w:rPr>
        <w:t>CRi</w:t>
      </w:r>
      <w:proofErr w:type="spellEnd"/>
      <w:r w:rsidRPr="00AF0C13">
        <w:rPr>
          <w:rFonts w:ascii="Times New Roman" w:hAnsi="Times New Roman" w:cs="Times New Roman"/>
          <w:color w:val="000000"/>
        </w:rPr>
        <w:t xml:space="preserve"> and no HSCT; (iii) HSCT and post</w:t>
      </w:r>
      <w:r w:rsidR="005917AE">
        <w:rPr>
          <w:rFonts w:ascii="Times New Roman" w:hAnsi="Times New Roman" w:cs="Times New Roman"/>
          <w:color w:val="000000"/>
        </w:rPr>
        <w:t>-</w:t>
      </w:r>
      <w:r w:rsidRPr="00AF0C13">
        <w:rPr>
          <w:rFonts w:ascii="Times New Roman" w:hAnsi="Times New Roman" w:cs="Times New Roman"/>
          <w:color w:val="000000"/>
        </w:rPr>
        <w:t>HSCT.</w:t>
      </w:r>
      <w:r w:rsidR="0015721F">
        <w:rPr>
          <w:rFonts w:ascii="Times New Roman" w:hAnsi="Times New Roman" w:cs="Times New Roman"/>
          <w:color w:val="000000"/>
        </w:rPr>
        <w:t xml:space="preserve"> </w:t>
      </w:r>
      <w:r w:rsidR="0015721F" w:rsidRPr="0015721F">
        <w:rPr>
          <w:rFonts w:ascii="Times New Roman" w:hAnsi="Times New Roman" w:cs="Times New Roman"/>
          <w:color w:val="000000"/>
        </w:rPr>
        <w:t>Within each sub</w:t>
      </w:r>
      <w:r w:rsidR="00945E77">
        <w:rPr>
          <w:rFonts w:ascii="Times New Roman" w:hAnsi="Times New Roman" w:cs="Times New Roman"/>
          <w:color w:val="000000"/>
        </w:rPr>
        <w:t>-</w:t>
      </w:r>
      <w:r w:rsidR="0015721F" w:rsidRPr="0015721F">
        <w:rPr>
          <w:rFonts w:ascii="Times New Roman" w:hAnsi="Times New Roman" w:cs="Times New Roman"/>
          <w:color w:val="000000"/>
        </w:rPr>
        <w:t>population parametric survival models that included treatment as a covariate were used</w:t>
      </w:r>
      <w:r w:rsidR="007E3554">
        <w:rPr>
          <w:rFonts w:ascii="Times New Roman" w:hAnsi="Times New Roman" w:cs="Times New Roman"/>
          <w:color w:val="000000"/>
        </w:rPr>
        <w:t xml:space="preserve"> to</w:t>
      </w:r>
      <w:r w:rsidR="005D0921">
        <w:rPr>
          <w:rFonts w:ascii="Times New Roman" w:hAnsi="Times New Roman" w:cs="Times New Roman"/>
          <w:color w:val="000000"/>
        </w:rPr>
        <w:t xml:space="preserve"> extrapolate outcomes beyond the trial </w:t>
      </w:r>
      <w:r w:rsidR="00FA0B23">
        <w:rPr>
          <w:rFonts w:ascii="Times New Roman" w:hAnsi="Times New Roman" w:cs="Times New Roman"/>
          <w:color w:val="000000"/>
        </w:rPr>
        <w:t>in terms of</w:t>
      </w:r>
      <w:r w:rsidR="0015721F" w:rsidRPr="0015721F">
        <w:rPr>
          <w:rFonts w:ascii="Times New Roman" w:hAnsi="Times New Roman" w:cs="Times New Roman"/>
          <w:color w:val="000000"/>
        </w:rPr>
        <w:t xml:space="preserve"> whether they were progression-free, post progression or dead.</w:t>
      </w:r>
      <w:r w:rsidR="007C0737">
        <w:rPr>
          <w:rFonts w:ascii="Times New Roman" w:hAnsi="Times New Roman" w:cs="Times New Roman"/>
          <w:color w:val="000000"/>
        </w:rPr>
        <w:t xml:space="preserve"> </w:t>
      </w:r>
      <w:r w:rsidR="00EE6A12">
        <w:rPr>
          <w:rFonts w:ascii="Times New Roman" w:hAnsi="Times New Roman" w:cs="Times New Roman"/>
          <w:color w:val="000000"/>
        </w:rPr>
        <w:t xml:space="preserve">The model tracked the proportion of patients </w:t>
      </w:r>
      <w:r w:rsidR="006F6BCE">
        <w:rPr>
          <w:rFonts w:ascii="Times New Roman" w:hAnsi="Times New Roman" w:cs="Times New Roman"/>
          <w:color w:val="000000"/>
        </w:rPr>
        <w:t xml:space="preserve">residing </w:t>
      </w:r>
      <w:r w:rsidR="00EE6A12">
        <w:rPr>
          <w:rFonts w:ascii="Times New Roman" w:hAnsi="Times New Roman" w:cs="Times New Roman"/>
          <w:color w:val="000000"/>
        </w:rPr>
        <w:t>within each health state over time using 28</w:t>
      </w:r>
      <w:r w:rsidR="005917AE">
        <w:rPr>
          <w:rFonts w:ascii="Times New Roman" w:hAnsi="Times New Roman" w:cs="Times New Roman"/>
          <w:color w:val="000000"/>
        </w:rPr>
        <w:t>-</w:t>
      </w:r>
      <w:r w:rsidR="00EE6A12">
        <w:rPr>
          <w:rFonts w:ascii="Times New Roman" w:hAnsi="Times New Roman" w:cs="Times New Roman"/>
          <w:color w:val="000000"/>
        </w:rPr>
        <w:t>day time cycles</w:t>
      </w:r>
      <w:r w:rsidR="006F6BCE">
        <w:rPr>
          <w:rFonts w:ascii="Times New Roman" w:hAnsi="Times New Roman" w:cs="Times New Roman"/>
          <w:color w:val="000000"/>
        </w:rPr>
        <w:t xml:space="preserve">. </w:t>
      </w:r>
      <w:r w:rsidR="00555AA0">
        <w:rPr>
          <w:rFonts w:ascii="Times New Roman" w:hAnsi="Times New Roman" w:cs="Times New Roman"/>
          <w:color w:val="000000"/>
        </w:rPr>
        <w:t>T</w:t>
      </w:r>
      <w:r w:rsidR="006F6BCE" w:rsidRPr="006F6BCE">
        <w:rPr>
          <w:rFonts w:ascii="Times New Roman" w:hAnsi="Times New Roman" w:cs="Times New Roman"/>
          <w:color w:val="000000"/>
        </w:rPr>
        <w:t xml:space="preserve">unnel states were </w:t>
      </w:r>
      <w:r w:rsidR="00BC0222">
        <w:rPr>
          <w:rFonts w:ascii="Times New Roman" w:hAnsi="Times New Roman" w:cs="Times New Roman"/>
          <w:color w:val="000000"/>
        </w:rPr>
        <w:t xml:space="preserve">incorporated within the HSCT </w:t>
      </w:r>
      <w:r w:rsidR="00211341">
        <w:rPr>
          <w:rFonts w:ascii="Times New Roman" w:hAnsi="Times New Roman" w:cs="Times New Roman"/>
          <w:color w:val="000000"/>
        </w:rPr>
        <w:t>and</w:t>
      </w:r>
      <w:r w:rsidR="00BC0222">
        <w:rPr>
          <w:rFonts w:ascii="Times New Roman" w:hAnsi="Times New Roman" w:cs="Times New Roman"/>
          <w:color w:val="000000"/>
        </w:rPr>
        <w:t xml:space="preserve"> p</w:t>
      </w:r>
      <w:r w:rsidR="006F6BCE" w:rsidRPr="006F6BCE">
        <w:rPr>
          <w:rFonts w:ascii="Times New Roman" w:hAnsi="Times New Roman" w:cs="Times New Roman"/>
          <w:color w:val="000000"/>
        </w:rPr>
        <w:t xml:space="preserve">ost-HSCT </w:t>
      </w:r>
      <w:r w:rsidR="00555AA0">
        <w:rPr>
          <w:rFonts w:ascii="Times New Roman" w:hAnsi="Times New Roman" w:cs="Times New Roman"/>
          <w:color w:val="000000"/>
        </w:rPr>
        <w:t>sub</w:t>
      </w:r>
      <w:r w:rsidR="00945E77">
        <w:rPr>
          <w:rFonts w:ascii="Times New Roman" w:hAnsi="Times New Roman" w:cs="Times New Roman"/>
          <w:color w:val="000000"/>
        </w:rPr>
        <w:t>-</w:t>
      </w:r>
      <w:r w:rsidR="00555AA0">
        <w:rPr>
          <w:rFonts w:ascii="Times New Roman" w:hAnsi="Times New Roman" w:cs="Times New Roman"/>
          <w:color w:val="000000"/>
        </w:rPr>
        <w:t>population to</w:t>
      </w:r>
      <w:r w:rsidR="006F6BCE" w:rsidRPr="006F6BCE">
        <w:rPr>
          <w:rFonts w:ascii="Times New Roman" w:hAnsi="Times New Roman" w:cs="Times New Roman"/>
          <w:color w:val="000000"/>
        </w:rPr>
        <w:t xml:space="preserve"> capture the timing of HSCT.</w:t>
      </w:r>
      <w:r w:rsidR="002B0424">
        <w:rPr>
          <w:rFonts w:ascii="Times New Roman" w:hAnsi="Times New Roman" w:cs="Times New Roman"/>
          <w:color w:val="000000"/>
        </w:rPr>
        <w:t xml:space="preserve"> </w:t>
      </w:r>
      <w:r w:rsidR="006F6BCE" w:rsidRPr="006F6BCE">
        <w:rPr>
          <w:rFonts w:ascii="Times New Roman" w:hAnsi="Times New Roman" w:cs="Times New Roman"/>
          <w:color w:val="000000"/>
        </w:rPr>
        <w:t xml:space="preserve">  </w:t>
      </w:r>
    </w:p>
    <w:p w14:paraId="34E6F5A9" w14:textId="2C002814" w:rsidR="0015721F" w:rsidRDefault="0015721F" w:rsidP="00AD052D">
      <w:pPr>
        <w:spacing w:line="360" w:lineRule="auto"/>
        <w:ind w:firstLine="432"/>
        <w:rPr>
          <w:rFonts w:ascii="Times New Roman" w:hAnsi="Times New Roman" w:cs="Times New Roman"/>
          <w:color w:val="000000"/>
        </w:rPr>
      </w:pPr>
      <w:r w:rsidRPr="0015721F">
        <w:rPr>
          <w:rFonts w:ascii="Times New Roman" w:hAnsi="Times New Roman" w:cs="Times New Roman"/>
          <w:color w:val="000000"/>
        </w:rPr>
        <w:lastRenderedPageBreak/>
        <w:t xml:space="preserve">The </w:t>
      </w:r>
      <w:r w:rsidR="00555AA0">
        <w:rPr>
          <w:rFonts w:ascii="Times New Roman" w:hAnsi="Times New Roman" w:cs="Times New Roman"/>
          <w:color w:val="000000"/>
        </w:rPr>
        <w:t>survival estimates for the first three years</w:t>
      </w:r>
      <w:r w:rsidRPr="0015721F">
        <w:rPr>
          <w:rFonts w:ascii="Times New Roman" w:hAnsi="Times New Roman" w:cs="Times New Roman"/>
          <w:color w:val="000000"/>
        </w:rPr>
        <w:t>, treatment dosage and size of the sub</w:t>
      </w:r>
      <w:r w:rsidR="00945E77">
        <w:rPr>
          <w:rFonts w:ascii="Times New Roman" w:hAnsi="Times New Roman" w:cs="Times New Roman"/>
          <w:color w:val="000000"/>
        </w:rPr>
        <w:t>-</w:t>
      </w:r>
      <w:r w:rsidRPr="0015721F">
        <w:rPr>
          <w:rFonts w:ascii="Times New Roman" w:hAnsi="Times New Roman" w:cs="Times New Roman"/>
          <w:color w:val="000000"/>
        </w:rPr>
        <w:t>populations in the economic model was informed by analysis of the INO-VATE 1022 trial safety population, with the remaining inputs informed by studies identified in the cost-effectiveness review and other sources.</w:t>
      </w:r>
      <w:r w:rsidR="00E801CF">
        <w:rPr>
          <w:rFonts w:ascii="Times New Roman" w:hAnsi="Times New Roman" w:cs="Times New Roman"/>
          <w:color w:val="000000"/>
        </w:rPr>
        <w:t xml:space="preserve"> </w:t>
      </w:r>
      <w:r w:rsidR="00131B47">
        <w:rPr>
          <w:rFonts w:ascii="Times New Roman" w:hAnsi="Times New Roman" w:cs="Times New Roman"/>
          <w:color w:val="000000"/>
        </w:rPr>
        <w:t xml:space="preserve">Treatment was costed using the </w:t>
      </w:r>
      <w:r w:rsidR="00982734">
        <w:rPr>
          <w:rFonts w:ascii="Times New Roman" w:hAnsi="Times New Roman" w:cs="Times New Roman"/>
          <w:color w:val="000000"/>
        </w:rPr>
        <w:t xml:space="preserve">observed dosage and cycles </w:t>
      </w:r>
      <w:r w:rsidR="00697473">
        <w:rPr>
          <w:rFonts w:ascii="Times New Roman" w:hAnsi="Times New Roman" w:cs="Times New Roman"/>
          <w:color w:val="000000"/>
        </w:rPr>
        <w:t xml:space="preserve">administered </w:t>
      </w:r>
      <w:r w:rsidR="00982734">
        <w:rPr>
          <w:rFonts w:ascii="Times New Roman" w:hAnsi="Times New Roman" w:cs="Times New Roman"/>
          <w:color w:val="000000"/>
        </w:rPr>
        <w:t>in INO-VATE 1022</w:t>
      </w:r>
      <w:r w:rsidR="00131B47">
        <w:rPr>
          <w:rFonts w:ascii="Times New Roman" w:hAnsi="Times New Roman" w:cs="Times New Roman"/>
          <w:color w:val="000000"/>
        </w:rPr>
        <w:t xml:space="preserve">, which for </w:t>
      </w:r>
      <w:proofErr w:type="spellStart"/>
      <w:r w:rsidR="00131B47">
        <w:rPr>
          <w:rFonts w:ascii="Times New Roman" w:hAnsi="Times New Roman" w:cs="Times New Roman"/>
          <w:color w:val="000000"/>
        </w:rPr>
        <w:t>inotuzmab</w:t>
      </w:r>
      <w:proofErr w:type="spellEnd"/>
      <w:r w:rsidR="00131B47">
        <w:rPr>
          <w:rFonts w:ascii="Times New Roman" w:hAnsi="Times New Roman" w:cs="Times New Roman"/>
          <w:color w:val="000000"/>
        </w:rPr>
        <w:t xml:space="preserve"> included patients who had up to 6 cycles of treatment (mean 2.83 cycles).</w:t>
      </w:r>
      <w:r w:rsidR="00D267FF">
        <w:rPr>
          <w:rFonts w:ascii="Times New Roman" w:hAnsi="Times New Roman" w:cs="Times New Roman"/>
          <w:color w:val="000000"/>
        </w:rPr>
        <w:t xml:space="preserve"> </w:t>
      </w:r>
      <w:r w:rsidRPr="0015721F">
        <w:rPr>
          <w:rFonts w:ascii="Times New Roman" w:hAnsi="Times New Roman" w:cs="Times New Roman"/>
          <w:color w:val="000000"/>
        </w:rPr>
        <w:t xml:space="preserve">The company included </w:t>
      </w:r>
      <w:r w:rsidR="00555AA0">
        <w:rPr>
          <w:rFonts w:ascii="Times New Roman" w:hAnsi="Times New Roman" w:cs="Times New Roman"/>
          <w:color w:val="000000"/>
        </w:rPr>
        <w:t>all</w:t>
      </w:r>
      <w:r w:rsidRPr="0015721F">
        <w:rPr>
          <w:rFonts w:ascii="Times New Roman" w:hAnsi="Times New Roman" w:cs="Times New Roman"/>
          <w:color w:val="000000"/>
        </w:rPr>
        <w:t xml:space="preserve"> patients within the safety dataset that had an HSCT, regardless of remission status, the timing of the transplant and whether this was received prior to any p</w:t>
      </w:r>
      <w:r w:rsidR="00EF7B6C">
        <w:rPr>
          <w:rFonts w:ascii="Times New Roman" w:hAnsi="Times New Roman" w:cs="Times New Roman"/>
          <w:color w:val="000000"/>
        </w:rPr>
        <w:t>ost-induction therapy</w:t>
      </w:r>
      <w:r w:rsidRPr="0015721F">
        <w:rPr>
          <w:rFonts w:ascii="Times New Roman" w:hAnsi="Times New Roman" w:cs="Times New Roman"/>
          <w:color w:val="000000"/>
        </w:rPr>
        <w:t>.</w:t>
      </w:r>
      <w:r w:rsidR="00D267FF">
        <w:rPr>
          <w:rFonts w:ascii="Times New Roman" w:hAnsi="Times New Roman" w:cs="Times New Roman"/>
          <w:color w:val="000000"/>
        </w:rPr>
        <w:t xml:space="preserve"> </w:t>
      </w:r>
      <w:r w:rsidR="00F048AB">
        <w:rPr>
          <w:rFonts w:ascii="Times New Roman" w:hAnsi="Times New Roman" w:cs="Times New Roman"/>
          <w:color w:val="000000"/>
        </w:rPr>
        <w:t xml:space="preserve">In each parametric survival model a treatment covariate was applied </w:t>
      </w:r>
      <w:r w:rsidR="009E3C19">
        <w:rPr>
          <w:rFonts w:ascii="Times New Roman" w:hAnsi="Times New Roman" w:cs="Times New Roman"/>
          <w:color w:val="000000"/>
        </w:rPr>
        <w:t>t</w:t>
      </w:r>
      <w:r w:rsidR="00F048AB">
        <w:rPr>
          <w:rFonts w:ascii="Times New Roman" w:hAnsi="Times New Roman" w:cs="Times New Roman"/>
          <w:color w:val="000000"/>
        </w:rPr>
        <w:t>o</w:t>
      </w:r>
      <w:r w:rsidR="007628FE">
        <w:rPr>
          <w:rFonts w:ascii="Times New Roman" w:hAnsi="Times New Roman" w:cs="Times New Roman"/>
          <w:color w:val="000000"/>
        </w:rPr>
        <w:t xml:space="preserve"> the scale and</w:t>
      </w:r>
      <w:r w:rsidR="00E20AD9">
        <w:rPr>
          <w:rFonts w:ascii="Times New Roman" w:hAnsi="Times New Roman" w:cs="Times New Roman"/>
          <w:color w:val="000000"/>
        </w:rPr>
        <w:t xml:space="preserve"> </w:t>
      </w:r>
      <w:r w:rsidR="007628FE">
        <w:rPr>
          <w:rFonts w:ascii="Times New Roman" w:hAnsi="Times New Roman" w:cs="Times New Roman"/>
          <w:color w:val="000000"/>
        </w:rPr>
        <w:t>shape parameter</w:t>
      </w:r>
      <w:r w:rsidR="00100785">
        <w:rPr>
          <w:rFonts w:ascii="Times New Roman" w:hAnsi="Times New Roman" w:cs="Times New Roman"/>
          <w:color w:val="000000"/>
        </w:rPr>
        <w:t>s</w:t>
      </w:r>
      <w:r w:rsidR="00FA0B23">
        <w:rPr>
          <w:rFonts w:ascii="Times New Roman" w:hAnsi="Times New Roman" w:cs="Times New Roman"/>
          <w:color w:val="000000"/>
        </w:rPr>
        <w:t>,</w:t>
      </w:r>
      <w:r w:rsidR="009E3C19">
        <w:rPr>
          <w:rFonts w:ascii="Times New Roman" w:hAnsi="Times New Roman" w:cs="Times New Roman"/>
          <w:color w:val="000000"/>
        </w:rPr>
        <w:t xml:space="preserve"> with </w:t>
      </w:r>
      <w:r w:rsidR="00E20AD9">
        <w:rPr>
          <w:rFonts w:ascii="Times New Roman" w:hAnsi="Times New Roman" w:cs="Times New Roman"/>
          <w:color w:val="000000"/>
        </w:rPr>
        <w:t xml:space="preserve">the </w:t>
      </w:r>
      <w:r w:rsidR="00051A84">
        <w:rPr>
          <w:rFonts w:ascii="Times New Roman" w:hAnsi="Times New Roman" w:cs="Times New Roman"/>
          <w:color w:val="000000"/>
        </w:rPr>
        <w:t>estimated</w:t>
      </w:r>
      <w:r w:rsidR="00F048AB">
        <w:rPr>
          <w:rFonts w:ascii="Times New Roman" w:hAnsi="Times New Roman" w:cs="Times New Roman"/>
          <w:color w:val="000000"/>
        </w:rPr>
        <w:t xml:space="preserve"> </w:t>
      </w:r>
      <w:r w:rsidR="00E20AD9">
        <w:rPr>
          <w:rFonts w:ascii="Times New Roman" w:hAnsi="Times New Roman" w:cs="Times New Roman"/>
          <w:color w:val="000000"/>
        </w:rPr>
        <w:t xml:space="preserve">additional </w:t>
      </w:r>
      <w:r w:rsidR="009E3C19">
        <w:rPr>
          <w:rFonts w:ascii="Times New Roman" w:hAnsi="Times New Roman" w:cs="Times New Roman"/>
          <w:color w:val="000000"/>
        </w:rPr>
        <w:t xml:space="preserve">treatment-specific </w:t>
      </w:r>
      <w:r w:rsidR="00F048AB">
        <w:rPr>
          <w:rFonts w:ascii="Times New Roman" w:hAnsi="Times New Roman" w:cs="Times New Roman"/>
          <w:color w:val="000000"/>
        </w:rPr>
        <w:t>survival benefit</w:t>
      </w:r>
      <w:r w:rsidR="00E20AD9">
        <w:rPr>
          <w:rFonts w:ascii="Times New Roman" w:hAnsi="Times New Roman" w:cs="Times New Roman"/>
          <w:color w:val="000000"/>
        </w:rPr>
        <w:t>s</w:t>
      </w:r>
      <w:r w:rsidR="009E3C19">
        <w:rPr>
          <w:rFonts w:ascii="Times New Roman" w:hAnsi="Times New Roman" w:cs="Times New Roman"/>
          <w:color w:val="000000"/>
        </w:rPr>
        <w:t xml:space="preserve"> </w:t>
      </w:r>
      <w:r w:rsidR="00F048AB">
        <w:rPr>
          <w:rFonts w:ascii="Times New Roman" w:hAnsi="Times New Roman" w:cs="Times New Roman"/>
          <w:color w:val="000000"/>
        </w:rPr>
        <w:t>extrapolated</w:t>
      </w:r>
      <w:r w:rsidR="009E3C19">
        <w:rPr>
          <w:rFonts w:ascii="Times New Roman" w:hAnsi="Times New Roman" w:cs="Times New Roman"/>
          <w:color w:val="000000"/>
        </w:rPr>
        <w:t xml:space="preserve"> </w:t>
      </w:r>
      <w:r w:rsidR="007E3554">
        <w:rPr>
          <w:rFonts w:ascii="Times New Roman" w:hAnsi="Times New Roman" w:cs="Times New Roman"/>
          <w:color w:val="000000"/>
        </w:rPr>
        <w:t xml:space="preserve">up </w:t>
      </w:r>
      <w:r w:rsidR="00D751BA">
        <w:rPr>
          <w:rFonts w:ascii="Times New Roman" w:hAnsi="Times New Roman" w:cs="Times New Roman"/>
          <w:color w:val="000000"/>
        </w:rPr>
        <w:t>to the cure point</w:t>
      </w:r>
      <w:r w:rsidR="00F048AB">
        <w:rPr>
          <w:rFonts w:ascii="Times New Roman" w:hAnsi="Times New Roman" w:cs="Times New Roman"/>
          <w:color w:val="000000"/>
        </w:rPr>
        <w:t>.</w:t>
      </w:r>
      <w:r w:rsidR="007628FE">
        <w:rPr>
          <w:rFonts w:ascii="Times New Roman" w:hAnsi="Times New Roman" w:cs="Times New Roman"/>
          <w:color w:val="000000"/>
        </w:rPr>
        <w:t xml:space="preserve"> </w:t>
      </w:r>
      <w:r w:rsidR="007628FE" w:rsidRPr="0015721F">
        <w:rPr>
          <w:rFonts w:ascii="Times New Roman" w:hAnsi="Times New Roman" w:cs="Times New Roman"/>
          <w:color w:val="000000"/>
        </w:rPr>
        <w:t xml:space="preserve">  </w:t>
      </w:r>
    </w:p>
    <w:p w14:paraId="70F5D708" w14:textId="435B62C2" w:rsidR="0015721F" w:rsidRDefault="00555AA0" w:rsidP="00E61BB0">
      <w:pPr>
        <w:spacing w:line="360" w:lineRule="auto"/>
        <w:ind w:firstLine="432"/>
        <w:rPr>
          <w:rFonts w:ascii="Times New Roman" w:hAnsi="Times New Roman" w:cs="Times New Roman"/>
          <w:color w:val="000000"/>
        </w:rPr>
      </w:pPr>
      <w:r>
        <w:rPr>
          <w:rFonts w:ascii="Times New Roman" w:hAnsi="Times New Roman" w:cs="Times New Roman"/>
          <w:color w:val="000000"/>
        </w:rPr>
        <w:t>The company applied a</w:t>
      </w:r>
      <w:r w:rsidR="0015721F" w:rsidRPr="0015721F">
        <w:rPr>
          <w:rFonts w:ascii="Times New Roman" w:hAnsi="Times New Roman" w:cs="Times New Roman"/>
          <w:color w:val="000000"/>
        </w:rPr>
        <w:t xml:space="preserve"> discount rate of 1.5% per annum to both costs and outcomes based on </w:t>
      </w:r>
      <w:r w:rsidR="001F3ED5">
        <w:rPr>
          <w:rFonts w:ascii="Times New Roman" w:hAnsi="Times New Roman" w:cs="Times New Roman"/>
          <w:color w:val="000000"/>
        </w:rPr>
        <w:t>an</w:t>
      </w:r>
      <w:r w:rsidR="0015721F" w:rsidRPr="0015721F">
        <w:rPr>
          <w:rFonts w:ascii="Times New Roman" w:hAnsi="Times New Roman" w:cs="Times New Roman"/>
          <w:color w:val="000000"/>
        </w:rPr>
        <w:t xml:space="preserve"> assumption that HSCT can restore patients to </w:t>
      </w:r>
      <w:r w:rsidR="00DB4362">
        <w:rPr>
          <w:rFonts w:ascii="Times New Roman" w:hAnsi="Times New Roman" w:cs="Times New Roman"/>
          <w:color w:val="000000"/>
        </w:rPr>
        <w:t>‘</w:t>
      </w:r>
      <w:r w:rsidR="0015721F" w:rsidRPr="0015721F">
        <w:rPr>
          <w:rFonts w:ascii="Times New Roman" w:hAnsi="Times New Roman" w:cs="Times New Roman"/>
          <w:color w:val="000000"/>
        </w:rPr>
        <w:t>normal</w:t>
      </w:r>
      <w:r w:rsidR="00DB4362">
        <w:rPr>
          <w:rFonts w:ascii="Times New Roman" w:hAnsi="Times New Roman" w:cs="Times New Roman"/>
          <w:color w:val="000000"/>
        </w:rPr>
        <w:t>’</w:t>
      </w:r>
      <w:r w:rsidR="0015721F" w:rsidRPr="0015721F">
        <w:rPr>
          <w:rFonts w:ascii="Times New Roman" w:hAnsi="Times New Roman" w:cs="Times New Roman"/>
          <w:color w:val="000000"/>
        </w:rPr>
        <w:t xml:space="preserve"> life expectancy. </w:t>
      </w:r>
      <w:r w:rsidR="006F6BCE">
        <w:rPr>
          <w:rFonts w:ascii="Times New Roman" w:hAnsi="Times New Roman" w:cs="Times New Roman"/>
          <w:color w:val="000000"/>
        </w:rPr>
        <w:t>Costs</w:t>
      </w:r>
      <w:r w:rsidR="004F26B6">
        <w:rPr>
          <w:rFonts w:ascii="Times New Roman" w:hAnsi="Times New Roman" w:cs="Times New Roman"/>
          <w:color w:val="000000"/>
        </w:rPr>
        <w:t xml:space="preserve"> were considered from an</w:t>
      </w:r>
      <w:r w:rsidR="00C57F9D">
        <w:rPr>
          <w:rFonts w:ascii="Times New Roman" w:hAnsi="Times New Roman" w:cs="Times New Roman"/>
          <w:color w:val="000000"/>
        </w:rPr>
        <w:t xml:space="preserve"> NHS and Personal Social Services </w:t>
      </w:r>
      <w:r w:rsidR="004F26B6">
        <w:rPr>
          <w:rFonts w:ascii="Times New Roman" w:hAnsi="Times New Roman" w:cs="Times New Roman"/>
          <w:color w:val="000000"/>
        </w:rPr>
        <w:t>perspective and were based on prices from 2015 to 2016.</w:t>
      </w:r>
      <w:r w:rsidR="00E13E0C">
        <w:rPr>
          <w:rFonts w:ascii="Times New Roman" w:hAnsi="Times New Roman" w:cs="Times New Roman"/>
          <w:color w:val="000000"/>
        </w:rPr>
        <w:t xml:space="preserve"> </w:t>
      </w:r>
      <w:r w:rsidR="005363B2">
        <w:rPr>
          <w:rFonts w:ascii="Times New Roman" w:hAnsi="Times New Roman" w:cs="Times New Roman"/>
          <w:color w:val="000000"/>
        </w:rPr>
        <w:t>The economic model included c</w:t>
      </w:r>
      <w:r w:rsidR="00E13E0C">
        <w:rPr>
          <w:rFonts w:ascii="Times New Roman" w:hAnsi="Times New Roman" w:cs="Times New Roman"/>
          <w:color w:val="000000"/>
        </w:rPr>
        <w:t>osts</w:t>
      </w:r>
      <w:r w:rsidR="00760F3C">
        <w:rPr>
          <w:rFonts w:ascii="Times New Roman" w:hAnsi="Times New Roman" w:cs="Times New Roman"/>
          <w:color w:val="000000"/>
        </w:rPr>
        <w:t xml:space="preserve"> associated with</w:t>
      </w:r>
      <w:r w:rsidR="00E13E0C">
        <w:rPr>
          <w:rFonts w:ascii="Times New Roman" w:hAnsi="Times New Roman" w:cs="Times New Roman"/>
          <w:color w:val="000000"/>
        </w:rPr>
        <w:t xml:space="preserve"> treatment, HSCT procedures,</w:t>
      </w:r>
      <w:r w:rsidR="00760F3C">
        <w:rPr>
          <w:rFonts w:ascii="Times New Roman" w:hAnsi="Times New Roman" w:cs="Times New Roman"/>
          <w:color w:val="000000"/>
        </w:rPr>
        <w:t xml:space="preserve"> adverse events, inpatient and outpatient</w:t>
      </w:r>
      <w:r w:rsidR="00581FB1">
        <w:rPr>
          <w:rFonts w:ascii="Times New Roman" w:hAnsi="Times New Roman" w:cs="Times New Roman"/>
          <w:color w:val="000000"/>
        </w:rPr>
        <w:t xml:space="preserve"> </w:t>
      </w:r>
      <w:r w:rsidR="005B7763">
        <w:rPr>
          <w:rFonts w:ascii="Times New Roman" w:hAnsi="Times New Roman" w:cs="Times New Roman"/>
          <w:color w:val="000000"/>
        </w:rPr>
        <w:t xml:space="preserve">stays from </w:t>
      </w:r>
      <w:r w:rsidR="00581FB1">
        <w:rPr>
          <w:rFonts w:ascii="Times New Roman" w:hAnsi="Times New Roman" w:cs="Times New Roman"/>
          <w:color w:val="000000"/>
        </w:rPr>
        <w:t>treatment administration</w:t>
      </w:r>
      <w:r w:rsidR="005F6F84">
        <w:rPr>
          <w:rFonts w:ascii="Times New Roman" w:hAnsi="Times New Roman" w:cs="Times New Roman"/>
          <w:color w:val="000000"/>
        </w:rPr>
        <w:t>,</w:t>
      </w:r>
      <w:r w:rsidR="00760F3C">
        <w:rPr>
          <w:rFonts w:ascii="Times New Roman" w:hAnsi="Times New Roman" w:cs="Times New Roman"/>
          <w:color w:val="000000"/>
        </w:rPr>
        <w:t xml:space="preserve"> and end of life care.</w:t>
      </w:r>
      <w:r w:rsidR="00C57F9D">
        <w:rPr>
          <w:rFonts w:ascii="Times New Roman" w:hAnsi="Times New Roman" w:cs="Times New Roman"/>
          <w:color w:val="000000"/>
        </w:rPr>
        <w:t xml:space="preserve"> </w:t>
      </w:r>
      <w:r w:rsidR="004F26B6">
        <w:rPr>
          <w:rFonts w:ascii="Times New Roman" w:hAnsi="Times New Roman" w:cs="Times New Roman"/>
          <w:color w:val="000000"/>
        </w:rPr>
        <w:t>A lifetime horizon was used to estimate costs</w:t>
      </w:r>
      <w:r w:rsidR="00EF591E">
        <w:rPr>
          <w:rFonts w:ascii="Times New Roman" w:hAnsi="Times New Roman" w:cs="Times New Roman"/>
          <w:color w:val="000000"/>
        </w:rPr>
        <w:t xml:space="preserve"> and benefits and a half cycle correction was applied. </w:t>
      </w:r>
    </w:p>
    <w:p w14:paraId="083D8A77" w14:textId="5337AF35" w:rsidR="0015721F" w:rsidRDefault="0015721F" w:rsidP="00E61BB0">
      <w:pPr>
        <w:spacing w:line="360" w:lineRule="auto"/>
        <w:ind w:firstLine="432"/>
        <w:rPr>
          <w:rFonts w:ascii="Times New Roman" w:hAnsi="Times New Roman" w:cs="Times New Roman"/>
          <w:color w:val="000000"/>
        </w:rPr>
      </w:pPr>
      <w:r w:rsidRPr="0015721F">
        <w:rPr>
          <w:rFonts w:ascii="Times New Roman" w:hAnsi="Times New Roman" w:cs="Times New Roman"/>
          <w:color w:val="000000"/>
        </w:rPr>
        <w:t>The deterministic base case</w:t>
      </w:r>
      <w:r w:rsidR="000A3EDC">
        <w:rPr>
          <w:rFonts w:ascii="Times New Roman" w:hAnsi="Times New Roman" w:cs="Times New Roman"/>
          <w:color w:val="000000"/>
        </w:rPr>
        <w:t xml:space="preserve"> incremental cost-effectiveness ratio (</w:t>
      </w:r>
      <w:r w:rsidRPr="0015721F">
        <w:rPr>
          <w:rFonts w:ascii="Times New Roman" w:hAnsi="Times New Roman" w:cs="Times New Roman"/>
          <w:color w:val="000000"/>
        </w:rPr>
        <w:t>ICER</w:t>
      </w:r>
      <w:r w:rsidR="000A3EDC">
        <w:rPr>
          <w:rFonts w:ascii="Times New Roman" w:hAnsi="Times New Roman" w:cs="Times New Roman"/>
          <w:color w:val="000000"/>
        </w:rPr>
        <w:t xml:space="preserve">) for </w:t>
      </w:r>
      <w:proofErr w:type="spellStart"/>
      <w:r w:rsidR="000A3EDC">
        <w:rPr>
          <w:rFonts w:ascii="Times New Roman" w:hAnsi="Times New Roman" w:cs="Times New Roman"/>
          <w:color w:val="000000"/>
        </w:rPr>
        <w:t>inotuzumab</w:t>
      </w:r>
      <w:proofErr w:type="spellEnd"/>
      <w:r w:rsidR="000A3EDC">
        <w:rPr>
          <w:rFonts w:ascii="Times New Roman" w:hAnsi="Times New Roman" w:cs="Times New Roman"/>
          <w:color w:val="000000"/>
        </w:rPr>
        <w:t xml:space="preserve"> </w:t>
      </w:r>
      <w:r w:rsidR="000B2FDA">
        <w:rPr>
          <w:rFonts w:ascii="Times New Roman" w:hAnsi="Times New Roman" w:cs="Times New Roman"/>
          <w:color w:val="000000"/>
        </w:rPr>
        <w:t xml:space="preserve">compared to </w:t>
      </w:r>
      <w:proofErr w:type="spellStart"/>
      <w:r w:rsidR="000B2FDA">
        <w:rPr>
          <w:rFonts w:ascii="Times New Roman" w:hAnsi="Times New Roman" w:cs="Times New Roman"/>
          <w:color w:val="000000"/>
        </w:rPr>
        <w:t>SoC</w:t>
      </w:r>
      <w:proofErr w:type="spellEnd"/>
      <w:r w:rsidR="000B2FDA">
        <w:rPr>
          <w:rFonts w:ascii="Times New Roman" w:hAnsi="Times New Roman" w:cs="Times New Roman"/>
          <w:color w:val="000000"/>
        </w:rPr>
        <w:t xml:space="preserve"> </w:t>
      </w:r>
      <w:r w:rsidRPr="0015721F">
        <w:rPr>
          <w:rFonts w:ascii="Times New Roman" w:hAnsi="Times New Roman" w:cs="Times New Roman"/>
          <w:color w:val="000000"/>
        </w:rPr>
        <w:t>was £40,013</w:t>
      </w:r>
      <w:r w:rsidR="002E052D">
        <w:rPr>
          <w:rFonts w:ascii="Times New Roman" w:hAnsi="Times New Roman" w:cs="Times New Roman"/>
          <w:color w:val="000000"/>
        </w:rPr>
        <w:t xml:space="preserve"> per </w:t>
      </w:r>
      <w:r w:rsidR="00DD4DBB">
        <w:rPr>
          <w:rFonts w:ascii="Times New Roman" w:hAnsi="Times New Roman" w:cs="Times New Roman"/>
          <w:color w:val="000000"/>
        </w:rPr>
        <w:t>quality-adjusted</w:t>
      </w:r>
      <w:r w:rsidR="002E052D">
        <w:rPr>
          <w:rFonts w:ascii="Times New Roman" w:hAnsi="Times New Roman" w:cs="Times New Roman"/>
          <w:color w:val="000000"/>
        </w:rPr>
        <w:t xml:space="preserve"> life-year (</w:t>
      </w:r>
      <w:r w:rsidR="007C0902">
        <w:rPr>
          <w:rFonts w:ascii="Times New Roman" w:hAnsi="Times New Roman" w:cs="Times New Roman"/>
          <w:color w:val="000000"/>
        </w:rPr>
        <w:t>QALY</w:t>
      </w:r>
      <w:r w:rsidR="002E052D">
        <w:rPr>
          <w:rFonts w:ascii="Times New Roman" w:hAnsi="Times New Roman" w:cs="Times New Roman"/>
          <w:color w:val="000000"/>
        </w:rPr>
        <w:t>)</w:t>
      </w:r>
      <w:r w:rsidRPr="0015721F">
        <w:rPr>
          <w:rFonts w:ascii="Times New Roman" w:hAnsi="Times New Roman" w:cs="Times New Roman"/>
          <w:color w:val="000000"/>
        </w:rPr>
        <w:t xml:space="preserve">.  </w:t>
      </w:r>
      <w:proofErr w:type="spellStart"/>
      <w:r w:rsidR="00F53666">
        <w:rPr>
          <w:rFonts w:ascii="Times New Roman" w:hAnsi="Times New Roman" w:cs="Times New Roman"/>
          <w:color w:val="000000"/>
        </w:rPr>
        <w:t>Inotuzumab</w:t>
      </w:r>
      <w:proofErr w:type="spellEnd"/>
      <w:r w:rsidR="00F53666" w:rsidRPr="0015721F">
        <w:rPr>
          <w:rFonts w:ascii="Times New Roman" w:hAnsi="Times New Roman" w:cs="Times New Roman"/>
          <w:color w:val="000000"/>
        </w:rPr>
        <w:t xml:space="preserve"> </w:t>
      </w:r>
      <w:r w:rsidR="00F53666">
        <w:rPr>
          <w:rFonts w:ascii="Times New Roman" w:hAnsi="Times New Roman" w:cs="Times New Roman"/>
          <w:color w:val="000000"/>
        </w:rPr>
        <w:t>was estimated to provide</w:t>
      </w:r>
      <w:r w:rsidR="00F53666" w:rsidRPr="005C237C">
        <w:rPr>
          <w:rFonts w:ascii="Times New Roman" w:hAnsi="Times New Roman" w:cs="Times New Roman"/>
          <w:color w:val="000000"/>
        </w:rPr>
        <w:t xml:space="preserve"> an additional 5.2 life years and </w:t>
      </w:r>
      <w:r w:rsidR="00F53666">
        <w:rPr>
          <w:rFonts w:ascii="Times New Roman" w:hAnsi="Times New Roman" w:cs="Times New Roman"/>
          <w:color w:val="000000"/>
        </w:rPr>
        <w:t>2.2</w:t>
      </w:r>
      <w:r w:rsidR="00F53666" w:rsidRPr="005C237C">
        <w:rPr>
          <w:rFonts w:ascii="Times New Roman" w:hAnsi="Times New Roman" w:cs="Times New Roman"/>
          <w:color w:val="000000"/>
        </w:rPr>
        <w:t xml:space="preserve"> quality</w:t>
      </w:r>
      <w:r w:rsidR="00F53666">
        <w:rPr>
          <w:rFonts w:ascii="Times New Roman" w:hAnsi="Times New Roman" w:cs="Times New Roman"/>
          <w:color w:val="000000"/>
        </w:rPr>
        <w:t>-</w:t>
      </w:r>
      <w:r w:rsidR="00F53666" w:rsidRPr="005C237C">
        <w:rPr>
          <w:rFonts w:ascii="Times New Roman" w:hAnsi="Times New Roman" w:cs="Times New Roman"/>
          <w:color w:val="000000"/>
        </w:rPr>
        <w:t>adjusted life years (QALYs)</w:t>
      </w:r>
      <w:r w:rsidR="00F53666">
        <w:rPr>
          <w:rFonts w:ascii="Times New Roman" w:hAnsi="Times New Roman" w:cs="Times New Roman"/>
          <w:color w:val="000000"/>
        </w:rPr>
        <w:t>, with t</w:t>
      </w:r>
      <w:r w:rsidR="00F53666" w:rsidRPr="0015721F">
        <w:rPr>
          <w:rFonts w:ascii="Times New Roman" w:hAnsi="Times New Roman" w:cs="Times New Roman"/>
          <w:color w:val="000000"/>
        </w:rPr>
        <w:t>he majority of the QALY gain conferred within the H</w:t>
      </w:r>
      <w:r w:rsidR="00F53666">
        <w:rPr>
          <w:rFonts w:ascii="Times New Roman" w:hAnsi="Times New Roman" w:cs="Times New Roman"/>
          <w:color w:val="000000"/>
        </w:rPr>
        <w:t>SCT and</w:t>
      </w:r>
      <w:r w:rsidR="00F53666" w:rsidRPr="0015721F">
        <w:rPr>
          <w:rFonts w:ascii="Times New Roman" w:hAnsi="Times New Roman" w:cs="Times New Roman"/>
          <w:color w:val="000000"/>
        </w:rPr>
        <w:t xml:space="preserve"> </w:t>
      </w:r>
      <w:r w:rsidR="00F53666">
        <w:rPr>
          <w:rFonts w:ascii="Times New Roman" w:hAnsi="Times New Roman" w:cs="Times New Roman"/>
          <w:color w:val="000000"/>
        </w:rPr>
        <w:t>p</w:t>
      </w:r>
      <w:r w:rsidR="00F53666" w:rsidRPr="0015721F">
        <w:rPr>
          <w:rFonts w:ascii="Times New Roman" w:hAnsi="Times New Roman" w:cs="Times New Roman"/>
          <w:color w:val="000000"/>
        </w:rPr>
        <w:t>ost</w:t>
      </w:r>
      <w:r w:rsidR="00F53666">
        <w:rPr>
          <w:rFonts w:ascii="Times New Roman" w:hAnsi="Times New Roman" w:cs="Times New Roman"/>
          <w:color w:val="000000"/>
        </w:rPr>
        <w:t>-</w:t>
      </w:r>
      <w:r w:rsidR="00F53666" w:rsidRPr="0015721F">
        <w:rPr>
          <w:rFonts w:ascii="Times New Roman" w:hAnsi="Times New Roman" w:cs="Times New Roman"/>
          <w:color w:val="000000"/>
        </w:rPr>
        <w:t>HSCT sub</w:t>
      </w:r>
      <w:r w:rsidR="00F53666">
        <w:rPr>
          <w:rFonts w:ascii="Times New Roman" w:hAnsi="Times New Roman" w:cs="Times New Roman"/>
          <w:color w:val="000000"/>
        </w:rPr>
        <w:t>-</w:t>
      </w:r>
      <w:r w:rsidR="00F53666" w:rsidRPr="0015721F">
        <w:rPr>
          <w:rFonts w:ascii="Times New Roman" w:hAnsi="Times New Roman" w:cs="Times New Roman"/>
          <w:color w:val="000000"/>
        </w:rPr>
        <w:t>population</w:t>
      </w:r>
      <w:r w:rsidR="00F53666">
        <w:rPr>
          <w:rFonts w:ascii="Times New Roman" w:hAnsi="Times New Roman" w:cs="Times New Roman"/>
          <w:color w:val="000000"/>
        </w:rPr>
        <w:t xml:space="preserve">. </w:t>
      </w:r>
      <w:r w:rsidRPr="0015721F">
        <w:rPr>
          <w:rFonts w:ascii="Times New Roman" w:hAnsi="Times New Roman" w:cs="Times New Roman"/>
          <w:color w:val="000000"/>
        </w:rPr>
        <w:t>Using a discount rate of 3.5% on costs and health outcomes, the deterministi</w:t>
      </w:r>
      <w:r w:rsidR="007D1C06">
        <w:rPr>
          <w:rFonts w:ascii="Times New Roman" w:hAnsi="Times New Roman" w:cs="Times New Roman"/>
          <w:color w:val="000000"/>
        </w:rPr>
        <w:t>c base case ICER was £55,869/</w:t>
      </w:r>
      <w:r w:rsidRPr="0015721F">
        <w:rPr>
          <w:rFonts w:ascii="Times New Roman" w:hAnsi="Times New Roman" w:cs="Times New Roman"/>
          <w:color w:val="000000"/>
        </w:rPr>
        <w:t>QALY</w:t>
      </w:r>
      <w:proofErr w:type="gramStart"/>
      <w:r w:rsidRPr="0015721F">
        <w:rPr>
          <w:rFonts w:ascii="Times New Roman" w:hAnsi="Times New Roman" w:cs="Times New Roman"/>
          <w:color w:val="000000"/>
        </w:rPr>
        <w:t>..</w:t>
      </w:r>
      <w:proofErr w:type="gramEnd"/>
      <w:r w:rsidRPr="0015721F">
        <w:rPr>
          <w:rFonts w:ascii="Times New Roman" w:hAnsi="Times New Roman" w:cs="Times New Roman"/>
          <w:color w:val="000000"/>
        </w:rPr>
        <w:t xml:space="preserve">  The company reported that the most influential parameters in one way sensitivity analys</w:t>
      </w:r>
      <w:r w:rsidR="00595BAF">
        <w:rPr>
          <w:rFonts w:ascii="Times New Roman" w:hAnsi="Times New Roman" w:cs="Times New Roman"/>
          <w:color w:val="000000"/>
        </w:rPr>
        <w:t>e</w:t>
      </w:r>
      <w:r w:rsidRPr="0015721F">
        <w:rPr>
          <w:rFonts w:ascii="Times New Roman" w:hAnsi="Times New Roman" w:cs="Times New Roman"/>
          <w:color w:val="000000"/>
        </w:rPr>
        <w:t xml:space="preserve">s </w:t>
      </w:r>
      <w:r w:rsidR="00595BAF">
        <w:rPr>
          <w:rFonts w:ascii="Times New Roman" w:hAnsi="Times New Roman" w:cs="Times New Roman"/>
          <w:color w:val="000000"/>
        </w:rPr>
        <w:t>were</w:t>
      </w:r>
      <w:r w:rsidRPr="0015721F">
        <w:rPr>
          <w:rFonts w:ascii="Times New Roman" w:hAnsi="Times New Roman" w:cs="Times New Roman"/>
          <w:color w:val="000000"/>
        </w:rPr>
        <w:t xml:space="preserve"> the cost of </w:t>
      </w:r>
      <w:r w:rsidR="007C0737">
        <w:rPr>
          <w:rFonts w:ascii="Times New Roman" w:hAnsi="Times New Roman" w:cs="Times New Roman"/>
          <w:color w:val="000000"/>
        </w:rPr>
        <w:t>HSCT</w:t>
      </w:r>
      <w:r w:rsidRPr="0015721F">
        <w:rPr>
          <w:rFonts w:ascii="Times New Roman" w:hAnsi="Times New Roman" w:cs="Times New Roman"/>
          <w:color w:val="000000"/>
        </w:rPr>
        <w:t xml:space="preserve">, the cost and usage of </w:t>
      </w:r>
      <w:proofErr w:type="spellStart"/>
      <w:r w:rsidRPr="0015721F">
        <w:rPr>
          <w:rFonts w:ascii="Times New Roman" w:hAnsi="Times New Roman" w:cs="Times New Roman"/>
          <w:color w:val="000000"/>
        </w:rPr>
        <w:t>blinatumomab</w:t>
      </w:r>
      <w:proofErr w:type="spellEnd"/>
      <w:r w:rsidRPr="0015721F">
        <w:rPr>
          <w:rFonts w:ascii="Times New Roman" w:hAnsi="Times New Roman" w:cs="Times New Roman"/>
          <w:color w:val="000000"/>
        </w:rPr>
        <w:t xml:space="preserve"> subsequent to </w:t>
      </w:r>
      <w:proofErr w:type="spellStart"/>
      <w:r w:rsidR="007C0737">
        <w:rPr>
          <w:rFonts w:ascii="Times New Roman" w:hAnsi="Times New Roman" w:cs="Times New Roman"/>
          <w:color w:val="000000"/>
        </w:rPr>
        <w:t>SoC</w:t>
      </w:r>
      <w:proofErr w:type="spellEnd"/>
      <w:r w:rsidRPr="0015721F">
        <w:rPr>
          <w:rFonts w:ascii="Times New Roman" w:hAnsi="Times New Roman" w:cs="Times New Roman"/>
          <w:color w:val="000000"/>
        </w:rPr>
        <w:t xml:space="preserve">, the </w:t>
      </w:r>
      <w:proofErr w:type="spellStart"/>
      <w:r w:rsidR="00555AA0">
        <w:rPr>
          <w:rFonts w:ascii="Times New Roman" w:hAnsi="Times New Roman" w:cs="Times New Roman"/>
          <w:color w:val="000000"/>
        </w:rPr>
        <w:t>HRQoL</w:t>
      </w:r>
      <w:proofErr w:type="spellEnd"/>
      <w:r w:rsidRPr="0015721F">
        <w:rPr>
          <w:rFonts w:ascii="Times New Roman" w:hAnsi="Times New Roman" w:cs="Times New Roman"/>
          <w:color w:val="000000"/>
        </w:rPr>
        <w:t xml:space="preserve"> values associated with progressed disease</w:t>
      </w:r>
      <w:r w:rsidR="006F74EF">
        <w:rPr>
          <w:rFonts w:ascii="Times New Roman" w:hAnsi="Times New Roman" w:cs="Times New Roman"/>
          <w:color w:val="000000"/>
        </w:rPr>
        <w:t>,</w:t>
      </w:r>
      <w:r w:rsidRPr="0015721F">
        <w:rPr>
          <w:rFonts w:ascii="Times New Roman" w:hAnsi="Times New Roman" w:cs="Times New Roman"/>
          <w:color w:val="000000"/>
        </w:rPr>
        <w:t xml:space="preserve"> and the </w:t>
      </w:r>
      <w:proofErr w:type="spellStart"/>
      <w:r w:rsidR="00555AA0">
        <w:rPr>
          <w:rFonts w:ascii="Times New Roman" w:hAnsi="Times New Roman" w:cs="Times New Roman"/>
          <w:color w:val="000000"/>
        </w:rPr>
        <w:t>HRQoL</w:t>
      </w:r>
      <w:proofErr w:type="spellEnd"/>
      <w:r w:rsidRPr="0015721F">
        <w:rPr>
          <w:rFonts w:ascii="Times New Roman" w:hAnsi="Times New Roman" w:cs="Times New Roman"/>
          <w:color w:val="000000"/>
        </w:rPr>
        <w:t xml:space="preserve"> values assigned more than five years after HSCT.</w:t>
      </w:r>
    </w:p>
    <w:p w14:paraId="6E1C1382" w14:textId="025934A5" w:rsidR="007B2825" w:rsidRDefault="007B2825" w:rsidP="00E61BB0">
      <w:pPr>
        <w:pStyle w:val="Heading3"/>
        <w:spacing w:after="160" w:line="360" w:lineRule="auto"/>
        <w:rPr>
          <w:rFonts w:cs="Times New Roman"/>
        </w:rPr>
      </w:pPr>
      <w:r w:rsidRPr="00DD657B">
        <w:rPr>
          <w:rFonts w:cs="Times New Roman"/>
        </w:rPr>
        <w:t>Critique of</w:t>
      </w:r>
      <w:r w:rsidR="004849BD">
        <w:rPr>
          <w:rFonts w:cs="Times New Roman"/>
        </w:rPr>
        <w:t xml:space="preserve"> the</w:t>
      </w:r>
      <w:r w:rsidRPr="00DD657B">
        <w:rPr>
          <w:rFonts w:cs="Times New Roman"/>
        </w:rPr>
        <w:t xml:space="preserve"> Cost-Effectiveness Evidence</w:t>
      </w:r>
    </w:p>
    <w:p w14:paraId="4003C1F7" w14:textId="6C05594B" w:rsidR="001372C5" w:rsidRPr="00BB1471" w:rsidRDefault="00122A26" w:rsidP="00E845AF">
      <w:pPr>
        <w:spacing w:line="360" w:lineRule="auto"/>
        <w:rPr>
          <w:rFonts w:ascii="Times New Roman" w:hAnsi="Times New Roman" w:cs="Times New Roman"/>
        </w:rPr>
      </w:pPr>
      <w:r w:rsidRPr="003E0E8B">
        <w:rPr>
          <w:rFonts w:ascii="Times New Roman" w:hAnsi="Times New Roman" w:cs="Times New Roman"/>
        </w:rPr>
        <w:t>The ERG’s critical appraisal of the company’s cost-effectiveness evidenc</w:t>
      </w:r>
      <w:r w:rsidR="00BB1471">
        <w:rPr>
          <w:rFonts w:ascii="Times New Roman" w:hAnsi="Times New Roman" w:cs="Times New Roman"/>
        </w:rPr>
        <w:t>e identified a number of issues.</w:t>
      </w:r>
      <w:r w:rsidRPr="003E0E8B">
        <w:rPr>
          <w:rFonts w:ascii="Times New Roman" w:hAnsi="Times New Roman" w:cs="Times New Roman"/>
        </w:rPr>
        <w:t xml:space="preserve"> </w:t>
      </w:r>
      <w:r w:rsidR="008276D5" w:rsidRPr="00FD26E3">
        <w:rPr>
          <w:rFonts w:ascii="Times New Roman" w:hAnsi="Times New Roman" w:cs="Times New Roman"/>
          <w:color w:val="000000"/>
        </w:rPr>
        <w:t xml:space="preserve">The ERG felt that splitting the INO-VATE 1022 trial into three </w:t>
      </w:r>
      <w:r w:rsidR="002E052D">
        <w:rPr>
          <w:rFonts w:ascii="Times New Roman" w:hAnsi="Times New Roman" w:cs="Times New Roman"/>
          <w:color w:val="000000"/>
        </w:rPr>
        <w:t xml:space="preserve">post-hoc </w:t>
      </w:r>
      <w:r w:rsidR="008276D5" w:rsidRPr="00FD26E3">
        <w:rPr>
          <w:rFonts w:ascii="Times New Roman" w:hAnsi="Times New Roman" w:cs="Times New Roman"/>
          <w:color w:val="000000"/>
        </w:rPr>
        <w:t>sub</w:t>
      </w:r>
      <w:r w:rsidR="00945E77">
        <w:rPr>
          <w:rFonts w:ascii="Times New Roman" w:hAnsi="Times New Roman" w:cs="Times New Roman"/>
          <w:color w:val="000000"/>
        </w:rPr>
        <w:t>-</w:t>
      </w:r>
      <w:r w:rsidR="008276D5" w:rsidRPr="00FD26E3">
        <w:rPr>
          <w:rFonts w:ascii="Times New Roman" w:hAnsi="Times New Roman" w:cs="Times New Roman"/>
          <w:color w:val="000000"/>
        </w:rPr>
        <w:t xml:space="preserve">populations and fitting multiple parametric survival models that incorporated treatment effects </w:t>
      </w:r>
      <w:r w:rsidR="00E845AF" w:rsidRPr="00FD26E3">
        <w:rPr>
          <w:rFonts w:ascii="Times New Roman" w:hAnsi="Times New Roman" w:cs="Times New Roman"/>
          <w:color w:val="000000"/>
        </w:rPr>
        <w:t>on both the shape and the</w:t>
      </w:r>
      <w:r w:rsidR="008276D5" w:rsidRPr="00FD26E3">
        <w:rPr>
          <w:rFonts w:ascii="Times New Roman" w:hAnsi="Times New Roman" w:cs="Times New Roman"/>
          <w:color w:val="000000"/>
        </w:rPr>
        <w:t xml:space="preserve"> scale of the hazard was overly complex.  </w:t>
      </w:r>
      <w:r w:rsidR="00555AA0">
        <w:rPr>
          <w:rFonts w:ascii="Times New Roman" w:hAnsi="Times New Roman" w:cs="Times New Roman"/>
          <w:color w:val="000000"/>
        </w:rPr>
        <w:t>T</w:t>
      </w:r>
      <w:r w:rsidR="008276D5" w:rsidRPr="00FD26E3">
        <w:rPr>
          <w:rFonts w:ascii="Times New Roman" w:hAnsi="Times New Roman" w:cs="Times New Roman"/>
          <w:color w:val="000000"/>
        </w:rPr>
        <w:t xml:space="preserve">he parametric models fit to the HSCT </w:t>
      </w:r>
      <w:r w:rsidR="00295108">
        <w:rPr>
          <w:rFonts w:ascii="Times New Roman" w:hAnsi="Times New Roman" w:cs="Times New Roman"/>
          <w:color w:val="000000"/>
        </w:rPr>
        <w:t>and p</w:t>
      </w:r>
      <w:r w:rsidR="008276D5" w:rsidRPr="00FD26E3">
        <w:rPr>
          <w:rFonts w:ascii="Times New Roman" w:hAnsi="Times New Roman" w:cs="Times New Roman"/>
          <w:color w:val="000000"/>
        </w:rPr>
        <w:t>ost</w:t>
      </w:r>
      <w:r w:rsidR="005917AE">
        <w:rPr>
          <w:rFonts w:ascii="Times New Roman" w:hAnsi="Times New Roman" w:cs="Times New Roman"/>
          <w:color w:val="000000"/>
        </w:rPr>
        <w:t>-</w:t>
      </w:r>
      <w:r w:rsidR="008276D5" w:rsidRPr="00FD26E3">
        <w:rPr>
          <w:rFonts w:ascii="Times New Roman" w:hAnsi="Times New Roman" w:cs="Times New Roman"/>
          <w:color w:val="000000"/>
        </w:rPr>
        <w:t>HSCT sub</w:t>
      </w:r>
      <w:r w:rsidR="00945E77">
        <w:rPr>
          <w:rFonts w:ascii="Times New Roman" w:hAnsi="Times New Roman" w:cs="Times New Roman"/>
          <w:color w:val="000000"/>
        </w:rPr>
        <w:t>-</w:t>
      </w:r>
      <w:r w:rsidR="008276D5" w:rsidRPr="00FD26E3">
        <w:rPr>
          <w:rFonts w:ascii="Times New Roman" w:hAnsi="Times New Roman" w:cs="Times New Roman"/>
          <w:color w:val="000000"/>
        </w:rPr>
        <w:t xml:space="preserve">population </w:t>
      </w:r>
      <w:r w:rsidR="006A4810">
        <w:rPr>
          <w:rFonts w:ascii="Times New Roman" w:hAnsi="Times New Roman" w:cs="Times New Roman"/>
          <w:color w:val="000000"/>
        </w:rPr>
        <w:t>constituted a non-randomised comparison and</w:t>
      </w:r>
      <w:r w:rsidR="00100785" w:rsidRPr="00100785">
        <w:rPr>
          <w:rFonts w:ascii="Times New Roman" w:hAnsi="Times New Roman" w:cs="Times New Roman"/>
          <w:color w:val="000000"/>
        </w:rPr>
        <w:t xml:space="preserve"> </w:t>
      </w:r>
      <w:r w:rsidR="008276D5" w:rsidRPr="00FD26E3">
        <w:rPr>
          <w:rFonts w:ascii="Times New Roman" w:hAnsi="Times New Roman" w:cs="Times New Roman"/>
          <w:color w:val="000000"/>
        </w:rPr>
        <w:t>did not provide a suitable basis for extrapolation</w:t>
      </w:r>
      <w:r w:rsidR="006A4810">
        <w:rPr>
          <w:rFonts w:ascii="Times New Roman" w:hAnsi="Times New Roman" w:cs="Times New Roman"/>
          <w:color w:val="000000"/>
        </w:rPr>
        <w:t>.</w:t>
      </w:r>
      <w:r w:rsidR="00D57D0F">
        <w:rPr>
          <w:rFonts w:ascii="Times New Roman" w:hAnsi="Times New Roman" w:cs="Times New Roman"/>
          <w:color w:val="000000"/>
        </w:rPr>
        <w:t xml:space="preserve"> </w:t>
      </w:r>
      <w:r w:rsidR="006A4810">
        <w:rPr>
          <w:rFonts w:ascii="Times New Roman" w:hAnsi="Times New Roman" w:cs="Times New Roman"/>
          <w:color w:val="000000"/>
        </w:rPr>
        <w:t>T</w:t>
      </w:r>
      <w:r w:rsidR="00D57D0F">
        <w:rPr>
          <w:rFonts w:ascii="Times New Roman" w:hAnsi="Times New Roman" w:cs="Times New Roman"/>
          <w:color w:val="000000"/>
        </w:rPr>
        <w:t xml:space="preserve">he imposition of a cure point at three years was required to prevent clinically implausible estimates for </w:t>
      </w:r>
      <w:proofErr w:type="spellStart"/>
      <w:r w:rsidR="00D57D0F">
        <w:rPr>
          <w:rFonts w:ascii="Times New Roman" w:hAnsi="Times New Roman" w:cs="Times New Roman"/>
          <w:color w:val="000000"/>
        </w:rPr>
        <w:t>SoC</w:t>
      </w:r>
      <w:r w:rsidR="00555AA0">
        <w:rPr>
          <w:rFonts w:ascii="Times New Roman" w:hAnsi="Times New Roman" w:cs="Times New Roman"/>
          <w:color w:val="000000"/>
        </w:rPr>
        <w:t>.</w:t>
      </w:r>
      <w:proofErr w:type="spellEnd"/>
      <w:r w:rsidR="00555AA0">
        <w:rPr>
          <w:rFonts w:ascii="Times New Roman" w:hAnsi="Times New Roman" w:cs="Times New Roman"/>
          <w:color w:val="000000"/>
        </w:rPr>
        <w:t xml:space="preserve">  The</w:t>
      </w:r>
      <w:r w:rsidR="007158C2">
        <w:rPr>
          <w:rFonts w:ascii="Times New Roman" w:hAnsi="Times New Roman" w:cs="Times New Roman"/>
          <w:color w:val="000000"/>
        </w:rPr>
        <w:t xml:space="preserve"> </w:t>
      </w:r>
      <w:r w:rsidR="001372C5" w:rsidRPr="00FD26E3">
        <w:rPr>
          <w:rFonts w:ascii="Times New Roman" w:hAnsi="Times New Roman" w:cs="Times New Roman"/>
          <w:color w:val="000000"/>
        </w:rPr>
        <w:t>shapes of the hazard functions suggest</w:t>
      </w:r>
      <w:r w:rsidR="00555AA0">
        <w:rPr>
          <w:rFonts w:ascii="Times New Roman" w:hAnsi="Times New Roman" w:cs="Times New Roman"/>
          <w:color w:val="000000"/>
        </w:rPr>
        <w:t>ed</w:t>
      </w:r>
      <w:r w:rsidR="001372C5" w:rsidRPr="00FD26E3">
        <w:rPr>
          <w:rFonts w:ascii="Times New Roman" w:hAnsi="Times New Roman" w:cs="Times New Roman"/>
          <w:color w:val="000000"/>
        </w:rPr>
        <w:t xml:space="preserve"> that HSCT can only be potentially curative (i.e. the hazard declines over time to 0) for patients who have been treated with </w:t>
      </w:r>
      <w:proofErr w:type="spellStart"/>
      <w:r w:rsidR="001372C5" w:rsidRPr="00FD26E3">
        <w:rPr>
          <w:rFonts w:ascii="Times New Roman" w:hAnsi="Times New Roman" w:cs="Times New Roman"/>
          <w:color w:val="000000"/>
        </w:rPr>
        <w:t>inotuzumab</w:t>
      </w:r>
      <w:proofErr w:type="spellEnd"/>
      <w:r w:rsidR="001372C5" w:rsidRPr="00FD26E3">
        <w:rPr>
          <w:rFonts w:ascii="Times New Roman" w:hAnsi="Times New Roman" w:cs="Times New Roman"/>
          <w:color w:val="000000"/>
        </w:rPr>
        <w:t xml:space="preserve"> but not </w:t>
      </w:r>
      <w:proofErr w:type="spellStart"/>
      <w:r w:rsidR="001372C5" w:rsidRPr="00FD26E3">
        <w:rPr>
          <w:rFonts w:ascii="Times New Roman" w:hAnsi="Times New Roman" w:cs="Times New Roman"/>
          <w:color w:val="000000"/>
        </w:rPr>
        <w:t>SoC</w:t>
      </w:r>
      <w:r w:rsidR="00EF1049">
        <w:rPr>
          <w:rFonts w:ascii="Times New Roman" w:hAnsi="Times New Roman" w:cs="Times New Roman"/>
          <w:color w:val="000000"/>
        </w:rPr>
        <w:t>.</w:t>
      </w:r>
      <w:proofErr w:type="spellEnd"/>
      <w:r w:rsidR="00100785">
        <w:rPr>
          <w:rFonts w:ascii="Times New Roman" w:hAnsi="Times New Roman" w:cs="Times New Roman"/>
          <w:color w:val="000000"/>
        </w:rPr>
        <w:t xml:space="preserve"> Th</w:t>
      </w:r>
      <w:r w:rsidR="00926D82">
        <w:rPr>
          <w:rFonts w:ascii="Times New Roman" w:hAnsi="Times New Roman" w:cs="Times New Roman"/>
          <w:color w:val="000000"/>
        </w:rPr>
        <w:t>is</w:t>
      </w:r>
      <w:r w:rsidR="00100785">
        <w:rPr>
          <w:rFonts w:ascii="Times New Roman" w:hAnsi="Times New Roman" w:cs="Times New Roman"/>
          <w:color w:val="000000"/>
        </w:rPr>
        <w:t xml:space="preserve"> </w:t>
      </w:r>
      <w:r w:rsidR="00926D82">
        <w:rPr>
          <w:rFonts w:ascii="Times New Roman" w:hAnsi="Times New Roman" w:cs="Times New Roman"/>
          <w:color w:val="000000"/>
        </w:rPr>
        <w:t>relationship</w:t>
      </w:r>
      <w:r w:rsidR="00100785">
        <w:rPr>
          <w:rFonts w:ascii="Times New Roman" w:hAnsi="Times New Roman" w:cs="Times New Roman"/>
          <w:color w:val="000000"/>
        </w:rPr>
        <w:t xml:space="preserve"> </w:t>
      </w:r>
      <w:r w:rsidR="00926D82">
        <w:rPr>
          <w:rFonts w:ascii="Times New Roman" w:hAnsi="Times New Roman" w:cs="Times New Roman"/>
          <w:color w:val="000000"/>
        </w:rPr>
        <w:t>and</w:t>
      </w:r>
      <w:r w:rsidR="00100785">
        <w:rPr>
          <w:rFonts w:ascii="Times New Roman" w:hAnsi="Times New Roman" w:cs="Times New Roman"/>
          <w:color w:val="000000"/>
        </w:rPr>
        <w:t xml:space="preserve"> the</w:t>
      </w:r>
      <w:r w:rsidR="00926D82">
        <w:rPr>
          <w:rFonts w:ascii="Times New Roman" w:hAnsi="Times New Roman" w:cs="Times New Roman"/>
          <w:color w:val="000000"/>
        </w:rPr>
        <w:t xml:space="preserve"> associated</w:t>
      </w:r>
      <w:r w:rsidR="00100785">
        <w:rPr>
          <w:rFonts w:ascii="Times New Roman" w:hAnsi="Times New Roman" w:cs="Times New Roman"/>
          <w:color w:val="000000"/>
        </w:rPr>
        <w:t xml:space="preserve"> predicted survival estimates</w:t>
      </w:r>
      <w:r w:rsidR="00926D82">
        <w:rPr>
          <w:rFonts w:ascii="Times New Roman" w:hAnsi="Times New Roman" w:cs="Times New Roman"/>
          <w:color w:val="000000"/>
        </w:rPr>
        <w:t xml:space="preserve"> was in conflict with the existing epidemiological evidence which showed hazards decreasing with time and </w:t>
      </w:r>
      <w:r w:rsidR="00926D82">
        <w:rPr>
          <w:rFonts w:ascii="Times New Roman" w:hAnsi="Times New Roman" w:cs="Times New Roman"/>
          <w:color w:val="000000"/>
        </w:rPr>
        <w:lastRenderedPageBreak/>
        <w:t xml:space="preserve">overall survival rates higher than those predicted for </w:t>
      </w:r>
      <w:proofErr w:type="spellStart"/>
      <w:r w:rsidR="00926D82">
        <w:rPr>
          <w:rFonts w:ascii="Times New Roman" w:hAnsi="Times New Roman" w:cs="Times New Roman"/>
          <w:color w:val="000000"/>
        </w:rPr>
        <w:t>SoC</w:t>
      </w:r>
      <w:proofErr w:type="spellEnd"/>
      <w:r w:rsidR="0006339D">
        <w:rPr>
          <w:rFonts w:ascii="Times New Roman" w:hAnsi="Times New Roman" w:cs="Times New Roman"/>
          <w:color w:val="000000"/>
        </w:rPr>
        <w:t xml:space="preserve"> </w:t>
      </w:r>
      <w:r w:rsidR="0006339D">
        <w:rPr>
          <w:rFonts w:ascii="Times New Roman" w:hAnsi="Times New Roman" w:cs="Times New Roman"/>
          <w:color w:val="000000"/>
        </w:rPr>
        <w:fldChar w:fldCharType="begin"/>
      </w:r>
      <w:r w:rsidR="005F15F8">
        <w:rPr>
          <w:rFonts w:ascii="Times New Roman" w:hAnsi="Times New Roman" w:cs="Times New Roman"/>
          <w:color w:val="000000"/>
        </w:rPr>
        <w:instrText xml:space="preserve"> ADDIN EN.CITE &lt;EndNote&gt;&lt;Cite&gt;&lt;Author&gt;Kantarjian&lt;/Author&gt;&lt;Year&gt;2016&lt;/Year&gt;&lt;RecNum&gt;5&lt;/RecNum&gt;&lt;DisplayText&gt;[13]&lt;/DisplayText&gt;&lt;record&gt;&lt;rec-number&gt;5&lt;/rec-number&gt;&lt;foreign-keys&gt;&lt;key app="EN" db-id="9f090dpxqtedprezvanxwdxlwv2d9d9dp2rs" timestamp="0"&gt;5&lt;/key&gt;&lt;/foreign-keys&gt;&lt;ref-type name="Journal Article"&gt;17&lt;/ref-type&gt;&lt;contributors&gt;&lt;authors&gt;&lt;author&gt;Kantarjian, H M&lt;/author&gt;&lt;author&gt;DeAngelo, D J&lt;/author&gt;&lt;author&gt;Stelljes, M&lt;/author&gt;&lt;author&gt;Martinelli, G&lt;/author&gt;&lt;author&gt;Liedtke, M&lt;/author&gt;&lt;author&gt;Stock, W&lt;/author&gt;&lt;author&gt;Gokbuget, N&lt;/author&gt;&lt;author&gt;O&amp;apos;Brien, S&lt;/author&gt;&lt;author&gt;Wang, K&lt;/author&gt;&lt;author&gt;Wang, T&lt;/author&gt;&lt;author&gt;Paccagnella, L&lt;/author&gt;&lt;author&gt;Sleight, B&lt;/author&gt;&lt;author&gt;Vandendries, E&lt;/author&gt;&lt;author&gt;Advani, A S&lt;/author&gt;&lt;/authors&gt;&lt;/contributors&gt;&lt;titles&gt;&lt;title&gt;Inotuzumab ozogamicin versus standard therapy for acute lymphoblastic leukemia&lt;/title&gt;&lt;secondary-title&gt;New England Journal of Medicine&lt;/secondary-title&gt;&lt;/titles&gt;&lt;pages&gt;740-53&lt;/pages&gt;&lt;volume&gt;375&lt;/volume&gt;&lt;number&gt;8&lt;/number&gt;&lt;dates&gt;&lt;year&gt;2016&lt;/year&gt;&lt;/dates&gt;&lt;urls&gt;&lt;/urls&gt;&lt;/record&gt;&lt;/Cite&gt;&lt;/EndNote&gt;</w:instrText>
      </w:r>
      <w:r w:rsidR="0006339D">
        <w:rPr>
          <w:rFonts w:ascii="Times New Roman" w:hAnsi="Times New Roman" w:cs="Times New Roman"/>
          <w:color w:val="000000"/>
        </w:rPr>
        <w:fldChar w:fldCharType="separate"/>
      </w:r>
      <w:r w:rsidR="005F15F8">
        <w:rPr>
          <w:rFonts w:ascii="Times New Roman" w:hAnsi="Times New Roman" w:cs="Times New Roman"/>
          <w:noProof/>
          <w:color w:val="000000"/>
        </w:rPr>
        <w:t>[13]</w:t>
      </w:r>
      <w:r w:rsidR="0006339D">
        <w:rPr>
          <w:rFonts w:ascii="Times New Roman" w:hAnsi="Times New Roman" w:cs="Times New Roman"/>
          <w:color w:val="000000"/>
        </w:rPr>
        <w:fldChar w:fldCharType="end"/>
      </w:r>
      <w:r w:rsidR="00926D82">
        <w:rPr>
          <w:rFonts w:ascii="Times New Roman" w:hAnsi="Times New Roman" w:cs="Times New Roman"/>
          <w:color w:val="000000"/>
        </w:rPr>
        <w:t>.</w:t>
      </w:r>
      <w:r w:rsidR="00100785">
        <w:rPr>
          <w:rFonts w:ascii="Times New Roman" w:hAnsi="Times New Roman" w:cs="Times New Roman"/>
          <w:color w:val="000000"/>
        </w:rPr>
        <w:t xml:space="preserve"> </w:t>
      </w:r>
      <w:r w:rsidR="00E845AF">
        <w:rPr>
          <w:rFonts w:ascii="Times New Roman" w:hAnsi="Times New Roman" w:cs="Times New Roman"/>
          <w:color w:val="000000"/>
        </w:rPr>
        <w:t>T</w:t>
      </w:r>
      <w:r w:rsidR="00EF1049">
        <w:rPr>
          <w:rFonts w:ascii="Times New Roman" w:hAnsi="Times New Roman" w:cs="Times New Roman"/>
        </w:rPr>
        <w:t>he</w:t>
      </w:r>
      <w:r w:rsidR="00E845AF">
        <w:rPr>
          <w:rFonts w:ascii="Times New Roman" w:hAnsi="Times New Roman" w:cs="Times New Roman"/>
        </w:rPr>
        <w:t xml:space="preserve"> ERG was concerned with the</w:t>
      </w:r>
      <w:r w:rsidR="0009420B">
        <w:rPr>
          <w:rFonts w:ascii="Times New Roman" w:hAnsi="Times New Roman" w:cs="Times New Roman"/>
        </w:rPr>
        <w:t xml:space="preserve"> lack of robust evidence supporting</w:t>
      </w:r>
      <w:r w:rsidR="00977FFB" w:rsidRPr="00BB1471">
        <w:rPr>
          <w:rFonts w:ascii="Times New Roman" w:hAnsi="Times New Roman" w:cs="Times New Roman"/>
        </w:rPr>
        <w:t xml:space="preserve"> </w:t>
      </w:r>
      <w:r w:rsidR="0066480F">
        <w:rPr>
          <w:rFonts w:ascii="Times New Roman" w:hAnsi="Times New Roman" w:cs="Times New Roman"/>
        </w:rPr>
        <w:t>the</w:t>
      </w:r>
      <w:r w:rsidR="0009420B">
        <w:rPr>
          <w:rFonts w:ascii="Times New Roman" w:hAnsi="Times New Roman" w:cs="Times New Roman"/>
        </w:rPr>
        <w:t xml:space="preserve"> </w:t>
      </w:r>
      <w:r w:rsidR="00977FFB" w:rsidRPr="00BB1471">
        <w:rPr>
          <w:rFonts w:ascii="Times New Roman" w:hAnsi="Times New Roman" w:cs="Times New Roman"/>
        </w:rPr>
        <w:t xml:space="preserve">additional survival benefit from </w:t>
      </w:r>
      <w:proofErr w:type="spellStart"/>
      <w:r w:rsidR="00977FFB" w:rsidRPr="00BB1471">
        <w:rPr>
          <w:rFonts w:ascii="Times New Roman" w:hAnsi="Times New Roman" w:cs="Times New Roman"/>
        </w:rPr>
        <w:t>inotuzumab</w:t>
      </w:r>
      <w:proofErr w:type="spellEnd"/>
      <w:r w:rsidR="00977FFB" w:rsidRPr="00BB1471">
        <w:rPr>
          <w:rFonts w:ascii="Times New Roman" w:hAnsi="Times New Roman" w:cs="Times New Roman"/>
        </w:rPr>
        <w:t xml:space="preserve"> </w:t>
      </w:r>
      <w:r w:rsidR="0066480F">
        <w:rPr>
          <w:rFonts w:ascii="Times New Roman" w:hAnsi="Times New Roman" w:cs="Times New Roman"/>
        </w:rPr>
        <w:t xml:space="preserve">incorporated into the model </w:t>
      </w:r>
      <w:r w:rsidR="00977FFB" w:rsidRPr="00BB1471">
        <w:rPr>
          <w:rFonts w:ascii="Times New Roman" w:hAnsi="Times New Roman" w:cs="Times New Roman"/>
        </w:rPr>
        <w:t>after receipt of HSCT</w:t>
      </w:r>
      <w:r w:rsidR="00E845AF">
        <w:rPr>
          <w:rFonts w:ascii="Times New Roman" w:hAnsi="Times New Roman" w:cs="Times New Roman"/>
        </w:rPr>
        <w:t>.</w:t>
      </w:r>
      <w:r w:rsidR="00EF1049">
        <w:rPr>
          <w:rFonts w:ascii="Times New Roman" w:hAnsi="Times New Roman" w:cs="Times New Roman"/>
        </w:rPr>
        <w:t xml:space="preserve"> </w:t>
      </w:r>
      <w:r w:rsidR="001372C5" w:rsidRPr="00BB1471">
        <w:rPr>
          <w:rFonts w:ascii="Times New Roman" w:hAnsi="Times New Roman" w:cs="Times New Roman"/>
        </w:rPr>
        <w:t>The company included an exploratory analysis in which post</w:t>
      </w:r>
      <w:r w:rsidR="005917AE">
        <w:rPr>
          <w:rFonts w:ascii="Times New Roman" w:hAnsi="Times New Roman" w:cs="Times New Roman"/>
        </w:rPr>
        <w:t>-</w:t>
      </w:r>
      <w:r w:rsidR="001372C5" w:rsidRPr="00BB1471">
        <w:rPr>
          <w:rFonts w:ascii="Times New Roman" w:hAnsi="Times New Roman" w:cs="Times New Roman"/>
        </w:rPr>
        <w:t>HSCT survival was informed by MRD status</w:t>
      </w:r>
      <w:r w:rsidR="00222F37" w:rsidRPr="00222F37">
        <w:t xml:space="preserve"> </w:t>
      </w:r>
      <w:r w:rsidR="00222F37" w:rsidRPr="00222F37">
        <w:rPr>
          <w:rFonts w:ascii="Times New Roman" w:hAnsi="Times New Roman" w:cs="Times New Roman"/>
        </w:rPr>
        <w:t>with treatment specific rates of MRD negativity among patients achieving remission in INO-VATE 1022</w:t>
      </w:r>
      <w:r w:rsidR="001372C5" w:rsidRPr="00BB1471">
        <w:rPr>
          <w:rFonts w:ascii="Times New Roman" w:hAnsi="Times New Roman" w:cs="Times New Roman"/>
        </w:rPr>
        <w:t xml:space="preserve">.  The ERG thought that, while highly uncertain, this was potentially more clinically plausible and with better external validity compared to the company base case.  </w:t>
      </w:r>
    </w:p>
    <w:p w14:paraId="1BD9A503" w14:textId="3564EA22" w:rsidR="00BB1471" w:rsidRPr="00BB1471" w:rsidRDefault="00D57D0F" w:rsidP="00E61BB0">
      <w:pPr>
        <w:spacing w:line="360" w:lineRule="auto"/>
        <w:ind w:firstLine="432"/>
        <w:rPr>
          <w:rFonts w:ascii="Times New Roman" w:hAnsi="Times New Roman" w:cs="Times New Roman"/>
        </w:rPr>
      </w:pPr>
      <w:r>
        <w:rPr>
          <w:rFonts w:ascii="Times New Roman" w:hAnsi="Times New Roman" w:cs="Times New Roman"/>
        </w:rPr>
        <w:t>T</w:t>
      </w:r>
      <w:r w:rsidR="00BB1471" w:rsidRPr="00BB1471">
        <w:rPr>
          <w:rFonts w:ascii="Times New Roman" w:hAnsi="Times New Roman" w:cs="Times New Roman"/>
        </w:rPr>
        <w:t>he ERG noted that there was no structural link in the company model between remission outcomes and HSCT</w:t>
      </w:r>
      <w:r w:rsidR="00EA65BF">
        <w:rPr>
          <w:rFonts w:ascii="Times New Roman" w:hAnsi="Times New Roman" w:cs="Times New Roman"/>
        </w:rPr>
        <w:t xml:space="preserve">. </w:t>
      </w:r>
      <w:r w:rsidR="00BB1471" w:rsidRPr="00BB1471">
        <w:rPr>
          <w:rFonts w:ascii="Times New Roman" w:hAnsi="Times New Roman" w:cs="Times New Roman"/>
        </w:rPr>
        <w:t xml:space="preserve">The lack of </w:t>
      </w:r>
      <w:r w:rsidR="0027496F">
        <w:rPr>
          <w:rFonts w:ascii="Times New Roman" w:hAnsi="Times New Roman" w:cs="Times New Roman"/>
        </w:rPr>
        <w:t xml:space="preserve">a </w:t>
      </w:r>
      <w:r w:rsidR="00BB1471" w:rsidRPr="00BB1471">
        <w:rPr>
          <w:rFonts w:ascii="Times New Roman" w:hAnsi="Times New Roman" w:cs="Times New Roman"/>
        </w:rPr>
        <w:t xml:space="preserve">structural link </w:t>
      </w:r>
      <w:r>
        <w:rPr>
          <w:rFonts w:ascii="Times New Roman" w:hAnsi="Times New Roman" w:cs="Times New Roman"/>
        </w:rPr>
        <w:t xml:space="preserve">did not reflect the role of </w:t>
      </w:r>
      <w:proofErr w:type="spellStart"/>
      <w:r>
        <w:rPr>
          <w:rFonts w:ascii="Times New Roman" w:hAnsi="Times New Roman" w:cs="Times New Roman"/>
        </w:rPr>
        <w:t>inotuzumab</w:t>
      </w:r>
      <w:proofErr w:type="spellEnd"/>
      <w:r>
        <w:rPr>
          <w:rFonts w:ascii="Times New Roman" w:hAnsi="Times New Roman" w:cs="Times New Roman"/>
        </w:rPr>
        <w:t xml:space="preserve"> as</w:t>
      </w:r>
      <w:r w:rsidR="0055406F">
        <w:rPr>
          <w:rFonts w:ascii="Times New Roman" w:hAnsi="Times New Roman" w:cs="Times New Roman"/>
        </w:rPr>
        <w:t xml:space="preserve"> a</w:t>
      </w:r>
      <w:r>
        <w:rPr>
          <w:rFonts w:ascii="Times New Roman" w:hAnsi="Times New Roman" w:cs="Times New Roman"/>
        </w:rPr>
        <w:t xml:space="preserve"> bridge therapy and </w:t>
      </w:r>
      <w:r w:rsidR="00BB1471" w:rsidRPr="00BB1471">
        <w:rPr>
          <w:rFonts w:ascii="Times New Roman" w:hAnsi="Times New Roman" w:cs="Times New Roman"/>
        </w:rPr>
        <w:t>prevented subgroup analysis around patient characteristics that can influence the rate of HSCT.</w:t>
      </w:r>
    </w:p>
    <w:p w14:paraId="0AFB0C23" w14:textId="43706880" w:rsidR="00AB4805" w:rsidRDefault="00C37044" w:rsidP="00E61BB0">
      <w:pPr>
        <w:spacing w:line="360" w:lineRule="auto"/>
        <w:ind w:firstLine="432"/>
        <w:rPr>
          <w:rFonts w:ascii="Times New Roman" w:hAnsi="Times New Roman" w:cs="Times New Roman"/>
        </w:rPr>
      </w:pPr>
      <w:r>
        <w:rPr>
          <w:rFonts w:ascii="Times New Roman" w:hAnsi="Times New Roman" w:cs="Times New Roman"/>
        </w:rPr>
        <w:t>T</w:t>
      </w:r>
      <w:r w:rsidR="00BB1471" w:rsidRPr="00BB1471">
        <w:rPr>
          <w:rFonts w:ascii="Times New Roman" w:hAnsi="Times New Roman" w:cs="Times New Roman"/>
        </w:rPr>
        <w:t xml:space="preserve">he company </w:t>
      </w:r>
      <w:r>
        <w:rPr>
          <w:rFonts w:ascii="Times New Roman" w:hAnsi="Times New Roman" w:cs="Times New Roman"/>
        </w:rPr>
        <w:t xml:space="preserve">had </w:t>
      </w:r>
      <w:r w:rsidR="00BB1471" w:rsidRPr="00BB1471">
        <w:rPr>
          <w:rFonts w:ascii="Times New Roman" w:hAnsi="Times New Roman" w:cs="Times New Roman"/>
        </w:rPr>
        <w:t xml:space="preserve">made </w:t>
      </w:r>
      <w:r w:rsidR="0075774A">
        <w:rPr>
          <w:rFonts w:ascii="Times New Roman" w:hAnsi="Times New Roman" w:cs="Times New Roman"/>
        </w:rPr>
        <w:t xml:space="preserve">a </w:t>
      </w:r>
      <w:r w:rsidR="00BB1471" w:rsidRPr="00BB1471">
        <w:rPr>
          <w:rFonts w:ascii="Times New Roman" w:hAnsi="Times New Roman" w:cs="Times New Roman"/>
        </w:rPr>
        <w:t xml:space="preserve">significant effort to source relevant estimates of </w:t>
      </w:r>
      <w:proofErr w:type="spellStart"/>
      <w:r w:rsidR="004E1445">
        <w:rPr>
          <w:rFonts w:ascii="Times New Roman" w:hAnsi="Times New Roman" w:cs="Times New Roman"/>
        </w:rPr>
        <w:t>HRQoL</w:t>
      </w:r>
      <w:proofErr w:type="spellEnd"/>
      <w:r w:rsidR="00BB1471" w:rsidRPr="00BB1471">
        <w:rPr>
          <w:rFonts w:ascii="Times New Roman" w:hAnsi="Times New Roman" w:cs="Times New Roman"/>
        </w:rPr>
        <w:t xml:space="preserve">. </w:t>
      </w:r>
      <w:r w:rsidR="00CE26F4">
        <w:rPr>
          <w:rFonts w:ascii="Times New Roman" w:hAnsi="Times New Roman" w:cs="Times New Roman"/>
        </w:rPr>
        <w:t xml:space="preserve">The ERG considered </w:t>
      </w:r>
      <w:r w:rsidR="00863352">
        <w:rPr>
          <w:rFonts w:ascii="Times New Roman" w:hAnsi="Times New Roman" w:cs="Times New Roman"/>
        </w:rPr>
        <w:t xml:space="preserve">that </w:t>
      </w:r>
      <w:r w:rsidR="00CE26F4">
        <w:rPr>
          <w:rFonts w:ascii="Times New Roman" w:hAnsi="Times New Roman" w:cs="Times New Roman"/>
        </w:rPr>
        <w:t>the u</w:t>
      </w:r>
      <w:r w:rsidR="00904669" w:rsidRPr="00904669">
        <w:rPr>
          <w:rFonts w:ascii="Times New Roman" w:hAnsi="Times New Roman" w:cs="Times New Roman"/>
        </w:rPr>
        <w:t>tility values</w:t>
      </w:r>
      <w:r w:rsidR="00CE26F4">
        <w:rPr>
          <w:rFonts w:ascii="Times New Roman" w:hAnsi="Times New Roman" w:cs="Times New Roman"/>
        </w:rPr>
        <w:t xml:space="preserve"> derived from INO-VATE</w:t>
      </w:r>
      <w:r w:rsidR="00222F37">
        <w:rPr>
          <w:rFonts w:ascii="Times New Roman" w:hAnsi="Times New Roman" w:cs="Times New Roman"/>
        </w:rPr>
        <w:t xml:space="preserve"> 1022</w:t>
      </w:r>
      <w:r w:rsidR="00CE26F4">
        <w:rPr>
          <w:rFonts w:ascii="Times New Roman" w:hAnsi="Times New Roman" w:cs="Times New Roman"/>
        </w:rPr>
        <w:t xml:space="preserve"> and those taken from the literature</w:t>
      </w:r>
      <w:r w:rsidR="00135C64">
        <w:rPr>
          <w:rFonts w:ascii="Times New Roman" w:hAnsi="Times New Roman" w:cs="Times New Roman"/>
        </w:rPr>
        <w:t xml:space="preserve"> constituted the best available evidence.</w:t>
      </w:r>
      <w:r w:rsidR="008C1443">
        <w:rPr>
          <w:rFonts w:ascii="Times New Roman" w:hAnsi="Times New Roman" w:cs="Times New Roman"/>
        </w:rPr>
        <w:t xml:space="preserve"> </w:t>
      </w:r>
      <w:proofErr w:type="spellStart"/>
      <w:r w:rsidR="00135C64">
        <w:rPr>
          <w:rFonts w:ascii="Times New Roman" w:hAnsi="Times New Roman" w:cs="Times New Roman"/>
        </w:rPr>
        <w:t>HRQoL</w:t>
      </w:r>
      <w:proofErr w:type="spellEnd"/>
      <w:r w:rsidR="00135C64">
        <w:rPr>
          <w:rFonts w:ascii="Times New Roman" w:hAnsi="Times New Roman" w:cs="Times New Roman"/>
        </w:rPr>
        <w:t xml:space="preserve"> values </w:t>
      </w:r>
      <w:r w:rsidR="007010ED">
        <w:rPr>
          <w:rFonts w:ascii="Times New Roman" w:hAnsi="Times New Roman" w:cs="Times New Roman"/>
        </w:rPr>
        <w:t>wer</w:t>
      </w:r>
      <w:r w:rsidR="00135C64">
        <w:rPr>
          <w:rFonts w:ascii="Times New Roman" w:hAnsi="Times New Roman" w:cs="Times New Roman"/>
        </w:rPr>
        <w:t>e particularly low in cases of progression (0.3) or VOD (0.208).</w:t>
      </w:r>
      <w:r w:rsidR="00CE26F4">
        <w:rPr>
          <w:rFonts w:ascii="Times New Roman" w:hAnsi="Times New Roman" w:cs="Times New Roman"/>
        </w:rPr>
        <w:t xml:space="preserve"> </w:t>
      </w:r>
      <w:r>
        <w:rPr>
          <w:rFonts w:ascii="Times New Roman" w:hAnsi="Times New Roman" w:cs="Times New Roman"/>
        </w:rPr>
        <w:t>T</w:t>
      </w:r>
      <w:r w:rsidR="00BB1471" w:rsidRPr="00BB1471">
        <w:rPr>
          <w:rFonts w:ascii="Times New Roman" w:hAnsi="Times New Roman" w:cs="Times New Roman"/>
        </w:rPr>
        <w:t>here was</w:t>
      </w:r>
      <w:r w:rsidR="00135C64">
        <w:rPr>
          <w:rFonts w:ascii="Times New Roman" w:hAnsi="Times New Roman" w:cs="Times New Roman"/>
        </w:rPr>
        <w:t xml:space="preserve"> however</w:t>
      </w:r>
      <w:r w:rsidR="00BB1471" w:rsidRPr="00BB1471">
        <w:rPr>
          <w:rFonts w:ascii="Times New Roman" w:hAnsi="Times New Roman" w:cs="Times New Roman"/>
        </w:rPr>
        <w:t xml:space="preserve"> some inconsistency between the cure assumption </w:t>
      </w:r>
      <w:r w:rsidR="00362F71">
        <w:rPr>
          <w:rFonts w:ascii="Times New Roman" w:hAnsi="Times New Roman" w:cs="Times New Roman"/>
        </w:rPr>
        <w:t xml:space="preserve">and the epidemiological data </w:t>
      </w:r>
      <w:r w:rsidR="006A4810">
        <w:rPr>
          <w:rFonts w:ascii="Times New Roman" w:hAnsi="Times New Roman" w:cs="Times New Roman"/>
        </w:rPr>
        <w:t>on</w:t>
      </w:r>
      <w:r w:rsidR="008C1443">
        <w:rPr>
          <w:rFonts w:ascii="Times New Roman" w:hAnsi="Times New Roman" w:cs="Times New Roman"/>
        </w:rPr>
        <w:t xml:space="preserve"> long term survival post-HSCT</w:t>
      </w:r>
      <w:r w:rsidR="001F177B">
        <w:rPr>
          <w:rFonts w:ascii="Times New Roman" w:hAnsi="Times New Roman" w:cs="Times New Roman"/>
        </w:rPr>
        <w:t xml:space="preserve"> </w:t>
      </w:r>
      <w:r w:rsidR="00362F71">
        <w:rPr>
          <w:rFonts w:ascii="Times New Roman" w:hAnsi="Times New Roman" w:cs="Times New Roman"/>
        </w:rPr>
        <w:t>which indicates</w:t>
      </w:r>
      <w:r w:rsidR="00362F71" w:rsidRPr="00362F71">
        <w:rPr>
          <w:rFonts w:ascii="Times New Roman" w:hAnsi="Times New Roman" w:cs="Times New Roman"/>
        </w:rPr>
        <w:t xml:space="preserve"> that </w:t>
      </w:r>
      <w:r w:rsidR="00863352">
        <w:rPr>
          <w:rFonts w:ascii="Times New Roman" w:hAnsi="Times New Roman" w:cs="Times New Roman"/>
        </w:rPr>
        <w:t xml:space="preserve">progression-free </w:t>
      </w:r>
      <w:r w:rsidR="008C1443">
        <w:rPr>
          <w:rFonts w:ascii="Times New Roman" w:hAnsi="Times New Roman" w:cs="Times New Roman"/>
        </w:rPr>
        <w:t xml:space="preserve">patients </w:t>
      </w:r>
      <w:r w:rsidR="00362F71" w:rsidRPr="00362F71">
        <w:rPr>
          <w:rFonts w:ascii="Times New Roman" w:hAnsi="Times New Roman" w:cs="Times New Roman"/>
        </w:rPr>
        <w:t>continue to experience higher morbidity for a sustained period relative to the general population</w:t>
      </w:r>
      <w:r w:rsidR="00654923">
        <w:rPr>
          <w:rFonts w:ascii="Times New Roman" w:hAnsi="Times New Roman" w:cs="Times New Roman"/>
        </w:rPr>
        <w:t xml:space="preserve"> </w:t>
      </w:r>
      <w:r w:rsidR="00654923">
        <w:rPr>
          <w:rFonts w:ascii="Times New Roman" w:hAnsi="Times New Roman" w:cs="Times New Roman"/>
        </w:rPr>
        <w:fldChar w:fldCharType="begin"/>
      </w:r>
      <w:r w:rsidR="005F15F8">
        <w:rPr>
          <w:rFonts w:ascii="Times New Roman" w:hAnsi="Times New Roman" w:cs="Times New Roman"/>
        </w:rPr>
        <w:instrText xml:space="preserve"> ADDIN EN.CITE &lt;EndNote&gt;&lt;Cite&gt;&lt;Author&gt;Kurosawa&lt;/Author&gt;&lt;Year&gt;2016&lt;/Year&gt;&lt;RecNum&gt;14&lt;/RecNum&gt;&lt;DisplayText&gt;[18]&lt;/DisplayText&gt;&lt;record&gt;&lt;rec-number&gt;14&lt;/rec-number&gt;&lt;foreign-keys&gt;&lt;key app="EN" db-id="9f090dpxqtedprezvanxwdxlwv2d9d9dp2rs" timestamp="0"&gt;14&lt;/key&gt;&lt;/foreign-keys&gt;&lt;ref-type name="Journal Article"&gt;17&lt;/ref-type&gt;&lt;contributors&gt;&lt;authors&gt;&lt;author&gt;Kurosawa, Saiko&lt;/author&gt;&lt;author&gt;Yamaguchi, Hiroki&lt;/author&gt;&lt;author&gt;Yamaguchi, Takuhiro&lt;/author&gt;&lt;author&gt;Fukunaga, Keiko&lt;/author&gt;&lt;author&gt;Yui, Shunsuke&lt;/author&gt;&lt;author&gt;Wakita, Satoshi&lt;/author&gt;&lt;author&gt;Kanamori, Heiwa&lt;/author&gt;&lt;author&gt;Usuki, Kensuke&lt;/author&gt;&lt;author&gt;Uoshima, Nobuhiko&lt;/author&gt;&lt;author&gt;Yanada, Masamitsu&lt;/author&gt;&lt;author&gt;Shono, Katsuhiro&lt;/author&gt;&lt;author&gt;Ueki, Toshimitsu&lt;/author&gt;&lt;author&gt;Mizuno, Ishikazu&lt;/author&gt;&lt;author&gt;Yano, Shingo&lt;/author&gt;&lt;author&gt;Takeuchi, Jin&lt;/author&gt;&lt;author&gt;Kanda, Junya&lt;/author&gt;&lt;author&gt;Okamura, Hiroshi&lt;/author&gt;&lt;author&gt;Inamoto, Yoshihiro&lt;/author&gt;&lt;author&gt;Inokuchi, Koiti&lt;/author&gt;&lt;author&gt;Fukuda, Takahiro&lt;/author&gt;&lt;/authors&gt;&lt;/contributors&gt;&lt;titles&gt;&lt;title&gt;Decision analysis of postremission therapy in cytogenetically intermediate-risk acute myeloid leukemia: the impact of FLT3 internal tandem duplication, nucleophosmin, and CCAAT/enhancer binding protein alpha&lt;/title&gt;&lt;secondary-title&gt;Biology of Blood and Marrow Transplantation&lt;/secondary-title&gt;&lt;/titles&gt;&lt;pages&gt;1125-1132&lt;/pages&gt;&lt;volume&gt;22&lt;/volume&gt;&lt;number&gt;6&lt;/number&gt;&lt;keywords&gt;&lt;keyword&gt;Acute myeloid leukemia&lt;/keyword&gt;&lt;keyword&gt;Hematopoietic cell transplantation&lt;/keyword&gt;&lt;keyword&gt;Decision analysis&lt;/keyword&gt;&lt;keyword&gt;Quality of life&lt;/keyword&gt;&lt;/keywords&gt;&lt;dates&gt;&lt;year&gt;2016&lt;/year&gt;&lt;/dates&gt;&lt;isbn&gt;1083-8791&lt;/isbn&gt;&lt;urls&gt;&lt;/urls&gt;&lt;electronic-resource-num&gt;&lt;style face="underline" font="default" size="100%"&gt;http://dx.doi.org/10.1016/j.bbmt.2016.03.015&lt;/style&gt;&lt;/electronic-resource-num&gt;&lt;research-notes&gt;&lt;style face="underline" font="default" size="100%"&gt;http://www.sciencedirect.com/science/article/pii/S1083879116001646&lt;/style&gt;&lt;/research-notes&gt;&lt;/record&gt;&lt;/Cite&gt;&lt;/EndNote&gt;</w:instrText>
      </w:r>
      <w:r w:rsidR="00654923">
        <w:rPr>
          <w:rFonts w:ascii="Times New Roman" w:hAnsi="Times New Roman" w:cs="Times New Roman"/>
        </w:rPr>
        <w:fldChar w:fldCharType="separate"/>
      </w:r>
      <w:r w:rsidR="005F15F8">
        <w:rPr>
          <w:rFonts w:ascii="Times New Roman" w:hAnsi="Times New Roman" w:cs="Times New Roman"/>
          <w:noProof/>
        </w:rPr>
        <w:t>[18]</w:t>
      </w:r>
      <w:r w:rsidR="00654923">
        <w:rPr>
          <w:rFonts w:ascii="Times New Roman" w:hAnsi="Times New Roman" w:cs="Times New Roman"/>
        </w:rPr>
        <w:fldChar w:fldCharType="end"/>
      </w:r>
      <w:r w:rsidR="00362F71" w:rsidRPr="00362F71">
        <w:rPr>
          <w:rFonts w:ascii="Times New Roman" w:hAnsi="Times New Roman" w:cs="Times New Roman"/>
        </w:rPr>
        <w:t>.</w:t>
      </w:r>
      <w:r w:rsidR="00222F37">
        <w:rPr>
          <w:rFonts w:ascii="Times New Roman" w:hAnsi="Times New Roman" w:cs="Times New Roman"/>
        </w:rPr>
        <w:t xml:space="preserve"> </w:t>
      </w:r>
      <w:r w:rsidR="00BF7B01">
        <w:rPr>
          <w:rFonts w:ascii="Times New Roman" w:hAnsi="Times New Roman" w:cs="Times New Roman"/>
        </w:rPr>
        <w:t>T</w:t>
      </w:r>
      <w:r w:rsidR="00222F37">
        <w:rPr>
          <w:rFonts w:ascii="Times New Roman" w:hAnsi="Times New Roman" w:cs="Times New Roman"/>
        </w:rPr>
        <w:t>he ERG considered</w:t>
      </w:r>
      <w:r w:rsidR="001C65E4">
        <w:rPr>
          <w:rFonts w:ascii="Times New Roman" w:hAnsi="Times New Roman" w:cs="Times New Roman"/>
        </w:rPr>
        <w:t xml:space="preserve"> </w:t>
      </w:r>
      <w:r w:rsidR="00222F37">
        <w:rPr>
          <w:rFonts w:ascii="Times New Roman" w:hAnsi="Times New Roman" w:cs="Times New Roman"/>
        </w:rPr>
        <w:t>utilities</w:t>
      </w:r>
      <w:r w:rsidR="00A41A30">
        <w:rPr>
          <w:rFonts w:ascii="Times New Roman" w:hAnsi="Times New Roman" w:cs="Times New Roman"/>
        </w:rPr>
        <w:t xml:space="preserve"> </w:t>
      </w:r>
      <w:r w:rsidR="001C61FD">
        <w:rPr>
          <w:rFonts w:ascii="Times New Roman" w:hAnsi="Times New Roman" w:cs="Times New Roman"/>
        </w:rPr>
        <w:t>from INO-VATE 1022</w:t>
      </w:r>
      <w:r w:rsidR="00F34100">
        <w:rPr>
          <w:rFonts w:ascii="Times New Roman" w:hAnsi="Times New Roman" w:cs="Times New Roman"/>
        </w:rPr>
        <w:t xml:space="preserve"> should be pooled </w:t>
      </w:r>
      <w:r w:rsidR="001C61FD">
        <w:rPr>
          <w:rFonts w:ascii="Times New Roman" w:hAnsi="Times New Roman" w:cs="Times New Roman"/>
        </w:rPr>
        <w:t>and</w:t>
      </w:r>
      <w:r w:rsidR="00732025">
        <w:rPr>
          <w:rFonts w:ascii="Times New Roman" w:hAnsi="Times New Roman" w:cs="Times New Roman"/>
        </w:rPr>
        <w:t xml:space="preserve"> that</w:t>
      </w:r>
      <w:r w:rsidR="001C61FD">
        <w:rPr>
          <w:rFonts w:ascii="Times New Roman" w:hAnsi="Times New Roman" w:cs="Times New Roman"/>
        </w:rPr>
        <w:t xml:space="preserve"> </w:t>
      </w:r>
      <w:r w:rsidR="00732025">
        <w:rPr>
          <w:rFonts w:ascii="Times New Roman" w:hAnsi="Times New Roman" w:cs="Times New Roman"/>
        </w:rPr>
        <w:t xml:space="preserve">utilities </w:t>
      </w:r>
      <w:r w:rsidR="00222F37">
        <w:rPr>
          <w:rFonts w:ascii="Times New Roman" w:hAnsi="Times New Roman" w:cs="Times New Roman"/>
        </w:rPr>
        <w:t xml:space="preserve">in the HSCT </w:t>
      </w:r>
      <w:r w:rsidR="00211341">
        <w:rPr>
          <w:rFonts w:ascii="Times New Roman" w:hAnsi="Times New Roman" w:cs="Times New Roman"/>
        </w:rPr>
        <w:t>and</w:t>
      </w:r>
      <w:r w:rsidR="00222F37">
        <w:rPr>
          <w:rFonts w:ascii="Times New Roman" w:hAnsi="Times New Roman" w:cs="Times New Roman"/>
        </w:rPr>
        <w:t xml:space="preserve"> post</w:t>
      </w:r>
      <w:r w:rsidR="005917AE">
        <w:rPr>
          <w:rFonts w:ascii="Times New Roman" w:hAnsi="Times New Roman" w:cs="Times New Roman"/>
        </w:rPr>
        <w:t>-</w:t>
      </w:r>
      <w:r w:rsidR="00222F37">
        <w:rPr>
          <w:rFonts w:ascii="Times New Roman" w:hAnsi="Times New Roman" w:cs="Times New Roman"/>
        </w:rPr>
        <w:t>HSCT state (0.74) should be adjusted for age</w:t>
      </w:r>
      <w:r w:rsidR="00BF7B01">
        <w:rPr>
          <w:rFonts w:ascii="Times New Roman" w:hAnsi="Times New Roman" w:cs="Times New Roman"/>
        </w:rPr>
        <w:t xml:space="preserve"> in line with NICE methods guidance</w:t>
      </w:r>
      <w:r w:rsidR="001C61FD">
        <w:rPr>
          <w:rFonts w:ascii="Times New Roman" w:hAnsi="Times New Roman" w:cs="Times New Roman"/>
        </w:rPr>
        <w:t xml:space="preserve"> </w:t>
      </w:r>
      <w:r w:rsidR="00222F37">
        <w:rPr>
          <w:rFonts w:ascii="Times New Roman" w:hAnsi="Times New Roman" w:cs="Times New Roman"/>
        </w:rPr>
        <w:fldChar w:fldCharType="begin"/>
      </w:r>
      <w:r w:rsidR="00BE567A">
        <w:rPr>
          <w:rFonts w:ascii="Times New Roman" w:hAnsi="Times New Roman" w:cs="Times New Roman"/>
        </w:rPr>
        <w:instrText xml:space="preserve"> ADDIN EN.CITE &lt;EndNote&gt;&lt;Cite&gt;&lt;Author&gt;National Institute of Health and Care Excellence&lt;/Author&gt;&lt;Year&gt;2013&lt;/Year&gt;&lt;RecNum&gt;46&lt;/RecNum&gt;&lt;DisplayText&gt;[3]&lt;/DisplayText&gt;&lt;record&gt;&lt;rec-number&gt;46&lt;/rec-number&gt;&lt;foreign-keys&gt;&lt;key app="EN" db-id="9f090dpxqtedprezvanxwdxlwv2d9d9dp2rs" timestamp="0"&gt;46&lt;/key&gt;&lt;/foreign-keys&gt;&lt;ref-type name="Web Page"&gt;12&lt;/ref-type&gt;&lt;contributors&gt;&lt;authors&gt;&lt;author&gt;National Institute of Health and Care Excellence,&lt;/author&gt;&lt;/authors&gt;&lt;/contributors&gt;&lt;titles&gt;&lt;title&gt;Guide to the methods of technology appraisal&lt;/title&gt;&lt;/titles&gt;&lt;dates&gt;&lt;year&gt;2013&lt;/year&gt;&lt;/dates&gt;&lt;urls&gt;&lt;related-urls&gt;&lt;url&gt;https://www.nice.org.uk/process/pmg9/chapter/foreword&lt;/url&gt;&lt;/related-urls&gt;&lt;/urls&gt;&lt;/record&gt;&lt;/Cite&gt;&lt;/EndNote&gt;</w:instrText>
      </w:r>
      <w:r w:rsidR="00222F37">
        <w:rPr>
          <w:rFonts w:ascii="Times New Roman" w:hAnsi="Times New Roman" w:cs="Times New Roman"/>
        </w:rPr>
        <w:fldChar w:fldCharType="separate"/>
      </w:r>
      <w:r w:rsidR="00222F37">
        <w:rPr>
          <w:rFonts w:ascii="Times New Roman" w:hAnsi="Times New Roman" w:cs="Times New Roman"/>
          <w:noProof/>
        </w:rPr>
        <w:t>[3]</w:t>
      </w:r>
      <w:r w:rsidR="00222F37">
        <w:rPr>
          <w:rFonts w:ascii="Times New Roman" w:hAnsi="Times New Roman" w:cs="Times New Roman"/>
        </w:rPr>
        <w:fldChar w:fldCharType="end"/>
      </w:r>
      <w:r w:rsidR="00222F37">
        <w:rPr>
          <w:rFonts w:ascii="Times New Roman" w:hAnsi="Times New Roman" w:cs="Times New Roman"/>
        </w:rPr>
        <w:t>.</w:t>
      </w:r>
      <w:r w:rsidR="00EF4BE0">
        <w:rPr>
          <w:rFonts w:ascii="Times New Roman" w:hAnsi="Times New Roman" w:cs="Times New Roman"/>
        </w:rPr>
        <w:t xml:space="preserve"> </w:t>
      </w:r>
      <w:r w:rsidR="00BB1471" w:rsidRPr="00BB1471">
        <w:rPr>
          <w:rFonts w:ascii="Times New Roman" w:hAnsi="Times New Roman" w:cs="Times New Roman"/>
        </w:rPr>
        <w:t xml:space="preserve">  </w:t>
      </w:r>
    </w:p>
    <w:p w14:paraId="3E6D8FED" w14:textId="0F57861B" w:rsidR="00BB1471" w:rsidRDefault="00BB1471" w:rsidP="00E61BB0">
      <w:pPr>
        <w:spacing w:line="360" w:lineRule="auto"/>
        <w:ind w:firstLine="432"/>
        <w:rPr>
          <w:rFonts w:ascii="Times New Roman" w:hAnsi="Times New Roman" w:cs="Times New Roman"/>
        </w:rPr>
      </w:pPr>
      <w:r w:rsidRPr="00BB1471">
        <w:rPr>
          <w:rFonts w:ascii="Times New Roman" w:hAnsi="Times New Roman" w:cs="Times New Roman"/>
        </w:rPr>
        <w:t xml:space="preserve">The ERG identified several areas of uncertainty in the costs due to differences between the treatments provided to the </w:t>
      </w:r>
      <w:proofErr w:type="spellStart"/>
      <w:r w:rsidRPr="00BB1471">
        <w:rPr>
          <w:rFonts w:ascii="Times New Roman" w:hAnsi="Times New Roman" w:cs="Times New Roman"/>
        </w:rPr>
        <w:t>SoC</w:t>
      </w:r>
      <w:proofErr w:type="spellEnd"/>
      <w:r w:rsidRPr="00BB1471">
        <w:rPr>
          <w:rFonts w:ascii="Times New Roman" w:hAnsi="Times New Roman" w:cs="Times New Roman"/>
        </w:rPr>
        <w:t xml:space="preserve"> group in INO-VATE 1022 and current NHS practice.</w:t>
      </w:r>
      <w:r w:rsidR="00AB4805">
        <w:rPr>
          <w:rFonts w:ascii="Times New Roman" w:hAnsi="Times New Roman" w:cs="Times New Roman"/>
        </w:rPr>
        <w:t xml:space="preserve"> The company applied the costs o</w:t>
      </w:r>
      <w:r w:rsidR="0012546D">
        <w:rPr>
          <w:rFonts w:ascii="Times New Roman" w:hAnsi="Times New Roman" w:cs="Times New Roman"/>
        </w:rPr>
        <w:t xml:space="preserve">f </w:t>
      </w:r>
      <w:proofErr w:type="spellStart"/>
      <w:r w:rsidR="0012546D">
        <w:rPr>
          <w:rFonts w:ascii="Times New Roman" w:hAnsi="Times New Roman" w:cs="Times New Roman"/>
        </w:rPr>
        <w:t>idarubicin</w:t>
      </w:r>
      <w:proofErr w:type="spellEnd"/>
      <w:r w:rsidR="0012546D">
        <w:rPr>
          <w:rFonts w:ascii="Times New Roman" w:hAnsi="Times New Roman" w:cs="Times New Roman"/>
        </w:rPr>
        <w:t xml:space="preserve"> to </w:t>
      </w:r>
      <w:proofErr w:type="spellStart"/>
      <w:r w:rsidR="0012546D">
        <w:rPr>
          <w:rFonts w:ascii="Times New Roman" w:hAnsi="Times New Roman" w:cs="Times New Roman"/>
        </w:rPr>
        <w:t>SoC</w:t>
      </w:r>
      <w:proofErr w:type="spellEnd"/>
      <w:r w:rsidR="0012546D">
        <w:rPr>
          <w:rFonts w:ascii="Times New Roman" w:hAnsi="Times New Roman" w:cs="Times New Roman"/>
        </w:rPr>
        <w:t xml:space="preserve"> and TKI costs for </w:t>
      </w:r>
      <w:proofErr w:type="spellStart"/>
      <w:r w:rsidR="0012546D">
        <w:rPr>
          <w:rFonts w:ascii="Times New Roman" w:hAnsi="Times New Roman" w:cs="Times New Roman"/>
        </w:rPr>
        <w:t>Ph</w:t>
      </w:r>
      <w:proofErr w:type="spellEnd"/>
      <w:r w:rsidR="0012546D">
        <w:rPr>
          <w:rFonts w:ascii="Times New Roman" w:hAnsi="Times New Roman" w:cs="Times New Roman"/>
        </w:rPr>
        <w:t>+ patients</w:t>
      </w:r>
      <w:r w:rsidR="000460FC">
        <w:rPr>
          <w:rFonts w:ascii="Times New Roman" w:hAnsi="Times New Roman" w:cs="Times New Roman"/>
        </w:rPr>
        <w:t xml:space="preserve"> </w:t>
      </w:r>
      <w:r w:rsidR="006A4810">
        <w:rPr>
          <w:rFonts w:ascii="Times New Roman" w:hAnsi="Times New Roman" w:cs="Times New Roman"/>
        </w:rPr>
        <w:t>despite these not being provided in INO-VATE 1022.  The rate</w:t>
      </w:r>
      <w:r w:rsidR="00B11EBF">
        <w:rPr>
          <w:rFonts w:ascii="Times New Roman" w:hAnsi="Times New Roman" w:cs="Times New Roman"/>
        </w:rPr>
        <w:t>s</w:t>
      </w:r>
      <w:r w:rsidR="006A4810">
        <w:rPr>
          <w:rFonts w:ascii="Times New Roman" w:hAnsi="Times New Roman" w:cs="Times New Roman"/>
        </w:rPr>
        <w:t xml:space="preserve"> of</w:t>
      </w:r>
      <w:r w:rsidR="000460FC" w:rsidRPr="00BB1471">
        <w:rPr>
          <w:rFonts w:ascii="Times New Roman" w:hAnsi="Times New Roman" w:cs="Times New Roman"/>
        </w:rPr>
        <w:t xml:space="preserve"> </w:t>
      </w:r>
      <w:proofErr w:type="spellStart"/>
      <w:r w:rsidR="000460FC" w:rsidRPr="00BB1471">
        <w:rPr>
          <w:rFonts w:ascii="Times New Roman" w:hAnsi="Times New Roman" w:cs="Times New Roman"/>
        </w:rPr>
        <w:t>blinatumomab</w:t>
      </w:r>
      <w:proofErr w:type="spellEnd"/>
      <w:r w:rsidR="000460FC" w:rsidRPr="00BB1471">
        <w:rPr>
          <w:rFonts w:ascii="Times New Roman" w:hAnsi="Times New Roman" w:cs="Times New Roman"/>
        </w:rPr>
        <w:t xml:space="preserve"> and </w:t>
      </w:r>
      <w:r w:rsidR="000460FC">
        <w:rPr>
          <w:rFonts w:ascii="Times New Roman" w:hAnsi="Times New Roman" w:cs="Times New Roman"/>
        </w:rPr>
        <w:t xml:space="preserve">post-induction </w:t>
      </w:r>
      <w:proofErr w:type="spellStart"/>
      <w:r w:rsidR="000460FC" w:rsidRPr="00BB1471">
        <w:rPr>
          <w:rFonts w:ascii="Times New Roman" w:hAnsi="Times New Roman" w:cs="Times New Roman"/>
        </w:rPr>
        <w:t>inotuzumab</w:t>
      </w:r>
      <w:proofErr w:type="spellEnd"/>
      <w:r w:rsidR="000460FC" w:rsidRPr="00BB1471">
        <w:rPr>
          <w:rFonts w:ascii="Times New Roman" w:hAnsi="Times New Roman" w:cs="Times New Roman"/>
        </w:rPr>
        <w:t xml:space="preserve"> </w:t>
      </w:r>
      <w:r w:rsidR="006A4810">
        <w:rPr>
          <w:rFonts w:ascii="Times New Roman" w:hAnsi="Times New Roman" w:cs="Times New Roman"/>
        </w:rPr>
        <w:t>w</w:t>
      </w:r>
      <w:r w:rsidR="00B11EBF">
        <w:rPr>
          <w:rFonts w:ascii="Times New Roman" w:hAnsi="Times New Roman" w:cs="Times New Roman"/>
        </w:rPr>
        <w:t>ere</w:t>
      </w:r>
      <w:r w:rsidR="006A4810">
        <w:rPr>
          <w:rFonts w:ascii="Times New Roman" w:hAnsi="Times New Roman" w:cs="Times New Roman"/>
        </w:rPr>
        <w:t xml:space="preserve"> based </w:t>
      </w:r>
      <w:r w:rsidR="000460FC" w:rsidRPr="00BB1471">
        <w:rPr>
          <w:rFonts w:ascii="Times New Roman" w:hAnsi="Times New Roman" w:cs="Times New Roman"/>
        </w:rPr>
        <w:t>on the ITT population</w:t>
      </w:r>
      <w:r w:rsidR="000460FC">
        <w:rPr>
          <w:rFonts w:ascii="Times New Roman" w:hAnsi="Times New Roman" w:cs="Times New Roman"/>
        </w:rPr>
        <w:t>. The ERG preferred</w:t>
      </w:r>
      <w:r w:rsidR="00867380">
        <w:rPr>
          <w:rFonts w:ascii="Times New Roman" w:hAnsi="Times New Roman" w:cs="Times New Roman"/>
        </w:rPr>
        <w:t xml:space="preserve"> </w:t>
      </w:r>
      <w:r w:rsidR="000460FC" w:rsidRPr="000460FC">
        <w:rPr>
          <w:rFonts w:ascii="Times New Roman" w:hAnsi="Times New Roman" w:cs="Times New Roman"/>
        </w:rPr>
        <w:t>consistency between the efficacy outcomes</w:t>
      </w:r>
      <w:r w:rsidR="00814002">
        <w:rPr>
          <w:rFonts w:ascii="Times New Roman" w:hAnsi="Times New Roman" w:cs="Times New Roman"/>
        </w:rPr>
        <w:t xml:space="preserve"> </w:t>
      </w:r>
      <w:r w:rsidR="000460FC" w:rsidRPr="000460FC">
        <w:rPr>
          <w:rFonts w:ascii="Times New Roman" w:hAnsi="Times New Roman" w:cs="Times New Roman"/>
        </w:rPr>
        <w:t>and cost assumptions</w:t>
      </w:r>
      <w:r w:rsidR="00222F37">
        <w:rPr>
          <w:rFonts w:ascii="Times New Roman" w:hAnsi="Times New Roman" w:cs="Times New Roman"/>
        </w:rPr>
        <w:t>,</w:t>
      </w:r>
      <w:r w:rsidR="000460FC" w:rsidRPr="000460FC">
        <w:rPr>
          <w:rFonts w:ascii="Times New Roman" w:hAnsi="Times New Roman" w:cs="Times New Roman"/>
        </w:rPr>
        <w:t xml:space="preserve"> </w:t>
      </w:r>
      <w:r w:rsidR="000460FC">
        <w:rPr>
          <w:rFonts w:ascii="Times New Roman" w:hAnsi="Times New Roman" w:cs="Times New Roman"/>
        </w:rPr>
        <w:t xml:space="preserve">and </w:t>
      </w:r>
      <w:r w:rsidR="009128B4" w:rsidRPr="00BB1471">
        <w:rPr>
          <w:rFonts w:ascii="Times New Roman" w:hAnsi="Times New Roman" w:cs="Times New Roman"/>
        </w:rPr>
        <w:t xml:space="preserve">felt that the inclusion of </w:t>
      </w:r>
      <w:r w:rsidR="000460FC">
        <w:rPr>
          <w:rFonts w:ascii="Times New Roman" w:hAnsi="Times New Roman" w:cs="Times New Roman"/>
        </w:rPr>
        <w:t>INO-VATE</w:t>
      </w:r>
      <w:r w:rsidR="00222F37">
        <w:rPr>
          <w:rFonts w:ascii="Times New Roman" w:hAnsi="Times New Roman" w:cs="Times New Roman"/>
        </w:rPr>
        <w:t xml:space="preserve"> 1022</w:t>
      </w:r>
      <w:r w:rsidR="000460FC">
        <w:rPr>
          <w:rFonts w:ascii="Times New Roman" w:hAnsi="Times New Roman" w:cs="Times New Roman"/>
        </w:rPr>
        <w:t xml:space="preserve"> </w:t>
      </w:r>
      <w:r w:rsidR="00316C54">
        <w:rPr>
          <w:rFonts w:ascii="Times New Roman" w:hAnsi="Times New Roman" w:cs="Times New Roman"/>
        </w:rPr>
        <w:t>subsequent therapy</w:t>
      </w:r>
      <w:r w:rsidR="009128B4" w:rsidRPr="00BB1471">
        <w:rPr>
          <w:rFonts w:ascii="Times New Roman" w:hAnsi="Times New Roman" w:cs="Times New Roman"/>
        </w:rPr>
        <w:t xml:space="preserve"> costs was potentially inappropriate</w:t>
      </w:r>
      <w:r w:rsidR="009128B4">
        <w:rPr>
          <w:rFonts w:ascii="Times New Roman" w:hAnsi="Times New Roman" w:cs="Times New Roman"/>
        </w:rPr>
        <w:t>, because i</w:t>
      </w:r>
      <w:r w:rsidR="009128B4" w:rsidRPr="00BB1471">
        <w:rPr>
          <w:rFonts w:ascii="Times New Roman" w:hAnsi="Times New Roman" w:cs="Times New Roman"/>
        </w:rPr>
        <w:t>t was unclear whether the benefits from post-induction therapies were adequately reflected in the safety population</w:t>
      </w:r>
      <w:r w:rsidR="00BF7B01">
        <w:rPr>
          <w:rFonts w:ascii="Times New Roman" w:hAnsi="Times New Roman" w:cs="Times New Roman"/>
        </w:rPr>
        <w:t xml:space="preserve"> </w:t>
      </w:r>
      <w:r w:rsidR="006A4810">
        <w:rPr>
          <w:rFonts w:ascii="Times New Roman" w:hAnsi="Times New Roman" w:cs="Times New Roman"/>
        </w:rPr>
        <w:t>that formed the bas</w:t>
      </w:r>
      <w:r w:rsidR="00BF7B01">
        <w:rPr>
          <w:rFonts w:ascii="Times New Roman" w:hAnsi="Times New Roman" w:cs="Times New Roman"/>
        </w:rPr>
        <w:t>i</w:t>
      </w:r>
      <w:r w:rsidR="006A4810">
        <w:rPr>
          <w:rFonts w:ascii="Times New Roman" w:hAnsi="Times New Roman" w:cs="Times New Roman"/>
        </w:rPr>
        <w:t>s for the survival analysis</w:t>
      </w:r>
      <w:r w:rsidR="009128B4" w:rsidRPr="00BB1471">
        <w:rPr>
          <w:rFonts w:ascii="Times New Roman" w:hAnsi="Times New Roman" w:cs="Times New Roman"/>
        </w:rPr>
        <w:t>.</w:t>
      </w:r>
      <w:r w:rsidR="000460FC">
        <w:rPr>
          <w:rFonts w:ascii="Times New Roman" w:hAnsi="Times New Roman" w:cs="Times New Roman"/>
        </w:rPr>
        <w:t xml:space="preserve"> </w:t>
      </w:r>
      <w:r w:rsidRPr="00BB1471">
        <w:rPr>
          <w:rFonts w:ascii="Times New Roman" w:hAnsi="Times New Roman" w:cs="Times New Roman"/>
        </w:rPr>
        <w:t xml:space="preserve">The </w:t>
      </w:r>
      <w:r w:rsidR="00FE41CB">
        <w:rPr>
          <w:rFonts w:ascii="Times New Roman" w:hAnsi="Times New Roman" w:cs="Times New Roman"/>
        </w:rPr>
        <w:t>length of stay</w:t>
      </w:r>
      <w:r w:rsidRPr="00BB1471">
        <w:rPr>
          <w:rFonts w:ascii="Times New Roman" w:hAnsi="Times New Roman" w:cs="Times New Roman"/>
        </w:rPr>
        <w:t xml:space="preserve"> </w:t>
      </w:r>
      <w:r w:rsidR="00BF7B01">
        <w:rPr>
          <w:rFonts w:ascii="Times New Roman" w:hAnsi="Times New Roman" w:cs="Times New Roman"/>
        </w:rPr>
        <w:t xml:space="preserve">and patient setting </w:t>
      </w:r>
      <w:r w:rsidRPr="00BB1471">
        <w:rPr>
          <w:rFonts w:ascii="Times New Roman" w:hAnsi="Times New Roman" w:cs="Times New Roman"/>
        </w:rPr>
        <w:t xml:space="preserve">required </w:t>
      </w:r>
      <w:r w:rsidR="00BF7B01">
        <w:rPr>
          <w:rFonts w:ascii="Times New Roman" w:hAnsi="Times New Roman" w:cs="Times New Roman"/>
        </w:rPr>
        <w:t xml:space="preserve">for the </w:t>
      </w:r>
      <w:r w:rsidRPr="00BB1471">
        <w:rPr>
          <w:rFonts w:ascii="Times New Roman" w:hAnsi="Times New Roman" w:cs="Times New Roman"/>
        </w:rPr>
        <w:t xml:space="preserve">administration of </w:t>
      </w:r>
      <w:proofErr w:type="spellStart"/>
      <w:r w:rsidRPr="00BB1471">
        <w:rPr>
          <w:rFonts w:ascii="Times New Roman" w:hAnsi="Times New Roman" w:cs="Times New Roman"/>
        </w:rPr>
        <w:t>inotuzumab</w:t>
      </w:r>
      <w:proofErr w:type="spellEnd"/>
      <w:r w:rsidR="00F05EFF">
        <w:rPr>
          <w:rFonts w:ascii="Times New Roman" w:hAnsi="Times New Roman" w:cs="Times New Roman"/>
        </w:rPr>
        <w:t xml:space="preserve"> (3 outpatient visits per cycle)</w:t>
      </w:r>
      <w:r w:rsidRPr="00BB1471">
        <w:rPr>
          <w:rFonts w:ascii="Times New Roman" w:hAnsi="Times New Roman" w:cs="Times New Roman"/>
        </w:rPr>
        <w:t xml:space="preserve"> and standard chemotherapy</w:t>
      </w:r>
      <w:r w:rsidR="00F05EFF">
        <w:rPr>
          <w:rFonts w:ascii="Times New Roman" w:hAnsi="Times New Roman" w:cs="Times New Roman"/>
        </w:rPr>
        <w:t xml:space="preserve"> (</w:t>
      </w:r>
      <w:r w:rsidR="00865B62">
        <w:rPr>
          <w:rFonts w:ascii="Times New Roman" w:hAnsi="Times New Roman" w:cs="Times New Roman"/>
        </w:rPr>
        <w:t>approximately 5.23 inpatient days)</w:t>
      </w:r>
      <w:r w:rsidR="00DE0B82">
        <w:rPr>
          <w:rFonts w:ascii="Times New Roman" w:hAnsi="Times New Roman" w:cs="Times New Roman"/>
        </w:rPr>
        <w:t xml:space="preserve"> assumed</w:t>
      </w:r>
      <w:r w:rsidRPr="00BB1471">
        <w:rPr>
          <w:rFonts w:ascii="Times New Roman" w:hAnsi="Times New Roman" w:cs="Times New Roman"/>
        </w:rPr>
        <w:t xml:space="preserve"> in the company model</w:t>
      </w:r>
      <w:r w:rsidR="00DE0B82">
        <w:rPr>
          <w:rFonts w:ascii="Times New Roman" w:hAnsi="Times New Roman" w:cs="Times New Roman"/>
        </w:rPr>
        <w:t xml:space="preserve"> appeared misaligned with standard practice</w:t>
      </w:r>
      <w:r w:rsidRPr="00BB1471">
        <w:rPr>
          <w:rFonts w:ascii="Times New Roman" w:hAnsi="Times New Roman" w:cs="Times New Roman"/>
        </w:rPr>
        <w:t xml:space="preserve">. </w:t>
      </w:r>
      <w:r w:rsidR="006E66D7">
        <w:rPr>
          <w:rFonts w:ascii="Times New Roman" w:hAnsi="Times New Roman" w:cs="Times New Roman"/>
        </w:rPr>
        <w:t>C</w:t>
      </w:r>
      <w:r w:rsidR="006E66D7" w:rsidRPr="006E66D7">
        <w:rPr>
          <w:rFonts w:ascii="Times New Roman" w:hAnsi="Times New Roman" w:cs="Times New Roman"/>
        </w:rPr>
        <w:t>linical advice</w:t>
      </w:r>
      <w:r w:rsidR="006E66D7">
        <w:rPr>
          <w:rFonts w:ascii="Times New Roman" w:hAnsi="Times New Roman" w:cs="Times New Roman"/>
        </w:rPr>
        <w:t xml:space="preserve"> received by the ERG</w:t>
      </w:r>
      <w:r w:rsidR="006E66D7" w:rsidRPr="006E66D7">
        <w:rPr>
          <w:rFonts w:ascii="Times New Roman" w:hAnsi="Times New Roman" w:cs="Times New Roman"/>
        </w:rPr>
        <w:t xml:space="preserve"> indicated that</w:t>
      </w:r>
      <w:r w:rsidR="00D62892">
        <w:rPr>
          <w:rFonts w:ascii="Times New Roman" w:hAnsi="Times New Roman" w:cs="Times New Roman"/>
        </w:rPr>
        <w:t xml:space="preserve"> standard chemotherapy and the first cycle of </w:t>
      </w:r>
      <w:proofErr w:type="spellStart"/>
      <w:r w:rsidR="00D62892" w:rsidRPr="00D62892">
        <w:rPr>
          <w:rFonts w:ascii="Times New Roman" w:hAnsi="Times New Roman" w:cs="Times New Roman"/>
        </w:rPr>
        <w:t>inotuzumab</w:t>
      </w:r>
      <w:proofErr w:type="spellEnd"/>
      <w:r w:rsidR="00D62892" w:rsidRPr="00D62892">
        <w:rPr>
          <w:rFonts w:ascii="Times New Roman" w:hAnsi="Times New Roman" w:cs="Times New Roman"/>
        </w:rPr>
        <w:t xml:space="preserve"> </w:t>
      </w:r>
      <w:r w:rsidR="00DF4957">
        <w:rPr>
          <w:rFonts w:ascii="Times New Roman" w:hAnsi="Times New Roman" w:cs="Times New Roman"/>
        </w:rPr>
        <w:t>are</w:t>
      </w:r>
      <w:r w:rsidR="00D62892" w:rsidRPr="00D62892">
        <w:rPr>
          <w:rFonts w:ascii="Times New Roman" w:hAnsi="Times New Roman" w:cs="Times New Roman"/>
        </w:rPr>
        <w:t xml:space="preserve"> likely to be administered </w:t>
      </w:r>
      <w:r w:rsidR="00D62892">
        <w:rPr>
          <w:rFonts w:ascii="Times New Roman" w:hAnsi="Times New Roman" w:cs="Times New Roman"/>
        </w:rPr>
        <w:t>in</w:t>
      </w:r>
      <w:r w:rsidR="00D62892" w:rsidRPr="00D62892">
        <w:rPr>
          <w:rFonts w:ascii="Times New Roman" w:hAnsi="Times New Roman" w:cs="Times New Roman"/>
        </w:rPr>
        <w:t xml:space="preserve"> an inpatient</w:t>
      </w:r>
      <w:r w:rsidR="00D62892">
        <w:rPr>
          <w:rFonts w:ascii="Times New Roman" w:hAnsi="Times New Roman" w:cs="Times New Roman"/>
        </w:rPr>
        <w:t xml:space="preserve"> setting</w:t>
      </w:r>
      <w:r w:rsidR="00DF4957">
        <w:rPr>
          <w:rFonts w:ascii="Times New Roman" w:hAnsi="Times New Roman" w:cs="Times New Roman"/>
        </w:rPr>
        <w:t>,</w:t>
      </w:r>
      <w:r w:rsidR="00D62892">
        <w:rPr>
          <w:rFonts w:ascii="Times New Roman" w:hAnsi="Times New Roman" w:cs="Times New Roman"/>
        </w:rPr>
        <w:t xml:space="preserve"> with</w:t>
      </w:r>
      <w:r w:rsidR="006E66D7" w:rsidRPr="006E66D7">
        <w:rPr>
          <w:rFonts w:ascii="Times New Roman" w:hAnsi="Times New Roman" w:cs="Times New Roman"/>
        </w:rPr>
        <w:t xml:space="preserve"> </w:t>
      </w:r>
      <w:r w:rsidR="00D62892">
        <w:rPr>
          <w:rFonts w:ascii="Times New Roman" w:hAnsi="Times New Roman" w:cs="Times New Roman"/>
        </w:rPr>
        <w:t xml:space="preserve">patients </w:t>
      </w:r>
      <w:r w:rsidR="006E66D7" w:rsidRPr="006E66D7">
        <w:rPr>
          <w:rFonts w:ascii="Times New Roman" w:hAnsi="Times New Roman" w:cs="Times New Roman"/>
        </w:rPr>
        <w:t>remain</w:t>
      </w:r>
      <w:r w:rsidR="00D62892">
        <w:rPr>
          <w:rFonts w:ascii="Times New Roman" w:hAnsi="Times New Roman" w:cs="Times New Roman"/>
        </w:rPr>
        <w:t>ing</w:t>
      </w:r>
      <w:r w:rsidR="006E66D7" w:rsidRPr="006E66D7">
        <w:rPr>
          <w:rFonts w:ascii="Times New Roman" w:hAnsi="Times New Roman" w:cs="Times New Roman"/>
        </w:rPr>
        <w:t xml:space="preserve"> hospitalised for significantly longer</w:t>
      </w:r>
      <w:r w:rsidR="00316C54">
        <w:rPr>
          <w:rFonts w:ascii="Times New Roman" w:hAnsi="Times New Roman" w:cs="Times New Roman"/>
        </w:rPr>
        <w:t xml:space="preserve"> than the </w:t>
      </w:r>
      <w:r w:rsidR="00A251BA">
        <w:rPr>
          <w:rFonts w:ascii="Times New Roman" w:hAnsi="Times New Roman" w:cs="Times New Roman"/>
        </w:rPr>
        <w:t xml:space="preserve">recommended </w:t>
      </w:r>
      <w:r w:rsidR="00316C54">
        <w:rPr>
          <w:rFonts w:ascii="Times New Roman" w:hAnsi="Times New Roman" w:cs="Times New Roman"/>
        </w:rPr>
        <w:t>administration schedule</w:t>
      </w:r>
      <w:r w:rsidR="00A251BA">
        <w:rPr>
          <w:rFonts w:ascii="Times New Roman" w:hAnsi="Times New Roman" w:cs="Times New Roman"/>
        </w:rPr>
        <w:t>s</w:t>
      </w:r>
      <w:r w:rsidR="00597243">
        <w:rPr>
          <w:rFonts w:ascii="Times New Roman" w:hAnsi="Times New Roman" w:cs="Times New Roman"/>
        </w:rPr>
        <w:t xml:space="preserve"> used by the company</w:t>
      </w:r>
      <w:r w:rsidR="006E66D7" w:rsidRPr="006E66D7">
        <w:rPr>
          <w:rFonts w:ascii="Times New Roman" w:hAnsi="Times New Roman" w:cs="Times New Roman"/>
        </w:rPr>
        <w:t xml:space="preserve"> due to the recovery period</w:t>
      </w:r>
      <w:r w:rsidR="00D62892">
        <w:rPr>
          <w:rFonts w:ascii="Times New Roman" w:hAnsi="Times New Roman" w:cs="Times New Roman"/>
        </w:rPr>
        <w:t>.</w:t>
      </w:r>
      <w:r w:rsidR="006E66D7">
        <w:rPr>
          <w:rFonts w:ascii="Times New Roman" w:hAnsi="Times New Roman" w:cs="Times New Roman"/>
        </w:rPr>
        <w:t xml:space="preserve"> </w:t>
      </w:r>
      <w:r w:rsidR="00D5634B">
        <w:rPr>
          <w:rFonts w:ascii="Times New Roman" w:hAnsi="Times New Roman" w:cs="Times New Roman"/>
        </w:rPr>
        <w:t xml:space="preserve">Following clarification </w:t>
      </w:r>
      <w:r w:rsidR="00BB38FF">
        <w:rPr>
          <w:rFonts w:ascii="Times New Roman" w:hAnsi="Times New Roman" w:cs="Times New Roman"/>
        </w:rPr>
        <w:t xml:space="preserve">by </w:t>
      </w:r>
      <w:r w:rsidR="00D5634B">
        <w:rPr>
          <w:rFonts w:ascii="Times New Roman" w:hAnsi="Times New Roman" w:cs="Times New Roman"/>
        </w:rPr>
        <w:t>the company,</w:t>
      </w:r>
      <w:r w:rsidR="00D5634B" w:rsidRPr="00B11EBF">
        <w:rPr>
          <w:rFonts w:ascii="Times New Roman" w:hAnsi="Times New Roman" w:cs="Times New Roman"/>
        </w:rPr>
        <w:t xml:space="preserve"> </w:t>
      </w:r>
      <w:r w:rsidR="00D5634B">
        <w:rPr>
          <w:rFonts w:ascii="Times New Roman" w:hAnsi="Times New Roman" w:cs="Times New Roman"/>
        </w:rPr>
        <w:t>d</w:t>
      </w:r>
      <w:r w:rsidR="00DB4B66" w:rsidRPr="00B11EBF">
        <w:rPr>
          <w:rFonts w:ascii="Times New Roman" w:hAnsi="Times New Roman" w:cs="Times New Roman"/>
        </w:rPr>
        <w:t>ata</w:t>
      </w:r>
      <w:r w:rsidR="00D5634B">
        <w:rPr>
          <w:rFonts w:ascii="Times New Roman" w:hAnsi="Times New Roman" w:cs="Times New Roman"/>
        </w:rPr>
        <w:t xml:space="preserve"> </w:t>
      </w:r>
      <w:proofErr w:type="spellStart"/>
      <w:r w:rsidR="00652ED2">
        <w:rPr>
          <w:rFonts w:ascii="Times New Roman" w:hAnsi="Times New Roman" w:cs="Times New Roman"/>
        </w:rPr>
        <w:t>were</w:t>
      </w:r>
      <w:r w:rsidR="00DB4B66">
        <w:rPr>
          <w:rFonts w:ascii="Times New Roman" w:hAnsi="Times New Roman" w:cs="Times New Roman"/>
        </w:rPr>
        <w:t>acquired</w:t>
      </w:r>
      <w:proofErr w:type="spellEnd"/>
      <w:r w:rsidR="00DB4B66" w:rsidRPr="00B11EBF">
        <w:rPr>
          <w:rFonts w:ascii="Times New Roman" w:hAnsi="Times New Roman" w:cs="Times New Roman"/>
        </w:rPr>
        <w:t xml:space="preserve"> from INO-VATE 1022</w:t>
      </w:r>
      <w:r w:rsidR="00D5634B">
        <w:rPr>
          <w:rFonts w:ascii="Times New Roman" w:hAnsi="Times New Roman" w:cs="Times New Roman"/>
        </w:rPr>
        <w:t xml:space="preserve"> which</w:t>
      </w:r>
      <w:r w:rsidR="00DB4B66">
        <w:rPr>
          <w:rFonts w:ascii="Times New Roman" w:hAnsi="Times New Roman" w:cs="Times New Roman"/>
        </w:rPr>
        <w:t xml:space="preserve"> reported </w:t>
      </w:r>
      <w:r w:rsidR="00DB4B66" w:rsidRPr="00B11EBF">
        <w:rPr>
          <w:rFonts w:ascii="Times New Roman" w:hAnsi="Times New Roman" w:cs="Times New Roman"/>
        </w:rPr>
        <w:t>a significant proportion of patients</w:t>
      </w:r>
      <w:r w:rsidR="00A41A30">
        <w:rPr>
          <w:rFonts w:ascii="Times New Roman" w:hAnsi="Times New Roman" w:cs="Times New Roman"/>
        </w:rPr>
        <w:t xml:space="preserve"> had</w:t>
      </w:r>
      <w:r w:rsidR="00DB4B66" w:rsidRPr="00B11EBF">
        <w:rPr>
          <w:rFonts w:ascii="Times New Roman" w:hAnsi="Times New Roman" w:cs="Times New Roman"/>
        </w:rPr>
        <w:t xml:space="preserve"> received </w:t>
      </w:r>
      <w:proofErr w:type="spellStart"/>
      <w:r w:rsidR="00DB4B66" w:rsidRPr="00B11EBF">
        <w:rPr>
          <w:rFonts w:ascii="Times New Roman" w:hAnsi="Times New Roman" w:cs="Times New Roman"/>
        </w:rPr>
        <w:t>inotuzumab</w:t>
      </w:r>
      <w:proofErr w:type="spellEnd"/>
      <w:r w:rsidR="00DB4B66" w:rsidRPr="00B11EBF">
        <w:rPr>
          <w:rFonts w:ascii="Times New Roman" w:hAnsi="Times New Roman" w:cs="Times New Roman"/>
        </w:rPr>
        <w:t xml:space="preserve"> in an inpatient setting</w:t>
      </w:r>
      <w:r w:rsidR="00D5634B">
        <w:rPr>
          <w:rFonts w:ascii="Times New Roman" w:hAnsi="Times New Roman" w:cs="Times New Roman"/>
        </w:rPr>
        <w:t>.</w:t>
      </w:r>
      <w:r w:rsidR="00DB4B66">
        <w:rPr>
          <w:rFonts w:ascii="Times New Roman" w:hAnsi="Times New Roman" w:cs="Times New Roman"/>
        </w:rPr>
        <w:t xml:space="preserve"> </w:t>
      </w:r>
      <w:r w:rsidR="00F22FA1">
        <w:rPr>
          <w:rFonts w:ascii="Times New Roman" w:hAnsi="Times New Roman" w:cs="Times New Roman"/>
        </w:rPr>
        <w:t>Furthermore,</w:t>
      </w:r>
      <w:r w:rsidR="00DB4B66">
        <w:rPr>
          <w:rFonts w:ascii="Times New Roman" w:hAnsi="Times New Roman" w:cs="Times New Roman"/>
        </w:rPr>
        <w:t xml:space="preserve"> r</w:t>
      </w:r>
      <w:r w:rsidR="00865B62">
        <w:rPr>
          <w:rFonts w:ascii="Times New Roman" w:hAnsi="Times New Roman" w:cs="Times New Roman"/>
        </w:rPr>
        <w:t>ecent</w:t>
      </w:r>
      <w:r w:rsidR="006E66D7" w:rsidRPr="006E66D7">
        <w:rPr>
          <w:rFonts w:ascii="Times New Roman" w:hAnsi="Times New Roman" w:cs="Times New Roman"/>
        </w:rPr>
        <w:t xml:space="preserve"> case studies</w:t>
      </w:r>
      <w:r w:rsidR="00865B62">
        <w:rPr>
          <w:rFonts w:ascii="Times New Roman" w:hAnsi="Times New Roman" w:cs="Times New Roman"/>
        </w:rPr>
        <w:t xml:space="preserve"> identified by the ERG </w:t>
      </w:r>
      <w:r w:rsidR="00597243">
        <w:rPr>
          <w:rFonts w:ascii="Times New Roman" w:hAnsi="Times New Roman" w:cs="Times New Roman"/>
        </w:rPr>
        <w:lastRenderedPageBreak/>
        <w:t>report</w:t>
      </w:r>
      <w:r w:rsidR="006A4810">
        <w:rPr>
          <w:rFonts w:ascii="Times New Roman" w:hAnsi="Times New Roman" w:cs="Times New Roman"/>
        </w:rPr>
        <w:t>ed</w:t>
      </w:r>
      <w:r w:rsidR="006E66D7" w:rsidRPr="006E66D7">
        <w:rPr>
          <w:rFonts w:ascii="Times New Roman" w:hAnsi="Times New Roman" w:cs="Times New Roman"/>
        </w:rPr>
        <w:t xml:space="preserve"> mean length of hospitalisation for </w:t>
      </w:r>
      <w:proofErr w:type="spellStart"/>
      <w:r w:rsidR="006E66D7" w:rsidRPr="006E66D7">
        <w:rPr>
          <w:rFonts w:ascii="Times New Roman" w:hAnsi="Times New Roman" w:cs="Times New Roman"/>
        </w:rPr>
        <w:t>Ph</w:t>
      </w:r>
      <w:proofErr w:type="spellEnd"/>
      <w:r w:rsidR="006E66D7" w:rsidRPr="006E66D7">
        <w:rPr>
          <w:rFonts w:ascii="Times New Roman" w:hAnsi="Times New Roman" w:cs="Times New Roman"/>
        </w:rPr>
        <w:t>-negative R/R ALL patients between 16.8 days (France) and 26 days (Spain)</w:t>
      </w:r>
      <w:r w:rsidR="00865B62">
        <w:rPr>
          <w:rFonts w:ascii="Times New Roman" w:hAnsi="Times New Roman" w:cs="Times New Roman"/>
        </w:rPr>
        <w:t xml:space="preserve"> </w:t>
      </w:r>
      <w:r w:rsidR="00865B62">
        <w:rPr>
          <w:rFonts w:ascii="Times New Roman" w:hAnsi="Times New Roman" w:cs="Times New Roman"/>
        </w:rPr>
        <w:fldChar w:fldCharType="begin">
          <w:fldData xml:space="preserve">PEVuZE5vdGU+PENpdGU+PEF1dGhvcj5Cb2x1ZGE8L0F1dGhvcj48WWVhcj4yMDE2PC9ZZWFyPjxS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</w:fldData>
        </w:fldChar>
      </w:r>
      <w:r w:rsidR="005F15F8">
        <w:rPr>
          <w:rFonts w:ascii="Times New Roman" w:hAnsi="Times New Roman" w:cs="Times New Roman"/>
        </w:rPr>
        <w:instrText xml:space="preserve"> ADDIN EN.CITE </w:instrText>
      </w:r>
      <w:r w:rsidR="005F15F8">
        <w:rPr>
          <w:rFonts w:ascii="Times New Roman" w:hAnsi="Times New Roman" w:cs="Times New Roman"/>
        </w:rPr>
        <w:fldChar w:fldCharType="begin">
          <w:fldData xml:space="preserve">PEVuZE5vdGU+PENpdGU+PEF1dGhvcj5Cb2x1ZGE8L0F1dGhvcj48WWVhcj4yMDE2PC9ZZWFyPjxS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</w:fldData>
        </w:fldChar>
      </w:r>
      <w:r w:rsidR="005F15F8">
        <w:rPr>
          <w:rFonts w:ascii="Times New Roman" w:hAnsi="Times New Roman" w:cs="Times New Roman"/>
        </w:rPr>
        <w:instrText xml:space="preserve"> ADDIN EN.CITE.DATA </w:instrText>
      </w:r>
      <w:r w:rsidR="005F15F8">
        <w:rPr>
          <w:rFonts w:ascii="Times New Roman" w:hAnsi="Times New Roman" w:cs="Times New Roman"/>
        </w:rPr>
      </w:r>
      <w:r w:rsidR="005F15F8">
        <w:rPr>
          <w:rFonts w:ascii="Times New Roman" w:hAnsi="Times New Roman" w:cs="Times New Roman"/>
        </w:rPr>
        <w:fldChar w:fldCharType="end"/>
      </w:r>
      <w:r w:rsidR="00865B62">
        <w:rPr>
          <w:rFonts w:ascii="Times New Roman" w:hAnsi="Times New Roman" w:cs="Times New Roman"/>
        </w:rPr>
      </w:r>
      <w:r w:rsidR="00865B62">
        <w:rPr>
          <w:rFonts w:ascii="Times New Roman" w:hAnsi="Times New Roman" w:cs="Times New Roman"/>
        </w:rPr>
        <w:fldChar w:fldCharType="separate"/>
      </w:r>
      <w:r w:rsidR="005F15F8">
        <w:rPr>
          <w:rFonts w:ascii="Times New Roman" w:hAnsi="Times New Roman" w:cs="Times New Roman"/>
          <w:noProof/>
        </w:rPr>
        <w:t>[19, 20]</w:t>
      </w:r>
      <w:r w:rsidR="00865B62">
        <w:rPr>
          <w:rFonts w:ascii="Times New Roman" w:hAnsi="Times New Roman" w:cs="Times New Roman"/>
        </w:rPr>
        <w:fldChar w:fldCharType="end"/>
      </w:r>
      <w:r w:rsidR="006E66D7" w:rsidRPr="006E66D7">
        <w:rPr>
          <w:rFonts w:ascii="Times New Roman" w:hAnsi="Times New Roman" w:cs="Times New Roman"/>
        </w:rPr>
        <w:t>.</w:t>
      </w:r>
    </w:p>
    <w:p w14:paraId="23DC2232" w14:textId="54B391D7" w:rsidR="00FD26E3" w:rsidRDefault="00FD26E3" w:rsidP="00E61BB0">
      <w:pPr>
        <w:spacing w:line="360" w:lineRule="auto"/>
        <w:ind w:firstLine="357"/>
        <w:rPr>
          <w:rFonts w:ascii="Times New Roman" w:hAnsi="Times New Roman" w:cs="Times New Roman"/>
        </w:rPr>
      </w:pPr>
      <w:r w:rsidRPr="00BB1471">
        <w:rPr>
          <w:rFonts w:ascii="Times New Roman" w:hAnsi="Times New Roman" w:cs="Times New Roman"/>
        </w:rPr>
        <w:t>The ERG considered that the criteria for applying a discount rate of 1.5% to costs and outcomes were not met</w:t>
      </w:r>
      <w:r w:rsidR="005C6E21">
        <w:rPr>
          <w:rFonts w:ascii="Times New Roman" w:hAnsi="Times New Roman" w:cs="Times New Roman"/>
        </w:rPr>
        <w:t xml:space="preserve"> </w:t>
      </w:r>
      <w:r w:rsidR="005E10C9">
        <w:rPr>
          <w:rFonts w:ascii="Times New Roman" w:hAnsi="Times New Roman" w:cs="Times New Roman"/>
        </w:rPr>
        <w:fldChar w:fldCharType="begin"/>
      </w:r>
      <w:r w:rsidR="00BE567A">
        <w:rPr>
          <w:rFonts w:ascii="Times New Roman" w:hAnsi="Times New Roman" w:cs="Times New Roman"/>
        </w:rPr>
        <w:instrText xml:space="preserve"> ADDIN EN.CITE &lt;EndNote&gt;&lt;Cite&gt;&lt;Author&gt;National Institute of Health and Care Excellence&lt;/Author&gt;&lt;Year&gt;2013&lt;/Year&gt;&lt;RecNum&gt;46&lt;/RecNum&gt;&lt;DisplayText&gt;[3]&lt;/DisplayText&gt;&lt;record&gt;&lt;rec-number&gt;46&lt;/rec-number&gt;&lt;foreign-keys&gt;&lt;key app="EN" db-id="9f090dpxqtedprezvanxwdxlwv2d9d9dp2rs" timestamp="0"&gt;46&lt;/key&gt;&lt;/foreign-keys&gt;&lt;ref-type name="Web Page"&gt;12&lt;/ref-type&gt;&lt;contributors&gt;&lt;authors&gt;&lt;author&gt;National Institute of Health and Care Excellence,&lt;/author&gt;&lt;/authors&gt;&lt;/contributors&gt;&lt;titles&gt;&lt;title&gt;Guide to the methods of technology appraisal&lt;/title&gt;&lt;/titles&gt;&lt;dates&gt;&lt;year&gt;2013&lt;/year&gt;&lt;/dates&gt;&lt;urls&gt;&lt;related-urls&gt;&lt;url&gt;https://www.nice.org.uk/process/pmg9/chapter/foreword&lt;/url&gt;&lt;/related-urls&gt;&lt;/urls&gt;&lt;/record&gt;&lt;/Cite&gt;&lt;/EndNote&gt;</w:instrText>
      </w:r>
      <w:r w:rsidR="005E10C9">
        <w:rPr>
          <w:rFonts w:ascii="Times New Roman" w:hAnsi="Times New Roman" w:cs="Times New Roman"/>
        </w:rPr>
        <w:fldChar w:fldCharType="separate"/>
      </w:r>
      <w:r w:rsidR="0006339D">
        <w:rPr>
          <w:rFonts w:ascii="Times New Roman" w:hAnsi="Times New Roman" w:cs="Times New Roman"/>
          <w:noProof/>
        </w:rPr>
        <w:t>[3]</w:t>
      </w:r>
      <w:r w:rsidR="005E10C9">
        <w:rPr>
          <w:rFonts w:ascii="Times New Roman" w:hAnsi="Times New Roman" w:cs="Times New Roman"/>
        </w:rPr>
        <w:fldChar w:fldCharType="end"/>
      </w:r>
      <w:r w:rsidR="005C6E21">
        <w:rPr>
          <w:rFonts w:ascii="Times New Roman" w:hAnsi="Times New Roman" w:cs="Times New Roman"/>
        </w:rPr>
        <w:t>.</w:t>
      </w:r>
      <w:r w:rsidRPr="00BB1471">
        <w:rPr>
          <w:rFonts w:ascii="Times New Roman" w:hAnsi="Times New Roman" w:cs="Times New Roman"/>
        </w:rPr>
        <w:t xml:space="preserve">  Epidemiological data and the results of INO-VATE 1022 indicate ongoing morbidity following receipt of HSCT, and evidence suggests that mortality rates remain </w:t>
      </w:r>
      <w:r w:rsidR="00814002" w:rsidRPr="00814002">
        <w:rPr>
          <w:rFonts w:ascii="Times New Roman" w:hAnsi="Times New Roman" w:cs="Times New Roman"/>
        </w:rPr>
        <w:t>four to nine-fold higher</w:t>
      </w:r>
      <w:r w:rsidRPr="00814002">
        <w:rPr>
          <w:rFonts w:ascii="Times New Roman" w:hAnsi="Times New Roman" w:cs="Times New Roman"/>
        </w:rPr>
        <w:t xml:space="preserve"> </w:t>
      </w:r>
      <w:r w:rsidRPr="00BB1471">
        <w:rPr>
          <w:rFonts w:ascii="Times New Roman" w:hAnsi="Times New Roman" w:cs="Times New Roman"/>
        </w:rPr>
        <w:t>compared to the general population for upward of 25 years</w:t>
      </w:r>
      <w:r w:rsidR="005C6E21">
        <w:rPr>
          <w:rFonts w:ascii="Times New Roman" w:hAnsi="Times New Roman" w:cs="Times New Roman"/>
        </w:rPr>
        <w:t xml:space="preserve"> </w:t>
      </w:r>
      <w:r>
        <w:rPr>
          <w:rFonts w:ascii="Times New Roman" w:hAnsi="Times New Roman" w:cs="Times New Roman"/>
        </w:rPr>
        <w:fldChar w:fldCharType="begin"/>
      </w:r>
      <w:r w:rsidR="005F15F8">
        <w:rPr>
          <w:rFonts w:ascii="Times New Roman" w:hAnsi="Times New Roman" w:cs="Times New Roman"/>
        </w:rPr>
        <w:instrText xml:space="preserve"> ADDIN EN.CITE &lt;EndNote&gt;&lt;Cite&gt;&lt;Author&gt;Martin&lt;/Author&gt;&lt;Year&gt;2010&lt;/Year&gt;&lt;RecNum&gt;21&lt;/RecNum&gt;&lt;DisplayText&gt;[21]&lt;/DisplayText&gt;&lt;record&gt;&lt;rec-number&gt;21&lt;/rec-number&gt;&lt;foreign-keys&gt;&lt;key app="EN" db-id="9f090dpxqtedprezvanxwdxlwv2d9d9dp2rs" timestamp="0"&gt;21&lt;/key&gt;&lt;/foreign-keys&gt;&lt;ref-type name="Journal Article"&gt;17&lt;/ref-type&gt;&lt;contributors&gt;&lt;authors&gt;&lt;author&gt;Martin, P J&lt;/author&gt;&lt;author&gt;Counts, G W&lt;/author&gt;&lt;author&gt;Appelbaum, F R&lt;/author&gt;&lt;author&gt;Lee, S J&lt;/author&gt;&lt;author&gt;Sanders, J E&lt;/author&gt;&lt;author&gt;Deeg, H J&lt;/author&gt;&lt;author&gt;Flowers, M E D&lt;/author&gt;&lt;author&gt;Syrjala, K L&lt;/author&gt;&lt;author&gt;Hansen, J A&lt;/author&gt;&lt;author&gt;Storb, R F&lt;/author&gt;&lt;author&gt;Storer, B E&lt;/author&gt;&lt;/authors&gt;&lt;/contributors&gt;&lt;titles&gt;&lt;title&gt;Life expectancy in patients surviving more than 5 years after hematopoietic cell transplantation&lt;/title&gt;&lt;secondary-title&gt;Journal of Clinical Oncology&lt;/secondary-title&gt;&lt;/titles&gt;&lt;pages&gt;1011-1016&lt;/pages&gt;&lt;volume&gt;28&lt;/volume&gt;&lt;number&gt;6&lt;/number&gt;&lt;dates&gt;&lt;year&gt;2010&lt;/year&gt;&lt;/dates&gt;&lt;accession-num&gt;20065176&lt;/accession-num&gt;&lt;urls&gt;&lt;related-urls&gt;&lt;url&gt;&lt;style face="underline" font="default" size="100%"&gt;http://ascopubs.org/doi/abs/10.1200/JCO.2009.25.6693&lt;/style&gt;&lt;/url&gt;&lt;/related-urls&gt;&lt;/urls&gt;&lt;electronic-resource-num&gt;&lt;style face="underline" font="default" size="100%"&gt;http://dx.doi.org/10.1200/jco.2009.25.6693&lt;/style&gt;&lt;/electronic-resource-num&gt;&lt;/record&gt;&lt;/Cite&gt;&lt;/EndNote&gt;</w:instrText>
      </w:r>
      <w:r>
        <w:rPr>
          <w:rFonts w:ascii="Times New Roman" w:hAnsi="Times New Roman" w:cs="Times New Roman"/>
        </w:rPr>
        <w:fldChar w:fldCharType="separate"/>
      </w:r>
      <w:r w:rsidR="005F15F8">
        <w:rPr>
          <w:rFonts w:ascii="Times New Roman" w:hAnsi="Times New Roman" w:cs="Times New Roman"/>
          <w:noProof/>
        </w:rPr>
        <w:t>[21]</w:t>
      </w:r>
      <w:r>
        <w:rPr>
          <w:rFonts w:ascii="Times New Roman" w:hAnsi="Times New Roman" w:cs="Times New Roman"/>
        </w:rPr>
        <w:fldChar w:fldCharType="end"/>
      </w:r>
      <w:r w:rsidR="005C6E21">
        <w:rPr>
          <w:rFonts w:ascii="Times New Roman" w:hAnsi="Times New Roman" w:cs="Times New Roman"/>
        </w:rPr>
        <w:t>.</w:t>
      </w:r>
      <w:r w:rsidR="0018784A">
        <w:rPr>
          <w:rFonts w:ascii="Times New Roman" w:hAnsi="Times New Roman" w:cs="Times New Roman"/>
        </w:rPr>
        <w:t xml:space="preserve"> </w:t>
      </w:r>
    </w:p>
    <w:p w14:paraId="6CB4FC52" w14:textId="78942C87" w:rsidR="00445882" w:rsidRPr="00BB1471" w:rsidRDefault="00445882" w:rsidP="00E61BB0">
      <w:pPr>
        <w:spacing w:line="360" w:lineRule="auto"/>
        <w:ind w:firstLine="357"/>
        <w:rPr>
          <w:rFonts w:ascii="Times New Roman" w:hAnsi="Times New Roman" w:cs="Times New Roman"/>
        </w:rPr>
      </w:pPr>
      <w:r>
        <w:rPr>
          <w:rFonts w:ascii="Times New Roman" w:hAnsi="Times New Roman" w:cs="Times New Roman"/>
        </w:rPr>
        <w:t xml:space="preserve">Due to the aforementioned concerns, the ERG did not consider the company’s cost-effectiveness evidence </w:t>
      </w:r>
      <w:r w:rsidR="00BB38FF">
        <w:rPr>
          <w:rFonts w:ascii="Times New Roman" w:hAnsi="Times New Roman" w:cs="Times New Roman"/>
        </w:rPr>
        <w:t>for</w:t>
      </w:r>
      <w:r>
        <w:rPr>
          <w:rFonts w:ascii="Times New Roman" w:hAnsi="Times New Roman" w:cs="Times New Roman"/>
        </w:rPr>
        <w:t xml:space="preserve"> </w:t>
      </w:r>
      <w:proofErr w:type="spellStart"/>
      <w:r>
        <w:rPr>
          <w:rFonts w:ascii="Times New Roman" w:hAnsi="Times New Roman" w:cs="Times New Roman"/>
        </w:rPr>
        <w:t>inotuzumab</w:t>
      </w:r>
      <w:proofErr w:type="spellEnd"/>
      <w:r>
        <w:rPr>
          <w:rFonts w:ascii="Times New Roman" w:hAnsi="Times New Roman" w:cs="Times New Roman"/>
        </w:rPr>
        <w:t xml:space="preserve"> versus </w:t>
      </w:r>
      <w:proofErr w:type="spellStart"/>
      <w:r>
        <w:rPr>
          <w:rFonts w:ascii="Times New Roman" w:hAnsi="Times New Roman" w:cs="Times New Roman"/>
        </w:rPr>
        <w:t>SoC</w:t>
      </w:r>
      <w:proofErr w:type="spellEnd"/>
      <w:r>
        <w:rPr>
          <w:rFonts w:ascii="Times New Roman" w:hAnsi="Times New Roman" w:cs="Times New Roman"/>
        </w:rPr>
        <w:t xml:space="preserve"> sufficiently reliable to infor</w:t>
      </w:r>
      <w:r w:rsidR="007158C2">
        <w:rPr>
          <w:rFonts w:ascii="Times New Roman" w:hAnsi="Times New Roman" w:cs="Times New Roman"/>
        </w:rPr>
        <w:t xml:space="preserve">m </w:t>
      </w:r>
      <w:r w:rsidR="00914FCC">
        <w:rPr>
          <w:rFonts w:ascii="Times New Roman" w:hAnsi="Times New Roman" w:cs="Times New Roman"/>
        </w:rPr>
        <w:t xml:space="preserve">decision making. </w:t>
      </w:r>
      <w:r w:rsidR="000E0F51">
        <w:rPr>
          <w:rFonts w:ascii="Times New Roman" w:hAnsi="Times New Roman" w:cs="Times New Roman"/>
        </w:rPr>
        <w:t>T</w:t>
      </w:r>
      <w:r w:rsidR="00914FCC">
        <w:rPr>
          <w:rFonts w:ascii="Times New Roman" w:hAnsi="Times New Roman" w:cs="Times New Roman"/>
        </w:rPr>
        <w:t xml:space="preserve">he </w:t>
      </w:r>
      <w:r w:rsidR="00654D06">
        <w:rPr>
          <w:rFonts w:ascii="Times New Roman" w:hAnsi="Times New Roman" w:cs="Times New Roman"/>
        </w:rPr>
        <w:t>results of</w:t>
      </w:r>
      <w:r w:rsidR="00E37B49">
        <w:rPr>
          <w:rFonts w:ascii="Times New Roman" w:hAnsi="Times New Roman" w:cs="Times New Roman"/>
        </w:rPr>
        <w:t xml:space="preserve"> </w:t>
      </w:r>
      <w:r w:rsidR="00867380">
        <w:rPr>
          <w:rFonts w:ascii="Times New Roman" w:hAnsi="Times New Roman" w:cs="Times New Roman"/>
        </w:rPr>
        <w:t xml:space="preserve">ERG </w:t>
      </w:r>
      <w:r w:rsidR="00E37B49">
        <w:rPr>
          <w:rFonts w:ascii="Times New Roman" w:hAnsi="Times New Roman" w:cs="Times New Roman"/>
        </w:rPr>
        <w:t>preferred</w:t>
      </w:r>
      <w:r w:rsidR="00654D06">
        <w:rPr>
          <w:rFonts w:ascii="Times New Roman" w:hAnsi="Times New Roman" w:cs="Times New Roman"/>
        </w:rPr>
        <w:t xml:space="preserve"> </w:t>
      </w:r>
      <w:r w:rsidR="000E0F51">
        <w:rPr>
          <w:rFonts w:ascii="Times New Roman" w:hAnsi="Times New Roman" w:cs="Times New Roman"/>
        </w:rPr>
        <w:t xml:space="preserve">scenario analyses </w:t>
      </w:r>
      <w:r w:rsidR="00654D06">
        <w:rPr>
          <w:rFonts w:ascii="Times New Roman" w:hAnsi="Times New Roman" w:cs="Times New Roman"/>
        </w:rPr>
        <w:t xml:space="preserve">are </w:t>
      </w:r>
      <w:r w:rsidR="000E0F51">
        <w:rPr>
          <w:rFonts w:ascii="Times New Roman" w:hAnsi="Times New Roman" w:cs="Times New Roman"/>
        </w:rPr>
        <w:t xml:space="preserve">shown in </w:t>
      </w:r>
      <w:r w:rsidR="00EE182A">
        <w:rPr>
          <w:rFonts w:ascii="Times New Roman" w:hAnsi="Times New Roman" w:cs="Times New Roman"/>
        </w:rPr>
        <w:t>Table 2</w:t>
      </w:r>
      <w:r w:rsidR="00914FCC">
        <w:rPr>
          <w:rFonts w:ascii="Times New Roman" w:hAnsi="Times New Roman" w:cs="Times New Roman"/>
        </w:rPr>
        <w:t xml:space="preserve">. The combination of the scenarios </w:t>
      </w:r>
      <w:r w:rsidR="003656C2">
        <w:rPr>
          <w:rFonts w:ascii="Times New Roman" w:hAnsi="Times New Roman" w:cs="Times New Roman"/>
        </w:rPr>
        <w:t>resulted in</w:t>
      </w:r>
      <w:r w:rsidR="002C7599">
        <w:rPr>
          <w:rFonts w:ascii="Times New Roman" w:hAnsi="Times New Roman" w:cs="Times New Roman"/>
        </w:rPr>
        <w:t xml:space="preserve"> </w:t>
      </w:r>
      <w:r w:rsidR="003656C2">
        <w:rPr>
          <w:rFonts w:ascii="Times New Roman" w:hAnsi="Times New Roman" w:cs="Times New Roman"/>
        </w:rPr>
        <w:t>a</w:t>
      </w:r>
      <w:r w:rsidR="000E0F51">
        <w:rPr>
          <w:rFonts w:ascii="Times New Roman" w:hAnsi="Times New Roman" w:cs="Times New Roman"/>
        </w:rPr>
        <w:t>n</w:t>
      </w:r>
      <w:r w:rsidR="003656C2">
        <w:rPr>
          <w:rFonts w:ascii="Times New Roman" w:hAnsi="Times New Roman" w:cs="Times New Roman"/>
        </w:rPr>
        <w:t xml:space="preserve"> ICER </w:t>
      </w:r>
      <w:r w:rsidR="000E0F51">
        <w:rPr>
          <w:rFonts w:ascii="Times New Roman" w:hAnsi="Times New Roman" w:cs="Times New Roman"/>
        </w:rPr>
        <w:t xml:space="preserve">for </w:t>
      </w:r>
      <w:proofErr w:type="spellStart"/>
      <w:r w:rsidR="000E0F51">
        <w:rPr>
          <w:rFonts w:ascii="Times New Roman" w:hAnsi="Times New Roman" w:cs="Times New Roman"/>
        </w:rPr>
        <w:t>inotuzumab</w:t>
      </w:r>
      <w:proofErr w:type="spellEnd"/>
      <w:r w:rsidR="000E0F51">
        <w:rPr>
          <w:rFonts w:ascii="Times New Roman" w:hAnsi="Times New Roman" w:cs="Times New Roman"/>
        </w:rPr>
        <w:t xml:space="preserve"> compared to </w:t>
      </w:r>
      <w:proofErr w:type="spellStart"/>
      <w:r w:rsidR="000E0F51">
        <w:rPr>
          <w:rFonts w:ascii="Times New Roman" w:hAnsi="Times New Roman" w:cs="Times New Roman"/>
        </w:rPr>
        <w:t>SoC</w:t>
      </w:r>
      <w:proofErr w:type="spellEnd"/>
      <w:r w:rsidR="000E0F51">
        <w:rPr>
          <w:rFonts w:ascii="Times New Roman" w:hAnsi="Times New Roman" w:cs="Times New Roman"/>
        </w:rPr>
        <w:t xml:space="preserve"> </w:t>
      </w:r>
      <w:r w:rsidR="003656C2">
        <w:rPr>
          <w:rFonts w:ascii="Times New Roman" w:hAnsi="Times New Roman" w:cs="Times New Roman"/>
        </w:rPr>
        <w:t>of £114,078</w:t>
      </w:r>
      <w:r w:rsidR="000E0F51">
        <w:rPr>
          <w:rFonts w:ascii="Times New Roman" w:hAnsi="Times New Roman" w:cs="Times New Roman"/>
        </w:rPr>
        <w:t xml:space="preserve"> per </w:t>
      </w:r>
      <w:r w:rsidR="003656C2">
        <w:rPr>
          <w:rFonts w:ascii="Times New Roman" w:hAnsi="Times New Roman" w:cs="Times New Roman"/>
        </w:rPr>
        <w:t>QALY</w:t>
      </w:r>
      <w:r w:rsidR="00F53666">
        <w:rPr>
          <w:rFonts w:ascii="Times New Roman" w:hAnsi="Times New Roman" w:cs="Times New Roman"/>
        </w:rPr>
        <w:t xml:space="preserve"> gained</w:t>
      </w:r>
      <w:r w:rsidR="003656C2">
        <w:rPr>
          <w:rFonts w:ascii="Times New Roman" w:hAnsi="Times New Roman" w:cs="Times New Roman"/>
        </w:rPr>
        <w:t xml:space="preserve"> </w:t>
      </w:r>
      <w:r w:rsidR="000E0F51">
        <w:rPr>
          <w:rFonts w:ascii="Times New Roman" w:hAnsi="Times New Roman" w:cs="Times New Roman"/>
        </w:rPr>
        <w:t xml:space="preserve">with parametric survival models fit to the trial data </w:t>
      </w:r>
      <w:r w:rsidR="002C7599">
        <w:rPr>
          <w:rFonts w:ascii="Times New Roman" w:hAnsi="Times New Roman" w:cs="Times New Roman"/>
        </w:rPr>
        <w:t>and</w:t>
      </w:r>
      <w:r w:rsidR="003656C2">
        <w:rPr>
          <w:rFonts w:ascii="Times New Roman" w:hAnsi="Times New Roman" w:cs="Times New Roman"/>
        </w:rPr>
        <w:t xml:space="preserve"> £122,174</w:t>
      </w:r>
      <w:r w:rsidR="000E0F51">
        <w:rPr>
          <w:rFonts w:ascii="Times New Roman" w:hAnsi="Times New Roman" w:cs="Times New Roman"/>
        </w:rPr>
        <w:t xml:space="preserve"> per </w:t>
      </w:r>
      <w:r w:rsidR="003656C2">
        <w:rPr>
          <w:rFonts w:ascii="Times New Roman" w:hAnsi="Times New Roman" w:cs="Times New Roman"/>
        </w:rPr>
        <w:t>QALY</w:t>
      </w:r>
      <w:r w:rsidR="00F53666">
        <w:rPr>
          <w:rFonts w:ascii="Times New Roman" w:hAnsi="Times New Roman" w:cs="Times New Roman"/>
        </w:rPr>
        <w:t xml:space="preserve"> gained</w:t>
      </w:r>
      <w:r w:rsidR="003656C2">
        <w:rPr>
          <w:rFonts w:ascii="Times New Roman" w:hAnsi="Times New Roman" w:cs="Times New Roman"/>
        </w:rPr>
        <w:t xml:space="preserve"> </w:t>
      </w:r>
      <w:r w:rsidR="000E0F51">
        <w:rPr>
          <w:rFonts w:ascii="Times New Roman" w:hAnsi="Times New Roman" w:cs="Times New Roman"/>
        </w:rPr>
        <w:t>using Kaplan Meier survival estimates</w:t>
      </w:r>
      <w:r w:rsidR="002C7599">
        <w:rPr>
          <w:rFonts w:ascii="Times New Roman" w:hAnsi="Times New Roman" w:cs="Times New Roman"/>
        </w:rPr>
        <w:t xml:space="preserve">. </w:t>
      </w:r>
      <w:r w:rsidR="00914FCC">
        <w:rPr>
          <w:rFonts w:ascii="Times New Roman" w:hAnsi="Times New Roman" w:cs="Times New Roman"/>
        </w:rPr>
        <w:t>ICERs calculated in the additional</w:t>
      </w:r>
      <w:r w:rsidR="00221D84">
        <w:rPr>
          <w:rFonts w:ascii="Times New Roman" w:hAnsi="Times New Roman" w:cs="Times New Roman"/>
        </w:rPr>
        <w:t xml:space="preserve"> scenario</w:t>
      </w:r>
      <w:r w:rsidR="00914FCC">
        <w:rPr>
          <w:rFonts w:ascii="Times New Roman" w:hAnsi="Times New Roman" w:cs="Times New Roman"/>
        </w:rPr>
        <w:t xml:space="preserve"> analyses surrounding the ERG’s </w:t>
      </w:r>
      <w:r w:rsidR="00DD6428">
        <w:rPr>
          <w:rFonts w:ascii="Times New Roman" w:hAnsi="Times New Roman" w:cs="Times New Roman"/>
        </w:rPr>
        <w:t>non-parametric</w:t>
      </w:r>
      <w:r w:rsidR="00914FCC">
        <w:rPr>
          <w:rFonts w:ascii="Times New Roman" w:hAnsi="Times New Roman" w:cs="Times New Roman"/>
        </w:rPr>
        <w:t xml:space="preserve"> base case ranged between £</w:t>
      </w:r>
      <w:r w:rsidR="002C7599">
        <w:rPr>
          <w:rFonts w:ascii="Times New Roman" w:hAnsi="Times New Roman" w:cs="Times New Roman"/>
        </w:rPr>
        <w:t>121,648</w:t>
      </w:r>
      <w:r w:rsidR="007C0902">
        <w:rPr>
          <w:rFonts w:ascii="Times New Roman" w:hAnsi="Times New Roman" w:cs="Times New Roman"/>
        </w:rPr>
        <w:t>/QALY</w:t>
      </w:r>
      <w:r w:rsidR="00914FCC">
        <w:rPr>
          <w:rFonts w:ascii="Times New Roman" w:hAnsi="Times New Roman" w:cs="Times New Roman"/>
        </w:rPr>
        <w:t xml:space="preserve"> </w:t>
      </w:r>
      <w:r w:rsidR="00010545">
        <w:rPr>
          <w:rFonts w:ascii="Times New Roman" w:hAnsi="Times New Roman" w:cs="Times New Roman"/>
        </w:rPr>
        <w:t xml:space="preserve">(all </w:t>
      </w:r>
      <w:proofErr w:type="spellStart"/>
      <w:r w:rsidR="00010545">
        <w:rPr>
          <w:rFonts w:ascii="Times New Roman" w:hAnsi="Times New Roman" w:cs="Times New Roman"/>
        </w:rPr>
        <w:t>SoC</w:t>
      </w:r>
      <w:proofErr w:type="spellEnd"/>
      <w:r w:rsidR="009E08AD">
        <w:rPr>
          <w:rFonts w:ascii="Times New Roman" w:hAnsi="Times New Roman" w:cs="Times New Roman"/>
        </w:rPr>
        <w:t xml:space="preserve"> costed as FLAG-IDA) </w:t>
      </w:r>
      <w:r w:rsidR="00914FCC">
        <w:rPr>
          <w:rFonts w:ascii="Times New Roman" w:hAnsi="Times New Roman" w:cs="Times New Roman"/>
        </w:rPr>
        <w:t>and £</w:t>
      </w:r>
      <w:r w:rsidR="009E08AD">
        <w:rPr>
          <w:rFonts w:ascii="Times New Roman" w:hAnsi="Times New Roman" w:cs="Times New Roman"/>
        </w:rPr>
        <w:t>84,065</w:t>
      </w:r>
      <w:r w:rsidR="007C0902">
        <w:rPr>
          <w:rFonts w:ascii="Times New Roman" w:hAnsi="Times New Roman" w:cs="Times New Roman"/>
        </w:rPr>
        <w:t>/QALY</w:t>
      </w:r>
      <w:r w:rsidR="002C7599">
        <w:rPr>
          <w:rFonts w:ascii="Times New Roman" w:hAnsi="Times New Roman" w:cs="Times New Roman"/>
        </w:rPr>
        <w:t xml:space="preserve"> </w:t>
      </w:r>
      <w:r w:rsidR="009E08AD">
        <w:rPr>
          <w:rFonts w:ascii="Times New Roman" w:hAnsi="Times New Roman" w:cs="Times New Roman"/>
        </w:rPr>
        <w:t>(separate survival curves post-HSCT)</w:t>
      </w:r>
      <w:r w:rsidR="00914FCC">
        <w:rPr>
          <w:rFonts w:ascii="Times New Roman" w:hAnsi="Times New Roman" w:cs="Times New Roman"/>
        </w:rPr>
        <w:t xml:space="preserve">.  </w:t>
      </w:r>
    </w:p>
    <w:p w14:paraId="74B8AA2A" w14:textId="46C354F1" w:rsidR="00637CBC" w:rsidRPr="00637CBC" w:rsidRDefault="00442773" w:rsidP="00E61BB0">
      <w:pPr>
        <w:spacing w:before="120" w:after="240" w:line="360" w:lineRule="auto"/>
        <w:jc w:val="center"/>
        <w:rPr>
          <w:rFonts w:ascii="Times New Roman" w:hAnsi="Times New Roman" w:cs="Times New Roman"/>
        </w:rPr>
      </w:pPr>
      <w:r>
        <w:rPr>
          <w:rFonts w:ascii="Times New Roman" w:hAnsi="Times New Roman" w:cs="Times New Roman"/>
        </w:rPr>
        <w:t>[</w:t>
      </w:r>
      <w:r w:rsidR="004961DD" w:rsidRPr="004961DD">
        <w:rPr>
          <w:rFonts w:ascii="Times New Roman" w:hAnsi="Times New Roman" w:cs="Times New Roman"/>
        </w:rPr>
        <w:fldChar w:fldCharType="begin"/>
      </w:r>
      <w:r w:rsidR="004961DD" w:rsidRPr="004961DD">
        <w:rPr>
          <w:rFonts w:ascii="Times New Roman" w:hAnsi="Times New Roman" w:cs="Times New Roman"/>
        </w:rPr>
        <w:instrText xml:space="preserve"> REF _Ref526256811 \h  \* MERGEFORMAT </w:instrText>
      </w:r>
      <w:r w:rsidR="004961DD" w:rsidRPr="004961DD">
        <w:rPr>
          <w:rFonts w:ascii="Times New Roman" w:hAnsi="Times New Roman" w:cs="Times New Roman"/>
        </w:rPr>
      </w:r>
      <w:r w:rsidR="004961DD" w:rsidRPr="004961DD">
        <w:rPr>
          <w:rFonts w:ascii="Times New Roman" w:hAnsi="Times New Roman" w:cs="Times New Roman"/>
        </w:rPr>
        <w:fldChar w:fldCharType="separate"/>
      </w:r>
      <w:r w:rsidR="00742587" w:rsidRPr="00742587">
        <w:rPr>
          <w:rFonts w:ascii="Times New Roman" w:hAnsi="Times New Roman" w:cs="Times New Roman"/>
          <w:iCs/>
        </w:rPr>
        <w:t xml:space="preserve">Table </w:t>
      </w:r>
      <w:r w:rsidR="00742587" w:rsidRPr="00742587">
        <w:rPr>
          <w:rFonts w:ascii="Times New Roman" w:hAnsi="Times New Roman" w:cs="Times New Roman"/>
          <w:iCs/>
          <w:noProof/>
        </w:rPr>
        <w:t>2</w:t>
      </w:r>
      <w:r w:rsidR="004961DD" w:rsidRPr="004961DD">
        <w:rPr>
          <w:rFonts w:ascii="Times New Roman" w:hAnsi="Times New Roman" w:cs="Times New Roman"/>
        </w:rPr>
        <w:fldChar w:fldCharType="end"/>
      </w:r>
      <w:r w:rsidR="009E08AD" w:rsidRPr="004961DD">
        <w:rPr>
          <w:rFonts w:ascii="Times New Roman" w:hAnsi="Times New Roman" w:cs="Times New Roman"/>
        </w:rPr>
        <w:t>]</w:t>
      </w:r>
    </w:p>
    <w:p w14:paraId="46255B76" w14:textId="77777777" w:rsidR="007B2825" w:rsidRPr="00DD657B" w:rsidRDefault="007B2825" w:rsidP="00E61BB0">
      <w:pPr>
        <w:pStyle w:val="Heading2"/>
        <w:spacing w:line="360" w:lineRule="auto"/>
        <w:ind w:left="578" w:hanging="578"/>
        <w:rPr>
          <w:rFonts w:cs="Times New Roman"/>
        </w:rPr>
      </w:pPr>
      <w:r w:rsidRPr="00DD657B">
        <w:rPr>
          <w:rFonts w:cs="Times New Roman"/>
        </w:rPr>
        <w:t xml:space="preserve">Conclusions of the ERG Review </w:t>
      </w:r>
    </w:p>
    <w:p w14:paraId="6198BEBD" w14:textId="565D6426" w:rsidR="00BE74BE" w:rsidRDefault="00777C6F" w:rsidP="00E61BB0">
      <w:pPr>
        <w:spacing w:before="200" w:line="360" w:lineRule="auto"/>
        <w:rPr>
          <w:rFonts w:ascii="Times New Roman" w:hAnsi="Times New Roman" w:cs="Times New Roman"/>
        </w:rPr>
      </w:pPr>
      <w:r w:rsidRPr="00777C6F">
        <w:rPr>
          <w:rFonts w:ascii="Times New Roman" w:hAnsi="Times New Roman" w:cs="Times New Roman"/>
        </w:rPr>
        <w:t xml:space="preserve">INO-VATE 1022 </w:t>
      </w:r>
      <w:r>
        <w:rPr>
          <w:rFonts w:ascii="Times New Roman" w:hAnsi="Times New Roman" w:cs="Times New Roman"/>
        </w:rPr>
        <w:t xml:space="preserve">demonstrated that </w:t>
      </w:r>
      <w:proofErr w:type="spellStart"/>
      <w:r>
        <w:rPr>
          <w:rFonts w:ascii="Times New Roman" w:hAnsi="Times New Roman" w:cs="Times New Roman"/>
        </w:rPr>
        <w:t>inotuzumab</w:t>
      </w:r>
      <w:proofErr w:type="spellEnd"/>
      <w:r>
        <w:rPr>
          <w:rFonts w:ascii="Times New Roman" w:hAnsi="Times New Roman" w:cs="Times New Roman"/>
        </w:rPr>
        <w:t xml:space="preserve"> </w:t>
      </w:r>
      <w:r w:rsidR="00FC2B69">
        <w:rPr>
          <w:rFonts w:ascii="Times New Roman" w:hAnsi="Times New Roman" w:cs="Times New Roman"/>
        </w:rPr>
        <w:t>had a significant</w:t>
      </w:r>
      <w:r w:rsidR="00FC2B69" w:rsidRPr="00FC2B69">
        <w:rPr>
          <w:rFonts w:ascii="Times New Roman" w:hAnsi="Times New Roman" w:cs="Times New Roman"/>
        </w:rPr>
        <w:t xml:space="preserve"> </w:t>
      </w:r>
      <w:r w:rsidR="00FC2B69">
        <w:rPr>
          <w:rFonts w:ascii="Times New Roman" w:hAnsi="Times New Roman" w:cs="Times New Roman"/>
        </w:rPr>
        <w:t xml:space="preserve">benefit in terms of </w:t>
      </w:r>
      <w:r w:rsidR="00FC2B69" w:rsidRPr="00FC2B69">
        <w:rPr>
          <w:rFonts w:ascii="Times New Roman" w:hAnsi="Times New Roman" w:cs="Times New Roman"/>
        </w:rPr>
        <w:t>improving remission outcomes</w:t>
      </w:r>
      <w:r w:rsidR="00FC2B69">
        <w:rPr>
          <w:rFonts w:ascii="Times New Roman" w:hAnsi="Times New Roman" w:cs="Times New Roman"/>
        </w:rPr>
        <w:t xml:space="preserve"> and was associated with a statistically significantly higher proportion of patients progressing to HSCT after study therapy than </w:t>
      </w:r>
      <w:proofErr w:type="spellStart"/>
      <w:r w:rsidR="00FC2B69">
        <w:rPr>
          <w:rFonts w:ascii="Times New Roman" w:hAnsi="Times New Roman" w:cs="Times New Roman"/>
        </w:rPr>
        <w:t>SoC.</w:t>
      </w:r>
      <w:proofErr w:type="spellEnd"/>
      <w:r w:rsidR="00FC2B69">
        <w:rPr>
          <w:rFonts w:ascii="Times New Roman" w:hAnsi="Times New Roman" w:cs="Times New Roman"/>
        </w:rPr>
        <w:t xml:space="preserve"> </w:t>
      </w:r>
      <w:r w:rsidR="00BE74BE" w:rsidRPr="00BE74BE">
        <w:rPr>
          <w:rFonts w:ascii="Times New Roman" w:hAnsi="Times New Roman" w:cs="Times New Roman"/>
        </w:rPr>
        <w:t>However, the data on overall survival were less convincing</w:t>
      </w:r>
      <w:r w:rsidR="004B7431">
        <w:rPr>
          <w:rFonts w:ascii="Times New Roman" w:hAnsi="Times New Roman" w:cs="Times New Roman"/>
        </w:rPr>
        <w:t xml:space="preserve">. </w:t>
      </w:r>
      <w:r w:rsidR="0075774A">
        <w:rPr>
          <w:rFonts w:ascii="Times New Roman" w:hAnsi="Times New Roman" w:cs="Times New Roman"/>
        </w:rPr>
        <w:t>Most</w:t>
      </w:r>
      <w:r w:rsidR="00BE74BE" w:rsidRPr="00BE74BE">
        <w:rPr>
          <w:rFonts w:ascii="Times New Roman" w:hAnsi="Times New Roman" w:cs="Times New Roman"/>
        </w:rPr>
        <w:t xml:space="preserve"> TEAEs were more frequent in the </w:t>
      </w:r>
      <w:proofErr w:type="spellStart"/>
      <w:r w:rsidR="00BE74BE" w:rsidRPr="00BE74BE">
        <w:rPr>
          <w:rFonts w:ascii="Times New Roman" w:hAnsi="Times New Roman" w:cs="Times New Roman"/>
        </w:rPr>
        <w:t>SoC</w:t>
      </w:r>
      <w:proofErr w:type="spellEnd"/>
      <w:r w:rsidR="00BE74BE" w:rsidRPr="00BE74BE">
        <w:rPr>
          <w:rFonts w:ascii="Times New Roman" w:hAnsi="Times New Roman" w:cs="Times New Roman"/>
        </w:rPr>
        <w:t xml:space="preserve"> arm than the </w:t>
      </w:r>
      <w:proofErr w:type="spellStart"/>
      <w:r w:rsidR="00BE74BE" w:rsidRPr="00BE74BE">
        <w:rPr>
          <w:rFonts w:ascii="Times New Roman" w:hAnsi="Times New Roman" w:cs="Times New Roman"/>
        </w:rPr>
        <w:t>inotuzumab</w:t>
      </w:r>
      <w:proofErr w:type="spellEnd"/>
      <w:r w:rsidR="00BE74BE" w:rsidRPr="00BE74BE">
        <w:rPr>
          <w:rFonts w:ascii="Times New Roman" w:hAnsi="Times New Roman" w:cs="Times New Roman"/>
        </w:rPr>
        <w:t xml:space="preserve"> arm.  However, VOD</w:t>
      </w:r>
      <w:r w:rsidR="00654D06">
        <w:rPr>
          <w:rFonts w:ascii="Times New Roman" w:hAnsi="Times New Roman" w:cs="Times New Roman"/>
        </w:rPr>
        <w:t>, a potentially fatal event,</w:t>
      </w:r>
      <w:r w:rsidR="00BE74BE" w:rsidRPr="00BE74BE">
        <w:rPr>
          <w:rFonts w:ascii="Times New Roman" w:hAnsi="Times New Roman" w:cs="Times New Roman"/>
        </w:rPr>
        <w:t xml:space="preserve"> was statistically significantly more frequent in the </w:t>
      </w:r>
      <w:proofErr w:type="spellStart"/>
      <w:r w:rsidR="00BE74BE" w:rsidRPr="00BE74BE">
        <w:rPr>
          <w:rFonts w:ascii="Times New Roman" w:hAnsi="Times New Roman" w:cs="Times New Roman"/>
        </w:rPr>
        <w:t>inotuzumab</w:t>
      </w:r>
      <w:proofErr w:type="spellEnd"/>
      <w:r w:rsidR="00BE74BE" w:rsidRPr="00BE74BE">
        <w:rPr>
          <w:rFonts w:ascii="Times New Roman" w:hAnsi="Times New Roman" w:cs="Times New Roman"/>
        </w:rPr>
        <w:t xml:space="preserve"> arm than the </w:t>
      </w:r>
      <w:proofErr w:type="spellStart"/>
      <w:r w:rsidR="00BE74BE" w:rsidRPr="00BE74BE">
        <w:rPr>
          <w:rFonts w:ascii="Times New Roman" w:hAnsi="Times New Roman" w:cs="Times New Roman"/>
        </w:rPr>
        <w:t>SoC</w:t>
      </w:r>
      <w:proofErr w:type="spellEnd"/>
      <w:r w:rsidR="00BE74BE" w:rsidRPr="00BE74BE">
        <w:rPr>
          <w:rFonts w:ascii="Times New Roman" w:hAnsi="Times New Roman" w:cs="Times New Roman"/>
        </w:rPr>
        <w:t xml:space="preserve"> arm.</w:t>
      </w:r>
      <w:r w:rsidR="00BE74BE">
        <w:rPr>
          <w:rFonts w:ascii="Times New Roman" w:hAnsi="Times New Roman" w:cs="Times New Roman"/>
        </w:rPr>
        <w:t xml:space="preserve"> </w:t>
      </w:r>
      <w:r w:rsidR="00BE74BE" w:rsidRPr="00BE74BE">
        <w:rPr>
          <w:rFonts w:ascii="Times New Roman" w:hAnsi="Times New Roman" w:cs="Times New Roman"/>
        </w:rPr>
        <w:t xml:space="preserve">The </w:t>
      </w:r>
      <w:r w:rsidR="00D51CDD">
        <w:rPr>
          <w:rFonts w:ascii="Times New Roman" w:hAnsi="Times New Roman" w:cs="Times New Roman"/>
        </w:rPr>
        <w:t>INO-VATE 1022 trial</w:t>
      </w:r>
      <w:r w:rsidR="00BE74BE" w:rsidRPr="00BE74BE">
        <w:rPr>
          <w:rFonts w:ascii="Times New Roman" w:hAnsi="Times New Roman" w:cs="Times New Roman"/>
        </w:rPr>
        <w:t xml:space="preserve"> only included patients who were suitable for intensive therapy</w:t>
      </w:r>
      <w:r w:rsidR="00D51CDD">
        <w:rPr>
          <w:rFonts w:ascii="Times New Roman" w:hAnsi="Times New Roman" w:cs="Times New Roman"/>
        </w:rPr>
        <w:t xml:space="preserve"> and due to receive </w:t>
      </w:r>
      <w:r w:rsidR="00AC3D62">
        <w:rPr>
          <w:rFonts w:ascii="Times New Roman" w:hAnsi="Times New Roman" w:cs="Times New Roman"/>
        </w:rPr>
        <w:t>their first or second</w:t>
      </w:r>
      <w:r w:rsidR="00D51CDD">
        <w:rPr>
          <w:rFonts w:ascii="Times New Roman" w:hAnsi="Times New Roman" w:cs="Times New Roman"/>
        </w:rPr>
        <w:t xml:space="preserve"> salvage</w:t>
      </w:r>
      <w:r w:rsidR="00AC3D62">
        <w:rPr>
          <w:rFonts w:ascii="Times New Roman" w:hAnsi="Times New Roman" w:cs="Times New Roman"/>
        </w:rPr>
        <w:t xml:space="preserve"> </w:t>
      </w:r>
      <w:r w:rsidR="00D51CDD">
        <w:rPr>
          <w:rFonts w:ascii="Times New Roman" w:hAnsi="Times New Roman" w:cs="Times New Roman"/>
        </w:rPr>
        <w:t>therapy</w:t>
      </w:r>
      <w:r w:rsidR="00BE74BE" w:rsidRPr="00BE74BE">
        <w:rPr>
          <w:rFonts w:ascii="Times New Roman" w:hAnsi="Times New Roman" w:cs="Times New Roman"/>
        </w:rPr>
        <w:t xml:space="preserve">, which is only a subset of the anticipated licensed population. </w:t>
      </w:r>
    </w:p>
    <w:p w14:paraId="223293D0" w14:textId="59A7C77A" w:rsidR="007B2825" w:rsidRDefault="00BE74BE" w:rsidP="00E61BB0">
      <w:pPr>
        <w:spacing w:line="360" w:lineRule="auto"/>
        <w:ind w:firstLine="357"/>
        <w:rPr>
          <w:rFonts w:ascii="Times New Roman" w:hAnsi="Times New Roman" w:cs="Times New Roman"/>
        </w:rPr>
      </w:pPr>
      <w:r w:rsidRPr="00BE74BE">
        <w:rPr>
          <w:rFonts w:ascii="Times New Roman" w:hAnsi="Times New Roman" w:cs="Times New Roman"/>
        </w:rPr>
        <w:t>The key drivers in the cost</w:t>
      </w:r>
      <w:r w:rsidR="00945E77">
        <w:rPr>
          <w:rFonts w:ascii="Times New Roman" w:hAnsi="Times New Roman" w:cs="Times New Roman"/>
        </w:rPr>
        <w:t>-</w:t>
      </w:r>
      <w:r w:rsidRPr="00BE74BE">
        <w:rPr>
          <w:rFonts w:ascii="Times New Roman" w:hAnsi="Times New Roman" w:cs="Times New Roman"/>
        </w:rPr>
        <w:t xml:space="preserve">effectiveness </w:t>
      </w:r>
      <w:r w:rsidR="00C81957">
        <w:rPr>
          <w:rFonts w:ascii="Times New Roman" w:hAnsi="Times New Roman" w:cs="Times New Roman"/>
        </w:rPr>
        <w:t xml:space="preserve">evaluation </w:t>
      </w:r>
      <w:r w:rsidRPr="00BE74BE">
        <w:rPr>
          <w:rFonts w:ascii="Times New Roman" w:hAnsi="Times New Roman" w:cs="Times New Roman"/>
        </w:rPr>
        <w:t xml:space="preserve">of </w:t>
      </w:r>
      <w:proofErr w:type="spellStart"/>
      <w:r w:rsidRPr="00BE74BE">
        <w:rPr>
          <w:rFonts w:ascii="Times New Roman" w:hAnsi="Times New Roman" w:cs="Times New Roman"/>
        </w:rPr>
        <w:t>inotuzumab</w:t>
      </w:r>
      <w:proofErr w:type="spellEnd"/>
      <w:r w:rsidRPr="00BE74BE">
        <w:rPr>
          <w:rFonts w:ascii="Times New Roman" w:hAnsi="Times New Roman" w:cs="Times New Roman"/>
        </w:rPr>
        <w:t xml:space="preserve"> </w:t>
      </w:r>
      <w:r w:rsidR="00C81957">
        <w:rPr>
          <w:rFonts w:ascii="Times New Roman" w:hAnsi="Times New Roman" w:cs="Times New Roman"/>
        </w:rPr>
        <w:t>were</w:t>
      </w:r>
      <w:r w:rsidRPr="00BE74BE">
        <w:rPr>
          <w:rFonts w:ascii="Times New Roman" w:hAnsi="Times New Roman" w:cs="Times New Roman"/>
        </w:rPr>
        <w:t xml:space="preserve"> the assumptions concerning the additional benefits of </w:t>
      </w:r>
      <w:proofErr w:type="spellStart"/>
      <w:r w:rsidRPr="00BE74BE">
        <w:rPr>
          <w:rFonts w:ascii="Times New Roman" w:hAnsi="Times New Roman" w:cs="Times New Roman"/>
        </w:rPr>
        <w:t>inotuzumab</w:t>
      </w:r>
      <w:proofErr w:type="spellEnd"/>
      <w:r w:rsidRPr="00BE74BE">
        <w:rPr>
          <w:rFonts w:ascii="Times New Roman" w:hAnsi="Times New Roman" w:cs="Times New Roman"/>
        </w:rPr>
        <w:t xml:space="preserve"> post</w:t>
      </w:r>
      <w:r w:rsidR="005917AE">
        <w:rPr>
          <w:rFonts w:ascii="Times New Roman" w:hAnsi="Times New Roman" w:cs="Times New Roman"/>
        </w:rPr>
        <w:t>-</w:t>
      </w:r>
      <w:r w:rsidRPr="00BE74BE">
        <w:rPr>
          <w:rFonts w:ascii="Times New Roman" w:hAnsi="Times New Roman" w:cs="Times New Roman"/>
        </w:rPr>
        <w:t>HSCT.  The ERG considered that the criteria for applying a 1.5% discount rate were not met</w:t>
      </w:r>
      <w:r w:rsidR="00654D06">
        <w:rPr>
          <w:rFonts w:ascii="Times New Roman" w:hAnsi="Times New Roman" w:cs="Times New Roman"/>
        </w:rPr>
        <w:t>, and that the assumption that patients would return to general population morbidity and mortality risk three years post</w:t>
      </w:r>
      <w:r w:rsidR="005917AE">
        <w:rPr>
          <w:rFonts w:ascii="Times New Roman" w:hAnsi="Times New Roman" w:cs="Times New Roman"/>
        </w:rPr>
        <w:t>-</w:t>
      </w:r>
      <w:r w:rsidR="00654D06">
        <w:rPr>
          <w:rFonts w:ascii="Times New Roman" w:hAnsi="Times New Roman" w:cs="Times New Roman"/>
        </w:rPr>
        <w:t>HSCT was not supported by epidemiological evidence.</w:t>
      </w:r>
      <w:r w:rsidR="00CA2402">
        <w:rPr>
          <w:rFonts w:ascii="Times New Roman" w:hAnsi="Times New Roman" w:cs="Times New Roman"/>
        </w:rPr>
        <w:t xml:space="preserve"> Given these concerns</w:t>
      </w:r>
      <w:r w:rsidR="007C0902">
        <w:rPr>
          <w:rFonts w:ascii="Times New Roman" w:hAnsi="Times New Roman" w:cs="Times New Roman"/>
        </w:rPr>
        <w:t xml:space="preserve"> a</w:t>
      </w:r>
      <w:r w:rsidR="005E4456">
        <w:rPr>
          <w:rFonts w:ascii="Times New Roman" w:hAnsi="Times New Roman" w:cs="Times New Roman"/>
        </w:rPr>
        <w:t>nd</w:t>
      </w:r>
      <w:r w:rsidR="00DC3FFC">
        <w:rPr>
          <w:rFonts w:ascii="Times New Roman" w:hAnsi="Times New Roman" w:cs="Times New Roman"/>
        </w:rPr>
        <w:t xml:space="preserve"> others (see</w:t>
      </w:r>
      <w:r w:rsidR="00C57B07">
        <w:rPr>
          <w:rFonts w:ascii="Times New Roman" w:hAnsi="Times New Roman" w:cs="Times New Roman"/>
        </w:rPr>
        <w:t xml:space="preserve"> Table 2</w:t>
      </w:r>
      <w:r w:rsidR="007C0902">
        <w:rPr>
          <w:rFonts w:ascii="Times New Roman" w:hAnsi="Times New Roman" w:cs="Times New Roman"/>
        </w:rPr>
        <w:t>)</w:t>
      </w:r>
      <w:r w:rsidR="00DC3FFC">
        <w:rPr>
          <w:rFonts w:ascii="Times New Roman" w:hAnsi="Times New Roman" w:cs="Times New Roman"/>
        </w:rPr>
        <w:t>,</w:t>
      </w:r>
      <w:r w:rsidR="00CA2402">
        <w:rPr>
          <w:rFonts w:ascii="Times New Roman" w:hAnsi="Times New Roman" w:cs="Times New Roman"/>
        </w:rPr>
        <w:t xml:space="preserve"> the ERG did not consider the</w:t>
      </w:r>
      <w:r w:rsidR="00CA2402" w:rsidRPr="00CA2402">
        <w:rPr>
          <w:rFonts w:ascii="Times New Roman" w:hAnsi="Times New Roman" w:cs="Times New Roman"/>
        </w:rPr>
        <w:t xml:space="preserve"> company’s estimates of cost-effectiveness to be reliable. The ICER for </w:t>
      </w:r>
      <w:proofErr w:type="spellStart"/>
      <w:r w:rsidR="00CA2402" w:rsidRPr="00CA2402">
        <w:rPr>
          <w:rFonts w:ascii="Times New Roman" w:hAnsi="Times New Roman" w:cs="Times New Roman"/>
        </w:rPr>
        <w:t>inotuzumab</w:t>
      </w:r>
      <w:proofErr w:type="spellEnd"/>
      <w:r w:rsidR="00CA2402" w:rsidRPr="00CA2402">
        <w:rPr>
          <w:rFonts w:ascii="Times New Roman" w:hAnsi="Times New Roman" w:cs="Times New Roman"/>
        </w:rPr>
        <w:t xml:space="preserve"> </w:t>
      </w:r>
      <w:r w:rsidR="005830C1">
        <w:rPr>
          <w:rFonts w:ascii="Times New Roman" w:hAnsi="Times New Roman" w:cs="Times New Roman"/>
        </w:rPr>
        <w:t>versus</w:t>
      </w:r>
      <w:r w:rsidR="00CA2402" w:rsidRPr="00CA2402">
        <w:rPr>
          <w:rFonts w:ascii="Times New Roman" w:hAnsi="Times New Roman" w:cs="Times New Roman"/>
        </w:rPr>
        <w:t xml:space="preserve"> </w:t>
      </w:r>
      <w:proofErr w:type="spellStart"/>
      <w:r w:rsidR="00CA2402" w:rsidRPr="00CA2402">
        <w:rPr>
          <w:rFonts w:ascii="Times New Roman" w:hAnsi="Times New Roman" w:cs="Times New Roman"/>
        </w:rPr>
        <w:t>SoC</w:t>
      </w:r>
      <w:proofErr w:type="spellEnd"/>
      <w:r w:rsidR="00CA2402" w:rsidRPr="00CA2402">
        <w:rPr>
          <w:rFonts w:ascii="Times New Roman" w:hAnsi="Times New Roman" w:cs="Times New Roman"/>
        </w:rPr>
        <w:t xml:space="preserve"> whe</w:t>
      </w:r>
      <w:r w:rsidR="00CA2402">
        <w:rPr>
          <w:rFonts w:ascii="Times New Roman" w:hAnsi="Times New Roman" w:cs="Times New Roman"/>
        </w:rPr>
        <w:t xml:space="preserve">n using the ERG’s preferred assumptions was </w:t>
      </w:r>
      <w:r w:rsidR="005E4456">
        <w:rPr>
          <w:rFonts w:ascii="Times New Roman" w:hAnsi="Times New Roman" w:cs="Times New Roman"/>
        </w:rPr>
        <w:t xml:space="preserve">between </w:t>
      </w:r>
      <w:r w:rsidR="00CA2402">
        <w:rPr>
          <w:rFonts w:ascii="Times New Roman" w:hAnsi="Times New Roman" w:cs="Times New Roman"/>
        </w:rPr>
        <w:t>£11</w:t>
      </w:r>
      <w:r w:rsidR="0075774A">
        <w:rPr>
          <w:rFonts w:ascii="Times New Roman" w:hAnsi="Times New Roman" w:cs="Times New Roman"/>
        </w:rPr>
        <w:t>4</w:t>
      </w:r>
      <w:r w:rsidR="00CA2402">
        <w:rPr>
          <w:rFonts w:ascii="Times New Roman" w:hAnsi="Times New Roman" w:cs="Times New Roman"/>
        </w:rPr>
        <w:t>,078</w:t>
      </w:r>
      <w:r w:rsidR="005E4456">
        <w:rPr>
          <w:rFonts w:ascii="Times New Roman" w:hAnsi="Times New Roman" w:cs="Times New Roman"/>
        </w:rPr>
        <w:t xml:space="preserve"> per </w:t>
      </w:r>
      <w:r w:rsidR="00CA2402">
        <w:rPr>
          <w:rFonts w:ascii="Times New Roman" w:hAnsi="Times New Roman" w:cs="Times New Roman"/>
        </w:rPr>
        <w:t>QALY</w:t>
      </w:r>
      <w:r w:rsidR="00F53666">
        <w:rPr>
          <w:rFonts w:ascii="Times New Roman" w:hAnsi="Times New Roman" w:cs="Times New Roman"/>
        </w:rPr>
        <w:t xml:space="preserve"> gained</w:t>
      </w:r>
      <w:r w:rsidR="00CA2402">
        <w:rPr>
          <w:rFonts w:ascii="Times New Roman" w:hAnsi="Times New Roman" w:cs="Times New Roman"/>
        </w:rPr>
        <w:t xml:space="preserve"> and £12</w:t>
      </w:r>
      <w:r w:rsidR="00C81957">
        <w:rPr>
          <w:rFonts w:ascii="Times New Roman" w:hAnsi="Times New Roman" w:cs="Times New Roman"/>
        </w:rPr>
        <w:t>2</w:t>
      </w:r>
      <w:r w:rsidR="00CA2402">
        <w:rPr>
          <w:rFonts w:ascii="Times New Roman" w:hAnsi="Times New Roman" w:cs="Times New Roman"/>
        </w:rPr>
        <w:t>,</w:t>
      </w:r>
      <w:r w:rsidR="006922CE">
        <w:rPr>
          <w:rFonts w:ascii="Times New Roman" w:hAnsi="Times New Roman" w:cs="Times New Roman"/>
        </w:rPr>
        <w:t>174</w:t>
      </w:r>
      <w:r w:rsidR="005E4456">
        <w:rPr>
          <w:rFonts w:ascii="Times New Roman" w:hAnsi="Times New Roman" w:cs="Times New Roman"/>
        </w:rPr>
        <w:t xml:space="preserve"> per </w:t>
      </w:r>
      <w:r w:rsidR="006922CE">
        <w:rPr>
          <w:rFonts w:ascii="Times New Roman" w:hAnsi="Times New Roman" w:cs="Times New Roman"/>
        </w:rPr>
        <w:t>QALY</w:t>
      </w:r>
      <w:r w:rsidR="00F53666">
        <w:rPr>
          <w:rFonts w:ascii="Times New Roman" w:hAnsi="Times New Roman" w:cs="Times New Roman"/>
        </w:rPr>
        <w:t xml:space="preserve"> gained</w:t>
      </w:r>
      <w:r w:rsidR="006922CE">
        <w:rPr>
          <w:rFonts w:ascii="Times New Roman" w:hAnsi="Times New Roman" w:cs="Times New Roman"/>
        </w:rPr>
        <w:t xml:space="preserve">. </w:t>
      </w:r>
      <w:r w:rsidR="00CA2402">
        <w:t xml:space="preserve"> </w:t>
      </w:r>
    </w:p>
    <w:p w14:paraId="095D5328" w14:textId="77777777" w:rsidR="00F177D9" w:rsidRPr="00DD657B" w:rsidRDefault="00F177D9" w:rsidP="00E61BB0">
      <w:pPr>
        <w:pStyle w:val="Heading1"/>
        <w:spacing w:line="360" w:lineRule="auto"/>
        <w:rPr>
          <w:rFonts w:cs="Times New Roman"/>
        </w:rPr>
      </w:pPr>
      <w:r w:rsidRPr="00DD657B">
        <w:rPr>
          <w:rFonts w:cs="Times New Roman"/>
        </w:rPr>
        <w:lastRenderedPageBreak/>
        <w:t xml:space="preserve">NICE Appraisal Committee: Consideration of All Available Evidence </w:t>
      </w:r>
    </w:p>
    <w:p w14:paraId="5C4BC8AC" w14:textId="60FAACA9" w:rsidR="00F177D9" w:rsidRDefault="00F177D9" w:rsidP="00E61BB0">
      <w:pPr>
        <w:pStyle w:val="Heading2"/>
        <w:spacing w:line="360" w:lineRule="auto"/>
        <w:rPr>
          <w:rFonts w:cs="Times New Roman"/>
        </w:rPr>
      </w:pPr>
      <w:r w:rsidRPr="00DD657B">
        <w:rPr>
          <w:rFonts w:cs="Times New Roman"/>
        </w:rPr>
        <w:t xml:space="preserve">Preliminary Guidance </w:t>
      </w:r>
      <w:r w:rsidR="00146099">
        <w:rPr>
          <w:rFonts w:cs="Times New Roman"/>
        </w:rPr>
        <w:t>Prior to Appeal</w:t>
      </w:r>
    </w:p>
    <w:p w14:paraId="3302460D" w14:textId="278F0379" w:rsidR="00E84BA9" w:rsidRPr="00E84BA9" w:rsidRDefault="00E84BA9" w:rsidP="00E61BB0">
      <w:pPr>
        <w:spacing w:before="200" w:line="360" w:lineRule="auto"/>
        <w:rPr>
          <w:rFonts w:ascii="Times New Roman" w:hAnsi="Times New Roman" w:cs="Times New Roman"/>
        </w:rPr>
      </w:pPr>
      <w:r>
        <w:rPr>
          <w:rFonts w:ascii="Times New Roman" w:hAnsi="Times New Roman" w:cs="Times New Roman"/>
        </w:rPr>
        <w:t>On balance</w:t>
      </w:r>
      <w:r w:rsidR="004F01B8">
        <w:rPr>
          <w:rFonts w:ascii="Times New Roman" w:hAnsi="Times New Roman" w:cs="Times New Roman"/>
        </w:rPr>
        <w:t xml:space="preserve"> </w:t>
      </w:r>
      <w:r>
        <w:rPr>
          <w:rFonts w:ascii="Times New Roman" w:hAnsi="Times New Roman" w:cs="Times New Roman"/>
        </w:rPr>
        <w:t>of</w:t>
      </w:r>
      <w:r w:rsidR="004F01B8">
        <w:rPr>
          <w:rFonts w:ascii="Times New Roman" w:hAnsi="Times New Roman" w:cs="Times New Roman"/>
        </w:rPr>
        <w:t xml:space="preserve"> the evidence submitted by the company and the views of consultees</w:t>
      </w:r>
      <w:r>
        <w:rPr>
          <w:rFonts w:ascii="Times New Roman" w:hAnsi="Times New Roman" w:cs="Times New Roman"/>
        </w:rPr>
        <w:t>,</w:t>
      </w:r>
      <w:r w:rsidR="004F01B8">
        <w:rPr>
          <w:rFonts w:ascii="Times New Roman" w:hAnsi="Times New Roman" w:cs="Times New Roman"/>
        </w:rPr>
        <w:t xml:space="preserve"> commentators, clinical experts and patient experts</w:t>
      </w:r>
      <w:r w:rsidR="00282E20">
        <w:rPr>
          <w:rFonts w:ascii="Times New Roman" w:hAnsi="Times New Roman" w:cs="Times New Roman"/>
        </w:rPr>
        <w:t>,</w:t>
      </w:r>
      <w:r>
        <w:rPr>
          <w:rFonts w:ascii="Times New Roman" w:hAnsi="Times New Roman" w:cs="Times New Roman"/>
        </w:rPr>
        <w:t xml:space="preserve"> the N</w:t>
      </w:r>
      <w:r w:rsidR="00D36AA2">
        <w:rPr>
          <w:rFonts w:ascii="Times New Roman" w:hAnsi="Times New Roman" w:cs="Times New Roman"/>
        </w:rPr>
        <w:t>ICE A</w:t>
      </w:r>
      <w:r>
        <w:rPr>
          <w:rFonts w:ascii="Times New Roman" w:hAnsi="Times New Roman" w:cs="Times New Roman"/>
        </w:rPr>
        <w:t xml:space="preserve">ppraisal </w:t>
      </w:r>
      <w:r w:rsidR="00D36AA2">
        <w:rPr>
          <w:rFonts w:ascii="Times New Roman" w:hAnsi="Times New Roman" w:cs="Times New Roman"/>
        </w:rPr>
        <w:t>C</w:t>
      </w:r>
      <w:r>
        <w:rPr>
          <w:rFonts w:ascii="Times New Roman" w:hAnsi="Times New Roman" w:cs="Times New Roman"/>
        </w:rPr>
        <w:t xml:space="preserve">ommittee concluded that </w:t>
      </w:r>
      <w:proofErr w:type="spellStart"/>
      <w:r>
        <w:rPr>
          <w:rFonts w:ascii="Times New Roman" w:hAnsi="Times New Roman" w:cs="Times New Roman"/>
        </w:rPr>
        <w:t>in</w:t>
      </w:r>
      <w:r w:rsidRPr="00E84BA9">
        <w:rPr>
          <w:rFonts w:ascii="Times New Roman" w:hAnsi="Times New Roman" w:cs="Times New Roman"/>
        </w:rPr>
        <w:t>otuzumab</w:t>
      </w:r>
      <w:proofErr w:type="spellEnd"/>
      <w:r w:rsidRPr="00E84BA9">
        <w:rPr>
          <w:rFonts w:ascii="Times New Roman" w:hAnsi="Times New Roman" w:cs="Times New Roman"/>
        </w:rPr>
        <w:t xml:space="preserve"> </w:t>
      </w:r>
      <w:r>
        <w:rPr>
          <w:rFonts w:ascii="Times New Roman" w:hAnsi="Times New Roman" w:cs="Times New Roman"/>
        </w:rPr>
        <w:t xml:space="preserve">is clinically effective, </w:t>
      </w:r>
      <w:r w:rsidRPr="00E84BA9">
        <w:rPr>
          <w:rFonts w:ascii="Times New Roman" w:hAnsi="Times New Roman" w:cs="Times New Roman"/>
        </w:rPr>
        <w:t>met</w:t>
      </w:r>
      <w:r>
        <w:rPr>
          <w:rFonts w:ascii="Times New Roman" w:hAnsi="Times New Roman" w:cs="Times New Roman"/>
        </w:rPr>
        <w:t xml:space="preserve"> </w:t>
      </w:r>
      <w:r w:rsidRPr="00E84BA9">
        <w:rPr>
          <w:rFonts w:ascii="Times New Roman" w:hAnsi="Times New Roman" w:cs="Times New Roman"/>
        </w:rPr>
        <w:t>NICE’s</w:t>
      </w:r>
      <w:r>
        <w:rPr>
          <w:rFonts w:ascii="Times New Roman" w:hAnsi="Times New Roman" w:cs="Times New Roman"/>
        </w:rPr>
        <w:t xml:space="preserve"> </w:t>
      </w:r>
      <w:r w:rsidRPr="00E84BA9">
        <w:rPr>
          <w:rFonts w:ascii="Times New Roman" w:hAnsi="Times New Roman" w:cs="Times New Roman"/>
        </w:rPr>
        <w:t>criteria</w:t>
      </w:r>
      <w:r>
        <w:rPr>
          <w:rFonts w:ascii="Times New Roman" w:hAnsi="Times New Roman" w:cs="Times New Roman"/>
        </w:rPr>
        <w:t xml:space="preserve"> </w:t>
      </w:r>
      <w:r w:rsidRPr="00E84BA9">
        <w:rPr>
          <w:rFonts w:ascii="Times New Roman" w:hAnsi="Times New Roman" w:cs="Times New Roman"/>
        </w:rPr>
        <w:t xml:space="preserve">to be considered </w:t>
      </w:r>
      <w:r w:rsidR="005C22A3">
        <w:rPr>
          <w:rFonts w:ascii="Times New Roman" w:hAnsi="Times New Roman" w:cs="Times New Roman"/>
        </w:rPr>
        <w:t xml:space="preserve">as </w:t>
      </w:r>
      <w:r w:rsidRPr="00E84BA9">
        <w:rPr>
          <w:rFonts w:ascii="Times New Roman" w:hAnsi="Times New Roman" w:cs="Times New Roman"/>
        </w:rPr>
        <w:t>a</w:t>
      </w:r>
      <w:r>
        <w:rPr>
          <w:rFonts w:ascii="Times New Roman" w:hAnsi="Times New Roman" w:cs="Times New Roman"/>
        </w:rPr>
        <w:t>n</w:t>
      </w:r>
      <w:r w:rsidRPr="00E84BA9">
        <w:rPr>
          <w:rFonts w:ascii="Times New Roman" w:hAnsi="Times New Roman" w:cs="Times New Roman"/>
        </w:rPr>
        <w:t xml:space="preserve"> </w:t>
      </w:r>
      <w:r>
        <w:rPr>
          <w:rFonts w:ascii="Times New Roman" w:hAnsi="Times New Roman" w:cs="Times New Roman"/>
        </w:rPr>
        <w:t>end of life</w:t>
      </w:r>
      <w:r w:rsidR="008B39C9">
        <w:rPr>
          <w:rFonts w:ascii="Times New Roman" w:hAnsi="Times New Roman" w:cs="Times New Roman"/>
        </w:rPr>
        <w:t xml:space="preserve"> treatment</w:t>
      </w:r>
      <w:r>
        <w:rPr>
          <w:rFonts w:ascii="Times New Roman" w:hAnsi="Times New Roman" w:cs="Times New Roman"/>
        </w:rPr>
        <w:t xml:space="preserve">, </w:t>
      </w:r>
      <w:r w:rsidR="008B39C9">
        <w:rPr>
          <w:rFonts w:ascii="Times New Roman" w:hAnsi="Times New Roman" w:cs="Times New Roman"/>
        </w:rPr>
        <w:t>and</w:t>
      </w:r>
      <w:r>
        <w:rPr>
          <w:rFonts w:ascii="Times New Roman" w:hAnsi="Times New Roman" w:cs="Times New Roman"/>
        </w:rPr>
        <w:t xml:space="preserve"> believed that the ERG’s parametric base case most closely reflected the </w:t>
      </w:r>
      <w:r w:rsidR="00BB38FF">
        <w:rPr>
          <w:rFonts w:ascii="Times New Roman" w:hAnsi="Times New Roman" w:cs="Times New Roman"/>
        </w:rPr>
        <w:t>C</w:t>
      </w:r>
      <w:r>
        <w:rPr>
          <w:rFonts w:ascii="Times New Roman" w:hAnsi="Times New Roman" w:cs="Times New Roman"/>
        </w:rPr>
        <w:t xml:space="preserve">ommittee’s preferred assumptions. </w:t>
      </w:r>
      <w:r w:rsidR="0027192A">
        <w:rPr>
          <w:rFonts w:ascii="Times New Roman" w:hAnsi="Times New Roman" w:cs="Times New Roman"/>
        </w:rPr>
        <w:t>It was</w:t>
      </w:r>
      <w:r w:rsidR="008B39C9" w:rsidRPr="008B39C9">
        <w:rPr>
          <w:rFonts w:ascii="Times New Roman" w:hAnsi="Times New Roman" w:cs="Times New Roman"/>
        </w:rPr>
        <w:t xml:space="preserve"> </w:t>
      </w:r>
      <w:r w:rsidR="008B39C9">
        <w:rPr>
          <w:rFonts w:ascii="Times New Roman" w:hAnsi="Times New Roman" w:cs="Times New Roman"/>
        </w:rPr>
        <w:t xml:space="preserve">adjudged </w:t>
      </w:r>
      <w:r w:rsidR="008B39C9" w:rsidRPr="008B39C9">
        <w:rPr>
          <w:rFonts w:ascii="Times New Roman" w:hAnsi="Times New Roman" w:cs="Times New Roman"/>
        </w:rPr>
        <w:t>that</w:t>
      </w:r>
      <w:r w:rsidR="00625008">
        <w:rPr>
          <w:rFonts w:ascii="Times New Roman" w:hAnsi="Times New Roman" w:cs="Times New Roman"/>
        </w:rPr>
        <w:t xml:space="preserve"> the availability of</w:t>
      </w:r>
      <w:r w:rsidR="008B39C9" w:rsidRPr="008B39C9">
        <w:rPr>
          <w:rFonts w:ascii="Times New Roman" w:hAnsi="Times New Roman" w:cs="Times New Roman"/>
        </w:rPr>
        <w:t xml:space="preserve"> </w:t>
      </w:r>
      <w:proofErr w:type="spellStart"/>
      <w:r w:rsidR="008B39C9">
        <w:rPr>
          <w:rFonts w:ascii="Times New Roman" w:hAnsi="Times New Roman" w:cs="Times New Roman"/>
        </w:rPr>
        <w:t>inotuzumab</w:t>
      </w:r>
      <w:proofErr w:type="spellEnd"/>
      <w:r w:rsidR="008B39C9">
        <w:rPr>
          <w:rFonts w:ascii="Times New Roman" w:hAnsi="Times New Roman" w:cs="Times New Roman"/>
        </w:rPr>
        <w:t xml:space="preserve"> </w:t>
      </w:r>
      <w:r w:rsidR="008B39C9" w:rsidRPr="008B39C9">
        <w:rPr>
          <w:rFonts w:ascii="Times New Roman" w:hAnsi="Times New Roman" w:cs="Times New Roman"/>
        </w:rPr>
        <w:t xml:space="preserve">would be beneficial for patients, but </w:t>
      </w:r>
      <w:r w:rsidR="004A03CB">
        <w:rPr>
          <w:rFonts w:ascii="Times New Roman" w:hAnsi="Times New Roman" w:cs="Times New Roman"/>
        </w:rPr>
        <w:t xml:space="preserve">that </w:t>
      </w:r>
      <w:r w:rsidR="00C27210">
        <w:rPr>
          <w:rFonts w:ascii="Times New Roman" w:hAnsi="Times New Roman" w:cs="Times New Roman"/>
        </w:rPr>
        <w:t>t</w:t>
      </w:r>
      <w:r w:rsidR="008B39C9">
        <w:rPr>
          <w:rFonts w:ascii="Times New Roman" w:hAnsi="Times New Roman" w:cs="Times New Roman"/>
        </w:rPr>
        <w:t xml:space="preserve">he ICER for </w:t>
      </w:r>
      <w:proofErr w:type="spellStart"/>
      <w:r w:rsidR="008B39C9">
        <w:rPr>
          <w:rFonts w:ascii="Times New Roman" w:hAnsi="Times New Roman" w:cs="Times New Roman"/>
        </w:rPr>
        <w:t>inotuzumab</w:t>
      </w:r>
      <w:proofErr w:type="spellEnd"/>
      <w:r w:rsidR="00625008">
        <w:rPr>
          <w:rFonts w:ascii="Times New Roman" w:hAnsi="Times New Roman" w:cs="Times New Roman"/>
        </w:rPr>
        <w:t xml:space="preserve"> </w:t>
      </w:r>
      <w:r w:rsidR="00C27210">
        <w:rPr>
          <w:rFonts w:ascii="Times New Roman" w:hAnsi="Times New Roman" w:cs="Times New Roman"/>
        </w:rPr>
        <w:t>wa</w:t>
      </w:r>
      <w:r w:rsidR="00625008">
        <w:rPr>
          <w:rFonts w:ascii="Times New Roman" w:hAnsi="Times New Roman" w:cs="Times New Roman"/>
        </w:rPr>
        <w:t>s</w:t>
      </w:r>
      <w:r w:rsidR="008B39C9">
        <w:rPr>
          <w:rFonts w:ascii="Times New Roman" w:hAnsi="Times New Roman" w:cs="Times New Roman"/>
        </w:rPr>
        <w:t xml:space="preserve"> too </w:t>
      </w:r>
      <w:r w:rsidR="0015451A">
        <w:rPr>
          <w:rFonts w:ascii="Times New Roman" w:hAnsi="Times New Roman" w:cs="Times New Roman"/>
        </w:rPr>
        <w:t xml:space="preserve">high to be considered </w:t>
      </w:r>
      <w:r w:rsidR="00DD6428">
        <w:rPr>
          <w:rFonts w:ascii="Times New Roman" w:hAnsi="Times New Roman" w:cs="Times New Roman"/>
        </w:rPr>
        <w:t xml:space="preserve">as </w:t>
      </w:r>
      <w:r w:rsidR="0015451A">
        <w:rPr>
          <w:rFonts w:ascii="Times New Roman" w:hAnsi="Times New Roman" w:cs="Times New Roman"/>
        </w:rPr>
        <w:t>a cost-effective use of NHS resources for a life-extending end of life treatment</w:t>
      </w:r>
      <w:r w:rsidR="00CC6B12">
        <w:rPr>
          <w:rFonts w:ascii="Times New Roman" w:hAnsi="Times New Roman" w:cs="Times New Roman"/>
        </w:rPr>
        <w:t xml:space="preserve"> (&gt;£100,000/QALY)</w:t>
      </w:r>
      <w:r w:rsidR="005C6E21">
        <w:rPr>
          <w:rFonts w:ascii="Times New Roman" w:hAnsi="Times New Roman" w:cs="Times New Roman"/>
        </w:rPr>
        <w:t xml:space="preserve"> </w:t>
      </w:r>
      <w:r w:rsidR="00BE18C2">
        <w:rPr>
          <w:rFonts w:ascii="Times New Roman" w:hAnsi="Times New Roman" w:cs="Times New Roman"/>
        </w:rPr>
        <w:fldChar w:fldCharType="begin"/>
      </w:r>
      <w:r w:rsidR="005F15F8">
        <w:rPr>
          <w:rFonts w:ascii="Times New Roman" w:hAnsi="Times New Roman" w:cs="Times New Roman"/>
        </w:rPr>
        <w:instrText xml:space="preserve"> ADDIN EN.CITE &lt;EndNote&gt;&lt;Cite&gt;&lt;Author&gt;National Institute for Health and Care Excellence (NICE)&lt;/Author&gt;&lt;Year&gt;2017&lt;/Year&gt;&lt;RecNum&gt;54&lt;/RecNum&gt;&lt;DisplayText&gt;[22]&lt;/DisplayText&gt;&lt;record&gt;&lt;rec-number&gt;54&lt;/rec-number&gt;&lt;foreign-keys&gt;&lt;key app="EN" db-id="9f090dpxqtedprezvanxwdxlwv2d9d9dp2rs" timestamp="0"&gt;54&lt;/key&gt;&lt;/foreign-keys&gt;&lt;ref-type name="Web Page"&gt;12&lt;/ref-type&gt;&lt;contributors&gt;&lt;authors&gt;&lt;author&gt;National Institute for Health and Care Excellence (NICE),&lt;/author&gt;&lt;/authors&gt;&lt;/contributors&gt;&lt;titles&gt;&lt;title&gt;Appraisal consultation document Inotuzumab ozogamicin for treating relapsed or refractory B-cell acute lymphoblastic leukaemia&lt;/title&gt;&lt;/titles&gt;&lt;dates&gt;&lt;year&gt;2017&lt;/year&gt;&lt;/dates&gt;&lt;urls&gt;&lt;related-urls&gt;&lt;url&gt;https://www.nice.org.uk/guidance/gid-ta10091/documents/appraisal-consultation-document&lt;/url&gt;&lt;/related-urls&gt;&lt;/urls&gt;&lt;/record&gt;&lt;/Cite&gt;&lt;/EndNote&gt;</w:instrText>
      </w:r>
      <w:r w:rsidR="00BE18C2">
        <w:rPr>
          <w:rFonts w:ascii="Times New Roman" w:hAnsi="Times New Roman" w:cs="Times New Roman"/>
        </w:rPr>
        <w:fldChar w:fldCharType="separate"/>
      </w:r>
      <w:r w:rsidR="005F15F8">
        <w:rPr>
          <w:rFonts w:ascii="Times New Roman" w:hAnsi="Times New Roman" w:cs="Times New Roman"/>
          <w:noProof/>
        </w:rPr>
        <w:t>[22]</w:t>
      </w:r>
      <w:r w:rsidR="00BE18C2">
        <w:rPr>
          <w:rFonts w:ascii="Times New Roman" w:hAnsi="Times New Roman" w:cs="Times New Roman"/>
        </w:rPr>
        <w:fldChar w:fldCharType="end"/>
      </w:r>
      <w:r w:rsidR="005C6E21">
        <w:rPr>
          <w:rFonts w:ascii="Times New Roman" w:hAnsi="Times New Roman" w:cs="Times New Roman"/>
        </w:rPr>
        <w:t>.</w:t>
      </w:r>
      <w:r w:rsidR="00E23B86">
        <w:rPr>
          <w:rFonts w:ascii="Times New Roman" w:hAnsi="Times New Roman" w:cs="Times New Roman"/>
        </w:rPr>
        <w:t xml:space="preserve"> </w:t>
      </w:r>
    </w:p>
    <w:p w14:paraId="625E4F97" w14:textId="568D7B10" w:rsidR="00F177D9" w:rsidRDefault="00D51CDD" w:rsidP="00E61BB0">
      <w:pPr>
        <w:pStyle w:val="Heading3"/>
        <w:spacing w:line="360" w:lineRule="auto"/>
        <w:rPr>
          <w:rFonts w:cs="Times New Roman"/>
        </w:rPr>
      </w:pPr>
      <w:r>
        <w:rPr>
          <w:rFonts w:cs="Times New Roman"/>
        </w:rPr>
        <w:t>Company</w:t>
      </w:r>
      <w:r w:rsidRPr="00DD657B">
        <w:rPr>
          <w:rFonts w:cs="Times New Roman"/>
        </w:rPr>
        <w:t xml:space="preserve">’s </w:t>
      </w:r>
      <w:r w:rsidR="00F177D9" w:rsidRPr="00DD657B">
        <w:rPr>
          <w:rFonts w:cs="Times New Roman"/>
        </w:rPr>
        <w:t xml:space="preserve">Response to the Appraisal Consultation Document (ACD) </w:t>
      </w:r>
    </w:p>
    <w:p w14:paraId="2B08CEEE" w14:textId="31966221" w:rsidR="00466FCF" w:rsidRDefault="0060678A" w:rsidP="00E61BB0">
      <w:pPr>
        <w:spacing w:before="200" w:line="360" w:lineRule="auto"/>
        <w:rPr>
          <w:rFonts w:ascii="Times New Roman" w:hAnsi="Times New Roman" w:cs="Times New Roman"/>
        </w:rPr>
      </w:pPr>
      <w:r w:rsidRPr="005001F0">
        <w:rPr>
          <w:rFonts w:ascii="Times New Roman" w:hAnsi="Times New Roman" w:cs="Times New Roman"/>
        </w:rPr>
        <w:t xml:space="preserve">Following the first </w:t>
      </w:r>
      <w:r w:rsidR="001E3419">
        <w:rPr>
          <w:rFonts w:ascii="Times New Roman" w:hAnsi="Times New Roman" w:cs="Times New Roman"/>
        </w:rPr>
        <w:t>A</w:t>
      </w:r>
      <w:r w:rsidR="00D36AA2">
        <w:rPr>
          <w:rFonts w:ascii="Times New Roman" w:hAnsi="Times New Roman" w:cs="Times New Roman"/>
        </w:rPr>
        <w:t xml:space="preserve">ppraisal </w:t>
      </w:r>
      <w:r w:rsidR="001E3419">
        <w:rPr>
          <w:rFonts w:ascii="Times New Roman" w:hAnsi="Times New Roman" w:cs="Times New Roman"/>
        </w:rPr>
        <w:t>C</w:t>
      </w:r>
      <w:r w:rsidR="00D36AA2">
        <w:rPr>
          <w:rFonts w:ascii="Times New Roman" w:hAnsi="Times New Roman" w:cs="Times New Roman"/>
        </w:rPr>
        <w:t>ommittee</w:t>
      </w:r>
      <w:r>
        <w:rPr>
          <w:rFonts w:ascii="Times New Roman" w:hAnsi="Times New Roman" w:cs="Times New Roman"/>
        </w:rPr>
        <w:t xml:space="preserve"> meeting</w:t>
      </w:r>
      <w:r w:rsidR="00581FE1">
        <w:rPr>
          <w:rFonts w:ascii="Times New Roman" w:hAnsi="Times New Roman" w:cs="Times New Roman"/>
        </w:rPr>
        <w:t>,</w:t>
      </w:r>
      <w:r w:rsidR="00625008">
        <w:rPr>
          <w:rFonts w:ascii="Times New Roman" w:hAnsi="Times New Roman" w:cs="Times New Roman"/>
        </w:rPr>
        <w:t xml:space="preserve"> the company submitted a patient access scheme (PAS</w:t>
      </w:r>
      <w:r w:rsidR="004A652E">
        <w:rPr>
          <w:rFonts w:ascii="Times New Roman" w:hAnsi="Times New Roman" w:cs="Times New Roman"/>
        </w:rPr>
        <w:t>) and in response to the ACD</w:t>
      </w:r>
      <w:r>
        <w:rPr>
          <w:rFonts w:ascii="Times New Roman" w:hAnsi="Times New Roman" w:cs="Times New Roman"/>
        </w:rPr>
        <w:t xml:space="preserve"> </w:t>
      </w:r>
      <w:r w:rsidR="00204412">
        <w:rPr>
          <w:rFonts w:ascii="Times New Roman" w:hAnsi="Times New Roman" w:cs="Times New Roman"/>
        </w:rPr>
        <w:t>undertook</w:t>
      </w:r>
      <w:r w:rsidR="005001F0">
        <w:rPr>
          <w:rFonts w:ascii="Times New Roman" w:hAnsi="Times New Roman" w:cs="Times New Roman"/>
        </w:rPr>
        <w:t xml:space="preserve"> </w:t>
      </w:r>
      <w:r w:rsidR="00073386">
        <w:rPr>
          <w:rFonts w:ascii="Times New Roman" w:hAnsi="Times New Roman" w:cs="Times New Roman"/>
        </w:rPr>
        <w:t xml:space="preserve">new cost-effectiveness </w:t>
      </w:r>
      <w:r w:rsidR="005001F0">
        <w:rPr>
          <w:rFonts w:ascii="Times New Roman" w:hAnsi="Times New Roman" w:cs="Times New Roman"/>
        </w:rPr>
        <w:t>analyses</w:t>
      </w:r>
      <w:r w:rsidR="00A25EDA">
        <w:rPr>
          <w:rFonts w:ascii="Times New Roman" w:hAnsi="Times New Roman" w:cs="Times New Roman"/>
        </w:rPr>
        <w:t>, provided new data on subsequent therapies</w:t>
      </w:r>
      <w:r w:rsidR="00B62A5E">
        <w:rPr>
          <w:rFonts w:ascii="Times New Roman" w:hAnsi="Times New Roman" w:cs="Times New Roman"/>
        </w:rPr>
        <w:t xml:space="preserve"> prescribed</w:t>
      </w:r>
      <w:r w:rsidR="00A25EDA">
        <w:rPr>
          <w:rFonts w:ascii="Times New Roman" w:hAnsi="Times New Roman" w:cs="Times New Roman"/>
        </w:rPr>
        <w:t xml:space="preserve"> in the safety population of INO-VATE</w:t>
      </w:r>
      <w:r w:rsidR="005001F0">
        <w:rPr>
          <w:rFonts w:ascii="Times New Roman" w:hAnsi="Times New Roman" w:cs="Times New Roman"/>
        </w:rPr>
        <w:t xml:space="preserve"> </w:t>
      </w:r>
      <w:r w:rsidR="00D51CDD">
        <w:rPr>
          <w:rFonts w:ascii="Times New Roman" w:hAnsi="Times New Roman" w:cs="Times New Roman"/>
        </w:rPr>
        <w:t xml:space="preserve">1022 </w:t>
      </w:r>
      <w:r w:rsidR="00204412">
        <w:rPr>
          <w:rFonts w:ascii="Times New Roman" w:hAnsi="Times New Roman" w:cs="Times New Roman"/>
        </w:rPr>
        <w:t>and</w:t>
      </w:r>
      <w:r w:rsidR="005001F0">
        <w:rPr>
          <w:rFonts w:ascii="Times New Roman" w:hAnsi="Times New Roman" w:cs="Times New Roman"/>
        </w:rPr>
        <w:t xml:space="preserve"> </w:t>
      </w:r>
      <w:r w:rsidR="00B70AE5">
        <w:rPr>
          <w:rFonts w:ascii="Times New Roman" w:hAnsi="Times New Roman" w:cs="Times New Roman"/>
        </w:rPr>
        <w:t>reported</w:t>
      </w:r>
      <w:r w:rsidR="005001F0">
        <w:rPr>
          <w:rFonts w:ascii="Times New Roman" w:hAnsi="Times New Roman" w:cs="Times New Roman"/>
        </w:rPr>
        <w:t xml:space="preserve"> a revised base case</w:t>
      </w:r>
      <w:r w:rsidR="00466FCF">
        <w:rPr>
          <w:rFonts w:ascii="Times New Roman" w:hAnsi="Times New Roman" w:cs="Times New Roman"/>
        </w:rPr>
        <w:t xml:space="preserve"> which </w:t>
      </w:r>
      <w:r w:rsidR="00204412">
        <w:rPr>
          <w:rFonts w:ascii="Times New Roman" w:hAnsi="Times New Roman" w:cs="Times New Roman"/>
        </w:rPr>
        <w:t>incorporat</w:t>
      </w:r>
      <w:r w:rsidR="00466FCF">
        <w:rPr>
          <w:rFonts w:ascii="Times New Roman" w:hAnsi="Times New Roman" w:cs="Times New Roman"/>
        </w:rPr>
        <w:t>ed</w:t>
      </w:r>
      <w:r w:rsidR="00204412">
        <w:rPr>
          <w:rFonts w:ascii="Times New Roman" w:hAnsi="Times New Roman" w:cs="Times New Roman"/>
        </w:rPr>
        <w:t xml:space="preserve"> </w:t>
      </w:r>
      <w:r w:rsidR="004A652E">
        <w:rPr>
          <w:rFonts w:ascii="Times New Roman" w:hAnsi="Times New Roman" w:cs="Times New Roman"/>
        </w:rPr>
        <w:t>the</w:t>
      </w:r>
      <w:r w:rsidR="00204412">
        <w:rPr>
          <w:rFonts w:ascii="Times New Roman" w:hAnsi="Times New Roman" w:cs="Times New Roman"/>
        </w:rPr>
        <w:t xml:space="preserve"> new </w:t>
      </w:r>
      <w:r w:rsidR="00D83CC7">
        <w:rPr>
          <w:rFonts w:ascii="Times New Roman" w:hAnsi="Times New Roman" w:cs="Times New Roman"/>
        </w:rPr>
        <w:t>PAS</w:t>
      </w:r>
      <w:r w:rsidR="005E4456">
        <w:rPr>
          <w:rFonts w:ascii="Times New Roman" w:hAnsi="Times New Roman" w:cs="Times New Roman"/>
        </w:rPr>
        <w:t xml:space="preserve">.      </w:t>
      </w:r>
    </w:p>
    <w:p w14:paraId="27BB2C6C" w14:textId="11350766" w:rsidR="00E15F1D" w:rsidRPr="00E15F1D" w:rsidRDefault="0060678A" w:rsidP="00E15F1D">
      <w:pPr>
        <w:spacing w:before="200" w:line="360" w:lineRule="auto"/>
        <w:rPr>
          <w:rFonts w:ascii="Times New Roman" w:hAnsi="Times New Roman" w:cs="Times New Roman"/>
        </w:rPr>
      </w:pPr>
      <w:r>
        <w:rPr>
          <w:rFonts w:ascii="Times New Roman" w:hAnsi="Times New Roman" w:cs="Times New Roman"/>
        </w:rPr>
        <w:t>T</w:t>
      </w:r>
      <w:r w:rsidR="00B70AE5">
        <w:rPr>
          <w:rFonts w:ascii="Times New Roman" w:hAnsi="Times New Roman" w:cs="Times New Roman"/>
        </w:rPr>
        <w:t xml:space="preserve">he </w:t>
      </w:r>
      <w:r w:rsidR="00D51CDD">
        <w:rPr>
          <w:rFonts w:ascii="Times New Roman" w:hAnsi="Times New Roman" w:cs="Times New Roman"/>
        </w:rPr>
        <w:t xml:space="preserve">company </w:t>
      </w:r>
      <w:r>
        <w:rPr>
          <w:rFonts w:ascii="Times New Roman" w:hAnsi="Times New Roman" w:cs="Times New Roman"/>
        </w:rPr>
        <w:t xml:space="preserve">accepted </w:t>
      </w:r>
      <w:r w:rsidR="0027192A">
        <w:rPr>
          <w:rFonts w:ascii="Times New Roman" w:hAnsi="Times New Roman" w:cs="Times New Roman"/>
        </w:rPr>
        <w:t xml:space="preserve">and incorporated </w:t>
      </w:r>
      <w:r>
        <w:rPr>
          <w:rFonts w:ascii="Times New Roman" w:hAnsi="Times New Roman" w:cs="Times New Roman"/>
        </w:rPr>
        <w:t>a number of changes</w:t>
      </w:r>
      <w:r w:rsidR="0027192A">
        <w:rPr>
          <w:rFonts w:ascii="Times New Roman" w:hAnsi="Times New Roman" w:cs="Times New Roman"/>
        </w:rPr>
        <w:t xml:space="preserve"> into </w:t>
      </w:r>
      <w:r w:rsidR="00DD6428">
        <w:rPr>
          <w:rFonts w:ascii="Times New Roman" w:hAnsi="Times New Roman" w:cs="Times New Roman"/>
        </w:rPr>
        <w:t>their</w:t>
      </w:r>
      <w:r w:rsidR="0027192A">
        <w:rPr>
          <w:rFonts w:ascii="Times New Roman" w:hAnsi="Times New Roman" w:cs="Times New Roman"/>
        </w:rPr>
        <w:t xml:space="preserve"> revised base case</w:t>
      </w:r>
      <w:r w:rsidR="00D91E65">
        <w:rPr>
          <w:rFonts w:ascii="Times New Roman" w:hAnsi="Times New Roman" w:cs="Times New Roman"/>
        </w:rPr>
        <w:t xml:space="preserve"> </w:t>
      </w:r>
      <w:r w:rsidR="00E15F1D">
        <w:rPr>
          <w:rFonts w:ascii="Times New Roman" w:hAnsi="Times New Roman" w:cs="Times New Roman"/>
        </w:rPr>
        <w:t xml:space="preserve">in </w:t>
      </w:r>
      <w:r w:rsidR="00D91E65">
        <w:rPr>
          <w:rFonts w:ascii="Times New Roman" w:hAnsi="Times New Roman" w:cs="Times New Roman"/>
        </w:rPr>
        <w:t>accordance with the committee’s preferences</w:t>
      </w:r>
      <w:r w:rsidR="00E15F1D">
        <w:rPr>
          <w:rFonts w:ascii="Times New Roman" w:hAnsi="Times New Roman" w:cs="Times New Roman"/>
        </w:rPr>
        <w:t xml:space="preserve">. </w:t>
      </w:r>
      <w:r w:rsidR="00E15F1D" w:rsidRPr="00E15F1D">
        <w:rPr>
          <w:rFonts w:ascii="Times New Roman" w:hAnsi="Times New Roman" w:cs="Times New Roman"/>
        </w:rPr>
        <w:t xml:space="preserve">Changes included using a 3.5% discount rate for costs and QALYs, age adjusted utilities, </w:t>
      </w:r>
      <w:proofErr w:type="gramStart"/>
      <w:r w:rsidR="00E15F1D" w:rsidRPr="00E15F1D">
        <w:rPr>
          <w:rFonts w:ascii="Times New Roman" w:hAnsi="Times New Roman" w:cs="Times New Roman"/>
        </w:rPr>
        <w:t>chemotherapy</w:t>
      </w:r>
      <w:proofErr w:type="gramEnd"/>
      <w:r w:rsidR="00E15F1D" w:rsidRPr="00E15F1D">
        <w:rPr>
          <w:rFonts w:ascii="Times New Roman" w:hAnsi="Times New Roman" w:cs="Times New Roman"/>
        </w:rPr>
        <w:t xml:space="preserve"> costs in line with treatments provided in INO-VATE</w:t>
      </w:r>
      <w:r w:rsidR="00222F37">
        <w:rPr>
          <w:rFonts w:ascii="Times New Roman" w:hAnsi="Times New Roman" w:cs="Times New Roman"/>
        </w:rPr>
        <w:t xml:space="preserve"> 1022</w:t>
      </w:r>
      <w:r w:rsidR="00E15F1D" w:rsidRPr="00E15F1D">
        <w:rPr>
          <w:rFonts w:ascii="Times New Roman" w:hAnsi="Times New Roman" w:cs="Times New Roman"/>
        </w:rPr>
        <w:t xml:space="preserve"> and pooled on</w:t>
      </w:r>
      <w:r w:rsidR="00BB38FF">
        <w:rPr>
          <w:rFonts w:ascii="Times New Roman" w:hAnsi="Times New Roman" w:cs="Times New Roman"/>
        </w:rPr>
        <w:t>-</w:t>
      </w:r>
      <w:r w:rsidR="00E15F1D" w:rsidRPr="00E15F1D">
        <w:rPr>
          <w:rFonts w:ascii="Times New Roman" w:hAnsi="Times New Roman" w:cs="Times New Roman"/>
        </w:rPr>
        <w:t>treatment utilities.</w:t>
      </w:r>
      <w:r w:rsidR="00E15F1D">
        <w:rPr>
          <w:rFonts w:ascii="Times New Roman" w:hAnsi="Times New Roman" w:cs="Times New Roman"/>
        </w:rPr>
        <w:t xml:space="preserve"> </w:t>
      </w:r>
      <w:r w:rsidR="0027192A">
        <w:rPr>
          <w:rFonts w:ascii="Times New Roman" w:hAnsi="Times New Roman" w:cs="Times New Roman"/>
        </w:rPr>
        <w:t>However,</w:t>
      </w:r>
      <w:r w:rsidR="00073386">
        <w:rPr>
          <w:rFonts w:ascii="Times New Roman" w:hAnsi="Times New Roman" w:cs="Times New Roman"/>
        </w:rPr>
        <w:t xml:space="preserve"> </w:t>
      </w:r>
      <w:r w:rsidR="00A25EDA">
        <w:rPr>
          <w:rFonts w:ascii="Times New Roman" w:hAnsi="Times New Roman" w:cs="Times New Roman"/>
        </w:rPr>
        <w:t>five</w:t>
      </w:r>
      <w:r>
        <w:rPr>
          <w:rFonts w:ascii="Times New Roman" w:hAnsi="Times New Roman" w:cs="Times New Roman"/>
        </w:rPr>
        <w:t xml:space="preserve"> </w:t>
      </w:r>
      <w:r w:rsidR="00AE12FE">
        <w:rPr>
          <w:rFonts w:ascii="Times New Roman" w:hAnsi="Times New Roman" w:cs="Times New Roman"/>
        </w:rPr>
        <w:t xml:space="preserve">of the </w:t>
      </w:r>
      <w:r w:rsidR="007920CC">
        <w:rPr>
          <w:rFonts w:ascii="Times New Roman" w:hAnsi="Times New Roman" w:cs="Times New Roman"/>
        </w:rPr>
        <w:t>assumptions underpinning</w:t>
      </w:r>
      <w:r w:rsidR="0086589C">
        <w:rPr>
          <w:rFonts w:ascii="Times New Roman" w:hAnsi="Times New Roman" w:cs="Times New Roman"/>
        </w:rPr>
        <w:t xml:space="preserve"> the</w:t>
      </w:r>
      <w:r w:rsidR="007920CC">
        <w:rPr>
          <w:rFonts w:ascii="Times New Roman" w:hAnsi="Times New Roman" w:cs="Times New Roman"/>
        </w:rPr>
        <w:t xml:space="preserve"> </w:t>
      </w:r>
      <w:r w:rsidR="00106974">
        <w:rPr>
          <w:rFonts w:ascii="Times New Roman" w:hAnsi="Times New Roman" w:cs="Times New Roman"/>
        </w:rPr>
        <w:t>C</w:t>
      </w:r>
      <w:r w:rsidR="00A25EDA">
        <w:rPr>
          <w:rFonts w:ascii="Times New Roman" w:hAnsi="Times New Roman" w:cs="Times New Roman"/>
        </w:rPr>
        <w:t xml:space="preserve">ommittee’s </w:t>
      </w:r>
      <w:r w:rsidR="007920CC">
        <w:rPr>
          <w:rFonts w:ascii="Times New Roman" w:hAnsi="Times New Roman" w:cs="Times New Roman"/>
        </w:rPr>
        <w:t>preferred base case</w:t>
      </w:r>
      <w:r w:rsidR="0027192A">
        <w:rPr>
          <w:rFonts w:ascii="Times New Roman" w:hAnsi="Times New Roman" w:cs="Times New Roman"/>
        </w:rPr>
        <w:t xml:space="preserve"> were rejected</w:t>
      </w:r>
      <w:r w:rsidR="00466FCF">
        <w:rPr>
          <w:rFonts w:ascii="Times New Roman" w:hAnsi="Times New Roman" w:cs="Times New Roman"/>
        </w:rPr>
        <w:t>.</w:t>
      </w:r>
      <w:r w:rsidR="00C71C81">
        <w:rPr>
          <w:rFonts w:ascii="Times New Roman" w:hAnsi="Times New Roman" w:cs="Times New Roman"/>
        </w:rPr>
        <w:t xml:space="preserve"> Table 3 outlines</w:t>
      </w:r>
      <w:r w:rsidR="00C57B07">
        <w:rPr>
          <w:rFonts w:ascii="Times New Roman" w:hAnsi="Times New Roman" w:cs="Times New Roman"/>
        </w:rPr>
        <w:t xml:space="preserve"> </w:t>
      </w:r>
      <w:r w:rsidR="007920CC">
        <w:rPr>
          <w:rFonts w:ascii="Times New Roman" w:hAnsi="Times New Roman" w:cs="Times New Roman"/>
        </w:rPr>
        <w:t>the</w:t>
      </w:r>
      <w:r w:rsidR="001805DB">
        <w:rPr>
          <w:rFonts w:ascii="Times New Roman" w:hAnsi="Times New Roman" w:cs="Times New Roman"/>
        </w:rPr>
        <w:t xml:space="preserve"> following </w:t>
      </w:r>
      <w:r w:rsidR="004A652E">
        <w:rPr>
          <w:rFonts w:ascii="Times New Roman" w:hAnsi="Times New Roman" w:cs="Times New Roman"/>
        </w:rPr>
        <w:t xml:space="preserve">five </w:t>
      </w:r>
      <w:r w:rsidR="001805DB">
        <w:rPr>
          <w:rFonts w:ascii="Times New Roman" w:hAnsi="Times New Roman" w:cs="Times New Roman"/>
        </w:rPr>
        <w:t xml:space="preserve">changes </w:t>
      </w:r>
      <w:r w:rsidR="007920CC">
        <w:rPr>
          <w:rFonts w:ascii="Times New Roman" w:hAnsi="Times New Roman" w:cs="Times New Roman"/>
        </w:rPr>
        <w:t xml:space="preserve">which </w:t>
      </w:r>
      <w:r w:rsidR="001805DB">
        <w:rPr>
          <w:rFonts w:ascii="Times New Roman" w:hAnsi="Times New Roman" w:cs="Times New Roman"/>
        </w:rPr>
        <w:t xml:space="preserve">were applied to the </w:t>
      </w:r>
      <w:r w:rsidR="00106974">
        <w:rPr>
          <w:rFonts w:ascii="Times New Roman" w:hAnsi="Times New Roman" w:cs="Times New Roman"/>
        </w:rPr>
        <w:t>C</w:t>
      </w:r>
      <w:r w:rsidR="00466FCF">
        <w:rPr>
          <w:rFonts w:ascii="Times New Roman" w:hAnsi="Times New Roman" w:cs="Times New Roman"/>
        </w:rPr>
        <w:t xml:space="preserve">ommittee’s preferred base case </w:t>
      </w:r>
      <w:r w:rsidR="00C81957">
        <w:rPr>
          <w:rFonts w:ascii="Times New Roman" w:hAnsi="Times New Roman" w:cs="Times New Roman"/>
        </w:rPr>
        <w:t xml:space="preserve">in conjunction with the PAS </w:t>
      </w:r>
      <w:r w:rsidR="00466FCF">
        <w:rPr>
          <w:rFonts w:ascii="Times New Roman" w:hAnsi="Times New Roman" w:cs="Times New Roman"/>
        </w:rPr>
        <w:t xml:space="preserve">to obtain </w:t>
      </w:r>
      <w:r w:rsidR="00D56CBD">
        <w:rPr>
          <w:rFonts w:ascii="Times New Roman" w:hAnsi="Times New Roman" w:cs="Times New Roman"/>
        </w:rPr>
        <w:t xml:space="preserve">the company’s </w:t>
      </w:r>
      <w:r w:rsidR="001805DB">
        <w:rPr>
          <w:rFonts w:ascii="Times New Roman" w:hAnsi="Times New Roman" w:cs="Times New Roman"/>
        </w:rPr>
        <w:t>revised base case</w:t>
      </w:r>
      <w:r w:rsidR="007920CC">
        <w:rPr>
          <w:rFonts w:ascii="Times New Roman" w:hAnsi="Times New Roman" w:cs="Times New Roman"/>
        </w:rPr>
        <w:t>.</w:t>
      </w:r>
      <w:r w:rsidR="00AE6C01">
        <w:rPr>
          <w:rFonts w:ascii="Times New Roman" w:hAnsi="Times New Roman" w:cs="Times New Roman"/>
        </w:rPr>
        <w:t xml:space="preserve">  </w:t>
      </w:r>
      <w:r w:rsidR="005E4456">
        <w:rPr>
          <w:rFonts w:ascii="Times New Roman" w:hAnsi="Times New Roman" w:cs="Times New Roman"/>
        </w:rPr>
        <w:t xml:space="preserve">The resulting company base case had an ICER of £37,734 per QALY gained for </w:t>
      </w:r>
      <w:proofErr w:type="spellStart"/>
      <w:r w:rsidR="005E4456">
        <w:rPr>
          <w:rFonts w:ascii="Times New Roman" w:hAnsi="Times New Roman" w:cs="Times New Roman"/>
        </w:rPr>
        <w:t>inotuzumab</w:t>
      </w:r>
      <w:proofErr w:type="spellEnd"/>
      <w:r w:rsidR="005E4456">
        <w:rPr>
          <w:rFonts w:ascii="Times New Roman" w:hAnsi="Times New Roman" w:cs="Times New Roman"/>
        </w:rPr>
        <w:t xml:space="preserve"> compared to </w:t>
      </w:r>
      <w:proofErr w:type="spellStart"/>
      <w:r w:rsidR="005E4456">
        <w:rPr>
          <w:rFonts w:ascii="Times New Roman" w:hAnsi="Times New Roman" w:cs="Times New Roman"/>
        </w:rPr>
        <w:t>SoC</w:t>
      </w:r>
      <w:r w:rsidR="00D83CC7">
        <w:rPr>
          <w:rFonts w:ascii="Times New Roman" w:hAnsi="Times New Roman" w:cs="Times New Roman"/>
        </w:rPr>
        <w:t>.</w:t>
      </w:r>
      <w:proofErr w:type="spellEnd"/>
      <w:r w:rsidR="005E4456">
        <w:rPr>
          <w:rFonts w:ascii="Times New Roman" w:hAnsi="Times New Roman" w:cs="Times New Roman"/>
        </w:rPr>
        <w:t xml:space="preserve"> </w:t>
      </w:r>
    </w:p>
    <w:p w14:paraId="2DDEFEDA" w14:textId="0CDCBE10" w:rsidR="0060678A" w:rsidRDefault="00742587" w:rsidP="00E61BB0">
      <w:pPr>
        <w:spacing w:before="200" w:line="360" w:lineRule="auto"/>
        <w:jc w:val="center"/>
        <w:rPr>
          <w:rFonts w:ascii="Times New Roman" w:hAnsi="Times New Roman" w:cs="Times New Roman"/>
        </w:rPr>
      </w:pPr>
      <w:r>
        <w:rPr>
          <w:rFonts w:ascii="Times New Roman" w:hAnsi="Times New Roman" w:cs="Times New Roman"/>
        </w:rPr>
        <w:t>[Table 3]</w:t>
      </w:r>
    </w:p>
    <w:p w14:paraId="061F6441" w14:textId="7D813123" w:rsidR="00A25EDA" w:rsidRDefault="00A25EDA" w:rsidP="00E61BB0">
      <w:pPr>
        <w:spacing w:line="360" w:lineRule="auto"/>
        <w:ind w:firstLine="357"/>
        <w:rPr>
          <w:rFonts w:ascii="Times New Roman" w:hAnsi="Times New Roman" w:cs="Times New Roman"/>
        </w:rPr>
      </w:pPr>
      <w:r>
        <w:rPr>
          <w:rFonts w:ascii="Times New Roman" w:hAnsi="Times New Roman" w:cs="Times New Roman"/>
        </w:rPr>
        <w:t xml:space="preserve">The company structured their response around three areas: a comparison against the NICE final guidance for </w:t>
      </w:r>
      <w:proofErr w:type="spellStart"/>
      <w:r>
        <w:rPr>
          <w:rFonts w:ascii="Times New Roman" w:hAnsi="Times New Roman" w:cs="Times New Roman"/>
        </w:rPr>
        <w:t>blinatumomab</w:t>
      </w:r>
      <w:proofErr w:type="spellEnd"/>
      <w:r w:rsidR="007D3554">
        <w:rPr>
          <w:rFonts w:ascii="Times New Roman" w:hAnsi="Times New Roman" w:cs="Times New Roman"/>
        </w:rPr>
        <w:t>,</w:t>
      </w:r>
      <w:r>
        <w:rPr>
          <w:rFonts w:ascii="Times New Roman" w:hAnsi="Times New Roman" w:cs="Times New Roman"/>
        </w:rPr>
        <w:t xml:space="preserve"> </w:t>
      </w:r>
      <w:r w:rsidR="00CD72BE">
        <w:rPr>
          <w:rFonts w:ascii="Times New Roman" w:hAnsi="Times New Roman" w:cs="Times New Roman"/>
        </w:rPr>
        <w:t xml:space="preserve">the alternative assumptions underpinning the </w:t>
      </w:r>
      <w:r w:rsidR="00CB05FC">
        <w:rPr>
          <w:rFonts w:ascii="Times New Roman" w:hAnsi="Times New Roman" w:cs="Times New Roman"/>
        </w:rPr>
        <w:t>company’</w:t>
      </w:r>
      <w:r w:rsidR="007D3554">
        <w:rPr>
          <w:rFonts w:ascii="Times New Roman" w:hAnsi="Times New Roman" w:cs="Times New Roman"/>
        </w:rPr>
        <w:t xml:space="preserve">s preferred ICER </w:t>
      </w:r>
      <w:r w:rsidR="009673C3">
        <w:rPr>
          <w:rFonts w:ascii="Times New Roman" w:hAnsi="Times New Roman" w:cs="Times New Roman"/>
        </w:rPr>
        <w:t xml:space="preserve">(Table </w:t>
      </w:r>
      <w:r w:rsidR="00CB05FC">
        <w:rPr>
          <w:rFonts w:ascii="Times New Roman" w:hAnsi="Times New Roman" w:cs="Times New Roman"/>
        </w:rPr>
        <w:t>3</w:t>
      </w:r>
      <w:r w:rsidR="009673C3">
        <w:rPr>
          <w:rFonts w:ascii="Times New Roman" w:hAnsi="Times New Roman" w:cs="Times New Roman"/>
        </w:rPr>
        <w:t xml:space="preserve">) </w:t>
      </w:r>
      <w:r w:rsidR="007D3554">
        <w:rPr>
          <w:rFonts w:ascii="Times New Roman" w:hAnsi="Times New Roman" w:cs="Times New Roman"/>
        </w:rPr>
        <w:t xml:space="preserve">and an additional scenario regarding the number of cycles of </w:t>
      </w:r>
      <w:proofErr w:type="spellStart"/>
      <w:r w:rsidR="007D3554">
        <w:rPr>
          <w:rFonts w:ascii="Times New Roman" w:hAnsi="Times New Roman" w:cs="Times New Roman"/>
        </w:rPr>
        <w:t>inotuzumab</w:t>
      </w:r>
      <w:proofErr w:type="spellEnd"/>
      <w:r w:rsidR="005C6E21">
        <w:rPr>
          <w:rFonts w:ascii="Times New Roman" w:hAnsi="Times New Roman" w:cs="Times New Roman"/>
        </w:rPr>
        <w:t xml:space="preserve"> </w:t>
      </w:r>
      <w:r w:rsidR="00B615BC" w:rsidRPr="005C6E21">
        <w:rPr>
          <w:rFonts w:ascii="Times New Roman" w:hAnsi="Times New Roman" w:cs="Times New Roman"/>
          <w:noProof/>
        </w:rPr>
        <w:fldChar w:fldCharType="begin"/>
      </w:r>
      <w:r w:rsidR="005F15F8">
        <w:rPr>
          <w:rFonts w:ascii="Times New Roman" w:hAnsi="Times New Roman" w:cs="Times New Roman"/>
          <w:noProof/>
        </w:rPr>
        <w:instrText xml:space="preserve"> ADDIN EN.CITE &lt;EndNote&gt;&lt;Cite&gt;&lt;Author&gt;National Institute for Health and Care Excellence&lt;/Author&gt;&lt;Year&gt;2017&lt;/Year&gt;&lt;RecNum&gt;55&lt;/RecNum&gt;&lt;DisplayText&gt;[23]&lt;/DisplayText&gt;&lt;record&gt;&lt;rec-number&gt;55&lt;/rec-number&gt;&lt;foreign-keys&gt;&lt;key app="EN" db-id="9f090dpxqtedprezvanxwdxlwv2d9d9dp2rs" timestamp="0"&gt;55&lt;/key&gt;&lt;/foreign-keys&gt;&lt;ref-type name="Web Page"&gt;12&lt;/ref-type&gt;&lt;contributors&gt;&lt;authors&gt;&lt;author&gt;National Institute for Health and Care Excellence,&lt;/author&gt;&lt;/authors&gt;&lt;/contributors&gt;&lt;titles&gt;&lt;title&gt;Committee Papers - Final appraisal determination Inotuzumab ozogamicin for treating relapsed or refractory B-cell acute lymphoblastic leukaemia [ID893]&lt;/title&gt;&lt;/titles&gt;&lt;dates&gt;&lt;year&gt;2017&lt;/year&gt;&lt;/dates&gt;&lt;urls&gt;&lt;related-urls&gt;&lt;url&gt;https://www.nice.org.uk/guidance/gid-ta10091/documents/committee-papers&lt;/url&gt;&lt;/related-urls&gt;&lt;/urls&gt;&lt;/record&gt;&lt;/Cite&gt;&lt;/EndNote&gt;</w:instrText>
      </w:r>
      <w:r w:rsidR="00B615BC" w:rsidRPr="005C6E21">
        <w:rPr>
          <w:rFonts w:ascii="Times New Roman" w:hAnsi="Times New Roman" w:cs="Times New Roman"/>
          <w:noProof/>
        </w:rPr>
        <w:fldChar w:fldCharType="separate"/>
      </w:r>
      <w:r w:rsidR="005F15F8">
        <w:rPr>
          <w:rFonts w:ascii="Times New Roman" w:hAnsi="Times New Roman" w:cs="Times New Roman"/>
          <w:noProof/>
        </w:rPr>
        <w:t>[23]</w:t>
      </w:r>
      <w:r w:rsidR="00B615BC" w:rsidRPr="005C6E21">
        <w:rPr>
          <w:rFonts w:ascii="Times New Roman" w:hAnsi="Times New Roman" w:cs="Times New Roman"/>
          <w:noProof/>
        </w:rPr>
        <w:fldChar w:fldCharType="end"/>
      </w:r>
      <w:r w:rsidR="005C6E21">
        <w:rPr>
          <w:rFonts w:ascii="Times New Roman" w:hAnsi="Times New Roman" w:cs="Times New Roman"/>
          <w:noProof/>
        </w:rPr>
        <w:t>.</w:t>
      </w:r>
      <w:r w:rsidR="007D3554">
        <w:rPr>
          <w:rFonts w:ascii="Times New Roman" w:hAnsi="Times New Roman" w:cs="Times New Roman"/>
        </w:rPr>
        <w:t xml:space="preserve"> </w:t>
      </w:r>
      <w:r w:rsidR="00370C51">
        <w:rPr>
          <w:rFonts w:ascii="Times New Roman" w:hAnsi="Times New Roman" w:cs="Times New Roman"/>
        </w:rPr>
        <w:t>T</w:t>
      </w:r>
      <w:r w:rsidR="007D3554">
        <w:rPr>
          <w:rFonts w:ascii="Times New Roman" w:hAnsi="Times New Roman" w:cs="Times New Roman"/>
        </w:rPr>
        <w:t xml:space="preserve">he company </w:t>
      </w:r>
      <w:r w:rsidR="004A652E">
        <w:rPr>
          <w:rFonts w:ascii="Times New Roman" w:hAnsi="Times New Roman" w:cs="Times New Roman"/>
        </w:rPr>
        <w:t>stated that</w:t>
      </w:r>
      <w:r w:rsidR="007D3554">
        <w:rPr>
          <w:rFonts w:ascii="Times New Roman" w:hAnsi="Times New Roman" w:cs="Times New Roman"/>
        </w:rPr>
        <w:t xml:space="preserve"> there are a number of key modelling assumptions applicable to </w:t>
      </w:r>
      <w:proofErr w:type="spellStart"/>
      <w:r w:rsidR="007D3554">
        <w:rPr>
          <w:rFonts w:ascii="Times New Roman" w:hAnsi="Times New Roman" w:cs="Times New Roman"/>
        </w:rPr>
        <w:t>inotuzumab</w:t>
      </w:r>
      <w:proofErr w:type="spellEnd"/>
      <w:r w:rsidR="007D3554">
        <w:rPr>
          <w:rFonts w:ascii="Times New Roman" w:hAnsi="Times New Roman" w:cs="Times New Roman"/>
        </w:rPr>
        <w:t xml:space="preserve"> which NICE accepted </w:t>
      </w:r>
      <w:r w:rsidR="00E26777">
        <w:rPr>
          <w:rFonts w:ascii="Times New Roman" w:hAnsi="Times New Roman" w:cs="Times New Roman"/>
        </w:rPr>
        <w:t>when</w:t>
      </w:r>
      <w:r w:rsidR="007D3554">
        <w:rPr>
          <w:rFonts w:ascii="Times New Roman" w:hAnsi="Times New Roman" w:cs="Times New Roman"/>
        </w:rPr>
        <w:t xml:space="preserve"> recommending </w:t>
      </w:r>
      <w:proofErr w:type="spellStart"/>
      <w:r w:rsidR="007D3554">
        <w:rPr>
          <w:rFonts w:ascii="Times New Roman" w:hAnsi="Times New Roman" w:cs="Times New Roman"/>
        </w:rPr>
        <w:t>blinatumomab</w:t>
      </w:r>
      <w:proofErr w:type="spellEnd"/>
      <w:r w:rsidR="007D3554">
        <w:rPr>
          <w:rFonts w:ascii="Times New Roman" w:hAnsi="Times New Roman" w:cs="Times New Roman"/>
        </w:rPr>
        <w:t xml:space="preserve"> (i.e. treatment specific parametric curves and general population utilities and mortality risk beyond the post-cur</w:t>
      </w:r>
      <w:r w:rsidR="009673C3">
        <w:rPr>
          <w:rFonts w:ascii="Times New Roman" w:hAnsi="Times New Roman" w:cs="Times New Roman"/>
        </w:rPr>
        <w:t>e point).</w:t>
      </w:r>
      <w:r w:rsidR="00CB05FC">
        <w:rPr>
          <w:rFonts w:ascii="Times New Roman" w:hAnsi="Times New Roman" w:cs="Times New Roman"/>
        </w:rPr>
        <w:t xml:space="preserve"> The updated company analysis reverted to </w:t>
      </w:r>
      <w:r w:rsidR="00814002">
        <w:rPr>
          <w:rFonts w:ascii="Times New Roman" w:hAnsi="Times New Roman" w:cs="Times New Roman"/>
        </w:rPr>
        <w:t>treatment specific K</w:t>
      </w:r>
      <w:r w:rsidR="00814002" w:rsidRPr="00814002">
        <w:rPr>
          <w:rFonts w:ascii="Times New Roman" w:hAnsi="Times New Roman" w:cs="Times New Roman"/>
        </w:rPr>
        <w:t xml:space="preserve">aplan </w:t>
      </w:r>
      <w:r w:rsidR="00814002">
        <w:rPr>
          <w:rFonts w:ascii="Times New Roman" w:hAnsi="Times New Roman" w:cs="Times New Roman"/>
        </w:rPr>
        <w:t>M</w:t>
      </w:r>
      <w:r w:rsidR="00814002" w:rsidRPr="00814002">
        <w:rPr>
          <w:rFonts w:ascii="Times New Roman" w:hAnsi="Times New Roman" w:cs="Times New Roman"/>
        </w:rPr>
        <w:t>eier</w:t>
      </w:r>
      <w:r w:rsidR="00CB05FC">
        <w:rPr>
          <w:rFonts w:ascii="Times New Roman" w:hAnsi="Times New Roman" w:cs="Times New Roman"/>
        </w:rPr>
        <w:t xml:space="preserve"> curves</w:t>
      </w:r>
      <w:r w:rsidR="00EA0AAB">
        <w:rPr>
          <w:rFonts w:ascii="Times New Roman" w:hAnsi="Times New Roman" w:cs="Times New Roman"/>
        </w:rPr>
        <w:t xml:space="preserve"> </w:t>
      </w:r>
      <w:r w:rsidR="00DF4957">
        <w:rPr>
          <w:rFonts w:ascii="Times New Roman" w:hAnsi="Times New Roman" w:cs="Times New Roman"/>
        </w:rPr>
        <w:t>and</w:t>
      </w:r>
      <w:r w:rsidR="00EA0AAB">
        <w:rPr>
          <w:rFonts w:ascii="Times New Roman" w:hAnsi="Times New Roman" w:cs="Times New Roman"/>
        </w:rPr>
        <w:t xml:space="preserve"> </w:t>
      </w:r>
      <w:r w:rsidR="00814002">
        <w:rPr>
          <w:rFonts w:ascii="Times New Roman" w:hAnsi="Times New Roman" w:cs="Times New Roman"/>
        </w:rPr>
        <w:t>the original</w:t>
      </w:r>
      <w:r w:rsidR="00222F37">
        <w:rPr>
          <w:rFonts w:ascii="Times New Roman" w:hAnsi="Times New Roman" w:cs="Times New Roman"/>
        </w:rPr>
        <w:t xml:space="preserve"> </w:t>
      </w:r>
      <w:r w:rsidR="00EA0AAB">
        <w:rPr>
          <w:rFonts w:ascii="Times New Roman" w:hAnsi="Times New Roman" w:cs="Times New Roman"/>
        </w:rPr>
        <w:t>subsequent therapy costs, and applied</w:t>
      </w:r>
      <w:r w:rsidR="00CB05FC">
        <w:rPr>
          <w:rFonts w:ascii="Times New Roman" w:hAnsi="Times New Roman" w:cs="Times New Roman"/>
        </w:rPr>
        <w:t xml:space="preserve"> </w:t>
      </w:r>
      <w:r w:rsidR="008A796E">
        <w:rPr>
          <w:rFonts w:ascii="Times New Roman" w:hAnsi="Times New Roman" w:cs="Times New Roman"/>
        </w:rPr>
        <w:t>alternative</w:t>
      </w:r>
      <w:r w:rsidR="00EA0AAB">
        <w:rPr>
          <w:rFonts w:ascii="Times New Roman" w:hAnsi="Times New Roman" w:cs="Times New Roman"/>
        </w:rPr>
        <w:t xml:space="preserve"> post-cure mortality risks, </w:t>
      </w:r>
      <w:r w:rsidR="00814002">
        <w:rPr>
          <w:rFonts w:ascii="Times New Roman" w:hAnsi="Times New Roman" w:cs="Times New Roman"/>
        </w:rPr>
        <w:t xml:space="preserve">post-cure utilities and </w:t>
      </w:r>
      <w:r w:rsidR="00EA0AAB">
        <w:rPr>
          <w:rFonts w:ascii="Times New Roman" w:hAnsi="Times New Roman" w:cs="Times New Roman"/>
        </w:rPr>
        <w:t xml:space="preserve">administration schedules for </w:t>
      </w:r>
      <w:proofErr w:type="spellStart"/>
      <w:r w:rsidR="00EA0AAB">
        <w:rPr>
          <w:rFonts w:ascii="Times New Roman" w:hAnsi="Times New Roman" w:cs="Times New Roman"/>
        </w:rPr>
        <w:t>inotuzumab</w:t>
      </w:r>
      <w:proofErr w:type="spellEnd"/>
      <w:r w:rsidR="00EA0AAB">
        <w:rPr>
          <w:rFonts w:ascii="Times New Roman" w:hAnsi="Times New Roman" w:cs="Times New Roman"/>
        </w:rPr>
        <w:t xml:space="preserve"> and </w:t>
      </w:r>
      <w:proofErr w:type="spellStart"/>
      <w:r w:rsidR="00EA0AAB">
        <w:rPr>
          <w:rFonts w:ascii="Times New Roman" w:hAnsi="Times New Roman" w:cs="Times New Roman"/>
        </w:rPr>
        <w:t>SoC.</w:t>
      </w:r>
      <w:proofErr w:type="spellEnd"/>
      <w:r w:rsidR="009673C3">
        <w:rPr>
          <w:rFonts w:ascii="Times New Roman" w:hAnsi="Times New Roman" w:cs="Times New Roman"/>
        </w:rPr>
        <w:t xml:space="preserve"> Furthermore</w:t>
      </w:r>
      <w:r w:rsidR="004437CC">
        <w:rPr>
          <w:rFonts w:ascii="Times New Roman" w:hAnsi="Times New Roman" w:cs="Times New Roman"/>
        </w:rPr>
        <w:t>,</w:t>
      </w:r>
      <w:r w:rsidR="009673C3">
        <w:rPr>
          <w:rFonts w:ascii="Times New Roman" w:hAnsi="Times New Roman" w:cs="Times New Roman"/>
        </w:rPr>
        <w:t xml:space="preserve"> the company claim</w:t>
      </w:r>
      <w:r w:rsidR="004A652E">
        <w:rPr>
          <w:rFonts w:ascii="Times New Roman" w:hAnsi="Times New Roman" w:cs="Times New Roman"/>
        </w:rPr>
        <w:t>ed</w:t>
      </w:r>
      <w:r w:rsidR="009673C3">
        <w:rPr>
          <w:rFonts w:ascii="Times New Roman" w:hAnsi="Times New Roman" w:cs="Times New Roman"/>
        </w:rPr>
        <w:t xml:space="preserve"> </w:t>
      </w:r>
      <w:r w:rsidR="009673C3" w:rsidRPr="009673C3">
        <w:rPr>
          <w:rFonts w:ascii="Times New Roman" w:hAnsi="Times New Roman" w:cs="Times New Roman"/>
        </w:rPr>
        <w:t>that all patients who "achieved CR/</w:t>
      </w:r>
      <w:proofErr w:type="spellStart"/>
      <w:r w:rsidR="009673C3" w:rsidRPr="009673C3">
        <w:rPr>
          <w:rFonts w:ascii="Times New Roman" w:hAnsi="Times New Roman" w:cs="Times New Roman"/>
        </w:rPr>
        <w:t>CRi</w:t>
      </w:r>
      <w:proofErr w:type="spellEnd"/>
      <w:r w:rsidR="009673C3" w:rsidRPr="009673C3">
        <w:rPr>
          <w:rFonts w:ascii="Times New Roman" w:hAnsi="Times New Roman" w:cs="Times New Roman"/>
        </w:rPr>
        <w:t xml:space="preserve"> and MRD negativity" </w:t>
      </w:r>
      <w:r w:rsidR="00351979">
        <w:rPr>
          <w:rFonts w:ascii="Times New Roman" w:hAnsi="Times New Roman" w:cs="Times New Roman"/>
        </w:rPr>
        <w:t xml:space="preserve">with </w:t>
      </w:r>
      <w:proofErr w:type="spellStart"/>
      <w:r w:rsidR="00351979">
        <w:rPr>
          <w:rFonts w:ascii="Times New Roman" w:hAnsi="Times New Roman" w:cs="Times New Roman"/>
        </w:rPr>
        <w:t>inotuzumab</w:t>
      </w:r>
      <w:proofErr w:type="spellEnd"/>
      <w:r w:rsidR="00351979">
        <w:rPr>
          <w:rFonts w:ascii="Times New Roman" w:hAnsi="Times New Roman" w:cs="Times New Roman"/>
        </w:rPr>
        <w:t xml:space="preserve"> </w:t>
      </w:r>
      <w:r w:rsidR="009673C3" w:rsidRPr="009673C3">
        <w:rPr>
          <w:rFonts w:ascii="Times New Roman" w:hAnsi="Times New Roman" w:cs="Times New Roman"/>
        </w:rPr>
        <w:t>did so within the first three cycles</w:t>
      </w:r>
      <w:r w:rsidR="009673C3">
        <w:rPr>
          <w:rFonts w:ascii="Times New Roman" w:hAnsi="Times New Roman" w:cs="Times New Roman"/>
        </w:rPr>
        <w:t xml:space="preserve"> </w:t>
      </w:r>
      <w:r w:rsidR="00B615BC">
        <w:rPr>
          <w:rFonts w:ascii="Times New Roman" w:hAnsi="Times New Roman" w:cs="Times New Roman"/>
        </w:rPr>
        <w:t xml:space="preserve">and that an alternative scenario </w:t>
      </w:r>
      <w:r w:rsidR="00B615BC">
        <w:rPr>
          <w:rFonts w:ascii="Times New Roman" w:hAnsi="Times New Roman" w:cs="Times New Roman"/>
        </w:rPr>
        <w:lastRenderedPageBreak/>
        <w:t>applying a maximum of 3 cycles for patients proceeding to HSCT is a “</w:t>
      </w:r>
      <w:r w:rsidR="00B615BC" w:rsidRPr="00E26777">
        <w:rPr>
          <w:rFonts w:ascii="Times New Roman" w:hAnsi="Times New Roman" w:cs="Times New Roman"/>
          <w:i/>
        </w:rPr>
        <w:t>highly relevant</w:t>
      </w:r>
      <w:r w:rsidR="00B615BC">
        <w:rPr>
          <w:rFonts w:ascii="Times New Roman" w:hAnsi="Times New Roman" w:cs="Times New Roman"/>
        </w:rPr>
        <w:t>” scenario for decision making.</w:t>
      </w:r>
      <w:r w:rsidR="00C57B07">
        <w:rPr>
          <w:rFonts w:ascii="Times New Roman" w:hAnsi="Times New Roman" w:cs="Times New Roman"/>
        </w:rPr>
        <w:t xml:space="preserve"> </w:t>
      </w:r>
    </w:p>
    <w:p w14:paraId="57203D47" w14:textId="18C5140C" w:rsidR="00F177D9" w:rsidRPr="00DD657B" w:rsidRDefault="00F177D9" w:rsidP="00E61BB0">
      <w:pPr>
        <w:pStyle w:val="Heading3"/>
        <w:spacing w:line="360" w:lineRule="auto"/>
        <w:rPr>
          <w:rFonts w:cs="Times New Roman"/>
        </w:rPr>
      </w:pPr>
      <w:r w:rsidRPr="00DD657B">
        <w:rPr>
          <w:rFonts w:cs="Times New Roman"/>
        </w:rPr>
        <w:t xml:space="preserve">ERG Critique of the </w:t>
      </w:r>
      <w:r w:rsidR="008B5182">
        <w:rPr>
          <w:rFonts w:cs="Times New Roman"/>
        </w:rPr>
        <w:t>Company</w:t>
      </w:r>
      <w:r w:rsidR="008B5182" w:rsidRPr="00DD657B">
        <w:rPr>
          <w:rFonts w:cs="Times New Roman"/>
        </w:rPr>
        <w:t xml:space="preserve">’s </w:t>
      </w:r>
      <w:r w:rsidRPr="00DD657B">
        <w:rPr>
          <w:rFonts w:cs="Times New Roman"/>
        </w:rPr>
        <w:t xml:space="preserve">Response to the ACD Consultation </w:t>
      </w:r>
    </w:p>
    <w:p w14:paraId="71A5D148" w14:textId="1A2C4C8D" w:rsidR="0090015B" w:rsidRDefault="00031FEA" w:rsidP="00E61BB0">
      <w:pPr>
        <w:spacing w:before="200" w:line="360" w:lineRule="auto"/>
        <w:rPr>
          <w:rFonts w:ascii="Times New Roman" w:hAnsi="Times New Roman" w:cs="Times New Roman"/>
        </w:rPr>
      </w:pPr>
      <w:r>
        <w:rPr>
          <w:rFonts w:ascii="Times New Roman" w:hAnsi="Times New Roman" w:cs="Times New Roman"/>
        </w:rPr>
        <w:t>T</w:t>
      </w:r>
      <w:r w:rsidR="0090015B">
        <w:rPr>
          <w:rFonts w:ascii="Times New Roman" w:hAnsi="Times New Roman" w:cs="Times New Roman"/>
        </w:rPr>
        <w:t xml:space="preserve">he ERG </w:t>
      </w:r>
      <w:r w:rsidR="00106974">
        <w:rPr>
          <w:rFonts w:ascii="Times New Roman" w:hAnsi="Times New Roman" w:cs="Times New Roman"/>
        </w:rPr>
        <w:t>argued that</w:t>
      </w:r>
      <w:r w:rsidR="0090015B">
        <w:rPr>
          <w:rFonts w:ascii="Times New Roman" w:hAnsi="Times New Roman" w:cs="Times New Roman"/>
        </w:rPr>
        <w:t xml:space="preserve"> the</w:t>
      </w:r>
      <w:r w:rsidR="00CE0711">
        <w:rPr>
          <w:rFonts w:ascii="Times New Roman" w:hAnsi="Times New Roman" w:cs="Times New Roman"/>
        </w:rPr>
        <w:t xml:space="preserve"> company’s</w:t>
      </w:r>
      <w:r w:rsidR="0090015B">
        <w:rPr>
          <w:rFonts w:ascii="Times New Roman" w:hAnsi="Times New Roman" w:cs="Times New Roman"/>
        </w:rPr>
        <w:t xml:space="preserve"> comparison against NICE final guidance for </w:t>
      </w:r>
      <w:proofErr w:type="spellStart"/>
      <w:r w:rsidR="0090015B">
        <w:rPr>
          <w:rFonts w:ascii="Times New Roman" w:hAnsi="Times New Roman" w:cs="Times New Roman"/>
        </w:rPr>
        <w:t>blinatumomab</w:t>
      </w:r>
      <w:proofErr w:type="spellEnd"/>
      <w:r w:rsidR="0090015B">
        <w:rPr>
          <w:rFonts w:ascii="Times New Roman" w:hAnsi="Times New Roman" w:cs="Times New Roman"/>
        </w:rPr>
        <w:t xml:space="preserve"> was </w:t>
      </w:r>
      <w:r w:rsidR="00106974">
        <w:rPr>
          <w:rFonts w:ascii="Times New Roman" w:hAnsi="Times New Roman" w:cs="Times New Roman"/>
        </w:rPr>
        <w:t xml:space="preserve">not </w:t>
      </w:r>
      <w:r w:rsidR="00A934DC">
        <w:rPr>
          <w:rFonts w:ascii="Times New Roman" w:hAnsi="Times New Roman" w:cs="Times New Roman"/>
        </w:rPr>
        <w:t>relevant</w:t>
      </w:r>
      <w:r w:rsidR="00AB4305">
        <w:rPr>
          <w:rFonts w:ascii="Times New Roman" w:hAnsi="Times New Roman" w:cs="Times New Roman"/>
        </w:rPr>
        <w:t>. Th</w:t>
      </w:r>
      <w:r w:rsidR="0090015B">
        <w:rPr>
          <w:rFonts w:ascii="Times New Roman" w:hAnsi="Times New Roman" w:cs="Times New Roman"/>
        </w:rPr>
        <w:t xml:space="preserve">e company </w:t>
      </w:r>
      <w:r w:rsidR="00106974">
        <w:rPr>
          <w:rFonts w:ascii="Times New Roman" w:hAnsi="Times New Roman" w:cs="Times New Roman"/>
        </w:rPr>
        <w:t xml:space="preserve">had </w:t>
      </w:r>
      <w:r w:rsidR="0090015B">
        <w:rPr>
          <w:rFonts w:ascii="Times New Roman" w:hAnsi="Times New Roman" w:cs="Times New Roman"/>
        </w:rPr>
        <w:t>chose</w:t>
      </w:r>
      <w:r w:rsidR="00106974">
        <w:rPr>
          <w:rFonts w:ascii="Times New Roman" w:hAnsi="Times New Roman" w:cs="Times New Roman"/>
        </w:rPr>
        <w:t>n</w:t>
      </w:r>
      <w:r w:rsidR="0090015B">
        <w:rPr>
          <w:rFonts w:ascii="Times New Roman" w:hAnsi="Times New Roman" w:cs="Times New Roman"/>
        </w:rPr>
        <w:t xml:space="preserve"> not to make a comparison against </w:t>
      </w:r>
      <w:proofErr w:type="spellStart"/>
      <w:r w:rsidR="0090015B">
        <w:rPr>
          <w:rFonts w:ascii="Times New Roman" w:hAnsi="Times New Roman" w:cs="Times New Roman"/>
        </w:rPr>
        <w:t>blinatumomab</w:t>
      </w:r>
      <w:proofErr w:type="spellEnd"/>
      <w:r w:rsidR="0090015B">
        <w:rPr>
          <w:rFonts w:ascii="Times New Roman" w:hAnsi="Times New Roman" w:cs="Times New Roman"/>
        </w:rPr>
        <w:t xml:space="preserve"> </w:t>
      </w:r>
      <w:r w:rsidR="00B17342">
        <w:rPr>
          <w:rFonts w:ascii="Times New Roman" w:hAnsi="Times New Roman" w:cs="Times New Roman"/>
        </w:rPr>
        <w:t>in their original model</w:t>
      </w:r>
      <w:r w:rsidR="00106974">
        <w:rPr>
          <w:rFonts w:ascii="Times New Roman" w:hAnsi="Times New Roman" w:cs="Times New Roman"/>
        </w:rPr>
        <w:t>.  T</w:t>
      </w:r>
      <w:r w:rsidR="0090015B">
        <w:rPr>
          <w:rFonts w:ascii="Times New Roman" w:hAnsi="Times New Roman" w:cs="Times New Roman"/>
        </w:rPr>
        <w:t xml:space="preserve">he drugs </w:t>
      </w:r>
      <w:r w:rsidR="0090015B" w:rsidRPr="0090015B">
        <w:rPr>
          <w:rFonts w:ascii="Times New Roman" w:hAnsi="Times New Roman" w:cs="Times New Roman"/>
        </w:rPr>
        <w:t>are different products with a different mechanism of action, different method</w:t>
      </w:r>
      <w:r w:rsidR="00D723F2">
        <w:rPr>
          <w:rFonts w:ascii="Times New Roman" w:hAnsi="Times New Roman" w:cs="Times New Roman"/>
        </w:rPr>
        <w:t>s</w:t>
      </w:r>
      <w:r w:rsidR="0090015B" w:rsidRPr="0090015B">
        <w:rPr>
          <w:rFonts w:ascii="Times New Roman" w:hAnsi="Times New Roman" w:cs="Times New Roman"/>
        </w:rPr>
        <w:t xml:space="preserve"> of administration, different prices and a different underlying evidence base, all of which may reasonably lead to differences between the appraisals.</w:t>
      </w:r>
      <w:r w:rsidR="008E0084">
        <w:rPr>
          <w:rFonts w:ascii="Times New Roman" w:hAnsi="Times New Roman" w:cs="Times New Roman"/>
        </w:rPr>
        <w:t xml:space="preserve"> </w:t>
      </w:r>
      <w:r w:rsidR="00F700AD">
        <w:rPr>
          <w:rFonts w:ascii="Times New Roman" w:hAnsi="Times New Roman" w:cs="Times New Roman"/>
        </w:rPr>
        <w:t>T</w:t>
      </w:r>
      <w:r w:rsidR="0090015B">
        <w:rPr>
          <w:rFonts w:ascii="Times New Roman" w:hAnsi="Times New Roman" w:cs="Times New Roman"/>
        </w:rPr>
        <w:t>he ERG believe</w:t>
      </w:r>
      <w:r w:rsidR="008E0084">
        <w:rPr>
          <w:rFonts w:ascii="Times New Roman" w:hAnsi="Times New Roman" w:cs="Times New Roman"/>
        </w:rPr>
        <w:t>d</w:t>
      </w:r>
      <w:r w:rsidR="0090015B">
        <w:rPr>
          <w:rFonts w:ascii="Times New Roman" w:hAnsi="Times New Roman" w:cs="Times New Roman"/>
        </w:rPr>
        <w:t xml:space="preserve"> </w:t>
      </w:r>
      <w:r w:rsidR="00281C13">
        <w:rPr>
          <w:rFonts w:ascii="Times New Roman" w:hAnsi="Times New Roman" w:cs="Times New Roman"/>
        </w:rPr>
        <w:t>that</w:t>
      </w:r>
      <w:r w:rsidR="008E0084">
        <w:rPr>
          <w:rFonts w:ascii="Times New Roman" w:hAnsi="Times New Roman" w:cs="Times New Roman"/>
        </w:rPr>
        <w:t xml:space="preserve"> </w:t>
      </w:r>
      <w:r w:rsidR="0090015B">
        <w:rPr>
          <w:rFonts w:ascii="Times New Roman" w:hAnsi="Times New Roman" w:cs="Times New Roman"/>
        </w:rPr>
        <w:t xml:space="preserve">including the cost of subsequent therapies </w:t>
      </w:r>
      <w:r w:rsidR="00F700AD">
        <w:rPr>
          <w:rFonts w:ascii="Times New Roman" w:hAnsi="Times New Roman" w:cs="Times New Roman"/>
        </w:rPr>
        <w:t>was appropriate</w:t>
      </w:r>
      <w:r w:rsidRPr="00031FEA">
        <w:rPr>
          <w:rFonts w:ascii="Times New Roman" w:hAnsi="Times New Roman" w:cs="Times New Roman"/>
        </w:rPr>
        <w:t xml:space="preserve"> </w:t>
      </w:r>
      <w:r>
        <w:rPr>
          <w:rFonts w:ascii="Times New Roman" w:hAnsi="Times New Roman" w:cs="Times New Roman"/>
        </w:rPr>
        <w:t>in light of</w:t>
      </w:r>
      <w:r w:rsidR="001F2BFC">
        <w:rPr>
          <w:rFonts w:ascii="Times New Roman" w:hAnsi="Times New Roman" w:cs="Times New Roman"/>
        </w:rPr>
        <w:t xml:space="preserve"> the</w:t>
      </w:r>
      <w:r>
        <w:rPr>
          <w:rFonts w:ascii="Times New Roman" w:hAnsi="Times New Roman" w:cs="Times New Roman"/>
        </w:rPr>
        <w:t xml:space="preserve"> new evidence</w:t>
      </w:r>
      <w:r w:rsidR="001F2BFC">
        <w:rPr>
          <w:rFonts w:ascii="Times New Roman" w:hAnsi="Times New Roman" w:cs="Times New Roman"/>
        </w:rPr>
        <w:t xml:space="preserve"> provided</w:t>
      </w:r>
      <w:r w:rsidR="00AB4305">
        <w:rPr>
          <w:rFonts w:ascii="Times New Roman" w:hAnsi="Times New Roman" w:cs="Times New Roman"/>
        </w:rPr>
        <w:t xml:space="preserve"> </w:t>
      </w:r>
      <w:r w:rsidR="00F700AD">
        <w:rPr>
          <w:rFonts w:ascii="Times New Roman" w:hAnsi="Times New Roman" w:cs="Times New Roman"/>
        </w:rPr>
        <w:t xml:space="preserve">on the rates of use in the safety population </w:t>
      </w:r>
      <w:r w:rsidR="00AB4305">
        <w:rPr>
          <w:rFonts w:ascii="Times New Roman" w:hAnsi="Times New Roman" w:cs="Times New Roman"/>
        </w:rPr>
        <w:t>(</w:t>
      </w:r>
      <w:r w:rsidR="00EA0AAB">
        <w:rPr>
          <w:rFonts w:ascii="Times New Roman" w:hAnsi="Times New Roman" w:cs="Times New Roman"/>
        </w:rPr>
        <w:t>Table 3</w:t>
      </w:r>
      <w:r w:rsidR="004E1445">
        <w:rPr>
          <w:rFonts w:ascii="Times New Roman" w:hAnsi="Times New Roman" w:cs="Times New Roman"/>
        </w:rPr>
        <w:t>)</w:t>
      </w:r>
      <w:r w:rsidR="00281C13">
        <w:rPr>
          <w:rFonts w:ascii="Times New Roman" w:hAnsi="Times New Roman" w:cs="Times New Roman"/>
        </w:rPr>
        <w:t xml:space="preserve">. </w:t>
      </w:r>
      <w:r w:rsidR="00D723F2">
        <w:rPr>
          <w:rFonts w:ascii="Times New Roman" w:hAnsi="Times New Roman" w:cs="Times New Roman"/>
        </w:rPr>
        <w:t xml:space="preserve">The company </w:t>
      </w:r>
      <w:r w:rsidR="008E0084">
        <w:rPr>
          <w:rFonts w:ascii="Times New Roman" w:hAnsi="Times New Roman" w:cs="Times New Roman"/>
        </w:rPr>
        <w:t xml:space="preserve">had </w:t>
      </w:r>
      <w:r w:rsidR="00281C13">
        <w:rPr>
          <w:rFonts w:ascii="Times New Roman" w:hAnsi="Times New Roman" w:cs="Times New Roman"/>
        </w:rPr>
        <w:t>presented</w:t>
      </w:r>
      <w:r w:rsidR="00D723F2">
        <w:rPr>
          <w:rFonts w:ascii="Times New Roman" w:hAnsi="Times New Roman" w:cs="Times New Roman"/>
        </w:rPr>
        <w:t xml:space="preserve"> no n</w:t>
      </w:r>
      <w:r w:rsidR="008E0084">
        <w:rPr>
          <w:rFonts w:ascii="Times New Roman" w:hAnsi="Times New Roman" w:cs="Times New Roman"/>
        </w:rPr>
        <w:t>e</w:t>
      </w:r>
      <w:r w:rsidR="00D723F2">
        <w:rPr>
          <w:rFonts w:ascii="Times New Roman" w:hAnsi="Times New Roman" w:cs="Times New Roman"/>
        </w:rPr>
        <w:t>w information</w:t>
      </w:r>
      <w:r w:rsidR="00281C13">
        <w:rPr>
          <w:rFonts w:ascii="Times New Roman" w:hAnsi="Times New Roman" w:cs="Times New Roman"/>
        </w:rPr>
        <w:t xml:space="preserve"> with respect to the use of treatment specific parametric survival curves</w:t>
      </w:r>
      <w:r w:rsidR="004E1445">
        <w:rPr>
          <w:rFonts w:ascii="Times New Roman" w:hAnsi="Times New Roman" w:cs="Times New Roman"/>
        </w:rPr>
        <w:t xml:space="preserve">, </w:t>
      </w:r>
      <w:proofErr w:type="spellStart"/>
      <w:r w:rsidR="004E1445">
        <w:rPr>
          <w:rFonts w:ascii="Times New Roman" w:hAnsi="Times New Roman" w:cs="Times New Roman"/>
        </w:rPr>
        <w:t>HRQoL</w:t>
      </w:r>
      <w:proofErr w:type="spellEnd"/>
      <w:r w:rsidR="00AB4305">
        <w:rPr>
          <w:rFonts w:ascii="Times New Roman" w:hAnsi="Times New Roman" w:cs="Times New Roman"/>
        </w:rPr>
        <w:t xml:space="preserve"> </w:t>
      </w:r>
      <w:r w:rsidR="00E20560">
        <w:rPr>
          <w:rFonts w:ascii="Times New Roman" w:hAnsi="Times New Roman" w:cs="Times New Roman"/>
        </w:rPr>
        <w:t>or</w:t>
      </w:r>
      <w:r w:rsidR="00281C13">
        <w:rPr>
          <w:rFonts w:ascii="Times New Roman" w:hAnsi="Times New Roman" w:cs="Times New Roman"/>
        </w:rPr>
        <w:t xml:space="preserve"> administration costs</w:t>
      </w:r>
      <w:r w:rsidR="008E0084">
        <w:rPr>
          <w:rFonts w:ascii="Times New Roman" w:hAnsi="Times New Roman" w:cs="Times New Roman"/>
        </w:rPr>
        <w:t>,</w:t>
      </w:r>
      <w:r w:rsidR="00281C13">
        <w:rPr>
          <w:rFonts w:ascii="Times New Roman" w:hAnsi="Times New Roman" w:cs="Times New Roman"/>
        </w:rPr>
        <w:t xml:space="preserve"> </w:t>
      </w:r>
      <w:r w:rsidR="00C81957">
        <w:rPr>
          <w:rFonts w:ascii="Times New Roman" w:hAnsi="Times New Roman" w:cs="Times New Roman"/>
        </w:rPr>
        <w:t xml:space="preserve">whilst </w:t>
      </w:r>
      <w:r w:rsidR="00281C13">
        <w:rPr>
          <w:rFonts w:ascii="Times New Roman" w:hAnsi="Times New Roman" w:cs="Times New Roman"/>
        </w:rPr>
        <w:t xml:space="preserve">the </w:t>
      </w:r>
      <w:r w:rsidR="00281C13" w:rsidRPr="00281C13">
        <w:rPr>
          <w:rFonts w:ascii="Times New Roman" w:hAnsi="Times New Roman" w:cs="Times New Roman"/>
        </w:rPr>
        <w:t>choice of references and analyses</w:t>
      </w:r>
      <w:r w:rsidR="00281C13">
        <w:rPr>
          <w:rFonts w:ascii="Times New Roman" w:hAnsi="Times New Roman" w:cs="Times New Roman"/>
        </w:rPr>
        <w:t xml:space="preserve"> surrounding the</w:t>
      </w:r>
      <w:r w:rsidR="00281C13" w:rsidRPr="00281C13">
        <w:rPr>
          <w:rFonts w:ascii="Times New Roman" w:hAnsi="Times New Roman" w:cs="Times New Roman"/>
        </w:rPr>
        <w:t xml:space="preserve"> </w:t>
      </w:r>
      <w:r w:rsidR="00281C13">
        <w:rPr>
          <w:rFonts w:ascii="Times New Roman" w:hAnsi="Times New Roman" w:cs="Times New Roman"/>
        </w:rPr>
        <w:t xml:space="preserve">revised mortality risk </w:t>
      </w:r>
      <w:r w:rsidR="004E1445">
        <w:rPr>
          <w:rFonts w:ascii="Times New Roman" w:hAnsi="Times New Roman" w:cs="Times New Roman"/>
        </w:rPr>
        <w:t>were</w:t>
      </w:r>
      <w:r w:rsidR="00281C13" w:rsidRPr="00281C13">
        <w:rPr>
          <w:rFonts w:ascii="Times New Roman" w:hAnsi="Times New Roman" w:cs="Times New Roman"/>
        </w:rPr>
        <w:t xml:space="preserve"> fundamentally flawed</w:t>
      </w:r>
      <w:r w:rsidR="005C6E21">
        <w:rPr>
          <w:rFonts w:ascii="Times New Roman" w:hAnsi="Times New Roman" w:cs="Times New Roman"/>
        </w:rPr>
        <w:t xml:space="preserve"> </w:t>
      </w:r>
      <w:r w:rsidR="004A652E">
        <w:rPr>
          <w:rFonts w:ascii="Times New Roman" w:hAnsi="Times New Roman" w:cs="Times New Roman"/>
        </w:rPr>
        <w:fldChar w:fldCharType="begin"/>
      </w:r>
      <w:r w:rsidR="005F15F8">
        <w:rPr>
          <w:rFonts w:ascii="Times New Roman" w:hAnsi="Times New Roman" w:cs="Times New Roman"/>
        </w:rPr>
        <w:instrText xml:space="preserve"> ADDIN EN.CITE &lt;EndNote&gt;&lt;Cite&gt;&lt;Author&gt;National Institute for Health and Care Excellence&lt;/Author&gt;&lt;Year&gt;2017&lt;/Year&gt;&lt;RecNum&gt;55&lt;/RecNum&gt;&lt;DisplayText&gt;[23]&lt;/DisplayText&gt;&lt;record&gt;&lt;rec-number&gt;55&lt;/rec-number&gt;&lt;foreign-keys&gt;&lt;key app="EN" db-id="9f090dpxqtedprezvanxwdxlwv2d9d9dp2rs" timestamp="0"&gt;55&lt;/key&gt;&lt;/foreign-keys&gt;&lt;ref-type name="Web Page"&gt;12&lt;/ref-type&gt;&lt;contributors&gt;&lt;authors&gt;&lt;author&gt;National Institute for Health and Care Excellence,&lt;/author&gt;&lt;/authors&gt;&lt;/contributors&gt;&lt;titles&gt;&lt;title&gt;Committee Papers - Final appraisal determination Inotuzumab ozogamicin for treating relapsed or refractory B-cell acute lymphoblastic leukaemia [ID893]&lt;/title&gt;&lt;/titles&gt;&lt;dates&gt;&lt;year&gt;2017&lt;/year&gt;&lt;/dates&gt;&lt;urls&gt;&lt;related-urls&gt;&lt;url&gt;https://www.nice.org.uk/guidance/gid-ta10091/documents/committee-papers&lt;/url&gt;&lt;/related-urls&gt;&lt;/urls&gt;&lt;/record&gt;&lt;/Cite&gt;&lt;/EndNote&gt;</w:instrText>
      </w:r>
      <w:r w:rsidR="004A652E">
        <w:rPr>
          <w:rFonts w:ascii="Times New Roman" w:hAnsi="Times New Roman" w:cs="Times New Roman"/>
        </w:rPr>
        <w:fldChar w:fldCharType="separate"/>
      </w:r>
      <w:r w:rsidR="005F15F8">
        <w:rPr>
          <w:rFonts w:ascii="Times New Roman" w:hAnsi="Times New Roman" w:cs="Times New Roman"/>
          <w:noProof/>
        </w:rPr>
        <w:t>[23]</w:t>
      </w:r>
      <w:r w:rsidR="004A652E">
        <w:rPr>
          <w:rFonts w:ascii="Times New Roman" w:hAnsi="Times New Roman" w:cs="Times New Roman"/>
        </w:rPr>
        <w:fldChar w:fldCharType="end"/>
      </w:r>
      <w:r w:rsidR="005C6E21">
        <w:rPr>
          <w:rFonts w:ascii="Times New Roman" w:hAnsi="Times New Roman" w:cs="Times New Roman"/>
        </w:rPr>
        <w:t>.</w:t>
      </w:r>
      <w:r w:rsidR="0068576B">
        <w:rPr>
          <w:rFonts w:ascii="Times New Roman" w:hAnsi="Times New Roman" w:cs="Times New Roman"/>
        </w:rPr>
        <w:t xml:space="preserve"> Moreover,</w:t>
      </w:r>
      <w:r w:rsidR="00732C77">
        <w:rPr>
          <w:rFonts w:ascii="Times New Roman" w:hAnsi="Times New Roman" w:cs="Times New Roman"/>
        </w:rPr>
        <w:t xml:space="preserve"> </w:t>
      </w:r>
      <w:r w:rsidR="0068576B">
        <w:rPr>
          <w:rFonts w:ascii="Times New Roman" w:hAnsi="Times New Roman" w:cs="Times New Roman"/>
        </w:rPr>
        <w:t>the ERG</w:t>
      </w:r>
      <w:r w:rsidR="00446E64">
        <w:rPr>
          <w:rFonts w:ascii="Times New Roman" w:hAnsi="Times New Roman" w:cs="Times New Roman"/>
        </w:rPr>
        <w:t xml:space="preserve"> also</w:t>
      </w:r>
      <w:r w:rsidR="0068576B">
        <w:rPr>
          <w:rFonts w:ascii="Times New Roman" w:hAnsi="Times New Roman" w:cs="Times New Roman"/>
        </w:rPr>
        <w:t xml:space="preserve"> had </w:t>
      </w:r>
      <w:r w:rsidR="006B7E86">
        <w:rPr>
          <w:rFonts w:ascii="Times New Roman" w:hAnsi="Times New Roman" w:cs="Times New Roman"/>
        </w:rPr>
        <w:t>concerns</w:t>
      </w:r>
      <w:r w:rsidR="00446E64">
        <w:rPr>
          <w:rFonts w:ascii="Times New Roman" w:hAnsi="Times New Roman" w:cs="Times New Roman"/>
        </w:rPr>
        <w:t xml:space="preserve"> as to</w:t>
      </w:r>
      <w:r w:rsidR="00DC216F">
        <w:rPr>
          <w:rFonts w:ascii="Times New Roman" w:hAnsi="Times New Roman" w:cs="Times New Roman"/>
        </w:rPr>
        <w:t xml:space="preserve"> </w:t>
      </w:r>
      <w:r w:rsidR="006B7E86" w:rsidRPr="006B7E86">
        <w:rPr>
          <w:rFonts w:ascii="Times New Roman" w:hAnsi="Times New Roman" w:cs="Times New Roman"/>
        </w:rPr>
        <w:t>whether all patients who achieved CR/</w:t>
      </w:r>
      <w:proofErr w:type="spellStart"/>
      <w:r w:rsidR="006B7E86" w:rsidRPr="006B7E86">
        <w:rPr>
          <w:rFonts w:ascii="Times New Roman" w:hAnsi="Times New Roman" w:cs="Times New Roman"/>
        </w:rPr>
        <w:t>CRi</w:t>
      </w:r>
      <w:proofErr w:type="spellEnd"/>
      <w:r w:rsidR="006B7E86" w:rsidRPr="006B7E86">
        <w:rPr>
          <w:rFonts w:ascii="Times New Roman" w:hAnsi="Times New Roman" w:cs="Times New Roman"/>
        </w:rPr>
        <w:t xml:space="preserve"> and/or received HSCT had no more than 3 cycles of </w:t>
      </w:r>
      <w:proofErr w:type="spellStart"/>
      <w:r w:rsidR="006B7E86" w:rsidRPr="006B7E86">
        <w:rPr>
          <w:rFonts w:ascii="Times New Roman" w:hAnsi="Times New Roman" w:cs="Times New Roman"/>
        </w:rPr>
        <w:t>inotuzumab</w:t>
      </w:r>
      <w:proofErr w:type="spellEnd"/>
      <w:r w:rsidR="00446E64">
        <w:rPr>
          <w:rFonts w:ascii="Times New Roman" w:hAnsi="Times New Roman" w:cs="Times New Roman"/>
        </w:rPr>
        <w:t xml:space="preserve"> and</w:t>
      </w:r>
      <w:r w:rsidR="0068576B">
        <w:rPr>
          <w:rFonts w:ascii="Times New Roman" w:hAnsi="Times New Roman" w:cs="Times New Roman"/>
        </w:rPr>
        <w:t xml:space="preserve"> </w:t>
      </w:r>
      <w:r w:rsidR="00446E64">
        <w:rPr>
          <w:rFonts w:ascii="Times New Roman" w:hAnsi="Times New Roman" w:cs="Times New Roman"/>
        </w:rPr>
        <w:t>concluded</w:t>
      </w:r>
      <w:r w:rsidR="006B7E86">
        <w:rPr>
          <w:rFonts w:ascii="Times New Roman" w:hAnsi="Times New Roman" w:cs="Times New Roman"/>
        </w:rPr>
        <w:t xml:space="preserve"> that </w:t>
      </w:r>
      <w:r w:rsidR="006B7E86" w:rsidRPr="006B7E86">
        <w:rPr>
          <w:rFonts w:ascii="Times New Roman" w:hAnsi="Times New Roman" w:cs="Times New Roman"/>
        </w:rPr>
        <w:t xml:space="preserve">costing only three cycles of </w:t>
      </w:r>
      <w:proofErr w:type="spellStart"/>
      <w:r w:rsidR="006B7E86" w:rsidRPr="006B7E86">
        <w:rPr>
          <w:rFonts w:ascii="Times New Roman" w:hAnsi="Times New Roman" w:cs="Times New Roman"/>
        </w:rPr>
        <w:t>inotuzumab</w:t>
      </w:r>
      <w:proofErr w:type="spellEnd"/>
      <w:r w:rsidR="006B7E86" w:rsidRPr="006B7E86">
        <w:rPr>
          <w:rFonts w:ascii="Times New Roman" w:hAnsi="Times New Roman" w:cs="Times New Roman"/>
        </w:rPr>
        <w:t xml:space="preserve"> cannot be regarded as consistent with the efficacy in the model</w:t>
      </w:r>
      <w:r w:rsidR="006B7E86">
        <w:rPr>
          <w:rFonts w:ascii="Times New Roman" w:hAnsi="Times New Roman" w:cs="Times New Roman"/>
        </w:rPr>
        <w:t xml:space="preserve">. </w:t>
      </w:r>
    </w:p>
    <w:p w14:paraId="4A992D82" w14:textId="41AD8022" w:rsidR="00884D9B" w:rsidRPr="0090015B" w:rsidRDefault="00454653" w:rsidP="00E61BB0">
      <w:pPr>
        <w:spacing w:line="360" w:lineRule="auto"/>
        <w:ind w:firstLine="357"/>
        <w:rPr>
          <w:rFonts w:ascii="Times New Roman" w:hAnsi="Times New Roman" w:cs="Times New Roman"/>
        </w:rPr>
      </w:pPr>
      <w:r>
        <w:rPr>
          <w:rFonts w:ascii="Times New Roman" w:hAnsi="Times New Roman" w:cs="Times New Roman"/>
        </w:rPr>
        <w:t>Applying t</w:t>
      </w:r>
      <w:r w:rsidR="00C264E2">
        <w:rPr>
          <w:rFonts w:ascii="Times New Roman" w:hAnsi="Times New Roman" w:cs="Times New Roman"/>
        </w:rPr>
        <w:t xml:space="preserve">he </w:t>
      </w:r>
      <w:r w:rsidR="004A652E" w:rsidRPr="00884D9B">
        <w:rPr>
          <w:rFonts w:ascii="Times New Roman" w:hAnsi="Times New Roman" w:cs="Times New Roman"/>
        </w:rPr>
        <w:t xml:space="preserve">company’s </w:t>
      </w:r>
      <w:r w:rsidR="00C264E2">
        <w:rPr>
          <w:rFonts w:ascii="Times New Roman" w:hAnsi="Times New Roman" w:cs="Times New Roman"/>
        </w:rPr>
        <w:t xml:space="preserve">preferred </w:t>
      </w:r>
      <w:r w:rsidR="004A652E" w:rsidRPr="00884D9B">
        <w:rPr>
          <w:rFonts w:ascii="Times New Roman" w:hAnsi="Times New Roman" w:cs="Times New Roman"/>
        </w:rPr>
        <w:t>cost of subsequent therapies and</w:t>
      </w:r>
      <w:r w:rsidR="004A652E">
        <w:rPr>
          <w:rFonts w:ascii="Times New Roman" w:hAnsi="Times New Roman" w:cs="Times New Roman"/>
        </w:rPr>
        <w:t xml:space="preserve"> </w:t>
      </w:r>
      <w:r w:rsidR="004A652E" w:rsidRPr="00884D9B">
        <w:rPr>
          <w:rFonts w:ascii="Times New Roman" w:hAnsi="Times New Roman" w:cs="Times New Roman"/>
        </w:rPr>
        <w:t xml:space="preserve">the </w:t>
      </w:r>
      <w:r w:rsidR="00D51CDD">
        <w:rPr>
          <w:rFonts w:ascii="Times New Roman" w:hAnsi="Times New Roman" w:cs="Times New Roman"/>
        </w:rPr>
        <w:t>PAS</w:t>
      </w:r>
      <w:r w:rsidR="004A652E">
        <w:rPr>
          <w:rFonts w:ascii="Times New Roman" w:hAnsi="Times New Roman" w:cs="Times New Roman"/>
        </w:rPr>
        <w:t xml:space="preserve"> to </w:t>
      </w:r>
      <w:r w:rsidR="00B71868">
        <w:rPr>
          <w:rFonts w:ascii="Times New Roman" w:hAnsi="Times New Roman" w:cs="Times New Roman"/>
        </w:rPr>
        <w:t xml:space="preserve">the </w:t>
      </w:r>
      <w:r w:rsidR="00884D9B" w:rsidRPr="00884D9B">
        <w:rPr>
          <w:rFonts w:ascii="Times New Roman" w:hAnsi="Times New Roman" w:cs="Times New Roman"/>
        </w:rPr>
        <w:t xml:space="preserve">committee’s </w:t>
      </w:r>
      <w:r w:rsidR="00B71868">
        <w:rPr>
          <w:rFonts w:ascii="Times New Roman" w:hAnsi="Times New Roman" w:cs="Times New Roman"/>
        </w:rPr>
        <w:t xml:space="preserve">original </w:t>
      </w:r>
      <w:r w:rsidR="00884D9B" w:rsidRPr="00884D9B">
        <w:rPr>
          <w:rFonts w:ascii="Times New Roman" w:hAnsi="Times New Roman" w:cs="Times New Roman"/>
        </w:rPr>
        <w:t>preferred base</w:t>
      </w:r>
      <w:r w:rsidR="00E26777">
        <w:rPr>
          <w:rFonts w:ascii="Times New Roman" w:hAnsi="Times New Roman" w:cs="Times New Roman"/>
        </w:rPr>
        <w:t xml:space="preserve"> case</w:t>
      </w:r>
      <w:r w:rsidR="00884D9B">
        <w:rPr>
          <w:rFonts w:ascii="Times New Roman" w:hAnsi="Times New Roman" w:cs="Times New Roman"/>
        </w:rPr>
        <w:t xml:space="preserve"> </w:t>
      </w:r>
      <w:r w:rsidR="00C264E2">
        <w:rPr>
          <w:rFonts w:ascii="Times New Roman" w:hAnsi="Times New Roman" w:cs="Times New Roman"/>
        </w:rPr>
        <w:t>generated a</w:t>
      </w:r>
      <w:r w:rsidR="00884D9B">
        <w:rPr>
          <w:rFonts w:ascii="Times New Roman" w:hAnsi="Times New Roman" w:cs="Times New Roman"/>
        </w:rPr>
        <w:t xml:space="preserve"> </w:t>
      </w:r>
      <w:r w:rsidR="00884D9B" w:rsidRPr="00884D9B">
        <w:rPr>
          <w:rFonts w:ascii="Times New Roman" w:hAnsi="Times New Roman" w:cs="Times New Roman"/>
        </w:rPr>
        <w:t>deterministic ICER</w:t>
      </w:r>
      <w:r w:rsidR="00C264E2">
        <w:rPr>
          <w:rFonts w:ascii="Times New Roman" w:hAnsi="Times New Roman" w:cs="Times New Roman"/>
        </w:rPr>
        <w:t xml:space="preserve"> which</w:t>
      </w:r>
      <w:r w:rsidR="00884D9B" w:rsidRPr="00884D9B">
        <w:rPr>
          <w:rFonts w:ascii="Times New Roman" w:hAnsi="Times New Roman" w:cs="Times New Roman"/>
        </w:rPr>
        <w:t xml:space="preserve"> </w:t>
      </w:r>
      <w:r w:rsidR="00C264E2">
        <w:rPr>
          <w:rFonts w:ascii="Times New Roman" w:hAnsi="Times New Roman" w:cs="Times New Roman"/>
        </w:rPr>
        <w:t>remained</w:t>
      </w:r>
      <w:r w:rsidR="00884D9B" w:rsidRPr="00884D9B">
        <w:rPr>
          <w:rFonts w:ascii="Times New Roman" w:hAnsi="Times New Roman" w:cs="Times New Roman"/>
        </w:rPr>
        <w:t xml:space="preserve"> greater than £50,000 per QALY gained</w:t>
      </w:r>
      <w:r w:rsidR="00884D9B">
        <w:rPr>
          <w:rFonts w:ascii="Times New Roman" w:hAnsi="Times New Roman" w:cs="Times New Roman"/>
        </w:rPr>
        <w:t>.</w:t>
      </w:r>
      <w:r w:rsidR="00AB4305">
        <w:rPr>
          <w:rFonts w:ascii="Times New Roman" w:hAnsi="Times New Roman" w:cs="Times New Roman"/>
        </w:rPr>
        <w:t xml:space="preserve"> </w:t>
      </w:r>
    </w:p>
    <w:p w14:paraId="2AD8E0E4" w14:textId="70011293" w:rsidR="00DD657B" w:rsidRDefault="00F177D9" w:rsidP="003524F7">
      <w:pPr>
        <w:pStyle w:val="Heading3"/>
        <w:spacing w:line="360" w:lineRule="auto"/>
        <w:rPr>
          <w:rFonts w:cs="Times New Roman"/>
        </w:rPr>
      </w:pPr>
      <w:r w:rsidRPr="00DD657B">
        <w:rPr>
          <w:rFonts w:cs="Times New Roman"/>
        </w:rPr>
        <w:t xml:space="preserve">The Appraisal Committee’s </w:t>
      </w:r>
      <w:r w:rsidR="002F611A">
        <w:rPr>
          <w:rFonts w:cs="Times New Roman"/>
        </w:rPr>
        <w:t>Initial</w:t>
      </w:r>
      <w:r w:rsidRPr="00DD657B">
        <w:rPr>
          <w:rFonts w:cs="Times New Roman"/>
        </w:rPr>
        <w:t xml:space="preserve"> Guidance </w:t>
      </w:r>
    </w:p>
    <w:p w14:paraId="6A6D5421" w14:textId="2DE965A8" w:rsidR="009D31C1" w:rsidRDefault="006A732C" w:rsidP="00C872E5">
      <w:pPr>
        <w:spacing w:before="200" w:line="360" w:lineRule="auto"/>
        <w:rPr>
          <w:rFonts w:ascii="Times New Roman" w:hAnsi="Times New Roman" w:cs="Times New Roman"/>
        </w:rPr>
      </w:pPr>
      <w:r>
        <w:rPr>
          <w:rFonts w:ascii="Times New Roman" w:hAnsi="Times New Roman" w:cs="Times New Roman"/>
        </w:rPr>
        <w:t>In August 2017 t</w:t>
      </w:r>
      <w:r w:rsidR="000C1496">
        <w:rPr>
          <w:rFonts w:ascii="Times New Roman" w:hAnsi="Times New Roman" w:cs="Times New Roman"/>
        </w:rPr>
        <w:t>he</w:t>
      </w:r>
      <w:r w:rsidR="00625A11">
        <w:rPr>
          <w:rFonts w:ascii="Times New Roman" w:hAnsi="Times New Roman" w:cs="Times New Roman"/>
        </w:rPr>
        <w:t xml:space="preserve"> </w:t>
      </w:r>
      <w:r w:rsidR="00D36AA2">
        <w:rPr>
          <w:rFonts w:ascii="Times New Roman" w:hAnsi="Times New Roman" w:cs="Times New Roman"/>
        </w:rPr>
        <w:t>NICE A</w:t>
      </w:r>
      <w:r w:rsidR="00B62A5E">
        <w:rPr>
          <w:rFonts w:ascii="Times New Roman" w:hAnsi="Times New Roman" w:cs="Times New Roman"/>
        </w:rPr>
        <w:t xml:space="preserve">ppraisal </w:t>
      </w:r>
      <w:r w:rsidR="00D36AA2">
        <w:rPr>
          <w:rFonts w:ascii="Times New Roman" w:hAnsi="Times New Roman" w:cs="Times New Roman"/>
        </w:rPr>
        <w:t>C</w:t>
      </w:r>
      <w:r w:rsidR="00B62A5E">
        <w:rPr>
          <w:rFonts w:ascii="Times New Roman" w:hAnsi="Times New Roman" w:cs="Times New Roman"/>
        </w:rPr>
        <w:t>ommittee</w:t>
      </w:r>
      <w:r w:rsidR="000C1496">
        <w:rPr>
          <w:rFonts w:ascii="Times New Roman" w:hAnsi="Times New Roman" w:cs="Times New Roman"/>
        </w:rPr>
        <w:t xml:space="preserve"> </w:t>
      </w:r>
      <w:r w:rsidR="00F66DB8">
        <w:rPr>
          <w:rFonts w:ascii="Times New Roman" w:hAnsi="Times New Roman" w:cs="Times New Roman"/>
        </w:rPr>
        <w:t xml:space="preserve">recalled its preferred assumptions </w:t>
      </w:r>
      <w:r w:rsidR="00C26C81">
        <w:rPr>
          <w:rFonts w:ascii="Times New Roman" w:hAnsi="Times New Roman" w:cs="Times New Roman"/>
        </w:rPr>
        <w:t>and emphasised that t</w:t>
      </w:r>
      <w:r w:rsidR="00625008" w:rsidRPr="00625008">
        <w:rPr>
          <w:rFonts w:ascii="Times New Roman" w:hAnsi="Times New Roman" w:cs="Times New Roman"/>
        </w:rPr>
        <w:t>he cost-</w:t>
      </w:r>
      <w:r w:rsidR="00625008">
        <w:rPr>
          <w:rFonts w:ascii="Times New Roman" w:hAnsi="Times New Roman" w:cs="Times New Roman"/>
        </w:rPr>
        <w:t xml:space="preserve">effectiveness </w:t>
      </w:r>
      <w:r w:rsidR="00625008" w:rsidRPr="00625008">
        <w:rPr>
          <w:rFonts w:ascii="Times New Roman" w:hAnsi="Times New Roman" w:cs="Times New Roman"/>
        </w:rPr>
        <w:t>estimate for</w:t>
      </w:r>
      <w:r w:rsidR="00625008">
        <w:rPr>
          <w:rFonts w:ascii="Times New Roman" w:hAnsi="Times New Roman" w:cs="Times New Roman"/>
        </w:rPr>
        <w:t xml:space="preserve"> </w:t>
      </w:r>
      <w:proofErr w:type="spellStart"/>
      <w:r w:rsidR="00625008" w:rsidRPr="00625008">
        <w:rPr>
          <w:rFonts w:ascii="Times New Roman" w:hAnsi="Times New Roman" w:cs="Times New Roman"/>
        </w:rPr>
        <w:t>inotuzumab</w:t>
      </w:r>
      <w:proofErr w:type="spellEnd"/>
      <w:r w:rsidR="00625008" w:rsidRPr="00625008">
        <w:rPr>
          <w:rFonts w:ascii="Times New Roman" w:hAnsi="Times New Roman" w:cs="Times New Roman"/>
        </w:rPr>
        <w:t xml:space="preserve"> compared with current treatment</w:t>
      </w:r>
      <w:r w:rsidR="00625008">
        <w:rPr>
          <w:rFonts w:ascii="Times New Roman" w:hAnsi="Times New Roman" w:cs="Times New Roman"/>
        </w:rPr>
        <w:t xml:space="preserve"> </w:t>
      </w:r>
      <w:r w:rsidR="00625008" w:rsidRPr="00625008">
        <w:rPr>
          <w:rFonts w:ascii="Times New Roman" w:hAnsi="Times New Roman" w:cs="Times New Roman"/>
        </w:rPr>
        <w:t>(FLAG-based chemotherapy)</w:t>
      </w:r>
      <w:r w:rsidR="00C26C81">
        <w:rPr>
          <w:rFonts w:ascii="Times New Roman" w:hAnsi="Times New Roman" w:cs="Times New Roman"/>
        </w:rPr>
        <w:t xml:space="preserve"> remained</w:t>
      </w:r>
      <w:r w:rsidR="00D36AA2">
        <w:rPr>
          <w:rFonts w:ascii="Times New Roman" w:hAnsi="Times New Roman" w:cs="Times New Roman"/>
        </w:rPr>
        <w:t xml:space="preserve"> substantially</w:t>
      </w:r>
      <w:r w:rsidR="00625008" w:rsidRPr="00625008">
        <w:rPr>
          <w:rFonts w:ascii="Times New Roman" w:hAnsi="Times New Roman" w:cs="Times New Roman"/>
        </w:rPr>
        <w:t xml:space="preserve"> higher than</w:t>
      </w:r>
      <w:r w:rsidR="00625008">
        <w:rPr>
          <w:rFonts w:ascii="Times New Roman" w:hAnsi="Times New Roman" w:cs="Times New Roman"/>
        </w:rPr>
        <w:t xml:space="preserve"> </w:t>
      </w:r>
      <w:r w:rsidR="00625008" w:rsidRPr="00625008">
        <w:rPr>
          <w:rFonts w:ascii="Times New Roman" w:hAnsi="Times New Roman" w:cs="Times New Roman"/>
        </w:rPr>
        <w:t>what NICE considers acceptable for end-of-life treatments</w:t>
      </w:r>
      <w:r w:rsidR="00C26C81">
        <w:rPr>
          <w:rFonts w:ascii="Times New Roman" w:hAnsi="Times New Roman" w:cs="Times New Roman"/>
        </w:rPr>
        <w:t xml:space="preserve"> </w:t>
      </w:r>
      <w:r>
        <w:rPr>
          <w:rFonts w:ascii="Times New Roman" w:hAnsi="Times New Roman" w:cs="Times New Roman"/>
        </w:rPr>
        <w:fldChar w:fldCharType="begin"/>
      </w:r>
      <w:r w:rsidR="005F15F8">
        <w:rPr>
          <w:rFonts w:ascii="Times New Roman" w:hAnsi="Times New Roman" w:cs="Times New Roman"/>
        </w:rPr>
        <w:instrText xml:space="preserve"> ADDIN EN.CITE &lt;EndNote&gt;&lt;Cite&gt;&lt;Author&gt;National Institute for Health and Care Excellence&lt;/Author&gt;&lt;Year&gt;2017&lt;/Year&gt;&lt;RecNum&gt;56&lt;/RecNum&gt;&lt;DisplayText&gt;[24]&lt;/DisplayText&gt;&lt;record&gt;&lt;rec-number&gt;56&lt;/rec-number&gt;&lt;foreign-keys&gt;&lt;key app="EN" db-id="9f090dpxqtedprezvanxwdxlwv2d9d9dp2rs" timestamp="0"&gt;56&lt;/key&gt;&lt;/foreign-keys&gt;&lt;ref-type name="Web Page"&gt;12&lt;/ref-type&gt;&lt;contributors&gt;&lt;authors&gt;&lt;author&gt;National Institute for Health and Care Excellence,&lt;/author&gt;&lt;/authors&gt;&lt;/contributors&gt;&lt;titles&gt;&lt;title&gt;Final appraisal determination Inotuzumab ozogamicin for treating relapsed or refractory B-cell acute lymphoblastic leukaemia&lt;/title&gt;&lt;/titles&gt;&lt;dates&gt;&lt;year&gt;2017&lt;/year&gt;&lt;/dates&gt;&lt;urls&gt;&lt;related-urls&gt;&lt;url&gt;https://www.nice.org.uk/guidance/gid-ta10091/documents/final-appraisal-determination-document&lt;/url&gt;&lt;/related-urls&gt;&lt;/urls&gt;&lt;/record&gt;&lt;/Cite&gt;&lt;/EndNote&gt;</w:instrText>
      </w:r>
      <w:r>
        <w:rPr>
          <w:rFonts w:ascii="Times New Roman" w:hAnsi="Times New Roman" w:cs="Times New Roman"/>
        </w:rPr>
        <w:fldChar w:fldCharType="separate"/>
      </w:r>
      <w:r w:rsidR="005F15F8">
        <w:rPr>
          <w:rFonts w:ascii="Times New Roman" w:hAnsi="Times New Roman" w:cs="Times New Roman"/>
          <w:noProof/>
        </w:rPr>
        <w:t>[24]</w:t>
      </w:r>
      <w:r>
        <w:rPr>
          <w:rFonts w:ascii="Times New Roman" w:hAnsi="Times New Roman" w:cs="Times New Roman"/>
        </w:rPr>
        <w:fldChar w:fldCharType="end"/>
      </w:r>
      <w:r>
        <w:rPr>
          <w:rFonts w:ascii="Times New Roman" w:hAnsi="Times New Roman" w:cs="Times New Roman"/>
        </w:rPr>
        <w:t>.</w:t>
      </w:r>
      <w:r w:rsidR="00F66DB8">
        <w:rPr>
          <w:rFonts w:ascii="Times New Roman" w:hAnsi="Times New Roman" w:cs="Times New Roman"/>
        </w:rPr>
        <w:t xml:space="preserve"> The </w:t>
      </w:r>
      <w:r w:rsidR="00C872E5">
        <w:rPr>
          <w:rFonts w:ascii="Times New Roman" w:hAnsi="Times New Roman" w:cs="Times New Roman"/>
        </w:rPr>
        <w:t>committee</w:t>
      </w:r>
      <w:r w:rsidR="00C872E5" w:rsidRPr="00C872E5">
        <w:t xml:space="preserve"> </w:t>
      </w:r>
      <w:r w:rsidR="00C872E5" w:rsidRPr="00C872E5">
        <w:rPr>
          <w:rFonts w:ascii="Times New Roman" w:hAnsi="Times New Roman" w:cs="Times New Roman"/>
        </w:rPr>
        <w:t>accepted that the cost of subsequent therapy</w:t>
      </w:r>
      <w:r w:rsidR="00C872E5">
        <w:rPr>
          <w:rFonts w:ascii="Times New Roman" w:hAnsi="Times New Roman" w:cs="Times New Roman"/>
        </w:rPr>
        <w:t xml:space="preserve"> </w:t>
      </w:r>
      <w:r w:rsidR="00C872E5" w:rsidRPr="00C872E5">
        <w:rPr>
          <w:rFonts w:ascii="Times New Roman" w:hAnsi="Times New Roman" w:cs="Times New Roman"/>
        </w:rPr>
        <w:t>should be</w:t>
      </w:r>
      <w:r w:rsidR="00C872E5">
        <w:rPr>
          <w:rFonts w:ascii="Times New Roman" w:hAnsi="Times New Roman" w:cs="Times New Roman"/>
        </w:rPr>
        <w:t xml:space="preserve"> based on the safety population</w:t>
      </w:r>
      <w:r w:rsidR="00C872E5" w:rsidRPr="00C872E5">
        <w:rPr>
          <w:rFonts w:ascii="Times New Roman" w:hAnsi="Times New Roman" w:cs="Times New Roman"/>
        </w:rPr>
        <w:t>, and that there would be a difference in the number of</w:t>
      </w:r>
      <w:r w:rsidR="00C872E5">
        <w:rPr>
          <w:rFonts w:ascii="Times New Roman" w:hAnsi="Times New Roman" w:cs="Times New Roman"/>
        </w:rPr>
        <w:t xml:space="preserve"> </w:t>
      </w:r>
      <w:r w:rsidR="00C872E5" w:rsidRPr="00C872E5">
        <w:rPr>
          <w:rFonts w:ascii="Times New Roman" w:hAnsi="Times New Roman" w:cs="Times New Roman"/>
        </w:rPr>
        <w:t xml:space="preserve">inpatient days for patients having </w:t>
      </w:r>
      <w:proofErr w:type="spellStart"/>
      <w:r w:rsidR="00C872E5" w:rsidRPr="00C872E5">
        <w:rPr>
          <w:rFonts w:ascii="Times New Roman" w:hAnsi="Times New Roman" w:cs="Times New Roman"/>
        </w:rPr>
        <w:t>inotuzumab</w:t>
      </w:r>
      <w:proofErr w:type="spellEnd"/>
      <w:r w:rsidR="00C872E5" w:rsidRPr="00C872E5">
        <w:rPr>
          <w:rFonts w:ascii="Times New Roman" w:hAnsi="Times New Roman" w:cs="Times New Roman"/>
        </w:rPr>
        <w:t xml:space="preserve"> and </w:t>
      </w:r>
      <w:proofErr w:type="spellStart"/>
      <w:r w:rsidR="00D65888">
        <w:rPr>
          <w:rFonts w:ascii="Times New Roman" w:hAnsi="Times New Roman" w:cs="Times New Roman"/>
        </w:rPr>
        <w:t>SoC</w:t>
      </w:r>
      <w:r w:rsidR="00C872E5">
        <w:rPr>
          <w:rFonts w:ascii="Times New Roman" w:hAnsi="Times New Roman" w:cs="Times New Roman"/>
        </w:rPr>
        <w:t>.</w:t>
      </w:r>
      <w:proofErr w:type="spellEnd"/>
      <w:r w:rsidR="00F66DB8" w:rsidRPr="00C872E5">
        <w:rPr>
          <w:rFonts w:ascii="Times New Roman" w:hAnsi="Times New Roman" w:cs="Times New Roman"/>
        </w:rPr>
        <w:t xml:space="preserve"> </w:t>
      </w:r>
    </w:p>
    <w:p w14:paraId="586DC0FC" w14:textId="2423AC9D" w:rsidR="00146099" w:rsidRDefault="00146099" w:rsidP="00146099">
      <w:pPr>
        <w:pStyle w:val="Heading2"/>
        <w:spacing w:line="360" w:lineRule="auto"/>
        <w:rPr>
          <w:rFonts w:cs="Times New Roman"/>
        </w:rPr>
      </w:pPr>
      <w:r w:rsidRPr="00DD657B">
        <w:rPr>
          <w:rFonts w:cs="Times New Roman"/>
        </w:rPr>
        <w:t xml:space="preserve">Preliminary Guidance </w:t>
      </w:r>
      <w:r w:rsidR="00BC0222">
        <w:rPr>
          <w:rFonts w:cs="Times New Roman"/>
        </w:rPr>
        <w:t>Post-</w:t>
      </w:r>
      <w:r>
        <w:rPr>
          <w:rFonts w:cs="Times New Roman"/>
        </w:rPr>
        <w:t>Appeal</w:t>
      </w:r>
    </w:p>
    <w:p w14:paraId="28CA1820" w14:textId="61D72C60" w:rsidR="003524F7" w:rsidRPr="003524F7" w:rsidRDefault="009D31C1" w:rsidP="003524F7">
      <w:pPr>
        <w:pStyle w:val="Heading3"/>
        <w:spacing w:line="360" w:lineRule="auto"/>
      </w:pPr>
      <w:r w:rsidRPr="003524F7">
        <w:t>Company appeal</w:t>
      </w:r>
    </w:p>
    <w:p w14:paraId="580CA5C9" w14:textId="640CED7C" w:rsidR="00611BB1" w:rsidRDefault="00CC0356" w:rsidP="007F6DA0">
      <w:pPr>
        <w:spacing w:before="200" w:line="360" w:lineRule="auto"/>
        <w:rPr>
          <w:rFonts w:ascii="Times New Roman" w:hAnsi="Times New Roman" w:cs="Times New Roman"/>
        </w:rPr>
      </w:pPr>
      <w:r>
        <w:rPr>
          <w:rFonts w:ascii="Times New Roman" w:hAnsi="Times New Roman" w:cs="Times New Roman"/>
        </w:rPr>
        <w:t xml:space="preserve">Following the </w:t>
      </w:r>
      <w:r w:rsidR="00D36AA2">
        <w:rPr>
          <w:rFonts w:ascii="Times New Roman" w:hAnsi="Times New Roman" w:cs="Times New Roman"/>
        </w:rPr>
        <w:t>NICE Appraisal Committee’s</w:t>
      </w:r>
      <w:r>
        <w:rPr>
          <w:rFonts w:ascii="Times New Roman" w:hAnsi="Times New Roman" w:cs="Times New Roman"/>
        </w:rPr>
        <w:t xml:space="preserve"> </w:t>
      </w:r>
      <w:r w:rsidR="003524F7">
        <w:rPr>
          <w:rFonts w:ascii="Times New Roman" w:hAnsi="Times New Roman" w:cs="Times New Roman"/>
        </w:rPr>
        <w:t xml:space="preserve">decision not to recommend </w:t>
      </w:r>
      <w:proofErr w:type="spellStart"/>
      <w:r w:rsidR="003524F7">
        <w:rPr>
          <w:rFonts w:ascii="Times New Roman" w:hAnsi="Times New Roman" w:cs="Times New Roman"/>
        </w:rPr>
        <w:t>inotuzumab</w:t>
      </w:r>
      <w:proofErr w:type="spellEnd"/>
      <w:r w:rsidR="0014291E">
        <w:rPr>
          <w:rFonts w:ascii="Times New Roman" w:hAnsi="Times New Roman" w:cs="Times New Roman"/>
        </w:rPr>
        <w:t>, t</w:t>
      </w:r>
      <w:r w:rsidR="00A67B52">
        <w:rPr>
          <w:rFonts w:ascii="Times New Roman" w:hAnsi="Times New Roman" w:cs="Times New Roman"/>
        </w:rPr>
        <w:t>he company</w:t>
      </w:r>
      <w:r w:rsidR="00113D0B">
        <w:rPr>
          <w:rFonts w:ascii="Times New Roman" w:hAnsi="Times New Roman" w:cs="Times New Roman"/>
        </w:rPr>
        <w:t xml:space="preserve"> </w:t>
      </w:r>
      <w:r w:rsidR="00F970CC">
        <w:rPr>
          <w:rFonts w:ascii="Times New Roman" w:hAnsi="Times New Roman" w:cs="Times New Roman"/>
        </w:rPr>
        <w:t xml:space="preserve">and </w:t>
      </w:r>
      <w:r w:rsidR="00113D0B">
        <w:rPr>
          <w:rFonts w:ascii="Times New Roman" w:hAnsi="Times New Roman" w:cs="Times New Roman"/>
        </w:rPr>
        <w:t xml:space="preserve">other stakeholders </w:t>
      </w:r>
      <w:r w:rsidR="0014291E">
        <w:rPr>
          <w:rFonts w:ascii="Times New Roman" w:hAnsi="Times New Roman" w:cs="Times New Roman"/>
        </w:rPr>
        <w:t>lodged</w:t>
      </w:r>
      <w:r w:rsidR="00D83CC7">
        <w:rPr>
          <w:rFonts w:ascii="Times New Roman" w:hAnsi="Times New Roman" w:cs="Times New Roman"/>
        </w:rPr>
        <w:t xml:space="preserve"> separate appeals</w:t>
      </w:r>
      <w:r w:rsidR="00113D0B">
        <w:rPr>
          <w:rFonts w:ascii="Times New Roman" w:hAnsi="Times New Roman" w:cs="Times New Roman"/>
        </w:rPr>
        <w:t xml:space="preserve"> </w:t>
      </w:r>
      <w:r w:rsidR="0014291E">
        <w:rPr>
          <w:rFonts w:ascii="Times New Roman" w:hAnsi="Times New Roman" w:cs="Times New Roman"/>
        </w:rPr>
        <w:t>on the grounds that NICE had failed to act fairly and that the recommendation was unreasonable in light of the evidence submitted to NICE</w:t>
      </w:r>
      <w:r>
        <w:rPr>
          <w:rFonts w:ascii="Times New Roman" w:hAnsi="Times New Roman" w:cs="Times New Roman"/>
        </w:rPr>
        <w:t xml:space="preserve"> </w:t>
      </w:r>
      <w:r>
        <w:rPr>
          <w:rFonts w:ascii="Times New Roman" w:hAnsi="Times New Roman" w:cs="Times New Roman"/>
        </w:rPr>
        <w:fldChar w:fldCharType="begin"/>
      </w:r>
      <w:r w:rsidR="005F15F8">
        <w:rPr>
          <w:rFonts w:ascii="Times New Roman" w:hAnsi="Times New Roman" w:cs="Times New Roman"/>
        </w:rPr>
        <w:instrText xml:space="preserve"> ADDIN EN.CITE &lt;EndNote&gt;&lt;Cite&gt;&lt;Author&gt;National Institute for Health and Care Excellence&lt;/Author&gt;&lt;Year&gt;2017&lt;/Year&gt;&lt;RecNum&gt;60&lt;/RecNum&gt;&lt;DisplayText&gt;[25]&lt;/DisplayText&gt;&lt;record&gt;&lt;rec-number&gt;60&lt;/rec-number&gt;&lt;foreign-keys&gt;&lt;key app="EN" db-id="9f090dpxqtedprezvanxwdxlwv2d9d9dp2rs" timestamp="0"&gt;60&lt;/key&gt;&lt;/foreign-keys&gt;&lt;ref-type name="Web Page"&gt;12&lt;/ref-type&gt;&lt;contributors&gt;&lt;authors&gt;&lt;author&gt;National Institute for Health and Care Excellence,&lt;/author&gt;&lt;/authors&gt;&lt;/contributors&gt;&lt;titles&gt;&lt;title&gt;Pfizer Ltd : Appeal letter&lt;/title&gt;&lt;/titles&gt;&lt;dates&gt;&lt;year&gt;2017&lt;/year&gt;&lt;/dates&gt;&lt;urls&gt;&lt;related-urls&gt;&lt;url&gt;https://www.nice.org.uk/guidance/gid-ta10091/documents/appeal-letter&lt;/url&gt;&lt;/related-urls&gt;&lt;/urls&gt;&lt;/record&gt;&lt;/Cite&gt;&lt;/EndNote&gt;</w:instrText>
      </w:r>
      <w:r>
        <w:rPr>
          <w:rFonts w:ascii="Times New Roman" w:hAnsi="Times New Roman" w:cs="Times New Roman"/>
        </w:rPr>
        <w:fldChar w:fldCharType="separate"/>
      </w:r>
      <w:r w:rsidR="005F15F8">
        <w:rPr>
          <w:rFonts w:ascii="Times New Roman" w:hAnsi="Times New Roman" w:cs="Times New Roman"/>
          <w:noProof/>
        </w:rPr>
        <w:t>[25]</w:t>
      </w:r>
      <w:r>
        <w:rPr>
          <w:rFonts w:ascii="Times New Roman" w:hAnsi="Times New Roman" w:cs="Times New Roman"/>
        </w:rPr>
        <w:fldChar w:fldCharType="end"/>
      </w:r>
      <w:r w:rsidR="0014291E">
        <w:rPr>
          <w:rFonts w:ascii="Times New Roman" w:hAnsi="Times New Roman" w:cs="Times New Roman"/>
        </w:rPr>
        <w:t>.</w:t>
      </w:r>
      <w:r w:rsidR="00BA3DB0">
        <w:rPr>
          <w:rFonts w:ascii="Times New Roman" w:hAnsi="Times New Roman" w:cs="Times New Roman"/>
        </w:rPr>
        <w:t xml:space="preserve"> A NICE panel upheld</w:t>
      </w:r>
      <w:r w:rsidR="0014291E">
        <w:rPr>
          <w:rFonts w:ascii="Times New Roman" w:hAnsi="Times New Roman" w:cs="Times New Roman"/>
        </w:rPr>
        <w:t xml:space="preserve"> </w:t>
      </w:r>
      <w:r w:rsidR="00BA3DB0">
        <w:rPr>
          <w:rFonts w:ascii="Times New Roman" w:hAnsi="Times New Roman" w:cs="Times New Roman"/>
        </w:rPr>
        <w:t>the appeal</w:t>
      </w:r>
      <w:r w:rsidR="006334BA">
        <w:rPr>
          <w:rFonts w:ascii="Times New Roman" w:hAnsi="Times New Roman" w:cs="Times New Roman"/>
        </w:rPr>
        <w:t xml:space="preserve"> </w:t>
      </w:r>
      <w:r w:rsidR="00BA3DB0" w:rsidRPr="00961FC0">
        <w:rPr>
          <w:rFonts w:ascii="Times New Roman" w:hAnsi="Times New Roman" w:cs="Times New Roman"/>
        </w:rPr>
        <w:t>on the basis that</w:t>
      </w:r>
      <w:r w:rsidR="001746A3">
        <w:rPr>
          <w:rFonts w:ascii="Times New Roman" w:hAnsi="Times New Roman" w:cs="Times New Roman"/>
        </w:rPr>
        <w:t>: (</w:t>
      </w:r>
      <w:proofErr w:type="spellStart"/>
      <w:r w:rsidR="001746A3">
        <w:rPr>
          <w:rFonts w:ascii="Times New Roman" w:hAnsi="Times New Roman" w:cs="Times New Roman"/>
        </w:rPr>
        <w:t>i</w:t>
      </w:r>
      <w:proofErr w:type="spellEnd"/>
      <w:r w:rsidR="00577113" w:rsidRPr="00961FC0">
        <w:rPr>
          <w:rFonts w:ascii="Times New Roman" w:hAnsi="Times New Roman" w:cs="Times New Roman"/>
        </w:rPr>
        <w:t>)</w:t>
      </w:r>
      <w:r w:rsidR="00BA3DB0" w:rsidRPr="00961FC0">
        <w:rPr>
          <w:rFonts w:ascii="Times New Roman" w:hAnsi="Times New Roman" w:cs="Times New Roman"/>
        </w:rPr>
        <w:t xml:space="preserve"> the committee provided no explanation </w:t>
      </w:r>
      <w:r w:rsidR="00577113" w:rsidRPr="00961FC0">
        <w:rPr>
          <w:rFonts w:ascii="Times New Roman" w:hAnsi="Times New Roman" w:cs="Times New Roman"/>
        </w:rPr>
        <w:t>for</w:t>
      </w:r>
      <w:r w:rsidR="00BA3DB0" w:rsidRPr="00961FC0">
        <w:rPr>
          <w:rFonts w:ascii="Times New Roman" w:hAnsi="Times New Roman" w:cs="Times New Roman"/>
        </w:rPr>
        <w:t xml:space="preserve"> reject</w:t>
      </w:r>
      <w:r w:rsidR="00577113" w:rsidRPr="00961FC0">
        <w:rPr>
          <w:rFonts w:ascii="Times New Roman" w:hAnsi="Times New Roman" w:cs="Times New Roman"/>
        </w:rPr>
        <w:t>ing</w:t>
      </w:r>
      <w:r w:rsidR="00BA3DB0" w:rsidRPr="00961FC0">
        <w:rPr>
          <w:rFonts w:ascii="Times New Roman" w:hAnsi="Times New Roman" w:cs="Times New Roman"/>
        </w:rPr>
        <w:t xml:space="preserve"> the utilities proposed by </w:t>
      </w:r>
      <w:r w:rsidR="006A732C" w:rsidRPr="00961FC0">
        <w:rPr>
          <w:rFonts w:ascii="Times New Roman" w:hAnsi="Times New Roman" w:cs="Times New Roman"/>
        </w:rPr>
        <w:t>the company</w:t>
      </w:r>
      <w:r w:rsidR="00BA3DB0" w:rsidRPr="00961FC0">
        <w:rPr>
          <w:rFonts w:ascii="Times New Roman" w:hAnsi="Times New Roman" w:cs="Times New Roman"/>
        </w:rPr>
        <w:t xml:space="preserve"> post-consultation;</w:t>
      </w:r>
      <w:r w:rsidR="001746A3">
        <w:rPr>
          <w:rFonts w:ascii="Times New Roman" w:hAnsi="Times New Roman" w:cs="Times New Roman"/>
        </w:rPr>
        <w:t xml:space="preserve"> (ii</w:t>
      </w:r>
      <w:r w:rsidR="00577113" w:rsidRPr="00961FC0">
        <w:rPr>
          <w:rFonts w:ascii="Times New Roman" w:hAnsi="Times New Roman" w:cs="Times New Roman"/>
        </w:rPr>
        <w:t>)</w:t>
      </w:r>
      <w:r w:rsidR="0099272C" w:rsidRPr="00961FC0">
        <w:rPr>
          <w:rFonts w:ascii="Times New Roman" w:hAnsi="Times New Roman" w:cs="Times New Roman"/>
        </w:rPr>
        <w:t xml:space="preserve"> </w:t>
      </w:r>
      <w:r w:rsidR="00307E32" w:rsidRPr="00961FC0">
        <w:rPr>
          <w:rFonts w:ascii="Times New Roman" w:hAnsi="Times New Roman" w:cs="Times New Roman"/>
        </w:rPr>
        <w:t xml:space="preserve">the </w:t>
      </w:r>
      <w:r w:rsidR="0099272C" w:rsidRPr="00961FC0">
        <w:rPr>
          <w:rFonts w:ascii="Times New Roman" w:hAnsi="Times New Roman" w:cs="Times New Roman"/>
        </w:rPr>
        <w:t xml:space="preserve">reasons </w:t>
      </w:r>
      <w:r w:rsidR="00307E32" w:rsidRPr="00961FC0">
        <w:rPr>
          <w:rFonts w:ascii="Times New Roman" w:hAnsi="Times New Roman" w:cs="Times New Roman"/>
        </w:rPr>
        <w:t xml:space="preserve">given </w:t>
      </w:r>
      <w:r w:rsidR="0099272C" w:rsidRPr="00961FC0">
        <w:rPr>
          <w:rFonts w:ascii="Times New Roman" w:hAnsi="Times New Roman" w:cs="Times New Roman"/>
        </w:rPr>
        <w:t xml:space="preserve">for disregarding key </w:t>
      </w:r>
      <w:r w:rsidR="0099272C" w:rsidRPr="00961FC0">
        <w:rPr>
          <w:rFonts w:ascii="Times New Roman" w:hAnsi="Times New Roman" w:cs="Times New Roman"/>
        </w:rPr>
        <w:lastRenderedPageBreak/>
        <w:t>assumptions</w:t>
      </w:r>
      <w:r w:rsidR="0099272C" w:rsidRPr="0099272C">
        <w:rPr>
          <w:rFonts w:ascii="Times New Roman" w:hAnsi="Times New Roman" w:cs="Times New Roman"/>
        </w:rPr>
        <w:t xml:space="preserve"> used </w:t>
      </w:r>
      <w:r w:rsidR="00577113">
        <w:rPr>
          <w:rFonts w:ascii="Times New Roman" w:hAnsi="Times New Roman" w:cs="Times New Roman"/>
        </w:rPr>
        <w:t>in the</w:t>
      </w:r>
      <w:r w:rsidR="0099272C" w:rsidRPr="0099272C">
        <w:rPr>
          <w:rFonts w:ascii="Times New Roman" w:hAnsi="Times New Roman" w:cs="Times New Roman"/>
        </w:rPr>
        <w:t xml:space="preserve"> </w:t>
      </w:r>
      <w:proofErr w:type="spellStart"/>
      <w:r w:rsidR="0099272C" w:rsidRPr="0099272C">
        <w:rPr>
          <w:rFonts w:ascii="Times New Roman" w:hAnsi="Times New Roman" w:cs="Times New Roman"/>
        </w:rPr>
        <w:t>blinatumomab</w:t>
      </w:r>
      <w:proofErr w:type="spellEnd"/>
      <w:r w:rsidR="0099272C" w:rsidRPr="0099272C">
        <w:rPr>
          <w:rFonts w:ascii="Times New Roman" w:hAnsi="Times New Roman" w:cs="Times New Roman"/>
        </w:rPr>
        <w:t xml:space="preserve"> </w:t>
      </w:r>
      <w:r w:rsidR="00577113">
        <w:rPr>
          <w:rFonts w:ascii="Times New Roman" w:hAnsi="Times New Roman" w:cs="Times New Roman"/>
        </w:rPr>
        <w:t xml:space="preserve">appraisal </w:t>
      </w:r>
      <w:r w:rsidR="0099272C" w:rsidRPr="0099272C">
        <w:rPr>
          <w:rFonts w:ascii="Times New Roman" w:hAnsi="Times New Roman" w:cs="Times New Roman"/>
        </w:rPr>
        <w:t>do not explain the choices made in</w:t>
      </w:r>
      <w:r w:rsidR="0099272C">
        <w:rPr>
          <w:rFonts w:ascii="Times New Roman" w:hAnsi="Times New Roman" w:cs="Times New Roman"/>
        </w:rPr>
        <w:t xml:space="preserve"> </w:t>
      </w:r>
      <w:r w:rsidR="0099272C" w:rsidRPr="0099272C">
        <w:rPr>
          <w:rFonts w:ascii="Times New Roman" w:hAnsi="Times New Roman" w:cs="Times New Roman"/>
        </w:rPr>
        <w:t xml:space="preserve">relation to </w:t>
      </w:r>
      <w:proofErr w:type="spellStart"/>
      <w:r w:rsidR="0099272C" w:rsidRPr="0099272C">
        <w:rPr>
          <w:rFonts w:ascii="Times New Roman" w:hAnsi="Times New Roman" w:cs="Times New Roman"/>
        </w:rPr>
        <w:t>inotuzumab</w:t>
      </w:r>
      <w:proofErr w:type="spellEnd"/>
      <w:r w:rsidR="00577113">
        <w:rPr>
          <w:rFonts w:ascii="Times New Roman" w:hAnsi="Times New Roman" w:cs="Times New Roman"/>
        </w:rPr>
        <w:t>;</w:t>
      </w:r>
      <w:r w:rsidR="007D4220">
        <w:rPr>
          <w:rFonts w:ascii="Times New Roman" w:hAnsi="Times New Roman" w:cs="Times New Roman"/>
        </w:rPr>
        <w:t xml:space="preserve"> and</w:t>
      </w:r>
      <w:r w:rsidR="00577113">
        <w:rPr>
          <w:rFonts w:ascii="Times New Roman" w:hAnsi="Times New Roman" w:cs="Times New Roman"/>
        </w:rPr>
        <w:t xml:space="preserve"> (</w:t>
      </w:r>
      <w:r w:rsidR="001746A3">
        <w:rPr>
          <w:rFonts w:ascii="Times New Roman" w:hAnsi="Times New Roman" w:cs="Times New Roman"/>
        </w:rPr>
        <w:t>iii</w:t>
      </w:r>
      <w:r w:rsidR="00577113">
        <w:rPr>
          <w:rFonts w:ascii="Times New Roman" w:hAnsi="Times New Roman" w:cs="Times New Roman"/>
        </w:rPr>
        <w:t>)</w:t>
      </w:r>
      <w:r w:rsidR="00BA3DB0">
        <w:rPr>
          <w:rFonts w:ascii="Times New Roman" w:hAnsi="Times New Roman" w:cs="Times New Roman"/>
        </w:rPr>
        <w:t xml:space="preserve"> </w:t>
      </w:r>
      <w:r w:rsidR="007F6DA0">
        <w:rPr>
          <w:rFonts w:ascii="Times New Roman" w:hAnsi="Times New Roman" w:cs="Times New Roman"/>
        </w:rPr>
        <w:t xml:space="preserve">that </w:t>
      </w:r>
      <w:r w:rsidR="007F6DA0" w:rsidRPr="007F6DA0">
        <w:rPr>
          <w:rFonts w:ascii="Times New Roman" w:hAnsi="Times New Roman" w:cs="Times New Roman"/>
        </w:rPr>
        <w:t>it was not reasonable to fail to consider properly and</w:t>
      </w:r>
      <w:r w:rsidR="007F6DA0">
        <w:rPr>
          <w:rFonts w:ascii="Times New Roman" w:hAnsi="Times New Roman" w:cs="Times New Roman"/>
        </w:rPr>
        <w:t xml:space="preserve"> </w:t>
      </w:r>
      <w:r w:rsidR="007F6DA0" w:rsidRPr="007F6DA0">
        <w:rPr>
          <w:rFonts w:ascii="Times New Roman" w:hAnsi="Times New Roman" w:cs="Times New Roman"/>
        </w:rPr>
        <w:t>rigorously a model o</w:t>
      </w:r>
      <w:r w:rsidR="007F6DA0">
        <w:rPr>
          <w:rFonts w:ascii="Times New Roman" w:hAnsi="Times New Roman" w:cs="Times New Roman"/>
        </w:rPr>
        <w:t>f treatment</w:t>
      </w:r>
      <w:r w:rsidR="00392AB6">
        <w:rPr>
          <w:rFonts w:ascii="Times New Roman" w:hAnsi="Times New Roman" w:cs="Times New Roman"/>
        </w:rPr>
        <w:t xml:space="preserve"> (</w:t>
      </w:r>
      <w:r w:rsidR="00392AB6" w:rsidRPr="00392AB6">
        <w:rPr>
          <w:rFonts w:ascii="Times New Roman" w:hAnsi="Times New Roman" w:cs="Times New Roman"/>
        </w:rPr>
        <w:t>a maximum of 3 cycles</w:t>
      </w:r>
      <w:r w:rsidR="00392AB6">
        <w:rPr>
          <w:rFonts w:ascii="Times New Roman" w:hAnsi="Times New Roman" w:cs="Times New Roman"/>
        </w:rPr>
        <w:t>)</w:t>
      </w:r>
      <w:r w:rsidR="007F6DA0">
        <w:rPr>
          <w:rFonts w:ascii="Times New Roman" w:hAnsi="Times New Roman" w:cs="Times New Roman"/>
        </w:rPr>
        <w:t xml:space="preserve"> which is standard</w:t>
      </w:r>
      <w:r w:rsidR="007F6DA0" w:rsidRPr="007F6DA0">
        <w:rPr>
          <w:rFonts w:ascii="Times New Roman" w:hAnsi="Times New Roman" w:cs="Times New Roman"/>
        </w:rPr>
        <w:t xml:space="preserve"> UK practice</w:t>
      </w:r>
      <w:r w:rsidR="007F6DA0">
        <w:rPr>
          <w:rFonts w:ascii="Times New Roman" w:hAnsi="Times New Roman" w:cs="Times New Roman"/>
        </w:rPr>
        <w:t xml:space="preserve"> </w:t>
      </w:r>
      <w:r w:rsidR="00960E82">
        <w:rPr>
          <w:rFonts w:ascii="Times New Roman" w:hAnsi="Times New Roman" w:cs="Times New Roman"/>
        </w:rPr>
        <w:fldChar w:fldCharType="begin"/>
      </w:r>
      <w:r w:rsidR="005F15F8">
        <w:rPr>
          <w:rFonts w:ascii="Times New Roman" w:hAnsi="Times New Roman" w:cs="Times New Roman"/>
        </w:rPr>
        <w:instrText xml:space="preserve"> ADDIN EN.CITE &lt;EndNote&gt;&lt;Cite&gt;&lt;Author&gt;National Institute for Health and Care Excellence&lt;/Author&gt;&lt;Year&gt;2017&lt;/Year&gt;&lt;RecNum&gt;61&lt;/RecNum&gt;&lt;DisplayText&gt;[26]&lt;/DisplayText&gt;&lt;record&gt;&lt;rec-number&gt;61&lt;/rec-number&gt;&lt;foreign-keys&gt;&lt;key app="EN" db-id="9f090dpxqtedprezvanxwdxlwv2d9d9dp2rs" timestamp="0"&gt;61&lt;/key&gt;&lt;/foreign-keys&gt;&lt;ref-type name="Web Page"&gt;12&lt;/ref-type&gt;&lt;contributors&gt;&lt;authors&gt;&lt;author&gt;National Institute for Health and Care Excellence,&lt;/author&gt;&lt;/authors&gt;&lt;/contributors&gt;&lt;titles&gt;&lt;title&gt;Appeal hearing - Advice on inotuzumab ozogamicin for treating relapsed refractory B-Cell acute lymphoblastic leukaemia: Decision of the panel&lt;/title&gt;&lt;/titles&gt;&lt;dates&gt;&lt;year&gt;2017&lt;/year&gt;&lt;/dates&gt;&lt;urls&gt;&lt;related-urls&gt;&lt;url&gt;https://www.nice.org.uk/guidance/gid-ta10091/documents/appeal-decision-2&lt;/url&gt;&lt;/related-urls&gt;&lt;/urls&gt;&lt;/record&gt;&lt;/Cite&gt;&lt;/EndNote&gt;</w:instrText>
      </w:r>
      <w:r w:rsidR="00960E82">
        <w:rPr>
          <w:rFonts w:ascii="Times New Roman" w:hAnsi="Times New Roman" w:cs="Times New Roman"/>
        </w:rPr>
        <w:fldChar w:fldCharType="separate"/>
      </w:r>
      <w:r w:rsidR="005F15F8">
        <w:rPr>
          <w:rFonts w:ascii="Times New Roman" w:hAnsi="Times New Roman" w:cs="Times New Roman"/>
          <w:noProof/>
        </w:rPr>
        <w:t>[26]</w:t>
      </w:r>
      <w:r w:rsidR="00960E82">
        <w:rPr>
          <w:rFonts w:ascii="Times New Roman" w:hAnsi="Times New Roman" w:cs="Times New Roman"/>
        </w:rPr>
        <w:fldChar w:fldCharType="end"/>
      </w:r>
      <w:r w:rsidR="0099272C">
        <w:rPr>
          <w:rFonts w:ascii="Times New Roman" w:hAnsi="Times New Roman" w:cs="Times New Roman"/>
        </w:rPr>
        <w:t>.</w:t>
      </w:r>
      <w:r w:rsidR="00C20689">
        <w:rPr>
          <w:rFonts w:ascii="Times New Roman" w:hAnsi="Times New Roman" w:cs="Times New Roman"/>
        </w:rPr>
        <w:t xml:space="preserve"> </w:t>
      </w:r>
      <w:r w:rsidR="00BF08C5">
        <w:rPr>
          <w:rFonts w:ascii="Times New Roman" w:hAnsi="Times New Roman" w:cs="Times New Roman"/>
        </w:rPr>
        <w:t xml:space="preserve">The appeal panel dismissed three other grounds for </w:t>
      </w:r>
      <w:r w:rsidR="00C20689">
        <w:rPr>
          <w:rFonts w:ascii="Times New Roman" w:hAnsi="Times New Roman" w:cs="Times New Roman"/>
        </w:rPr>
        <w:t xml:space="preserve">appeal </w:t>
      </w:r>
      <w:r w:rsidR="00BF08C5">
        <w:rPr>
          <w:rFonts w:ascii="Times New Roman" w:hAnsi="Times New Roman" w:cs="Times New Roman"/>
        </w:rPr>
        <w:t>made by the company</w:t>
      </w:r>
      <w:r w:rsidR="00C20689">
        <w:rPr>
          <w:rFonts w:ascii="Times New Roman" w:hAnsi="Times New Roman" w:cs="Times New Roman"/>
        </w:rPr>
        <w:t>.</w:t>
      </w:r>
      <w:r w:rsidR="00960E82">
        <w:rPr>
          <w:rFonts w:ascii="Times New Roman" w:hAnsi="Times New Roman" w:cs="Times New Roman"/>
        </w:rPr>
        <w:t xml:space="preserve"> </w:t>
      </w:r>
      <w:r w:rsidR="00397AE9">
        <w:rPr>
          <w:rFonts w:ascii="Times New Roman" w:hAnsi="Times New Roman" w:cs="Times New Roman"/>
        </w:rPr>
        <w:t>I</w:t>
      </w:r>
      <w:r w:rsidR="00F10A40">
        <w:rPr>
          <w:rFonts w:ascii="Times New Roman" w:hAnsi="Times New Roman" w:cs="Times New Roman"/>
        </w:rPr>
        <w:t>n February 2018</w:t>
      </w:r>
      <w:r w:rsidR="00E766CD">
        <w:rPr>
          <w:rFonts w:ascii="Times New Roman" w:hAnsi="Times New Roman" w:cs="Times New Roman"/>
        </w:rPr>
        <w:t xml:space="preserve">, </w:t>
      </w:r>
      <w:r w:rsidR="00577113">
        <w:rPr>
          <w:rFonts w:ascii="Times New Roman" w:hAnsi="Times New Roman" w:cs="Times New Roman"/>
        </w:rPr>
        <w:t>NICE</w:t>
      </w:r>
      <w:r w:rsidR="00967D80">
        <w:rPr>
          <w:rFonts w:ascii="Times New Roman" w:hAnsi="Times New Roman" w:cs="Times New Roman"/>
        </w:rPr>
        <w:t xml:space="preserve"> </w:t>
      </w:r>
      <w:r w:rsidR="00577113">
        <w:rPr>
          <w:rFonts w:ascii="Times New Roman" w:hAnsi="Times New Roman" w:cs="Times New Roman"/>
        </w:rPr>
        <w:t>requested</w:t>
      </w:r>
      <w:r w:rsidR="00FF4AB0">
        <w:rPr>
          <w:rFonts w:ascii="Times New Roman" w:hAnsi="Times New Roman" w:cs="Times New Roman"/>
        </w:rPr>
        <w:t xml:space="preserve"> the company us</w:t>
      </w:r>
      <w:r w:rsidR="00392AB6">
        <w:rPr>
          <w:rFonts w:ascii="Times New Roman" w:hAnsi="Times New Roman" w:cs="Times New Roman"/>
        </w:rPr>
        <w:t>e an analysis that matched the c</w:t>
      </w:r>
      <w:r w:rsidR="00FF4AB0">
        <w:rPr>
          <w:rFonts w:ascii="Times New Roman" w:hAnsi="Times New Roman" w:cs="Times New Roman"/>
        </w:rPr>
        <w:t>ommittee preferred assumptions as a starting point for additional</w:t>
      </w:r>
      <w:r w:rsidR="008A796E">
        <w:rPr>
          <w:rFonts w:ascii="Times New Roman" w:hAnsi="Times New Roman" w:cs="Times New Roman"/>
        </w:rPr>
        <w:t xml:space="preserve"> appeal</w:t>
      </w:r>
      <w:r w:rsidR="00BB38FF">
        <w:rPr>
          <w:rFonts w:ascii="Times New Roman" w:hAnsi="Times New Roman" w:cs="Times New Roman"/>
        </w:rPr>
        <w:t>-</w:t>
      </w:r>
      <w:r w:rsidR="008A796E">
        <w:rPr>
          <w:rFonts w:ascii="Times New Roman" w:hAnsi="Times New Roman" w:cs="Times New Roman"/>
        </w:rPr>
        <w:t>based</w:t>
      </w:r>
      <w:r w:rsidR="00FF4AB0">
        <w:rPr>
          <w:rFonts w:ascii="Times New Roman" w:hAnsi="Times New Roman" w:cs="Times New Roman"/>
        </w:rPr>
        <w:t xml:space="preserve"> analyses</w:t>
      </w:r>
      <w:r w:rsidR="00967D80">
        <w:rPr>
          <w:rFonts w:ascii="Times New Roman" w:hAnsi="Times New Roman" w:cs="Times New Roman"/>
        </w:rPr>
        <w:t xml:space="preserve"> and</w:t>
      </w:r>
      <w:r w:rsidR="008A796E">
        <w:rPr>
          <w:rFonts w:ascii="Times New Roman" w:hAnsi="Times New Roman" w:cs="Times New Roman"/>
        </w:rPr>
        <w:t xml:space="preserve"> for the company to provide</w:t>
      </w:r>
      <w:r w:rsidR="00FF4AB0">
        <w:rPr>
          <w:rFonts w:ascii="Times New Roman" w:hAnsi="Times New Roman" w:cs="Times New Roman"/>
        </w:rPr>
        <w:t xml:space="preserve"> </w:t>
      </w:r>
      <w:r w:rsidR="00967D80">
        <w:rPr>
          <w:rFonts w:ascii="Times New Roman" w:hAnsi="Times New Roman" w:cs="Times New Roman"/>
        </w:rPr>
        <w:t xml:space="preserve">an update regarding </w:t>
      </w:r>
      <w:proofErr w:type="spellStart"/>
      <w:r w:rsidR="00967D80">
        <w:rPr>
          <w:rFonts w:ascii="Times New Roman" w:hAnsi="Times New Roman" w:cs="Times New Roman"/>
        </w:rPr>
        <w:t>ino</w:t>
      </w:r>
      <w:r w:rsidR="00200448">
        <w:rPr>
          <w:rFonts w:ascii="Times New Roman" w:hAnsi="Times New Roman" w:cs="Times New Roman"/>
        </w:rPr>
        <w:t>t</w:t>
      </w:r>
      <w:r w:rsidR="00967D80">
        <w:rPr>
          <w:rFonts w:ascii="Times New Roman" w:hAnsi="Times New Roman" w:cs="Times New Roman"/>
        </w:rPr>
        <w:t>uzumab’s</w:t>
      </w:r>
      <w:proofErr w:type="spellEnd"/>
      <w:r w:rsidR="00200448">
        <w:rPr>
          <w:rFonts w:ascii="Times New Roman" w:hAnsi="Times New Roman" w:cs="Times New Roman"/>
        </w:rPr>
        <w:t xml:space="preserve"> post-appeal</w:t>
      </w:r>
      <w:r w:rsidR="00FB2766">
        <w:rPr>
          <w:rFonts w:ascii="Times New Roman" w:hAnsi="Times New Roman" w:cs="Times New Roman"/>
        </w:rPr>
        <w:t xml:space="preserve"> PAS </w:t>
      </w:r>
      <w:r w:rsidR="00967D80">
        <w:rPr>
          <w:rFonts w:ascii="Times New Roman" w:hAnsi="Times New Roman" w:cs="Times New Roman"/>
        </w:rPr>
        <w:t>status</w:t>
      </w:r>
      <w:r w:rsidR="00FB2766">
        <w:rPr>
          <w:rFonts w:ascii="Times New Roman" w:hAnsi="Times New Roman" w:cs="Times New Roman"/>
        </w:rPr>
        <w:t>.</w:t>
      </w:r>
      <w:r w:rsidR="00284EF9">
        <w:rPr>
          <w:rFonts w:ascii="Times New Roman" w:hAnsi="Times New Roman" w:cs="Times New Roman"/>
        </w:rPr>
        <w:t xml:space="preserve"> </w:t>
      </w:r>
      <w:r w:rsidR="00F10A40">
        <w:rPr>
          <w:rFonts w:ascii="Times New Roman" w:hAnsi="Times New Roman" w:cs="Times New Roman"/>
        </w:rPr>
        <w:t>T</w:t>
      </w:r>
      <w:r w:rsidR="00FB2766">
        <w:rPr>
          <w:rFonts w:ascii="Times New Roman" w:hAnsi="Times New Roman" w:cs="Times New Roman"/>
        </w:rPr>
        <w:t>he</w:t>
      </w:r>
      <w:r w:rsidR="00284EF9">
        <w:rPr>
          <w:rFonts w:ascii="Times New Roman" w:hAnsi="Times New Roman" w:cs="Times New Roman"/>
        </w:rPr>
        <w:t xml:space="preserve"> company</w:t>
      </w:r>
      <w:r w:rsidR="00F10A40">
        <w:rPr>
          <w:rFonts w:ascii="Times New Roman" w:hAnsi="Times New Roman" w:cs="Times New Roman"/>
        </w:rPr>
        <w:t>’s response</w:t>
      </w:r>
      <w:r w:rsidR="00FB2766">
        <w:rPr>
          <w:rFonts w:ascii="Times New Roman" w:hAnsi="Times New Roman" w:cs="Times New Roman"/>
        </w:rPr>
        <w:t xml:space="preserve"> provided </w:t>
      </w:r>
      <w:r w:rsidR="00F10A40">
        <w:rPr>
          <w:rFonts w:ascii="Times New Roman" w:hAnsi="Times New Roman" w:cs="Times New Roman"/>
        </w:rPr>
        <w:t>an</w:t>
      </w:r>
      <w:r w:rsidR="00144EFF">
        <w:rPr>
          <w:rFonts w:ascii="Times New Roman" w:hAnsi="Times New Roman" w:cs="Times New Roman"/>
        </w:rPr>
        <w:t xml:space="preserve"> </w:t>
      </w:r>
      <w:r w:rsidR="00FB2766">
        <w:rPr>
          <w:rFonts w:ascii="Times New Roman" w:hAnsi="Times New Roman" w:cs="Times New Roman"/>
        </w:rPr>
        <w:t xml:space="preserve">interpretation of the committee’s </w:t>
      </w:r>
      <w:r w:rsidR="00AD5473">
        <w:rPr>
          <w:rFonts w:ascii="Times New Roman" w:hAnsi="Times New Roman" w:cs="Times New Roman"/>
        </w:rPr>
        <w:t>favoured</w:t>
      </w:r>
      <w:r w:rsidR="00FB2766">
        <w:rPr>
          <w:rFonts w:ascii="Times New Roman" w:hAnsi="Times New Roman" w:cs="Times New Roman"/>
        </w:rPr>
        <w:t xml:space="preserve"> analysis, detailed</w:t>
      </w:r>
      <w:r w:rsidR="00AD5473">
        <w:rPr>
          <w:rFonts w:ascii="Times New Roman" w:hAnsi="Times New Roman" w:cs="Times New Roman"/>
        </w:rPr>
        <w:t xml:space="preserve"> company preferred</w:t>
      </w:r>
      <w:r w:rsidR="00FB2766">
        <w:rPr>
          <w:rFonts w:ascii="Times New Roman" w:hAnsi="Times New Roman" w:cs="Times New Roman"/>
        </w:rPr>
        <w:t xml:space="preserve"> adjustments in relation to upheld appeal points and reported a revised</w:t>
      </w:r>
      <w:r w:rsidR="008D11CB">
        <w:rPr>
          <w:rFonts w:ascii="Times New Roman" w:hAnsi="Times New Roman" w:cs="Times New Roman"/>
        </w:rPr>
        <w:t xml:space="preserve"> PAS</w:t>
      </w:r>
      <w:r w:rsidR="00200448">
        <w:rPr>
          <w:rFonts w:ascii="Times New Roman" w:hAnsi="Times New Roman" w:cs="Times New Roman"/>
        </w:rPr>
        <w:t xml:space="preserve"> with a larger</w:t>
      </w:r>
      <w:r w:rsidR="008D11CB">
        <w:rPr>
          <w:rFonts w:ascii="Times New Roman" w:hAnsi="Times New Roman" w:cs="Times New Roman"/>
        </w:rPr>
        <w:t xml:space="preserve"> discount </w:t>
      </w:r>
      <w:r w:rsidR="008D11CB">
        <w:rPr>
          <w:rFonts w:ascii="Times New Roman" w:hAnsi="Times New Roman" w:cs="Times New Roman"/>
        </w:rPr>
        <w:fldChar w:fldCharType="begin"/>
      </w:r>
      <w:r w:rsidR="005F15F8">
        <w:rPr>
          <w:rFonts w:ascii="Times New Roman" w:hAnsi="Times New Roman" w:cs="Times New Roman"/>
        </w:rPr>
        <w:instrText xml:space="preserve"> ADDIN EN.CITE &lt;EndNote&gt;&lt;Cite&gt;&lt;Author&gt;National Institute for Health and Care Excellence&lt;/Author&gt;&lt;Year&gt;2018&lt;/Year&gt;&lt;RecNum&gt;62&lt;/RecNum&gt;&lt;DisplayText&gt;[27]&lt;/DisplayText&gt;&lt;record&gt;&lt;rec-number&gt;62&lt;/rec-number&gt;&lt;foreign-keys&gt;&lt;key app="EN" db-id="9f090dpxqtedprezvanxwdxlwv2d9d9dp2rs" timestamp="0"&gt;62&lt;/key&gt;&lt;/foreign-keys&gt;&lt;ref-type name="Web Page"&gt;12&lt;/ref-type&gt;&lt;contributors&gt;&lt;authors&gt;&lt;author&gt;National Institute for Health and Care Excellence,&lt;/author&gt;&lt;/authors&gt;&lt;/contributors&gt;&lt;titles&gt;&lt;title&gt;Appraisal consultation 2: Committee Papers - Inotuzumab ozogamicin for treating relapsed or refractory B-cell acute lymphoblastic leukaemia [ID893]&lt;/title&gt;&lt;/titles&gt;&lt;dates&gt;&lt;year&gt;2018&lt;/year&gt;&lt;/dates&gt;&lt;urls&gt;&lt;related-urls&gt;&lt;url&gt;https://www.nice.org.uk/guidance/gid-ta10091/documents/committee-papers-3&lt;/url&gt;&lt;/related-urls&gt;&lt;/urls&gt;&lt;/record&gt;&lt;/Cite&gt;&lt;/EndNote&gt;</w:instrText>
      </w:r>
      <w:r w:rsidR="008D11CB">
        <w:rPr>
          <w:rFonts w:ascii="Times New Roman" w:hAnsi="Times New Roman" w:cs="Times New Roman"/>
        </w:rPr>
        <w:fldChar w:fldCharType="separate"/>
      </w:r>
      <w:r w:rsidR="005F15F8">
        <w:rPr>
          <w:rFonts w:ascii="Times New Roman" w:hAnsi="Times New Roman" w:cs="Times New Roman"/>
          <w:noProof/>
        </w:rPr>
        <w:t>[27]</w:t>
      </w:r>
      <w:r w:rsidR="008D11CB">
        <w:rPr>
          <w:rFonts w:ascii="Times New Roman" w:hAnsi="Times New Roman" w:cs="Times New Roman"/>
        </w:rPr>
        <w:fldChar w:fldCharType="end"/>
      </w:r>
      <w:r w:rsidR="008D11CB">
        <w:rPr>
          <w:rFonts w:ascii="Times New Roman" w:hAnsi="Times New Roman" w:cs="Times New Roman"/>
        </w:rPr>
        <w:t>.</w:t>
      </w:r>
      <w:r w:rsidR="00F10A40" w:rsidRPr="00F10A40">
        <w:rPr>
          <w:rFonts w:ascii="Times New Roman" w:hAnsi="Times New Roman" w:cs="Times New Roman"/>
        </w:rPr>
        <w:t xml:space="preserve"> </w:t>
      </w:r>
      <w:r w:rsidR="00146099">
        <w:rPr>
          <w:rFonts w:ascii="Times New Roman" w:hAnsi="Times New Roman" w:cs="Times New Roman"/>
        </w:rPr>
        <w:t>The</w:t>
      </w:r>
      <w:r w:rsidR="00F10A40">
        <w:rPr>
          <w:rFonts w:ascii="Times New Roman" w:hAnsi="Times New Roman" w:cs="Times New Roman"/>
        </w:rPr>
        <w:t xml:space="preserve"> company</w:t>
      </w:r>
      <w:r w:rsidR="00146099">
        <w:rPr>
          <w:rFonts w:ascii="Times New Roman" w:hAnsi="Times New Roman" w:cs="Times New Roman"/>
        </w:rPr>
        <w:t>’s</w:t>
      </w:r>
      <w:r w:rsidR="00F10A40">
        <w:rPr>
          <w:rFonts w:ascii="Times New Roman" w:hAnsi="Times New Roman" w:cs="Times New Roman"/>
        </w:rPr>
        <w:t xml:space="preserve"> </w:t>
      </w:r>
      <w:r w:rsidR="00146099">
        <w:rPr>
          <w:rFonts w:ascii="Times New Roman" w:hAnsi="Times New Roman" w:cs="Times New Roman"/>
        </w:rPr>
        <w:t>post-appeal analysis</w:t>
      </w:r>
      <w:r w:rsidR="0036254C">
        <w:rPr>
          <w:rFonts w:ascii="Times New Roman" w:hAnsi="Times New Roman" w:cs="Times New Roman"/>
        </w:rPr>
        <w:t>,</w:t>
      </w:r>
      <w:r w:rsidR="00970D60">
        <w:rPr>
          <w:rFonts w:ascii="Times New Roman" w:hAnsi="Times New Roman" w:cs="Times New Roman"/>
        </w:rPr>
        <w:t xml:space="preserve"> </w:t>
      </w:r>
      <w:r w:rsidR="0036254C">
        <w:rPr>
          <w:rFonts w:ascii="Times New Roman" w:hAnsi="Times New Roman" w:cs="Times New Roman"/>
        </w:rPr>
        <w:t>including the</w:t>
      </w:r>
      <w:r w:rsidR="00F23002">
        <w:rPr>
          <w:rFonts w:ascii="Times New Roman" w:hAnsi="Times New Roman" w:cs="Times New Roman"/>
        </w:rPr>
        <w:t xml:space="preserve"> revised PAS</w:t>
      </w:r>
      <w:r w:rsidR="0036254C">
        <w:rPr>
          <w:rFonts w:ascii="Times New Roman" w:hAnsi="Times New Roman" w:cs="Times New Roman"/>
        </w:rPr>
        <w:t>,</w:t>
      </w:r>
      <w:r w:rsidR="00F10A40">
        <w:rPr>
          <w:rFonts w:ascii="Times New Roman" w:hAnsi="Times New Roman" w:cs="Times New Roman"/>
        </w:rPr>
        <w:t xml:space="preserve"> resulted </w:t>
      </w:r>
      <w:r w:rsidR="00F10A40" w:rsidRPr="0052423F">
        <w:rPr>
          <w:rFonts w:ascii="Times New Roman" w:hAnsi="Times New Roman" w:cs="Times New Roman"/>
        </w:rPr>
        <w:t>in a deterministic ICER of £33,649</w:t>
      </w:r>
      <w:r w:rsidR="00F10A40">
        <w:rPr>
          <w:rFonts w:ascii="Times New Roman" w:hAnsi="Times New Roman" w:cs="Times New Roman"/>
        </w:rPr>
        <w:t>.</w:t>
      </w:r>
    </w:p>
    <w:p w14:paraId="4BD542F1" w14:textId="4429FF7D" w:rsidR="00AD5473" w:rsidRDefault="00611BB1" w:rsidP="00C67AAC">
      <w:pPr>
        <w:spacing w:before="200" w:line="360" w:lineRule="auto"/>
        <w:rPr>
          <w:rFonts w:ascii="Times New Roman" w:hAnsi="Times New Roman" w:cs="Times New Roman"/>
        </w:rPr>
      </w:pPr>
      <w:r>
        <w:rPr>
          <w:rFonts w:ascii="Times New Roman" w:hAnsi="Times New Roman" w:cs="Times New Roman"/>
        </w:rPr>
        <w:t>In</w:t>
      </w:r>
      <w:r w:rsidR="00E766CD">
        <w:rPr>
          <w:rFonts w:ascii="Times New Roman" w:hAnsi="Times New Roman" w:cs="Times New Roman"/>
        </w:rPr>
        <w:t xml:space="preserve"> </w:t>
      </w:r>
      <w:r w:rsidR="00C872E5">
        <w:rPr>
          <w:rFonts w:ascii="Times New Roman" w:hAnsi="Times New Roman" w:cs="Times New Roman"/>
        </w:rPr>
        <w:t xml:space="preserve">the </w:t>
      </w:r>
      <w:r w:rsidR="007A3832">
        <w:rPr>
          <w:rFonts w:ascii="Times New Roman" w:hAnsi="Times New Roman" w:cs="Times New Roman"/>
        </w:rPr>
        <w:t>third</w:t>
      </w:r>
      <w:r w:rsidR="00E766CD">
        <w:rPr>
          <w:rFonts w:ascii="Times New Roman" w:hAnsi="Times New Roman" w:cs="Times New Roman"/>
        </w:rPr>
        <w:t xml:space="preserve"> </w:t>
      </w:r>
      <w:r w:rsidR="0071593A">
        <w:rPr>
          <w:rFonts w:ascii="Times New Roman" w:hAnsi="Times New Roman" w:cs="Times New Roman"/>
        </w:rPr>
        <w:t>A</w:t>
      </w:r>
      <w:r w:rsidR="0029302A">
        <w:rPr>
          <w:rFonts w:ascii="Times New Roman" w:hAnsi="Times New Roman" w:cs="Times New Roman"/>
        </w:rPr>
        <w:t xml:space="preserve">ppraisal </w:t>
      </w:r>
      <w:r w:rsidR="0071593A">
        <w:rPr>
          <w:rFonts w:ascii="Times New Roman" w:hAnsi="Times New Roman" w:cs="Times New Roman"/>
        </w:rPr>
        <w:t>C</w:t>
      </w:r>
      <w:r w:rsidR="0097084F">
        <w:rPr>
          <w:rFonts w:ascii="Times New Roman" w:hAnsi="Times New Roman" w:cs="Times New Roman"/>
        </w:rPr>
        <w:t xml:space="preserve">ommittee </w:t>
      </w:r>
      <w:r w:rsidR="00E766CD">
        <w:rPr>
          <w:rFonts w:ascii="Times New Roman" w:hAnsi="Times New Roman" w:cs="Times New Roman"/>
        </w:rPr>
        <w:t>meeting</w:t>
      </w:r>
      <w:r>
        <w:rPr>
          <w:rFonts w:ascii="Times New Roman" w:hAnsi="Times New Roman" w:cs="Times New Roman"/>
        </w:rPr>
        <w:t xml:space="preserve"> the committee</w:t>
      </w:r>
      <w:r w:rsidR="008D11CB">
        <w:rPr>
          <w:rFonts w:ascii="Times New Roman" w:hAnsi="Times New Roman" w:cs="Times New Roman"/>
        </w:rPr>
        <w:t xml:space="preserve"> consider</w:t>
      </w:r>
      <w:r w:rsidR="007A3832">
        <w:rPr>
          <w:rFonts w:ascii="Times New Roman" w:hAnsi="Times New Roman" w:cs="Times New Roman"/>
        </w:rPr>
        <w:t>ed</w:t>
      </w:r>
      <w:r w:rsidR="008D11CB">
        <w:rPr>
          <w:rFonts w:ascii="Times New Roman" w:hAnsi="Times New Roman" w:cs="Times New Roman"/>
        </w:rPr>
        <w:t xml:space="preserve"> </w:t>
      </w:r>
      <w:r w:rsidR="007A3832">
        <w:rPr>
          <w:rFonts w:ascii="Times New Roman" w:hAnsi="Times New Roman" w:cs="Times New Roman"/>
        </w:rPr>
        <w:t>each</w:t>
      </w:r>
      <w:r w:rsidR="008D11CB">
        <w:rPr>
          <w:rFonts w:ascii="Times New Roman" w:hAnsi="Times New Roman" w:cs="Times New Roman"/>
        </w:rPr>
        <w:t xml:space="preserve"> upheld appeal point</w:t>
      </w:r>
      <w:r w:rsidR="0029302A">
        <w:rPr>
          <w:rFonts w:ascii="Times New Roman" w:hAnsi="Times New Roman" w:cs="Times New Roman"/>
        </w:rPr>
        <w:t>.</w:t>
      </w:r>
      <w:r w:rsidR="00527A84">
        <w:rPr>
          <w:rFonts w:ascii="Times New Roman" w:hAnsi="Times New Roman" w:cs="Times New Roman"/>
        </w:rPr>
        <w:t xml:space="preserve"> </w:t>
      </w:r>
      <w:r w:rsidR="0029302A">
        <w:rPr>
          <w:rFonts w:ascii="Times New Roman" w:hAnsi="Times New Roman" w:cs="Times New Roman"/>
        </w:rPr>
        <w:t>T</w:t>
      </w:r>
      <w:r w:rsidR="00527A84">
        <w:rPr>
          <w:rFonts w:ascii="Times New Roman" w:hAnsi="Times New Roman" w:cs="Times New Roman"/>
        </w:rPr>
        <w:t xml:space="preserve">he </w:t>
      </w:r>
      <w:r w:rsidR="00C872E5">
        <w:rPr>
          <w:rFonts w:ascii="Times New Roman" w:hAnsi="Times New Roman" w:cs="Times New Roman"/>
        </w:rPr>
        <w:t>c</w:t>
      </w:r>
      <w:r w:rsidR="0029302A">
        <w:rPr>
          <w:rFonts w:ascii="Times New Roman" w:hAnsi="Times New Roman" w:cs="Times New Roman"/>
        </w:rPr>
        <w:t>ommittee accepted that</w:t>
      </w:r>
      <w:r w:rsidR="008D11CB">
        <w:rPr>
          <w:rFonts w:ascii="Times New Roman" w:hAnsi="Times New Roman" w:cs="Times New Roman"/>
        </w:rPr>
        <w:t xml:space="preserve"> </w:t>
      </w:r>
      <w:r w:rsidR="00527A84" w:rsidRPr="00527A84">
        <w:rPr>
          <w:rFonts w:ascii="Times New Roman" w:hAnsi="Times New Roman" w:cs="Times New Roman"/>
        </w:rPr>
        <w:t xml:space="preserve">utility values 5 </w:t>
      </w:r>
      <w:r w:rsidR="00527A84">
        <w:rPr>
          <w:rFonts w:ascii="Times New Roman" w:hAnsi="Times New Roman" w:cs="Times New Roman"/>
        </w:rPr>
        <w:t xml:space="preserve">years post-HSCT </w:t>
      </w:r>
      <w:r w:rsidR="0029302A">
        <w:rPr>
          <w:rFonts w:ascii="Times New Roman" w:hAnsi="Times New Roman" w:cs="Times New Roman"/>
        </w:rPr>
        <w:t>may lie</w:t>
      </w:r>
      <w:r w:rsidR="00527A84">
        <w:rPr>
          <w:rFonts w:ascii="Times New Roman" w:hAnsi="Times New Roman" w:cs="Times New Roman"/>
        </w:rPr>
        <w:t xml:space="preserve"> between </w:t>
      </w:r>
      <w:r w:rsidR="0052423F">
        <w:rPr>
          <w:rFonts w:ascii="Times New Roman" w:hAnsi="Times New Roman" w:cs="Times New Roman"/>
        </w:rPr>
        <w:t xml:space="preserve">those found in the literature </w:t>
      </w:r>
      <w:r w:rsidR="0052423F">
        <w:rPr>
          <w:rFonts w:ascii="Times New Roman" w:hAnsi="Times New Roman" w:cs="Times New Roman"/>
        </w:rPr>
        <w:fldChar w:fldCharType="begin"/>
      </w:r>
      <w:r w:rsidR="005F15F8">
        <w:rPr>
          <w:rFonts w:ascii="Times New Roman" w:hAnsi="Times New Roman" w:cs="Times New Roman"/>
        </w:rPr>
        <w:instrText xml:space="preserve"> ADDIN EN.CITE &lt;EndNote&gt;&lt;Cite&gt;&lt;Author&gt;Kurosawa&lt;/Author&gt;&lt;Year&gt;2016&lt;/Year&gt;&lt;RecNum&gt;14&lt;/RecNum&gt;&lt;DisplayText&gt;[18]&lt;/DisplayText&gt;&lt;record&gt;&lt;rec-number&gt;14&lt;/rec-number&gt;&lt;foreign-keys&gt;&lt;key app="EN" db-id="9f090dpxqtedprezvanxwdxlwv2d9d9dp2rs" timestamp="0"&gt;14&lt;/key&gt;&lt;/foreign-keys&gt;&lt;ref-type name="Journal Article"&gt;17&lt;/ref-type&gt;&lt;contributors&gt;&lt;authors&gt;&lt;author&gt;Kurosawa, Saiko&lt;/author&gt;&lt;author&gt;Yamaguchi, Hiroki&lt;/author&gt;&lt;author&gt;Yamaguchi, Takuhiro&lt;/author&gt;&lt;author&gt;Fukunaga, Keiko&lt;/author&gt;&lt;author&gt;Yui, Shunsuke&lt;/author&gt;&lt;author&gt;Wakita, Satoshi&lt;/author&gt;&lt;author&gt;Kanamori, Heiwa&lt;/author&gt;&lt;author&gt;Usuki, Kensuke&lt;/author&gt;&lt;author&gt;Uoshima, Nobuhiko&lt;/author&gt;&lt;author&gt;Yanada, Masamitsu&lt;/author&gt;&lt;author&gt;Shono, Katsuhiro&lt;/author&gt;&lt;author&gt;Ueki, Toshimitsu&lt;/author&gt;&lt;author&gt;Mizuno, Ishikazu&lt;/author&gt;&lt;author&gt;Yano, Shingo&lt;/author&gt;&lt;author&gt;Takeuchi, Jin&lt;/author&gt;&lt;author&gt;Kanda, Junya&lt;/author&gt;&lt;author&gt;Okamura, Hiroshi&lt;/author&gt;&lt;author&gt;Inamoto, Yoshihiro&lt;/author&gt;&lt;author&gt;Inokuchi, Koiti&lt;/author&gt;&lt;author&gt;Fukuda, Takahiro&lt;/author&gt;&lt;/authors&gt;&lt;/contributors&gt;&lt;titles&gt;&lt;title&gt;Decision analysis of postremission therapy in cytogenetically intermediate-risk acute myeloid leukemia: the impact of FLT3 internal tandem duplication, nucleophosmin, and CCAAT/enhancer binding protein alpha&lt;/title&gt;&lt;secondary-title&gt;Biology of Blood and Marrow Transplantation&lt;/secondary-title&gt;&lt;/titles&gt;&lt;pages&gt;1125-1132&lt;/pages&gt;&lt;volume&gt;22&lt;/volume&gt;&lt;number&gt;6&lt;/number&gt;&lt;keywords&gt;&lt;keyword&gt;Acute myeloid leukemia&lt;/keyword&gt;&lt;keyword&gt;Hematopoietic cell transplantation&lt;/keyword&gt;&lt;keyword&gt;Decision analysis&lt;/keyword&gt;&lt;keyword&gt;Quality of life&lt;/keyword&gt;&lt;/keywords&gt;&lt;dates&gt;&lt;year&gt;2016&lt;/year&gt;&lt;/dates&gt;&lt;isbn&gt;1083-8791&lt;/isbn&gt;&lt;urls&gt;&lt;/urls&gt;&lt;electronic-resource-num&gt;&lt;style face="underline" font="default" size="100%"&gt;http://dx.doi.org/10.1016/j.bbmt.2016.03.015&lt;/style&gt;&lt;/electronic-resource-num&gt;&lt;research-notes&gt;&lt;style face="underline" font="default" size="100%"&gt;http://www.sciencedirect.com/science/article/pii/S1083879116001646&lt;/style&gt;&lt;/research-notes&gt;&lt;/record&gt;&lt;/Cite&gt;&lt;/EndNote&gt;</w:instrText>
      </w:r>
      <w:r w:rsidR="0052423F">
        <w:rPr>
          <w:rFonts w:ascii="Times New Roman" w:hAnsi="Times New Roman" w:cs="Times New Roman"/>
        </w:rPr>
        <w:fldChar w:fldCharType="separate"/>
      </w:r>
      <w:r w:rsidR="005F15F8">
        <w:rPr>
          <w:rFonts w:ascii="Times New Roman" w:hAnsi="Times New Roman" w:cs="Times New Roman"/>
          <w:noProof/>
        </w:rPr>
        <w:t>[18]</w:t>
      </w:r>
      <w:r w:rsidR="0052423F">
        <w:rPr>
          <w:rFonts w:ascii="Times New Roman" w:hAnsi="Times New Roman" w:cs="Times New Roman"/>
        </w:rPr>
        <w:fldChar w:fldCharType="end"/>
      </w:r>
      <w:r w:rsidR="0052423F">
        <w:rPr>
          <w:rFonts w:ascii="Times New Roman" w:hAnsi="Times New Roman" w:cs="Times New Roman"/>
        </w:rPr>
        <w:t xml:space="preserve"> and the general population (</w:t>
      </w:r>
      <w:r w:rsidR="00527A84">
        <w:rPr>
          <w:rFonts w:ascii="Times New Roman" w:hAnsi="Times New Roman" w:cs="Times New Roman"/>
        </w:rPr>
        <w:t>0.76</w:t>
      </w:r>
      <w:r w:rsidR="0052423F">
        <w:rPr>
          <w:rFonts w:ascii="Times New Roman" w:hAnsi="Times New Roman" w:cs="Times New Roman"/>
        </w:rPr>
        <w:t>-</w:t>
      </w:r>
      <w:r w:rsidR="00527A84">
        <w:rPr>
          <w:rFonts w:ascii="Times New Roman" w:hAnsi="Times New Roman" w:cs="Times New Roman"/>
        </w:rPr>
        <w:t>0.88</w:t>
      </w:r>
      <w:r w:rsidR="0052423F">
        <w:rPr>
          <w:rFonts w:ascii="Times New Roman" w:hAnsi="Times New Roman" w:cs="Times New Roman"/>
        </w:rPr>
        <w:t>)</w:t>
      </w:r>
      <w:r w:rsidR="00052EE8">
        <w:rPr>
          <w:rFonts w:ascii="Times New Roman" w:hAnsi="Times New Roman" w:cs="Times New Roman"/>
        </w:rPr>
        <w:t xml:space="preserve"> and</w:t>
      </w:r>
      <w:r w:rsidR="00A64E3D" w:rsidRPr="00A64E3D">
        <w:t xml:space="preserve"> </w:t>
      </w:r>
      <w:r w:rsidR="00A64E3D">
        <w:rPr>
          <w:rFonts w:ascii="Times New Roman" w:hAnsi="Times New Roman" w:cs="Times New Roman"/>
        </w:rPr>
        <w:t>that the trial mean 2.8</w:t>
      </w:r>
      <w:r w:rsidR="002E2FC6">
        <w:rPr>
          <w:rFonts w:ascii="Times New Roman" w:hAnsi="Times New Roman" w:cs="Times New Roman"/>
        </w:rPr>
        <w:t>3</w:t>
      </w:r>
      <w:r w:rsidR="00A64E3D">
        <w:rPr>
          <w:rFonts w:ascii="Times New Roman" w:hAnsi="Times New Roman" w:cs="Times New Roman"/>
        </w:rPr>
        <w:t xml:space="preserve"> cycles costed in</w:t>
      </w:r>
      <w:r w:rsidR="00A64E3D" w:rsidRPr="00A64E3D">
        <w:rPr>
          <w:rFonts w:ascii="Times New Roman" w:hAnsi="Times New Roman" w:cs="Times New Roman"/>
        </w:rPr>
        <w:t xml:space="preserve"> the original model</w:t>
      </w:r>
      <w:r w:rsidR="00A64E3D">
        <w:rPr>
          <w:rFonts w:ascii="Times New Roman" w:hAnsi="Times New Roman" w:cs="Times New Roman"/>
        </w:rPr>
        <w:t xml:space="preserve"> was appropriate as it best aligned the</w:t>
      </w:r>
      <w:r w:rsidR="00A64E3D" w:rsidRPr="00A64E3D">
        <w:rPr>
          <w:rFonts w:ascii="Times New Roman" w:hAnsi="Times New Roman" w:cs="Times New Roman"/>
        </w:rPr>
        <w:t xml:space="preserve"> number of cycles with the efficacy data</w:t>
      </w:r>
      <w:r w:rsidR="00A64E3D">
        <w:rPr>
          <w:rFonts w:ascii="Times New Roman" w:hAnsi="Times New Roman" w:cs="Times New Roman"/>
        </w:rPr>
        <w:t>. It</w:t>
      </w:r>
      <w:r w:rsidR="00052EE8" w:rsidRPr="00A64E3D">
        <w:rPr>
          <w:rFonts w:ascii="Times New Roman" w:hAnsi="Times New Roman" w:cs="Times New Roman"/>
        </w:rPr>
        <w:t xml:space="preserve"> </w:t>
      </w:r>
      <w:r w:rsidR="00A64E3D">
        <w:rPr>
          <w:rFonts w:ascii="Times New Roman" w:hAnsi="Times New Roman" w:cs="Times New Roman"/>
        </w:rPr>
        <w:t xml:space="preserve">was </w:t>
      </w:r>
      <w:r w:rsidR="00052EE8">
        <w:rPr>
          <w:rFonts w:ascii="Times New Roman" w:hAnsi="Times New Roman" w:cs="Times New Roman"/>
        </w:rPr>
        <w:t xml:space="preserve">considered that no further changes to the base case were necessary to respond to specific appeal points.  The </w:t>
      </w:r>
      <w:r w:rsidR="00392AB6">
        <w:rPr>
          <w:rFonts w:ascii="Times New Roman" w:hAnsi="Times New Roman" w:cs="Times New Roman"/>
        </w:rPr>
        <w:t>c</w:t>
      </w:r>
      <w:r w:rsidR="00052EE8">
        <w:rPr>
          <w:rFonts w:ascii="Times New Roman" w:hAnsi="Times New Roman" w:cs="Times New Roman"/>
        </w:rPr>
        <w:t xml:space="preserve">ommittee reconsidered the available evidence and concluded </w:t>
      </w:r>
      <w:r w:rsidR="0029302A">
        <w:rPr>
          <w:rFonts w:ascii="Times New Roman" w:hAnsi="Times New Roman" w:cs="Times New Roman"/>
        </w:rPr>
        <w:t xml:space="preserve">that </w:t>
      </w:r>
      <w:r w:rsidR="009227FD">
        <w:rPr>
          <w:rFonts w:ascii="Times New Roman" w:hAnsi="Times New Roman" w:cs="Times New Roman"/>
        </w:rPr>
        <w:t>the</w:t>
      </w:r>
      <w:r w:rsidR="001F60A9">
        <w:rPr>
          <w:rFonts w:ascii="Times New Roman" w:hAnsi="Times New Roman" w:cs="Times New Roman"/>
        </w:rPr>
        <w:t xml:space="preserve"> number o</w:t>
      </w:r>
      <w:r w:rsidR="00146099">
        <w:rPr>
          <w:rFonts w:ascii="Times New Roman" w:hAnsi="Times New Roman" w:cs="Times New Roman"/>
        </w:rPr>
        <w:t>f</w:t>
      </w:r>
      <w:r w:rsidR="0052423F">
        <w:rPr>
          <w:rFonts w:ascii="Times New Roman" w:hAnsi="Times New Roman" w:cs="Times New Roman"/>
        </w:rPr>
        <w:t xml:space="preserve"> </w:t>
      </w:r>
      <w:r w:rsidR="0052423F" w:rsidRPr="0052423F">
        <w:rPr>
          <w:rFonts w:ascii="Times New Roman" w:hAnsi="Times New Roman" w:cs="Times New Roman"/>
        </w:rPr>
        <w:t xml:space="preserve">inpatient days for </w:t>
      </w:r>
      <w:proofErr w:type="spellStart"/>
      <w:r w:rsidR="0052423F" w:rsidRPr="0052423F">
        <w:rPr>
          <w:rFonts w:ascii="Times New Roman" w:hAnsi="Times New Roman" w:cs="Times New Roman"/>
        </w:rPr>
        <w:t>inotuzumab</w:t>
      </w:r>
      <w:proofErr w:type="spellEnd"/>
      <w:r w:rsidR="0052423F">
        <w:rPr>
          <w:rFonts w:ascii="Times New Roman" w:hAnsi="Times New Roman" w:cs="Times New Roman"/>
        </w:rPr>
        <w:t xml:space="preserve"> </w:t>
      </w:r>
      <w:r w:rsidR="0052423F" w:rsidRPr="0052423F">
        <w:rPr>
          <w:rFonts w:ascii="Times New Roman" w:hAnsi="Times New Roman" w:cs="Times New Roman"/>
        </w:rPr>
        <w:t xml:space="preserve">and </w:t>
      </w:r>
      <w:proofErr w:type="spellStart"/>
      <w:r w:rsidR="009227FD">
        <w:rPr>
          <w:rFonts w:ascii="Times New Roman" w:hAnsi="Times New Roman" w:cs="Times New Roman"/>
        </w:rPr>
        <w:t>SoC</w:t>
      </w:r>
      <w:proofErr w:type="spellEnd"/>
      <w:r w:rsidR="009227FD">
        <w:rPr>
          <w:rFonts w:ascii="Times New Roman" w:hAnsi="Times New Roman" w:cs="Times New Roman"/>
        </w:rPr>
        <w:t xml:space="preserve"> </w:t>
      </w:r>
      <w:r w:rsidR="0029302A">
        <w:rPr>
          <w:rFonts w:ascii="Times New Roman" w:hAnsi="Times New Roman" w:cs="Times New Roman"/>
        </w:rPr>
        <w:t>should be updated</w:t>
      </w:r>
      <w:r w:rsidR="009227FD">
        <w:rPr>
          <w:rFonts w:ascii="Times New Roman" w:hAnsi="Times New Roman" w:cs="Times New Roman"/>
        </w:rPr>
        <w:t xml:space="preserve"> </w:t>
      </w:r>
      <w:r w:rsidR="001F60A9">
        <w:rPr>
          <w:rFonts w:ascii="Times New Roman" w:hAnsi="Times New Roman" w:cs="Times New Roman"/>
        </w:rPr>
        <w:t>using</w:t>
      </w:r>
      <w:r w:rsidR="00C67AAC">
        <w:rPr>
          <w:rFonts w:ascii="Times New Roman" w:hAnsi="Times New Roman" w:cs="Times New Roman"/>
        </w:rPr>
        <w:t xml:space="preserve"> the</w:t>
      </w:r>
      <w:r w:rsidR="001F60A9">
        <w:rPr>
          <w:rFonts w:ascii="Times New Roman" w:hAnsi="Times New Roman" w:cs="Times New Roman"/>
        </w:rPr>
        <w:t xml:space="preserve"> available “</w:t>
      </w:r>
      <w:r w:rsidR="001F60A9" w:rsidRPr="001F60A9">
        <w:rPr>
          <w:rFonts w:ascii="Times New Roman" w:hAnsi="Times New Roman" w:cs="Times New Roman"/>
          <w:i/>
        </w:rPr>
        <w:t>robust clinical data</w:t>
      </w:r>
      <w:r w:rsidR="001F60A9">
        <w:rPr>
          <w:rFonts w:ascii="Times New Roman" w:hAnsi="Times New Roman" w:cs="Times New Roman"/>
        </w:rPr>
        <w:t>”</w:t>
      </w:r>
      <w:r w:rsidR="000D18DC">
        <w:rPr>
          <w:rFonts w:ascii="Times New Roman" w:hAnsi="Times New Roman" w:cs="Times New Roman"/>
        </w:rPr>
        <w:t xml:space="preserve"> outlined by clinical experts</w:t>
      </w:r>
      <w:r w:rsidR="006E0D2F">
        <w:rPr>
          <w:rFonts w:ascii="Times New Roman" w:hAnsi="Times New Roman" w:cs="Times New Roman"/>
        </w:rPr>
        <w:t xml:space="preserve"> at the meeting</w:t>
      </w:r>
      <w:r w:rsidR="00146099">
        <w:rPr>
          <w:rFonts w:ascii="Times New Roman" w:hAnsi="Times New Roman" w:cs="Times New Roman"/>
        </w:rPr>
        <w:t>.</w:t>
      </w:r>
      <w:r w:rsidR="00B751CD">
        <w:rPr>
          <w:rFonts w:ascii="Times New Roman" w:hAnsi="Times New Roman" w:cs="Times New Roman"/>
        </w:rPr>
        <w:t xml:space="preserve"> </w:t>
      </w:r>
      <w:r w:rsidR="0097084F">
        <w:rPr>
          <w:rFonts w:ascii="Times New Roman" w:hAnsi="Times New Roman" w:cs="Times New Roman"/>
        </w:rPr>
        <w:t>T</w:t>
      </w:r>
      <w:r w:rsidR="0052423F">
        <w:rPr>
          <w:rFonts w:ascii="Times New Roman" w:hAnsi="Times New Roman" w:cs="Times New Roman"/>
        </w:rPr>
        <w:t>he committee</w:t>
      </w:r>
      <w:r w:rsidR="00F10A40">
        <w:rPr>
          <w:rFonts w:ascii="Times New Roman" w:hAnsi="Times New Roman" w:cs="Times New Roman"/>
        </w:rPr>
        <w:t xml:space="preserve"> </w:t>
      </w:r>
      <w:r w:rsidR="00C67AAC">
        <w:rPr>
          <w:rFonts w:ascii="Times New Roman" w:hAnsi="Times New Roman" w:cs="Times New Roman"/>
        </w:rPr>
        <w:t xml:space="preserve">was minded not to recommend </w:t>
      </w:r>
      <w:proofErr w:type="spellStart"/>
      <w:r w:rsidR="00C67AAC">
        <w:rPr>
          <w:rFonts w:ascii="Times New Roman" w:hAnsi="Times New Roman" w:cs="Times New Roman"/>
        </w:rPr>
        <w:t>inotuzumab</w:t>
      </w:r>
      <w:proofErr w:type="spellEnd"/>
      <w:r w:rsidR="00C67AAC">
        <w:rPr>
          <w:rFonts w:ascii="Times New Roman" w:hAnsi="Times New Roman" w:cs="Times New Roman"/>
        </w:rPr>
        <w:t xml:space="preserve">, but </w:t>
      </w:r>
      <w:r>
        <w:rPr>
          <w:rFonts w:ascii="Times New Roman" w:hAnsi="Times New Roman" w:cs="Times New Roman"/>
        </w:rPr>
        <w:t xml:space="preserve">delayed making a </w:t>
      </w:r>
      <w:r w:rsidR="00E766CD">
        <w:rPr>
          <w:rFonts w:ascii="Times New Roman" w:hAnsi="Times New Roman" w:cs="Times New Roman"/>
        </w:rPr>
        <w:t xml:space="preserve">final </w:t>
      </w:r>
      <w:r>
        <w:rPr>
          <w:rFonts w:ascii="Times New Roman" w:hAnsi="Times New Roman" w:cs="Times New Roman"/>
        </w:rPr>
        <w:t>recommendation</w:t>
      </w:r>
      <w:r w:rsidR="0097084F">
        <w:rPr>
          <w:rFonts w:ascii="Times New Roman" w:hAnsi="Times New Roman" w:cs="Times New Roman"/>
        </w:rPr>
        <w:t>,</w:t>
      </w:r>
      <w:r w:rsidR="00F10A40">
        <w:rPr>
          <w:rFonts w:ascii="Times New Roman" w:hAnsi="Times New Roman" w:cs="Times New Roman"/>
        </w:rPr>
        <w:t xml:space="preserve"> concluding </w:t>
      </w:r>
      <w:r w:rsidR="00AE3FA8">
        <w:rPr>
          <w:rFonts w:ascii="Times New Roman" w:hAnsi="Times New Roman" w:cs="Times New Roman"/>
        </w:rPr>
        <w:t xml:space="preserve">that </w:t>
      </w:r>
      <w:r w:rsidR="00F23002">
        <w:rPr>
          <w:rFonts w:ascii="Times New Roman" w:hAnsi="Times New Roman" w:cs="Times New Roman"/>
        </w:rPr>
        <w:t xml:space="preserve">further analyses </w:t>
      </w:r>
      <w:r w:rsidR="001E3419">
        <w:rPr>
          <w:rFonts w:ascii="Times New Roman" w:hAnsi="Times New Roman" w:cs="Times New Roman"/>
        </w:rPr>
        <w:t>were</w:t>
      </w:r>
      <w:r w:rsidR="00F23002">
        <w:rPr>
          <w:rFonts w:ascii="Times New Roman" w:hAnsi="Times New Roman" w:cs="Times New Roman"/>
        </w:rPr>
        <w:t xml:space="preserve"> required to </w:t>
      </w:r>
      <w:r w:rsidR="008F34B5">
        <w:rPr>
          <w:rFonts w:ascii="Times New Roman" w:hAnsi="Times New Roman" w:cs="Times New Roman"/>
        </w:rPr>
        <w:t>reflect</w:t>
      </w:r>
      <w:r w:rsidR="00F23002" w:rsidRPr="00397AE9">
        <w:rPr>
          <w:rFonts w:ascii="Times New Roman" w:hAnsi="Times New Roman" w:cs="Times New Roman"/>
        </w:rPr>
        <w:t xml:space="preserve"> the committee’s preferred assumptions on utility po</w:t>
      </w:r>
      <w:r w:rsidR="00071523">
        <w:rPr>
          <w:rFonts w:ascii="Times New Roman" w:hAnsi="Times New Roman" w:cs="Times New Roman"/>
        </w:rPr>
        <w:t>st-HSCT</w:t>
      </w:r>
      <w:r w:rsidR="00F23002" w:rsidRPr="00397AE9">
        <w:rPr>
          <w:rFonts w:ascii="Times New Roman" w:hAnsi="Times New Roman" w:cs="Times New Roman"/>
        </w:rPr>
        <w:t xml:space="preserve"> </w:t>
      </w:r>
      <w:r w:rsidR="008F34B5">
        <w:rPr>
          <w:rFonts w:ascii="Times New Roman" w:hAnsi="Times New Roman" w:cs="Times New Roman"/>
        </w:rPr>
        <w:t>and new clinical data on</w:t>
      </w:r>
      <w:r w:rsidR="00F23002" w:rsidRPr="00397AE9">
        <w:rPr>
          <w:rFonts w:ascii="Times New Roman" w:hAnsi="Times New Roman" w:cs="Times New Roman"/>
        </w:rPr>
        <w:t xml:space="preserve"> the number of inpatient days</w:t>
      </w:r>
      <w:r w:rsidR="00397AE9">
        <w:rPr>
          <w:rFonts w:ascii="Times New Roman" w:hAnsi="Times New Roman" w:cs="Times New Roman"/>
        </w:rPr>
        <w:t xml:space="preserve"> </w:t>
      </w:r>
      <w:r w:rsidR="00397AE9">
        <w:rPr>
          <w:rFonts w:ascii="Times New Roman" w:hAnsi="Times New Roman" w:cs="Times New Roman"/>
        </w:rPr>
        <w:fldChar w:fldCharType="begin"/>
      </w:r>
      <w:r w:rsidR="005F15F8">
        <w:rPr>
          <w:rFonts w:ascii="Times New Roman" w:hAnsi="Times New Roman" w:cs="Times New Roman"/>
        </w:rPr>
        <w:instrText xml:space="preserve"> ADDIN EN.CITE &lt;EndNote&gt;&lt;Cite&gt;&lt;Author&gt;National Institute for Health and Care Excellence&lt;/Author&gt;&lt;Year&gt;2018&lt;/Year&gt;&lt;RecNum&gt;63&lt;/RecNum&gt;&lt;DisplayText&gt;[28]&lt;/DisplayText&gt;&lt;record&gt;&lt;rec-number&gt;63&lt;/rec-number&gt;&lt;foreign-keys&gt;&lt;key app="EN" db-id="9f090dpxqtedprezvanxwdxlwv2d9d9dp2rs" timestamp="0"&gt;63&lt;/key&gt;&lt;/foreign-keys&gt;&lt;ref-type name="Web Page"&gt;12&lt;/ref-type&gt;&lt;contributors&gt;&lt;authors&gt;&lt;author&gt;National Institute for Health and Care Excellence,&lt;/author&gt;&lt;/authors&gt;&lt;/contributors&gt;&lt;titles&gt;&lt;title&gt;Appraisal consultation 2: Appraisal consultation document - Inotuzumab ozogamicin for treating relapsed or refractory B-cell acute lymphoblastic leukaemia&lt;/title&gt;&lt;/titles&gt;&lt;dates&gt;&lt;year&gt;2018&lt;/year&gt;&lt;/dates&gt;&lt;urls&gt;&lt;related-urls&gt;&lt;url&gt;https://www.nice.org.uk/guidance/gid-ta10091/documents/appraisal-consultation-document-2&lt;/url&gt;&lt;/related-urls&gt;&lt;/urls&gt;&lt;/record&gt;&lt;/Cite&gt;&lt;/EndNote&gt;</w:instrText>
      </w:r>
      <w:r w:rsidR="00397AE9">
        <w:rPr>
          <w:rFonts w:ascii="Times New Roman" w:hAnsi="Times New Roman" w:cs="Times New Roman"/>
        </w:rPr>
        <w:fldChar w:fldCharType="separate"/>
      </w:r>
      <w:r w:rsidR="005F15F8">
        <w:rPr>
          <w:rFonts w:ascii="Times New Roman" w:hAnsi="Times New Roman" w:cs="Times New Roman"/>
          <w:noProof/>
        </w:rPr>
        <w:t>[28]</w:t>
      </w:r>
      <w:r w:rsidR="00397AE9">
        <w:rPr>
          <w:rFonts w:ascii="Times New Roman" w:hAnsi="Times New Roman" w:cs="Times New Roman"/>
        </w:rPr>
        <w:fldChar w:fldCharType="end"/>
      </w:r>
      <w:r w:rsidR="00397AE9">
        <w:rPr>
          <w:rFonts w:ascii="Times New Roman" w:hAnsi="Times New Roman" w:cs="Times New Roman"/>
        </w:rPr>
        <w:t>.</w:t>
      </w:r>
      <w:r w:rsidR="00C67AAC" w:rsidRPr="00C67AAC">
        <w:t xml:space="preserve"> </w:t>
      </w:r>
    </w:p>
    <w:p w14:paraId="75DD4B2B" w14:textId="349CF999" w:rsidR="00A67B52" w:rsidRDefault="00C872E5" w:rsidP="00680FD3">
      <w:pPr>
        <w:spacing w:before="200" w:line="360" w:lineRule="auto"/>
        <w:rPr>
          <w:rFonts w:ascii="Times New Roman" w:hAnsi="Times New Roman" w:cs="Times New Roman"/>
        </w:rPr>
      </w:pPr>
      <w:r>
        <w:rPr>
          <w:rFonts w:ascii="Times New Roman" w:hAnsi="Times New Roman" w:cs="Times New Roman"/>
        </w:rPr>
        <w:t>In June 2018, the NICE Appraisal Committee</w:t>
      </w:r>
      <w:r w:rsidR="00B65F1B">
        <w:rPr>
          <w:rFonts w:ascii="Times New Roman" w:hAnsi="Times New Roman" w:cs="Times New Roman"/>
        </w:rPr>
        <w:t xml:space="preserve"> reconvened and used a revised cost-effectiveness analysis with the committee’s preferred assumptions to inform decision making.</w:t>
      </w:r>
      <w:r w:rsidR="004159E6">
        <w:rPr>
          <w:rFonts w:ascii="Times New Roman" w:hAnsi="Times New Roman" w:cs="Times New Roman"/>
        </w:rPr>
        <w:t xml:space="preserve"> The updated analysis </w:t>
      </w:r>
      <w:r w:rsidR="00A267E9">
        <w:rPr>
          <w:rFonts w:ascii="Times New Roman" w:hAnsi="Times New Roman" w:cs="Times New Roman"/>
        </w:rPr>
        <w:t xml:space="preserve">applied </w:t>
      </w:r>
      <w:r w:rsidR="004159E6">
        <w:rPr>
          <w:rFonts w:ascii="Times New Roman" w:hAnsi="Times New Roman" w:cs="Times New Roman"/>
        </w:rPr>
        <w:t>the following changes to the committee</w:t>
      </w:r>
      <w:r w:rsidR="00A267E9">
        <w:rPr>
          <w:rFonts w:ascii="Times New Roman" w:hAnsi="Times New Roman" w:cs="Times New Roman"/>
        </w:rPr>
        <w:t xml:space="preserve">‘s original base case prior to </w:t>
      </w:r>
      <w:r w:rsidR="00050346">
        <w:rPr>
          <w:rFonts w:ascii="Times New Roman" w:hAnsi="Times New Roman" w:cs="Times New Roman"/>
        </w:rPr>
        <w:t xml:space="preserve">the </w:t>
      </w:r>
      <w:r w:rsidR="00A267E9">
        <w:rPr>
          <w:rFonts w:ascii="Times New Roman" w:hAnsi="Times New Roman" w:cs="Times New Roman"/>
        </w:rPr>
        <w:t xml:space="preserve">appeal: </w:t>
      </w:r>
      <w:r w:rsidR="00A267E9" w:rsidRPr="00A267E9">
        <w:rPr>
          <w:rFonts w:ascii="Times New Roman" w:hAnsi="Times New Roman" w:cs="Times New Roman"/>
        </w:rPr>
        <w:t xml:space="preserve">utility values for all patients 5 years post-HSCT </w:t>
      </w:r>
      <w:r w:rsidR="00A267E9">
        <w:rPr>
          <w:rFonts w:ascii="Times New Roman" w:hAnsi="Times New Roman" w:cs="Times New Roman"/>
        </w:rPr>
        <w:t xml:space="preserve">set </w:t>
      </w:r>
      <w:r w:rsidR="00A267E9" w:rsidRPr="00A267E9">
        <w:rPr>
          <w:rFonts w:ascii="Times New Roman" w:hAnsi="Times New Roman" w:cs="Times New Roman"/>
        </w:rPr>
        <w:t>between 0.76 and</w:t>
      </w:r>
      <w:r w:rsidR="00A267E9">
        <w:rPr>
          <w:rFonts w:ascii="Times New Roman" w:hAnsi="Times New Roman" w:cs="Times New Roman"/>
        </w:rPr>
        <w:t xml:space="preserve"> </w:t>
      </w:r>
      <w:r w:rsidR="00A267E9" w:rsidRPr="00A267E9">
        <w:rPr>
          <w:rFonts w:ascii="Times New Roman" w:hAnsi="Times New Roman" w:cs="Times New Roman"/>
        </w:rPr>
        <w:t>0.88</w:t>
      </w:r>
      <w:r w:rsidR="00A267E9">
        <w:rPr>
          <w:rFonts w:ascii="Times New Roman" w:hAnsi="Times New Roman" w:cs="Times New Roman"/>
        </w:rPr>
        <w:t xml:space="preserve">; </w:t>
      </w:r>
      <w:r w:rsidR="002C2DEC">
        <w:rPr>
          <w:rFonts w:ascii="Times New Roman" w:hAnsi="Times New Roman" w:cs="Times New Roman"/>
        </w:rPr>
        <w:t xml:space="preserve">using </w:t>
      </w:r>
      <w:r w:rsidR="00A267E9" w:rsidRPr="00A267E9">
        <w:rPr>
          <w:rFonts w:ascii="Times New Roman" w:hAnsi="Times New Roman" w:cs="Times New Roman"/>
        </w:rPr>
        <w:t>the</w:t>
      </w:r>
      <w:r w:rsidR="00A267E9">
        <w:rPr>
          <w:rFonts w:ascii="Times New Roman" w:hAnsi="Times New Roman" w:cs="Times New Roman"/>
        </w:rPr>
        <w:t xml:space="preserve"> </w:t>
      </w:r>
      <w:r w:rsidR="00A267E9" w:rsidRPr="00A267E9">
        <w:rPr>
          <w:rFonts w:ascii="Times New Roman" w:hAnsi="Times New Roman" w:cs="Times New Roman"/>
        </w:rPr>
        <w:t xml:space="preserve">generic price for </w:t>
      </w:r>
      <w:proofErr w:type="spellStart"/>
      <w:r w:rsidR="00A267E9" w:rsidRPr="00A267E9">
        <w:rPr>
          <w:rFonts w:ascii="Times New Roman" w:hAnsi="Times New Roman" w:cs="Times New Roman"/>
        </w:rPr>
        <w:t>imatinib</w:t>
      </w:r>
      <w:proofErr w:type="spellEnd"/>
      <w:r w:rsidR="009457F0">
        <w:rPr>
          <w:rFonts w:ascii="Times New Roman" w:hAnsi="Times New Roman" w:cs="Times New Roman"/>
        </w:rPr>
        <w:t xml:space="preserve"> and </w:t>
      </w:r>
      <w:r w:rsidR="009457F0" w:rsidRPr="009457F0">
        <w:rPr>
          <w:rFonts w:ascii="Times New Roman" w:hAnsi="Times New Roman" w:cs="Times New Roman"/>
        </w:rPr>
        <w:t xml:space="preserve">the price of </w:t>
      </w:r>
      <w:proofErr w:type="spellStart"/>
      <w:r w:rsidR="009457F0" w:rsidRPr="009457F0">
        <w:rPr>
          <w:rFonts w:ascii="Times New Roman" w:hAnsi="Times New Roman" w:cs="Times New Roman"/>
        </w:rPr>
        <w:t>blinatumomab</w:t>
      </w:r>
      <w:proofErr w:type="spellEnd"/>
      <w:r w:rsidR="009457F0" w:rsidRPr="009457F0">
        <w:rPr>
          <w:rFonts w:ascii="Times New Roman" w:hAnsi="Times New Roman" w:cs="Times New Roman"/>
        </w:rPr>
        <w:t xml:space="preserve"> with </w:t>
      </w:r>
      <w:r w:rsidR="009457F0">
        <w:rPr>
          <w:rFonts w:ascii="Times New Roman" w:hAnsi="Times New Roman" w:cs="Times New Roman"/>
        </w:rPr>
        <w:t>its</w:t>
      </w:r>
      <w:r w:rsidR="009457F0" w:rsidRPr="009457F0">
        <w:rPr>
          <w:rFonts w:ascii="Times New Roman" w:hAnsi="Times New Roman" w:cs="Times New Roman"/>
        </w:rPr>
        <w:t xml:space="preserve"> </w:t>
      </w:r>
      <w:r w:rsidR="00680FD3">
        <w:rPr>
          <w:rFonts w:ascii="Times New Roman" w:hAnsi="Times New Roman" w:cs="Times New Roman"/>
        </w:rPr>
        <w:t xml:space="preserve">PAS </w:t>
      </w:r>
      <w:r w:rsidR="009457F0">
        <w:rPr>
          <w:rFonts w:ascii="Times New Roman" w:hAnsi="Times New Roman" w:cs="Times New Roman"/>
        </w:rPr>
        <w:t>in place</w:t>
      </w:r>
      <w:r w:rsidR="00C53E03">
        <w:rPr>
          <w:rFonts w:ascii="Times New Roman" w:hAnsi="Times New Roman" w:cs="Times New Roman"/>
        </w:rPr>
        <w:t>;</w:t>
      </w:r>
      <w:r w:rsidR="003647CD">
        <w:rPr>
          <w:rFonts w:ascii="Times New Roman" w:hAnsi="Times New Roman" w:cs="Times New Roman"/>
        </w:rPr>
        <w:t xml:space="preserve"> </w:t>
      </w:r>
      <w:r w:rsidR="00680FD3">
        <w:rPr>
          <w:rFonts w:ascii="Times New Roman" w:hAnsi="Times New Roman" w:cs="Times New Roman"/>
        </w:rPr>
        <w:t>alternat</w:t>
      </w:r>
      <w:r w:rsidR="00BB38FF">
        <w:rPr>
          <w:rFonts w:ascii="Times New Roman" w:hAnsi="Times New Roman" w:cs="Times New Roman"/>
        </w:rPr>
        <w:t>iv</w:t>
      </w:r>
      <w:r w:rsidR="00680FD3">
        <w:rPr>
          <w:rFonts w:ascii="Times New Roman" w:hAnsi="Times New Roman" w:cs="Times New Roman"/>
        </w:rPr>
        <w:t xml:space="preserve">e </w:t>
      </w:r>
      <w:r w:rsidR="00050346">
        <w:rPr>
          <w:rFonts w:ascii="Times New Roman" w:hAnsi="Times New Roman" w:cs="Times New Roman"/>
        </w:rPr>
        <w:t>inpatient stay</w:t>
      </w:r>
      <w:r w:rsidR="00200448">
        <w:rPr>
          <w:rFonts w:ascii="Times New Roman" w:hAnsi="Times New Roman" w:cs="Times New Roman"/>
        </w:rPr>
        <w:t>s</w:t>
      </w:r>
      <w:r w:rsidR="00050346">
        <w:rPr>
          <w:rFonts w:ascii="Times New Roman" w:hAnsi="Times New Roman" w:cs="Times New Roman"/>
        </w:rPr>
        <w:t xml:space="preserve"> </w:t>
      </w:r>
      <w:r w:rsidR="00680FD3" w:rsidRPr="00680FD3">
        <w:rPr>
          <w:rFonts w:ascii="Times New Roman" w:hAnsi="Times New Roman" w:cs="Times New Roman"/>
        </w:rPr>
        <w:t xml:space="preserve">using observational data from the </w:t>
      </w:r>
      <w:proofErr w:type="spellStart"/>
      <w:r w:rsidR="00680FD3" w:rsidRPr="00680FD3">
        <w:rPr>
          <w:rFonts w:ascii="Times New Roman" w:hAnsi="Times New Roman" w:cs="Times New Roman"/>
        </w:rPr>
        <w:t>inotuzumab</w:t>
      </w:r>
      <w:proofErr w:type="spellEnd"/>
      <w:r w:rsidR="00680FD3" w:rsidRPr="00680FD3">
        <w:rPr>
          <w:rFonts w:ascii="Times New Roman" w:hAnsi="Times New Roman" w:cs="Times New Roman"/>
        </w:rPr>
        <w:t xml:space="preserve"> compassionate use programme</w:t>
      </w:r>
      <w:r w:rsidR="00392AB6">
        <w:rPr>
          <w:rFonts w:ascii="Times New Roman" w:hAnsi="Times New Roman" w:cs="Times New Roman"/>
        </w:rPr>
        <w:t>;</w:t>
      </w:r>
      <w:r w:rsidR="00680FD3">
        <w:rPr>
          <w:rFonts w:ascii="Times New Roman" w:hAnsi="Times New Roman" w:cs="Times New Roman"/>
        </w:rPr>
        <w:t xml:space="preserve"> </w:t>
      </w:r>
      <w:r w:rsidR="007B0856">
        <w:rPr>
          <w:rFonts w:ascii="Times New Roman" w:hAnsi="Times New Roman" w:cs="Times New Roman"/>
        </w:rPr>
        <w:t>and</w:t>
      </w:r>
      <w:r w:rsidR="00C53E03">
        <w:rPr>
          <w:rFonts w:ascii="Times New Roman" w:hAnsi="Times New Roman" w:cs="Times New Roman"/>
        </w:rPr>
        <w:t xml:space="preserve"> </w:t>
      </w:r>
      <w:r w:rsidR="00200448">
        <w:rPr>
          <w:rFonts w:ascii="Times New Roman" w:hAnsi="Times New Roman" w:cs="Times New Roman"/>
        </w:rPr>
        <w:t>the revised PAS</w:t>
      </w:r>
      <w:r w:rsidR="007B0856">
        <w:rPr>
          <w:rFonts w:ascii="Times New Roman" w:hAnsi="Times New Roman" w:cs="Times New Roman"/>
        </w:rPr>
        <w:t xml:space="preserve"> discount</w:t>
      </w:r>
      <w:r w:rsidR="00050346">
        <w:rPr>
          <w:rFonts w:ascii="Times New Roman" w:hAnsi="Times New Roman" w:cs="Times New Roman"/>
        </w:rPr>
        <w:t xml:space="preserve">. </w:t>
      </w:r>
      <w:r w:rsidR="009875CE">
        <w:rPr>
          <w:rFonts w:ascii="Times New Roman" w:hAnsi="Times New Roman" w:cs="Times New Roman"/>
        </w:rPr>
        <w:t xml:space="preserve">Withholding </w:t>
      </w:r>
      <w:proofErr w:type="spellStart"/>
      <w:r w:rsidR="009875CE">
        <w:rPr>
          <w:rFonts w:ascii="Times New Roman" w:hAnsi="Times New Roman" w:cs="Times New Roman"/>
        </w:rPr>
        <w:t>blinatumomab’s</w:t>
      </w:r>
      <w:proofErr w:type="spellEnd"/>
      <w:r w:rsidR="009875CE">
        <w:rPr>
          <w:rFonts w:ascii="Times New Roman" w:hAnsi="Times New Roman" w:cs="Times New Roman"/>
        </w:rPr>
        <w:t xml:space="preserve"> PAS</w:t>
      </w:r>
      <w:r w:rsidR="00F14582">
        <w:rPr>
          <w:rFonts w:ascii="Times New Roman" w:hAnsi="Times New Roman" w:cs="Times New Roman"/>
        </w:rPr>
        <w:t>,</w:t>
      </w:r>
      <w:r w:rsidR="00A267E9">
        <w:rPr>
          <w:rFonts w:ascii="Times New Roman" w:hAnsi="Times New Roman" w:cs="Times New Roman"/>
        </w:rPr>
        <w:t xml:space="preserve"> </w:t>
      </w:r>
      <w:r w:rsidR="009875CE">
        <w:rPr>
          <w:rFonts w:ascii="Times New Roman" w:hAnsi="Times New Roman" w:cs="Times New Roman"/>
        </w:rPr>
        <w:t>t</w:t>
      </w:r>
      <w:r w:rsidR="00680FD3" w:rsidRPr="00680FD3">
        <w:rPr>
          <w:rFonts w:ascii="Times New Roman" w:hAnsi="Times New Roman" w:cs="Times New Roman"/>
        </w:rPr>
        <w:t>he committee’s preferred</w:t>
      </w:r>
      <w:r w:rsidR="00680FD3">
        <w:rPr>
          <w:rFonts w:ascii="Times New Roman" w:hAnsi="Times New Roman" w:cs="Times New Roman"/>
        </w:rPr>
        <w:t xml:space="preserve"> </w:t>
      </w:r>
      <w:r w:rsidR="009875CE">
        <w:rPr>
          <w:rFonts w:ascii="Times New Roman" w:hAnsi="Times New Roman" w:cs="Times New Roman"/>
        </w:rPr>
        <w:t>assumptions</w:t>
      </w:r>
      <w:r w:rsidR="00680FD3" w:rsidRPr="00680FD3">
        <w:rPr>
          <w:rFonts w:ascii="Times New Roman" w:hAnsi="Times New Roman" w:cs="Times New Roman"/>
        </w:rPr>
        <w:t xml:space="preserve"> resulted in a deterministic ICER</w:t>
      </w:r>
      <w:r w:rsidR="00680FD3">
        <w:rPr>
          <w:rFonts w:ascii="Times New Roman" w:hAnsi="Times New Roman" w:cs="Times New Roman"/>
        </w:rPr>
        <w:t xml:space="preserve"> </w:t>
      </w:r>
      <w:r w:rsidR="009875CE">
        <w:rPr>
          <w:rFonts w:ascii="Times New Roman" w:hAnsi="Times New Roman" w:cs="Times New Roman"/>
        </w:rPr>
        <w:t>of</w:t>
      </w:r>
      <w:r w:rsidR="00680FD3" w:rsidRPr="00680FD3">
        <w:rPr>
          <w:rFonts w:ascii="Times New Roman" w:hAnsi="Times New Roman" w:cs="Times New Roman"/>
        </w:rPr>
        <w:t xml:space="preserve"> £37,497</w:t>
      </w:r>
      <w:r w:rsidR="00E20249">
        <w:rPr>
          <w:rFonts w:ascii="Times New Roman" w:hAnsi="Times New Roman" w:cs="Times New Roman"/>
        </w:rPr>
        <w:t>/</w:t>
      </w:r>
      <w:r w:rsidR="00680FD3" w:rsidRPr="00680FD3">
        <w:rPr>
          <w:rFonts w:ascii="Times New Roman" w:hAnsi="Times New Roman" w:cs="Times New Roman"/>
        </w:rPr>
        <w:t xml:space="preserve">QALY when using utility values </w:t>
      </w:r>
      <w:r w:rsidR="00F14582">
        <w:rPr>
          <w:rFonts w:ascii="Times New Roman" w:hAnsi="Times New Roman" w:cs="Times New Roman"/>
        </w:rPr>
        <w:t xml:space="preserve">taken </w:t>
      </w:r>
      <w:r w:rsidR="00680FD3" w:rsidRPr="00680FD3">
        <w:rPr>
          <w:rFonts w:ascii="Times New Roman" w:hAnsi="Times New Roman" w:cs="Times New Roman"/>
        </w:rPr>
        <w:t>from</w:t>
      </w:r>
      <w:r w:rsidR="00680FD3">
        <w:rPr>
          <w:rFonts w:ascii="Times New Roman" w:hAnsi="Times New Roman" w:cs="Times New Roman"/>
        </w:rPr>
        <w:t xml:space="preserve"> the literature </w:t>
      </w:r>
      <w:r w:rsidR="00680FD3" w:rsidRPr="00680FD3">
        <w:rPr>
          <w:rFonts w:ascii="Times New Roman" w:hAnsi="Times New Roman" w:cs="Times New Roman"/>
        </w:rPr>
        <w:t>(0.76) and £33,749</w:t>
      </w:r>
      <w:r w:rsidR="00E20249">
        <w:rPr>
          <w:rFonts w:ascii="Times New Roman" w:hAnsi="Times New Roman" w:cs="Times New Roman"/>
        </w:rPr>
        <w:t>/</w:t>
      </w:r>
      <w:r w:rsidR="00680FD3" w:rsidRPr="00680FD3">
        <w:rPr>
          <w:rFonts w:ascii="Times New Roman" w:hAnsi="Times New Roman" w:cs="Times New Roman"/>
        </w:rPr>
        <w:t>QALY when using</w:t>
      </w:r>
      <w:r w:rsidR="00680FD3">
        <w:rPr>
          <w:rFonts w:ascii="Times New Roman" w:hAnsi="Times New Roman" w:cs="Times New Roman"/>
        </w:rPr>
        <w:t xml:space="preserve"> </w:t>
      </w:r>
      <w:r w:rsidR="00680FD3" w:rsidRPr="00680FD3">
        <w:rPr>
          <w:rFonts w:ascii="Times New Roman" w:hAnsi="Times New Roman" w:cs="Times New Roman"/>
        </w:rPr>
        <w:t>utility values from the general population (0.88).</w:t>
      </w:r>
    </w:p>
    <w:p w14:paraId="31CB5846" w14:textId="2689D894" w:rsidR="009D31C1" w:rsidRDefault="009D31C1" w:rsidP="009D31C1">
      <w:pPr>
        <w:pStyle w:val="Heading2"/>
        <w:numPr>
          <w:ilvl w:val="0"/>
          <w:numId w:val="0"/>
        </w:numPr>
        <w:spacing w:line="360" w:lineRule="auto"/>
        <w:rPr>
          <w:rFonts w:cs="Times New Roman"/>
        </w:rPr>
      </w:pPr>
      <w:r w:rsidRPr="00DD657B">
        <w:rPr>
          <w:rFonts w:cs="Times New Roman"/>
        </w:rPr>
        <w:t xml:space="preserve">The Appraisal Committee’s </w:t>
      </w:r>
      <w:r>
        <w:rPr>
          <w:rFonts w:cs="Times New Roman"/>
        </w:rPr>
        <w:t>Final</w:t>
      </w:r>
      <w:r w:rsidRPr="00DD657B">
        <w:rPr>
          <w:rFonts w:cs="Times New Roman"/>
        </w:rPr>
        <w:t xml:space="preserve"> Guidance </w:t>
      </w:r>
    </w:p>
    <w:p w14:paraId="0B6AE14E" w14:textId="4C3133F6" w:rsidR="009D31C1" w:rsidRDefault="002F611A" w:rsidP="002F611A">
      <w:pPr>
        <w:spacing w:before="200" w:line="360" w:lineRule="auto"/>
        <w:rPr>
          <w:rFonts w:ascii="Times New Roman" w:hAnsi="Times New Roman" w:cs="Times New Roman"/>
        </w:rPr>
      </w:pPr>
      <w:r>
        <w:rPr>
          <w:rFonts w:ascii="Times New Roman" w:hAnsi="Times New Roman" w:cs="Times New Roman"/>
        </w:rPr>
        <w:t xml:space="preserve">In </w:t>
      </w:r>
      <w:r w:rsidR="00680FD3">
        <w:rPr>
          <w:rFonts w:ascii="Times New Roman" w:hAnsi="Times New Roman" w:cs="Times New Roman"/>
        </w:rPr>
        <w:t>August</w:t>
      </w:r>
      <w:r w:rsidR="009D31C1">
        <w:rPr>
          <w:rFonts w:ascii="Times New Roman" w:hAnsi="Times New Roman" w:cs="Times New Roman"/>
        </w:rPr>
        <w:t xml:space="preserve"> </w:t>
      </w:r>
      <w:r>
        <w:rPr>
          <w:rFonts w:ascii="Times New Roman" w:hAnsi="Times New Roman" w:cs="Times New Roman"/>
        </w:rPr>
        <w:t>201</w:t>
      </w:r>
      <w:r w:rsidR="009D31C1">
        <w:rPr>
          <w:rFonts w:ascii="Times New Roman" w:hAnsi="Times New Roman" w:cs="Times New Roman"/>
        </w:rPr>
        <w:t>8</w:t>
      </w:r>
      <w:r w:rsidR="00C872E5">
        <w:rPr>
          <w:rFonts w:ascii="Times New Roman" w:hAnsi="Times New Roman" w:cs="Times New Roman"/>
        </w:rPr>
        <w:t>, the NICE Appraisal Committee</w:t>
      </w:r>
      <w:r>
        <w:rPr>
          <w:rFonts w:ascii="Times New Roman" w:hAnsi="Times New Roman" w:cs="Times New Roman"/>
        </w:rPr>
        <w:t xml:space="preserve"> </w:t>
      </w:r>
      <w:r w:rsidR="00AD5473">
        <w:rPr>
          <w:rFonts w:ascii="Times New Roman" w:hAnsi="Times New Roman" w:cs="Times New Roman"/>
        </w:rPr>
        <w:t>published</w:t>
      </w:r>
      <w:r>
        <w:rPr>
          <w:rFonts w:ascii="Times New Roman" w:hAnsi="Times New Roman" w:cs="Times New Roman"/>
        </w:rPr>
        <w:t xml:space="preserve"> the following final guidance to the NHS:</w:t>
      </w:r>
    </w:p>
    <w:p w14:paraId="681193FF" w14:textId="12C3A812" w:rsidR="002F611A" w:rsidRDefault="009D31C1" w:rsidP="00947DD7">
      <w:pPr>
        <w:spacing w:before="200" w:line="360" w:lineRule="auto"/>
        <w:rPr>
          <w:rFonts w:ascii="Times New Roman" w:hAnsi="Times New Roman" w:cs="Times New Roman"/>
        </w:rPr>
      </w:pPr>
      <w:r>
        <w:rPr>
          <w:rFonts w:ascii="Times New Roman" w:hAnsi="Times New Roman" w:cs="Times New Roman"/>
        </w:rPr>
        <w:t>“</w:t>
      </w:r>
      <w:proofErr w:type="spellStart"/>
      <w:r w:rsidR="00947DD7" w:rsidRPr="00947DD7">
        <w:rPr>
          <w:rFonts w:ascii="Times New Roman" w:hAnsi="Times New Roman" w:cs="Times New Roman"/>
        </w:rPr>
        <w:t>Inotuzumab</w:t>
      </w:r>
      <w:proofErr w:type="spellEnd"/>
      <w:r w:rsidR="00947DD7" w:rsidRPr="00947DD7">
        <w:rPr>
          <w:rFonts w:ascii="Times New Roman" w:hAnsi="Times New Roman" w:cs="Times New Roman"/>
        </w:rPr>
        <w:t xml:space="preserve"> </w:t>
      </w:r>
      <w:proofErr w:type="spellStart"/>
      <w:r w:rsidR="00947DD7" w:rsidRPr="00947DD7">
        <w:rPr>
          <w:rFonts w:ascii="Times New Roman" w:hAnsi="Times New Roman" w:cs="Times New Roman"/>
        </w:rPr>
        <w:t>ozogamicin</w:t>
      </w:r>
      <w:proofErr w:type="spellEnd"/>
      <w:r w:rsidR="00947DD7" w:rsidRPr="00947DD7">
        <w:rPr>
          <w:rFonts w:ascii="Times New Roman" w:hAnsi="Times New Roman" w:cs="Times New Roman"/>
        </w:rPr>
        <w:t xml:space="preserve"> is recommended, within its marketing</w:t>
      </w:r>
      <w:r w:rsidR="00947DD7">
        <w:rPr>
          <w:rFonts w:ascii="Times New Roman" w:hAnsi="Times New Roman" w:cs="Times New Roman"/>
        </w:rPr>
        <w:t xml:space="preserve"> </w:t>
      </w:r>
      <w:r w:rsidR="00947DD7" w:rsidRPr="00947DD7">
        <w:rPr>
          <w:rFonts w:ascii="Times New Roman" w:hAnsi="Times New Roman" w:cs="Times New Roman"/>
        </w:rPr>
        <w:t xml:space="preserve">authorisation, as an option for treating relapsed or refractory CD22-positive B-cell precursor acute lymphoblastic leukaemia in </w:t>
      </w:r>
      <w:r w:rsidR="00947DD7" w:rsidRPr="00947DD7">
        <w:rPr>
          <w:rFonts w:ascii="Times New Roman" w:hAnsi="Times New Roman" w:cs="Times New Roman"/>
        </w:rPr>
        <w:lastRenderedPageBreak/>
        <w:t>adults. People</w:t>
      </w:r>
      <w:r w:rsidR="00947DD7">
        <w:rPr>
          <w:rFonts w:ascii="Times New Roman" w:hAnsi="Times New Roman" w:cs="Times New Roman"/>
        </w:rPr>
        <w:t xml:space="preserve"> </w:t>
      </w:r>
      <w:r w:rsidR="00947DD7" w:rsidRPr="00947DD7">
        <w:rPr>
          <w:rFonts w:ascii="Times New Roman" w:hAnsi="Times New Roman" w:cs="Times New Roman"/>
        </w:rPr>
        <w:t>with relapsed or refractory Philadelphia chromosome positive disease</w:t>
      </w:r>
      <w:r w:rsidR="00947DD7">
        <w:rPr>
          <w:rFonts w:ascii="Times New Roman" w:hAnsi="Times New Roman" w:cs="Times New Roman"/>
        </w:rPr>
        <w:t xml:space="preserve"> </w:t>
      </w:r>
      <w:r w:rsidR="00947DD7" w:rsidRPr="00947DD7">
        <w:rPr>
          <w:rFonts w:ascii="Times New Roman" w:hAnsi="Times New Roman" w:cs="Times New Roman"/>
        </w:rPr>
        <w:t>should have had at least 1 tyrosine kinase inhibitor.</w:t>
      </w:r>
      <w:r w:rsidR="00947DD7">
        <w:rPr>
          <w:rFonts w:ascii="Times New Roman" w:hAnsi="Times New Roman" w:cs="Times New Roman"/>
        </w:rPr>
        <w:t xml:space="preserve"> </w:t>
      </w:r>
      <w:proofErr w:type="spellStart"/>
      <w:r w:rsidR="00947DD7" w:rsidRPr="00947DD7">
        <w:rPr>
          <w:rFonts w:ascii="Times New Roman" w:hAnsi="Times New Roman" w:cs="Times New Roman"/>
        </w:rPr>
        <w:t>Inotuzumab</w:t>
      </w:r>
      <w:proofErr w:type="spellEnd"/>
      <w:r w:rsidR="00947DD7" w:rsidRPr="00947DD7">
        <w:rPr>
          <w:rFonts w:ascii="Times New Roman" w:hAnsi="Times New Roman" w:cs="Times New Roman"/>
        </w:rPr>
        <w:t xml:space="preserve"> </w:t>
      </w:r>
      <w:proofErr w:type="spellStart"/>
      <w:r w:rsidR="00947DD7" w:rsidRPr="00947DD7">
        <w:rPr>
          <w:rFonts w:ascii="Times New Roman" w:hAnsi="Times New Roman" w:cs="Times New Roman"/>
        </w:rPr>
        <w:t>ozogamicin</w:t>
      </w:r>
      <w:proofErr w:type="spellEnd"/>
      <w:r w:rsidR="00947DD7" w:rsidRPr="00947DD7">
        <w:rPr>
          <w:rFonts w:ascii="Times New Roman" w:hAnsi="Times New Roman" w:cs="Times New Roman"/>
        </w:rPr>
        <w:t xml:space="preserve"> is recommended only if the company provides it</w:t>
      </w:r>
      <w:r w:rsidR="00947DD7">
        <w:rPr>
          <w:rFonts w:ascii="Times New Roman" w:hAnsi="Times New Roman" w:cs="Times New Roman"/>
        </w:rPr>
        <w:t xml:space="preserve"> </w:t>
      </w:r>
      <w:r w:rsidR="00947DD7" w:rsidRPr="00947DD7">
        <w:rPr>
          <w:rFonts w:ascii="Times New Roman" w:hAnsi="Times New Roman" w:cs="Times New Roman"/>
        </w:rPr>
        <w:t>according to the commercial arrangement</w:t>
      </w:r>
      <w:r w:rsidR="00680FD3">
        <w:rPr>
          <w:rFonts w:ascii="Times New Roman" w:hAnsi="Times New Roman" w:cs="Times New Roman"/>
        </w:rPr>
        <w:t>”</w:t>
      </w:r>
      <w:r w:rsidR="002F611A">
        <w:rPr>
          <w:rFonts w:ascii="Times New Roman" w:hAnsi="Times New Roman" w:cs="Times New Roman"/>
        </w:rPr>
        <w:t xml:space="preserve"> </w:t>
      </w:r>
      <w:r w:rsidR="00947DD7">
        <w:rPr>
          <w:rFonts w:ascii="Times New Roman" w:hAnsi="Times New Roman" w:cs="Times New Roman"/>
        </w:rPr>
        <w:fldChar w:fldCharType="begin"/>
      </w:r>
      <w:r w:rsidR="005F15F8">
        <w:rPr>
          <w:rFonts w:ascii="Times New Roman" w:hAnsi="Times New Roman" w:cs="Times New Roman"/>
        </w:rPr>
        <w:instrText xml:space="preserve"> ADDIN EN.CITE &lt;EndNote&gt;&lt;Cite&gt;&lt;Author&gt;National Institute for Health and Care Excellence&lt;/Author&gt;&lt;Year&gt;2018&lt;/Year&gt;&lt;RecNum&gt;64&lt;/RecNum&gt;&lt;DisplayText&gt;[29]&lt;/DisplayText&gt;&lt;record&gt;&lt;rec-number&gt;64&lt;/rec-number&gt;&lt;foreign-keys&gt;&lt;key app="EN" db-id="9f090dpxqtedprezvanxwdxlwv2d9d9dp2rs" timestamp="0"&gt;64&lt;/key&gt;&lt;/foreign-keys&gt;&lt;ref-type name="Web Page"&gt;12&lt;/ref-type&gt;&lt;contributors&gt;&lt;authors&gt;&lt;author&gt;National Institute for Health and Care Excellence,&lt;/author&gt;&lt;/authors&gt;&lt;/contributors&gt;&lt;titles&gt;&lt;title&gt;Final appraisal document: Inotuzumab ozogamicin for treating relapsed or refractory B-cell acute lymphoblastic leukaemia&lt;/title&gt;&lt;/titles&gt;&lt;dates&gt;&lt;year&gt;2018&lt;/year&gt;&lt;/dates&gt;&lt;urls&gt;&lt;related-urls&gt;&lt;url&gt;https://www.nice.org.uk/guidance/gid-ta10091/documents/final-appraisal-determination-document-2&lt;/url&gt;&lt;/related-urls&gt;&lt;/urls&gt;&lt;/record&gt;&lt;/Cite&gt;&lt;/EndNote&gt;</w:instrText>
      </w:r>
      <w:r w:rsidR="00947DD7">
        <w:rPr>
          <w:rFonts w:ascii="Times New Roman" w:hAnsi="Times New Roman" w:cs="Times New Roman"/>
        </w:rPr>
        <w:fldChar w:fldCharType="separate"/>
      </w:r>
      <w:r w:rsidR="005F15F8">
        <w:rPr>
          <w:rFonts w:ascii="Times New Roman" w:hAnsi="Times New Roman" w:cs="Times New Roman"/>
          <w:noProof/>
        </w:rPr>
        <w:t>[29]</w:t>
      </w:r>
      <w:r w:rsidR="00947DD7">
        <w:rPr>
          <w:rFonts w:ascii="Times New Roman" w:hAnsi="Times New Roman" w:cs="Times New Roman"/>
        </w:rPr>
        <w:fldChar w:fldCharType="end"/>
      </w:r>
      <w:r w:rsidR="00947DD7">
        <w:rPr>
          <w:rFonts w:ascii="Times New Roman" w:hAnsi="Times New Roman" w:cs="Times New Roman"/>
        </w:rPr>
        <w:t>.</w:t>
      </w:r>
    </w:p>
    <w:p w14:paraId="62DAA4A1" w14:textId="31B20E9B" w:rsidR="009D31C1" w:rsidRDefault="00577113" w:rsidP="00917542">
      <w:pPr>
        <w:spacing w:line="360" w:lineRule="auto"/>
        <w:rPr>
          <w:rFonts w:ascii="Times New Roman" w:hAnsi="Times New Roman" w:cs="Times New Roman"/>
        </w:rPr>
      </w:pPr>
      <w:r>
        <w:rPr>
          <w:rFonts w:ascii="Times New Roman" w:hAnsi="Times New Roman" w:cs="Times New Roman"/>
        </w:rPr>
        <w:t>Complete details of the</w:t>
      </w:r>
      <w:r w:rsidR="00CD6208">
        <w:rPr>
          <w:rFonts w:ascii="Times New Roman" w:hAnsi="Times New Roman" w:cs="Times New Roman"/>
        </w:rPr>
        <w:t xml:space="preserve"> guidance, the</w:t>
      </w:r>
      <w:r>
        <w:rPr>
          <w:rFonts w:ascii="Times New Roman" w:hAnsi="Times New Roman" w:cs="Times New Roman"/>
        </w:rPr>
        <w:t xml:space="preserve"> A</w:t>
      </w:r>
      <w:r w:rsidR="00BB38FF">
        <w:rPr>
          <w:rFonts w:ascii="Times New Roman" w:hAnsi="Times New Roman" w:cs="Times New Roman"/>
        </w:rPr>
        <w:t xml:space="preserve">ppraisal </w:t>
      </w:r>
      <w:r>
        <w:rPr>
          <w:rFonts w:ascii="Times New Roman" w:hAnsi="Times New Roman" w:cs="Times New Roman"/>
        </w:rPr>
        <w:t>C</w:t>
      </w:r>
      <w:r w:rsidR="00BB38FF">
        <w:rPr>
          <w:rFonts w:ascii="Times New Roman" w:hAnsi="Times New Roman" w:cs="Times New Roman"/>
        </w:rPr>
        <w:t>ommittee</w:t>
      </w:r>
      <w:r>
        <w:rPr>
          <w:rFonts w:ascii="Times New Roman" w:hAnsi="Times New Roman" w:cs="Times New Roman"/>
        </w:rPr>
        <w:t>’s consideration of the evidence</w:t>
      </w:r>
      <w:r w:rsidR="00071523">
        <w:rPr>
          <w:rFonts w:ascii="Times New Roman" w:hAnsi="Times New Roman" w:cs="Times New Roman"/>
        </w:rPr>
        <w:t xml:space="preserve">, </w:t>
      </w:r>
      <w:r w:rsidR="009227FD">
        <w:rPr>
          <w:rFonts w:ascii="Times New Roman" w:hAnsi="Times New Roman" w:cs="Times New Roman"/>
        </w:rPr>
        <w:t xml:space="preserve">each </w:t>
      </w:r>
      <w:r w:rsidR="00071523">
        <w:rPr>
          <w:rFonts w:ascii="Times New Roman" w:hAnsi="Times New Roman" w:cs="Times New Roman"/>
        </w:rPr>
        <w:t>company response</w:t>
      </w:r>
      <w:r w:rsidR="00AD5473">
        <w:rPr>
          <w:rFonts w:ascii="Times New Roman" w:hAnsi="Times New Roman" w:cs="Times New Roman"/>
        </w:rPr>
        <w:t xml:space="preserve"> to NICE</w:t>
      </w:r>
      <w:r>
        <w:rPr>
          <w:rFonts w:ascii="Times New Roman" w:hAnsi="Times New Roman" w:cs="Times New Roman"/>
        </w:rPr>
        <w:t xml:space="preserve"> and</w:t>
      </w:r>
      <w:r w:rsidR="000E0798">
        <w:rPr>
          <w:rFonts w:ascii="Times New Roman" w:hAnsi="Times New Roman" w:cs="Times New Roman"/>
        </w:rPr>
        <w:t xml:space="preserve"> </w:t>
      </w:r>
      <w:r>
        <w:rPr>
          <w:rFonts w:ascii="Times New Roman" w:hAnsi="Times New Roman" w:cs="Times New Roman"/>
        </w:rPr>
        <w:t xml:space="preserve">the appeal </w:t>
      </w:r>
      <w:r w:rsidR="000E0798">
        <w:rPr>
          <w:rFonts w:ascii="Times New Roman" w:hAnsi="Times New Roman" w:cs="Times New Roman"/>
        </w:rPr>
        <w:t xml:space="preserve">process </w:t>
      </w:r>
      <w:r w:rsidR="009227FD">
        <w:rPr>
          <w:rFonts w:ascii="Times New Roman" w:hAnsi="Times New Roman" w:cs="Times New Roman"/>
        </w:rPr>
        <w:t>is</w:t>
      </w:r>
      <w:r w:rsidR="00071523">
        <w:rPr>
          <w:rFonts w:ascii="Times New Roman" w:hAnsi="Times New Roman" w:cs="Times New Roman"/>
        </w:rPr>
        <w:t xml:space="preserve"> available on the NICE website </w:t>
      </w:r>
      <w:r w:rsidR="00071523">
        <w:rPr>
          <w:rFonts w:ascii="Times New Roman" w:hAnsi="Times New Roman" w:cs="Times New Roman"/>
        </w:rPr>
        <w:fldChar w:fldCharType="begin"/>
      </w:r>
      <w:r w:rsidR="00BE567A">
        <w:rPr>
          <w:rFonts w:ascii="Times New Roman" w:hAnsi="Times New Roman" w:cs="Times New Roman"/>
        </w:rPr>
        <w:instrText xml:space="preserve"> ADDIN EN.CITE &lt;EndNote&gt;&lt;Cite&gt;&lt;Author&gt;National Institute for Health and Care Excellence&lt;/Author&gt;&lt;Year&gt;2018&lt;/Year&gt;&lt;RecNum&gt;45&lt;/RecNum&gt;&lt;DisplayText&gt;[4]&lt;/DisplayText&gt;&lt;record&gt;&lt;rec-number&gt;45&lt;/rec-number&gt;&lt;foreign-keys&gt;&lt;key app="EN" db-id="9f090dpxqtedprezvanxwdxlwv2d9d9dp2rs" timestamp="0"&gt;45&lt;/key&gt;&lt;/foreign-keys&gt;&lt;ref-type name="Web Page"&gt;12&lt;/ref-type&gt;&lt;contributors&gt;&lt;authors&gt;&lt;author&gt;National Institute for Health and Care Excellence,&lt;/author&gt;&lt;/authors&gt;&lt;/contributors&gt;&lt;titles&gt;&lt;title&gt;Inotuzumab ozogamicin for treating relapsed or refractory acute lymphoblastic leukaemia [ID893]&lt;/title&gt;&lt;/titles&gt;&lt;dates&gt;&lt;year&gt;2018&lt;/year&gt;&lt;/dates&gt;&lt;urls&gt;&lt;related-urls&gt;&lt;url&gt;&lt;style face="underline" font="default" size="100%"&gt;https://www.nice.org.uk/guidance/indevelopment/gid-ta10091&lt;/style&gt;&lt;/url&gt;&lt;/related-urls&gt;&lt;/urls&gt;&lt;/record&gt;&lt;/Cite&gt;&lt;/EndNote&gt;</w:instrText>
      </w:r>
      <w:r w:rsidR="00071523">
        <w:rPr>
          <w:rFonts w:ascii="Times New Roman" w:hAnsi="Times New Roman" w:cs="Times New Roman"/>
        </w:rPr>
        <w:fldChar w:fldCharType="separate"/>
      </w:r>
      <w:r w:rsidR="0006339D">
        <w:rPr>
          <w:rFonts w:ascii="Times New Roman" w:hAnsi="Times New Roman" w:cs="Times New Roman"/>
          <w:noProof/>
        </w:rPr>
        <w:t>[4]</w:t>
      </w:r>
      <w:r w:rsidR="00071523">
        <w:rPr>
          <w:rFonts w:ascii="Times New Roman" w:hAnsi="Times New Roman" w:cs="Times New Roman"/>
        </w:rPr>
        <w:fldChar w:fldCharType="end"/>
      </w:r>
      <w:r w:rsidR="00071523">
        <w:rPr>
          <w:rFonts w:ascii="Times New Roman" w:hAnsi="Times New Roman" w:cs="Times New Roman"/>
        </w:rPr>
        <w:t>.</w:t>
      </w:r>
      <w:r>
        <w:rPr>
          <w:rFonts w:ascii="Times New Roman" w:hAnsi="Times New Roman" w:cs="Times New Roman"/>
        </w:rPr>
        <w:t xml:space="preserve"> </w:t>
      </w:r>
    </w:p>
    <w:p w14:paraId="09BA0B6C" w14:textId="41A8838D" w:rsidR="00B825E3" w:rsidRDefault="00A934DC" w:rsidP="00E61BB0">
      <w:pPr>
        <w:pStyle w:val="Heading1"/>
        <w:spacing w:line="360" w:lineRule="auto"/>
      </w:pPr>
      <w:r>
        <w:t>Conclusions</w:t>
      </w:r>
    </w:p>
    <w:p w14:paraId="768C1820" w14:textId="056F621A" w:rsidR="00015EB3" w:rsidRDefault="006673B9" w:rsidP="00ED0C62">
      <w:pPr>
        <w:spacing w:before="200" w:line="360" w:lineRule="auto"/>
        <w:rPr>
          <w:rFonts w:ascii="Times New Roman" w:hAnsi="Times New Roman" w:cs="Times New Roman"/>
        </w:rPr>
      </w:pPr>
      <w:r w:rsidRPr="006673B9">
        <w:rPr>
          <w:rFonts w:ascii="Times New Roman" w:hAnsi="Times New Roman" w:cs="Times New Roman"/>
        </w:rPr>
        <w:t xml:space="preserve">This STA highlights </w:t>
      </w:r>
      <w:r w:rsidR="008F34B5">
        <w:rPr>
          <w:rFonts w:ascii="Times New Roman" w:hAnsi="Times New Roman" w:cs="Times New Roman"/>
        </w:rPr>
        <w:t>some</w:t>
      </w:r>
      <w:r w:rsidR="003A2662">
        <w:rPr>
          <w:rFonts w:ascii="Times New Roman" w:hAnsi="Times New Roman" w:cs="Times New Roman"/>
        </w:rPr>
        <w:t xml:space="preserve"> of the</w:t>
      </w:r>
      <w:r w:rsidR="008F34B5">
        <w:rPr>
          <w:rFonts w:ascii="Times New Roman" w:hAnsi="Times New Roman" w:cs="Times New Roman"/>
        </w:rPr>
        <w:t xml:space="preserve"> </w:t>
      </w:r>
      <w:r w:rsidR="00742B9B">
        <w:rPr>
          <w:rFonts w:ascii="Times New Roman" w:hAnsi="Times New Roman" w:cs="Times New Roman"/>
        </w:rPr>
        <w:t>difficult</w:t>
      </w:r>
      <w:r w:rsidR="008F34B5">
        <w:rPr>
          <w:rFonts w:ascii="Times New Roman" w:hAnsi="Times New Roman" w:cs="Times New Roman"/>
        </w:rPr>
        <w:t>ies in</w:t>
      </w:r>
      <w:r w:rsidRPr="006673B9">
        <w:rPr>
          <w:rFonts w:ascii="Times New Roman" w:hAnsi="Times New Roman" w:cs="Times New Roman"/>
        </w:rPr>
        <w:t xml:space="preserve"> appraising </w:t>
      </w:r>
      <w:r w:rsidR="005D260D">
        <w:rPr>
          <w:rFonts w:ascii="Times New Roman" w:hAnsi="Times New Roman" w:cs="Times New Roman"/>
        </w:rPr>
        <w:t>bridging therapies</w:t>
      </w:r>
      <w:r w:rsidR="007F001A">
        <w:rPr>
          <w:rFonts w:ascii="Times New Roman" w:hAnsi="Times New Roman" w:cs="Times New Roman"/>
        </w:rPr>
        <w:t>,</w:t>
      </w:r>
      <w:r w:rsidR="00ED747B">
        <w:rPr>
          <w:rFonts w:ascii="Times New Roman" w:hAnsi="Times New Roman" w:cs="Times New Roman"/>
        </w:rPr>
        <w:t xml:space="preserve"> where health gain </w:t>
      </w:r>
      <w:r w:rsidR="006B6282">
        <w:rPr>
          <w:rFonts w:ascii="Times New Roman" w:hAnsi="Times New Roman" w:cs="Times New Roman"/>
        </w:rPr>
        <w:t>is</w:t>
      </w:r>
      <w:r w:rsidR="00ED747B">
        <w:rPr>
          <w:rFonts w:ascii="Times New Roman" w:hAnsi="Times New Roman" w:cs="Times New Roman"/>
        </w:rPr>
        <w:t xml:space="preserve"> </w:t>
      </w:r>
      <w:r w:rsidR="00302232">
        <w:rPr>
          <w:rFonts w:ascii="Times New Roman" w:hAnsi="Times New Roman" w:cs="Times New Roman"/>
        </w:rPr>
        <w:t xml:space="preserve">principally </w:t>
      </w:r>
      <w:r w:rsidR="007F001A">
        <w:rPr>
          <w:rFonts w:ascii="Times New Roman" w:hAnsi="Times New Roman" w:cs="Times New Roman"/>
        </w:rPr>
        <w:t>achieved</w:t>
      </w:r>
      <w:r w:rsidR="00302232">
        <w:rPr>
          <w:rFonts w:ascii="Times New Roman" w:hAnsi="Times New Roman" w:cs="Times New Roman"/>
        </w:rPr>
        <w:t xml:space="preserve"> </w:t>
      </w:r>
      <w:r w:rsidR="00611DE0">
        <w:rPr>
          <w:rFonts w:ascii="Times New Roman" w:hAnsi="Times New Roman" w:cs="Times New Roman"/>
        </w:rPr>
        <w:t>by</w:t>
      </w:r>
      <w:r w:rsidR="00ED747B">
        <w:rPr>
          <w:rFonts w:ascii="Times New Roman" w:hAnsi="Times New Roman" w:cs="Times New Roman"/>
        </w:rPr>
        <w:t xml:space="preserve"> </w:t>
      </w:r>
      <w:r w:rsidR="00611DE0">
        <w:rPr>
          <w:rFonts w:ascii="Times New Roman" w:hAnsi="Times New Roman" w:cs="Times New Roman"/>
        </w:rPr>
        <w:t>a</w:t>
      </w:r>
      <w:r w:rsidR="00ED747B">
        <w:rPr>
          <w:rFonts w:ascii="Times New Roman" w:hAnsi="Times New Roman" w:cs="Times New Roman"/>
        </w:rPr>
        <w:t xml:space="preserve"> </w:t>
      </w:r>
      <w:r w:rsidR="007F001A">
        <w:rPr>
          <w:rFonts w:ascii="Times New Roman" w:hAnsi="Times New Roman" w:cs="Times New Roman"/>
        </w:rPr>
        <w:t>small</w:t>
      </w:r>
      <w:r w:rsidR="00302232">
        <w:rPr>
          <w:rFonts w:ascii="Times New Roman" w:hAnsi="Times New Roman" w:cs="Times New Roman"/>
        </w:rPr>
        <w:t xml:space="preserve"> </w:t>
      </w:r>
      <w:r w:rsidR="00ED747B">
        <w:rPr>
          <w:rFonts w:ascii="Times New Roman" w:hAnsi="Times New Roman" w:cs="Times New Roman"/>
        </w:rPr>
        <w:t xml:space="preserve">subset </w:t>
      </w:r>
      <w:r w:rsidR="00302232">
        <w:rPr>
          <w:rFonts w:ascii="Times New Roman" w:hAnsi="Times New Roman" w:cs="Times New Roman"/>
        </w:rPr>
        <w:t xml:space="preserve">of </w:t>
      </w:r>
      <w:r w:rsidR="00ED747B">
        <w:rPr>
          <w:rFonts w:ascii="Times New Roman" w:hAnsi="Times New Roman" w:cs="Times New Roman"/>
        </w:rPr>
        <w:t xml:space="preserve">patients </w:t>
      </w:r>
      <w:r w:rsidR="00611DE0">
        <w:rPr>
          <w:rFonts w:ascii="Times New Roman" w:hAnsi="Times New Roman" w:cs="Times New Roman"/>
        </w:rPr>
        <w:t xml:space="preserve">(those </w:t>
      </w:r>
      <w:r w:rsidR="00302232">
        <w:rPr>
          <w:rFonts w:ascii="Times New Roman" w:hAnsi="Times New Roman" w:cs="Times New Roman"/>
        </w:rPr>
        <w:t>eligible for curative therapy</w:t>
      </w:r>
      <w:r w:rsidR="00611DE0">
        <w:rPr>
          <w:rFonts w:ascii="Times New Roman" w:hAnsi="Times New Roman" w:cs="Times New Roman"/>
        </w:rPr>
        <w:t>)</w:t>
      </w:r>
      <w:r w:rsidR="00742B9B">
        <w:rPr>
          <w:rFonts w:ascii="Times New Roman" w:hAnsi="Times New Roman" w:cs="Times New Roman"/>
        </w:rPr>
        <w:t>.</w:t>
      </w:r>
      <w:r w:rsidR="005D260D">
        <w:rPr>
          <w:rFonts w:ascii="Times New Roman" w:hAnsi="Times New Roman" w:cs="Times New Roman"/>
        </w:rPr>
        <w:t xml:space="preserve"> </w:t>
      </w:r>
      <w:r w:rsidR="00ED0263">
        <w:rPr>
          <w:rFonts w:ascii="Times New Roman" w:hAnsi="Times New Roman" w:cs="Times New Roman"/>
        </w:rPr>
        <w:t>T</w:t>
      </w:r>
      <w:r w:rsidR="00D45364">
        <w:rPr>
          <w:rFonts w:ascii="Times New Roman" w:hAnsi="Times New Roman" w:cs="Times New Roman"/>
        </w:rPr>
        <w:t>he</w:t>
      </w:r>
      <w:r w:rsidR="00302232">
        <w:rPr>
          <w:rFonts w:ascii="Times New Roman" w:hAnsi="Times New Roman" w:cs="Times New Roman"/>
        </w:rPr>
        <w:t xml:space="preserve"> </w:t>
      </w:r>
      <w:r w:rsidR="008F34B5">
        <w:rPr>
          <w:rFonts w:ascii="Times New Roman" w:hAnsi="Times New Roman" w:cs="Times New Roman"/>
        </w:rPr>
        <w:t xml:space="preserve">value of the bridge therapy is </w:t>
      </w:r>
      <w:r w:rsidR="00CC5768">
        <w:rPr>
          <w:rFonts w:ascii="Times New Roman" w:hAnsi="Times New Roman" w:cs="Times New Roman"/>
        </w:rPr>
        <w:t xml:space="preserve">primarily </w:t>
      </w:r>
      <w:r w:rsidR="008F34B5">
        <w:rPr>
          <w:rFonts w:ascii="Times New Roman" w:hAnsi="Times New Roman" w:cs="Times New Roman"/>
        </w:rPr>
        <w:t>determined by</w:t>
      </w:r>
      <w:r w:rsidR="00D45364">
        <w:rPr>
          <w:rFonts w:ascii="Times New Roman" w:hAnsi="Times New Roman" w:cs="Times New Roman"/>
        </w:rPr>
        <w:t xml:space="preserve"> the</w:t>
      </w:r>
      <w:r w:rsidR="00164FF0">
        <w:rPr>
          <w:rFonts w:ascii="Times New Roman" w:hAnsi="Times New Roman" w:cs="Times New Roman"/>
        </w:rPr>
        <w:t xml:space="preserve"> HSCT</w:t>
      </w:r>
      <w:r w:rsidR="00D45364">
        <w:rPr>
          <w:rFonts w:ascii="Times New Roman" w:hAnsi="Times New Roman" w:cs="Times New Roman"/>
        </w:rPr>
        <w:t xml:space="preserve"> decision making process</w:t>
      </w:r>
      <w:r w:rsidR="00CC5768">
        <w:rPr>
          <w:rFonts w:ascii="Times New Roman" w:hAnsi="Times New Roman" w:cs="Times New Roman"/>
        </w:rPr>
        <w:t xml:space="preserve"> </w:t>
      </w:r>
      <w:r w:rsidR="008F34B5">
        <w:rPr>
          <w:rFonts w:ascii="Times New Roman" w:hAnsi="Times New Roman" w:cs="Times New Roman"/>
        </w:rPr>
        <w:t>and</w:t>
      </w:r>
      <w:r w:rsidR="00CC5768">
        <w:rPr>
          <w:rFonts w:ascii="Times New Roman" w:hAnsi="Times New Roman" w:cs="Times New Roman"/>
        </w:rPr>
        <w:t xml:space="preserve"> the</w:t>
      </w:r>
      <w:r w:rsidR="008F34B5">
        <w:rPr>
          <w:rFonts w:ascii="Times New Roman" w:hAnsi="Times New Roman" w:cs="Times New Roman"/>
        </w:rPr>
        <w:t xml:space="preserve"> benefit</w:t>
      </w:r>
      <w:r w:rsidR="008A796E">
        <w:rPr>
          <w:rFonts w:ascii="Times New Roman" w:hAnsi="Times New Roman" w:cs="Times New Roman"/>
        </w:rPr>
        <w:t>s</w:t>
      </w:r>
      <w:r w:rsidR="0079306E">
        <w:rPr>
          <w:rFonts w:ascii="Times New Roman" w:hAnsi="Times New Roman" w:cs="Times New Roman"/>
        </w:rPr>
        <w:t xml:space="preserve"> offered by </w:t>
      </w:r>
      <w:r w:rsidR="00164FF0">
        <w:rPr>
          <w:rFonts w:ascii="Times New Roman" w:hAnsi="Times New Roman" w:cs="Times New Roman"/>
        </w:rPr>
        <w:t>the procedure</w:t>
      </w:r>
      <w:r w:rsidR="008F34B5">
        <w:rPr>
          <w:rFonts w:ascii="Times New Roman" w:hAnsi="Times New Roman" w:cs="Times New Roman"/>
        </w:rPr>
        <w:t>.  Long term survival data from HSCT</w:t>
      </w:r>
      <w:r w:rsidR="00F67E3F">
        <w:rPr>
          <w:rFonts w:ascii="Times New Roman" w:hAnsi="Times New Roman" w:cs="Times New Roman"/>
        </w:rPr>
        <w:t>, a technology that has significantly altered in the past few decades, is highly uncertain</w:t>
      </w:r>
      <w:r w:rsidR="00D45364">
        <w:rPr>
          <w:rFonts w:ascii="Times New Roman" w:hAnsi="Times New Roman" w:cs="Times New Roman"/>
        </w:rPr>
        <w:t xml:space="preserve"> </w:t>
      </w:r>
      <w:r w:rsidR="00F67E3F">
        <w:rPr>
          <w:rFonts w:ascii="Times New Roman" w:hAnsi="Times New Roman" w:cs="Times New Roman"/>
        </w:rPr>
        <w:t>even with</w:t>
      </w:r>
      <w:r w:rsidR="00302232">
        <w:rPr>
          <w:rFonts w:ascii="Times New Roman" w:hAnsi="Times New Roman" w:cs="Times New Roman"/>
        </w:rPr>
        <w:t xml:space="preserve"> the most up to date e</w:t>
      </w:r>
      <w:r w:rsidR="00302232" w:rsidRPr="00302232">
        <w:rPr>
          <w:rFonts w:ascii="Times New Roman" w:hAnsi="Times New Roman" w:cs="Times New Roman"/>
        </w:rPr>
        <w:t>xisting epidemiological evidence</w:t>
      </w:r>
      <w:r w:rsidR="00F41A88">
        <w:rPr>
          <w:rFonts w:ascii="Times New Roman" w:hAnsi="Times New Roman" w:cs="Times New Roman"/>
        </w:rPr>
        <w:t xml:space="preserve"> and expert clinical advice</w:t>
      </w:r>
      <w:r w:rsidR="0071593A">
        <w:rPr>
          <w:rFonts w:ascii="Times New Roman" w:hAnsi="Times New Roman" w:cs="Times New Roman"/>
        </w:rPr>
        <w:t xml:space="preserve">. </w:t>
      </w:r>
    </w:p>
    <w:p w14:paraId="6F8AD92C" w14:textId="5A3BD1DF" w:rsidR="005830C1" w:rsidRDefault="00147BB3" w:rsidP="00FC4392">
      <w:pPr>
        <w:spacing w:before="200" w:line="360" w:lineRule="auto"/>
        <w:ind w:firstLine="720"/>
        <w:rPr>
          <w:rFonts w:ascii="Times New Roman" w:hAnsi="Times New Roman" w:cs="Times New Roman"/>
        </w:rPr>
      </w:pPr>
      <w:r w:rsidRPr="00C36DED">
        <w:rPr>
          <w:rFonts w:ascii="Times New Roman" w:hAnsi="Times New Roman" w:cs="Times New Roman"/>
        </w:rPr>
        <w:t xml:space="preserve">This </w:t>
      </w:r>
      <w:r w:rsidR="00015EB3">
        <w:rPr>
          <w:rFonts w:ascii="Times New Roman" w:hAnsi="Times New Roman" w:cs="Times New Roman"/>
        </w:rPr>
        <w:t>appraisal</w:t>
      </w:r>
      <w:r w:rsidRPr="00C36DED">
        <w:rPr>
          <w:rFonts w:ascii="Times New Roman" w:hAnsi="Times New Roman" w:cs="Times New Roman"/>
        </w:rPr>
        <w:t xml:space="preserve"> also highlight</w:t>
      </w:r>
      <w:r w:rsidR="00BB38FF">
        <w:rPr>
          <w:rFonts w:ascii="Times New Roman" w:hAnsi="Times New Roman" w:cs="Times New Roman"/>
        </w:rPr>
        <w:t>s</w:t>
      </w:r>
      <w:r w:rsidRPr="00C36DED">
        <w:rPr>
          <w:rFonts w:ascii="Times New Roman" w:hAnsi="Times New Roman" w:cs="Times New Roman"/>
        </w:rPr>
        <w:t xml:space="preserve"> the role</w:t>
      </w:r>
      <w:r w:rsidR="00AE2592">
        <w:rPr>
          <w:rFonts w:ascii="Times New Roman" w:hAnsi="Times New Roman" w:cs="Times New Roman"/>
        </w:rPr>
        <w:t xml:space="preserve"> </w:t>
      </w:r>
      <w:r w:rsidR="00BB38FF">
        <w:rPr>
          <w:rFonts w:ascii="Times New Roman" w:hAnsi="Times New Roman" w:cs="Times New Roman"/>
        </w:rPr>
        <w:t xml:space="preserve">that </w:t>
      </w:r>
      <w:r w:rsidR="00AE2592">
        <w:rPr>
          <w:rFonts w:ascii="Times New Roman" w:hAnsi="Times New Roman" w:cs="Times New Roman"/>
        </w:rPr>
        <w:t>the</w:t>
      </w:r>
      <w:r>
        <w:rPr>
          <w:rFonts w:ascii="Times New Roman" w:hAnsi="Times New Roman" w:cs="Times New Roman"/>
        </w:rPr>
        <w:t xml:space="preserve"> appeal </w:t>
      </w:r>
      <w:r w:rsidR="00AE2592">
        <w:rPr>
          <w:rFonts w:ascii="Times New Roman" w:hAnsi="Times New Roman" w:cs="Times New Roman"/>
        </w:rPr>
        <w:t>process</w:t>
      </w:r>
      <w:r>
        <w:rPr>
          <w:rFonts w:ascii="Times New Roman" w:hAnsi="Times New Roman" w:cs="Times New Roman"/>
        </w:rPr>
        <w:t xml:space="preserve"> </w:t>
      </w:r>
      <w:r w:rsidR="00AE2592">
        <w:rPr>
          <w:rFonts w:ascii="Times New Roman" w:hAnsi="Times New Roman" w:cs="Times New Roman"/>
        </w:rPr>
        <w:t>can have</w:t>
      </w:r>
      <w:r>
        <w:rPr>
          <w:rFonts w:ascii="Times New Roman" w:hAnsi="Times New Roman" w:cs="Times New Roman"/>
        </w:rPr>
        <w:t xml:space="preserve"> </w:t>
      </w:r>
      <w:r w:rsidRPr="00C36DED">
        <w:rPr>
          <w:rFonts w:ascii="Times New Roman" w:hAnsi="Times New Roman" w:cs="Times New Roman"/>
        </w:rPr>
        <w:t>in formulating guidance. In this case</w:t>
      </w:r>
      <w:r w:rsidR="00B87A54">
        <w:rPr>
          <w:rFonts w:ascii="Times New Roman" w:hAnsi="Times New Roman" w:cs="Times New Roman"/>
        </w:rPr>
        <w:t>,</w:t>
      </w:r>
      <w:r>
        <w:rPr>
          <w:rFonts w:ascii="Times New Roman" w:hAnsi="Times New Roman" w:cs="Times New Roman"/>
        </w:rPr>
        <w:t xml:space="preserve"> preliminary guidance was overturned by post-appeal proceedings</w:t>
      </w:r>
      <w:r w:rsidR="000D53FB">
        <w:rPr>
          <w:rFonts w:ascii="Times New Roman" w:hAnsi="Times New Roman" w:cs="Times New Roman"/>
        </w:rPr>
        <w:t xml:space="preserve"> </w:t>
      </w:r>
      <w:r w:rsidR="00015EB3">
        <w:rPr>
          <w:rFonts w:ascii="Times New Roman" w:hAnsi="Times New Roman" w:cs="Times New Roman"/>
        </w:rPr>
        <w:t xml:space="preserve">with committee preferred assumptions updated in light of </w:t>
      </w:r>
      <w:r w:rsidR="00F41A88">
        <w:rPr>
          <w:rFonts w:ascii="Times New Roman" w:hAnsi="Times New Roman" w:cs="Times New Roman"/>
        </w:rPr>
        <w:t xml:space="preserve">new forms of evidence and additional </w:t>
      </w:r>
      <w:r w:rsidR="000D53FB">
        <w:rPr>
          <w:rFonts w:ascii="Times New Roman" w:hAnsi="Times New Roman" w:cs="Times New Roman"/>
        </w:rPr>
        <w:t>expert c</w:t>
      </w:r>
      <w:r w:rsidR="00015EB3">
        <w:rPr>
          <w:rFonts w:ascii="Times New Roman" w:hAnsi="Times New Roman" w:cs="Times New Roman"/>
        </w:rPr>
        <w:t>linical advice</w:t>
      </w:r>
      <w:r w:rsidR="005E214C">
        <w:rPr>
          <w:rFonts w:ascii="Times New Roman" w:hAnsi="Times New Roman" w:cs="Times New Roman"/>
        </w:rPr>
        <w:t xml:space="preserve"> </w:t>
      </w:r>
      <w:r w:rsidR="00771828">
        <w:rPr>
          <w:rFonts w:ascii="Times New Roman" w:hAnsi="Times New Roman" w:cs="Times New Roman"/>
        </w:rPr>
        <w:t>and</w:t>
      </w:r>
      <w:r w:rsidR="005E214C">
        <w:rPr>
          <w:rFonts w:ascii="Times New Roman" w:hAnsi="Times New Roman" w:cs="Times New Roman"/>
        </w:rPr>
        <w:t xml:space="preserve"> the </w:t>
      </w:r>
      <w:r w:rsidR="00033D2D">
        <w:rPr>
          <w:rFonts w:ascii="Times New Roman" w:hAnsi="Times New Roman" w:cs="Times New Roman"/>
        </w:rPr>
        <w:t>company</w:t>
      </w:r>
      <w:r w:rsidR="00944935">
        <w:rPr>
          <w:rFonts w:ascii="Times New Roman" w:hAnsi="Times New Roman" w:cs="Times New Roman"/>
        </w:rPr>
        <w:t xml:space="preserve"> having</w:t>
      </w:r>
      <w:r w:rsidR="00033D2D">
        <w:rPr>
          <w:rFonts w:ascii="Times New Roman" w:hAnsi="Times New Roman" w:cs="Times New Roman"/>
        </w:rPr>
        <w:t xml:space="preserve"> </w:t>
      </w:r>
      <w:r w:rsidR="005E214C">
        <w:rPr>
          <w:rFonts w:ascii="Times New Roman" w:hAnsi="Times New Roman" w:cs="Times New Roman"/>
        </w:rPr>
        <w:t>submitt</w:t>
      </w:r>
      <w:r w:rsidR="00944935">
        <w:rPr>
          <w:rFonts w:ascii="Times New Roman" w:hAnsi="Times New Roman" w:cs="Times New Roman"/>
        </w:rPr>
        <w:t>ed</w:t>
      </w:r>
      <w:r w:rsidR="00033D2D">
        <w:rPr>
          <w:rFonts w:ascii="Times New Roman" w:hAnsi="Times New Roman" w:cs="Times New Roman"/>
        </w:rPr>
        <w:t xml:space="preserve"> a</w:t>
      </w:r>
      <w:r w:rsidR="0085185C">
        <w:rPr>
          <w:rFonts w:ascii="Times New Roman" w:hAnsi="Times New Roman" w:cs="Times New Roman"/>
        </w:rPr>
        <w:t>n improved</w:t>
      </w:r>
      <w:r w:rsidR="00033D2D">
        <w:rPr>
          <w:rFonts w:ascii="Times New Roman" w:hAnsi="Times New Roman" w:cs="Times New Roman"/>
        </w:rPr>
        <w:t xml:space="preserve"> PAS</w:t>
      </w:r>
      <w:r>
        <w:rPr>
          <w:rFonts w:ascii="Times New Roman" w:hAnsi="Times New Roman" w:cs="Times New Roman"/>
        </w:rPr>
        <w:t>.</w:t>
      </w:r>
      <w:r w:rsidRPr="00C36DED">
        <w:rPr>
          <w:rFonts w:ascii="Times New Roman" w:hAnsi="Times New Roman" w:cs="Times New Roman"/>
        </w:rPr>
        <w:t xml:space="preserve"> </w:t>
      </w:r>
      <w:r w:rsidR="005830C1">
        <w:rPr>
          <w:rFonts w:ascii="Times New Roman" w:hAnsi="Times New Roman" w:cs="Times New Roman"/>
        </w:rPr>
        <w:t>It</w:t>
      </w:r>
      <w:r w:rsidR="005830C1" w:rsidRPr="0079306E">
        <w:rPr>
          <w:rFonts w:ascii="Times New Roman" w:hAnsi="Times New Roman" w:cs="Times New Roman"/>
        </w:rPr>
        <w:t xml:space="preserve"> </w:t>
      </w:r>
      <w:r w:rsidR="005830C1">
        <w:rPr>
          <w:rFonts w:ascii="Times New Roman" w:hAnsi="Times New Roman" w:cs="Times New Roman"/>
        </w:rPr>
        <w:t xml:space="preserve">should also be noted </w:t>
      </w:r>
      <w:r w:rsidR="00BD0871">
        <w:rPr>
          <w:rFonts w:ascii="Times New Roman" w:hAnsi="Times New Roman" w:cs="Times New Roman"/>
        </w:rPr>
        <w:t xml:space="preserve">that </w:t>
      </w:r>
      <w:r w:rsidR="00597243">
        <w:rPr>
          <w:rFonts w:ascii="Times New Roman" w:hAnsi="Times New Roman" w:cs="Times New Roman"/>
        </w:rPr>
        <w:t>t</w:t>
      </w:r>
      <w:r w:rsidR="00597243" w:rsidRPr="00597243">
        <w:rPr>
          <w:rFonts w:ascii="Times New Roman" w:hAnsi="Times New Roman" w:cs="Times New Roman"/>
          <w:bCs/>
        </w:rPr>
        <w:t>h</w:t>
      </w:r>
      <w:r w:rsidR="00BD0871">
        <w:rPr>
          <w:rFonts w:ascii="Times New Roman" w:hAnsi="Times New Roman" w:cs="Times New Roman"/>
          <w:bCs/>
        </w:rPr>
        <w:t>is</w:t>
      </w:r>
      <w:r w:rsidR="00597243" w:rsidRPr="00597243">
        <w:rPr>
          <w:rFonts w:ascii="Times New Roman" w:hAnsi="Times New Roman" w:cs="Times New Roman"/>
          <w:bCs/>
        </w:rPr>
        <w:t xml:space="preserve"> appraisal marked the issues faced w</w:t>
      </w:r>
      <w:r w:rsidR="00597243">
        <w:rPr>
          <w:rFonts w:ascii="Times New Roman" w:hAnsi="Times New Roman" w:cs="Times New Roman"/>
          <w:bCs/>
        </w:rPr>
        <w:t>hen</w:t>
      </w:r>
      <w:r w:rsidR="00597243" w:rsidRPr="00597243">
        <w:rPr>
          <w:rFonts w:ascii="Times New Roman" w:hAnsi="Times New Roman" w:cs="Times New Roman"/>
          <w:bCs/>
        </w:rPr>
        <w:t xml:space="preserve"> multiple appraisals for the same indication run in tandem</w:t>
      </w:r>
      <w:r w:rsidR="00597243">
        <w:rPr>
          <w:rFonts w:ascii="Times New Roman" w:hAnsi="Times New Roman" w:cs="Times New Roman"/>
          <w:bCs/>
        </w:rPr>
        <w:t>.</w:t>
      </w:r>
      <w:r w:rsidR="00597243" w:rsidRPr="00597243">
        <w:rPr>
          <w:rFonts w:ascii="Times New Roman" w:hAnsi="Times New Roman" w:cs="Times New Roman"/>
          <w:bCs/>
        </w:rPr>
        <w:t xml:space="preserve"> </w:t>
      </w:r>
      <w:proofErr w:type="spellStart"/>
      <w:r w:rsidR="00597243">
        <w:rPr>
          <w:rFonts w:ascii="Times New Roman" w:hAnsi="Times New Roman" w:cs="Times New Roman"/>
        </w:rPr>
        <w:t>B</w:t>
      </w:r>
      <w:r w:rsidR="00FC4392">
        <w:rPr>
          <w:rFonts w:ascii="Times New Roman" w:hAnsi="Times New Roman" w:cs="Times New Roman"/>
        </w:rPr>
        <w:t>linatumomab</w:t>
      </w:r>
      <w:proofErr w:type="spellEnd"/>
      <w:r w:rsidR="00FC4392">
        <w:rPr>
          <w:rFonts w:ascii="Times New Roman" w:hAnsi="Times New Roman" w:cs="Times New Roman"/>
        </w:rPr>
        <w:t xml:space="preserve">, </w:t>
      </w:r>
      <w:r w:rsidR="002A0B5D">
        <w:rPr>
          <w:rFonts w:ascii="Times New Roman" w:hAnsi="Times New Roman" w:cs="Times New Roman"/>
        </w:rPr>
        <w:t xml:space="preserve">which is a licensed </w:t>
      </w:r>
      <w:r w:rsidR="00FC4392" w:rsidRPr="00FC4392">
        <w:rPr>
          <w:rFonts w:ascii="Times New Roman" w:hAnsi="Times New Roman" w:cs="Times New Roman"/>
        </w:rPr>
        <w:t xml:space="preserve">treatment </w:t>
      </w:r>
      <w:r w:rsidR="002A0B5D">
        <w:rPr>
          <w:rFonts w:ascii="Times New Roman" w:hAnsi="Times New Roman" w:cs="Times New Roman"/>
        </w:rPr>
        <w:t>for</w:t>
      </w:r>
      <w:r w:rsidR="00FC4392" w:rsidRPr="00FC4392">
        <w:rPr>
          <w:rFonts w:ascii="Times New Roman" w:hAnsi="Times New Roman" w:cs="Times New Roman"/>
        </w:rPr>
        <w:t xml:space="preserve"> adults with </w:t>
      </w:r>
      <w:proofErr w:type="spellStart"/>
      <w:r w:rsidR="002A0B5D">
        <w:rPr>
          <w:rFonts w:ascii="Times New Roman" w:hAnsi="Times New Roman" w:cs="Times New Roman"/>
        </w:rPr>
        <w:t>Ph</w:t>
      </w:r>
      <w:proofErr w:type="spellEnd"/>
      <w:r w:rsidR="002A0B5D">
        <w:rPr>
          <w:rFonts w:ascii="Times New Roman" w:hAnsi="Times New Roman" w:cs="Times New Roman"/>
        </w:rPr>
        <w:t xml:space="preserve">- R/R B-cell ALL, </w:t>
      </w:r>
      <w:r w:rsidR="005F67F8">
        <w:rPr>
          <w:rFonts w:ascii="Times New Roman" w:hAnsi="Times New Roman" w:cs="Times New Roman"/>
        </w:rPr>
        <w:t xml:space="preserve">was recommended by NICE </w:t>
      </w:r>
      <w:r w:rsidR="00FC4392">
        <w:rPr>
          <w:rFonts w:ascii="Times New Roman" w:hAnsi="Times New Roman" w:cs="Times New Roman"/>
        </w:rPr>
        <w:t>during the appraisal</w:t>
      </w:r>
      <w:r w:rsidR="0079306E">
        <w:rPr>
          <w:rFonts w:ascii="Times New Roman" w:hAnsi="Times New Roman" w:cs="Times New Roman"/>
        </w:rPr>
        <w:t xml:space="preserve"> for </w:t>
      </w:r>
      <w:proofErr w:type="spellStart"/>
      <w:r w:rsidR="0079306E">
        <w:rPr>
          <w:rFonts w:ascii="Times New Roman" w:hAnsi="Times New Roman" w:cs="Times New Roman"/>
        </w:rPr>
        <w:t>inotuzumab</w:t>
      </w:r>
      <w:proofErr w:type="spellEnd"/>
      <w:r w:rsidR="00FC4392">
        <w:rPr>
          <w:rFonts w:ascii="Times New Roman" w:hAnsi="Times New Roman" w:cs="Times New Roman"/>
        </w:rPr>
        <w:t xml:space="preserve">. </w:t>
      </w:r>
      <w:r w:rsidR="002A0B5D">
        <w:rPr>
          <w:rFonts w:ascii="Times New Roman" w:hAnsi="Times New Roman" w:cs="Times New Roman"/>
        </w:rPr>
        <w:t xml:space="preserve">Since </w:t>
      </w:r>
      <w:proofErr w:type="spellStart"/>
      <w:r w:rsidR="002A0B5D">
        <w:rPr>
          <w:rFonts w:ascii="Times New Roman" w:hAnsi="Times New Roman" w:cs="Times New Roman"/>
        </w:rPr>
        <w:t>blinatumomab</w:t>
      </w:r>
      <w:proofErr w:type="spellEnd"/>
      <w:r w:rsidR="002A0B5D">
        <w:rPr>
          <w:rFonts w:ascii="Times New Roman" w:hAnsi="Times New Roman" w:cs="Times New Roman"/>
        </w:rPr>
        <w:t xml:space="preserve"> was not a recommended therapy at the beginning of the appraisal process it </w:t>
      </w:r>
      <w:r w:rsidR="00FC4392">
        <w:rPr>
          <w:rFonts w:ascii="Times New Roman" w:hAnsi="Times New Roman" w:cs="Times New Roman"/>
        </w:rPr>
        <w:t xml:space="preserve">was </w:t>
      </w:r>
      <w:r w:rsidR="005F67F8">
        <w:rPr>
          <w:rFonts w:ascii="Times New Roman" w:hAnsi="Times New Roman" w:cs="Times New Roman"/>
        </w:rPr>
        <w:t>not included as a comparator</w:t>
      </w:r>
      <w:r w:rsidR="002A0B5D">
        <w:rPr>
          <w:rFonts w:ascii="Times New Roman" w:hAnsi="Times New Roman" w:cs="Times New Roman"/>
        </w:rPr>
        <w:t>,</w:t>
      </w:r>
      <w:r w:rsidR="005F67F8">
        <w:rPr>
          <w:rFonts w:ascii="Times New Roman" w:hAnsi="Times New Roman" w:cs="Times New Roman"/>
        </w:rPr>
        <w:t xml:space="preserve"> </w:t>
      </w:r>
      <w:r w:rsidR="002A0B5D">
        <w:rPr>
          <w:rFonts w:ascii="Times New Roman" w:hAnsi="Times New Roman" w:cs="Times New Roman"/>
        </w:rPr>
        <w:t xml:space="preserve">meaning </w:t>
      </w:r>
      <w:r w:rsidR="005F67F8">
        <w:rPr>
          <w:rFonts w:ascii="Times New Roman" w:hAnsi="Times New Roman" w:cs="Times New Roman"/>
        </w:rPr>
        <w:t xml:space="preserve">conclusions about the cost-effectiveness of </w:t>
      </w:r>
      <w:proofErr w:type="spellStart"/>
      <w:r w:rsidR="005F67F8">
        <w:rPr>
          <w:rFonts w:ascii="Times New Roman" w:hAnsi="Times New Roman" w:cs="Times New Roman"/>
        </w:rPr>
        <w:t>inotuzumab</w:t>
      </w:r>
      <w:proofErr w:type="spellEnd"/>
      <w:r w:rsidR="005F67F8">
        <w:rPr>
          <w:rFonts w:ascii="Times New Roman" w:hAnsi="Times New Roman" w:cs="Times New Roman"/>
        </w:rPr>
        <w:t xml:space="preserve"> versus </w:t>
      </w:r>
      <w:proofErr w:type="spellStart"/>
      <w:r w:rsidR="005F67F8">
        <w:rPr>
          <w:rFonts w:ascii="Times New Roman" w:hAnsi="Times New Roman" w:cs="Times New Roman"/>
        </w:rPr>
        <w:t>blinatumomab</w:t>
      </w:r>
      <w:proofErr w:type="spellEnd"/>
      <w:r w:rsidR="005F67F8">
        <w:rPr>
          <w:rFonts w:ascii="Times New Roman" w:hAnsi="Times New Roman" w:cs="Times New Roman"/>
        </w:rPr>
        <w:t xml:space="preserve"> </w:t>
      </w:r>
      <w:r w:rsidR="00A01729">
        <w:rPr>
          <w:rFonts w:ascii="Times New Roman" w:hAnsi="Times New Roman" w:cs="Times New Roman"/>
        </w:rPr>
        <w:t>can</w:t>
      </w:r>
      <w:r w:rsidR="00E64BB8">
        <w:rPr>
          <w:rFonts w:ascii="Times New Roman" w:hAnsi="Times New Roman" w:cs="Times New Roman"/>
        </w:rPr>
        <w:t>not</w:t>
      </w:r>
      <w:r w:rsidR="00A01729">
        <w:rPr>
          <w:rFonts w:ascii="Times New Roman" w:hAnsi="Times New Roman" w:cs="Times New Roman"/>
        </w:rPr>
        <w:t xml:space="preserve"> be made for this population.</w:t>
      </w:r>
      <w:r w:rsidR="005830C1">
        <w:rPr>
          <w:rFonts w:ascii="Times New Roman" w:hAnsi="Times New Roman" w:cs="Times New Roman"/>
        </w:rPr>
        <w:t xml:space="preserve"> </w:t>
      </w:r>
      <w:r w:rsidR="0056736A" w:rsidRPr="0056736A">
        <w:rPr>
          <w:rFonts w:ascii="Times New Roman" w:hAnsi="Times New Roman" w:cs="Times New Roman"/>
        </w:rPr>
        <w:t xml:space="preserve">Instead the company used NICE final guidance for </w:t>
      </w:r>
      <w:proofErr w:type="spellStart"/>
      <w:r w:rsidR="0056736A" w:rsidRPr="0056736A">
        <w:rPr>
          <w:rFonts w:ascii="Times New Roman" w:hAnsi="Times New Roman" w:cs="Times New Roman"/>
        </w:rPr>
        <w:t>blinatumomab</w:t>
      </w:r>
      <w:proofErr w:type="spellEnd"/>
      <w:r w:rsidR="0056736A" w:rsidRPr="0056736A">
        <w:rPr>
          <w:rFonts w:ascii="Times New Roman" w:hAnsi="Times New Roman" w:cs="Times New Roman"/>
        </w:rPr>
        <w:t xml:space="preserve"> as a means of justifying preferred assumptions in relation to </w:t>
      </w:r>
      <w:proofErr w:type="spellStart"/>
      <w:r w:rsidR="0056736A" w:rsidRPr="0056736A">
        <w:rPr>
          <w:rFonts w:ascii="Times New Roman" w:hAnsi="Times New Roman" w:cs="Times New Roman"/>
        </w:rPr>
        <w:t>inotuzumab</w:t>
      </w:r>
      <w:proofErr w:type="spellEnd"/>
      <w:r w:rsidR="0056736A" w:rsidRPr="0056736A">
        <w:rPr>
          <w:rFonts w:ascii="Times New Roman" w:hAnsi="Times New Roman" w:cs="Times New Roman"/>
        </w:rPr>
        <w:t xml:space="preserve">, despite the appraisals using different modelling approaches and having different underlying evidence bases (e.g. overall survival was significantly longer in the </w:t>
      </w:r>
      <w:proofErr w:type="spellStart"/>
      <w:r w:rsidR="0056736A" w:rsidRPr="0056736A">
        <w:rPr>
          <w:rFonts w:ascii="Times New Roman" w:hAnsi="Times New Roman" w:cs="Times New Roman"/>
        </w:rPr>
        <w:t>blinatumomab</w:t>
      </w:r>
      <w:proofErr w:type="spellEnd"/>
      <w:r w:rsidR="0056736A" w:rsidRPr="0056736A">
        <w:rPr>
          <w:rFonts w:ascii="Times New Roman" w:hAnsi="Times New Roman" w:cs="Times New Roman"/>
        </w:rPr>
        <w:t xml:space="preserve"> group than </w:t>
      </w:r>
      <w:proofErr w:type="spellStart"/>
      <w:r w:rsidR="0056736A" w:rsidRPr="0056736A">
        <w:rPr>
          <w:rFonts w:ascii="Times New Roman" w:hAnsi="Times New Roman" w:cs="Times New Roman"/>
        </w:rPr>
        <w:t>SoC</w:t>
      </w:r>
      <w:proofErr w:type="spellEnd"/>
      <w:r w:rsidR="0056736A" w:rsidRPr="0056736A">
        <w:rPr>
          <w:rFonts w:ascii="Times New Roman" w:hAnsi="Times New Roman" w:cs="Times New Roman"/>
        </w:rPr>
        <w:t xml:space="preserve">). </w:t>
      </w:r>
      <w:r w:rsidR="0056736A">
        <w:rPr>
          <w:rFonts w:ascii="Times New Roman" w:hAnsi="Times New Roman" w:cs="Times New Roman"/>
        </w:rPr>
        <w:t>Despite considerable discussion, c</w:t>
      </w:r>
      <w:r w:rsidR="0056736A" w:rsidRPr="0056736A">
        <w:rPr>
          <w:rFonts w:ascii="Times New Roman" w:hAnsi="Times New Roman" w:cs="Times New Roman"/>
        </w:rPr>
        <w:t>ommittee preferred assumptions were not altered as a result of the comparison</w:t>
      </w:r>
      <w:r w:rsidR="0085185C">
        <w:rPr>
          <w:rFonts w:ascii="Times New Roman" w:hAnsi="Times New Roman" w:cs="Times New Roman"/>
        </w:rPr>
        <w:t xml:space="preserve"> between appraisals</w:t>
      </w:r>
      <w:r w:rsidR="0056736A" w:rsidRPr="0056736A">
        <w:rPr>
          <w:rFonts w:ascii="Times New Roman" w:hAnsi="Times New Roman" w:cs="Times New Roman"/>
        </w:rPr>
        <w:t>.</w:t>
      </w:r>
    </w:p>
    <w:p w14:paraId="03B91197" w14:textId="5C16B0B9" w:rsidR="003F7BFD" w:rsidRDefault="0097195F" w:rsidP="005830C1">
      <w:pPr>
        <w:spacing w:before="200" w:line="360" w:lineRule="auto"/>
        <w:ind w:firstLine="720"/>
        <w:rPr>
          <w:rFonts w:ascii="Times New Roman" w:hAnsi="Times New Roman" w:cs="Times New Roman"/>
          <w:bCs/>
        </w:rPr>
      </w:pPr>
      <w:r>
        <w:rPr>
          <w:rFonts w:ascii="Times New Roman" w:hAnsi="Times New Roman" w:cs="Times New Roman"/>
        </w:rPr>
        <w:t>Overall</w:t>
      </w:r>
      <w:r w:rsidR="003F7BFD">
        <w:rPr>
          <w:rFonts w:ascii="Times New Roman" w:hAnsi="Times New Roman" w:cs="Times New Roman"/>
        </w:rPr>
        <w:t>, the ERG was able to identify a variety of important limitations in the data and the economic model</w:t>
      </w:r>
      <w:r w:rsidR="00BD0871">
        <w:rPr>
          <w:rFonts w:ascii="Times New Roman" w:hAnsi="Times New Roman" w:cs="Times New Roman"/>
        </w:rPr>
        <w:t>;</w:t>
      </w:r>
      <w:r w:rsidR="003F7BFD">
        <w:rPr>
          <w:rFonts w:ascii="Times New Roman" w:hAnsi="Times New Roman" w:cs="Times New Roman"/>
        </w:rPr>
        <w:t xml:space="preserve"> </w:t>
      </w:r>
      <w:r w:rsidR="00BD0871">
        <w:rPr>
          <w:rFonts w:ascii="Times New Roman" w:hAnsi="Times New Roman" w:cs="Times New Roman"/>
        </w:rPr>
        <w:t>this</w:t>
      </w:r>
      <w:r w:rsidR="003F7BFD">
        <w:rPr>
          <w:rFonts w:ascii="Times New Roman" w:hAnsi="Times New Roman" w:cs="Times New Roman"/>
        </w:rPr>
        <w:t xml:space="preserve"> led the NICE Appraisal Committee’s preferred assumptions and initial est</w:t>
      </w:r>
      <w:r w:rsidR="00113D0B">
        <w:rPr>
          <w:rFonts w:ascii="Times New Roman" w:hAnsi="Times New Roman" w:cs="Times New Roman"/>
        </w:rPr>
        <w:t xml:space="preserve">imates of cost-effectiveness to differ </w:t>
      </w:r>
      <w:r w:rsidR="003F7BFD">
        <w:rPr>
          <w:rFonts w:ascii="Times New Roman" w:hAnsi="Times New Roman" w:cs="Times New Roman"/>
        </w:rPr>
        <w:t xml:space="preserve">widely from those reported by the company.  This reinforces the importance </w:t>
      </w:r>
      <w:r w:rsidR="003F7BFD" w:rsidRPr="00F81726">
        <w:rPr>
          <w:rFonts w:ascii="Times New Roman" w:hAnsi="Times New Roman" w:cs="Times New Roman"/>
          <w:bCs/>
        </w:rPr>
        <w:t>of recommendations being informed by an independent critique of the evidence</w:t>
      </w:r>
      <w:r w:rsidR="003F7BFD">
        <w:rPr>
          <w:rFonts w:ascii="Times New Roman" w:hAnsi="Times New Roman" w:cs="Times New Roman"/>
          <w:bCs/>
        </w:rPr>
        <w:t xml:space="preserve">. </w:t>
      </w:r>
    </w:p>
    <w:p w14:paraId="444309B8" w14:textId="2EB87E8F" w:rsidR="00295B5A" w:rsidRDefault="00295B5A">
      <w:pPr>
        <w:rPr>
          <w:rFonts w:ascii="Times New Roman" w:eastAsiaTheme="majorEastAsia" w:hAnsi="Times New Roman" w:cs="Times New Roman"/>
          <w:b/>
          <w:bCs/>
          <w:sz w:val="28"/>
          <w:szCs w:val="28"/>
        </w:rPr>
      </w:pPr>
      <w:r>
        <w:rPr>
          <w:rFonts w:cs="Times New Roman"/>
        </w:rPr>
        <w:br w:type="page"/>
      </w:r>
    </w:p>
    <w:p w14:paraId="6E13BFA5" w14:textId="77777777" w:rsidR="00295B5A" w:rsidRPr="00295B5A" w:rsidRDefault="00295B5A" w:rsidP="00295B5A">
      <w:pPr>
        <w:rPr>
          <w:rFonts w:ascii="Times New Roman" w:hAnsi="Times New Roman" w:cs="Times New Roman"/>
        </w:rPr>
      </w:pPr>
      <w:r w:rsidRPr="00295B5A">
        <w:rPr>
          <w:rFonts w:ascii="Times New Roman" w:hAnsi="Times New Roman" w:cs="Times New Roman"/>
          <w:b/>
        </w:rPr>
        <w:lastRenderedPageBreak/>
        <w:t>Acknowledgements</w:t>
      </w:r>
    </w:p>
    <w:p w14:paraId="06AC16DB" w14:textId="1F16F851" w:rsidR="00295B5A" w:rsidRPr="00295B5A" w:rsidRDefault="00295B5A" w:rsidP="00295B5A">
      <w:pPr>
        <w:rPr>
          <w:rFonts w:ascii="Times New Roman" w:hAnsi="Times New Roman" w:cs="Times New Roman"/>
        </w:rPr>
      </w:pPr>
      <w:r w:rsidRPr="00295B5A">
        <w:rPr>
          <w:rFonts w:ascii="Times New Roman" w:hAnsi="Times New Roman" w:cs="Times New Roman"/>
        </w:rPr>
        <w:t xml:space="preserve">The authors would like to thank Dr </w:t>
      </w:r>
      <w:r>
        <w:rPr>
          <w:rFonts w:ascii="Times New Roman" w:hAnsi="Times New Roman" w:cs="Times New Roman"/>
        </w:rPr>
        <w:t>Nick Morley</w:t>
      </w:r>
      <w:r w:rsidRPr="00295B5A">
        <w:rPr>
          <w:rFonts w:ascii="Times New Roman" w:hAnsi="Times New Roman" w:cs="Times New Roman"/>
        </w:rPr>
        <w:t xml:space="preserve">, </w:t>
      </w:r>
      <w:r w:rsidR="00491445" w:rsidRPr="00491445">
        <w:rPr>
          <w:rFonts w:ascii="Times New Roman" w:hAnsi="Times New Roman" w:cs="Times New Roman"/>
        </w:rPr>
        <w:t>Consultant Haematologist</w:t>
      </w:r>
      <w:r w:rsidR="00491445">
        <w:rPr>
          <w:rFonts w:ascii="Times New Roman" w:hAnsi="Times New Roman" w:cs="Times New Roman"/>
        </w:rPr>
        <w:t xml:space="preserve"> at </w:t>
      </w:r>
      <w:r w:rsidR="00491445" w:rsidRPr="00491445">
        <w:rPr>
          <w:rFonts w:ascii="Times New Roman" w:hAnsi="Times New Roman" w:cs="Times New Roman"/>
        </w:rPr>
        <w:t>Sheffield Teaching Hospitals NHS Foundation Trust</w:t>
      </w:r>
      <w:r w:rsidR="00491445">
        <w:rPr>
          <w:rFonts w:ascii="Times New Roman" w:hAnsi="Times New Roman" w:cs="Times New Roman"/>
        </w:rPr>
        <w:t>,</w:t>
      </w:r>
      <w:r w:rsidRPr="00295B5A">
        <w:rPr>
          <w:rFonts w:ascii="Times New Roman" w:hAnsi="Times New Roman" w:cs="Times New Roman"/>
        </w:rPr>
        <w:t xml:space="preserve"> for </w:t>
      </w:r>
      <w:r w:rsidR="00A14C65">
        <w:rPr>
          <w:rFonts w:ascii="Times New Roman" w:hAnsi="Times New Roman" w:cs="Times New Roman"/>
        </w:rPr>
        <w:t xml:space="preserve">reviewing the manuscript and for </w:t>
      </w:r>
      <w:r w:rsidR="00491445">
        <w:rPr>
          <w:rFonts w:ascii="Times New Roman" w:hAnsi="Times New Roman" w:cs="Times New Roman"/>
        </w:rPr>
        <w:t xml:space="preserve">providing the ERG with </w:t>
      </w:r>
      <w:r w:rsidRPr="00295B5A">
        <w:rPr>
          <w:rFonts w:ascii="Times New Roman" w:hAnsi="Times New Roman" w:cs="Times New Roman"/>
        </w:rPr>
        <w:t xml:space="preserve">clinical advice </w:t>
      </w:r>
      <w:r w:rsidR="00236FDA">
        <w:rPr>
          <w:rFonts w:ascii="Times New Roman" w:hAnsi="Times New Roman" w:cs="Times New Roman"/>
        </w:rPr>
        <w:t>throughout</w:t>
      </w:r>
      <w:r w:rsidR="00491445">
        <w:rPr>
          <w:rFonts w:ascii="Times New Roman" w:hAnsi="Times New Roman" w:cs="Times New Roman"/>
        </w:rPr>
        <w:t xml:space="preserve"> </w:t>
      </w:r>
      <w:r w:rsidRPr="00295B5A">
        <w:rPr>
          <w:rFonts w:ascii="Times New Roman" w:hAnsi="Times New Roman" w:cs="Times New Roman"/>
        </w:rPr>
        <w:t xml:space="preserve">the project. They would also like to thank Melissa Harden, Centre for Reviews and Dissemination, who critiqued </w:t>
      </w:r>
      <w:r w:rsidR="000E7E13">
        <w:rPr>
          <w:rFonts w:ascii="Times New Roman" w:hAnsi="Times New Roman" w:cs="Times New Roman"/>
        </w:rPr>
        <w:t>the literature searches in the c</w:t>
      </w:r>
      <w:r w:rsidRPr="00295B5A">
        <w:rPr>
          <w:rFonts w:ascii="Times New Roman" w:hAnsi="Times New Roman" w:cs="Times New Roman"/>
        </w:rPr>
        <w:t>ompany’s submission.</w:t>
      </w:r>
    </w:p>
    <w:p w14:paraId="12F5710E" w14:textId="77777777" w:rsidR="00295B5A" w:rsidRPr="00295B5A" w:rsidRDefault="00295B5A" w:rsidP="00295B5A">
      <w:pPr>
        <w:rPr>
          <w:rFonts w:ascii="Times New Roman" w:hAnsi="Times New Roman" w:cs="Times New Roman"/>
          <w:b/>
        </w:rPr>
      </w:pPr>
      <w:r w:rsidRPr="00295B5A">
        <w:rPr>
          <w:rFonts w:ascii="Times New Roman" w:hAnsi="Times New Roman" w:cs="Times New Roman"/>
          <w:b/>
        </w:rPr>
        <w:t>Author Contributions</w:t>
      </w:r>
    </w:p>
    <w:p w14:paraId="0909CE2F" w14:textId="70F052D2" w:rsidR="00295B5A" w:rsidRPr="00295B5A" w:rsidRDefault="00295B5A" w:rsidP="00295B5A">
      <w:pPr>
        <w:rPr>
          <w:rFonts w:ascii="Times New Roman" w:hAnsi="Times New Roman" w:cs="Times New Roman"/>
        </w:rPr>
      </w:pPr>
      <w:r w:rsidRPr="00295B5A">
        <w:rPr>
          <w:rFonts w:ascii="Times New Roman" w:hAnsi="Times New Roman" w:cs="Times New Roman"/>
        </w:rPr>
        <w:t xml:space="preserve">Edward Cox, </w:t>
      </w:r>
      <w:proofErr w:type="spellStart"/>
      <w:r w:rsidRPr="00295B5A">
        <w:rPr>
          <w:rFonts w:ascii="Times New Roman" w:hAnsi="Times New Roman" w:cs="Times New Roman"/>
        </w:rPr>
        <w:t>Ros</w:t>
      </w:r>
      <w:proofErr w:type="spellEnd"/>
      <w:r w:rsidRPr="00295B5A">
        <w:rPr>
          <w:rFonts w:ascii="Times New Roman" w:hAnsi="Times New Roman" w:cs="Times New Roman"/>
        </w:rPr>
        <w:t xml:space="preserve"> Wade, </w:t>
      </w:r>
      <w:proofErr w:type="spellStart"/>
      <w:r w:rsidRPr="00295B5A">
        <w:rPr>
          <w:rFonts w:ascii="Times New Roman" w:hAnsi="Times New Roman" w:cs="Times New Roman"/>
        </w:rPr>
        <w:t>Mathilde</w:t>
      </w:r>
      <w:proofErr w:type="spellEnd"/>
      <w:r w:rsidRPr="00295B5A">
        <w:rPr>
          <w:rFonts w:ascii="Times New Roman" w:hAnsi="Times New Roman" w:cs="Times New Roman"/>
        </w:rPr>
        <w:t xml:space="preserve"> Peron, Kristina Charlotte Dietz, Alison Eastwood, Stephen Palmer</w:t>
      </w:r>
      <w:r>
        <w:rPr>
          <w:rFonts w:ascii="Times New Roman" w:hAnsi="Times New Roman" w:cs="Times New Roman"/>
        </w:rPr>
        <w:t xml:space="preserve"> and</w:t>
      </w:r>
      <w:r w:rsidRPr="00295B5A">
        <w:rPr>
          <w:rFonts w:ascii="Times New Roman" w:hAnsi="Times New Roman" w:cs="Times New Roman"/>
        </w:rPr>
        <w:t xml:space="preserve"> Susan Griffin were all members of the ERG that</w:t>
      </w:r>
      <w:r>
        <w:rPr>
          <w:rFonts w:ascii="Times New Roman" w:hAnsi="Times New Roman" w:cs="Times New Roman"/>
        </w:rPr>
        <w:t xml:space="preserve"> </w:t>
      </w:r>
      <w:r w:rsidRPr="00295B5A">
        <w:rPr>
          <w:rFonts w:ascii="Times New Roman" w:hAnsi="Times New Roman" w:cs="Times New Roman"/>
        </w:rPr>
        <w:t>produced the ERG report described in this paper. Steven Palmer and Alisson Eastwood took overall responsibility for the cost and clinical effectiveness parts of the project. Edward Cox wrote the draft of the manuscript. All authors commented on the manuscript and approved the final version.</w:t>
      </w:r>
      <w:r w:rsidR="00AE09E6" w:rsidRPr="00AE09E6">
        <w:t xml:space="preserve"> </w:t>
      </w:r>
      <w:r w:rsidR="00AE09E6" w:rsidRPr="00AE09E6">
        <w:rPr>
          <w:rFonts w:ascii="Times New Roman" w:hAnsi="Times New Roman" w:cs="Times New Roman"/>
        </w:rPr>
        <w:t xml:space="preserve">This summary has not been externally reviewed by </w:t>
      </w:r>
      <w:proofErr w:type="spellStart"/>
      <w:r w:rsidR="00AE09E6" w:rsidRPr="00AE09E6">
        <w:rPr>
          <w:rFonts w:ascii="Times New Roman" w:hAnsi="Times New Roman" w:cs="Times New Roman"/>
        </w:rPr>
        <w:t>PharmacoEconomics</w:t>
      </w:r>
      <w:proofErr w:type="spellEnd"/>
      <w:r w:rsidR="00AE09E6" w:rsidRPr="00AE09E6">
        <w:rPr>
          <w:rFonts w:ascii="Times New Roman" w:hAnsi="Times New Roman" w:cs="Times New Roman"/>
        </w:rPr>
        <w:t>.</w:t>
      </w:r>
    </w:p>
    <w:p w14:paraId="37A9E985" w14:textId="307B3033" w:rsidR="00295B5A" w:rsidRDefault="00295B5A" w:rsidP="00295B5A">
      <w:r w:rsidRPr="00295B5A">
        <w:rPr>
          <w:rFonts w:ascii="Times New Roman" w:hAnsi="Times New Roman" w:cs="Times New Roman"/>
          <w:b/>
        </w:rPr>
        <w:t>Compliance with Ethical Standards</w:t>
      </w:r>
      <w:r w:rsidRPr="00295B5A">
        <w:t xml:space="preserve"> </w:t>
      </w:r>
    </w:p>
    <w:p w14:paraId="5837A230" w14:textId="2AAFDC79" w:rsidR="00295B5A" w:rsidRPr="00295B5A" w:rsidRDefault="00295B5A" w:rsidP="00295B5A">
      <w:pPr>
        <w:rPr>
          <w:rFonts w:ascii="Times New Roman" w:hAnsi="Times New Roman" w:cs="Times New Roman"/>
          <w:b/>
        </w:rPr>
      </w:pPr>
      <w:r w:rsidRPr="00295B5A">
        <w:rPr>
          <w:rFonts w:ascii="Times New Roman" w:hAnsi="Times New Roman" w:cs="Times New Roman"/>
          <w:b/>
        </w:rPr>
        <w:t>Funding</w:t>
      </w:r>
    </w:p>
    <w:p w14:paraId="6955DF5B" w14:textId="5801B040" w:rsidR="00295B5A" w:rsidRPr="00295B5A" w:rsidRDefault="00295B5A" w:rsidP="00295B5A">
      <w:pPr>
        <w:rPr>
          <w:rFonts w:ascii="Times New Roman" w:hAnsi="Times New Roman" w:cs="Times New Roman"/>
        </w:rPr>
      </w:pPr>
      <w:r w:rsidRPr="00295B5A">
        <w:rPr>
          <w:rFonts w:ascii="Times New Roman" w:hAnsi="Times New Roman" w:cs="Times New Roman"/>
        </w:rPr>
        <w:t>This study was funded by National Institute for Health Research (NIHR) Health Technology Assessment (HTA) programme (project number 16/</w:t>
      </w:r>
      <w:r>
        <w:rPr>
          <w:rFonts w:ascii="Times New Roman" w:hAnsi="Times New Roman" w:cs="Times New Roman"/>
        </w:rPr>
        <w:t>10</w:t>
      </w:r>
      <w:r w:rsidRPr="00295B5A">
        <w:rPr>
          <w:rFonts w:ascii="Times New Roman" w:hAnsi="Times New Roman" w:cs="Times New Roman"/>
        </w:rPr>
        <w:t>/0</w:t>
      </w:r>
      <w:r>
        <w:rPr>
          <w:rFonts w:ascii="Times New Roman" w:hAnsi="Times New Roman" w:cs="Times New Roman"/>
        </w:rPr>
        <w:t>2</w:t>
      </w:r>
      <w:r w:rsidRPr="00295B5A">
        <w:rPr>
          <w:rFonts w:ascii="Times New Roman" w:hAnsi="Times New Roman" w:cs="Times New Roman"/>
        </w:rPr>
        <w:t xml:space="preserve">). The views and opinions expressed </w:t>
      </w:r>
      <w:r w:rsidR="005C35F6">
        <w:rPr>
          <w:rFonts w:ascii="Times New Roman" w:hAnsi="Times New Roman" w:cs="Times New Roman"/>
        </w:rPr>
        <w:t>h</w:t>
      </w:r>
      <w:r w:rsidRPr="00295B5A">
        <w:rPr>
          <w:rFonts w:ascii="Times New Roman" w:hAnsi="Times New Roman" w:cs="Times New Roman"/>
        </w:rPr>
        <w:t>erein are those of the authors</w:t>
      </w:r>
      <w:r>
        <w:rPr>
          <w:rFonts w:ascii="Times New Roman" w:hAnsi="Times New Roman" w:cs="Times New Roman"/>
        </w:rPr>
        <w:t xml:space="preserve"> </w:t>
      </w:r>
      <w:r w:rsidRPr="00295B5A">
        <w:rPr>
          <w:rFonts w:ascii="Times New Roman" w:hAnsi="Times New Roman" w:cs="Times New Roman"/>
        </w:rPr>
        <w:t>and do not necessarily reflect those of NICE or the Department of Health.</w:t>
      </w:r>
    </w:p>
    <w:p w14:paraId="1E6690AF" w14:textId="77777777" w:rsidR="00295B5A" w:rsidRPr="00295B5A" w:rsidRDefault="00295B5A" w:rsidP="00295B5A">
      <w:pPr>
        <w:rPr>
          <w:rFonts w:ascii="Times New Roman" w:hAnsi="Times New Roman" w:cs="Times New Roman"/>
          <w:b/>
        </w:rPr>
      </w:pPr>
      <w:r w:rsidRPr="00295B5A">
        <w:rPr>
          <w:rFonts w:ascii="Times New Roman" w:hAnsi="Times New Roman" w:cs="Times New Roman"/>
          <w:b/>
        </w:rPr>
        <w:t>Conflict of Interest</w:t>
      </w:r>
    </w:p>
    <w:p w14:paraId="5FC94F42" w14:textId="2869D5C0" w:rsidR="00295B5A" w:rsidRPr="00295B5A" w:rsidRDefault="00295B5A" w:rsidP="00295B5A">
      <w:pPr>
        <w:rPr>
          <w:rFonts w:ascii="Times New Roman" w:hAnsi="Times New Roman" w:cs="Times New Roman"/>
        </w:rPr>
      </w:pPr>
      <w:r w:rsidRPr="00295B5A">
        <w:rPr>
          <w:rFonts w:ascii="Times New Roman" w:hAnsi="Times New Roman" w:cs="Times New Roman"/>
        </w:rPr>
        <w:t xml:space="preserve">Edward Cox, </w:t>
      </w:r>
      <w:proofErr w:type="spellStart"/>
      <w:r w:rsidRPr="00295B5A">
        <w:rPr>
          <w:rFonts w:ascii="Times New Roman" w:hAnsi="Times New Roman" w:cs="Times New Roman"/>
        </w:rPr>
        <w:t>Ros</w:t>
      </w:r>
      <w:proofErr w:type="spellEnd"/>
      <w:r w:rsidRPr="00295B5A">
        <w:rPr>
          <w:rFonts w:ascii="Times New Roman" w:hAnsi="Times New Roman" w:cs="Times New Roman"/>
        </w:rPr>
        <w:t xml:space="preserve"> Wade, </w:t>
      </w:r>
      <w:proofErr w:type="spellStart"/>
      <w:r w:rsidRPr="00295B5A">
        <w:rPr>
          <w:rFonts w:ascii="Times New Roman" w:hAnsi="Times New Roman" w:cs="Times New Roman"/>
        </w:rPr>
        <w:t>Mathilde</w:t>
      </w:r>
      <w:proofErr w:type="spellEnd"/>
      <w:r w:rsidRPr="00295B5A">
        <w:rPr>
          <w:rFonts w:ascii="Times New Roman" w:hAnsi="Times New Roman" w:cs="Times New Roman"/>
        </w:rPr>
        <w:t xml:space="preserve"> Peron, Kristina Charlotte Dietz, Alison Eastwood, Stephen Palmer</w:t>
      </w:r>
      <w:r>
        <w:rPr>
          <w:rFonts w:ascii="Times New Roman" w:hAnsi="Times New Roman" w:cs="Times New Roman"/>
        </w:rPr>
        <w:t xml:space="preserve"> and</w:t>
      </w:r>
      <w:r w:rsidRPr="00295B5A">
        <w:rPr>
          <w:rFonts w:ascii="Times New Roman" w:hAnsi="Times New Roman" w:cs="Times New Roman"/>
        </w:rPr>
        <w:t xml:space="preserve"> Susan Griffin declare that they have no conflict of interest.</w:t>
      </w:r>
    </w:p>
    <w:p w14:paraId="6A4A6407" w14:textId="639A0442" w:rsidR="00295B5A" w:rsidRDefault="00295B5A">
      <w:pPr>
        <w:rPr>
          <w:rFonts w:ascii="Times New Roman" w:hAnsi="Times New Roman" w:cs="Times New Roman"/>
        </w:rPr>
      </w:pPr>
      <w:r>
        <w:rPr>
          <w:rFonts w:cs="Times New Roman"/>
          <w:b/>
          <w:bCs/>
        </w:rPr>
        <w:br w:type="page"/>
      </w:r>
    </w:p>
    <w:p w14:paraId="05AB0F5E" w14:textId="6A406A83" w:rsidR="00051F52" w:rsidRDefault="00051F52" w:rsidP="00E61BB0">
      <w:pPr>
        <w:pStyle w:val="Heading1"/>
        <w:numPr>
          <w:ilvl w:val="0"/>
          <w:numId w:val="0"/>
        </w:numPr>
        <w:spacing w:line="360" w:lineRule="auto"/>
        <w:rPr>
          <w:rFonts w:cs="Times New Roman"/>
        </w:rPr>
      </w:pPr>
      <w:r>
        <w:rPr>
          <w:rFonts w:cs="Times New Roman"/>
        </w:rPr>
        <w:lastRenderedPageBreak/>
        <w:t>References</w:t>
      </w:r>
    </w:p>
    <w:p w14:paraId="4ACB546B" w14:textId="5BA5EDC8" w:rsidR="005F15F8" w:rsidRPr="00F609F8" w:rsidRDefault="00BE201D" w:rsidP="00F609F8">
      <w:pPr>
        <w:pStyle w:val="EndNoteBibliography"/>
        <w:spacing w:after="120"/>
        <w:ind w:left="720" w:hanging="720"/>
        <w:rPr>
          <w:rFonts w:ascii="Times New Roman" w:hAnsi="Times New Roman" w:cs="Times New Roman"/>
        </w:rPr>
      </w:pPr>
      <w:r w:rsidRPr="00F609F8">
        <w:rPr>
          <w:rFonts w:ascii="Times New Roman" w:eastAsiaTheme="majorEastAsia" w:hAnsi="Times New Roman" w:cs="Times New Roman"/>
          <w:spacing w:val="5"/>
        </w:rPr>
        <w:fldChar w:fldCharType="begin"/>
      </w:r>
      <w:r w:rsidRPr="00F609F8">
        <w:rPr>
          <w:rFonts w:ascii="Times New Roman" w:eastAsiaTheme="majorEastAsia" w:hAnsi="Times New Roman" w:cs="Times New Roman"/>
          <w:spacing w:val="5"/>
        </w:rPr>
        <w:instrText xml:space="preserve"> ADDIN EN.REFLIST </w:instrText>
      </w:r>
      <w:r w:rsidRPr="00F609F8">
        <w:rPr>
          <w:rFonts w:ascii="Times New Roman" w:eastAsiaTheme="majorEastAsia" w:hAnsi="Times New Roman" w:cs="Times New Roman"/>
          <w:spacing w:val="5"/>
        </w:rPr>
        <w:fldChar w:fldCharType="separate"/>
      </w:r>
      <w:r w:rsidR="005F15F8" w:rsidRPr="00F609F8">
        <w:rPr>
          <w:rFonts w:ascii="Times New Roman" w:hAnsi="Times New Roman" w:cs="Times New Roman"/>
        </w:rPr>
        <w:t>1.</w:t>
      </w:r>
      <w:r w:rsidR="005F15F8" w:rsidRPr="00F609F8">
        <w:rPr>
          <w:rFonts w:ascii="Times New Roman" w:hAnsi="Times New Roman" w:cs="Times New Roman"/>
        </w:rPr>
        <w:tab/>
        <w:t xml:space="preserve">National Institute for Health and Care Excellence. </w:t>
      </w:r>
      <w:r w:rsidR="005F15F8" w:rsidRPr="00F609F8">
        <w:rPr>
          <w:rFonts w:ascii="Times New Roman" w:hAnsi="Times New Roman" w:cs="Times New Roman"/>
          <w:i/>
        </w:rPr>
        <w:t>Guide to the single technology appraisal process.</w:t>
      </w:r>
      <w:r w:rsidR="005F15F8" w:rsidRPr="00F609F8">
        <w:rPr>
          <w:rFonts w:ascii="Times New Roman" w:hAnsi="Times New Roman" w:cs="Times New Roman"/>
        </w:rPr>
        <w:t xml:space="preserve"> 2009; Available from: </w:t>
      </w:r>
      <w:hyperlink r:id="rId9" w:history="1">
        <w:r w:rsidR="005F15F8" w:rsidRPr="00F609F8">
          <w:rPr>
            <w:rStyle w:val="Hyperlink"/>
            <w:rFonts w:ascii="Times New Roman" w:hAnsi="Times New Roman" w:cs="Times New Roman"/>
          </w:rPr>
          <w:t>https://www.nice.org.uk/Media/Default/About/what-we-do/NICE-guidance/NICE-technology-appraisals/Guide-to-the-single-technology-appraisal-process.pdf</w:t>
        </w:r>
      </w:hyperlink>
      <w:r w:rsidR="005F15F8" w:rsidRPr="00F609F8">
        <w:rPr>
          <w:rFonts w:ascii="Times New Roman" w:hAnsi="Times New Roman" w:cs="Times New Roman"/>
        </w:rPr>
        <w:t>.</w:t>
      </w:r>
    </w:p>
    <w:p w14:paraId="4087C98A" w14:textId="079FF40A"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2.</w:t>
      </w:r>
      <w:r w:rsidRPr="00F609F8">
        <w:rPr>
          <w:rFonts w:ascii="Times New Roman" w:hAnsi="Times New Roman" w:cs="Times New Roman"/>
        </w:rPr>
        <w:tab/>
        <w:t xml:space="preserve">Wade, R., et al. </w:t>
      </w:r>
      <w:r w:rsidRPr="00F609F8">
        <w:rPr>
          <w:rFonts w:ascii="Times New Roman" w:hAnsi="Times New Roman" w:cs="Times New Roman"/>
          <w:i/>
        </w:rPr>
        <w:t>Inotuzumab ozogamicin for treating relapsed or refractory B-cell acute lymphoblastic leukaemia</w:t>
      </w:r>
      <w:r w:rsidRPr="00F609F8">
        <w:rPr>
          <w:rFonts w:ascii="Times New Roman" w:hAnsi="Times New Roman" w:cs="Times New Roman"/>
        </w:rPr>
        <w:t xml:space="preserve">. 2017; Available from: </w:t>
      </w:r>
      <w:hyperlink r:id="rId10" w:history="1">
        <w:r w:rsidRPr="00F609F8">
          <w:rPr>
            <w:rStyle w:val="Hyperlink"/>
            <w:rFonts w:ascii="Times New Roman" w:hAnsi="Times New Roman" w:cs="Times New Roman"/>
          </w:rPr>
          <w:t>https://www.nice.org.uk/guidance/ta541/documents/committee-papers-2</w:t>
        </w:r>
      </w:hyperlink>
      <w:r w:rsidRPr="00F609F8">
        <w:rPr>
          <w:rFonts w:ascii="Times New Roman" w:hAnsi="Times New Roman" w:cs="Times New Roman"/>
        </w:rPr>
        <w:t>.</w:t>
      </w:r>
    </w:p>
    <w:p w14:paraId="79DB6778" w14:textId="1E61EA11"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3.</w:t>
      </w:r>
      <w:r w:rsidRPr="00F609F8">
        <w:rPr>
          <w:rFonts w:ascii="Times New Roman" w:hAnsi="Times New Roman" w:cs="Times New Roman"/>
        </w:rPr>
        <w:tab/>
        <w:t xml:space="preserve">National Institute of Health and Care Excellence. </w:t>
      </w:r>
      <w:r w:rsidRPr="00F609F8">
        <w:rPr>
          <w:rFonts w:ascii="Times New Roman" w:hAnsi="Times New Roman" w:cs="Times New Roman"/>
          <w:i/>
        </w:rPr>
        <w:t>Guide to the methods of technology appraisal</w:t>
      </w:r>
      <w:r w:rsidRPr="00F609F8">
        <w:rPr>
          <w:rFonts w:ascii="Times New Roman" w:hAnsi="Times New Roman" w:cs="Times New Roman"/>
        </w:rPr>
        <w:t xml:space="preserve">. 2013; Available from: </w:t>
      </w:r>
      <w:hyperlink r:id="rId11" w:history="1">
        <w:r w:rsidRPr="00F609F8">
          <w:rPr>
            <w:rStyle w:val="Hyperlink"/>
            <w:rFonts w:ascii="Times New Roman" w:hAnsi="Times New Roman" w:cs="Times New Roman"/>
          </w:rPr>
          <w:t>https://www.nice.org.uk/process/pmg9/chapter/foreword</w:t>
        </w:r>
      </w:hyperlink>
      <w:r w:rsidRPr="00F609F8">
        <w:rPr>
          <w:rFonts w:ascii="Times New Roman" w:hAnsi="Times New Roman" w:cs="Times New Roman"/>
        </w:rPr>
        <w:t>.</w:t>
      </w:r>
    </w:p>
    <w:p w14:paraId="12AA304B" w14:textId="2D5D5E20"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4.</w:t>
      </w:r>
      <w:r w:rsidRPr="00F609F8">
        <w:rPr>
          <w:rFonts w:ascii="Times New Roman" w:hAnsi="Times New Roman" w:cs="Times New Roman"/>
        </w:rPr>
        <w:tab/>
        <w:t xml:space="preserve">National Institute for Health and Care Excellence. </w:t>
      </w:r>
      <w:r w:rsidRPr="00F609F8">
        <w:rPr>
          <w:rFonts w:ascii="Times New Roman" w:hAnsi="Times New Roman" w:cs="Times New Roman"/>
          <w:i/>
        </w:rPr>
        <w:t>Inotuzumab ozogamicin for treating relapsed or refractory acute lymphoblastic leukaemia [ID893]</w:t>
      </w:r>
      <w:r w:rsidRPr="00F609F8">
        <w:rPr>
          <w:rFonts w:ascii="Times New Roman" w:hAnsi="Times New Roman" w:cs="Times New Roman"/>
        </w:rPr>
        <w:t xml:space="preserve">. 2018; Available from: </w:t>
      </w:r>
      <w:hyperlink r:id="rId12" w:history="1">
        <w:r w:rsidRPr="00F609F8">
          <w:rPr>
            <w:rStyle w:val="Hyperlink"/>
            <w:rFonts w:ascii="Times New Roman" w:hAnsi="Times New Roman" w:cs="Times New Roman"/>
          </w:rPr>
          <w:t>https://www.nice.org.uk/guidance/indevelopment/gid-ta10091</w:t>
        </w:r>
      </w:hyperlink>
      <w:r w:rsidRPr="00F609F8">
        <w:rPr>
          <w:rFonts w:ascii="Times New Roman" w:hAnsi="Times New Roman" w:cs="Times New Roman"/>
        </w:rPr>
        <w:t>.</w:t>
      </w:r>
    </w:p>
    <w:p w14:paraId="6E37FD0B" w14:textId="71F0C431"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5.</w:t>
      </w:r>
      <w:r w:rsidRPr="00F609F8">
        <w:rPr>
          <w:rFonts w:ascii="Times New Roman" w:hAnsi="Times New Roman" w:cs="Times New Roman"/>
        </w:rPr>
        <w:tab/>
        <w:t xml:space="preserve">Cancer Research UK. </w:t>
      </w:r>
      <w:r w:rsidRPr="00F609F8">
        <w:rPr>
          <w:rFonts w:ascii="Times New Roman" w:hAnsi="Times New Roman" w:cs="Times New Roman"/>
          <w:i/>
        </w:rPr>
        <w:t>Acute lymphoblastic leukaemia (ALL) incidence statistics</w:t>
      </w:r>
      <w:r w:rsidRPr="00F609F8">
        <w:rPr>
          <w:rFonts w:ascii="Times New Roman" w:hAnsi="Times New Roman" w:cs="Times New Roman"/>
        </w:rPr>
        <w:t xml:space="preserve">. 2014 [cited 2018 January ]; Available from: </w:t>
      </w:r>
      <w:hyperlink r:id="rId13" w:anchor="heading-Zero" w:history="1">
        <w:r w:rsidRPr="00F609F8">
          <w:rPr>
            <w:rStyle w:val="Hyperlink"/>
            <w:rFonts w:ascii="Times New Roman" w:hAnsi="Times New Roman" w:cs="Times New Roman"/>
          </w:rPr>
          <w:t>http://www.cancerresearchuk.org/health-professional/cancer-statistics/statistics-by-cancer-type/leukaemia-all/incidence#heading-Zero</w:t>
        </w:r>
      </w:hyperlink>
      <w:r w:rsidRPr="00F609F8">
        <w:rPr>
          <w:rFonts w:ascii="Times New Roman" w:hAnsi="Times New Roman" w:cs="Times New Roman"/>
        </w:rPr>
        <w:t>.</w:t>
      </w:r>
    </w:p>
    <w:p w14:paraId="3CAD0197" w14:textId="77777777"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6.</w:t>
      </w:r>
      <w:r w:rsidRPr="00F609F8">
        <w:rPr>
          <w:rFonts w:ascii="Times New Roman" w:hAnsi="Times New Roman" w:cs="Times New Roman"/>
        </w:rPr>
        <w:tab/>
        <w:t xml:space="preserve">Inaba, H., M. Greaves, and C.G. Mullighan, </w:t>
      </w:r>
      <w:r w:rsidRPr="00F609F8">
        <w:rPr>
          <w:rFonts w:ascii="Times New Roman" w:hAnsi="Times New Roman" w:cs="Times New Roman"/>
          <w:i/>
        </w:rPr>
        <w:t>Acute lymphoblastic leukaemia.</w:t>
      </w:r>
      <w:r w:rsidRPr="00F609F8">
        <w:rPr>
          <w:rFonts w:ascii="Times New Roman" w:hAnsi="Times New Roman" w:cs="Times New Roman"/>
        </w:rPr>
        <w:t xml:space="preserve"> The Lancet. </w:t>
      </w:r>
      <w:r w:rsidRPr="00F609F8">
        <w:rPr>
          <w:rFonts w:ascii="Times New Roman" w:hAnsi="Times New Roman" w:cs="Times New Roman"/>
          <w:b/>
        </w:rPr>
        <w:t>381</w:t>
      </w:r>
      <w:r w:rsidRPr="00F609F8">
        <w:rPr>
          <w:rFonts w:ascii="Times New Roman" w:hAnsi="Times New Roman" w:cs="Times New Roman"/>
        </w:rPr>
        <w:t>(9881): p. 1943-1955.</w:t>
      </w:r>
    </w:p>
    <w:p w14:paraId="751E4D0E" w14:textId="3CA39273"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7.</w:t>
      </w:r>
      <w:r w:rsidRPr="00F609F8">
        <w:rPr>
          <w:rFonts w:ascii="Times New Roman" w:hAnsi="Times New Roman" w:cs="Times New Roman"/>
        </w:rPr>
        <w:tab/>
        <w:t xml:space="preserve">American Cancer Society. </w:t>
      </w:r>
      <w:r w:rsidRPr="00F609F8">
        <w:rPr>
          <w:rFonts w:ascii="Times New Roman" w:hAnsi="Times New Roman" w:cs="Times New Roman"/>
          <w:i/>
        </w:rPr>
        <w:t>What Are the Key Statistics About Acute Lymphocytic Leukemia?</w:t>
      </w:r>
      <w:r w:rsidRPr="00F609F8">
        <w:rPr>
          <w:rFonts w:ascii="Times New Roman" w:hAnsi="Times New Roman" w:cs="Times New Roman"/>
        </w:rPr>
        <w:t xml:space="preserve"> Last revised January 5, 2017  [cited 2017; Available from: </w:t>
      </w:r>
      <w:hyperlink r:id="rId14" w:anchor="references" w:history="1">
        <w:r w:rsidRPr="00F609F8">
          <w:rPr>
            <w:rStyle w:val="Hyperlink"/>
            <w:rFonts w:ascii="Times New Roman" w:hAnsi="Times New Roman" w:cs="Times New Roman"/>
          </w:rPr>
          <w:t>https://www.cancer.org/cancer/acute-lymphocytic-leukemia/about/key-statistics.html#references</w:t>
        </w:r>
      </w:hyperlink>
      <w:r w:rsidRPr="00F609F8">
        <w:rPr>
          <w:rFonts w:ascii="Times New Roman" w:hAnsi="Times New Roman" w:cs="Times New Roman"/>
        </w:rPr>
        <w:t>.</w:t>
      </w:r>
    </w:p>
    <w:p w14:paraId="0393AF1C" w14:textId="77777777"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8.</w:t>
      </w:r>
      <w:r w:rsidRPr="00F609F8">
        <w:rPr>
          <w:rFonts w:ascii="Times New Roman" w:hAnsi="Times New Roman" w:cs="Times New Roman"/>
        </w:rPr>
        <w:tab/>
        <w:t xml:space="preserve">Terwilliger, T. and M. Abdul-Hay, </w:t>
      </w:r>
      <w:r w:rsidRPr="00F609F8">
        <w:rPr>
          <w:rFonts w:ascii="Times New Roman" w:hAnsi="Times New Roman" w:cs="Times New Roman"/>
          <w:i/>
        </w:rPr>
        <w:t>Acute lymphoblastic leukemia: a comprehensive review and 2017 update.</w:t>
      </w:r>
      <w:r w:rsidRPr="00F609F8">
        <w:rPr>
          <w:rFonts w:ascii="Times New Roman" w:hAnsi="Times New Roman" w:cs="Times New Roman"/>
        </w:rPr>
        <w:t xml:space="preserve"> Blood Cancer Journal, 2017. </w:t>
      </w:r>
      <w:r w:rsidRPr="00F609F8">
        <w:rPr>
          <w:rFonts w:ascii="Times New Roman" w:hAnsi="Times New Roman" w:cs="Times New Roman"/>
          <w:b/>
        </w:rPr>
        <w:t>7</w:t>
      </w:r>
      <w:r w:rsidRPr="00F609F8">
        <w:rPr>
          <w:rFonts w:ascii="Times New Roman" w:hAnsi="Times New Roman" w:cs="Times New Roman"/>
        </w:rPr>
        <w:t>(6): p. e577.</w:t>
      </w:r>
    </w:p>
    <w:p w14:paraId="4FCE98A7" w14:textId="77777777"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9.</w:t>
      </w:r>
      <w:r w:rsidRPr="00F609F8">
        <w:rPr>
          <w:rFonts w:ascii="Times New Roman" w:hAnsi="Times New Roman" w:cs="Times New Roman"/>
        </w:rPr>
        <w:tab/>
        <w:t xml:space="preserve">Gokbuget, N., et al., </w:t>
      </w:r>
      <w:r w:rsidRPr="00F609F8">
        <w:rPr>
          <w:rFonts w:ascii="Times New Roman" w:hAnsi="Times New Roman" w:cs="Times New Roman"/>
          <w:i/>
        </w:rPr>
        <w:t>International reference analysis of outcomes in adults with B-precursor Ph-negative relapsed/refractory acute lymphoblastic leukemia.</w:t>
      </w:r>
      <w:r w:rsidRPr="00F609F8">
        <w:rPr>
          <w:rFonts w:ascii="Times New Roman" w:hAnsi="Times New Roman" w:cs="Times New Roman"/>
        </w:rPr>
        <w:t xml:space="preserve"> Haematologica, 2016. </w:t>
      </w:r>
      <w:r w:rsidRPr="00F609F8">
        <w:rPr>
          <w:rFonts w:ascii="Times New Roman" w:hAnsi="Times New Roman" w:cs="Times New Roman"/>
          <w:b/>
        </w:rPr>
        <w:t>101</w:t>
      </w:r>
      <w:r w:rsidRPr="00F609F8">
        <w:rPr>
          <w:rFonts w:ascii="Times New Roman" w:hAnsi="Times New Roman" w:cs="Times New Roman"/>
        </w:rPr>
        <w:t>(12): p. 1524-1533.</w:t>
      </w:r>
    </w:p>
    <w:p w14:paraId="7F2FB117" w14:textId="6A3608FC"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10.</w:t>
      </w:r>
      <w:r w:rsidRPr="00F609F8">
        <w:rPr>
          <w:rFonts w:ascii="Times New Roman" w:hAnsi="Times New Roman" w:cs="Times New Roman"/>
        </w:rPr>
        <w:tab/>
        <w:t xml:space="preserve">National Institute for Health and Care Excellence. </w:t>
      </w:r>
      <w:r w:rsidRPr="00F609F8">
        <w:rPr>
          <w:rFonts w:ascii="Times New Roman" w:hAnsi="Times New Roman" w:cs="Times New Roman"/>
          <w:i/>
        </w:rPr>
        <w:t>Blinatumomab for previously treated Philadelphia-chromosome-negative acute lymphoblastic leukaemia</w:t>
      </w:r>
      <w:r w:rsidRPr="00F609F8">
        <w:rPr>
          <w:rFonts w:ascii="Times New Roman" w:hAnsi="Times New Roman" w:cs="Times New Roman"/>
        </w:rPr>
        <w:t xml:space="preserve">. 2017; Available from: </w:t>
      </w:r>
      <w:hyperlink r:id="rId15" w:history="1">
        <w:r w:rsidRPr="00F609F8">
          <w:rPr>
            <w:rStyle w:val="Hyperlink"/>
            <w:rFonts w:ascii="Times New Roman" w:hAnsi="Times New Roman" w:cs="Times New Roman"/>
          </w:rPr>
          <w:t>https://www.nice.org.uk/guidance/ta450/history</w:t>
        </w:r>
      </w:hyperlink>
      <w:r w:rsidRPr="00F609F8">
        <w:rPr>
          <w:rFonts w:ascii="Times New Roman" w:hAnsi="Times New Roman" w:cs="Times New Roman"/>
        </w:rPr>
        <w:t>.</w:t>
      </w:r>
    </w:p>
    <w:p w14:paraId="043D4AA5" w14:textId="77777777"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11.</w:t>
      </w:r>
      <w:r w:rsidRPr="00F609F8">
        <w:rPr>
          <w:rFonts w:ascii="Times New Roman" w:hAnsi="Times New Roman" w:cs="Times New Roman"/>
        </w:rPr>
        <w:tab/>
        <w:t xml:space="preserve">European Medicines Agency, </w:t>
      </w:r>
      <w:r w:rsidRPr="00F609F8">
        <w:rPr>
          <w:rFonts w:ascii="Times New Roman" w:hAnsi="Times New Roman" w:cs="Times New Roman"/>
          <w:i/>
        </w:rPr>
        <w:t>Besponsa : EPAR - Public assessment report. EMA/269417/2017.</w:t>
      </w:r>
      <w:r w:rsidRPr="00F609F8">
        <w:rPr>
          <w:rFonts w:ascii="Times New Roman" w:hAnsi="Times New Roman" w:cs="Times New Roman"/>
        </w:rPr>
        <w:t xml:space="preserve"> 2017.</w:t>
      </w:r>
    </w:p>
    <w:p w14:paraId="3F850648" w14:textId="3603A921"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12.</w:t>
      </w:r>
      <w:r w:rsidRPr="00F609F8">
        <w:rPr>
          <w:rFonts w:ascii="Times New Roman" w:hAnsi="Times New Roman" w:cs="Times New Roman"/>
        </w:rPr>
        <w:tab/>
        <w:t xml:space="preserve">National Institute for Health and Care Excellence. </w:t>
      </w:r>
      <w:r w:rsidRPr="00F609F8">
        <w:rPr>
          <w:rFonts w:ascii="Times New Roman" w:hAnsi="Times New Roman" w:cs="Times New Roman"/>
          <w:i/>
        </w:rPr>
        <w:t>Single Technology Appraisal. Inotuzumab ozogamicin for treating relapsed or refractory B-cell acute lymphoblastic leukaemia. Final scope</w:t>
      </w:r>
      <w:r w:rsidRPr="00F609F8">
        <w:rPr>
          <w:rFonts w:ascii="Times New Roman" w:hAnsi="Times New Roman" w:cs="Times New Roman"/>
        </w:rPr>
        <w:t xml:space="preserve">. 2016; Available from: </w:t>
      </w:r>
      <w:hyperlink r:id="rId16" w:history="1">
        <w:r w:rsidRPr="00F609F8">
          <w:rPr>
            <w:rStyle w:val="Hyperlink"/>
            <w:rFonts w:ascii="Times New Roman" w:hAnsi="Times New Roman" w:cs="Times New Roman"/>
          </w:rPr>
          <w:t>https://www.nice.org.uk/guidance/gid-ta10091/documents/final-scope</w:t>
        </w:r>
      </w:hyperlink>
      <w:r w:rsidRPr="00F609F8">
        <w:rPr>
          <w:rFonts w:ascii="Times New Roman" w:hAnsi="Times New Roman" w:cs="Times New Roman"/>
        </w:rPr>
        <w:t>.</w:t>
      </w:r>
    </w:p>
    <w:p w14:paraId="1BF268FE" w14:textId="77777777"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13.</w:t>
      </w:r>
      <w:r w:rsidRPr="00F609F8">
        <w:rPr>
          <w:rFonts w:ascii="Times New Roman" w:hAnsi="Times New Roman" w:cs="Times New Roman"/>
        </w:rPr>
        <w:tab/>
        <w:t xml:space="preserve">Kantarjian, H.M., et al., </w:t>
      </w:r>
      <w:r w:rsidRPr="00F609F8">
        <w:rPr>
          <w:rFonts w:ascii="Times New Roman" w:hAnsi="Times New Roman" w:cs="Times New Roman"/>
          <w:i/>
        </w:rPr>
        <w:t>Inotuzumab ozogamicin versus standard therapy for acute lymphoblastic leukemia.</w:t>
      </w:r>
      <w:r w:rsidRPr="00F609F8">
        <w:rPr>
          <w:rFonts w:ascii="Times New Roman" w:hAnsi="Times New Roman" w:cs="Times New Roman"/>
        </w:rPr>
        <w:t xml:space="preserve"> New England Journal of Medicine, 2016. </w:t>
      </w:r>
      <w:r w:rsidRPr="00F609F8">
        <w:rPr>
          <w:rFonts w:ascii="Times New Roman" w:hAnsi="Times New Roman" w:cs="Times New Roman"/>
          <w:b/>
        </w:rPr>
        <w:t>375</w:t>
      </w:r>
      <w:r w:rsidRPr="00F609F8">
        <w:rPr>
          <w:rFonts w:ascii="Times New Roman" w:hAnsi="Times New Roman" w:cs="Times New Roman"/>
        </w:rPr>
        <w:t>(8): p. 740-53.</w:t>
      </w:r>
    </w:p>
    <w:p w14:paraId="053252BB" w14:textId="77777777"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14.</w:t>
      </w:r>
      <w:r w:rsidRPr="00F609F8">
        <w:rPr>
          <w:rFonts w:ascii="Times New Roman" w:hAnsi="Times New Roman" w:cs="Times New Roman"/>
        </w:rPr>
        <w:tab/>
        <w:t xml:space="preserve">Kantarjian, H., et al., </w:t>
      </w:r>
      <w:r w:rsidRPr="00F609F8">
        <w:rPr>
          <w:rFonts w:ascii="Times New Roman" w:hAnsi="Times New Roman" w:cs="Times New Roman"/>
          <w:i/>
        </w:rPr>
        <w:t>Blinatumomab versus Chemotherapy for Advanced Acute Lymphoblastic Leukemia.</w:t>
      </w:r>
      <w:r w:rsidRPr="00F609F8">
        <w:rPr>
          <w:rFonts w:ascii="Times New Roman" w:hAnsi="Times New Roman" w:cs="Times New Roman"/>
        </w:rPr>
        <w:t xml:space="preserve"> New England Journal of Medicine, 2017. </w:t>
      </w:r>
      <w:r w:rsidRPr="00F609F8">
        <w:rPr>
          <w:rFonts w:ascii="Times New Roman" w:hAnsi="Times New Roman" w:cs="Times New Roman"/>
          <w:b/>
        </w:rPr>
        <w:t>376</w:t>
      </w:r>
      <w:r w:rsidRPr="00F609F8">
        <w:rPr>
          <w:rFonts w:ascii="Times New Roman" w:hAnsi="Times New Roman" w:cs="Times New Roman"/>
        </w:rPr>
        <w:t>(9): p. 836-847.</w:t>
      </w:r>
    </w:p>
    <w:p w14:paraId="121456B9" w14:textId="77777777"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15.</w:t>
      </w:r>
      <w:r w:rsidRPr="00F609F8">
        <w:rPr>
          <w:rFonts w:ascii="Times New Roman" w:hAnsi="Times New Roman" w:cs="Times New Roman"/>
        </w:rPr>
        <w:tab/>
        <w:t xml:space="preserve">O'Brien, S., et al., </w:t>
      </w:r>
      <w:r w:rsidRPr="00F609F8">
        <w:rPr>
          <w:rFonts w:ascii="Times New Roman" w:hAnsi="Times New Roman" w:cs="Times New Roman"/>
          <w:i/>
        </w:rPr>
        <w:t>Outcome of adults with acute lymphocytic leukemia after second salvage therapy.</w:t>
      </w:r>
      <w:r w:rsidRPr="00F609F8">
        <w:rPr>
          <w:rFonts w:ascii="Times New Roman" w:hAnsi="Times New Roman" w:cs="Times New Roman"/>
        </w:rPr>
        <w:t xml:space="preserve"> Cancer, 2008. </w:t>
      </w:r>
      <w:r w:rsidRPr="00F609F8">
        <w:rPr>
          <w:rFonts w:ascii="Times New Roman" w:hAnsi="Times New Roman" w:cs="Times New Roman"/>
          <w:b/>
        </w:rPr>
        <w:t>113</w:t>
      </w:r>
      <w:r w:rsidRPr="00F609F8">
        <w:rPr>
          <w:rFonts w:ascii="Times New Roman" w:hAnsi="Times New Roman" w:cs="Times New Roman"/>
        </w:rPr>
        <w:t>(11): p. 3186-91.</w:t>
      </w:r>
    </w:p>
    <w:p w14:paraId="2BF4AC06" w14:textId="77777777"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16.</w:t>
      </w:r>
      <w:r w:rsidRPr="00F609F8">
        <w:rPr>
          <w:rFonts w:ascii="Times New Roman" w:hAnsi="Times New Roman" w:cs="Times New Roman"/>
        </w:rPr>
        <w:tab/>
        <w:t xml:space="preserve">Oriol, A., et al., </w:t>
      </w:r>
      <w:r w:rsidRPr="00F609F8">
        <w:rPr>
          <w:rFonts w:ascii="Times New Roman" w:hAnsi="Times New Roman" w:cs="Times New Roman"/>
          <w:i/>
        </w:rPr>
        <w:t>Outcome after relapse of acute lymphoblastic leukemia in adult patients included in four consecutive risk-adapted trials by the PETHEMA Study Group.</w:t>
      </w:r>
      <w:r w:rsidRPr="00F609F8">
        <w:rPr>
          <w:rFonts w:ascii="Times New Roman" w:hAnsi="Times New Roman" w:cs="Times New Roman"/>
        </w:rPr>
        <w:t xml:space="preserve"> Haematologica, 2010. </w:t>
      </w:r>
      <w:r w:rsidRPr="00F609F8">
        <w:rPr>
          <w:rFonts w:ascii="Times New Roman" w:hAnsi="Times New Roman" w:cs="Times New Roman"/>
          <w:b/>
        </w:rPr>
        <w:t>95</w:t>
      </w:r>
      <w:r w:rsidRPr="00F609F8">
        <w:rPr>
          <w:rFonts w:ascii="Times New Roman" w:hAnsi="Times New Roman" w:cs="Times New Roman"/>
        </w:rPr>
        <w:t>(4): p. 589-96.</w:t>
      </w:r>
    </w:p>
    <w:p w14:paraId="57729480" w14:textId="77777777"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lastRenderedPageBreak/>
        <w:t>17.</w:t>
      </w:r>
      <w:r w:rsidRPr="00F609F8">
        <w:rPr>
          <w:rFonts w:ascii="Times New Roman" w:hAnsi="Times New Roman" w:cs="Times New Roman"/>
        </w:rPr>
        <w:tab/>
        <w:t xml:space="preserve">Thomas, D.A., et al., </w:t>
      </w:r>
      <w:r w:rsidRPr="00F609F8">
        <w:rPr>
          <w:rFonts w:ascii="Times New Roman" w:hAnsi="Times New Roman" w:cs="Times New Roman"/>
          <w:i/>
        </w:rPr>
        <w:t>Primary refractory and relapsed adult acute lymphoblastic leukemia: characteristics, treatment results, and prognosis with salvage therapy.</w:t>
      </w:r>
      <w:r w:rsidRPr="00F609F8">
        <w:rPr>
          <w:rFonts w:ascii="Times New Roman" w:hAnsi="Times New Roman" w:cs="Times New Roman"/>
        </w:rPr>
        <w:t xml:space="preserve"> Cancer, 1999. </w:t>
      </w:r>
      <w:r w:rsidRPr="00F609F8">
        <w:rPr>
          <w:rFonts w:ascii="Times New Roman" w:hAnsi="Times New Roman" w:cs="Times New Roman"/>
          <w:b/>
        </w:rPr>
        <w:t>86</w:t>
      </w:r>
      <w:r w:rsidRPr="00F609F8">
        <w:rPr>
          <w:rFonts w:ascii="Times New Roman" w:hAnsi="Times New Roman" w:cs="Times New Roman"/>
        </w:rPr>
        <w:t>(7): p. 1216-30.</w:t>
      </w:r>
    </w:p>
    <w:p w14:paraId="7084C86F" w14:textId="77777777"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18.</w:t>
      </w:r>
      <w:r w:rsidRPr="00F609F8">
        <w:rPr>
          <w:rFonts w:ascii="Times New Roman" w:hAnsi="Times New Roman" w:cs="Times New Roman"/>
        </w:rPr>
        <w:tab/>
        <w:t xml:space="preserve">Kurosawa, S., et al., </w:t>
      </w:r>
      <w:r w:rsidRPr="00F609F8">
        <w:rPr>
          <w:rFonts w:ascii="Times New Roman" w:hAnsi="Times New Roman" w:cs="Times New Roman"/>
          <w:i/>
        </w:rPr>
        <w:t>Decision analysis of postremission therapy in cytogenetically intermediate-risk acute myeloid leukemia: the impact of FLT3 internal tandem duplication, nucleophosmin, and CCAAT/enhancer binding protein alpha.</w:t>
      </w:r>
      <w:r w:rsidRPr="00F609F8">
        <w:rPr>
          <w:rFonts w:ascii="Times New Roman" w:hAnsi="Times New Roman" w:cs="Times New Roman"/>
        </w:rPr>
        <w:t xml:space="preserve"> Biology of Blood and Marrow Transplantation, 2016. </w:t>
      </w:r>
      <w:r w:rsidRPr="00F609F8">
        <w:rPr>
          <w:rFonts w:ascii="Times New Roman" w:hAnsi="Times New Roman" w:cs="Times New Roman"/>
          <w:b/>
        </w:rPr>
        <w:t>22</w:t>
      </w:r>
      <w:r w:rsidRPr="00F609F8">
        <w:rPr>
          <w:rFonts w:ascii="Times New Roman" w:hAnsi="Times New Roman" w:cs="Times New Roman"/>
        </w:rPr>
        <w:t>(6): p. 1125-1132.</w:t>
      </w:r>
    </w:p>
    <w:p w14:paraId="023BA814" w14:textId="77777777"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19.</w:t>
      </w:r>
      <w:r w:rsidRPr="00F609F8">
        <w:rPr>
          <w:rFonts w:ascii="Times New Roman" w:hAnsi="Times New Roman" w:cs="Times New Roman"/>
        </w:rPr>
        <w:tab/>
        <w:t xml:space="preserve">Boluda, B., et al., </w:t>
      </w:r>
      <w:r w:rsidRPr="00F609F8">
        <w:rPr>
          <w:rFonts w:ascii="Times New Roman" w:hAnsi="Times New Roman" w:cs="Times New Roman"/>
          <w:i/>
        </w:rPr>
        <w:t>Time and cost of hospitalisation for salvage therapy among adults with Philadelphia (Ph)-negative B-cell relapsed/refractory (R/R) acute lymphoblastic leukaemia (ALL) in Spain</w:t>
      </w:r>
      <w:r w:rsidRPr="00F609F8">
        <w:rPr>
          <w:rFonts w:ascii="Times New Roman" w:hAnsi="Times New Roman" w:cs="Times New Roman"/>
        </w:rPr>
        <w:t xml:space="preserve">, in </w:t>
      </w:r>
      <w:r w:rsidRPr="00F609F8">
        <w:rPr>
          <w:rFonts w:ascii="Times New Roman" w:hAnsi="Times New Roman" w:cs="Times New Roman"/>
          <w:i/>
        </w:rPr>
        <w:t>ISPOR 19th Annual European Congress</w:t>
      </w:r>
      <w:r w:rsidRPr="00F609F8">
        <w:rPr>
          <w:rFonts w:ascii="Times New Roman" w:hAnsi="Times New Roman" w:cs="Times New Roman"/>
        </w:rPr>
        <w:t>. 2016: Vienna, Austria.</w:t>
      </w:r>
    </w:p>
    <w:p w14:paraId="1B18DCD0" w14:textId="77777777"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20.</w:t>
      </w:r>
      <w:r w:rsidRPr="00F609F8">
        <w:rPr>
          <w:rFonts w:ascii="Times New Roman" w:hAnsi="Times New Roman" w:cs="Times New Roman"/>
        </w:rPr>
        <w:tab/>
        <w:t xml:space="preserve">Dombret, H., et al., </w:t>
      </w:r>
      <w:r w:rsidRPr="00F609F8">
        <w:rPr>
          <w:rFonts w:ascii="Times New Roman" w:hAnsi="Times New Roman" w:cs="Times New Roman"/>
          <w:i/>
        </w:rPr>
        <w:t>Healthcare burden and reimbursement of hospitalization during chemotherapy for adults with Ph-negative relapsed or refractory B-cell precursor acute lymphoblastic leukemia in France: a retrospective chart review.</w:t>
      </w:r>
      <w:r w:rsidRPr="00F609F8">
        <w:rPr>
          <w:rFonts w:ascii="Times New Roman" w:hAnsi="Times New Roman" w:cs="Times New Roman"/>
        </w:rPr>
        <w:t xml:space="preserve"> J Med Econ, 2016. </w:t>
      </w:r>
      <w:r w:rsidRPr="00F609F8">
        <w:rPr>
          <w:rFonts w:ascii="Times New Roman" w:hAnsi="Times New Roman" w:cs="Times New Roman"/>
          <w:b/>
        </w:rPr>
        <w:t>19</w:t>
      </w:r>
      <w:r w:rsidRPr="00F609F8">
        <w:rPr>
          <w:rFonts w:ascii="Times New Roman" w:hAnsi="Times New Roman" w:cs="Times New Roman"/>
        </w:rPr>
        <w:t>(11): p. 1034-1039.</w:t>
      </w:r>
    </w:p>
    <w:p w14:paraId="46E0D2AC" w14:textId="77777777"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21.</w:t>
      </w:r>
      <w:r w:rsidRPr="00F609F8">
        <w:rPr>
          <w:rFonts w:ascii="Times New Roman" w:hAnsi="Times New Roman" w:cs="Times New Roman"/>
        </w:rPr>
        <w:tab/>
        <w:t xml:space="preserve">Martin, P.J., et al., </w:t>
      </w:r>
      <w:r w:rsidRPr="00F609F8">
        <w:rPr>
          <w:rFonts w:ascii="Times New Roman" w:hAnsi="Times New Roman" w:cs="Times New Roman"/>
          <w:i/>
        </w:rPr>
        <w:t>Life expectancy in patients surviving more than 5 years after hematopoietic cell transplantation.</w:t>
      </w:r>
      <w:r w:rsidRPr="00F609F8">
        <w:rPr>
          <w:rFonts w:ascii="Times New Roman" w:hAnsi="Times New Roman" w:cs="Times New Roman"/>
        </w:rPr>
        <w:t xml:space="preserve"> Journal of Clinical Oncology, 2010. </w:t>
      </w:r>
      <w:r w:rsidRPr="00F609F8">
        <w:rPr>
          <w:rFonts w:ascii="Times New Roman" w:hAnsi="Times New Roman" w:cs="Times New Roman"/>
          <w:b/>
        </w:rPr>
        <w:t>28</w:t>
      </w:r>
      <w:r w:rsidRPr="00F609F8">
        <w:rPr>
          <w:rFonts w:ascii="Times New Roman" w:hAnsi="Times New Roman" w:cs="Times New Roman"/>
        </w:rPr>
        <w:t>(6): p. 1011-1016.</w:t>
      </w:r>
    </w:p>
    <w:p w14:paraId="55307EB1" w14:textId="457C1AF3"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22.</w:t>
      </w:r>
      <w:r w:rsidRPr="00F609F8">
        <w:rPr>
          <w:rFonts w:ascii="Times New Roman" w:hAnsi="Times New Roman" w:cs="Times New Roman"/>
        </w:rPr>
        <w:tab/>
        <w:t xml:space="preserve">National Institute for Health and Care Excellence (NICE). </w:t>
      </w:r>
      <w:r w:rsidRPr="00F609F8">
        <w:rPr>
          <w:rFonts w:ascii="Times New Roman" w:hAnsi="Times New Roman" w:cs="Times New Roman"/>
          <w:i/>
        </w:rPr>
        <w:t>Appraisal consultation document Inotuzumab ozogamicin for treating relapsed or refractory B-cell acute lymphoblastic leukaemia</w:t>
      </w:r>
      <w:r w:rsidRPr="00F609F8">
        <w:rPr>
          <w:rFonts w:ascii="Times New Roman" w:hAnsi="Times New Roman" w:cs="Times New Roman"/>
        </w:rPr>
        <w:t xml:space="preserve">. 2017; Available from: </w:t>
      </w:r>
      <w:hyperlink r:id="rId17" w:history="1">
        <w:r w:rsidRPr="00F609F8">
          <w:rPr>
            <w:rStyle w:val="Hyperlink"/>
            <w:rFonts w:ascii="Times New Roman" w:hAnsi="Times New Roman" w:cs="Times New Roman"/>
          </w:rPr>
          <w:t>https://www.nice.org.uk/guidance/gid-ta10091/documents/appraisal-consultation-document</w:t>
        </w:r>
      </w:hyperlink>
      <w:r w:rsidRPr="00F609F8">
        <w:rPr>
          <w:rFonts w:ascii="Times New Roman" w:hAnsi="Times New Roman" w:cs="Times New Roman"/>
        </w:rPr>
        <w:t>.</w:t>
      </w:r>
    </w:p>
    <w:p w14:paraId="421ED44C" w14:textId="4522AC73"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23.</w:t>
      </w:r>
      <w:r w:rsidRPr="00F609F8">
        <w:rPr>
          <w:rFonts w:ascii="Times New Roman" w:hAnsi="Times New Roman" w:cs="Times New Roman"/>
        </w:rPr>
        <w:tab/>
        <w:t xml:space="preserve">National Institute for Health and Care Excellence. </w:t>
      </w:r>
      <w:r w:rsidRPr="00F609F8">
        <w:rPr>
          <w:rFonts w:ascii="Times New Roman" w:hAnsi="Times New Roman" w:cs="Times New Roman"/>
          <w:i/>
        </w:rPr>
        <w:t>Committee Papers - Final appraisal determination Inotuzumab ozogamicin for treating relapsed or refractory B-cell acute lymphoblastic leukaemia [ID893]</w:t>
      </w:r>
      <w:r w:rsidRPr="00F609F8">
        <w:rPr>
          <w:rFonts w:ascii="Times New Roman" w:hAnsi="Times New Roman" w:cs="Times New Roman"/>
        </w:rPr>
        <w:t xml:space="preserve">. 2017; Available from: </w:t>
      </w:r>
      <w:hyperlink r:id="rId18" w:history="1">
        <w:r w:rsidRPr="00F609F8">
          <w:rPr>
            <w:rStyle w:val="Hyperlink"/>
            <w:rFonts w:ascii="Times New Roman" w:hAnsi="Times New Roman" w:cs="Times New Roman"/>
          </w:rPr>
          <w:t>https://www.nice.org.uk/guidance/gid-ta10091/documents/committee-papers</w:t>
        </w:r>
      </w:hyperlink>
      <w:r w:rsidRPr="00F609F8">
        <w:rPr>
          <w:rFonts w:ascii="Times New Roman" w:hAnsi="Times New Roman" w:cs="Times New Roman"/>
        </w:rPr>
        <w:t>.</w:t>
      </w:r>
    </w:p>
    <w:p w14:paraId="73D3F832" w14:textId="5E3E9F40"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24.</w:t>
      </w:r>
      <w:r w:rsidRPr="00F609F8">
        <w:rPr>
          <w:rFonts w:ascii="Times New Roman" w:hAnsi="Times New Roman" w:cs="Times New Roman"/>
        </w:rPr>
        <w:tab/>
        <w:t xml:space="preserve">National Institute for Health and Care Excellence. </w:t>
      </w:r>
      <w:r w:rsidRPr="00F609F8">
        <w:rPr>
          <w:rFonts w:ascii="Times New Roman" w:hAnsi="Times New Roman" w:cs="Times New Roman"/>
          <w:i/>
        </w:rPr>
        <w:t>Final appraisal determination Inotuzumab ozogamicin for treating relapsed or refractory B-cell acute lymphoblastic leukaemia</w:t>
      </w:r>
      <w:r w:rsidRPr="00F609F8">
        <w:rPr>
          <w:rFonts w:ascii="Times New Roman" w:hAnsi="Times New Roman" w:cs="Times New Roman"/>
        </w:rPr>
        <w:t xml:space="preserve">. 2017; Available from: </w:t>
      </w:r>
      <w:hyperlink r:id="rId19" w:history="1">
        <w:r w:rsidRPr="00F609F8">
          <w:rPr>
            <w:rStyle w:val="Hyperlink"/>
            <w:rFonts w:ascii="Times New Roman" w:hAnsi="Times New Roman" w:cs="Times New Roman"/>
          </w:rPr>
          <w:t>https://www.nice.org.uk/guidance/gid-ta10091/documents/final-appraisal-determination-document</w:t>
        </w:r>
      </w:hyperlink>
      <w:r w:rsidRPr="00F609F8">
        <w:rPr>
          <w:rFonts w:ascii="Times New Roman" w:hAnsi="Times New Roman" w:cs="Times New Roman"/>
        </w:rPr>
        <w:t>.</w:t>
      </w:r>
    </w:p>
    <w:p w14:paraId="3D457DD5" w14:textId="23705489"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25.</w:t>
      </w:r>
      <w:r w:rsidRPr="00F609F8">
        <w:rPr>
          <w:rFonts w:ascii="Times New Roman" w:hAnsi="Times New Roman" w:cs="Times New Roman"/>
        </w:rPr>
        <w:tab/>
        <w:t xml:space="preserve">National Institute for Health and Care Excellence. </w:t>
      </w:r>
      <w:r w:rsidRPr="00F609F8">
        <w:rPr>
          <w:rFonts w:ascii="Times New Roman" w:hAnsi="Times New Roman" w:cs="Times New Roman"/>
          <w:i/>
        </w:rPr>
        <w:t>Pfizer Ltd : Appeal letter</w:t>
      </w:r>
      <w:r w:rsidRPr="00F609F8">
        <w:rPr>
          <w:rFonts w:ascii="Times New Roman" w:hAnsi="Times New Roman" w:cs="Times New Roman"/>
        </w:rPr>
        <w:t xml:space="preserve">. 2017; Available from: </w:t>
      </w:r>
      <w:hyperlink r:id="rId20" w:history="1">
        <w:r w:rsidRPr="00F609F8">
          <w:rPr>
            <w:rStyle w:val="Hyperlink"/>
            <w:rFonts w:ascii="Times New Roman" w:hAnsi="Times New Roman" w:cs="Times New Roman"/>
          </w:rPr>
          <w:t>https://www.nice.org.uk/guidance/gid-ta10091/documents/appeal-letter</w:t>
        </w:r>
      </w:hyperlink>
      <w:r w:rsidRPr="00F609F8">
        <w:rPr>
          <w:rFonts w:ascii="Times New Roman" w:hAnsi="Times New Roman" w:cs="Times New Roman"/>
        </w:rPr>
        <w:t>.</w:t>
      </w:r>
    </w:p>
    <w:p w14:paraId="759366B6" w14:textId="2767D008"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26.</w:t>
      </w:r>
      <w:r w:rsidRPr="00F609F8">
        <w:rPr>
          <w:rFonts w:ascii="Times New Roman" w:hAnsi="Times New Roman" w:cs="Times New Roman"/>
        </w:rPr>
        <w:tab/>
        <w:t xml:space="preserve">National Institute for Health and Care Excellence. </w:t>
      </w:r>
      <w:r w:rsidRPr="00F609F8">
        <w:rPr>
          <w:rFonts w:ascii="Times New Roman" w:hAnsi="Times New Roman" w:cs="Times New Roman"/>
          <w:i/>
        </w:rPr>
        <w:t>Appeal hearing - Advice on inotuzumab ozogamicin for treating relapsed refractory B-Cell acute lymphoblastic leukaemia: Decision of the panel</w:t>
      </w:r>
      <w:r w:rsidRPr="00F609F8">
        <w:rPr>
          <w:rFonts w:ascii="Times New Roman" w:hAnsi="Times New Roman" w:cs="Times New Roman"/>
        </w:rPr>
        <w:t xml:space="preserve">. 2017; Available from: </w:t>
      </w:r>
      <w:hyperlink r:id="rId21" w:history="1">
        <w:r w:rsidRPr="00F609F8">
          <w:rPr>
            <w:rStyle w:val="Hyperlink"/>
            <w:rFonts w:ascii="Times New Roman" w:hAnsi="Times New Roman" w:cs="Times New Roman"/>
          </w:rPr>
          <w:t>https://www.nice.org.uk/guidance/gid-ta10091/documents/appeal-decision-2</w:t>
        </w:r>
      </w:hyperlink>
      <w:r w:rsidRPr="00F609F8">
        <w:rPr>
          <w:rFonts w:ascii="Times New Roman" w:hAnsi="Times New Roman" w:cs="Times New Roman"/>
        </w:rPr>
        <w:t>.</w:t>
      </w:r>
    </w:p>
    <w:p w14:paraId="304A0D96" w14:textId="54A48897"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27.</w:t>
      </w:r>
      <w:r w:rsidRPr="00F609F8">
        <w:rPr>
          <w:rFonts w:ascii="Times New Roman" w:hAnsi="Times New Roman" w:cs="Times New Roman"/>
        </w:rPr>
        <w:tab/>
        <w:t xml:space="preserve">National Institute for Health and Care Excellence. </w:t>
      </w:r>
      <w:r w:rsidRPr="00F609F8">
        <w:rPr>
          <w:rFonts w:ascii="Times New Roman" w:hAnsi="Times New Roman" w:cs="Times New Roman"/>
          <w:i/>
        </w:rPr>
        <w:t>Appraisal consultation 2: Committee Papers - Inotuzumab ozogamicin for treating relapsed or refractory B-cell acute lymphoblastic leukaemia [ID893]</w:t>
      </w:r>
      <w:r w:rsidRPr="00F609F8">
        <w:rPr>
          <w:rFonts w:ascii="Times New Roman" w:hAnsi="Times New Roman" w:cs="Times New Roman"/>
        </w:rPr>
        <w:t xml:space="preserve">. 2018; Available from: </w:t>
      </w:r>
      <w:hyperlink r:id="rId22" w:history="1">
        <w:r w:rsidRPr="00F609F8">
          <w:rPr>
            <w:rStyle w:val="Hyperlink"/>
            <w:rFonts w:ascii="Times New Roman" w:hAnsi="Times New Roman" w:cs="Times New Roman"/>
          </w:rPr>
          <w:t>https://www.nice.org.uk/guidance/gid-ta10091/documents/committee-papers-3</w:t>
        </w:r>
      </w:hyperlink>
      <w:r w:rsidRPr="00F609F8">
        <w:rPr>
          <w:rFonts w:ascii="Times New Roman" w:hAnsi="Times New Roman" w:cs="Times New Roman"/>
        </w:rPr>
        <w:t>.</w:t>
      </w:r>
    </w:p>
    <w:p w14:paraId="16177434" w14:textId="4718DFD9"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28.</w:t>
      </w:r>
      <w:r w:rsidRPr="00F609F8">
        <w:rPr>
          <w:rFonts w:ascii="Times New Roman" w:hAnsi="Times New Roman" w:cs="Times New Roman"/>
        </w:rPr>
        <w:tab/>
        <w:t xml:space="preserve">National Institute for Health and Care Excellence. </w:t>
      </w:r>
      <w:r w:rsidRPr="00F609F8">
        <w:rPr>
          <w:rFonts w:ascii="Times New Roman" w:hAnsi="Times New Roman" w:cs="Times New Roman"/>
          <w:i/>
        </w:rPr>
        <w:t>Appraisal consultation 2: Appraisal consultation document - Inotuzumab ozogamicin for treating relapsed or refractory B-cell acute lymphoblastic leukaemia</w:t>
      </w:r>
      <w:r w:rsidRPr="00F609F8">
        <w:rPr>
          <w:rFonts w:ascii="Times New Roman" w:hAnsi="Times New Roman" w:cs="Times New Roman"/>
        </w:rPr>
        <w:t xml:space="preserve">. 2018; Available from: </w:t>
      </w:r>
      <w:hyperlink r:id="rId23" w:history="1">
        <w:r w:rsidRPr="00F609F8">
          <w:rPr>
            <w:rStyle w:val="Hyperlink"/>
            <w:rFonts w:ascii="Times New Roman" w:hAnsi="Times New Roman" w:cs="Times New Roman"/>
          </w:rPr>
          <w:t>https://www.nice.org.uk/guidance/gid-ta10091/documents/appraisal-consultation-document-2</w:t>
        </w:r>
      </w:hyperlink>
      <w:r w:rsidRPr="00F609F8">
        <w:rPr>
          <w:rFonts w:ascii="Times New Roman" w:hAnsi="Times New Roman" w:cs="Times New Roman"/>
        </w:rPr>
        <w:t>.</w:t>
      </w:r>
    </w:p>
    <w:p w14:paraId="2A8F1B7E" w14:textId="20505D41" w:rsidR="005F15F8" w:rsidRPr="00F609F8" w:rsidRDefault="005F15F8" w:rsidP="00F609F8">
      <w:pPr>
        <w:pStyle w:val="EndNoteBibliography"/>
        <w:spacing w:after="120"/>
        <w:ind w:left="720" w:hanging="720"/>
        <w:rPr>
          <w:rFonts w:ascii="Times New Roman" w:hAnsi="Times New Roman" w:cs="Times New Roman"/>
        </w:rPr>
      </w:pPr>
      <w:r w:rsidRPr="00F609F8">
        <w:rPr>
          <w:rFonts w:ascii="Times New Roman" w:hAnsi="Times New Roman" w:cs="Times New Roman"/>
        </w:rPr>
        <w:t>29.</w:t>
      </w:r>
      <w:r w:rsidRPr="00F609F8">
        <w:rPr>
          <w:rFonts w:ascii="Times New Roman" w:hAnsi="Times New Roman" w:cs="Times New Roman"/>
        </w:rPr>
        <w:tab/>
        <w:t xml:space="preserve">National Institute for Health and Care Excellence. </w:t>
      </w:r>
      <w:r w:rsidRPr="00F609F8">
        <w:rPr>
          <w:rFonts w:ascii="Times New Roman" w:hAnsi="Times New Roman" w:cs="Times New Roman"/>
          <w:i/>
        </w:rPr>
        <w:t>Final appraisal document: Inotuzumab ozogamicin for treating relapsed or refractory B-cell acute lymphoblastic leukaemia</w:t>
      </w:r>
      <w:r w:rsidRPr="00F609F8">
        <w:rPr>
          <w:rFonts w:ascii="Times New Roman" w:hAnsi="Times New Roman" w:cs="Times New Roman"/>
        </w:rPr>
        <w:t xml:space="preserve">. 2018; Available from: </w:t>
      </w:r>
      <w:hyperlink r:id="rId24" w:history="1">
        <w:r w:rsidRPr="00F609F8">
          <w:rPr>
            <w:rStyle w:val="Hyperlink"/>
            <w:rFonts w:ascii="Times New Roman" w:hAnsi="Times New Roman" w:cs="Times New Roman"/>
          </w:rPr>
          <w:t>https://www.nice.org.uk/guidance/gid-ta10091/documents/final-appraisal-determination-document-2</w:t>
        </w:r>
      </w:hyperlink>
      <w:r w:rsidRPr="00F609F8">
        <w:rPr>
          <w:rFonts w:ascii="Times New Roman" w:hAnsi="Times New Roman" w:cs="Times New Roman"/>
        </w:rPr>
        <w:t>.</w:t>
      </w:r>
    </w:p>
    <w:p w14:paraId="02970884" w14:textId="52EEB47E" w:rsidR="00BE567A" w:rsidRDefault="00BE201D" w:rsidP="00F609F8">
      <w:pPr>
        <w:pStyle w:val="Heading1"/>
        <w:numPr>
          <w:ilvl w:val="0"/>
          <w:numId w:val="0"/>
        </w:numPr>
        <w:spacing w:after="160" w:line="360" w:lineRule="auto"/>
        <w:ind w:left="432" w:hanging="432"/>
        <w:rPr>
          <w:rFonts w:cs="Times New Roman"/>
          <w:spacing w:val="5"/>
          <w:sz w:val="22"/>
          <w:szCs w:val="22"/>
        </w:rPr>
      </w:pPr>
      <w:r w:rsidRPr="00F609F8">
        <w:rPr>
          <w:rFonts w:cs="Times New Roman"/>
          <w:spacing w:val="5"/>
          <w:sz w:val="22"/>
          <w:szCs w:val="22"/>
        </w:rPr>
        <w:fldChar w:fldCharType="end"/>
      </w:r>
    </w:p>
    <w:p w14:paraId="005BAAD4" w14:textId="007A6D5A" w:rsidR="00051F52" w:rsidRDefault="00051F52" w:rsidP="007D2A8D">
      <w:pPr>
        <w:pStyle w:val="Heading1"/>
        <w:numPr>
          <w:ilvl w:val="0"/>
          <w:numId w:val="0"/>
        </w:numPr>
        <w:spacing w:after="160" w:line="360" w:lineRule="auto"/>
        <w:ind w:left="432" w:hanging="432"/>
      </w:pPr>
      <w:r w:rsidRPr="00051F52">
        <w:lastRenderedPageBreak/>
        <w:t xml:space="preserve">Tables </w:t>
      </w:r>
    </w:p>
    <w:p w14:paraId="56FE0E89" w14:textId="7DAE9D58" w:rsidR="00414E5C" w:rsidRDefault="00A7535A" w:rsidP="00A7535A">
      <w:pPr>
        <w:pStyle w:val="Caption"/>
        <w:rPr>
          <w:rFonts w:ascii="Times New Roman" w:hAnsi="Times New Roman" w:cs="Times New Roman"/>
          <w:i w:val="0"/>
          <w:iCs w:val="0"/>
          <w:color w:val="auto"/>
          <w:sz w:val="22"/>
          <w:szCs w:val="22"/>
        </w:rPr>
      </w:pPr>
      <w:bookmarkStart w:id="1" w:name="_Ref499284619"/>
      <w:r w:rsidRPr="00A7535A">
        <w:rPr>
          <w:rFonts w:ascii="Times New Roman" w:hAnsi="Times New Roman" w:cs="Times New Roman"/>
          <w:b/>
          <w:i w:val="0"/>
          <w:iCs w:val="0"/>
          <w:color w:val="auto"/>
          <w:sz w:val="22"/>
          <w:szCs w:val="22"/>
        </w:rPr>
        <w:t xml:space="preserve">Table </w:t>
      </w:r>
      <w:r w:rsidRPr="00A7535A">
        <w:rPr>
          <w:rFonts w:ascii="Times New Roman" w:hAnsi="Times New Roman" w:cs="Times New Roman"/>
          <w:b/>
          <w:i w:val="0"/>
          <w:iCs w:val="0"/>
          <w:color w:val="auto"/>
          <w:sz w:val="22"/>
          <w:szCs w:val="22"/>
        </w:rPr>
        <w:fldChar w:fldCharType="begin"/>
      </w:r>
      <w:r w:rsidRPr="00A7535A">
        <w:rPr>
          <w:rFonts w:ascii="Times New Roman" w:hAnsi="Times New Roman" w:cs="Times New Roman"/>
          <w:b/>
          <w:i w:val="0"/>
          <w:iCs w:val="0"/>
          <w:color w:val="auto"/>
          <w:sz w:val="22"/>
          <w:szCs w:val="22"/>
        </w:rPr>
        <w:instrText xml:space="preserve"> SEQ Table \* ARABIC </w:instrText>
      </w:r>
      <w:r w:rsidRPr="00A7535A">
        <w:rPr>
          <w:rFonts w:ascii="Times New Roman" w:hAnsi="Times New Roman" w:cs="Times New Roman"/>
          <w:b/>
          <w:i w:val="0"/>
          <w:iCs w:val="0"/>
          <w:color w:val="auto"/>
          <w:sz w:val="22"/>
          <w:szCs w:val="22"/>
        </w:rPr>
        <w:fldChar w:fldCharType="separate"/>
      </w:r>
      <w:r w:rsidR="00742587">
        <w:rPr>
          <w:rFonts w:ascii="Times New Roman" w:hAnsi="Times New Roman" w:cs="Times New Roman"/>
          <w:b/>
          <w:i w:val="0"/>
          <w:iCs w:val="0"/>
          <w:noProof/>
          <w:color w:val="auto"/>
          <w:sz w:val="22"/>
          <w:szCs w:val="22"/>
        </w:rPr>
        <w:t>1</w:t>
      </w:r>
      <w:r w:rsidRPr="00A7535A">
        <w:rPr>
          <w:rFonts w:ascii="Times New Roman" w:hAnsi="Times New Roman" w:cs="Times New Roman"/>
          <w:b/>
          <w:i w:val="0"/>
          <w:iCs w:val="0"/>
          <w:color w:val="auto"/>
          <w:sz w:val="22"/>
          <w:szCs w:val="22"/>
        </w:rPr>
        <w:fldChar w:fldCharType="end"/>
      </w:r>
      <w:r w:rsidR="00414E5C">
        <w:rPr>
          <w:rFonts w:ascii="Times New Roman" w:hAnsi="Times New Roman" w:cs="Times New Roman"/>
        </w:rPr>
        <w:t xml:space="preserve"> </w:t>
      </w:r>
      <w:r w:rsidR="00E436C9">
        <w:rPr>
          <w:rFonts w:ascii="Times New Roman" w:hAnsi="Times New Roman" w:cs="Times New Roman"/>
          <w:i w:val="0"/>
          <w:iCs w:val="0"/>
          <w:color w:val="auto"/>
          <w:sz w:val="22"/>
          <w:szCs w:val="22"/>
        </w:rPr>
        <w:t>Summary</w:t>
      </w:r>
      <w:r w:rsidR="00414E5C" w:rsidRPr="00442773">
        <w:rPr>
          <w:rFonts w:ascii="Times New Roman" w:hAnsi="Times New Roman" w:cs="Times New Roman"/>
          <w:i w:val="0"/>
          <w:iCs w:val="0"/>
          <w:color w:val="auto"/>
          <w:sz w:val="22"/>
          <w:szCs w:val="22"/>
        </w:rPr>
        <w:t xml:space="preserve"> of the </w:t>
      </w:r>
      <w:r w:rsidR="00414E5C">
        <w:rPr>
          <w:rFonts w:ascii="Times New Roman" w:hAnsi="Times New Roman" w:cs="Times New Roman"/>
          <w:i w:val="0"/>
          <w:iCs w:val="0"/>
          <w:color w:val="auto"/>
          <w:sz w:val="22"/>
          <w:szCs w:val="22"/>
        </w:rPr>
        <w:t>clinical evidence</w:t>
      </w:r>
    </w:p>
    <w:tbl>
      <w:tblPr>
        <w:tblStyle w:val="TableGrid"/>
        <w:tblW w:w="0" w:type="auto"/>
        <w:tblLook w:val="04A0" w:firstRow="1" w:lastRow="0" w:firstColumn="1" w:lastColumn="0" w:noHBand="0" w:noVBand="1"/>
      </w:tblPr>
      <w:tblGrid>
        <w:gridCol w:w="2972"/>
        <w:gridCol w:w="1984"/>
        <w:gridCol w:w="1985"/>
      </w:tblGrid>
      <w:tr w:rsidR="00E436C9" w14:paraId="65A87D46" w14:textId="77777777" w:rsidTr="003A2662">
        <w:trPr>
          <w:trHeight w:val="246"/>
        </w:trPr>
        <w:tc>
          <w:tcPr>
            <w:tcW w:w="2972" w:type="dxa"/>
            <w:vMerge w:val="restart"/>
            <w:shd w:val="clear" w:color="auto" w:fill="F2F2F2" w:themeFill="background1" w:themeFillShade="F2"/>
          </w:tcPr>
          <w:p w14:paraId="0E6BF1BA" w14:textId="00D11787" w:rsidR="00E436C9" w:rsidRPr="00414E5C" w:rsidRDefault="00E436C9" w:rsidP="00E436C9">
            <w:pPr>
              <w:jc w:val="center"/>
              <w:rPr>
                <w:rFonts w:ascii="Times New Roman" w:hAnsi="Times New Roman" w:cs="Times New Roman"/>
                <w:sz w:val="20"/>
              </w:rPr>
            </w:pPr>
          </w:p>
        </w:tc>
        <w:tc>
          <w:tcPr>
            <w:tcW w:w="3969" w:type="dxa"/>
            <w:gridSpan w:val="2"/>
            <w:shd w:val="clear" w:color="auto" w:fill="F2F2F2" w:themeFill="background1" w:themeFillShade="F2"/>
          </w:tcPr>
          <w:p w14:paraId="54AF56F9" w14:textId="6263510F" w:rsidR="00E436C9" w:rsidRPr="00414E5C" w:rsidRDefault="00E436C9" w:rsidP="00E436C9">
            <w:pPr>
              <w:spacing w:before="60" w:after="60"/>
              <w:jc w:val="center"/>
              <w:rPr>
                <w:rFonts w:ascii="Times New Roman" w:hAnsi="Times New Roman" w:cs="Times New Roman"/>
                <w:sz w:val="20"/>
              </w:rPr>
            </w:pPr>
            <w:r>
              <w:rPr>
                <w:rFonts w:ascii="Times New Roman" w:hAnsi="Times New Roman" w:cs="Times New Roman"/>
                <w:sz w:val="20"/>
              </w:rPr>
              <w:t>ITT population</w:t>
            </w:r>
            <w:r w:rsidR="009A764D">
              <w:rPr>
                <w:rFonts w:ascii="Times New Roman" w:hAnsi="Times New Roman" w:cs="Times New Roman"/>
                <w:sz w:val="20"/>
              </w:rPr>
              <w:t xml:space="preserve"> (N=326)</w:t>
            </w:r>
          </w:p>
        </w:tc>
      </w:tr>
      <w:tr w:rsidR="00E436C9" w14:paraId="21F247BA" w14:textId="77777777" w:rsidTr="003A2662">
        <w:tc>
          <w:tcPr>
            <w:tcW w:w="2972" w:type="dxa"/>
            <w:vMerge/>
            <w:shd w:val="clear" w:color="auto" w:fill="F2F2F2" w:themeFill="background1" w:themeFillShade="F2"/>
          </w:tcPr>
          <w:p w14:paraId="7B22436A" w14:textId="77777777" w:rsidR="00E436C9" w:rsidRPr="00414E5C" w:rsidRDefault="00E436C9" w:rsidP="00E436C9">
            <w:pPr>
              <w:spacing w:before="60" w:after="60"/>
              <w:jc w:val="center"/>
              <w:rPr>
                <w:rFonts w:ascii="Times New Roman" w:hAnsi="Times New Roman" w:cs="Times New Roman"/>
                <w:sz w:val="20"/>
              </w:rPr>
            </w:pPr>
          </w:p>
        </w:tc>
        <w:tc>
          <w:tcPr>
            <w:tcW w:w="1984" w:type="dxa"/>
            <w:shd w:val="clear" w:color="auto" w:fill="F2F2F2" w:themeFill="background1" w:themeFillShade="F2"/>
          </w:tcPr>
          <w:p w14:paraId="6C8121CE" w14:textId="062A11A9" w:rsidR="00E436C9" w:rsidRPr="00414E5C" w:rsidRDefault="00E436C9" w:rsidP="00E436C9">
            <w:pPr>
              <w:spacing w:before="60" w:after="60"/>
              <w:jc w:val="center"/>
              <w:rPr>
                <w:rFonts w:ascii="Times New Roman" w:hAnsi="Times New Roman" w:cs="Times New Roman"/>
                <w:sz w:val="20"/>
              </w:rPr>
            </w:pPr>
            <w:proofErr w:type="spellStart"/>
            <w:r w:rsidRPr="00414E5C">
              <w:rPr>
                <w:rFonts w:ascii="Times New Roman" w:hAnsi="Times New Roman" w:cs="Times New Roman"/>
                <w:sz w:val="20"/>
              </w:rPr>
              <w:t>Inotuzumab</w:t>
            </w:r>
            <w:proofErr w:type="spellEnd"/>
            <w:r>
              <w:rPr>
                <w:rFonts w:ascii="Times New Roman" w:hAnsi="Times New Roman" w:cs="Times New Roman"/>
                <w:sz w:val="20"/>
              </w:rPr>
              <w:t xml:space="preserve"> (N=164)</w:t>
            </w:r>
          </w:p>
        </w:tc>
        <w:tc>
          <w:tcPr>
            <w:tcW w:w="1985" w:type="dxa"/>
            <w:shd w:val="clear" w:color="auto" w:fill="F2F2F2" w:themeFill="background1" w:themeFillShade="F2"/>
          </w:tcPr>
          <w:p w14:paraId="30FAD60C" w14:textId="03740ECA" w:rsidR="00E436C9" w:rsidRPr="00414E5C" w:rsidRDefault="003A2662" w:rsidP="00E436C9">
            <w:pPr>
              <w:spacing w:before="60" w:after="60"/>
              <w:jc w:val="center"/>
              <w:rPr>
                <w:rFonts w:ascii="Times New Roman" w:hAnsi="Times New Roman" w:cs="Times New Roman"/>
                <w:sz w:val="20"/>
              </w:rPr>
            </w:pPr>
            <w:proofErr w:type="spellStart"/>
            <w:r>
              <w:rPr>
                <w:rFonts w:ascii="Times New Roman" w:hAnsi="Times New Roman" w:cs="Times New Roman"/>
                <w:sz w:val="20"/>
              </w:rPr>
              <w:t>SoC</w:t>
            </w:r>
            <w:proofErr w:type="spellEnd"/>
            <w:r w:rsidR="00E436C9">
              <w:rPr>
                <w:rFonts w:ascii="Times New Roman" w:hAnsi="Times New Roman" w:cs="Times New Roman"/>
                <w:sz w:val="20"/>
              </w:rPr>
              <w:t xml:space="preserve"> (N=162)</w:t>
            </w:r>
          </w:p>
        </w:tc>
      </w:tr>
      <w:tr w:rsidR="00414E5C" w14:paraId="6B43F55F" w14:textId="77777777" w:rsidTr="003A2662">
        <w:tc>
          <w:tcPr>
            <w:tcW w:w="2972" w:type="dxa"/>
            <w:vAlign w:val="center"/>
          </w:tcPr>
          <w:p w14:paraId="48D3BB52" w14:textId="1BFA1BD3" w:rsidR="00414E5C" w:rsidRPr="00E436C9" w:rsidRDefault="00E436C9" w:rsidP="00E436C9">
            <w:pPr>
              <w:rPr>
                <w:rFonts w:ascii="Times New Roman" w:hAnsi="Times New Roman" w:cs="Times New Roman"/>
                <w:sz w:val="20"/>
              </w:rPr>
            </w:pPr>
            <w:r>
              <w:rPr>
                <w:rFonts w:ascii="Times New Roman" w:hAnsi="Times New Roman" w:cs="Times New Roman"/>
                <w:sz w:val="20"/>
              </w:rPr>
              <w:t>CR/</w:t>
            </w:r>
            <w:proofErr w:type="spellStart"/>
            <w:r>
              <w:rPr>
                <w:rFonts w:ascii="Times New Roman" w:hAnsi="Times New Roman" w:cs="Times New Roman"/>
                <w:sz w:val="20"/>
              </w:rPr>
              <w:t>CRi</w:t>
            </w:r>
            <w:proofErr w:type="spellEnd"/>
            <w:r>
              <w:rPr>
                <w:rFonts w:ascii="Times New Roman" w:hAnsi="Times New Roman" w:cs="Times New Roman"/>
                <w:sz w:val="20"/>
              </w:rPr>
              <w:t>, n (%)</w:t>
            </w:r>
          </w:p>
        </w:tc>
        <w:tc>
          <w:tcPr>
            <w:tcW w:w="1984" w:type="dxa"/>
            <w:vAlign w:val="center"/>
          </w:tcPr>
          <w:p w14:paraId="7DC60849" w14:textId="600CB48E" w:rsidR="00414E5C" w:rsidRPr="00E436C9" w:rsidRDefault="00E436C9" w:rsidP="00E436C9">
            <w:pPr>
              <w:spacing w:before="60" w:after="60"/>
              <w:jc w:val="center"/>
              <w:rPr>
                <w:rFonts w:ascii="Times New Roman" w:hAnsi="Times New Roman" w:cs="Times New Roman"/>
                <w:sz w:val="20"/>
              </w:rPr>
            </w:pPr>
            <w:r>
              <w:rPr>
                <w:rFonts w:ascii="Times New Roman" w:hAnsi="Times New Roman" w:cs="Times New Roman"/>
                <w:sz w:val="20"/>
              </w:rPr>
              <w:t>120 (73.2)</w:t>
            </w:r>
          </w:p>
        </w:tc>
        <w:tc>
          <w:tcPr>
            <w:tcW w:w="1985" w:type="dxa"/>
            <w:vAlign w:val="center"/>
          </w:tcPr>
          <w:p w14:paraId="3138CE02" w14:textId="7FD7E6D2" w:rsidR="00414E5C" w:rsidRPr="00E436C9" w:rsidRDefault="00E436C9" w:rsidP="00E436C9">
            <w:pPr>
              <w:spacing w:before="60" w:after="60"/>
              <w:jc w:val="center"/>
              <w:rPr>
                <w:rFonts w:ascii="Times New Roman" w:hAnsi="Times New Roman" w:cs="Times New Roman"/>
                <w:sz w:val="20"/>
              </w:rPr>
            </w:pPr>
            <w:r>
              <w:rPr>
                <w:rFonts w:ascii="Times New Roman" w:hAnsi="Times New Roman" w:cs="Times New Roman"/>
                <w:sz w:val="20"/>
              </w:rPr>
              <w:t>50 (30.9)</w:t>
            </w:r>
          </w:p>
        </w:tc>
      </w:tr>
      <w:tr w:rsidR="00414E5C" w14:paraId="604FE86F" w14:textId="77777777" w:rsidTr="003A2662">
        <w:tc>
          <w:tcPr>
            <w:tcW w:w="2972" w:type="dxa"/>
            <w:vAlign w:val="center"/>
          </w:tcPr>
          <w:p w14:paraId="292924C4" w14:textId="1B53DB33" w:rsidR="00414E5C" w:rsidRPr="00E436C9" w:rsidRDefault="00E20560" w:rsidP="00E20560">
            <w:pPr>
              <w:rPr>
                <w:rFonts w:ascii="Times New Roman" w:hAnsi="Times New Roman" w:cs="Times New Roman"/>
                <w:sz w:val="20"/>
              </w:rPr>
            </w:pPr>
            <w:r>
              <w:rPr>
                <w:rFonts w:ascii="Times New Roman" w:hAnsi="Times New Roman" w:cs="Times New Roman"/>
                <w:sz w:val="20"/>
              </w:rPr>
              <w:t>CR/</w:t>
            </w:r>
            <w:proofErr w:type="spellStart"/>
            <w:r>
              <w:rPr>
                <w:rFonts w:ascii="Times New Roman" w:hAnsi="Times New Roman" w:cs="Times New Roman"/>
                <w:sz w:val="20"/>
              </w:rPr>
              <w:t>CRi</w:t>
            </w:r>
            <w:proofErr w:type="spellEnd"/>
            <w:r>
              <w:rPr>
                <w:rFonts w:ascii="Times New Roman" w:hAnsi="Times New Roman" w:cs="Times New Roman"/>
                <w:sz w:val="20"/>
              </w:rPr>
              <w:t xml:space="preserve"> &amp; </w:t>
            </w:r>
            <w:r w:rsidR="00170DB2">
              <w:rPr>
                <w:rFonts w:ascii="Times New Roman" w:hAnsi="Times New Roman" w:cs="Times New Roman"/>
                <w:sz w:val="20"/>
              </w:rPr>
              <w:t xml:space="preserve">MRD </w:t>
            </w:r>
            <w:r w:rsidR="003A2662">
              <w:rPr>
                <w:rFonts w:ascii="Times New Roman" w:hAnsi="Times New Roman" w:cs="Times New Roman"/>
                <w:sz w:val="20"/>
              </w:rPr>
              <w:t>negative</w:t>
            </w:r>
            <w:r w:rsidR="00170DB2">
              <w:rPr>
                <w:rFonts w:ascii="Times New Roman" w:hAnsi="Times New Roman" w:cs="Times New Roman"/>
                <w:sz w:val="20"/>
              </w:rPr>
              <w:t>, n (%)</w:t>
            </w:r>
          </w:p>
        </w:tc>
        <w:tc>
          <w:tcPr>
            <w:tcW w:w="1984" w:type="dxa"/>
            <w:vAlign w:val="center"/>
          </w:tcPr>
          <w:p w14:paraId="2A74325F" w14:textId="6DF541D0" w:rsidR="00414E5C" w:rsidRPr="00E436C9" w:rsidRDefault="00E436C9" w:rsidP="00B5048A">
            <w:pPr>
              <w:spacing w:before="60" w:after="60"/>
              <w:jc w:val="center"/>
              <w:rPr>
                <w:rFonts w:ascii="Times New Roman" w:hAnsi="Times New Roman" w:cs="Times New Roman"/>
                <w:sz w:val="20"/>
              </w:rPr>
            </w:pPr>
            <w:r>
              <w:rPr>
                <w:rFonts w:ascii="Times New Roman" w:hAnsi="Times New Roman" w:cs="Times New Roman"/>
                <w:sz w:val="20"/>
              </w:rPr>
              <w:t>9</w:t>
            </w:r>
            <w:r w:rsidR="00F622E7">
              <w:rPr>
                <w:rFonts w:ascii="Times New Roman" w:hAnsi="Times New Roman" w:cs="Times New Roman"/>
                <w:sz w:val="20"/>
              </w:rPr>
              <w:t>2/120 (76.7</w:t>
            </w:r>
            <w:r>
              <w:rPr>
                <w:rFonts w:ascii="Times New Roman" w:hAnsi="Times New Roman" w:cs="Times New Roman"/>
                <w:sz w:val="20"/>
              </w:rPr>
              <w:t>)</w:t>
            </w:r>
          </w:p>
        </w:tc>
        <w:tc>
          <w:tcPr>
            <w:tcW w:w="1985" w:type="dxa"/>
            <w:vAlign w:val="center"/>
          </w:tcPr>
          <w:p w14:paraId="46BD1EB5" w14:textId="4072C160" w:rsidR="00414E5C" w:rsidRPr="00E436C9" w:rsidRDefault="00E436C9" w:rsidP="00F622E7">
            <w:pPr>
              <w:spacing w:before="60" w:after="60"/>
              <w:jc w:val="center"/>
              <w:rPr>
                <w:rFonts w:ascii="Times New Roman" w:hAnsi="Times New Roman" w:cs="Times New Roman"/>
                <w:sz w:val="20"/>
              </w:rPr>
            </w:pPr>
            <w:r>
              <w:rPr>
                <w:rFonts w:ascii="Times New Roman" w:hAnsi="Times New Roman" w:cs="Times New Roman"/>
                <w:sz w:val="20"/>
              </w:rPr>
              <w:t>19/50 (38</w:t>
            </w:r>
            <w:r w:rsidR="00CD7BAD">
              <w:rPr>
                <w:rFonts w:ascii="Times New Roman" w:hAnsi="Times New Roman" w:cs="Times New Roman"/>
                <w:sz w:val="20"/>
              </w:rPr>
              <w:t>.0</w:t>
            </w:r>
            <w:r>
              <w:rPr>
                <w:rFonts w:ascii="Times New Roman" w:hAnsi="Times New Roman" w:cs="Times New Roman"/>
                <w:sz w:val="20"/>
              </w:rPr>
              <w:t>)</w:t>
            </w:r>
          </w:p>
        </w:tc>
      </w:tr>
      <w:tr w:rsidR="00414E5C" w14:paraId="71A62733" w14:textId="77777777" w:rsidTr="003A2662">
        <w:tc>
          <w:tcPr>
            <w:tcW w:w="2972" w:type="dxa"/>
            <w:vAlign w:val="center"/>
          </w:tcPr>
          <w:p w14:paraId="7494CCA1" w14:textId="53E8D275" w:rsidR="00414E5C" w:rsidRPr="00E436C9" w:rsidRDefault="00E436C9" w:rsidP="00E436C9">
            <w:pPr>
              <w:rPr>
                <w:rFonts w:ascii="Times New Roman" w:hAnsi="Times New Roman" w:cs="Times New Roman"/>
                <w:sz w:val="20"/>
              </w:rPr>
            </w:pPr>
            <w:r>
              <w:rPr>
                <w:rFonts w:ascii="Times New Roman" w:hAnsi="Times New Roman" w:cs="Times New Roman"/>
                <w:sz w:val="20"/>
              </w:rPr>
              <w:t xml:space="preserve">HSCT, n (%) </w:t>
            </w:r>
          </w:p>
        </w:tc>
        <w:tc>
          <w:tcPr>
            <w:tcW w:w="1984" w:type="dxa"/>
            <w:vAlign w:val="center"/>
          </w:tcPr>
          <w:p w14:paraId="0B7B2252" w14:textId="0D2A9AC1" w:rsidR="00414E5C" w:rsidRPr="00E436C9" w:rsidRDefault="00E436C9" w:rsidP="00E436C9">
            <w:pPr>
              <w:spacing w:before="60" w:after="60"/>
              <w:jc w:val="center"/>
              <w:rPr>
                <w:rFonts w:ascii="Times New Roman" w:hAnsi="Times New Roman" w:cs="Times New Roman"/>
                <w:sz w:val="20"/>
              </w:rPr>
            </w:pPr>
            <w:r>
              <w:rPr>
                <w:rFonts w:ascii="Times New Roman" w:hAnsi="Times New Roman" w:cs="Times New Roman"/>
                <w:sz w:val="20"/>
              </w:rPr>
              <w:t>71 (43.3)</w:t>
            </w:r>
          </w:p>
        </w:tc>
        <w:tc>
          <w:tcPr>
            <w:tcW w:w="1985" w:type="dxa"/>
            <w:vAlign w:val="center"/>
          </w:tcPr>
          <w:p w14:paraId="0DE05193" w14:textId="4BD2872D" w:rsidR="00414E5C" w:rsidRPr="00E436C9" w:rsidRDefault="00E436C9" w:rsidP="00E436C9">
            <w:pPr>
              <w:spacing w:before="60" w:after="60"/>
              <w:jc w:val="center"/>
              <w:rPr>
                <w:rFonts w:ascii="Times New Roman" w:hAnsi="Times New Roman" w:cs="Times New Roman"/>
                <w:sz w:val="20"/>
              </w:rPr>
            </w:pPr>
            <w:r>
              <w:rPr>
                <w:rFonts w:ascii="Times New Roman" w:hAnsi="Times New Roman" w:cs="Times New Roman"/>
                <w:sz w:val="20"/>
              </w:rPr>
              <w:t>18 (11.1)</w:t>
            </w:r>
          </w:p>
        </w:tc>
      </w:tr>
      <w:tr w:rsidR="00414E5C" w14:paraId="7A453BF5" w14:textId="77777777" w:rsidTr="003A2662">
        <w:tc>
          <w:tcPr>
            <w:tcW w:w="2972" w:type="dxa"/>
            <w:vAlign w:val="center"/>
          </w:tcPr>
          <w:p w14:paraId="0E3AD594" w14:textId="68E70334" w:rsidR="00414E5C" w:rsidRPr="00E436C9" w:rsidRDefault="00C425BE" w:rsidP="000A5E1C">
            <w:pPr>
              <w:rPr>
                <w:rFonts w:ascii="Times New Roman" w:hAnsi="Times New Roman" w:cs="Times New Roman"/>
                <w:sz w:val="20"/>
              </w:rPr>
            </w:pPr>
            <w:r>
              <w:rPr>
                <w:rFonts w:ascii="Times New Roman" w:hAnsi="Times New Roman" w:cs="Times New Roman"/>
                <w:sz w:val="20"/>
              </w:rPr>
              <w:t>EQ-5D Index</w:t>
            </w:r>
            <w:r w:rsidR="00EC60A6">
              <w:rPr>
                <w:rFonts w:ascii="Times New Roman" w:hAnsi="Times New Roman" w:cs="Times New Roman"/>
                <w:sz w:val="20"/>
              </w:rPr>
              <w:t>,</w:t>
            </w:r>
            <w:r>
              <w:rPr>
                <w:rFonts w:ascii="Times New Roman" w:hAnsi="Times New Roman" w:cs="Times New Roman"/>
                <w:sz w:val="20"/>
              </w:rPr>
              <w:t xml:space="preserve"> (</w:t>
            </w:r>
            <w:r w:rsidR="000A5E1C">
              <w:rPr>
                <w:rFonts w:ascii="Times New Roman" w:hAnsi="Times New Roman" w:cs="Times New Roman"/>
                <w:sz w:val="20"/>
              </w:rPr>
              <w:t>95% CI</w:t>
            </w:r>
            <w:r>
              <w:rPr>
                <w:rFonts w:ascii="Times New Roman" w:hAnsi="Times New Roman" w:cs="Times New Roman"/>
                <w:sz w:val="20"/>
              </w:rPr>
              <w:t>)</w:t>
            </w:r>
          </w:p>
        </w:tc>
        <w:tc>
          <w:tcPr>
            <w:tcW w:w="1984" w:type="dxa"/>
            <w:vAlign w:val="center"/>
          </w:tcPr>
          <w:p w14:paraId="02204099" w14:textId="139FDC3D" w:rsidR="00414E5C" w:rsidRPr="00E436C9" w:rsidRDefault="000A5E1C" w:rsidP="000A5E1C">
            <w:pPr>
              <w:spacing w:before="60" w:after="60"/>
              <w:jc w:val="center"/>
              <w:rPr>
                <w:rFonts w:ascii="Times New Roman" w:hAnsi="Times New Roman" w:cs="Times New Roman"/>
                <w:sz w:val="20"/>
              </w:rPr>
            </w:pPr>
            <w:r>
              <w:rPr>
                <w:rFonts w:ascii="Times New Roman" w:hAnsi="Times New Roman" w:cs="Times New Roman"/>
                <w:sz w:val="20"/>
              </w:rPr>
              <w:t>0.80</w:t>
            </w:r>
            <w:r w:rsidR="00C425BE">
              <w:rPr>
                <w:rFonts w:ascii="Times New Roman" w:hAnsi="Times New Roman" w:cs="Times New Roman"/>
                <w:sz w:val="20"/>
              </w:rPr>
              <w:t xml:space="preserve"> (0</w:t>
            </w:r>
            <w:r>
              <w:rPr>
                <w:rFonts w:ascii="Times New Roman" w:hAnsi="Times New Roman" w:cs="Times New Roman"/>
                <w:sz w:val="20"/>
              </w:rPr>
              <w:t>.77, 0.82</w:t>
            </w:r>
            <w:r w:rsidR="00C425BE">
              <w:rPr>
                <w:rFonts w:ascii="Times New Roman" w:hAnsi="Times New Roman" w:cs="Times New Roman"/>
                <w:sz w:val="20"/>
              </w:rPr>
              <w:t>)</w:t>
            </w:r>
          </w:p>
        </w:tc>
        <w:tc>
          <w:tcPr>
            <w:tcW w:w="1985" w:type="dxa"/>
            <w:vAlign w:val="center"/>
          </w:tcPr>
          <w:p w14:paraId="2A5AD90B" w14:textId="6EC63484" w:rsidR="00414E5C" w:rsidRPr="00E436C9" w:rsidRDefault="00C425BE" w:rsidP="000A5E1C">
            <w:pPr>
              <w:spacing w:before="60" w:after="60"/>
              <w:jc w:val="center"/>
              <w:rPr>
                <w:rFonts w:ascii="Times New Roman" w:hAnsi="Times New Roman" w:cs="Times New Roman"/>
                <w:sz w:val="20"/>
              </w:rPr>
            </w:pPr>
            <w:r>
              <w:rPr>
                <w:rFonts w:ascii="Times New Roman" w:hAnsi="Times New Roman" w:cs="Times New Roman"/>
                <w:sz w:val="20"/>
              </w:rPr>
              <w:t xml:space="preserve">0.76 </w:t>
            </w:r>
            <w:r w:rsidR="000A5E1C">
              <w:rPr>
                <w:rFonts w:ascii="Times New Roman" w:hAnsi="Times New Roman" w:cs="Times New Roman"/>
                <w:sz w:val="20"/>
              </w:rPr>
              <w:t>(0.73,0.80</w:t>
            </w:r>
            <w:r>
              <w:rPr>
                <w:rFonts w:ascii="Times New Roman" w:hAnsi="Times New Roman" w:cs="Times New Roman"/>
                <w:sz w:val="20"/>
              </w:rPr>
              <w:t>)</w:t>
            </w:r>
          </w:p>
        </w:tc>
      </w:tr>
      <w:tr w:rsidR="000A5E1C" w14:paraId="0D7378FF" w14:textId="77777777" w:rsidTr="003A2662">
        <w:tc>
          <w:tcPr>
            <w:tcW w:w="2972" w:type="dxa"/>
            <w:vAlign w:val="center"/>
          </w:tcPr>
          <w:p w14:paraId="7320FB41" w14:textId="7F98E860" w:rsidR="000A5E1C" w:rsidRDefault="000A5E1C" w:rsidP="00E436C9">
            <w:pPr>
              <w:rPr>
                <w:rFonts w:ascii="Times New Roman" w:hAnsi="Times New Roman" w:cs="Times New Roman"/>
                <w:sz w:val="20"/>
              </w:rPr>
            </w:pPr>
            <w:r>
              <w:rPr>
                <w:rFonts w:ascii="Times New Roman" w:hAnsi="Times New Roman" w:cs="Times New Roman"/>
                <w:sz w:val="20"/>
              </w:rPr>
              <w:t>EQ-VAS, (95% CI)</w:t>
            </w:r>
          </w:p>
        </w:tc>
        <w:tc>
          <w:tcPr>
            <w:tcW w:w="1984" w:type="dxa"/>
            <w:vAlign w:val="center"/>
          </w:tcPr>
          <w:p w14:paraId="5353E52C" w14:textId="435A4DF6" w:rsidR="000A5E1C" w:rsidRDefault="000A5E1C" w:rsidP="00E436C9">
            <w:pPr>
              <w:spacing w:before="60" w:after="60"/>
              <w:jc w:val="center"/>
              <w:rPr>
                <w:rFonts w:ascii="Times New Roman" w:hAnsi="Times New Roman" w:cs="Times New Roman"/>
                <w:sz w:val="20"/>
              </w:rPr>
            </w:pPr>
            <w:r>
              <w:rPr>
                <w:rFonts w:ascii="Times New Roman" w:hAnsi="Times New Roman" w:cs="Times New Roman"/>
                <w:sz w:val="20"/>
              </w:rPr>
              <w:t>67.1 (64.0, 70.2)</w:t>
            </w:r>
          </w:p>
        </w:tc>
        <w:tc>
          <w:tcPr>
            <w:tcW w:w="1985" w:type="dxa"/>
            <w:vAlign w:val="center"/>
          </w:tcPr>
          <w:p w14:paraId="548BACDD" w14:textId="05C0AC85" w:rsidR="000A5E1C" w:rsidRDefault="000A5E1C" w:rsidP="00E436C9">
            <w:pPr>
              <w:spacing w:before="60" w:after="60"/>
              <w:jc w:val="center"/>
              <w:rPr>
                <w:rFonts w:ascii="Times New Roman" w:hAnsi="Times New Roman" w:cs="Times New Roman"/>
                <w:sz w:val="20"/>
              </w:rPr>
            </w:pPr>
            <w:r>
              <w:rPr>
                <w:rFonts w:ascii="Times New Roman" w:hAnsi="Times New Roman" w:cs="Times New Roman"/>
                <w:sz w:val="20"/>
              </w:rPr>
              <w:t>62.5 (57.6, 67.4)</w:t>
            </w:r>
          </w:p>
        </w:tc>
      </w:tr>
      <w:tr w:rsidR="004A22A9" w14:paraId="3803F50B" w14:textId="77777777" w:rsidTr="003A2662">
        <w:tc>
          <w:tcPr>
            <w:tcW w:w="2972" w:type="dxa"/>
            <w:shd w:val="clear" w:color="auto" w:fill="F2F2F2" w:themeFill="background1" w:themeFillShade="F2"/>
            <w:vAlign w:val="center"/>
          </w:tcPr>
          <w:p w14:paraId="4D1A295A" w14:textId="77777777" w:rsidR="004A22A9" w:rsidRPr="00E436C9" w:rsidRDefault="004A22A9" w:rsidP="00E436C9">
            <w:pPr>
              <w:rPr>
                <w:rFonts w:ascii="Times New Roman" w:hAnsi="Times New Roman" w:cs="Times New Roman"/>
                <w:sz w:val="20"/>
              </w:rPr>
            </w:pPr>
          </w:p>
        </w:tc>
        <w:tc>
          <w:tcPr>
            <w:tcW w:w="3969" w:type="dxa"/>
            <w:gridSpan w:val="2"/>
            <w:shd w:val="clear" w:color="auto" w:fill="F2F2F2" w:themeFill="background1" w:themeFillShade="F2"/>
            <w:vAlign w:val="center"/>
          </w:tcPr>
          <w:p w14:paraId="4FACECC4" w14:textId="0225D264" w:rsidR="004A22A9" w:rsidRPr="00E436C9" w:rsidRDefault="004A22A9" w:rsidP="00E436C9">
            <w:pPr>
              <w:spacing w:before="60" w:after="60"/>
              <w:jc w:val="center"/>
              <w:rPr>
                <w:rFonts w:ascii="Times New Roman" w:hAnsi="Times New Roman" w:cs="Times New Roman"/>
                <w:sz w:val="20"/>
              </w:rPr>
            </w:pPr>
            <w:r>
              <w:rPr>
                <w:rFonts w:ascii="Times New Roman" w:hAnsi="Times New Roman" w:cs="Times New Roman"/>
                <w:sz w:val="20"/>
              </w:rPr>
              <w:t>Safety population (N=307)</w:t>
            </w:r>
          </w:p>
        </w:tc>
      </w:tr>
      <w:tr w:rsidR="004A22A9" w14:paraId="55E7B029" w14:textId="77777777" w:rsidTr="003A2662">
        <w:tc>
          <w:tcPr>
            <w:tcW w:w="2972" w:type="dxa"/>
            <w:shd w:val="clear" w:color="auto" w:fill="F2F2F2" w:themeFill="background1" w:themeFillShade="F2"/>
            <w:vAlign w:val="center"/>
          </w:tcPr>
          <w:p w14:paraId="732799BA" w14:textId="64178A13" w:rsidR="004A22A9" w:rsidRPr="00E436C9" w:rsidRDefault="004A22A9" w:rsidP="004A22A9">
            <w:pPr>
              <w:rPr>
                <w:rFonts w:ascii="Times New Roman" w:hAnsi="Times New Roman" w:cs="Times New Roman"/>
                <w:sz w:val="20"/>
              </w:rPr>
            </w:pPr>
          </w:p>
        </w:tc>
        <w:tc>
          <w:tcPr>
            <w:tcW w:w="1984" w:type="dxa"/>
            <w:shd w:val="clear" w:color="auto" w:fill="F2F2F2" w:themeFill="background1" w:themeFillShade="F2"/>
          </w:tcPr>
          <w:p w14:paraId="1A561E45" w14:textId="4534DF5E" w:rsidR="004A22A9" w:rsidRDefault="004A22A9" w:rsidP="004A22A9">
            <w:pPr>
              <w:spacing w:before="60" w:after="60"/>
              <w:jc w:val="center"/>
              <w:rPr>
                <w:rFonts w:ascii="Times New Roman" w:hAnsi="Times New Roman" w:cs="Times New Roman"/>
                <w:sz w:val="20"/>
              </w:rPr>
            </w:pPr>
            <w:proofErr w:type="spellStart"/>
            <w:r w:rsidRPr="00414E5C">
              <w:rPr>
                <w:rFonts w:ascii="Times New Roman" w:hAnsi="Times New Roman" w:cs="Times New Roman"/>
                <w:sz w:val="20"/>
              </w:rPr>
              <w:t>Inotuzumab</w:t>
            </w:r>
            <w:proofErr w:type="spellEnd"/>
            <w:r>
              <w:rPr>
                <w:rFonts w:ascii="Times New Roman" w:hAnsi="Times New Roman" w:cs="Times New Roman"/>
                <w:sz w:val="20"/>
              </w:rPr>
              <w:t xml:space="preserve"> (N=164)</w:t>
            </w:r>
          </w:p>
        </w:tc>
        <w:tc>
          <w:tcPr>
            <w:tcW w:w="1985" w:type="dxa"/>
            <w:shd w:val="clear" w:color="auto" w:fill="F2F2F2" w:themeFill="background1" w:themeFillShade="F2"/>
          </w:tcPr>
          <w:p w14:paraId="51416C61" w14:textId="257ADEE2" w:rsidR="004A22A9" w:rsidRDefault="003A2662" w:rsidP="004A22A9">
            <w:pPr>
              <w:spacing w:before="60" w:after="60"/>
              <w:jc w:val="center"/>
              <w:rPr>
                <w:rFonts w:ascii="Times New Roman" w:hAnsi="Times New Roman" w:cs="Times New Roman"/>
                <w:sz w:val="20"/>
              </w:rPr>
            </w:pPr>
            <w:proofErr w:type="spellStart"/>
            <w:r>
              <w:rPr>
                <w:rFonts w:ascii="Times New Roman" w:hAnsi="Times New Roman" w:cs="Times New Roman"/>
                <w:sz w:val="20"/>
              </w:rPr>
              <w:t>SoC</w:t>
            </w:r>
            <w:proofErr w:type="spellEnd"/>
            <w:r w:rsidR="004A22A9">
              <w:rPr>
                <w:rFonts w:ascii="Times New Roman" w:hAnsi="Times New Roman" w:cs="Times New Roman"/>
                <w:sz w:val="20"/>
              </w:rPr>
              <w:t xml:space="preserve"> (N=143)</w:t>
            </w:r>
          </w:p>
        </w:tc>
      </w:tr>
      <w:tr w:rsidR="004A22A9" w14:paraId="687089EF" w14:textId="77777777" w:rsidTr="003A2662">
        <w:tc>
          <w:tcPr>
            <w:tcW w:w="2972" w:type="dxa"/>
            <w:vAlign w:val="center"/>
          </w:tcPr>
          <w:p w14:paraId="35ECB513" w14:textId="453230A5" w:rsidR="004A22A9" w:rsidRPr="00E436C9" w:rsidRDefault="004A22A9" w:rsidP="004A22A9">
            <w:pPr>
              <w:rPr>
                <w:rFonts w:ascii="Times New Roman" w:hAnsi="Times New Roman" w:cs="Times New Roman"/>
                <w:sz w:val="20"/>
              </w:rPr>
            </w:pPr>
            <w:r>
              <w:rPr>
                <w:rFonts w:ascii="Times New Roman" w:hAnsi="Times New Roman" w:cs="Times New Roman"/>
                <w:sz w:val="20"/>
              </w:rPr>
              <w:t>AEs, n (%)</w:t>
            </w:r>
          </w:p>
        </w:tc>
        <w:tc>
          <w:tcPr>
            <w:tcW w:w="1984" w:type="dxa"/>
            <w:vAlign w:val="center"/>
          </w:tcPr>
          <w:p w14:paraId="13FAC7F4" w14:textId="0C47C317" w:rsidR="004A22A9" w:rsidRDefault="005F73EC" w:rsidP="004A22A9">
            <w:pPr>
              <w:spacing w:before="60" w:after="60"/>
              <w:jc w:val="center"/>
              <w:rPr>
                <w:rFonts w:ascii="Times New Roman" w:hAnsi="Times New Roman" w:cs="Times New Roman"/>
                <w:sz w:val="20"/>
              </w:rPr>
            </w:pPr>
            <w:r>
              <w:rPr>
                <w:rFonts w:ascii="Times New Roman" w:hAnsi="Times New Roman" w:cs="Times New Roman"/>
                <w:sz w:val="20"/>
              </w:rPr>
              <w:t>163</w:t>
            </w:r>
            <w:r w:rsidR="004A22A9">
              <w:rPr>
                <w:rFonts w:ascii="Times New Roman" w:hAnsi="Times New Roman" w:cs="Times New Roman"/>
                <w:sz w:val="20"/>
              </w:rPr>
              <w:t xml:space="preserve"> (99.4)</w:t>
            </w:r>
          </w:p>
        </w:tc>
        <w:tc>
          <w:tcPr>
            <w:tcW w:w="1985" w:type="dxa"/>
            <w:vAlign w:val="center"/>
          </w:tcPr>
          <w:p w14:paraId="54EB783C" w14:textId="2128BD15" w:rsidR="004A22A9" w:rsidRDefault="004A22A9" w:rsidP="004A22A9">
            <w:pPr>
              <w:spacing w:before="60" w:after="60"/>
              <w:jc w:val="center"/>
              <w:rPr>
                <w:rFonts w:ascii="Times New Roman" w:hAnsi="Times New Roman" w:cs="Times New Roman"/>
                <w:sz w:val="20"/>
              </w:rPr>
            </w:pPr>
            <w:r>
              <w:rPr>
                <w:rFonts w:ascii="Times New Roman" w:hAnsi="Times New Roman" w:cs="Times New Roman"/>
                <w:sz w:val="20"/>
              </w:rPr>
              <w:t>143 (100)</w:t>
            </w:r>
          </w:p>
        </w:tc>
      </w:tr>
      <w:tr w:rsidR="004A22A9" w14:paraId="2AB9D100" w14:textId="77777777" w:rsidTr="003A2662">
        <w:tc>
          <w:tcPr>
            <w:tcW w:w="2972" w:type="dxa"/>
            <w:vAlign w:val="center"/>
          </w:tcPr>
          <w:p w14:paraId="6AEBFA48" w14:textId="2CBD4AF7" w:rsidR="004A22A9" w:rsidRPr="00E436C9" w:rsidRDefault="004A22A9" w:rsidP="004A22A9">
            <w:pPr>
              <w:rPr>
                <w:rFonts w:ascii="Times New Roman" w:hAnsi="Times New Roman" w:cs="Times New Roman"/>
                <w:sz w:val="20"/>
              </w:rPr>
            </w:pPr>
            <w:r>
              <w:rPr>
                <w:rFonts w:ascii="Times New Roman" w:hAnsi="Times New Roman" w:cs="Times New Roman"/>
                <w:sz w:val="20"/>
              </w:rPr>
              <w:t>SAEs, n (%)</w:t>
            </w:r>
          </w:p>
        </w:tc>
        <w:tc>
          <w:tcPr>
            <w:tcW w:w="1984" w:type="dxa"/>
            <w:vAlign w:val="center"/>
          </w:tcPr>
          <w:p w14:paraId="6C83CD92" w14:textId="2BA0A6EC" w:rsidR="004A22A9" w:rsidRDefault="002F3EDE" w:rsidP="004A22A9">
            <w:pPr>
              <w:spacing w:before="60" w:after="60"/>
              <w:jc w:val="center"/>
              <w:rPr>
                <w:rFonts w:ascii="Times New Roman" w:hAnsi="Times New Roman" w:cs="Times New Roman"/>
                <w:sz w:val="20"/>
              </w:rPr>
            </w:pPr>
            <w:r>
              <w:rPr>
                <w:rFonts w:ascii="Times New Roman" w:hAnsi="Times New Roman" w:cs="Times New Roman"/>
                <w:sz w:val="20"/>
              </w:rPr>
              <w:t>84 (51.2)</w:t>
            </w:r>
          </w:p>
        </w:tc>
        <w:tc>
          <w:tcPr>
            <w:tcW w:w="1985" w:type="dxa"/>
            <w:vAlign w:val="center"/>
          </w:tcPr>
          <w:p w14:paraId="79ED96A9" w14:textId="26B637A8" w:rsidR="004A22A9" w:rsidRDefault="002F3EDE" w:rsidP="004A22A9">
            <w:pPr>
              <w:spacing w:before="60" w:after="60"/>
              <w:jc w:val="center"/>
              <w:rPr>
                <w:rFonts w:ascii="Times New Roman" w:hAnsi="Times New Roman" w:cs="Times New Roman"/>
                <w:sz w:val="20"/>
              </w:rPr>
            </w:pPr>
            <w:r>
              <w:rPr>
                <w:rFonts w:ascii="Times New Roman" w:hAnsi="Times New Roman" w:cs="Times New Roman"/>
                <w:sz w:val="20"/>
              </w:rPr>
              <w:t>71 (49.7)</w:t>
            </w:r>
          </w:p>
        </w:tc>
      </w:tr>
      <w:tr w:rsidR="005F73EC" w14:paraId="72BDCC7F" w14:textId="77777777" w:rsidTr="003A2662">
        <w:tc>
          <w:tcPr>
            <w:tcW w:w="2972" w:type="dxa"/>
            <w:vAlign w:val="center"/>
          </w:tcPr>
          <w:p w14:paraId="001619B7" w14:textId="255E14DE" w:rsidR="005F73EC" w:rsidRDefault="005F73EC" w:rsidP="005F73EC">
            <w:pPr>
              <w:rPr>
                <w:rFonts w:ascii="Times New Roman" w:hAnsi="Times New Roman" w:cs="Times New Roman"/>
                <w:sz w:val="20"/>
              </w:rPr>
            </w:pPr>
            <w:r>
              <w:rPr>
                <w:rFonts w:ascii="Times New Roman" w:hAnsi="Times New Roman" w:cs="Times New Roman"/>
                <w:sz w:val="20"/>
              </w:rPr>
              <w:t>Grade ≥3 TEAE</w:t>
            </w:r>
          </w:p>
        </w:tc>
        <w:tc>
          <w:tcPr>
            <w:tcW w:w="1984" w:type="dxa"/>
            <w:vAlign w:val="center"/>
          </w:tcPr>
          <w:p w14:paraId="6AE53F98" w14:textId="2553451E" w:rsidR="005F73EC" w:rsidRDefault="005F73EC" w:rsidP="005F73EC">
            <w:pPr>
              <w:spacing w:before="60" w:after="60"/>
              <w:jc w:val="center"/>
              <w:rPr>
                <w:rFonts w:ascii="Times New Roman" w:hAnsi="Times New Roman" w:cs="Times New Roman"/>
                <w:sz w:val="20"/>
              </w:rPr>
            </w:pPr>
            <w:r>
              <w:rPr>
                <w:rFonts w:ascii="Times New Roman" w:hAnsi="Times New Roman" w:cs="Times New Roman"/>
                <w:sz w:val="20"/>
              </w:rPr>
              <w:t>149 (90.9)</w:t>
            </w:r>
          </w:p>
        </w:tc>
        <w:tc>
          <w:tcPr>
            <w:tcW w:w="1985" w:type="dxa"/>
            <w:vAlign w:val="center"/>
          </w:tcPr>
          <w:p w14:paraId="77C59A4F" w14:textId="068F59C8" w:rsidR="005F73EC" w:rsidRDefault="005F73EC" w:rsidP="005F73EC">
            <w:pPr>
              <w:spacing w:before="60" w:after="60"/>
              <w:jc w:val="center"/>
              <w:rPr>
                <w:rFonts w:ascii="Times New Roman" w:hAnsi="Times New Roman" w:cs="Times New Roman"/>
                <w:sz w:val="20"/>
              </w:rPr>
            </w:pPr>
            <w:r>
              <w:rPr>
                <w:rFonts w:ascii="Times New Roman" w:hAnsi="Times New Roman" w:cs="Times New Roman"/>
                <w:sz w:val="20"/>
              </w:rPr>
              <w:t>137 (95.8)</w:t>
            </w:r>
          </w:p>
        </w:tc>
      </w:tr>
      <w:tr w:rsidR="005F73EC" w14:paraId="5850726E" w14:textId="77777777" w:rsidTr="003A2662">
        <w:tc>
          <w:tcPr>
            <w:tcW w:w="2972" w:type="dxa"/>
            <w:vAlign w:val="center"/>
          </w:tcPr>
          <w:p w14:paraId="1D7DAA4E" w14:textId="725F62F1" w:rsidR="005F73EC" w:rsidRPr="00E436C9" w:rsidRDefault="005F73EC" w:rsidP="005F73EC">
            <w:pPr>
              <w:rPr>
                <w:rFonts w:ascii="Times New Roman" w:hAnsi="Times New Roman" w:cs="Times New Roman"/>
                <w:sz w:val="20"/>
              </w:rPr>
            </w:pPr>
            <w:r>
              <w:rPr>
                <w:rFonts w:ascii="Times New Roman" w:hAnsi="Times New Roman" w:cs="Times New Roman"/>
                <w:sz w:val="20"/>
              </w:rPr>
              <w:t>TEAE, n (%)</w:t>
            </w:r>
          </w:p>
        </w:tc>
        <w:tc>
          <w:tcPr>
            <w:tcW w:w="1984" w:type="dxa"/>
            <w:vAlign w:val="center"/>
          </w:tcPr>
          <w:p w14:paraId="467ECB34" w14:textId="7C82EB91" w:rsidR="005F73EC" w:rsidRDefault="005F73EC" w:rsidP="005F73EC">
            <w:pPr>
              <w:spacing w:before="60" w:after="60"/>
              <w:jc w:val="center"/>
              <w:rPr>
                <w:rFonts w:ascii="Times New Roman" w:hAnsi="Times New Roman" w:cs="Times New Roman"/>
                <w:sz w:val="20"/>
              </w:rPr>
            </w:pPr>
          </w:p>
        </w:tc>
        <w:tc>
          <w:tcPr>
            <w:tcW w:w="1985" w:type="dxa"/>
            <w:vAlign w:val="center"/>
          </w:tcPr>
          <w:p w14:paraId="78FB35EB" w14:textId="66DB0CB2" w:rsidR="005F73EC" w:rsidRDefault="005F73EC" w:rsidP="005F73EC">
            <w:pPr>
              <w:spacing w:before="60" w:after="60"/>
              <w:jc w:val="center"/>
              <w:rPr>
                <w:rFonts w:ascii="Times New Roman" w:hAnsi="Times New Roman" w:cs="Times New Roman"/>
                <w:sz w:val="20"/>
              </w:rPr>
            </w:pPr>
          </w:p>
        </w:tc>
      </w:tr>
      <w:tr w:rsidR="005F73EC" w14:paraId="641CEB7B" w14:textId="77777777" w:rsidTr="003A2662">
        <w:tc>
          <w:tcPr>
            <w:tcW w:w="2972" w:type="dxa"/>
            <w:vAlign w:val="center"/>
          </w:tcPr>
          <w:p w14:paraId="1353168C" w14:textId="553A1483" w:rsidR="005F73EC" w:rsidRPr="00AF5900" w:rsidRDefault="009F7B90" w:rsidP="005F73EC">
            <w:pPr>
              <w:rPr>
                <w:rFonts w:ascii="Times New Roman" w:hAnsi="Times New Roman" w:cs="Times New Roman"/>
                <w:sz w:val="20"/>
              </w:rPr>
            </w:pPr>
            <w:r>
              <w:rPr>
                <w:rFonts w:ascii="Times New Roman" w:hAnsi="Times New Roman" w:cs="Times New Roman"/>
                <w:iCs/>
                <w:sz w:val="20"/>
              </w:rPr>
              <w:t>T</w:t>
            </w:r>
            <w:r w:rsidR="005F73EC" w:rsidRPr="00AF5900">
              <w:rPr>
                <w:rFonts w:ascii="Times New Roman" w:hAnsi="Times New Roman" w:cs="Times New Roman"/>
                <w:iCs/>
                <w:sz w:val="20"/>
              </w:rPr>
              <w:t>hrombocytopenia</w:t>
            </w:r>
          </w:p>
        </w:tc>
        <w:tc>
          <w:tcPr>
            <w:tcW w:w="1984" w:type="dxa"/>
            <w:vAlign w:val="center"/>
          </w:tcPr>
          <w:p w14:paraId="0211C5BD" w14:textId="31E968A9" w:rsidR="005F73EC" w:rsidRDefault="005F73EC" w:rsidP="005F73EC">
            <w:pPr>
              <w:spacing w:before="60" w:after="60"/>
              <w:jc w:val="center"/>
              <w:rPr>
                <w:rFonts w:ascii="Times New Roman" w:hAnsi="Times New Roman" w:cs="Times New Roman"/>
                <w:sz w:val="20"/>
              </w:rPr>
            </w:pPr>
            <w:r>
              <w:rPr>
                <w:rFonts w:ascii="Times New Roman" w:hAnsi="Times New Roman" w:cs="Times New Roman"/>
                <w:sz w:val="20"/>
              </w:rPr>
              <w:t>81 (49.4)</w:t>
            </w:r>
          </w:p>
        </w:tc>
        <w:tc>
          <w:tcPr>
            <w:tcW w:w="1985" w:type="dxa"/>
            <w:vAlign w:val="center"/>
          </w:tcPr>
          <w:p w14:paraId="7594AF7B" w14:textId="5765FBC2" w:rsidR="005F73EC" w:rsidRDefault="005F73EC" w:rsidP="005F73EC">
            <w:pPr>
              <w:spacing w:before="60" w:after="60"/>
              <w:jc w:val="center"/>
              <w:rPr>
                <w:rFonts w:ascii="Times New Roman" w:hAnsi="Times New Roman" w:cs="Times New Roman"/>
                <w:sz w:val="20"/>
              </w:rPr>
            </w:pPr>
            <w:r>
              <w:rPr>
                <w:rFonts w:ascii="Times New Roman" w:hAnsi="Times New Roman" w:cs="Times New Roman"/>
                <w:sz w:val="20"/>
              </w:rPr>
              <w:t>87 (60.8)</w:t>
            </w:r>
          </w:p>
        </w:tc>
      </w:tr>
      <w:tr w:rsidR="005F73EC" w14:paraId="19BF0873" w14:textId="77777777" w:rsidTr="003A2662">
        <w:tc>
          <w:tcPr>
            <w:tcW w:w="2972" w:type="dxa"/>
            <w:vAlign w:val="center"/>
          </w:tcPr>
          <w:p w14:paraId="71B0365D" w14:textId="60E2CF8D" w:rsidR="005F73EC" w:rsidRPr="00AF5900" w:rsidRDefault="00F622E7" w:rsidP="005F73EC">
            <w:pPr>
              <w:rPr>
                <w:rFonts w:ascii="Times New Roman" w:hAnsi="Times New Roman" w:cs="Times New Roman"/>
                <w:sz w:val="20"/>
              </w:rPr>
            </w:pPr>
            <w:r w:rsidRPr="00AF5900">
              <w:rPr>
                <w:rFonts w:ascii="Times New Roman" w:hAnsi="Times New Roman" w:cs="Times New Roman"/>
                <w:iCs/>
                <w:sz w:val="20"/>
              </w:rPr>
              <w:t>N</w:t>
            </w:r>
            <w:r w:rsidR="005F73EC" w:rsidRPr="00AF5900">
              <w:rPr>
                <w:rFonts w:ascii="Times New Roman" w:hAnsi="Times New Roman" w:cs="Times New Roman"/>
                <w:iCs/>
                <w:sz w:val="20"/>
              </w:rPr>
              <w:t>eutropenia</w:t>
            </w:r>
          </w:p>
        </w:tc>
        <w:tc>
          <w:tcPr>
            <w:tcW w:w="1984" w:type="dxa"/>
            <w:vAlign w:val="center"/>
          </w:tcPr>
          <w:p w14:paraId="5FEBD97E" w14:textId="229D275C" w:rsidR="005F73EC" w:rsidRDefault="005F73EC" w:rsidP="005F73EC">
            <w:pPr>
              <w:spacing w:before="60" w:after="60"/>
              <w:jc w:val="center"/>
              <w:rPr>
                <w:rFonts w:ascii="Times New Roman" w:hAnsi="Times New Roman" w:cs="Times New Roman"/>
                <w:sz w:val="20"/>
              </w:rPr>
            </w:pPr>
            <w:r>
              <w:rPr>
                <w:rFonts w:ascii="Times New Roman" w:hAnsi="Times New Roman" w:cs="Times New Roman"/>
                <w:sz w:val="20"/>
              </w:rPr>
              <w:t>80 (48.8)</w:t>
            </w:r>
          </w:p>
        </w:tc>
        <w:tc>
          <w:tcPr>
            <w:tcW w:w="1985" w:type="dxa"/>
            <w:vAlign w:val="center"/>
          </w:tcPr>
          <w:p w14:paraId="1022951C" w14:textId="145BB140" w:rsidR="005F73EC" w:rsidRDefault="005F73EC" w:rsidP="005F73EC">
            <w:pPr>
              <w:spacing w:before="60" w:after="60"/>
              <w:jc w:val="center"/>
              <w:rPr>
                <w:rFonts w:ascii="Times New Roman" w:hAnsi="Times New Roman" w:cs="Times New Roman"/>
                <w:sz w:val="20"/>
              </w:rPr>
            </w:pPr>
            <w:r>
              <w:rPr>
                <w:rFonts w:ascii="Times New Roman" w:hAnsi="Times New Roman" w:cs="Times New Roman"/>
                <w:sz w:val="20"/>
              </w:rPr>
              <w:t>66 (46.2)</w:t>
            </w:r>
          </w:p>
        </w:tc>
      </w:tr>
      <w:tr w:rsidR="005F73EC" w14:paraId="04F6C697" w14:textId="77777777" w:rsidTr="003A2662">
        <w:tc>
          <w:tcPr>
            <w:tcW w:w="2972" w:type="dxa"/>
            <w:vAlign w:val="center"/>
          </w:tcPr>
          <w:p w14:paraId="0886E345" w14:textId="2DF2FF7D" w:rsidR="005F73EC" w:rsidRPr="00AF5900" w:rsidRDefault="00F622E7" w:rsidP="005F73EC">
            <w:pPr>
              <w:rPr>
                <w:rFonts w:ascii="Times New Roman" w:hAnsi="Times New Roman" w:cs="Times New Roman"/>
                <w:sz w:val="20"/>
              </w:rPr>
            </w:pPr>
            <w:r w:rsidRPr="00AF5900">
              <w:rPr>
                <w:rFonts w:ascii="Times New Roman" w:hAnsi="Times New Roman" w:cs="Times New Roman"/>
                <w:iCs/>
                <w:sz w:val="20"/>
              </w:rPr>
              <w:t>A</w:t>
            </w:r>
            <w:r w:rsidR="005F73EC" w:rsidRPr="00AF5900">
              <w:rPr>
                <w:rFonts w:ascii="Times New Roman" w:hAnsi="Times New Roman" w:cs="Times New Roman"/>
                <w:iCs/>
                <w:sz w:val="20"/>
              </w:rPr>
              <w:t>naemia</w:t>
            </w:r>
          </w:p>
        </w:tc>
        <w:tc>
          <w:tcPr>
            <w:tcW w:w="1984" w:type="dxa"/>
            <w:vAlign w:val="center"/>
          </w:tcPr>
          <w:p w14:paraId="4EE93AE4" w14:textId="7169DD69" w:rsidR="005F73EC" w:rsidRDefault="005F73EC" w:rsidP="005F73EC">
            <w:pPr>
              <w:spacing w:before="60" w:after="60"/>
              <w:jc w:val="center"/>
              <w:rPr>
                <w:rFonts w:ascii="Times New Roman" w:hAnsi="Times New Roman" w:cs="Times New Roman"/>
                <w:sz w:val="20"/>
              </w:rPr>
            </w:pPr>
            <w:r>
              <w:rPr>
                <w:rFonts w:ascii="Times New Roman" w:hAnsi="Times New Roman" w:cs="Times New Roman"/>
                <w:sz w:val="20"/>
              </w:rPr>
              <w:t>55 (33.5)</w:t>
            </w:r>
          </w:p>
        </w:tc>
        <w:tc>
          <w:tcPr>
            <w:tcW w:w="1985" w:type="dxa"/>
            <w:vAlign w:val="center"/>
          </w:tcPr>
          <w:p w14:paraId="39C9921A" w14:textId="1799FEB2" w:rsidR="005F73EC" w:rsidRDefault="005F73EC" w:rsidP="005F73EC">
            <w:pPr>
              <w:spacing w:before="60" w:after="60"/>
              <w:jc w:val="center"/>
              <w:rPr>
                <w:rFonts w:ascii="Times New Roman" w:hAnsi="Times New Roman" w:cs="Times New Roman"/>
                <w:sz w:val="20"/>
              </w:rPr>
            </w:pPr>
            <w:r>
              <w:rPr>
                <w:rFonts w:ascii="Times New Roman" w:hAnsi="Times New Roman" w:cs="Times New Roman"/>
                <w:sz w:val="20"/>
              </w:rPr>
              <w:t>79 (55.2)</w:t>
            </w:r>
          </w:p>
        </w:tc>
      </w:tr>
      <w:tr w:rsidR="005F73EC" w14:paraId="7FEFEBC8" w14:textId="77777777" w:rsidTr="003A2662">
        <w:tc>
          <w:tcPr>
            <w:tcW w:w="2972" w:type="dxa"/>
            <w:vAlign w:val="center"/>
          </w:tcPr>
          <w:p w14:paraId="02DF2B7A" w14:textId="6A9285D5" w:rsidR="005F73EC" w:rsidRPr="00AF5900" w:rsidRDefault="00F622E7" w:rsidP="005F73EC">
            <w:pPr>
              <w:rPr>
                <w:rFonts w:ascii="Times New Roman" w:hAnsi="Times New Roman" w:cs="Times New Roman"/>
                <w:iCs/>
                <w:sz w:val="20"/>
              </w:rPr>
            </w:pPr>
            <w:r w:rsidRPr="00AF5900">
              <w:rPr>
                <w:rFonts w:ascii="Times New Roman" w:hAnsi="Times New Roman" w:cs="Times New Roman"/>
                <w:iCs/>
                <w:sz w:val="20"/>
              </w:rPr>
              <w:t>N</w:t>
            </w:r>
            <w:r w:rsidR="005F73EC" w:rsidRPr="00AF5900">
              <w:rPr>
                <w:rFonts w:ascii="Times New Roman" w:hAnsi="Times New Roman" w:cs="Times New Roman"/>
                <w:iCs/>
                <w:sz w:val="20"/>
              </w:rPr>
              <w:t>ausea</w:t>
            </w:r>
          </w:p>
        </w:tc>
        <w:tc>
          <w:tcPr>
            <w:tcW w:w="1984" w:type="dxa"/>
            <w:vAlign w:val="center"/>
          </w:tcPr>
          <w:p w14:paraId="46939DB8" w14:textId="06361A60" w:rsidR="005F73EC" w:rsidRDefault="00E46484" w:rsidP="005F73EC">
            <w:pPr>
              <w:spacing w:before="60" w:after="60"/>
              <w:jc w:val="center"/>
              <w:rPr>
                <w:rFonts w:ascii="Times New Roman" w:hAnsi="Times New Roman" w:cs="Times New Roman"/>
                <w:sz w:val="20"/>
              </w:rPr>
            </w:pPr>
            <w:r>
              <w:rPr>
                <w:rFonts w:ascii="Times New Roman" w:hAnsi="Times New Roman" w:cs="Times New Roman"/>
                <w:sz w:val="20"/>
              </w:rPr>
              <w:t>53 (32.3</w:t>
            </w:r>
            <w:r w:rsidR="005F73EC">
              <w:rPr>
                <w:rFonts w:ascii="Times New Roman" w:hAnsi="Times New Roman" w:cs="Times New Roman"/>
                <w:sz w:val="20"/>
              </w:rPr>
              <w:t>)</w:t>
            </w:r>
          </w:p>
        </w:tc>
        <w:tc>
          <w:tcPr>
            <w:tcW w:w="1985" w:type="dxa"/>
            <w:vAlign w:val="center"/>
          </w:tcPr>
          <w:p w14:paraId="281670BE" w14:textId="3B4CD59F" w:rsidR="005F73EC" w:rsidRDefault="005F73EC" w:rsidP="005F73EC">
            <w:pPr>
              <w:spacing w:before="60" w:after="60"/>
              <w:jc w:val="center"/>
              <w:rPr>
                <w:rFonts w:ascii="Times New Roman" w:hAnsi="Times New Roman" w:cs="Times New Roman"/>
                <w:sz w:val="20"/>
              </w:rPr>
            </w:pPr>
            <w:r>
              <w:rPr>
                <w:rFonts w:ascii="Times New Roman" w:hAnsi="Times New Roman" w:cs="Times New Roman"/>
                <w:sz w:val="20"/>
              </w:rPr>
              <w:t>68 (47.6)</w:t>
            </w:r>
          </w:p>
        </w:tc>
      </w:tr>
      <w:tr w:rsidR="005F73EC" w14:paraId="0BC04EA7" w14:textId="77777777" w:rsidTr="003A2662">
        <w:tc>
          <w:tcPr>
            <w:tcW w:w="2972" w:type="dxa"/>
            <w:vAlign w:val="center"/>
          </w:tcPr>
          <w:p w14:paraId="5DF9D40E" w14:textId="412E39CC" w:rsidR="005F73EC" w:rsidRPr="00AF5900" w:rsidRDefault="00F622E7" w:rsidP="005F73EC">
            <w:pPr>
              <w:rPr>
                <w:rFonts w:ascii="Times New Roman" w:hAnsi="Times New Roman" w:cs="Times New Roman"/>
                <w:iCs/>
                <w:sz w:val="20"/>
              </w:rPr>
            </w:pPr>
            <w:r w:rsidRPr="00AF5900">
              <w:rPr>
                <w:rFonts w:ascii="Times New Roman" w:hAnsi="Times New Roman" w:cs="Times New Roman"/>
                <w:iCs/>
                <w:sz w:val="20"/>
              </w:rPr>
              <w:t>P</w:t>
            </w:r>
            <w:r w:rsidR="005F73EC" w:rsidRPr="00AF5900">
              <w:rPr>
                <w:rFonts w:ascii="Times New Roman" w:hAnsi="Times New Roman" w:cs="Times New Roman"/>
                <w:iCs/>
                <w:sz w:val="20"/>
              </w:rPr>
              <w:t>yrexia</w:t>
            </w:r>
          </w:p>
        </w:tc>
        <w:tc>
          <w:tcPr>
            <w:tcW w:w="1984" w:type="dxa"/>
            <w:vAlign w:val="center"/>
          </w:tcPr>
          <w:p w14:paraId="5449016A" w14:textId="02FF1844" w:rsidR="005F73EC" w:rsidRDefault="005F73EC" w:rsidP="005F73EC">
            <w:pPr>
              <w:spacing w:before="60" w:after="60"/>
              <w:jc w:val="center"/>
              <w:rPr>
                <w:rFonts w:ascii="Times New Roman" w:hAnsi="Times New Roman" w:cs="Times New Roman"/>
                <w:sz w:val="20"/>
              </w:rPr>
            </w:pPr>
            <w:r>
              <w:rPr>
                <w:rFonts w:ascii="Times New Roman" w:hAnsi="Times New Roman" w:cs="Times New Roman"/>
                <w:sz w:val="20"/>
              </w:rPr>
              <w:t>52 (31.7)</w:t>
            </w:r>
          </w:p>
        </w:tc>
        <w:tc>
          <w:tcPr>
            <w:tcW w:w="1985" w:type="dxa"/>
            <w:vAlign w:val="center"/>
          </w:tcPr>
          <w:p w14:paraId="0FC821AB" w14:textId="37CB880D" w:rsidR="005F73EC" w:rsidRDefault="005F73EC" w:rsidP="005F73EC">
            <w:pPr>
              <w:spacing w:before="60" w:after="60"/>
              <w:jc w:val="center"/>
              <w:rPr>
                <w:rFonts w:ascii="Times New Roman" w:hAnsi="Times New Roman" w:cs="Times New Roman"/>
                <w:sz w:val="20"/>
              </w:rPr>
            </w:pPr>
            <w:r>
              <w:rPr>
                <w:rFonts w:ascii="Times New Roman" w:hAnsi="Times New Roman" w:cs="Times New Roman"/>
                <w:sz w:val="20"/>
              </w:rPr>
              <w:t>60 (42.0)</w:t>
            </w:r>
          </w:p>
        </w:tc>
      </w:tr>
      <w:tr w:rsidR="00EC60A6" w14:paraId="628E4F09" w14:textId="77777777" w:rsidTr="003A2662">
        <w:tc>
          <w:tcPr>
            <w:tcW w:w="2972" w:type="dxa"/>
            <w:vAlign w:val="center"/>
          </w:tcPr>
          <w:p w14:paraId="2A267628" w14:textId="7CC783D9" w:rsidR="00EC60A6" w:rsidRPr="00AF5900" w:rsidRDefault="00EC60A6" w:rsidP="005F73EC">
            <w:pPr>
              <w:rPr>
                <w:rFonts w:ascii="Times New Roman" w:hAnsi="Times New Roman" w:cs="Times New Roman"/>
                <w:iCs/>
                <w:sz w:val="20"/>
              </w:rPr>
            </w:pPr>
            <w:r w:rsidRPr="00AF5900">
              <w:rPr>
                <w:rFonts w:ascii="Times New Roman" w:hAnsi="Times New Roman" w:cs="Times New Roman"/>
                <w:iCs/>
                <w:sz w:val="20"/>
              </w:rPr>
              <w:t>VOD</w:t>
            </w:r>
          </w:p>
        </w:tc>
        <w:tc>
          <w:tcPr>
            <w:tcW w:w="1984" w:type="dxa"/>
            <w:vAlign w:val="center"/>
          </w:tcPr>
          <w:p w14:paraId="208FADC1" w14:textId="6FDB5F3A" w:rsidR="00EC60A6" w:rsidRDefault="00EC60A6" w:rsidP="005F73EC">
            <w:pPr>
              <w:spacing w:before="60" w:after="60"/>
              <w:jc w:val="center"/>
              <w:rPr>
                <w:rFonts w:ascii="Times New Roman" w:hAnsi="Times New Roman" w:cs="Times New Roman"/>
                <w:sz w:val="20"/>
              </w:rPr>
            </w:pPr>
            <w:r>
              <w:rPr>
                <w:rFonts w:ascii="Times New Roman" w:hAnsi="Times New Roman" w:cs="Times New Roman"/>
                <w:sz w:val="20"/>
              </w:rPr>
              <w:t>22 (13.4)</w:t>
            </w:r>
          </w:p>
        </w:tc>
        <w:tc>
          <w:tcPr>
            <w:tcW w:w="1985" w:type="dxa"/>
            <w:vAlign w:val="center"/>
          </w:tcPr>
          <w:p w14:paraId="43099B0E" w14:textId="15C67E89" w:rsidR="00EC60A6" w:rsidRPr="00170DB2" w:rsidRDefault="00A7535A" w:rsidP="00A7535A">
            <w:pPr>
              <w:spacing w:before="60" w:after="60"/>
              <w:jc w:val="center"/>
              <w:rPr>
                <w:rFonts w:ascii="Times New Roman" w:hAnsi="Times New Roman" w:cs="Times New Roman"/>
                <w:sz w:val="20"/>
              </w:rPr>
            </w:pPr>
            <w:r>
              <w:rPr>
                <w:rFonts w:ascii="Times New Roman" w:hAnsi="Times New Roman" w:cs="Times New Roman"/>
                <w:sz w:val="20"/>
              </w:rPr>
              <w:t xml:space="preserve">1 </w:t>
            </w:r>
            <w:r w:rsidR="00EC60A6" w:rsidRPr="00170DB2">
              <w:rPr>
                <w:rFonts w:ascii="Times New Roman" w:hAnsi="Times New Roman" w:cs="Times New Roman"/>
                <w:sz w:val="20"/>
              </w:rPr>
              <w:t>(0.7)</w:t>
            </w:r>
          </w:p>
        </w:tc>
      </w:tr>
    </w:tbl>
    <w:p w14:paraId="3BB7815D" w14:textId="0A147F86" w:rsidR="00170DB2" w:rsidRPr="009F7B90" w:rsidRDefault="00AE09E6" w:rsidP="009F7B90">
      <w:pPr>
        <w:spacing w:before="60"/>
        <w:rPr>
          <w:rFonts w:ascii="Times New Roman" w:hAnsi="Times New Roman" w:cs="Times New Roman"/>
          <w:sz w:val="18"/>
        </w:rPr>
      </w:pPr>
      <w:r>
        <w:rPr>
          <w:rFonts w:ascii="Times New Roman" w:hAnsi="Times New Roman" w:cs="Times New Roman"/>
          <w:sz w:val="18"/>
        </w:rPr>
        <w:t xml:space="preserve">ITT: Intention to treat; EQ-5D: </w:t>
      </w:r>
      <w:proofErr w:type="spellStart"/>
      <w:r>
        <w:rPr>
          <w:rFonts w:ascii="Times New Roman" w:hAnsi="Times New Roman" w:cs="Times New Roman"/>
          <w:sz w:val="18"/>
        </w:rPr>
        <w:t>EuroQol</w:t>
      </w:r>
      <w:proofErr w:type="spellEnd"/>
      <w:r>
        <w:rPr>
          <w:rFonts w:ascii="Times New Roman" w:hAnsi="Times New Roman" w:cs="Times New Roman"/>
          <w:sz w:val="18"/>
        </w:rPr>
        <w:t xml:space="preserve"> five dimensions</w:t>
      </w:r>
      <w:r w:rsidR="00BB4AC1">
        <w:rPr>
          <w:rFonts w:ascii="Times New Roman" w:hAnsi="Times New Roman" w:cs="Times New Roman"/>
          <w:sz w:val="18"/>
        </w:rPr>
        <w:t xml:space="preserve">; EQ-VAS: </w:t>
      </w:r>
      <w:proofErr w:type="spellStart"/>
      <w:r w:rsidR="00BB4AC1">
        <w:rPr>
          <w:rFonts w:ascii="Times New Roman" w:hAnsi="Times New Roman" w:cs="Times New Roman"/>
          <w:sz w:val="18"/>
        </w:rPr>
        <w:t>EuroQol</w:t>
      </w:r>
      <w:proofErr w:type="spellEnd"/>
      <w:r w:rsidR="00BB4AC1">
        <w:rPr>
          <w:rFonts w:ascii="Times New Roman" w:hAnsi="Times New Roman" w:cs="Times New Roman"/>
          <w:sz w:val="18"/>
        </w:rPr>
        <w:t xml:space="preserve"> Visual Analogue Scale</w:t>
      </w:r>
      <w:r w:rsidR="00EA36C8">
        <w:rPr>
          <w:rFonts w:ascii="Times New Roman" w:hAnsi="Times New Roman" w:cs="Times New Roman"/>
          <w:sz w:val="18"/>
        </w:rPr>
        <w:t>;</w:t>
      </w:r>
      <w:r w:rsidR="00BB4AC1">
        <w:rPr>
          <w:rFonts w:ascii="Times New Roman" w:hAnsi="Times New Roman" w:cs="Times New Roman"/>
          <w:sz w:val="18"/>
        </w:rPr>
        <w:t xml:space="preserve"> </w:t>
      </w:r>
      <w:proofErr w:type="spellStart"/>
      <w:r w:rsidR="003A2662" w:rsidRPr="009F7B90">
        <w:rPr>
          <w:rFonts w:ascii="Times New Roman" w:hAnsi="Times New Roman" w:cs="Times New Roman"/>
          <w:sz w:val="18"/>
        </w:rPr>
        <w:t>SoC</w:t>
      </w:r>
      <w:proofErr w:type="spellEnd"/>
      <w:r w:rsidR="003A2662" w:rsidRPr="009F7B90">
        <w:rPr>
          <w:rFonts w:ascii="Times New Roman" w:hAnsi="Times New Roman" w:cs="Times New Roman"/>
          <w:sz w:val="18"/>
        </w:rPr>
        <w:t xml:space="preserve">: Standard of care; </w:t>
      </w:r>
      <w:r w:rsidR="00ED7AAA" w:rsidRPr="009F7B90">
        <w:rPr>
          <w:rFonts w:ascii="Times New Roman" w:hAnsi="Times New Roman" w:cs="Times New Roman"/>
          <w:sz w:val="18"/>
        </w:rPr>
        <w:t>CI: Confiden</w:t>
      </w:r>
      <w:r w:rsidR="00CF59C1" w:rsidRPr="009F7B90">
        <w:rPr>
          <w:rFonts w:ascii="Times New Roman" w:hAnsi="Times New Roman" w:cs="Times New Roman"/>
          <w:sz w:val="18"/>
        </w:rPr>
        <w:t>ce</w:t>
      </w:r>
      <w:r w:rsidR="00ED7AAA" w:rsidRPr="009F7B90">
        <w:rPr>
          <w:rFonts w:ascii="Times New Roman" w:hAnsi="Times New Roman" w:cs="Times New Roman"/>
          <w:sz w:val="18"/>
        </w:rPr>
        <w:t xml:space="preserve"> interval; </w:t>
      </w:r>
      <w:r w:rsidR="00170DB2" w:rsidRPr="009F7B90">
        <w:rPr>
          <w:rFonts w:ascii="Times New Roman" w:hAnsi="Times New Roman" w:cs="Times New Roman"/>
          <w:sz w:val="18"/>
        </w:rPr>
        <w:t xml:space="preserve">CR: Complete remission; </w:t>
      </w:r>
      <w:proofErr w:type="spellStart"/>
      <w:r w:rsidR="00170DB2" w:rsidRPr="009F7B90">
        <w:rPr>
          <w:rFonts w:ascii="Times New Roman" w:hAnsi="Times New Roman" w:cs="Times New Roman"/>
          <w:sz w:val="18"/>
        </w:rPr>
        <w:t>CRi</w:t>
      </w:r>
      <w:proofErr w:type="spellEnd"/>
      <w:r w:rsidR="00170DB2" w:rsidRPr="009F7B90">
        <w:rPr>
          <w:rFonts w:ascii="Times New Roman" w:hAnsi="Times New Roman" w:cs="Times New Roman"/>
          <w:sz w:val="18"/>
        </w:rPr>
        <w:t xml:space="preserve">: Complete </w:t>
      </w:r>
      <w:r w:rsidR="001002DC" w:rsidRPr="009F7B90">
        <w:rPr>
          <w:rFonts w:ascii="Times New Roman" w:hAnsi="Times New Roman" w:cs="Times New Roman"/>
          <w:sz w:val="18"/>
        </w:rPr>
        <w:t>remission</w:t>
      </w:r>
      <w:r w:rsidR="00170DB2" w:rsidRPr="009F7B90">
        <w:rPr>
          <w:rFonts w:ascii="Times New Roman" w:hAnsi="Times New Roman" w:cs="Times New Roman"/>
          <w:sz w:val="18"/>
        </w:rPr>
        <w:t xml:space="preserve"> with</w:t>
      </w:r>
      <w:r w:rsidR="001002DC" w:rsidRPr="009F7B90">
        <w:rPr>
          <w:rFonts w:ascii="Times New Roman" w:hAnsi="Times New Roman" w:cs="Times New Roman"/>
          <w:sz w:val="18"/>
        </w:rPr>
        <w:t>out</w:t>
      </w:r>
      <w:r w:rsidR="00170DB2" w:rsidRPr="009F7B90">
        <w:rPr>
          <w:rFonts w:ascii="Times New Roman" w:hAnsi="Times New Roman" w:cs="Times New Roman"/>
          <w:sz w:val="18"/>
        </w:rPr>
        <w:t xml:space="preserve"> count recovery</w:t>
      </w:r>
      <w:r w:rsidR="001002DC" w:rsidRPr="009F7B90">
        <w:rPr>
          <w:rFonts w:ascii="Times New Roman" w:hAnsi="Times New Roman" w:cs="Times New Roman"/>
          <w:sz w:val="18"/>
        </w:rPr>
        <w:t xml:space="preserve">; MRD: Minimal </w:t>
      </w:r>
      <w:r w:rsidR="00A7535A" w:rsidRPr="009F7B90">
        <w:rPr>
          <w:rFonts w:ascii="Times New Roman" w:hAnsi="Times New Roman" w:cs="Times New Roman"/>
          <w:sz w:val="18"/>
        </w:rPr>
        <w:t>r</w:t>
      </w:r>
      <w:r w:rsidR="001002DC" w:rsidRPr="009F7B90">
        <w:rPr>
          <w:rFonts w:ascii="Times New Roman" w:hAnsi="Times New Roman" w:cs="Times New Roman"/>
          <w:sz w:val="18"/>
        </w:rPr>
        <w:t xml:space="preserve">esidual </w:t>
      </w:r>
      <w:r w:rsidR="00A7535A" w:rsidRPr="009F7B90">
        <w:rPr>
          <w:rFonts w:ascii="Times New Roman" w:hAnsi="Times New Roman" w:cs="Times New Roman"/>
          <w:sz w:val="18"/>
        </w:rPr>
        <w:t>d</w:t>
      </w:r>
      <w:r w:rsidR="001002DC" w:rsidRPr="009F7B90">
        <w:rPr>
          <w:rFonts w:ascii="Times New Roman" w:hAnsi="Times New Roman" w:cs="Times New Roman"/>
          <w:sz w:val="18"/>
        </w:rPr>
        <w:t>isease; HSCT:</w:t>
      </w:r>
      <w:r w:rsidR="00A7535A" w:rsidRPr="009F7B90">
        <w:rPr>
          <w:rFonts w:ascii="Times New Roman" w:hAnsi="Times New Roman" w:cs="Times New Roman"/>
          <w:sz w:val="18"/>
        </w:rPr>
        <w:t xml:space="preserve"> Haematopoietic stem cell transplant;</w:t>
      </w:r>
      <w:r w:rsidR="001002DC" w:rsidRPr="009F7B90">
        <w:rPr>
          <w:rFonts w:ascii="Times New Roman" w:hAnsi="Times New Roman" w:cs="Times New Roman"/>
          <w:sz w:val="18"/>
        </w:rPr>
        <w:t xml:space="preserve"> </w:t>
      </w:r>
      <w:r w:rsidR="000A5E1C" w:rsidRPr="009F7B90">
        <w:rPr>
          <w:rFonts w:ascii="Times New Roman" w:hAnsi="Times New Roman" w:cs="Times New Roman"/>
          <w:sz w:val="18"/>
        </w:rPr>
        <w:t xml:space="preserve">AE: Adverse event; SAE: Serious adverse event; TEAE: Treatment emergent adverse event; VOD: </w:t>
      </w:r>
      <w:proofErr w:type="spellStart"/>
      <w:r w:rsidR="000A5E1C" w:rsidRPr="009F7B90">
        <w:rPr>
          <w:rFonts w:ascii="Times New Roman" w:hAnsi="Times New Roman" w:cs="Times New Roman"/>
          <w:sz w:val="18"/>
        </w:rPr>
        <w:t>Veno</w:t>
      </w:r>
      <w:proofErr w:type="spellEnd"/>
      <w:r w:rsidR="000A5E1C" w:rsidRPr="009F7B90">
        <w:rPr>
          <w:rFonts w:ascii="Times New Roman" w:hAnsi="Times New Roman" w:cs="Times New Roman"/>
          <w:sz w:val="18"/>
        </w:rPr>
        <w:t>-occlusive disease</w:t>
      </w:r>
    </w:p>
    <w:p w14:paraId="489047BE" w14:textId="236A482D" w:rsidR="00414E5C" w:rsidRDefault="00414E5C">
      <w:pPr>
        <w:rPr>
          <w:rFonts w:ascii="Times New Roman" w:hAnsi="Times New Roman" w:cs="Times New Roman"/>
          <w:b/>
          <w:i/>
          <w:iCs/>
        </w:rPr>
      </w:pPr>
      <w:r>
        <w:rPr>
          <w:rFonts w:ascii="Times New Roman" w:hAnsi="Times New Roman" w:cs="Times New Roman"/>
          <w:b/>
          <w:i/>
          <w:iCs/>
        </w:rPr>
        <w:br w:type="page"/>
      </w:r>
    </w:p>
    <w:p w14:paraId="731BA75A" w14:textId="4D261766" w:rsidR="00637CBC" w:rsidRPr="00442773" w:rsidRDefault="00442773" w:rsidP="00E61BB0">
      <w:pPr>
        <w:pStyle w:val="Caption"/>
        <w:keepNext/>
        <w:spacing w:line="360" w:lineRule="auto"/>
        <w:rPr>
          <w:rFonts w:ascii="Times New Roman" w:hAnsi="Times New Roman" w:cs="Times New Roman"/>
          <w:i w:val="0"/>
          <w:iCs w:val="0"/>
          <w:color w:val="auto"/>
          <w:sz w:val="22"/>
          <w:szCs w:val="22"/>
        </w:rPr>
      </w:pPr>
      <w:bookmarkStart w:id="2" w:name="_Ref526256811"/>
      <w:r w:rsidRPr="00442773">
        <w:rPr>
          <w:rFonts w:ascii="Times New Roman" w:hAnsi="Times New Roman" w:cs="Times New Roman"/>
          <w:b/>
          <w:i w:val="0"/>
          <w:iCs w:val="0"/>
          <w:color w:val="auto"/>
          <w:sz w:val="22"/>
          <w:szCs w:val="22"/>
        </w:rPr>
        <w:lastRenderedPageBreak/>
        <w:t xml:space="preserve">Table </w:t>
      </w:r>
      <w:r w:rsidRPr="00442773">
        <w:rPr>
          <w:rFonts w:ascii="Times New Roman" w:hAnsi="Times New Roman" w:cs="Times New Roman"/>
          <w:b/>
          <w:i w:val="0"/>
          <w:iCs w:val="0"/>
          <w:color w:val="auto"/>
          <w:sz w:val="22"/>
          <w:szCs w:val="22"/>
        </w:rPr>
        <w:fldChar w:fldCharType="begin"/>
      </w:r>
      <w:r w:rsidRPr="00442773">
        <w:rPr>
          <w:rFonts w:ascii="Times New Roman" w:hAnsi="Times New Roman" w:cs="Times New Roman"/>
          <w:b/>
          <w:i w:val="0"/>
          <w:iCs w:val="0"/>
          <w:color w:val="auto"/>
          <w:sz w:val="22"/>
          <w:szCs w:val="22"/>
        </w:rPr>
        <w:instrText xml:space="preserve"> SEQ Table \* ARABIC </w:instrText>
      </w:r>
      <w:r w:rsidRPr="00442773">
        <w:rPr>
          <w:rFonts w:ascii="Times New Roman" w:hAnsi="Times New Roman" w:cs="Times New Roman"/>
          <w:b/>
          <w:i w:val="0"/>
          <w:iCs w:val="0"/>
          <w:color w:val="auto"/>
          <w:sz w:val="22"/>
          <w:szCs w:val="22"/>
        </w:rPr>
        <w:fldChar w:fldCharType="separate"/>
      </w:r>
      <w:r w:rsidR="00742587">
        <w:rPr>
          <w:rFonts w:ascii="Times New Roman" w:hAnsi="Times New Roman" w:cs="Times New Roman"/>
          <w:b/>
          <w:i w:val="0"/>
          <w:iCs w:val="0"/>
          <w:noProof/>
          <w:color w:val="auto"/>
          <w:sz w:val="22"/>
          <w:szCs w:val="22"/>
        </w:rPr>
        <w:t>2</w:t>
      </w:r>
      <w:r w:rsidRPr="00442773">
        <w:rPr>
          <w:rFonts w:ascii="Times New Roman" w:hAnsi="Times New Roman" w:cs="Times New Roman"/>
          <w:b/>
          <w:i w:val="0"/>
          <w:iCs w:val="0"/>
          <w:color w:val="auto"/>
          <w:sz w:val="22"/>
          <w:szCs w:val="22"/>
        </w:rPr>
        <w:fldChar w:fldCharType="end"/>
      </w:r>
      <w:bookmarkEnd w:id="1"/>
      <w:bookmarkEnd w:id="2"/>
      <w:r w:rsidR="00637CBC">
        <w:rPr>
          <w:rFonts w:ascii="Times New Roman" w:hAnsi="Times New Roman" w:cs="Times New Roman"/>
        </w:rPr>
        <w:t xml:space="preserve"> </w:t>
      </w:r>
      <w:r w:rsidR="00637CBC" w:rsidRPr="00442773">
        <w:rPr>
          <w:rFonts w:ascii="Times New Roman" w:hAnsi="Times New Roman" w:cs="Times New Roman"/>
          <w:i w:val="0"/>
          <w:iCs w:val="0"/>
          <w:color w:val="auto"/>
          <w:sz w:val="22"/>
          <w:szCs w:val="22"/>
        </w:rPr>
        <w:t>Overview of the ERG</w:t>
      </w:r>
      <w:r w:rsidR="00922418">
        <w:rPr>
          <w:rFonts w:ascii="Times New Roman" w:hAnsi="Times New Roman" w:cs="Times New Roman"/>
          <w:i w:val="0"/>
          <w:iCs w:val="0"/>
          <w:color w:val="auto"/>
          <w:sz w:val="22"/>
          <w:szCs w:val="22"/>
        </w:rPr>
        <w:t xml:space="preserve"> </w:t>
      </w:r>
      <w:r w:rsidR="00F33EBB">
        <w:rPr>
          <w:rFonts w:ascii="Times New Roman" w:hAnsi="Times New Roman" w:cs="Times New Roman"/>
          <w:i w:val="0"/>
          <w:iCs w:val="0"/>
          <w:color w:val="auto"/>
          <w:sz w:val="22"/>
          <w:szCs w:val="22"/>
        </w:rPr>
        <w:t>preferred</w:t>
      </w:r>
      <w:r w:rsidR="000E0F51">
        <w:rPr>
          <w:rFonts w:ascii="Times New Roman" w:hAnsi="Times New Roman" w:cs="Times New Roman"/>
          <w:i w:val="0"/>
          <w:iCs w:val="0"/>
          <w:color w:val="auto"/>
          <w:sz w:val="22"/>
          <w:szCs w:val="22"/>
        </w:rPr>
        <w:t xml:space="preserve"> </w:t>
      </w:r>
      <w:r w:rsidR="00922418">
        <w:rPr>
          <w:rFonts w:ascii="Times New Roman" w:hAnsi="Times New Roman" w:cs="Times New Roman"/>
          <w:i w:val="0"/>
          <w:iCs w:val="0"/>
          <w:color w:val="auto"/>
          <w:sz w:val="22"/>
          <w:szCs w:val="22"/>
        </w:rPr>
        <w:t>scenario analyses</w:t>
      </w:r>
      <w:r w:rsidR="00637CBC" w:rsidRPr="00442773">
        <w:rPr>
          <w:rFonts w:ascii="Times New Roman" w:hAnsi="Times New Roman" w:cs="Times New Roman"/>
          <w:i w:val="0"/>
          <w:iCs w:val="0"/>
          <w:color w:val="auto"/>
          <w:sz w:val="22"/>
          <w:szCs w:val="22"/>
        </w:rPr>
        <w:t xml:space="preserve"> </w:t>
      </w:r>
    </w:p>
    <w:tbl>
      <w:tblPr>
        <w:tblStyle w:val="TableGrid"/>
        <w:tblW w:w="5340" w:type="pct"/>
        <w:tblLook w:val="04A0" w:firstRow="1" w:lastRow="0" w:firstColumn="1" w:lastColumn="0" w:noHBand="0" w:noVBand="1"/>
      </w:tblPr>
      <w:tblGrid>
        <w:gridCol w:w="5954"/>
        <w:gridCol w:w="1843"/>
        <w:gridCol w:w="1843"/>
      </w:tblGrid>
      <w:tr w:rsidR="00A25EDA" w14:paraId="3BACAA06" w14:textId="77777777" w:rsidTr="00F622E7">
        <w:tc>
          <w:tcPr>
            <w:tcW w:w="3088" w:type="pct"/>
            <w:tcBorders>
              <w:top w:val="single" w:sz="4" w:space="0" w:color="auto"/>
              <w:left w:val="nil"/>
              <w:bottom w:val="single" w:sz="12" w:space="0" w:color="auto"/>
              <w:right w:val="nil"/>
            </w:tcBorders>
            <w:shd w:val="clear" w:color="auto" w:fill="F2F2F2" w:themeFill="background1" w:themeFillShade="F2"/>
          </w:tcPr>
          <w:p w14:paraId="53C395F7" w14:textId="53A87718" w:rsidR="00A25EDA" w:rsidRPr="001C5B03" w:rsidRDefault="00DC591B" w:rsidP="00922418">
            <w:pPr>
              <w:spacing w:before="120" w:after="120"/>
              <w:rPr>
                <w:rFonts w:ascii="Times New Roman" w:hAnsi="Times New Roman" w:cs="Times New Roman"/>
                <w:sz w:val="20"/>
              </w:rPr>
            </w:pPr>
            <w:r>
              <w:rPr>
                <w:rFonts w:ascii="Times New Roman" w:hAnsi="Times New Roman" w:cs="Times New Roman"/>
                <w:sz w:val="20"/>
              </w:rPr>
              <w:t>ERG s</w:t>
            </w:r>
            <w:r w:rsidR="00742B9B">
              <w:rPr>
                <w:rFonts w:ascii="Times New Roman" w:hAnsi="Times New Roman" w:cs="Times New Roman"/>
                <w:sz w:val="20"/>
              </w:rPr>
              <w:t>cenario</w:t>
            </w:r>
            <w:r w:rsidR="00922418">
              <w:rPr>
                <w:rFonts w:ascii="Times New Roman" w:hAnsi="Times New Roman" w:cs="Times New Roman"/>
                <w:sz w:val="20"/>
              </w:rPr>
              <w:t xml:space="preserve"> analyse</w:t>
            </w:r>
            <w:r w:rsidR="00B958E7">
              <w:rPr>
                <w:rFonts w:ascii="Times New Roman" w:hAnsi="Times New Roman" w:cs="Times New Roman"/>
                <w:sz w:val="20"/>
              </w:rPr>
              <w:t>s and base cases</w:t>
            </w:r>
            <w:r w:rsidR="00742B9B">
              <w:rPr>
                <w:rFonts w:ascii="Times New Roman" w:hAnsi="Times New Roman" w:cs="Times New Roman"/>
                <w:sz w:val="20"/>
              </w:rPr>
              <w:t xml:space="preserve"> </w:t>
            </w:r>
          </w:p>
        </w:tc>
        <w:tc>
          <w:tcPr>
            <w:tcW w:w="1912" w:type="pct"/>
            <w:gridSpan w:val="2"/>
            <w:tcBorders>
              <w:top w:val="single" w:sz="4" w:space="0" w:color="auto"/>
              <w:left w:val="nil"/>
              <w:bottom w:val="single" w:sz="12" w:space="0" w:color="auto"/>
              <w:right w:val="nil"/>
            </w:tcBorders>
            <w:shd w:val="clear" w:color="auto" w:fill="F2F2F2" w:themeFill="background1" w:themeFillShade="F2"/>
          </w:tcPr>
          <w:p w14:paraId="115D199F" w14:textId="77777777" w:rsidR="00A25EDA" w:rsidRPr="001C5B03" w:rsidRDefault="00A25EDA" w:rsidP="00B1696A">
            <w:pPr>
              <w:spacing w:before="120" w:after="120"/>
              <w:jc w:val="center"/>
              <w:rPr>
                <w:rFonts w:ascii="Times New Roman" w:hAnsi="Times New Roman" w:cs="Times New Roman"/>
                <w:sz w:val="20"/>
              </w:rPr>
            </w:pPr>
            <w:r w:rsidRPr="001C5B03">
              <w:rPr>
                <w:rFonts w:ascii="Times New Roman" w:hAnsi="Times New Roman" w:cs="Times New Roman"/>
                <w:sz w:val="20"/>
              </w:rPr>
              <w:t>ICER, £/QALY gained</w:t>
            </w:r>
          </w:p>
        </w:tc>
      </w:tr>
      <w:tr w:rsidR="00F622E7" w14:paraId="6CD73364" w14:textId="77777777" w:rsidTr="00F622E7">
        <w:tc>
          <w:tcPr>
            <w:tcW w:w="3088" w:type="pct"/>
            <w:tcBorders>
              <w:top w:val="nil"/>
              <w:left w:val="nil"/>
              <w:bottom w:val="single" w:sz="12" w:space="0" w:color="auto"/>
              <w:right w:val="nil"/>
            </w:tcBorders>
            <w:shd w:val="clear" w:color="auto" w:fill="F2F2F2" w:themeFill="background1" w:themeFillShade="F2"/>
          </w:tcPr>
          <w:p w14:paraId="6A038A09" w14:textId="77777777" w:rsidR="00A25EDA" w:rsidRPr="001C5B03" w:rsidRDefault="00A25EDA" w:rsidP="00B1696A">
            <w:pPr>
              <w:spacing w:before="120" w:after="120"/>
              <w:rPr>
                <w:rFonts w:ascii="Times New Roman" w:hAnsi="Times New Roman" w:cs="Times New Roman"/>
                <w:sz w:val="20"/>
              </w:rPr>
            </w:pPr>
          </w:p>
        </w:tc>
        <w:tc>
          <w:tcPr>
            <w:tcW w:w="956" w:type="pct"/>
            <w:tcBorders>
              <w:top w:val="nil"/>
              <w:left w:val="nil"/>
              <w:bottom w:val="single" w:sz="12" w:space="0" w:color="auto"/>
              <w:right w:val="nil"/>
            </w:tcBorders>
            <w:shd w:val="clear" w:color="auto" w:fill="F2F2F2" w:themeFill="background1" w:themeFillShade="F2"/>
            <w:vAlign w:val="center"/>
          </w:tcPr>
          <w:p w14:paraId="24D35DA7" w14:textId="00AECA8C" w:rsidR="00A25EDA" w:rsidRPr="001C5B03" w:rsidRDefault="00A25EDA" w:rsidP="002F733C">
            <w:pPr>
              <w:tabs>
                <w:tab w:val="right" w:pos="2449"/>
              </w:tabs>
              <w:spacing w:before="120" w:after="120"/>
              <w:jc w:val="center"/>
              <w:rPr>
                <w:rFonts w:ascii="Times New Roman" w:hAnsi="Times New Roman" w:cs="Times New Roman"/>
                <w:sz w:val="20"/>
              </w:rPr>
            </w:pPr>
            <w:r>
              <w:rPr>
                <w:rFonts w:ascii="Times New Roman" w:hAnsi="Times New Roman" w:cs="Times New Roman"/>
                <w:sz w:val="20"/>
              </w:rPr>
              <w:t>1.5% discount rate</w:t>
            </w:r>
          </w:p>
        </w:tc>
        <w:tc>
          <w:tcPr>
            <w:tcW w:w="956" w:type="pct"/>
            <w:tcBorders>
              <w:top w:val="nil"/>
              <w:left w:val="nil"/>
              <w:bottom w:val="single" w:sz="12" w:space="0" w:color="auto"/>
              <w:right w:val="nil"/>
            </w:tcBorders>
            <w:shd w:val="clear" w:color="auto" w:fill="F2F2F2" w:themeFill="background1" w:themeFillShade="F2"/>
            <w:vAlign w:val="center"/>
          </w:tcPr>
          <w:p w14:paraId="5BBC9619" w14:textId="77777777" w:rsidR="00A25EDA" w:rsidRDefault="00A25EDA" w:rsidP="002F733C">
            <w:pPr>
              <w:tabs>
                <w:tab w:val="right" w:pos="2449"/>
              </w:tabs>
              <w:spacing w:before="120" w:after="120"/>
              <w:jc w:val="center"/>
              <w:rPr>
                <w:rFonts w:ascii="Times New Roman" w:hAnsi="Times New Roman" w:cs="Times New Roman"/>
                <w:sz w:val="20"/>
              </w:rPr>
            </w:pPr>
            <w:r>
              <w:rPr>
                <w:rFonts w:ascii="Times New Roman" w:hAnsi="Times New Roman" w:cs="Times New Roman"/>
                <w:sz w:val="20"/>
              </w:rPr>
              <w:t>3.5% discount rate</w:t>
            </w:r>
          </w:p>
        </w:tc>
      </w:tr>
      <w:tr w:rsidR="00F622E7" w14:paraId="14232E16" w14:textId="77777777" w:rsidTr="00F622E7">
        <w:tc>
          <w:tcPr>
            <w:tcW w:w="3088" w:type="pct"/>
            <w:tcBorders>
              <w:top w:val="single" w:sz="12" w:space="0" w:color="auto"/>
              <w:left w:val="nil"/>
              <w:bottom w:val="nil"/>
              <w:right w:val="nil"/>
            </w:tcBorders>
          </w:tcPr>
          <w:p w14:paraId="16DB7C44" w14:textId="77777777" w:rsidR="00A25EDA" w:rsidRPr="001C5B03" w:rsidRDefault="00A25EDA" w:rsidP="00410366">
            <w:pPr>
              <w:spacing w:before="60" w:after="60"/>
              <w:rPr>
                <w:rFonts w:ascii="Times New Roman" w:hAnsi="Times New Roman" w:cs="Times New Roman"/>
                <w:sz w:val="20"/>
              </w:rPr>
            </w:pPr>
            <w:r w:rsidRPr="001C5B03">
              <w:rPr>
                <w:rFonts w:ascii="Times New Roman" w:hAnsi="Times New Roman" w:cs="Times New Roman"/>
                <w:sz w:val="20"/>
              </w:rPr>
              <w:t>Company base case</w:t>
            </w:r>
          </w:p>
        </w:tc>
        <w:tc>
          <w:tcPr>
            <w:tcW w:w="956" w:type="pct"/>
            <w:tcBorders>
              <w:top w:val="single" w:sz="12" w:space="0" w:color="auto"/>
              <w:left w:val="nil"/>
              <w:bottom w:val="nil"/>
              <w:right w:val="nil"/>
            </w:tcBorders>
            <w:vAlign w:val="center"/>
          </w:tcPr>
          <w:p w14:paraId="7D3AF6C5" w14:textId="77777777" w:rsidR="00A25EDA" w:rsidRPr="008B0FEC" w:rsidRDefault="00A25EDA" w:rsidP="002F733C">
            <w:pPr>
              <w:spacing w:before="60" w:after="60"/>
              <w:jc w:val="center"/>
              <w:rPr>
                <w:rFonts w:ascii="Times New Roman" w:hAnsi="Times New Roman" w:cs="Times New Roman"/>
                <w:sz w:val="20"/>
              </w:rPr>
            </w:pPr>
            <w:r>
              <w:rPr>
                <w:rFonts w:ascii="Times New Roman" w:hAnsi="Times New Roman" w:cs="Times New Roman"/>
                <w:sz w:val="20"/>
              </w:rPr>
              <w:t>£40,013</w:t>
            </w:r>
          </w:p>
        </w:tc>
        <w:tc>
          <w:tcPr>
            <w:tcW w:w="956" w:type="pct"/>
            <w:tcBorders>
              <w:top w:val="single" w:sz="12" w:space="0" w:color="auto"/>
              <w:left w:val="nil"/>
              <w:bottom w:val="nil"/>
              <w:right w:val="nil"/>
            </w:tcBorders>
            <w:vAlign w:val="center"/>
          </w:tcPr>
          <w:p w14:paraId="5A19DB00" w14:textId="77777777" w:rsidR="00A25EDA" w:rsidRPr="008B0FEC" w:rsidRDefault="00A25EDA" w:rsidP="002F733C">
            <w:pPr>
              <w:spacing w:before="60" w:after="60"/>
              <w:jc w:val="center"/>
              <w:rPr>
                <w:rFonts w:ascii="Times New Roman" w:hAnsi="Times New Roman" w:cs="Times New Roman"/>
                <w:sz w:val="20"/>
              </w:rPr>
            </w:pPr>
            <w:r w:rsidRPr="008B0FEC">
              <w:rPr>
                <w:rFonts w:ascii="Times New Roman" w:hAnsi="Times New Roman" w:cs="Times New Roman"/>
                <w:sz w:val="20"/>
              </w:rPr>
              <w:t>£55,869</w:t>
            </w:r>
          </w:p>
        </w:tc>
      </w:tr>
      <w:tr w:rsidR="00F622E7" w14:paraId="52DBFFBE" w14:textId="77777777" w:rsidTr="00F622E7">
        <w:tc>
          <w:tcPr>
            <w:tcW w:w="3088" w:type="pct"/>
            <w:tcBorders>
              <w:top w:val="nil"/>
              <w:left w:val="nil"/>
              <w:bottom w:val="nil"/>
              <w:right w:val="nil"/>
            </w:tcBorders>
          </w:tcPr>
          <w:p w14:paraId="24ABC282" w14:textId="5844FCB5" w:rsidR="00A25EDA" w:rsidRPr="001C5B03" w:rsidRDefault="00404FA9" w:rsidP="00C14E22">
            <w:pPr>
              <w:spacing w:before="60" w:after="60"/>
              <w:rPr>
                <w:rFonts w:ascii="Times New Roman" w:hAnsi="Times New Roman" w:cs="Times New Roman"/>
                <w:sz w:val="20"/>
              </w:rPr>
            </w:pPr>
            <w:r>
              <w:rPr>
                <w:rFonts w:ascii="Times New Roman" w:hAnsi="Times New Roman" w:cs="Times New Roman"/>
                <w:sz w:val="20"/>
              </w:rPr>
              <w:t xml:space="preserve">Minor </w:t>
            </w:r>
            <w:r w:rsidR="00C14E22">
              <w:rPr>
                <w:rFonts w:ascii="Times New Roman" w:hAnsi="Times New Roman" w:cs="Times New Roman"/>
                <w:sz w:val="20"/>
              </w:rPr>
              <w:t>costing</w:t>
            </w:r>
            <w:r>
              <w:rPr>
                <w:rFonts w:ascii="Times New Roman" w:hAnsi="Times New Roman" w:cs="Times New Roman"/>
                <w:sz w:val="20"/>
              </w:rPr>
              <w:t xml:space="preserve"> </w:t>
            </w:r>
            <w:proofErr w:type="spellStart"/>
            <w:r>
              <w:rPr>
                <w:rFonts w:ascii="Times New Roman" w:hAnsi="Times New Roman" w:cs="Times New Roman"/>
                <w:sz w:val="20"/>
              </w:rPr>
              <w:t>correction</w:t>
            </w:r>
            <w:r w:rsidR="00A25EDA" w:rsidRPr="00F72AB4">
              <w:rPr>
                <w:rFonts w:ascii="Times New Roman" w:hAnsi="Times New Roman" w:cs="Times New Roman"/>
                <w:sz w:val="20"/>
                <w:vertAlign w:val="superscript"/>
              </w:rPr>
              <w:t>a</w:t>
            </w:r>
            <w:proofErr w:type="spellEnd"/>
          </w:p>
        </w:tc>
        <w:tc>
          <w:tcPr>
            <w:tcW w:w="956" w:type="pct"/>
            <w:tcBorders>
              <w:top w:val="nil"/>
              <w:left w:val="nil"/>
              <w:bottom w:val="nil"/>
              <w:right w:val="nil"/>
            </w:tcBorders>
            <w:vAlign w:val="center"/>
          </w:tcPr>
          <w:p w14:paraId="6C51B7C3" w14:textId="77777777" w:rsidR="00A25EDA" w:rsidRPr="008B0FEC" w:rsidRDefault="00A25EDA" w:rsidP="002F733C">
            <w:pPr>
              <w:spacing w:before="60" w:after="60"/>
              <w:jc w:val="center"/>
              <w:rPr>
                <w:rFonts w:ascii="Times New Roman" w:hAnsi="Times New Roman" w:cs="Times New Roman"/>
                <w:sz w:val="20"/>
              </w:rPr>
            </w:pPr>
            <w:r>
              <w:rPr>
                <w:rFonts w:ascii="Times New Roman" w:hAnsi="Times New Roman" w:cs="Times New Roman"/>
                <w:sz w:val="20"/>
              </w:rPr>
              <w:t>£39,949</w:t>
            </w:r>
          </w:p>
        </w:tc>
        <w:tc>
          <w:tcPr>
            <w:tcW w:w="956" w:type="pct"/>
            <w:tcBorders>
              <w:top w:val="nil"/>
              <w:left w:val="nil"/>
              <w:bottom w:val="nil"/>
              <w:right w:val="nil"/>
            </w:tcBorders>
            <w:vAlign w:val="center"/>
          </w:tcPr>
          <w:p w14:paraId="16039912" w14:textId="77777777" w:rsidR="00A25EDA" w:rsidRPr="008B0FEC" w:rsidRDefault="00A25EDA" w:rsidP="002F733C">
            <w:pPr>
              <w:spacing w:before="60" w:after="60"/>
              <w:jc w:val="center"/>
              <w:rPr>
                <w:rFonts w:ascii="Times New Roman" w:hAnsi="Times New Roman" w:cs="Times New Roman"/>
                <w:sz w:val="20"/>
              </w:rPr>
            </w:pPr>
            <w:r w:rsidRPr="008B0FEC">
              <w:rPr>
                <w:rFonts w:ascii="Times New Roman" w:hAnsi="Times New Roman" w:cs="Times New Roman"/>
                <w:sz w:val="20"/>
              </w:rPr>
              <w:t>£55,779</w:t>
            </w:r>
          </w:p>
        </w:tc>
      </w:tr>
      <w:tr w:rsidR="00F622E7" w14:paraId="0256EB26" w14:textId="77777777" w:rsidTr="00F622E7">
        <w:tc>
          <w:tcPr>
            <w:tcW w:w="3088" w:type="pct"/>
            <w:tcBorders>
              <w:top w:val="nil"/>
              <w:left w:val="nil"/>
              <w:bottom w:val="nil"/>
              <w:right w:val="nil"/>
            </w:tcBorders>
          </w:tcPr>
          <w:p w14:paraId="5CEEF8B5" w14:textId="77777777" w:rsidR="00A25EDA" w:rsidRPr="001C5B03" w:rsidRDefault="00A25EDA" w:rsidP="00410366">
            <w:pPr>
              <w:spacing w:before="60" w:after="60"/>
              <w:rPr>
                <w:rFonts w:ascii="Times New Roman" w:hAnsi="Times New Roman" w:cs="Times New Roman"/>
                <w:sz w:val="20"/>
              </w:rPr>
            </w:pPr>
            <w:r w:rsidRPr="001C5B03">
              <w:rPr>
                <w:rFonts w:ascii="Times New Roman" w:hAnsi="Times New Roman" w:cs="Times New Roman"/>
                <w:sz w:val="20"/>
              </w:rPr>
              <w:t>Age adjusted utilities</w:t>
            </w:r>
          </w:p>
        </w:tc>
        <w:tc>
          <w:tcPr>
            <w:tcW w:w="956" w:type="pct"/>
            <w:tcBorders>
              <w:top w:val="nil"/>
              <w:left w:val="nil"/>
              <w:bottom w:val="nil"/>
              <w:right w:val="nil"/>
            </w:tcBorders>
            <w:vAlign w:val="center"/>
          </w:tcPr>
          <w:p w14:paraId="56C82C0B" w14:textId="77777777" w:rsidR="00A25EDA" w:rsidRPr="008B0FEC" w:rsidRDefault="00A25EDA" w:rsidP="002F733C">
            <w:pPr>
              <w:spacing w:before="60" w:after="60"/>
              <w:jc w:val="center"/>
              <w:rPr>
                <w:rFonts w:ascii="Times New Roman" w:hAnsi="Times New Roman" w:cs="Times New Roman"/>
                <w:sz w:val="20"/>
              </w:rPr>
            </w:pPr>
            <w:r>
              <w:rPr>
                <w:rFonts w:ascii="Times New Roman" w:hAnsi="Times New Roman" w:cs="Times New Roman"/>
                <w:sz w:val="20"/>
              </w:rPr>
              <w:t>£43,909</w:t>
            </w:r>
          </w:p>
        </w:tc>
        <w:tc>
          <w:tcPr>
            <w:tcW w:w="956" w:type="pct"/>
            <w:tcBorders>
              <w:top w:val="nil"/>
              <w:left w:val="nil"/>
              <w:bottom w:val="nil"/>
              <w:right w:val="nil"/>
            </w:tcBorders>
            <w:vAlign w:val="center"/>
          </w:tcPr>
          <w:p w14:paraId="584E783D" w14:textId="77777777" w:rsidR="00A25EDA" w:rsidRPr="008B0FEC" w:rsidRDefault="00A25EDA" w:rsidP="002F733C">
            <w:pPr>
              <w:spacing w:before="60" w:after="60"/>
              <w:jc w:val="center"/>
              <w:rPr>
                <w:rFonts w:ascii="Times New Roman" w:hAnsi="Times New Roman" w:cs="Times New Roman"/>
                <w:sz w:val="20"/>
              </w:rPr>
            </w:pPr>
            <w:r w:rsidRPr="008B0FEC">
              <w:rPr>
                <w:rFonts w:ascii="Times New Roman" w:hAnsi="Times New Roman" w:cs="Times New Roman"/>
                <w:sz w:val="20"/>
              </w:rPr>
              <w:t>£60,260</w:t>
            </w:r>
          </w:p>
        </w:tc>
      </w:tr>
      <w:tr w:rsidR="00F622E7" w14:paraId="2D17F016" w14:textId="77777777" w:rsidTr="00F622E7">
        <w:tc>
          <w:tcPr>
            <w:tcW w:w="3088" w:type="pct"/>
            <w:tcBorders>
              <w:top w:val="nil"/>
              <w:left w:val="nil"/>
              <w:bottom w:val="nil"/>
              <w:right w:val="nil"/>
            </w:tcBorders>
          </w:tcPr>
          <w:p w14:paraId="5B87CD0C" w14:textId="77777777" w:rsidR="00A25EDA" w:rsidRPr="001C5B03" w:rsidRDefault="00A25EDA" w:rsidP="00410366">
            <w:pPr>
              <w:spacing w:before="60" w:after="60"/>
              <w:rPr>
                <w:rFonts w:ascii="Times New Roman" w:hAnsi="Times New Roman" w:cs="Times New Roman"/>
                <w:sz w:val="20"/>
              </w:rPr>
            </w:pPr>
            <w:r>
              <w:rPr>
                <w:rFonts w:ascii="Times New Roman" w:hAnsi="Times New Roman" w:cs="Times New Roman"/>
                <w:sz w:val="20"/>
              </w:rPr>
              <w:t>Chemotherapy c</w:t>
            </w:r>
            <w:r w:rsidRPr="001C5B03">
              <w:rPr>
                <w:rFonts w:ascii="Times New Roman" w:hAnsi="Times New Roman" w:cs="Times New Roman"/>
                <w:sz w:val="20"/>
              </w:rPr>
              <w:t>osts in line with INO-</w:t>
            </w:r>
            <w:proofErr w:type="spellStart"/>
            <w:r w:rsidRPr="001C5B03">
              <w:rPr>
                <w:rFonts w:ascii="Times New Roman" w:hAnsi="Times New Roman" w:cs="Times New Roman"/>
                <w:sz w:val="20"/>
              </w:rPr>
              <w:t>VATE</w:t>
            </w:r>
            <w:r w:rsidRPr="00F72AB4">
              <w:rPr>
                <w:rFonts w:ascii="Times New Roman" w:hAnsi="Times New Roman" w:cs="Times New Roman"/>
                <w:sz w:val="20"/>
                <w:vertAlign w:val="superscript"/>
              </w:rPr>
              <w:t>b</w:t>
            </w:r>
            <w:proofErr w:type="spellEnd"/>
          </w:p>
        </w:tc>
        <w:tc>
          <w:tcPr>
            <w:tcW w:w="956" w:type="pct"/>
            <w:tcBorders>
              <w:top w:val="nil"/>
              <w:left w:val="nil"/>
              <w:bottom w:val="nil"/>
              <w:right w:val="nil"/>
            </w:tcBorders>
            <w:vAlign w:val="center"/>
          </w:tcPr>
          <w:p w14:paraId="03D220B4" w14:textId="77777777" w:rsidR="00A25EDA" w:rsidRPr="008B0FEC" w:rsidRDefault="00A25EDA" w:rsidP="002F733C">
            <w:pPr>
              <w:spacing w:before="60" w:after="60"/>
              <w:jc w:val="center"/>
              <w:rPr>
                <w:rFonts w:ascii="Times New Roman" w:hAnsi="Times New Roman" w:cs="Times New Roman"/>
                <w:sz w:val="20"/>
              </w:rPr>
            </w:pPr>
            <w:r>
              <w:rPr>
                <w:rFonts w:ascii="Times New Roman" w:hAnsi="Times New Roman" w:cs="Times New Roman"/>
                <w:sz w:val="20"/>
              </w:rPr>
              <w:t>£41,021</w:t>
            </w:r>
          </w:p>
        </w:tc>
        <w:tc>
          <w:tcPr>
            <w:tcW w:w="956" w:type="pct"/>
            <w:tcBorders>
              <w:top w:val="nil"/>
              <w:left w:val="nil"/>
              <w:bottom w:val="nil"/>
              <w:right w:val="nil"/>
            </w:tcBorders>
            <w:vAlign w:val="center"/>
          </w:tcPr>
          <w:p w14:paraId="2F3D4D9E" w14:textId="77777777" w:rsidR="00A25EDA" w:rsidRPr="008B0FEC" w:rsidRDefault="00A25EDA" w:rsidP="002F733C">
            <w:pPr>
              <w:spacing w:before="60" w:after="60"/>
              <w:jc w:val="center"/>
              <w:rPr>
                <w:rFonts w:ascii="Times New Roman" w:hAnsi="Times New Roman" w:cs="Times New Roman"/>
                <w:sz w:val="20"/>
              </w:rPr>
            </w:pPr>
            <w:r w:rsidRPr="008B0FEC">
              <w:rPr>
                <w:rFonts w:ascii="Times New Roman" w:hAnsi="Times New Roman" w:cs="Times New Roman"/>
                <w:sz w:val="20"/>
              </w:rPr>
              <w:t>£57,287</w:t>
            </w:r>
          </w:p>
        </w:tc>
      </w:tr>
      <w:tr w:rsidR="00F622E7" w14:paraId="104CBEDA" w14:textId="77777777" w:rsidTr="00F622E7">
        <w:tc>
          <w:tcPr>
            <w:tcW w:w="3088" w:type="pct"/>
            <w:tcBorders>
              <w:top w:val="nil"/>
              <w:left w:val="nil"/>
              <w:bottom w:val="nil"/>
              <w:right w:val="nil"/>
            </w:tcBorders>
          </w:tcPr>
          <w:p w14:paraId="0A624DF8" w14:textId="5C7270B8" w:rsidR="00A25EDA" w:rsidRPr="001C5B03" w:rsidRDefault="00A25EDA" w:rsidP="00410366">
            <w:pPr>
              <w:spacing w:before="60" w:after="60"/>
              <w:rPr>
                <w:rFonts w:ascii="Times New Roman" w:hAnsi="Times New Roman" w:cs="Times New Roman"/>
                <w:sz w:val="20"/>
              </w:rPr>
            </w:pPr>
            <w:r>
              <w:rPr>
                <w:rFonts w:ascii="Times New Roman" w:hAnsi="Times New Roman" w:cs="Times New Roman"/>
                <w:sz w:val="20"/>
              </w:rPr>
              <w:t>Pooled on treatment utilities</w:t>
            </w:r>
          </w:p>
        </w:tc>
        <w:tc>
          <w:tcPr>
            <w:tcW w:w="956" w:type="pct"/>
            <w:tcBorders>
              <w:top w:val="nil"/>
              <w:left w:val="nil"/>
              <w:bottom w:val="nil"/>
              <w:right w:val="nil"/>
            </w:tcBorders>
            <w:vAlign w:val="center"/>
          </w:tcPr>
          <w:p w14:paraId="7855CBA0" w14:textId="77777777" w:rsidR="00A25EDA" w:rsidRPr="008B0FEC" w:rsidRDefault="00A25EDA" w:rsidP="002F733C">
            <w:pPr>
              <w:spacing w:before="60" w:after="60"/>
              <w:jc w:val="center"/>
              <w:rPr>
                <w:rFonts w:ascii="Times New Roman" w:hAnsi="Times New Roman" w:cs="Times New Roman"/>
                <w:sz w:val="20"/>
              </w:rPr>
            </w:pPr>
            <w:r>
              <w:rPr>
                <w:rFonts w:ascii="Times New Roman" w:hAnsi="Times New Roman" w:cs="Times New Roman"/>
                <w:sz w:val="20"/>
              </w:rPr>
              <w:t>£40,076</w:t>
            </w:r>
          </w:p>
        </w:tc>
        <w:tc>
          <w:tcPr>
            <w:tcW w:w="956" w:type="pct"/>
            <w:tcBorders>
              <w:top w:val="nil"/>
              <w:left w:val="nil"/>
              <w:bottom w:val="nil"/>
              <w:right w:val="nil"/>
            </w:tcBorders>
            <w:vAlign w:val="center"/>
          </w:tcPr>
          <w:p w14:paraId="0E71C399" w14:textId="77777777" w:rsidR="00A25EDA" w:rsidRPr="008B0FEC" w:rsidRDefault="00A25EDA" w:rsidP="002F733C">
            <w:pPr>
              <w:spacing w:before="60" w:after="60"/>
              <w:jc w:val="center"/>
              <w:rPr>
                <w:rFonts w:ascii="Times New Roman" w:hAnsi="Times New Roman" w:cs="Times New Roman"/>
                <w:sz w:val="20"/>
              </w:rPr>
            </w:pPr>
            <w:r w:rsidRPr="008B0FEC">
              <w:rPr>
                <w:rFonts w:ascii="Times New Roman" w:hAnsi="Times New Roman" w:cs="Times New Roman"/>
                <w:sz w:val="20"/>
              </w:rPr>
              <w:t>£55,992</w:t>
            </w:r>
          </w:p>
        </w:tc>
      </w:tr>
      <w:tr w:rsidR="00F622E7" w14:paraId="6ADBB7A1" w14:textId="77777777" w:rsidTr="00F622E7">
        <w:tc>
          <w:tcPr>
            <w:tcW w:w="3088" w:type="pct"/>
            <w:tcBorders>
              <w:top w:val="nil"/>
              <w:left w:val="nil"/>
              <w:bottom w:val="nil"/>
              <w:right w:val="nil"/>
            </w:tcBorders>
          </w:tcPr>
          <w:p w14:paraId="6B426604" w14:textId="77777777" w:rsidR="00A25EDA" w:rsidRPr="001C5B03" w:rsidRDefault="00A25EDA" w:rsidP="00410366">
            <w:pPr>
              <w:spacing w:before="60" w:after="60"/>
              <w:rPr>
                <w:rFonts w:ascii="Times New Roman" w:hAnsi="Times New Roman" w:cs="Times New Roman"/>
                <w:sz w:val="20"/>
              </w:rPr>
            </w:pPr>
            <w:r w:rsidRPr="001C5B03">
              <w:rPr>
                <w:rFonts w:ascii="Times New Roman" w:hAnsi="Times New Roman" w:cs="Times New Roman"/>
                <w:sz w:val="20"/>
              </w:rPr>
              <w:t xml:space="preserve">Subsequent therapy costs </w:t>
            </w:r>
            <w:r>
              <w:rPr>
                <w:rFonts w:ascii="Times New Roman" w:hAnsi="Times New Roman" w:cs="Times New Roman"/>
                <w:sz w:val="20"/>
              </w:rPr>
              <w:t>equal to</w:t>
            </w:r>
            <w:r w:rsidRPr="001C5B03">
              <w:rPr>
                <w:rFonts w:ascii="Times New Roman" w:hAnsi="Times New Roman" w:cs="Times New Roman"/>
                <w:sz w:val="20"/>
              </w:rPr>
              <w:t xml:space="preserve"> </w:t>
            </w:r>
            <w:proofErr w:type="spellStart"/>
            <w:r w:rsidRPr="001C5B03">
              <w:rPr>
                <w:rFonts w:ascii="Times New Roman" w:hAnsi="Times New Roman" w:cs="Times New Roman"/>
                <w:sz w:val="20"/>
              </w:rPr>
              <w:t>chemotherapy</w:t>
            </w:r>
            <w:r w:rsidRPr="00F72AB4">
              <w:rPr>
                <w:rFonts w:ascii="Times New Roman" w:hAnsi="Times New Roman" w:cs="Times New Roman"/>
                <w:sz w:val="20"/>
                <w:vertAlign w:val="superscript"/>
              </w:rPr>
              <w:t>c</w:t>
            </w:r>
            <w:proofErr w:type="spellEnd"/>
          </w:p>
        </w:tc>
        <w:tc>
          <w:tcPr>
            <w:tcW w:w="956" w:type="pct"/>
            <w:tcBorders>
              <w:top w:val="nil"/>
              <w:left w:val="nil"/>
              <w:bottom w:val="nil"/>
              <w:right w:val="nil"/>
            </w:tcBorders>
            <w:vAlign w:val="center"/>
          </w:tcPr>
          <w:p w14:paraId="6D50A9D3" w14:textId="77777777" w:rsidR="00A25EDA" w:rsidRPr="008B0FEC" w:rsidRDefault="00A25EDA" w:rsidP="002F733C">
            <w:pPr>
              <w:spacing w:before="60" w:after="60"/>
              <w:jc w:val="center"/>
              <w:rPr>
                <w:rFonts w:ascii="Times New Roman" w:hAnsi="Times New Roman" w:cs="Times New Roman"/>
                <w:sz w:val="20"/>
              </w:rPr>
            </w:pPr>
            <w:r>
              <w:rPr>
                <w:rFonts w:ascii="Times New Roman" w:hAnsi="Times New Roman" w:cs="Times New Roman"/>
                <w:sz w:val="20"/>
              </w:rPr>
              <w:t>£44,082</w:t>
            </w:r>
          </w:p>
        </w:tc>
        <w:tc>
          <w:tcPr>
            <w:tcW w:w="956" w:type="pct"/>
            <w:tcBorders>
              <w:top w:val="nil"/>
              <w:left w:val="nil"/>
              <w:bottom w:val="nil"/>
              <w:right w:val="nil"/>
            </w:tcBorders>
            <w:vAlign w:val="center"/>
          </w:tcPr>
          <w:p w14:paraId="4A9005F4" w14:textId="77777777" w:rsidR="00A25EDA" w:rsidRPr="008B0FEC" w:rsidRDefault="00A25EDA" w:rsidP="002F733C">
            <w:pPr>
              <w:spacing w:before="60" w:after="60"/>
              <w:jc w:val="center"/>
              <w:rPr>
                <w:rFonts w:ascii="Times New Roman" w:hAnsi="Times New Roman" w:cs="Times New Roman"/>
                <w:sz w:val="20"/>
              </w:rPr>
            </w:pPr>
            <w:r w:rsidRPr="008B0FEC">
              <w:rPr>
                <w:rFonts w:ascii="Times New Roman" w:hAnsi="Times New Roman" w:cs="Times New Roman"/>
                <w:sz w:val="20"/>
              </w:rPr>
              <w:t>£61,594</w:t>
            </w:r>
          </w:p>
        </w:tc>
      </w:tr>
      <w:tr w:rsidR="00F622E7" w14:paraId="1D890D94" w14:textId="77777777" w:rsidTr="00F622E7">
        <w:tc>
          <w:tcPr>
            <w:tcW w:w="3088" w:type="pct"/>
            <w:tcBorders>
              <w:top w:val="nil"/>
              <w:left w:val="nil"/>
              <w:bottom w:val="nil"/>
              <w:right w:val="nil"/>
            </w:tcBorders>
          </w:tcPr>
          <w:p w14:paraId="0A209673" w14:textId="4F99E4E6" w:rsidR="00404FA9" w:rsidRPr="001C5B03" w:rsidRDefault="00404FA9" w:rsidP="004A7A30">
            <w:pPr>
              <w:spacing w:before="60" w:after="60"/>
              <w:rPr>
                <w:rFonts w:ascii="Times New Roman" w:hAnsi="Times New Roman" w:cs="Times New Roman"/>
                <w:sz w:val="20"/>
              </w:rPr>
            </w:pPr>
            <w:r>
              <w:rPr>
                <w:rFonts w:ascii="Times New Roman" w:hAnsi="Times New Roman" w:cs="Times New Roman"/>
                <w:sz w:val="20"/>
              </w:rPr>
              <w:t xml:space="preserve">NHS </w:t>
            </w:r>
            <w:r w:rsidRPr="00410366">
              <w:rPr>
                <w:rFonts w:ascii="Times New Roman" w:hAnsi="Times New Roman" w:cs="Times New Roman"/>
                <w:sz w:val="20"/>
              </w:rPr>
              <w:t xml:space="preserve">administration costs </w:t>
            </w:r>
            <w:r w:rsidR="004A7A30">
              <w:rPr>
                <w:rFonts w:ascii="Times New Roman" w:hAnsi="Times New Roman" w:cs="Times New Roman"/>
                <w:sz w:val="20"/>
              </w:rPr>
              <w:t>using</w:t>
            </w:r>
            <w:r>
              <w:rPr>
                <w:rFonts w:ascii="Times New Roman" w:hAnsi="Times New Roman" w:cs="Times New Roman"/>
                <w:sz w:val="20"/>
              </w:rPr>
              <w:t xml:space="preserve"> INO-VATE patient </w:t>
            </w:r>
            <w:proofErr w:type="spellStart"/>
            <w:r>
              <w:rPr>
                <w:rFonts w:ascii="Times New Roman" w:hAnsi="Times New Roman" w:cs="Times New Roman"/>
                <w:sz w:val="20"/>
              </w:rPr>
              <w:t>setting</w:t>
            </w:r>
            <w:r>
              <w:rPr>
                <w:rFonts w:ascii="Times New Roman" w:hAnsi="Times New Roman" w:cs="Times New Roman"/>
                <w:sz w:val="20"/>
                <w:vertAlign w:val="superscript"/>
              </w:rPr>
              <w:t>d</w:t>
            </w:r>
            <w:proofErr w:type="spellEnd"/>
          </w:p>
        </w:tc>
        <w:tc>
          <w:tcPr>
            <w:tcW w:w="956" w:type="pct"/>
            <w:tcBorders>
              <w:top w:val="nil"/>
              <w:left w:val="nil"/>
              <w:bottom w:val="nil"/>
              <w:right w:val="nil"/>
            </w:tcBorders>
            <w:vAlign w:val="center"/>
          </w:tcPr>
          <w:p w14:paraId="1F38701A" w14:textId="3F2025C4" w:rsidR="00404FA9" w:rsidRPr="008B0FEC" w:rsidRDefault="00404FA9" w:rsidP="00404FA9">
            <w:pPr>
              <w:spacing w:before="60" w:after="60"/>
              <w:jc w:val="center"/>
              <w:rPr>
                <w:rFonts w:ascii="Times New Roman" w:hAnsi="Times New Roman" w:cs="Times New Roman"/>
                <w:sz w:val="20"/>
              </w:rPr>
            </w:pPr>
            <w:r>
              <w:rPr>
                <w:rFonts w:ascii="Times New Roman" w:hAnsi="Times New Roman" w:cs="Times New Roman"/>
                <w:sz w:val="20"/>
              </w:rPr>
              <w:t>£41,389</w:t>
            </w:r>
          </w:p>
        </w:tc>
        <w:tc>
          <w:tcPr>
            <w:tcW w:w="956" w:type="pct"/>
            <w:tcBorders>
              <w:top w:val="nil"/>
              <w:left w:val="nil"/>
              <w:bottom w:val="nil"/>
              <w:right w:val="nil"/>
            </w:tcBorders>
            <w:vAlign w:val="center"/>
          </w:tcPr>
          <w:p w14:paraId="5331635F" w14:textId="4F55B2F5" w:rsidR="00404FA9" w:rsidRPr="008B0FEC" w:rsidRDefault="00404FA9" w:rsidP="00404FA9">
            <w:pPr>
              <w:spacing w:before="60" w:after="60"/>
              <w:jc w:val="center"/>
              <w:rPr>
                <w:rFonts w:ascii="Times New Roman" w:hAnsi="Times New Roman" w:cs="Times New Roman"/>
                <w:sz w:val="20"/>
              </w:rPr>
            </w:pPr>
            <w:r>
              <w:rPr>
                <w:rFonts w:ascii="Times New Roman" w:hAnsi="Times New Roman" w:cs="Times New Roman"/>
                <w:sz w:val="20"/>
              </w:rPr>
              <w:t>£57,804</w:t>
            </w:r>
          </w:p>
        </w:tc>
      </w:tr>
      <w:tr w:rsidR="00F622E7" w14:paraId="77665F90" w14:textId="77777777" w:rsidTr="00F622E7">
        <w:tc>
          <w:tcPr>
            <w:tcW w:w="3088" w:type="pct"/>
            <w:tcBorders>
              <w:top w:val="nil"/>
              <w:left w:val="nil"/>
              <w:bottom w:val="nil"/>
              <w:right w:val="nil"/>
            </w:tcBorders>
          </w:tcPr>
          <w:p w14:paraId="57883981" w14:textId="5C4F1222" w:rsidR="00404FA9" w:rsidRPr="001C5B03" w:rsidRDefault="00404FA9" w:rsidP="00404FA9">
            <w:pPr>
              <w:spacing w:before="60" w:after="60"/>
              <w:rPr>
                <w:rFonts w:ascii="Times New Roman" w:hAnsi="Times New Roman" w:cs="Times New Roman"/>
                <w:sz w:val="20"/>
              </w:rPr>
            </w:pPr>
            <w:r w:rsidRPr="00410366">
              <w:rPr>
                <w:rFonts w:ascii="Times New Roman" w:hAnsi="Times New Roman" w:cs="Times New Roman"/>
                <w:sz w:val="20"/>
              </w:rPr>
              <w:t>Fourfold increase in risk of mortality post-cure</w:t>
            </w:r>
          </w:p>
        </w:tc>
        <w:tc>
          <w:tcPr>
            <w:tcW w:w="956" w:type="pct"/>
            <w:tcBorders>
              <w:top w:val="nil"/>
              <w:left w:val="nil"/>
              <w:bottom w:val="nil"/>
              <w:right w:val="nil"/>
            </w:tcBorders>
            <w:vAlign w:val="center"/>
          </w:tcPr>
          <w:p w14:paraId="2012EE6B" w14:textId="60779AFC" w:rsidR="00404FA9" w:rsidRDefault="00404FA9" w:rsidP="00404FA9">
            <w:pPr>
              <w:spacing w:before="60" w:after="60"/>
              <w:jc w:val="center"/>
              <w:rPr>
                <w:rFonts w:ascii="Times New Roman" w:hAnsi="Times New Roman" w:cs="Times New Roman"/>
                <w:sz w:val="20"/>
              </w:rPr>
            </w:pPr>
            <w:r>
              <w:rPr>
                <w:rFonts w:ascii="Times New Roman" w:hAnsi="Times New Roman" w:cs="Times New Roman"/>
                <w:sz w:val="20"/>
              </w:rPr>
              <w:t>£53,069</w:t>
            </w:r>
          </w:p>
        </w:tc>
        <w:tc>
          <w:tcPr>
            <w:tcW w:w="956" w:type="pct"/>
            <w:tcBorders>
              <w:top w:val="nil"/>
              <w:left w:val="nil"/>
              <w:bottom w:val="nil"/>
              <w:right w:val="nil"/>
            </w:tcBorders>
            <w:vAlign w:val="center"/>
          </w:tcPr>
          <w:p w14:paraId="11514F92" w14:textId="6781A051" w:rsidR="00404FA9" w:rsidRDefault="00404FA9" w:rsidP="00404FA9">
            <w:pPr>
              <w:spacing w:before="60" w:after="60"/>
              <w:jc w:val="center"/>
              <w:rPr>
                <w:rFonts w:ascii="Times New Roman" w:hAnsi="Times New Roman" w:cs="Times New Roman"/>
                <w:sz w:val="20"/>
              </w:rPr>
            </w:pPr>
            <w:r>
              <w:rPr>
                <w:rFonts w:ascii="Times New Roman" w:hAnsi="Times New Roman" w:cs="Times New Roman"/>
                <w:sz w:val="20"/>
              </w:rPr>
              <w:t>£68,381</w:t>
            </w:r>
          </w:p>
        </w:tc>
      </w:tr>
      <w:tr w:rsidR="00F622E7" w14:paraId="4988DC33" w14:textId="77777777" w:rsidTr="00F622E7">
        <w:tc>
          <w:tcPr>
            <w:tcW w:w="3088" w:type="pct"/>
            <w:tcBorders>
              <w:top w:val="nil"/>
              <w:left w:val="nil"/>
              <w:bottom w:val="nil"/>
              <w:right w:val="nil"/>
            </w:tcBorders>
          </w:tcPr>
          <w:p w14:paraId="5BB59F7B" w14:textId="471EB415" w:rsidR="00404FA9" w:rsidRPr="001C5B03" w:rsidRDefault="00404FA9" w:rsidP="00404FA9">
            <w:pPr>
              <w:spacing w:before="60" w:after="60"/>
              <w:rPr>
                <w:rFonts w:ascii="Times New Roman" w:hAnsi="Times New Roman" w:cs="Times New Roman"/>
                <w:sz w:val="20"/>
              </w:rPr>
            </w:pPr>
            <w:r w:rsidRPr="001C5B03">
              <w:rPr>
                <w:rFonts w:ascii="Times New Roman" w:hAnsi="Times New Roman" w:cs="Times New Roman"/>
                <w:sz w:val="20"/>
              </w:rPr>
              <w:t>Non-parametric</w:t>
            </w:r>
            <w:r>
              <w:rPr>
                <w:rFonts w:ascii="Times New Roman" w:hAnsi="Times New Roman" w:cs="Times New Roman"/>
                <w:sz w:val="20"/>
              </w:rPr>
              <w:t xml:space="preserve"> - </w:t>
            </w:r>
            <w:r w:rsidRPr="001C5B03">
              <w:rPr>
                <w:rFonts w:ascii="Times New Roman" w:hAnsi="Times New Roman" w:cs="Times New Roman"/>
                <w:sz w:val="20"/>
              </w:rPr>
              <w:t>pooled survival</w:t>
            </w:r>
            <w:r>
              <w:rPr>
                <w:rFonts w:ascii="Times New Roman" w:hAnsi="Times New Roman" w:cs="Times New Roman"/>
                <w:sz w:val="20"/>
              </w:rPr>
              <w:t xml:space="preserve"> curves</w:t>
            </w:r>
            <w:r w:rsidRPr="001C5B03">
              <w:rPr>
                <w:rFonts w:ascii="Times New Roman" w:hAnsi="Times New Roman" w:cs="Times New Roman"/>
                <w:sz w:val="20"/>
              </w:rPr>
              <w:t xml:space="preserve"> post-HSCT </w:t>
            </w:r>
          </w:p>
        </w:tc>
        <w:tc>
          <w:tcPr>
            <w:tcW w:w="956" w:type="pct"/>
            <w:tcBorders>
              <w:top w:val="nil"/>
              <w:left w:val="nil"/>
              <w:bottom w:val="nil"/>
              <w:right w:val="nil"/>
            </w:tcBorders>
            <w:vAlign w:val="center"/>
          </w:tcPr>
          <w:p w14:paraId="61B40F3B" w14:textId="6C26C093" w:rsidR="00404FA9" w:rsidRPr="008B0FEC" w:rsidRDefault="00404FA9" w:rsidP="00404FA9">
            <w:pPr>
              <w:spacing w:before="60" w:after="60"/>
              <w:jc w:val="center"/>
              <w:rPr>
                <w:rFonts w:ascii="Times New Roman" w:hAnsi="Times New Roman" w:cs="Times New Roman"/>
                <w:sz w:val="20"/>
              </w:rPr>
            </w:pPr>
            <w:r>
              <w:rPr>
                <w:rFonts w:ascii="Times New Roman" w:hAnsi="Times New Roman" w:cs="Times New Roman"/>
                <w:sz w:val="20"/>
              </w:rPr>
              <w:t>£61,021</w:t>
            </w:r>
          </w:p>
        </w:tc>
        <w:tc>
          <w:tcPr>
            <w:tcW w:w="956" w:type="pct"/>
            <w:tcBorders>
              <w:top w:val="nil"/>
              <w:left w:val="nil"/>
              <w:bottom w:val="nil"/>
              <w:right w:val="nil"/>
            </w:tcBorders>
            <w:vAlign w:val="center"/>
          </w:tcPr>
          <w:p w14:paraId="53B92EFD" w14:textId="25B6ADD5" w:rsidR="00404FA9" w:rsidRPr="008B0FEC" w:rsidRDefault="00404FA9" w:rsidP="00404FA9">
            <w:pPr>
              <w:spacing w:before="60" w:after="60"/>
              <w:jc w:val="center"/>
              <w:rPr>
                <w:rFonts w:ascii="Times New Roman" w:hAnsi="Times New Roman" w:cs="Times New Roman"/>
                <w:sz w:val="20"/>
              </w:rPr>
            </w:pPr>
            <w:r>
              <w:rPr>
                <w:rFonts w:ascii="Times New Roman" w:hAnsi="Times New Roman" w:cs="Times New Roman"/>
                <w:sz w:val="20"/>
              </w:rPr>
              <w:t>£83,060</w:t>
            </w:r>
          </w:p>
        </w:tc>
      </w:tr>
      <w:tr w:rsidR="00F622E7" w14:paraId="15978767" w14:textId="77777777" w:rsidTr="00F622E7">
        <w:tc>
          <w:tcPr>
            <w:tcW w:w="3088" w:type="pct"/>
            <w:tcBorders>
              <w:top w:val="nil"/>
              <w:left w:val="nil"/>
              <w:bottom w:val="single" w:sz="4" w:space="0" w:color="auto"/>
              <w:right w:val="nil"/>
            </w:tcBorders>
          </w:tcPr>
          <w:p w14:paraId="22746DF8" w14:textId="1E77FD43" w:rsidR="00404FA9" w:rsidRPr="001C5B03" w:rsidRDefault="00404FA9" w:rsidP="00404FA9">
            <w:pPr>
              <w:spacing w:before="60" w:after="60"/>
              <w:rPr>
                <w:rFonts w:ascii="Times New Roman" w:hAnsi="Times New Roman" w:cs="Times New Roman"/>
                <w:sz w:val="20"/>
              </w:rPr>
            </w:pPr>
            <w:r>
              <w:rPr>
                <w:rFonts w:ascii="Times New Roman" w:hAnsi="Times New Roman" w:cs="Times New Roman"/>
                <w:sz w:val="20"/>
              </w:rPr>
              <w:t>Parametric - pooled survival curves with MRD adjustment</w:t>
            </w:r>
            <w:r w:rsidR="00714037">
              <w:rPr>
                <w:rFonts w:ascii="Times New Roman" w:hAnsi="Times New Roman" w:cs="Times New Roman"/>
                <w:sz w:val="20"/>
              </w:rPr>
              <w:t xml:space="preserve"> post-</w:t>
            </w:r>
            <w:proofErr w:type="spellStart"/>
            <w:r w:rsidR="00714037">
              <w:rPr>
                <w:rFonts w:ascii="Times New Roman" w:hAnsi="Times New Roman" w:cs="Times New Roman"/>
                <w:sz w:val="20"/>
              </w:rPr>
              <w:t>HSCT</w:t>
            </w:r>
            <w:r>
              <w:rPr>
                <w:rFonts w:ascii="Times New Roman" w:hAnsi="Times New Roman" w:cs="Times New Roman"/>
                <w:sz w:val="20"/>
                <w:vertAlign w:val="superscript"/>
              </w:rPr>
              <w:t>e</w:t>
            </w:r>
            <w:proofErr w:type="spellEnd"/>
          </w:p>
        </w:tc>
        <w:tc>
          <w:tcPr>
            <w:tcW w:w="956" w:type="pct"/>
            <w:tcBorders>
              <w:top w:val="nil"/>
              <w:left w:val="nil"/>
              <w:bottom w:val="single" w:sz="4" w:space="0" w:color="auto"/>
              <w:right w:val="nil"/>
            </w:tcBorders>
            <w:vAlign w:val="center"/>
          </w:tcPr>
          <w:p w14:paraId="67AB7A9D" w14:textId="5FED7E1F" w:rsidR="00404FA9" w:rsidRPr="008B0FEC" w:rsidRDefault="00404FA9" w:rsidP="00404FA9">
            <w:pPr>
              <w:spacing w:before="60" w:after="60"/>
              <w:jc w:val="center"/>
              <w:rPr>
                <w:rFonts w:ascii="Times New Roman" w:hAnsi="Times New Roman" w:cs="Times New Roman"/>
                <w:sz w:val="20"/>
              </w:rPr>
            </w:pPr>
            <w:r>
              <w:rPr>
                <w:rFonts w:ascii="Times New Roman" w:hAnsi="Times New Roman" w:cs="Times New Roman"/>
                <w:sz w:val="20"/>
              </w:rPr>
              <w:t>£56,819</w:t>
            </w:r>
          </w:p>
        </w:tc>
        <w:tc>
          <w:tcPr>
            <w:tcW w:w="956" w:type="pct"/>
            <w:tcBorders>
              <w:top w:val="nil"/>
              <w:left w:val="nil"/>
              <w:bottom w:val="single" w:sz="4" w:space="0" w:color="auto"/>
              <w:right w:val="nil"/>
            </w:tcBorders>
            <w:vAlign w:val="center"/>
          </w:tcPr>
          <w:p w14:paraId="388BC9BA" w14:textId="350C57FC" w:rsidR="00404FA9" w:rsidRPr="008B0FEC" w:rsidRDefault="00404FA9" w:rsidP="00404FA9">
            <w:pPr>
              <w:spacing w:before="60" w:after="60"/>
              <w:jc w:val="center"/>
              <w:rPr>
                <w:rFonts w:ascii="Times New Roman" w:hAnsi="Times New Roman" w:cs="Times New Roman"/>
                <w:sz w:val="20"/>
              </w:rPr>
            </w:pPr>
            <w:r>
              <w:rPr>
                <w:rFonts w:ascii="Times New Roman" w:hAnsi="Times New Roman" w:cs="Times New Roman"/>
                <w:sz w:val="20"/>
              </w:rPr>
              <w:t>£77,783</w:t>
            </w:r>
          </w:p>
        </w:tc>
      </w:tr>
      <w:tr w:rsidR="00F622E7" w14:paraId="5745FF54" w14:textId="77777777" w:rsidTr="00F622E7">
        <w:tc>
          <w:tcPr>
            <w:tcW w:w="3088" w:type="pct"/>
            <w:tcBorders>
              <w:top w:val="single" w:sz="4" w:space="0" w:color="auto"/>
              <w:left w:val="nil"/>
              <w:bottom w:val="nil"/>
              <w:right w:val="nil"/>
            </w:tcBorders>
            <w:shd w:val="clear" w:color="auto" w:fill="FDFDFD"/>
          </w:tcPr>
          <w:p w14:paraId="713247D1" w14:textId="77777777" w:rsidR="00404FA9" w:rsidRPr="00410366" w:rsidRDefault="00404FA9" w:rsidP="00404FA9">
            <w:pPr>
              <w:spacing w:before="60" w:after="60"/>
              <w:rPr>
                <w:rFonts w:ascii="Times New Roman" w:hAnsi="Times New Roman" w:cs="Times New Roman"/>
                <w:sz w:val="20"/>
              </w:rPr>
            </w:pPr>
            <w:r w:rsidRPr="00410366">
              <w:rPr>
                <w:rFonts w:ascii="Times New Roman" w:hAnsi="Times New Roman" w:cs="Times New Roman"/>
                <w:sz w:val="20"/>
              </w:rPr>
              <w:t xml:space="preserve">ERG non-parametric base </w:t>
            </w:r>
            <w:proofErr w:type="spellStart"/>
            <w:r w:rsidRPr="00410366">
              <w:rPr>
                <w:rFonts w:ascii="Times New Roman" w:hAnsi="Times New Roman" w:cs="Times New Roman"/>
                <w:sz w:val="20"/>
              </w:rPr>
              <w:t>case</w:t>
            </w:r>
            <w:r w:rsidRPr="00F72AB4">
              <w:rPr>
                <w:rFonts w:ascii="Times New Roman" w:hAnsi="Times New Roman" w:cs="Times New Roman"/>
                <w:sz w:val="20"/>
                <w:vertAlign w:val="superscript"/>
              </w:rPr>
              <w:t>f</w:t>
            </w:r>
            <w:proofErr w:type="spellEnd"/>
          </w:p>
        </w:tc>
        <w:tc>
          <w:tcPr>
            <w:tcW w:w="956" w:type="pct"/>
            <w:tcBorders>
              <w:top w:val="single" w:sz="4" w:space="0" w:color="auto"/>
              <w:left w:val="nil"/>
              <w:bottom w:val="nil"/>
              <w:right w:val="nil"/>
            </w:tcBorders>
            <w:shd w:val="clear" w:color="auto" w:fill="FDFDFD"/>
            <w:vAlign w:val="center"/>
          </w:tcPr>
          <w:p w14:paraId="30FA0F1E" w14:textId="77777777" w:rsidR="00404FA9" w:rsidRPr="008B0FEC" w:rsidRDefault="00404FA9" w:rsidP="00404FA9">
            <w:pPr>
              <w:spacing w:before="60" w:after="60"/>
              <w:jc w:val="center"/>
              <w:rPr>
                <w:rFonts w:ascii="Times New Roman" w:hAnsi="Times New Roman" w:cs="Times New Roman"/>
                <w:sz w:val="20"/>
              </w:rPr>
            </w:pPr>
            <w:r>
              <w:rPr>
                <w:rFonts w:ascii="Times New Roman" w:hAnsi="Times New Roman" w:cs="Times New Roman"/>
                <w:sz w:val="20"/>
              </w:rPr>
              <w:t>-</w:t>
            </w:r>
          </w:p>
        </w:tc>
        <w:tc>
          <w:tcPr>
            <w:tcW w:w="956" w:type="pct"/>
            <w:tcBorders>
              <w:top w:val="single" w:sz="4" w:space="0" w:color="auto"/>
              <w:left w:val="nil"/>
              <w:bottom w:val="nil"/>
              <w:right w:val="nil"/>
            </w:tcBorders>
            <w:shd w:val="clear" w:color="auto" w:fill="FDFDFD"/>
            <w:vAlign w:val="center"/>
          </w:tcPr>
          <w:p w14:paraId="0422C4D9" w14:textId="77777777" w:rsidR="00404FA9" w:rsidRPr="008B0FEC" w:rsidRDefault="00404FA9" w:rsidP="00404FA9">
            <w:pPr>
              <w:spacing w:before="60" w:after="60"/>
              <w:jc w:val="center"/>
              <w:rPr>
                <w:rFonts w:ascii="Times New Roman" w:hAnsi="Times New Roman" w:cs="Times New Roman"/>
                <w:sz w:val="20"/>
              </w:rPr>
            </w:pPr>
            <w:r>
              <w:rPr>
                <w:rFonts w:ascii="Times New Roman" w:hAnsi="Times New Roman" w:cs="Times New Roman"/>
                <w:sz w:val="20"/>
              </w:rPr>
              <w:t>£122,174</w:t>
            </w:r>
          </w:p>
        </w:tc>
      </w:tr>
      <w:tr w:rsidR="00F622E7" w14:paraId="178811FD" w14:textId="77777777" w:rsidTr="00F622E7">
        <w:tc>
          <w:tcPr>
            <w:tcW w:w="3088" w:type="pct"/>
            <w:tcBorders>
              <w:top w:val="nil"/>
              <w:left w:val="nil"/>
              <w:bottom w:val="single" w:sz="4" w:space="0" w:color="auto"/>
              <w:right w:val="nil"/>
            </w:tcBorders>
            <w:shd w:val="clear" w:color="auto" w:fill="FDFDFD"/>
          </w:tcPr>
          <w:p w14:paraId="33610BA3" w14:textId="77777777" w:rsidR="00404FA9" w:rsidRPr="00410366" w:rsidRDefault="00404FA9" w:rsidP="00404FA9">
            <w:pPr>
              <w:spacing w:before="60" w:after="60"/>
              <w:rPr>
                <w:rFonts w:ascii="Times New Roman" w:hAnsi="Times New Roman" w:cs="Times New Roman"/>
                <w:sz w:val="20"/>
              </w:rPr>
            </w:pPr>
            <w:r w:rsidRPr="00410366">
              <w:rPr>
                <w:rFonts w:ascii="Times New Roman" w:hAnsi="Times New Roman" w:cs="Times New Roman"/>
                <w:sz w:val="20"/>
              </w:rPr>
              <w:t xml:space="preserve">ERG parametric base </w:t>
            </w:r>
            <w:proofErr w:type="spellStart"/>
            <w:r w:rsidRPr="00410366">
              <w:rPr>
                <w:rFonts w:ascii="Times New Roman" w:hAnsi="Times New Roman" w:cs="Times New Roman"/>
                <w:sz w:val="20"/>
              </w:rPr>
              <w:t>case</w:t>
            </w:r>
            <w:r w:rsidRPr="00F72AB4">
              <w:rPr>
                <w:rFonts w:ascii="Times New Roman" w:hAnsi="Times New Roman" w:cs="Times New Roman"/>
                <w:sz w:val="20"/>
                <w:vertAlign w:val="superscript"/>
              </w:rPr>
              <w:t>g</w:t>
            </w:r>
            <w:proofErr w:type="spellEnd"/>
          </w:p>
        </w:tc>
        <w:tc>
          <w:tcPr>
            <w:tcW w:w="956" w:type="pct"/>
            <w:tcBorders>
              <w:top w:val="nil"/>
              <w:left w:val="nil"/>
              <w:bottom w:val="single" w:sz="4" w:space="0" w:color="auto"/>
              <w:right w:val="nil"/>
            </w:tcBorders>
            <w:shd w:val="clear" w:color="auto" w:fill="FDFDFD"/>
            <w:vAlign w:val="center"/>
          </w:tcPr>
          <w:p w14:paraId="2D08490D" w14:textId="77777777" w:rsidR="00404FA9" w:rsidRPr="008B0FEC" w:rsidRDefault="00404FA9" w:rsidP="00404FA9">
            <w:pPr>
              <w:spacing w:before="60" w:after="60"/>
              <w:jc w:val="center"/>
              <w:rPr>
                <w:rFonts w:ascii="Times New Roman" w:hAnsi="Times New Roman" w:cs="Times New Roman"/>
                <w:sz w:val="20"/>
              </w:rPr>
            </w:pPr>
            <w:r>
              <w:rPr>
                <w:rFonts w:ascii="Times New Roman" w:hAnsi="Times New Roman" w:cs="Times New Roman"/>
                <w:sz w:val="20"/>
              </w:rPr>
              <w:t>-</w:t>
            </w:r>
          </w:p>
        </w:tc>
        <w:tc>
          <w:tcPr>
            <w:tcW w:w="956" w:type="pct"/>
            <w:tcBorders>
              <w:top w:val="nil"/>
              <w:left w:val="nil"/>
              <w:bottom w:val="single" w:sz="4" w:space="0" w:color="auto"/>
              <w:right w:val="nil"/>
            </w:tcBorders>
            <w:shd w:val="clear" w:color="auto" w:fill="FDFDFD"/>
            <w:vAlign w:val="center"/>
          </w:tcPr>
          <w:p w14:paraId="31E75396" w14:textId="77777777" w:rsidR="00404FA9" w:rsidRPr="008B0FEC" w:rsidRDefault="00404FA9" w:rsidP="00404FA9">
            <w:pPr>
              <w:spacing w:before="60" w:after="60"/>
              <w:jc w:val="center"/>
              <w:rPr>
                <w:rFonts w:ascii="Times New Roman" w:hAnsi="Times New Roman" w:cs="Times New Roman"/>
                <w:sz w:val="20"/>
              </w:rPr>
            </w:pPr>
            <w:r>
              <w:rPr>
                <w:rFonts w:ascii="Times New Roman" w:hAnsi="Times New Roman" w:cs="Times New Roman"/>
                <w:sz w:val="20"/>
              </w:rPr>
              <w:t>£114,078</w:t>
            </w:r>
          </w:p>
        </w:tc>
      </w:tr>
    </w:tbl>
    <w:p w14:paraId="76F5EA72" w14:textId="6B042F3A" w:rsidR="00637CBC" w:rsidRDefault="00637CBC" w:rsidP="005B7763">
      <w:pPr>
        <w:spacing w:before="60" w:line="240" w:lineRule="auto"/>
        <w:rPr>
          <w:rFonts w:ascii="Times New Roman" w:hAnsi="Times New Roman" w:cs="Times New Roman"/>
          <w:sz w:val="18"/>
        </w:rPr>
      </w:pPr>
      <w:r w:rsidRPr="00637CBC">
        <w:rPr>
          <w:rFonts w:ascii="Times New Roman" w:hAnsi="Times New Roman" w:cs="Times New Roman"/>
          <w:sz w:val="18"/>
        </w:rPr>
        <w:t>ERG Evidence Review Group; ICER Incremental cost-effectiveness ratio; QALY quality</w:t>
      </w:r>
      <w:r w:rsidR="00F53666">
        <w:rPr>
          <w:rFonts w:ascii="Times New Roman" w:hAnsi="Times New Roman" w:cs="Times New Roman"/>
          <w:sz w:val="18"/>
        </w:rPr>
        <w:t>-</w:t>
      </w:r>
      <w:r w:rsidRPr="00637CBC">
        <w:rPr>
          <w:rFonts w:ascii="Times New Roman" w:hAnsi="Times New Roman" w:cs="Times New Roman"/>
          <w:sz w:val="18"/>
        </w:rPr>
        <w:t>adjusted life-year</w:t>
      </w:r>
      <w:r w:rsidR="00BB4AC1">
        <w:rPr>
          <w:rFonts w:ascii="Times New Roman" w:hAnsi="Times New Roman" w:cs="Times New Roman"/>
          <w:sz w:val="18"/>
        </w:rPr>
        <w:t>; MRD: Minimal residual disease</w:t>
      </w:r>
    </w:p>
    <w:p w14:paraId="4D9DBCB7" w14:textId="5AEF2C62" w:rsidR="00C07E4C" w:rsidRPr="009F7B90" w:rsidRDefault="00EE3419" w:rsidP="00410366">
      <w:pPr>
        <w:spacing w:after="60" w:line="240" w:lineRule="auto"/>
        <w:rPr>
          <w:rFonts w:ascii="Times New Roman" w:hAnsi="Times New Roman" w:cs="Times New Roman"/>
          <w:sz w:val="20"/>
          <w:szCs w:val="16"/>
          <w:vertAlign w:val="superscript"/>
        </w:rPr>
      </w:pPr>
      <w:proofErr w:type="gramStart"/>
      <w:r w:rsidRPr="009F7B90">
        <w:rPr>
          <w:rFonts w:ascii="Times New Roman" w:hAnsi="Times New Roman" w:cs="Times New Roman"/>
          <w:sz w:val="20"/>
          <w:szCs w:val="16"/>
          <w:vertAlign w:val="superscript"/>
        </w:rPr>
        <w:t>a</w:t>
      </w:r>
      <w:proofErr w:type="gramEnd"/>
      <w:r w:rsidRPr="009F7B90">
        <w:rPr>
          <w:rFonts w:ascii="Times New Roman" w:hAnsi="Times New Roman" w:cs="Times New Roman"/>
          <w:sz w:val="20"/>
          <w:szCs w:val="16"/>
          <w:vertAlign w:val="superscript"/>
        </w:rPr>
        <w:t xml:space="preserve"> </w:t>
      </w:r>
      <w:r w:rsidR="002B4BE9" w:rsidRPr="009F7B90">
        <w:rPr>
          <w:rFonts w:ascii="Times New Roman" w:hAnsi="Times New Roman" w:cs="Times New Roman"/>
          <w:sz w:val="20"/>
          <w:szCs w:val="16"/>
          <w:vertAlign w:val="superscript"/>
        </w:rPr>
        <w:t>P</w:t>
      </w:r>
      <w:r w:rsidRPr="009F7B90">
        <w:rPr>
          <w:rFonts w:ascii="Times New Roman" w:hAnsi="Times New Roman" w:cs="Times New Roman"/>
          <w:sz w:val="20"/>
          <w:szCs w:val="16"/>
          <w:vertAlign w:val="superscript"/>
        </w:rPr>
        <w:t xml:space="preserve">roportion of patients receiving treatments CM and HIDAC </w:t>
      </w:r>
      <w:r w:rsidR="002B4BE9" w:rsidRPr="009F7B90">
        <w:rPr>
          <w:rFonts w:ascii="Times New Roman" w:hAnsi="Times New Roman" w:cs="Times New Roman"/>
          <w:sz w:val="20"/>
          <w:szCs w:val="16"/>
          <w:vertAlign w:val="superscript"/>
        </w:rPr>
        <w:t xml:space="preserve">in cycle 2 </w:t>
      </w:r>
      <w:r w:rsidRPr="009F7B90">
        <w:rPr>
          <w:rFonts w:ascii="Times New Roman" w:hAnsi="Times New Roman" w:cs="Times New Roman"/>
          <w:sz w:val="20"/>
          <w:szCs w:val="16"/>
          <w:vertAlign w:val="superscript"/>
        </w:rPr>
        <w:t>linked to CM/HIDAC as opposed to FLAG</w:t>
      </w:r>
    </w:p>
    <w:p w14:paraId="2DFD4238" w14:textId="57515A8F" w:rsidR="00EE3419" w:rsidRPr="009F7B90" w:rsidRDefault="00EE3419" w:rsidP="00410366">
      <w:pPr>
        <w:spacing w:after="60" w:line="240" w:lineRule="auto"/>
        <w:rPr>
          <w:rFonts w:ascii="Times New Roman" w:hAnsi="Times New Roman" w:cs="Times New Roman"/>
          <w:sz w:val="20"/>
          <w:szCs w:val="16"/>
          <w:vertAlign w:val="superscript"/>
        </w:rPr>
      </w:pPr>
      <w:proofErr w:type="gramStart"/>
      <w:r w:rsidRPr="009F7B90">
        <w:rPr>
          <w:rFonts w:ascii="Times New Roman" w:hAnsi="Times New Roman" w:cs="Times New Roman"/>
          <w:sz w:val="20"/>
          <w:szCs w:val="16"/>
          <w:vertAlign w:val="superscript"/>
        </w:rPr>
        <w:t>b</w:t>
      </w:r>
      <w:proofErr w:type="gramEnd"/>
      <w:r w:rsidRPr="009F7B90">
        <w:rPr>
          <w:rFonts w:ascii="Times New Roman" w:hAnsi="Times New Roman" w:cs="Times New Roman"/>
          <w:sz w:val="20"/>
          <w:szCs w:val="16"/>
          <w:vertAlign w:val="superscript"/>
        </w:rPr>
        <w:t xml:space="preserve"> Removing th</w:t>
      </w:r>
      <w:r w:rsidR="002B4BE9" w:rsidRPr="009F7B90">
        <w:rPr>
          <w:rFonts w:ascii="Times New Roman" w:hAnsi="Times New Roman" w:cs="Times New Roman"/>
          <w:sz w:val="20"/>
          <w:szCs w:val="16"/>
          <w:vertAlign w:val="superscript"/>
        </w:rPr>
        <w:t xml:space="preserve">e costs of TKI </w:t>
      </w:r>
      <w:proofErr w:type="spellStart"/>
      <w:r w:rsidR="002B4BE9" w:rsidRPr="009F7B90">
        <w:rPr>
          <w:rFonts w:ascii="Times New Roman" w:hAnsi="Times New Roman" w:cs="Times New Roman"/>
          <w:sz w:val="20"/>
          <w:szCs w:val="16"/>
          <w:vertAlign w:val="superscript"/>
        </w:rPr>
        <w:t>imatinib</w:t>
      </w:r>
      <w:proofErr w:type="spellEnd"/>
      <w:r w:rsidR="002B4BE9" w:rsidRPr="009F7B90">
        <w:rPr>
          <w:rFonts w:ascii="Times New Roman" w:hAnsi="Times New Roman" w:cs="Times New Roman"/>
          <w:sz w:val="20"/>
          <w:szCs w:val="16"/>
          <w:vertAlign w:val="superscript"/>
        </w:rPr>
        <w:t xml:space="preserve"> for </w:t>
      </w:r>
      <w:proofErr w:type="spellStart"/>
      <w:r w:rsidR="002B4BE9" w:rsidRPr="009F7B90">
        <w:rPr>
          <w:rFonts w:ascii="Times New Roman" w:hAnsi="Times New Roman" w:cs="Times New Roman"/>
          <w:sz w:val="20"/>
          <w:szCs w:val="16"/>
          <w:vertAlign w:val="superscript"/>
        </w:rPr>
        <w:t>Ph</w:t>
      </w:r>
      <w:proofErr w:type="spellEnd"/>
      <w:r w:rsidR="002B4BE9" w:rsidRPr="009F7B90">
        <w:rPr>
          <w:rFonts w:ascii="Times New Roman" w:hAnsi="Times New Roman" w:cs="Times New Roman"/>
          <w:sz w:val="20"/>
          <w:szCs w:val="16"/>
          <w:vertAlign w:val="superscript"/>
        </w:rPr>
        <w:t>+ and splitting</w:t>
      </w:r>
      <w:r w:rsidRPr="009F7B90">
        <w:rPr>
          <w:rFonts w:ascii="Times New Roman" w:hAnsi="Times New Roman" w:cs="Times New Roman"/>
          <w:sz w:val="20"/>
          <w:szCs w:val="16"/>
          <w:vertAlign w:val="superscript"/>
        </w:rPr>
        <w:t xml:space="preserve"> </w:t>
      </w:r>
      <w:proofErr w:type="spellStart"/>
      <w:r w:rsidRPr="009F7B90">
        <w:rPr>
          <w:rFonts w:ascii="Times New Roman" w:hAnsi="Times New Roman" w:cs="Times New Roman"/>
          <w:sz w:val="20"/>
          <w:szCs w:val="16"/>
          <w:vertAlign w:val="superscript"/>
        </w:rPr>
        <w:t>SoC</w:t>
      </w:r>
      <w:proofErr w:type="spellEnd"/>
      <w:r w:rsidRPr="009F7B90">
        <w:rPr>
          <w:rFonts w:ascii="Times New Roman" w:hAnsi="Times New Roman" w:cs="Times New Roman"/>
          <w:sz w:val="20"/>
          <w:szCs w:val="16"/>
          <w:vertAlign w:val="superscript"/>
        </w:rPr>
        <w:t xml:space="preserve"> patients between FLAG, CM and HIDAC exclud</w:t>
      </w:r>
      <w:r w:rsidR="00914FCC" w:rsidRPr="009F7B90">
        <w:rPr>
          <w:rFonts w:ascii="Times New Roman" w:hAnsi="Times New Roman" w:cs="Times New Roman"/>
          <w:sz w:val="20"/>
          <w:szCs w:val="16"/>
          <w:vertAlign w:val="superscript"/>
        </w:rPr>
        <w:t>ing</w:t>
      </w:r>
      <w:r w:rsidRPr="009F7B90">
        <w:rPr>
          <w:rFonts w:ascii="Times New Roman" w:hAnsi="Times New Roman" w:cs="Times New Roman"/>
          <w:sz w:val="20"/>
          <w:szCs w:val="16"/>
          <w:vertAlign w:val="superscript"/>
        </w:rPr>
        <w:t xml:space="preserve"> the costs of </w:t>
      </w:r>
      <w:proofErr w:type="spellStart"/>
      <w:r w:rsidRPr="009F7B90">
        <w:rPr>
          <w:rFonts w:ascii="Times New Roman" w:hAnsi="Times New Roman" w:cs="Times New Roman"/>
          <w:sz w:val="20"/>
          <w:szCs w:val="16"/>
          <w:vertAlign w:val="superscript"/>
        </w:rPr>
        <w:t>idarubicin</w:t>
      </w:r>
      <w:proofErr w:type="spellEnd"/>
    </w:p>
    <w:p w14:paraId="2558379C" w14:textId="211A9021" w:rsidR="00EE3419" w:rsidRPr="009F7B90" w:rsidRDefault="00EE3419" w:rsidP="00410366">
      <w:pPr>
        <w:spacing w:after="60" w:line="240" w:lineRule="auto"/>
        <w:rPr>
          <w:rFonts w:ascii="Times New Roman" w:hAnsi="Times New Roman" w:cs="Times New Roman"/>
          <w:sz w:val="20"/>
          <w:szCs w:val="16"/>
          <w:vertAlign w:val="superscript"/>
        </w:rPr>
      </w:pPr>
      <w:proofErr w:type="gramStart"/>
      <w:r w:rsidRPr="009F7B90">
        <w:rPr>
          <w:rFonts w:ascii="Times New Roman" w:hAnsi="Times New Roman" w:cs="Times New Roman"/>
          <w:sz w:val="20"/>
          <w:szCs w:val="16"/>
          <w:vertAlign w:val="superscript"/>
        </w:rPr>
        <w:t>c</w:t>
      </w:r>
      <w:proofErr w:type="gramEnd"/>
      <w:r w:rsidRPr="009F7B90">
        <w:rPr>
          <w:rFonts w:ascii="Times New Roman" w:hAnsi="Times New Roman" w:cs="Times New Roman"/>
          <w:sz w:val="20"/>
          <w:szCs w:val="16"/>
          <w:vertAlign w:val="superscript"/>
        </w:rPr>
        <w:t xml:space="preserve"> The cost for a patient receiving </w:t>
      </w:r>
      <w:proofErr w:type="spellStart"/>
      <w:r w:rsidRPr="009F7B90">
        <w:rPr>
          <w:rFonts w:ascii="Times New Roman" w:hAnsi="Times New Roman" w:cs="Times New Roman"/>
          <w:sz w:val="20"/>
          <w:szCs w:val="16"/>
          <w:vertAlign w:val="superscript"/>
        </w:rPr>
        <w:t>blinatumomab</w:t>
      </w:r>
      <w:proofErr w:type="spellEnd"/>
      <w:r w:rsidRPr="009F7B90">
        <w:rPr>
          <w:rFonts w:ascii="Times New Roman" w:hAnsi="Times New Roman" w:cs="Times New Roman"/>
          <w:sz w:val="20"/>
          <w:szCs w:val="16"/>
          <w:vertAlign w:val="superscript"/>
        </w:rPr>
        <w:t xml:space="preserve"> and </w:t>
      </w:r>
      <w:proofErr w:type="spellStart"/>
      <w:r w:rsidRPr="009F7B90">
        <w:rPr>
          <w:rFonts w:ascii="Times New Roman" w:hAnsi="Times New Roman" w:cs="Times New Roman"/>
          <w:sz w:val="20"/>
          <w:szCs w:val="16"/>
          <w:vertAlign w:val="superscript"/>
        </w:rPr>
        <w:t>inotuzumab</w:t>
      </w:r>
      <w:proofErr w:type="spellEnd"/>
      <w:r w:rsidRPr="009F7B90">
        <w:rPr>
          <w:rFonts w:ascii="Times New Roman" w:hAnsi="Times New Roman" w:cs="Times New Roman"/>
          <w:sz w:val="20"/>
          <w:szCs w:val="16"/>
          <w:vertAlign w:val="superscript"/>
        </w:rPr>
        <w:t xml:space="preserve"> are replaced with the cost of standard of care chemotherapy</w:t>
      </w:r>
    </w:p>
    <w:p w14:paraId="6485E766" w14:textId="4548F868" w:rsidR="00404FA9" w:rsidRPr="009F7B90" w:rsidRDefault="00404FA9" w:rsidP="00404FA9">
      <w:pPr>
        <w:spacing w:after="60" w:line="240" w:lineRule="auto"/>
        <w:rPr>
          <w:rFonts w:ascii="Times New Roman" w:hAnsi="Times New Roman" w:cs="Times New Roman"/>
          <w:sz w:val="20"/>
          <w:szCs w:val="16"/>
          <w:vertAlign w:val="superscript"/>
        </w:rPr>
      </w:pPr>
      <w:proofErr w:type="gramStart"/>
      <w:r w:rsidRPr="009F7B90">
        <w:rPr>
          <w:rFonts w:ascii="Times New Roman" w:hAnsi="Times New Roman" w:cs="Times New Roman"/>
          <w:sz w:val="20"/>
          <w:szCs w:val="16"/>
          <w:vertAlign w:val="superscript"/>
        </w:rPr>
        <w:t>d</w:t>
      </w:r>
      <w:proofErr w:type="gramEnd"/>
      <w:r w:rsidRPr="009F7B90">
        <w:rPr>
          <w:rFonts w:ascii="Times New Roman" w:hAnsi="Times New Roman" w:cs="Times New Roman"/>
          <w:sz w:val="20"/>
          <w:szCs w:val="16"/>
          <w:vertAlign w:val="superscript"/>
        </w:rPr>
        <w:t xml:space="preserve"> Alternate administration costs are based on a weighted average NHS reference cost. The patient setting for </w:t>
      </w:r>
      <w:proofErr w:type="spellStart"/>
      <w:r w:rsidRPr="009F7B90">
        <w:rPr>
          <w:rFonts w:ascii="Times New Roman" w:hAnsi="Times New Roman" w:cs="Times New Roman"/>
          <w:sz w:val="20"/>
          <w:szCs w:val="16"/>
          <w:vertAlign w:val="superscript"/>
        </w:rPr>
        <w:t>inotuzumab</w:t>
      </w:r>
      <w:proofErr w:type="spellEnd"/>
      <w:r w:rsidRPr="009F7B90">
        <w:rPr>
          <w:rFonts w:ascii="Times New Roman" w:hAnsi="Times New Roman" w:cs="Times New Roman"/>
          <w:sz w:val="20"/>
          <w:szCs w:val="16"/>
          <w:vertAlign w:val="superscript"/>
        </w:rPr>
        <w:t xml:space="preserve"> administration is aligned with INO-VATE 1022 which includes a proportion of administration delivered in an inpatient setting.   </w:t>
      </w:r>
    </w:p>
    <w:p w14:paraId="7D0E1B89" w14:textId="259446B7" w:rsidR="00EE3419" w:rsidRPr="009F7B90" w:rsidRDefault="00404FA9" w:rsidP="00410366">
      <w:pPr>
        <w:spacing w:after="60" w:line="240" w:lineRule="auto"/>
        <w:rPr>
          <w:rFonts w:ascii="Times New Roman" w:hAnsi="Times New Roman" w:cs="Times New Roman"/>
          <w:sz w:val="20"/>
          <w:szCs w:val="16"/>
          <w:vertAlign w:val="superscript"/>
        </w:rPr>
      </w:pPr>
      <w:proofErr w:type="gramStart"/>
      <w:r w:rsidRPr="009F7B90">
        <w:rPr>
          <w:rFonts w:ascii="Times New Roman" w:hAnsi="Times New Roman" w:cs="Times New Roman"/>
          <w:sz w:val="20"/>
          <w:szCs w:val="16"/>
          <w:vertAlign w:val="superscript"/>
        </w:rPr>
        <w:t>e</w:t>
      </w:r>
      <w:proofErr w:type="gramEnd"/>
      <w:r w:rsidR="00EE3419" w:rsidRPr="009F7B90">
        <w:rPr>
          <w:rFonts w:ascii="Times New Roman" w:hAnsi="Times New Roman" w:cs="Times New Roman"/>
          <w:sz w:val="20"/>
          <w:szCs w:val="16"/>
          <w:vertAlign w:val="superscript"/>
        </w:rPr>
        <w:t xml:space="preserve"> Pooled survival data post</w:t>
      </w:r>
      <w:r w:rsidR="005917AE">
        <w:rPr>
          <w:rFonts w:ascii="Times New Roman" w:hAnsi="Times New Roman" w:cs="Times New Roman"/>
          <w:sz w:val="20"/>
          <w:szCs w:val="16"/>
          <w:vertAlign w:val="superscript"/>
        </w:rPr>
        <w:t>-</w:t>
      </w:r>
      <w:r w:rsidR="00EE3419" w:rsidRPr="009F7B90">
        <w:rPr>
          <w:rFonts w:ascii="Times New Roman" w:hAnsi="Times New Roman" w:cs="Times New Roman"/>
          <w:sz w:val="20"/>
          <w:szCs w:val="16"/>
          <w:vertAlign w:val="superscript"/>
        </w:rPr>
        <w:t>HSCT with a covariate adjustment for MRD negativity, combined with treatment specific rates of MRD negativity among patients achieving remission in INO-VATE 1022</w:t>
      </w:r>
    </w:p>
    <w:p w14:paraId="38231D97" w14:textId="5B8AC0D2" w:rsidR="003C086A" w:rsidRPr="009F7B90" w:rsidRDefault="00194E0C" w:rsidP="00410366">
      <w:pPr>
        <w:spacing w:after="60" w:line="240" w:lineRule="auto"/>
        <w:rPr>
          <w:rFonts w:ascii="Times New Roman" w:hAnsi="Times New Roman" w:cs="Times New Roman"/>
          <w:sz w:val="20"/>
          <w:szCs w:val="16"/>
          <w:vertAlign w:val="superscript"/>
        </w:rPr>
      </w:pPr>
      <w:proofErr w:type="spellStart"/>
      <w:proofErr w:type="gramStart"/>
      <w:r w:rsidRPr="009F7B90">
        <w:rPr>
          <w:rFonts w:ascii="Times New Roman" w:hAnsi="Times New Roman" w:cs="Times New Roman"/>
          <w:sz w:val="20"/>
          <w:szCs w:val="16"/>
          <w:vertAlign w:val="superscript"/>
        </w:rPr>
        <w:t>f</w:t>
      </w:r>
      <w:proofErr w:type="spellEnd"/>
      <w:proofErr w:type="gramEnd"/>
      <w:r w:rsidRPr="009F7B90">
        <w:rPr>
          <w:rFonts w:ascii="Times New Roman" w:hAnsi="Times New Roman" w:cs="Times New Roman"/>
          <w:sz w:val="20"/>
          <w:szCs w:val="16"/>
          <w:vertAlign w:val="superscript"/>
        </w:rPr>
        <w:t xml:space="preserve"> The</w:t>
      </w:r>
      <w:r w:rsidR="003C086A" w:rsidRPr="009F7B90">
        <w:rPr>
          <w:rFonts w:ascii="Times New Roman" w:hAnsi="Times New Roman" w:cs="Times New Roman"/>
          <w:sz w:val="20"/>
          <w:szCs w:val="16"/>
          <w:vertAlign w:val="superscript"/>
        </w:rPr>
        <w:t xml:space="preserve"> combination of the </w:t>
      </w:r>
      <w:r w:rsidRPr="009F7B90">
        <w:rPr>
          <w:rFonts w:ascii="Times New Roman" w:hAnsi="Times New Roman" w:cs="Times New Roman"/>
          <w:sz w:val="20"/>
          <w:szCs w:val="16"/>
          <w:vertAlign w:val="superscript"/>
        </w:rPr>
        <w:t xml:space="preserve">ERG preferred </w:t>
      </w:r>
      <w:r w:rsidR="003C086A" w:rsidRPr="009F7B90">
        <w:rPr>
          <w:rFonts w:ascii="Times New Roman" w:hAnsi="Times New Roman" w:cs="Times New Roman"/>
          <w:sz w:val="20"/>
          <w:szCs w:val="16"/>
          <w:vertAlign w:val="superscript"/>
        </w:rPr>
        <w:t>scenarios with the exception of the parametric – pooled survival curve with MRD scenario</w:t>
      </w:r>
    </w:p>
    <w:p w14:paraId="69709181" w14:textId="05987972" w:rsidR="00F063F0" w:rsidRPr="009F7B90" w:rsidRDefault="00194E0C" w:rsidP="00410366">
      <w:pPr>
        <w:spacing w:after="60" w:line="240" w:lineRule="auto"/>
        <w:rPr>
          <w:rFonts w:ascii="Times New Roman" w:hAnsi="Times New Roman" w:cs="Times New Roman"/>
          <w:sz w:val="20"/>
          <w:szCs w:val="16"/>
          <w:vertAlign w:val="superscript"/>
        </w:rPr>
      </w:pPr>
      <w:proofErr w:type="gramStart"/>
      <w:r w:rsidRPr="009F7B90">
        <w:rPr>
          <w:rFonts w:ascii="Times New Roman" w:hAnsi="Times New Roman" w:cs="Times New Roman"/>
          <w:sz w:val="20"/>
          <w:szCs w:val="16"/>
          <w:vertAlign w:val="superscript"/>
        </w:rPr>
        <w:t>g</w:t>
      </w:r>
      <w:proofErr w:type="gramEnd"/>
      <w:r w:rsidRPr="009F7B90">
        <w:rPr>
          <w:rFonts w:ascii="Times New Roman" w:hAnsi="Times New Roman" w:cs="Times New Roman"/>
          <w:sz w:val="20"/>
          <w:szCs w:val="16"/>
          <w:vertAlign w:val="superscript"/>
        </w:rPr>
        <w:t xml:space="preserve"> The</w:t>
      </w:r>
      <w:r w:rsidR="003C086A" w:rsidRPr="009F7B90">
        <w:rPr>
          <w:rFonts w:ascii="Times New Roman" w:hAnsi="Times New Roman" w:cs="Times New Roman"/>
          <w:sz w:val="20"/>
          <w:szCs w:val="16"/>
          <w:vertAlign w:val="superscript"/>
        </w:rPr>
        <w:t xml:space="preserve"> combination of the</w:t>
      </w:r>
      <w:r w:rsidRPr="009F7B90">
        <w:rPr>
          <w:rFonts w:ascii="Times New Roman" w:hAnsi="Times New Roman" w:cs="Times New Roman"/>
          <w:sz w:val="20"/>
          <w:szCs w:val="16"/>
          <w:vertAlign w:val="superscript"/>
        </w:rPr>
        <w:t xml:space="preserve"> ERG preferred</w:t>
      </w:r>
      <w:r w:rsidR="003C086A" w:rsidRPr="009F7B90">
        <w:rPr>
          <w:rFonts w:ascii="Times New Roman" w:hAnsi="Times New Roman" w:cs="Times New Roman"/>
          <w:sz w:val="20"/>
          <w:szCs w:val="16"/>
          <w:vertAlign w:val="superscript"/>
        </w:rPr>
        <w:t xml:space="preserve"> scenarios with the exception of the non-parametric - pooled survival curves post-HSCT scenario</w:t>
      </w:r>
    </w:p>
    <w:p w14:paraId="40398BC2" w14:textId="0B643F2B" w:rsidR="00BC608C" w:rsidRDefault="00BC608C">
      <w:pPr>
        <w:rPr>
          <w:rFonts w:ascii="Times New Roman" w:hAnsi="Times New Roman" w:cs="Times New Roman"/>
          <w:b/>
          <w:i/>
          <w:iCs/>
        </w:rPr>
      </w:pPr>
      <w:bookmarkStart w:id="3" w:name="_Ref499291768"/>
    </w:p>
    <w:p w14:paraId="1FD80FD1" w14:textId="77777777" w:rsidR="00C71C81" w:rsidRDefault="00C71C81">
      <w:pPr>
        <w:rPr>
          <w:rFonts w:ascii="Times New Roman" w:hAnsi="Times New Roman" w:cs="Times New Roman"/>
          <w:b/>
          <w:i/>
          <w:iCs/>
        </w:rPr>
        <w:sectPr w:rsidR="00C71C81">
          <w:footerReference w:type="default" r:id="rId25"/>
          <w:pgSz w:w="11906" w:h="16838"/>
          <w:pgMar w:top="1440" w:right="1440" w:bottom="1440" w:left="1440" w:header="708" w:footer="708" w:gutter="0"/>
          <w:cols w:space="708"/>
          <w:docGrid w:linePitch="360"/>
        </w:sectPr>
      </w:pPr>
    </w:p>
    <w:p w14:paraId="6EF61523" w14:textId="0B2FA693" w:rsidR="00BC608C" w:rsidRDefault="00BC608C" w:rsidP="00E61BB0">
      <w:pPr>
        <w:pStyle w:val="Caption"/>
        <w:spacing w:line="360" w:lineRule="auto"/>
        <w:rPr>
          <w:rFonts w:ascii="Times New Roman" w:hAnsi="Times New Roman" w:cs="Times New Roman"/>
          <w:b/>
          <w:i w:val="0"/>
          <w:iCs w:val="0"/>
          <w:color w:val="auto"/>
          <w:sz w:val="22"/>
          <w:szCs w:val="22"/>
        </w:rPr>
      </w:pPr>
      <w:bookmarkStart w:id="4" w:name="_Ref503699359"/>
      <w:r w:rsidRPr="007920CC">
        <w:rPr>
          <w:rFonts w:ascii="Times New Roman" w:hAnsi="Times New Roman" w:cs="Times New Roman"/>
          <w:b/>
          <w:i w:val="0"/>
          <w:iCs w:val="0"/>
          <w:color w:val="auto"/>
          <w:sz w:val="22"/>
          <w:szCs w:val="22"/>
        </w:rPr>
        <w:lastRenderedPageBreak/>
        <w:t xml:space="preserve">Table </w:t>
      </w:r>
      <w:r w:rsidRPr="007920CC">
        <w:rPr>
          <w:rFonts w:ascii="Times New Roman" w:hAnsi="Times New Roman" w:cs="Times New Roman"/>
          <w:b/>
          <w:i w:val="0"/>
          <w:iCs w:val="0"/>
          <w:color w:val="auto"/>
          <w:sz w:val="22"/>
          <w:szCs w:val="22"/>
        </w:rPr>
        <w:fldChar w:fldCharType="begin"/>
      </w:r>
      <w:r w:rsidRPr="007920CC">
        <w:rPr>
          <w:rFonts w:ascii="Times New Roman" w:hAnsi="Times New Roman" w:cs="Times New Roman"/>
          <w:b/>
          <w:i w:val="0"/>
          <w:iCs w:val="0"/>
          <w:color w:val="auto"/>
          <w:sz w:val="22"/>
          <w:szCs w:val="22"/>
        </w:rPr>
        <w:instrText xml:space="preserve"> SEQ Table \* ARABIC </w:instrText>
      </w:r>
      <w:r w:rsidRPr="007920CC">
        <w:rPr>
          <w:rFonts w:ascii="Times New Roman" w:hAnsi="Times New Roman" w:cs="Times New Roman"/>
          <w:b/>
          <w:i w:val="0"/>
          <w:iCs w:val="0"/>
          <w:color w:val="auto"/>
          <w:sz w:val="22"/>
          <w:szCs w:val="22"/>
        </w:rPr>
        <w:fldChar w:fldCharType="separate"/>
      </w:r>
      <w:r w:rsidR="00742587">
        <w:rPr>
          <w:rFonts w:ascii="Times New Roman" w:hAnsi="Times New Roman" w:cs="Times New Roman"/>
          <w:b/>
          <w:i w:val="0"/>
          <w:iCs w:val="0"/>
          <w:noProof/>
          <w:color w:val="auto"/>
          <w:sz w:val="22"/>
          <w:szCs w:val="22"/>
        </w:rPr>
        <w:t>3</w:t>
      </w:r>
      <w:r w:rsidRPr="007920CC">
        <w:rPr>
          <w:rFonts w:ascii="Times New Roman" w:hAnsi="Times New Roman" w:cs="Times New Roman"/>
          <w:b/>
          <w:i w:val="0"/>
          <w:iCs w:val="0"/>
          <w:color w:val="auto"/>
          <w:sz w:val="22"/>
          <w:szCs w:val="22"/>
        </w:rPr>
        <w:fldChar w:fldCharType="end"/>
      </w:r>
      <w:r>
        <w:rPr>
          <w:rFonts w:ascii="Times New Roman" w:hAnsi="Times New Roman" w:cs="Times New Roman"/>
          <w:b/>
          <w:i w:val="0"/>
          <w:iCs w:val="0"/>
          <w:color w:val="auto"/>
          <w:sz w:val="22"/>
          <w:szCs w:val="22"/>
        </w:rPr>
        <w:t xml:space="preserve"> </w:t>
      </w:r>
      <w:r>
        <w:rPr>
          <w:rFonts w:ascii="Times New Roman" w:hAnsi="Times New Roman" w:cs="Times New Roman"/>
          <w:i w:val="0"/>
          <w:iCs w:val="0"/>
          <w:color w:val="auto"/>
          <w:sz w:val="22"/>
          <w:szCs w:val="22"/>
        </w:rPr>
        <w:t>Overview of the</w:t>
      </w:r>
      <w:r w:rsidR="004A7A30">
        <w:rPr>
          <w:rFonts w:ascii="Times New Roman" w:hAnsi="Times New Roman" w:cs="Times New Roman"/>
          <w:i w:val="0"/>
          <w:iCs w:val="0"/>
          <w:color w:val="auto"/>
          <w:sz w:val="22"/>
          <w:szCs w:val="22"/>
        </w:rPr>
        <w:t xml:space="preserve"> rejected </w:t>
      </w:r>
      <w:r w:rsidR="00B11EBF">
        <w:rPr>
          <w:rFonts w:ascii="Times New Roman" w:hAnsi="Times New Roman" w:cs="Times New Roman"/>
          <w:i w:val="0"/>
          <w:iCs w:val="0"/>
          <w:color w:val="auto"/>
          <w:sz w:val="22"/>
          <w:szCs w:val="22"/>
        </w:rPr>
        <w:t>c</w:t>
      </w:r>
      <w:r w:rsidR="004A7A30">
        <w:rPr>
          <w:rFonts w:ascii="Times New Roman" w:hAnsi="Times New Roman" w:cs="Times New Roman"/>
          <w:i w:val="0"/>
          <w:iCs w:val="0"/>
          <w:color w:val="auto"/>
          <w:sz w:val="22"/>
          <w:szCs w:val="22"/>
        </w:rPr>
        <w:t>ommittee preferred assumptions in the</w:t>
      </w:r>
      <w:r>
        <w:rPr>
          <w:rFonts w:ascii="Times New Roman" w:hAnsi="Times New Roman" w:cs="Times New Roman"/>
          <w:i w:val="0"/>
          <w:iCs w:val="0"/>
          <w:color w:val="auto"/>
          <w:sz w:val="22"/>
          <w:szCs w:val="22"/>
        </w:rPr>
        <w:t xml:space="preserve"> company’s revised base case </w:t>
      </w:r>
      <w:r w:rsidR="004A7A30">
        <w:rPr>
          <w:rFonts w:ascii="Times New Roman" w:hAnsi="Times New Roman" w:cs="Times New Roman"/>
          <w:i w:val="0"/>
          <w:iCs w:val="0"/>
          <w:color w:val="auto"/>
          <w:sz w:val="22"/>
          <w:szCs w:val="22"/>
        </w:rPr>
        <w:t>(</w:t>
      </w:r>
      <w:r>
        <w:rPr>
          <w:rFonts w:ascii="Times New Roman" w:hAnsi="Times New Roman" w:cs="Times New Roman"/>
          <w:i w:val="0"/>
          <w:iCs w:val="0"/>
          <w:color w:val="auto"/>
          <w:sz w:val="22"/>
          <w:szCs w:val="22"/>
        </w:rPr>
        <w:t>submitted in response to the ACD prior to appeal)</w:t>
      </w:r>
    </w:p>
    <w:p w14:paraId="362584F5" w14:textId="30F13B9A" w:rsidR="009D3BC1" w:rsidRPr="009D3BC1" w:rsidRDefault="009D3BC1" w:rsidP="009D3BC1">
      <w:pPr>
        <w:spacing w:before="60"/>
        <w:rPr>
          <w:rFonts w:ascii="Times New Roman" w:hAnsi="Times New Roman" w:cs="Times New Roman"/>
          <w:sz w:val="18"/>
        </w:rPr>
      </w:pPr>
      <w:proofErr w:type="spellStart"/>
      <w:r w:rsidRPr="009F7B90">
        <w:rPr>
          <w:rFonts w:ascii="Times New Roman" w:hAnsi="Times New Roman" w:cs="Times New Roman"/>
          <w:sz w:val="18"/>
        </w:rPr>
        <w:t>SoC</w:t>
      </w:r>
      <w:proofErr w:type="spellEnd"/>
      <w:r w:rsidRPr="009F7B90">
        <w:rPr>
          <w:rFonts w:ascii="Times New Roman" w:hAnsi="Times New Roman" w:cs="Times New Roman"/>
          <w:sz w:val="18"/>
        </w:rPr>
        <w:t xml:space="preserve">: Standard of care; MRD: Minimal residual disease; HSCT: Haematopoietic stem cell transplant; </w:t>
      </w:r>
      <w:r>
        <w:rPr>
          <w:rFonts w:ascii="Times New Roman" w:hAnsi="Times New Roman" w:cs="Times New Roman"/>
          <w:sz w:val="18"/>
        </w:rPr>
        <w:t xml:space="preserve">FLAG: </w:t>
      </w:r>
      <w:proofErr w:type="spellStart"/>
      <w:r>
        <w:rPr>
          <w:rFonts w:ascii="Times New Roman" w:hAnsi="Times New Roman" w:cs="Times New Roman"/>
          <w:sz w:val="18"/>
        </w:rPr>
        <w:t>F</w:t>
      </w:r>
      <w:r w:rsidRPr="009D3BC1">
        <w:rPr>
          <w:rFonts w:ascii="Times New Roman" w:hAnsi="Times New Roman" w:cs="Times New Roman"/>
          <w:sz w:val="18"/>
        </w:rPr>
        <w:t>ludarabine</w:t>
      </w:r>
      <w:proofErr w:type="spellEnd"/>
      <w:r w:rsidRPr="009D3BC1">
        <w:rPr>
          <w:rFonts w:ascii="Times New Roman" w:hAnsi="Times New Roman" w:cs="Times New Roman"/>
          <w:sz w:val="18"/>
        </w:rPr>
        <w:t xml:space="preserve">, </w:t>
      </w:r>
      <w:proofErr w:type="spellStart"/>
      <w:r w:rsidRPr="009D3BC1">
        <w:rPr>
          <w:rFonts w:ascii="Times New Roman" w:hAnsi="Times New Roman" w:cs="Times New Roman"/>
          <w:sz w:val="18"/>
        </w:rPr>
        <w:t>cytarabine</w:t>
      </w:r>
      <w:proofErr w:type="spellEnd"/>
      <w:r w:rsidRPr="009D3BC1">
        <w:rPr>
          <w:rFonts w:ascii="Times New Roman" w:hAnsi="Times New Roman" w:cs="Times New Roman"/>
          <w:sz w:val="18"/>
        </w:rPr>
        <w:t xml:space="preserve"> and granulo</w:t>
      </w:r>
      <w:r>
        <w:rPr>
          <w:rFonts w:ascii="Times New Roman" w:hAnsi="Times New Roman" w:cs="Times New Roman"/>
          <w:sz w:val="18"/>
        </w:rPr>
        <w:t xml:space="preserve">cyte colony stimulating factor; NICE: </w:t>
      </w:r>
      <w:r w:rsidRPr="009D3BC1">
        <w:rPr>
          <w:rFonts w:ascii="Times New Roman" w:hAnsi="Times New Roman" w:cs="Times New Roman"/>
          <w:sz w:val="18"/>
        </w:rPr>
        <w:t>National Institute for Health and Care Excellence</w:t>
      </w:r>
    </w:p>
    <w:p w14:paraId="0AC7FE40" w14:textId="77777777" w:rsidR="00BC608C" w:rsidRPr="00BC608C" w:rsidRDefault="00BC608C" w:rsidP="00BC608C"/>
    <w:p w14:paraId="5A016793" w14:textId="78EA1295" w:rsidR="00BC608C" w:rsidRDefault="00BC608C" w:rsidP="00BC608C">
      <w:pPr>
        <w:framePr w:hSpace="180" w:wrap="around" w:vAnchor="page" w:hAnchor="text" w:y="2086"/>
      </w:pPr>
    </w:p>
    <w:p w14:paraId="46E073D3" w14:textId="3AACE03A" w:rsidR="00C14E22" w:rsidRPr="00291009" w:rsidRDefault="00C14E22" w:rsidP="00291009">
      <w:pPr>
        <w:pStyle w:val="Caption"/>
        <w:framePr w:hSpace="180" w:wrap="around" w:vAnchor="page" w:hAnchor="text" w:y="2086"/>
        <w:spacing w:line="360" w:lineRule="auto"/>
        <w:rPr>
          <w:rFonts w:ascii="Times New Roman" w:hAnsi="Times New Roman" w:cs="Times New Roman"/>
          <w:i w:val="0"/>
          <w:iCs w:val="0"/>
          <w:color w:val="auto"/>
          <w:sz w:val="22"/>
          <w:szCs w:val="22"/>
        </w:rPr>
      </w:pPr>
    </w:p>
    <w:tbl>
      <w:tblPr>
        <w:tblStyle w:val="TableGrid"/>
        <w:tblpPr w:leftFromText="180" w:rightFromText="180" w:vertAnchor="page" w:tblpY="2086"/>
        <w:tblW w:w="15021" w:type="dxa"/>
        <w:tblLook w:val="04A0" w:firstRow="1" w:lastRow="0" w:firstColumn="1" w:lastColumn="0" w:noHBand="0" w:noVBand="1"/>
      </w:tblPr>
      <w:tblGrid>
        <w:gridCol w:w="3964"/>
        <w:gridCol w:w="5529"/>
        <w:gridCol w:w="5528"/>
      </w:tblGrid>
      <w:tr w:rsidR="00291009" w14:paraId="0D13F03A" w14:textId="77777777" w:rsidTr="00F34100">
        <w:tc>
          <w:tcPr>
            <w:tcW w:w="3964" w:type="dxa"/>
            <w:tcBorders>
              <w:bottom w:val="single" w:sz="4" w:space="0" w:color="auto"/>
            </w:tcBorders>
            <w:vAlign w:val="bottom"/>
          </w:tcPr>
          <w:p w14:paraId="5D26B7E7" w14:textId="77777777" w:rsidR="00291009" w:rsidRPr="00291009" w:rsidRDefault="00291009" w:rsidP="002B4BE9">
            <w:pPr>
              <w:spacing w:before="60" w:after="60"/>
              <w:jc w:val="center"/>
              <w:rPr>
                <w:rFonts w:ascii="Times New Roman" w:hAnsi="Times New Roman" w:cs="Times New Roman"/>
                <w:b/>
                <w:sz w:val="20"/>
              </w:rPr>
            </w:pPr>
            <w:r w:rsidRPr="00291009">
              <w:rPr>
                <w:rFonts w:ascii="Times New Roman" w:hAnsi="Times New Roman" w:cs="Times New Roman"/>
                <w:b/>
                <w:sz w:val="20"/>
              </w:rPr>
              <w:t>Rejected committee preferred assumptions</w:t>
            </w:r>
          </w:p>
        </w:tc>
        <w:tc>
          <w:tcPr>
            <w:tcW w:w="5529" w:type="dxa"/>
            <w:tcBorders>
              <w:bottom w:val="single" w:sz="4" w:space="0" w:color="auto"/>
            </w:tcBorders>
            <w:vAlign w:val="bottom"/>
          </w:tcPr>
          <w:p w14:paraId="316A1034" w14:textId="77777777" w:rsidR="00291009" w:rsidRPr="00291009" w:rsidRDefault="00291009" w:rsidP="002B4BE9">
            <w:pPr>
              <w:spacing w:before="60" w:after="60"/>
              <w:jc w:val="center"/>
              <w:rPr>
                <w:rFonts w:ascii="Times New Roman" w:hAnsi="Times New Roman" w:cs="Times New Roman"/>
                <w:b/>
                <w:sz w:val="20"/>
              </w:rPr>
            </w:pPr>
            <w:r w:rsidRPr="00291009">
              <w:rPr>
                <w:rFonts w:ascii="Times New Roman" w:hAnsi="Times New Roman" w:cs="Times New Roman"/>
                <w:b/>
                <w:sz w:val="20"/>
              </w:rPr>
              <w:t>Alternative assumptions used in company’s revised base case</w:t>
            </w:r>
          </w:p>
        </w:tc>
        <w:tc>
          <w:tcPr>
            <w:tcW w:w="5528" w:type="dxa"/>
            <w:tcBorders>
              <w:bottom w:val="single" w:sz="4" w:space="0" w:color="auto"/>
            </w:tcBorders>
            <w:vAlign w:val="bottom"/>
          </w:tcPr>
          <w:p w14:paraId="4CFC7B53" w14:textId="77777777" w:rsidR="00291009" w:rsidRPr="00291009" w:rsidRDefault="00291009" w:rsidP="002B4BE9">
            <w:pPr>
              <w:spacing w:before="60" w:after="60"/>
              <w:jc w:val="center"/>
              <w:rPr>
                <w:rFonts w:ascii="Times New Roman" w:hAnsi="Times New Roman" w:cs="Times New Roman"/>
                <w:b/>
                <w:sz w:val="20"/>
              </w:rPr>
            </w:pPr>
            <w:r w:rsidRPr="00291009">
              <w:rPr>
                <w:rFonts w:ascii="Times New Roman" w:hAnsi="Times New Roman" w:cs="Times New Roman"/>
                <w:b/>
                <w:sz w:val="20"/>
              </w:rPr>
              <w:t>Company justification</w:t>
            </w:r>
          </w:p>
        </w:tc>
      </w:tr>
      <w:tr w:rsidR="00FC6AE1" w14:paraId="3E0E59E5" w14:textId="77777777" w:rsidTr="00F34100">
        <w:trPr>
          <w:trHeight w:val="890"/>
        </w:trPr>
        <w:tc>
          <w:tcPr>
            <w:tcW w:w="3964" w:type="dxa"/>
            <w:tcBorders>
              <w:top w:val="single" w:sz="4" w:space="0" w:color="auto"/>
              <w:left w:val="single" w:sz="4" w:space="0" w:color="auto"/>
              <w:bottom w:val="single" w:sz="4" w:space="0" w:color="auto"/>
              <w:right w:val="single" w:sz="4" w:space="0" w:color="auto"/>
            </w:tcBorders>
            <w:vAlign w:val="center"/>
          </w:tcPr>
          <w:p w14:paraId="50F3A913" w14:textId="77777777" w:rsidR="00FC6AE1" w:rsidRPr="0018072B" w:rsidRDefault="00FC6AE1" w:rsidP="00FC6AE1">
            <w:pPr>
              <w:pStyle w:val="Caption"/>
              <w:spacing w:after="0"/>
              <w:rPr>
                <w:rFonts w:ascii="Times New Roman" w:hAnsi="Times New Roman" w:cs="Times New Roman"/>
                <w:b/>
                <w:i w:val="0"/>
                <w:iCs w:val="0"/>
                <w:color w:val="auto"/>
                <w:sz w:val="20"/>
                <w:szCs w:val="20"/>
              </w:rPr>
            </w:pPr>
            <w:r w:rsidRPr="0018072B">
              <w:rPr>
                <w:rFonts w:ascii="Times New Roman" w:hAnsi="Times New Roman" w:cs="Times New Roman"/>
                <w:i w:val="0"/>
                <w:color w:val="auto"/>
                <w:sz w:val="20"/>
                <w:szCs w:val="20"/>
              </w:rPr>
              <w:t>Parametric pooled survival curves with a covariate adjustment for MRD negativity</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A2D19" w14:textId="20AEA4A6" w:rsidR="00FC6AE1" w:rsidRPr="00291009" w:rsidRDefault="00FC6AE1" w:rsidP="00FC6AE1">
            <w:pPr>
              <w:pStyle w:val="Caption"/>
              <w:spacing w:after="0"/>
              <w:rPr>
                <w:rFonts w:ascii="Times New Roman" w:hAnsi="Times New Roman" w:cs="Times New Roman"/>
                <w:i w:val="0"/>
                <w:color w:val="auto"/>
                <w:sz w:val="20"/>
                <w:szCs w:val="20"/>
              </w:rPr>
            </w:pPr>
            <w:r w:rsidRPr="00291009">
              <w:rPr>
                <w:rFonts w:ascii="Times New Roman" w:hAnsi="Times New Roman" w:cs="Times New Roman"/>
                <w:i w:val="0"/>
                <w:color w:val="auto"/>
                <w:sz w:val="20"/>
                <w:szCs w:val="20"/>
              </w:rPr>
              <w:t xml:space="preserve">Reverting back to </w:t>
            </w:r>
            <w:r>
              <w:rPr>
                <w:rFonts w:ascii="Times New Roman" w:hAnsi="Times New Roman" w:cs="Times New Roman"/>
                <w:i w:val="0"/>
                <w:color w:val="auto"/>
                <w:sz w:val="20"/>
                <w:szCs w:val="20"/>
              </w:rPr>
              <w:t xml:space="preserve">the </w:t>
            </w:r>
            <w:r w:rsidRPr="00291009">
              <w:rPr>
                <w:rFonts w:ascii="Times New Roman" w:hAnsi="Times New Roman" w:cs="Times New Roman"/>
                <w:i w:val="0"/>
                <w:color w:val="auto"/>
                <w:sz w:val="20"/>
                <w:szCs w:val="20"/>
              </w:rPr>
              <w:t>company’s original parametric curves fit to Kaplan-Meier data for survival post-HSCT</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0E0D6" w14:textId="45AE56DC" w:rsidR="00FC6AE1" w:rsidRPr="00FC6AE1" w:rsidRDefault="00FC6AE1" w:rsidP="00FC6AE1">
            <w:pPr>
              <w:pStyle w:val="Caption"/>
              <w:spacing w:after="0"/>
              <w:rPr>
                <w:rFonts w:ascii="Times New Roman" w:hAnsi="Times New Roman" w:cs="Times New Roman"/>
                <w:i w:val="0"/>
                <w:color w:val="auto"/>
                <w:sz w:val="20"/>
                <w:szCs w:val="20"/>
              </w:rPr>
            </w:pPr>
            <w:r w:rsidRPr="00FC6AE1">
              <w:rPr>
                <w:rFonts w:ascii="Times New Roman" w:hAnsi="Times New Roman" w:cs="Times New Roman"/>
                <w:i w:val="0"/>
                <w:color w:val="auto"/>
                <w:sz w:val="20"/>
                <w:szCs w:val="20"/>
              </w:rPr>
              <w:t>To model the survival probabilities of patients post-HSCT, treatment specific Kaplan-Meier data from patients post-HSCT is the best available data source</w:t>
            </w:r>
          </w:p>
        </w:tc>
      </w:tr>
      <w:tr w:rsidR="00FC6AE1" w14:paraId="08AB453B" w14:textId="77777777" w:rsidTr="00F34100">
        <w:trPr>
          <w:trHeight w:val="890"/>
        </w:trPr>
        <w:tc>
          <w:tcPr>
            <w:tcW w:w="3964" w:type="dxa"/>
            <w:tcBorders>
              <w:top w:val="single" w:sz="4" w:space="0" w:color="auto"/>
              <w:left w:val="single" w:sz="4" w:space="0" w:color="auto"/>
              <w:bottom w:val="single" w:sz="4" w:space="0" w:color="auto"/>
              <w:right w:val="single" w:sz="4" w:space="0" w:color="auto"/>
            </w:tcBorders>
            <w:vAlign w:val="center"/>
          </w:tcPr>
          <w:p w14:paraId="479B6C19" w14:textId="77777777" w:rsidR="00FC6AE1" w:rsidRPr="0018072B" w:rsidRDefault="00FC6AE1" w:rsidP="00FC6AE1">
            <w:pPr>
              <w:pStyle w:val="Caption"/>
              <w:spacing w:after="0"/>
              <w:rPr>
                <w:rFonts w:ascii="Times New Roman" w:hAnsi="Times New Roman" w:cs="Times New Roman"/>
                <w:b/>
                <w:i w:val="0"/>
                <w:iCs w:val="0"/>
                <w:color w:val="auto"/>
                <w:sz w:val="20"/>
                <w:szCs w:val="20"/>
              </w:rPr>
            </w:pPr>
            <w:r w:rsidRPr="0018072B">
              <w:rPr>
                <w:rFonts w:ascii="Times New Roman" w:hAnsi="Times New Roman" w:cs="Times New Roman"/>
                <w:i w:val="0"/>
                <w:color w:val="auto"/>
                <w:sz w:val="20"/>
                <w:szCs w:val="20"/>
              </w:rPr>
              <w:t>Fourfold increase in risk of mortality post-cure</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FF43C" w14:textId="592120A3" w:rsidR="00FC6AE1" w:rsidRPr="00291009" w:rsidRDefault="00FC6AE1" w:rsidP="00FC6AE1">
            <w:pPr>
              <w:rPr>
                <w:rFonts w:ascii="Times New Roman" w:hAnsi="Times New Roman" w:cs="Times New Roman"/>
                <w:i/>
                <w:sz w:val="20"/>
                <w:szCs w:val="20"/>
              </w:rPr>
            </w:pPr>
            <w:r w:rsidRPr="00291009">
              <w:rPr>
                <w:rFonts w:ascii="Times New Roman" w:hAnsi="Times New Roman" w:cs="Times New Roman"/>
                <w:iCs/>
                <w:sz w:val="20"/>
                <w:szCs w:val="20"/>
              </w:rPr>
              <w:t>Mortality risk 3.0x general population for MRD+ and 1.6x for MRD- patients</w:t>
            </w:r>
            <w:r>
              <w:rPr>
                <w:rFonts w:ascii="Times New Roman" w:hAnsi="Times New Roman" w:cs="Times New Roman"/>
                <w:iCs/>
                <w:sz w:val="20"/>
                <w:szCs w:val="20"/>
              </w:rPr>
              <w:t xml:space="preserve">. This </w:t>
            </w:r>
            <w:r w:rsidRPr="00FC6AE1">
              <w:rPr>
                <w:rFonts w:ascii="Times New Roman" w:hAnsi="Times New Roman" w:cs="Times New Roman"/>
                <w:iCs/>
                <w:sz w:val="20"/>
                <w:szCs w:val="20"/>
              </w:rPr>
              <w:t>e</w:t>
            </w:r>
            <w:r w:rsidRPr="00FC6AE1">
              <w:rPr>
                <w:rFonts w:ascii="Times New Roman" w:hAnsi="Times New Roman" w:cs="Times New Roman"/>
                <w:sz w:val="20"/>
                <w:szCs w:val="20"/>
              </w:rPr>
              <w:t xml:space="preserve">quates to mortality risk of 2.5x general pop for </w:t>
            </w:r>
            <w:proofErr w:type="spellStart"/>
            <w:r w:rsidRPr="00FC6AE1">
              <w:rPr>
                <w:rFonts w:ascii="Times New Roman" w:hAnsi="Times New Roman" w:cs="Times New Roman"/>
                <w:sz w:val="20"/>
                <w:szCs w:val="20"/>
              </w:rPr>
              <w:t>SoC</w:t>
            </w:r>
            <w:proofErr w:type="spellEnd"/>
            <w:r w:rsidRPr="00FC6AE1">
              <w:rPr>
                <w:rFonts w:ascii="Times New Roman" w:hAnsi="Times New Roman" w:cs="Times New Roman"/>
                <w:sz w:val="20"/>
                <w:szCs w:val="20"/>
              </w:rPr>
              <w:t xml:space="preserve">, and 1.9x for </w:t>
            </w:r>
            <w:proofErr w:type="spellStart"/>
            <w:r w:rsidRPr="00FC6AE1">
              <w:rPr>
                <w:rFonts w:ascii="Times New Roman" w:hAnsi="Times New Roman" w:cs="Times New Roman"/>
                <w:sz w:val="20"/>
                <w:szCs w:val="20"/>
              </w:rPr>
              <w:t>inotuzumab</w:t>
            </w:r>
            <w:proofErr w:type="spellEnd"/>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9A5D2" w14:textId="4C471A8D" w:rsidR="00FC6AE1" w:rsidRPr="00FC6AE1" w:rsidRDefault="00FC6AE1" w:rsidP="00FC6AE1">
            <w:pPr>
              <w:pStyle w:val="Caption"/>
              <w:spacing w:after="0"/>
              <w:rPr>
                <w:rFonts w:ascii="Times New Roman" w:hAnsi="Times New Roman" w:cs="Times New Roman"/>
                <w:i w:val="0"/>
                <w:color w:val="auto"/>
                <w:sz w:val="20"/>
                <w:szCs w:val="20"/>
              </w:rPr>
            </w:pPr>
            <w:r w:rsidRPr="00FC6AE1">
              <w:rPr>
                <w:rFonts w:ascii="Times New Roman" w:hAnsi="Times New Roman" w:cs="Times New Roman"/>
                <w:i w:val="0"/>
                <w:color w:val="auto"/>
                <w:sz w:val="20"/>
                <w:szCs w:val="20"/>
              </w:rPr>
              <w:t>A historical cohort can be misrepresentative of the outcomes expected for patients treated today</w:t>
            </w:r>
          </w:p>
        </w:tc>
      </w:tr>
      <w:tr w:rsidR="00FC6AE1" w14:paraId="15D2A7F0" w14:textId="77777777" w:rsidTr="00F34100">
        <w:trPr>
          <w:trHeight w:val="890"/>
        </w:trPr>
        <w:tc>
          <w:tcPr>
            <w:tcW w:w="3964" w:type="dxa"/>
            <w:tcBorders>
              <w:top w:val="single" w:sz="4" w:space="0" w:color="auto"/>
              <w:left w:val="single" w:sz="4" w:space="0" w:color="auto"/>
              <w:bottom w:val="single" w:sz="4" w:space="0" w:color="auto"/>
              <w:right w:val="single" w:sz="4" w:space="0" w:color="auto"/>
            </w:tcBorders>
            <w:vAlign w:val="center"/>
          </w:tcPr>
          <w:p w14:paraId="2D8B970A" w14:textId="0B795EA8" w:rsidR="00FC6AE1" w:rsidRPr="0018072B" w:rsidRDefault="00FC6AE1" w:rsidP="004A7A30">
            <w:pPr>
              <w:pStyle w:val="Caption"/>
              <w:spacing w:after="0"/>
              <w:rPr>
                <w:rFonts w:ascii="Times New Roman" w:hAnsi="Times New Roman" w:cs="Times New Roman"/>
                <w:b/>
                <w:i w:val="0"/>
                <w:iCs w:val="0"/>
                <w:color w:val="auto"/>
                <w:sz w:val="20"/>
                <w:szCs w:val="20"/>
              </w:rPr>
            </w:pPr>
            <w:r w:rsidRPr="0018072B">
              <w:rPr>
                <w:rFonts w:ascii="Times New Roman" w:hAnsi="Times New Roman" w:cs="Times New Roman"/>
                <w:i w:val="0"/>
                <w:color w:val="auto"/>
                <w:sz w:val="20"/>
                <w:szCs w:val="20"/>
              </w:rPr>
              <w:t xml:space="preserve">NHS administration costs </w:t>
            </w:r>
            <w:r w:rsidR="004A7A30">
              <w:rPr>
                <w:rFonts w:ascii="Times New Roman" w:hAnsi="Times New Roman" w:cs="Times New Roman"/>
                <w:i w:val="0"/>
                <w:color w:val="auto"/>
                <w:sz w:val="20"/>
                <w:szCs w:val="20"/>
              </w:rPr>
              <w:t>using</w:t>
            </w:r>
            <w:r w:rsidR="00865B62">
              <w:rPr>
                <w:rFonts w:ascii="Times New Roman" w:hAnsi="Times New Roman" w:cs="Times New Roman"/>
                <w:i w:val="0"/>
                <w:color w:val="auto"/>
                <w:sz w:val="20"/>
                <w:szCs w:val="20"/>
              </w:rPr>
              <w:t xml:space="preserve"> INO-VATE</w:t>
            </w:r>
            <w:r w:rsidR="00316C54">
              <w:rPr>
                <w:rFonts w:ascii="Times New Roman" w:hAnsi="Times New Roman" w:cs="Times New Roman"/>
                <w:i w:val="0"/>
                <w:color w:val="auto"/>
                <w:sz w:val="20"/>
                <w:szCs w:val="20"/>
              </w:rPr>
              <w:t xml:space="preserve"> </w:t>
            </w:r>
            <w:r w:rsidR="00222F37">
              <w:rPr>
                <w:rFonts w:ascii="Times New Roman" w:hAnsi="Times New Roman" w:cs="Times New Roman"/>
                <w:i w:val="0"/>
                <w:color w:val="auto"/>
                <w:sz w:val="20"/>
                <w:szCs w:val="20"/>
              </w:rPr>
              <w:t>1022</w:t>
            </w:r>
            <w:r w:rsidR="00865B62">
              <w:rPr>
                <w:rFonts w:ascii="Times New Roman" w:hAnsi="Times New Roman" w:cs="Times New Roman"/>
                <w:i w:val="0"/>
                <w:color w:val="auto"/>
                <w:sz w:val="20"/>
                <w:szCs w:val="20"/>
              </w:rPr>
              <w:t xml:space="preserve"> </w:t>
            </w:r>
            <w:r w:rsidR="00865B62" w:rsidRPr="0018072B">
              <w:rPr>
                <w:rFonts w:ascii="Times New Roman" w:hAnsi="Times New Roman" w:cs="Times New Roman"/>
                <w:i w:val="0"/>
                <w:color w:val="auto"/>
                <w:sz w:val="20"/>
                <w:szCs w:val="20"/>
              </w:rPr>
              <w:t>patient setting</w:t>
            </w:r>
            <w:r w:rsidRPr="0018072B">
              <w:rPr>
                <w:rFonts w:ascii="Times New Roman" w:hAnsi="Times New Roman" w:cs="Times New Roman"/>
                <w:i w:val="0"/>
                <w:color w:val="auto"/>
                <w:sz w:val="20"/>
                <w:szCs w:val="20"/>
              </w:rPr>
              <w:t xml:space="preserve"> </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E33B9" w14:textId="77777777" w:rsidR="00FC6AE1" w:rsidRPr="00291009" w:rsidRDefault="00FC6AE1" w:rsidP="00FC6AE1">
            <w:pPr>
              <w:rPr>
                <w:rFonts w:ascii="Times New Roman" w:hAnsi="Times New Roman" w:cs="Times New Roman"/>
                <w:iCs/>
                <w:sz w:val="20"/>
                <w:szCs w:val="20"/>
              </w:rPr>
            </w:pPr>
            <w:r w:rsidRPr="00291009">
              <w:rPr>
                <w:rFonts w:ascii="Times New Roman" w:hAnsi="Times New Roman" w:cs="Times New Roman"/>
                <w:iCs/>
                <w:sz w:val="20"/>
                <w:szCs w:val="20"/>
              </w:rPr>
              <w:t>•</w:t>
            </w:r>
            <w:r>
              <w:rPr>
                <w:rFonts w:ascii="Times New Roman" w:hAnsi="Times New Roman" w:cs="Times New Roman"/>
                <w:iCs/>
                <w:sz w:val="20"/>
                <w:szCs w:val="20"/>
              </w:rPr>
              <w:t>The f</w:t>
            </w:r>
            <w:r w:rsidRPr="00291009">
              <w:rPr>
                <w:rFonts w:ascii="Times New Roman" w:hAnsi="Times New Roman" w:cs="Times New Roman"/>
                <w:iCs/>
                <w:sz w:val="20"/>
                <w:szCs w:val="20"/>
              </w:rPr>
              <w:t xml:space="preserve">irst administration of </w:t>
            </w:r>
            <w:proofErr w:type="spellStart"/>
            <w:r w:rsidRPr="00291009">
              <w:rPr>
                <w:rFonts w:ascii="Times New Roman" w:hAnsi="Times New Roman" w:cs="Times New Roman"/>
                <w:iCs/>
                <w:sz w:val="20"/>
                <w:szCs w:val="20"/>
              </w:rPr>
              <w:t>inotuzumab</w:t>
            </w:r>
            <w:proofErr w:type="spellEnd"/>
            <w:r w:rsidRPr="00291009">
              <w:rPr>
                <w:rFonts w:ascii="Times New Roman" w:hAnsi="Times New Roman" w:cs="Times New Roman"/>
                <w:iCs/>
                <w:sz w:val="20"/>
                <w:szCs w:val="20"/>
              </w:rPr>
              <w:t xml:space="preserve"> within </w:t>
            </w:r>
            <w:r>
              <w:rPr>
                <w:rFonts w:ascii="Times New Roman" w:hAnsi="Times New Roman" w:cs="Times New Roman"/>
                <w:iCs/>
                <w:sz w:val="20"/>
                <w:szCs w:val="20"/>
              </w:rPr>
              <w:t xml:space="preserve">the </w:t>
            </w:r>
            <w:r w:rsidRPr="00291009">
              <w:rPr>
                <w:rFonts w:ascii="Times New Roman" w:hAnsi="Times New Roman" w:cs="Times New Roman"/>
                <w:iCs/>
                <w:sz w:val="20"/>
                <w:szCs w:val="20"/>
              </w:rPr>
              <w:t>first cycle costed in an inpatient setting</w:t>
            </w:r>
          </w:p>
          <w:p w14:paraId="0A8318ED" w14:textId="77777777" w:rsidR="00FC6AE1" w:rsidRPr="00291009" w:rsidRDefault="00FC6AE1" w:rsidP="00FC6AE1">
            <w:pPr>
              <w:pStyle w:val="Caption"/>
              <w:spacing w:after="0"/>
              <w:rPr>
                <w:rFonts w:ascii="Times New Roman" w:hAnsi="Times New Roman" w:cs="Times New Roman"/>
                <w:i w:val="0"/>
                <w:color w:val="auto"/>
                <w:sz w:val="20"/>
                <w:szCs w:val="20"/>
              </w:rPr>
            </w:pPr>
            <w:r w:rsidRPr="00291009">
              <w:rPr>
                <w:rFonts w:ascii="Times New Roman" w:hAnsi="Times New Roman" w:cs="Times New Roman"/>
                <w:i w:val="0"/>
                <w:color w:val="auto"/>
                <w:sz w:val="20"/>
                <w:szCs w:val="20"/>
              </w:rPr>
              <w:t xml:space="preserve">•FLAG costed </w:t>
            </w:r>
            <w:r>
              <w:rPr>
                <w:rFonts w:ascii="Times New Roman" w:hAnsi="Times New Roman" w:cs="Times New Roman"/>
                <w:i w:val="0"/>
                <w:color w:val="auto"/>
                <w:sz w:val="20"/>
                <w:szCs w:val="20"/>
              </w:rPr>
              <w:t>with a 14-</w:t>
            </w:r>
            <w:r w:rsidRPr="00291009">
              <w:rPr>
                <w:rFonts w:ascii="Times New Roman" w:hAnsi="Times New Roman" w:cs="Times New Roman"/>
                <w:i w:val="0"/>
                <w:color w:val="auto"/>
                <w:sz w:val="20"/>
                <w:szCs w:val="20"/>
              </w:rPr>
              <w:t>day inpatient stay</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FF1F8" w14:textId="5ED26AE3" w:rsidR="00FC6AE1" w:rsidRPr="00FC6AE1" w:rsidRDefault="00FC6AE1" w:rsidP="00FC6AE1">
            <w:pPr>
              <w:pStyle w:val="Caption"/>
              <w:spacing w:after="0"/>
              <w:rPr>
                <w:rFonts w:ascii="Times New Roman" w:hAnsi="Times New Roman" w:cs="Times New Roman"/>
                <w:i w:val="0"/>
                <w:color w:val="auto"/>
                <w:sz w:val="20"/>
                <w:szCs w:val="20"/>
              </w:rPr>
            </w:pPr>
            <w:r w:rsidRPr="00FC6AE1">
              <w:rPr>
                <w:rFonts w:ascii="Times New Roman" w:hAnsi="Times New Roman" w:cs="Times New Roman"/>
                <w:i w:val="0"/>
                <w:color w:val="auto"/>
                <w:sz w:val="20"/>
                <w:szCs w:val="20"/>
              </w:rPr>
              <w:t>The clinical expert at the committee meeting stated that “several weeks” of inpatient stay is common for FLAG-based chemotherapy</w:t>
            </w:r>
          </w:p>
        </w:tc>
      </w:tr>
      <w:tr w:rsidR="00FC6AE1" w14:paraId="19CF112E" w14:textId="77777777" w:rsidTr="00F34100">
        <w:trPr>
          <w:trHeight w:val="890"/>
        </w:trPr>
        <w:tc>
          <w:tcPr>
            <w:tcW w:w="3964" w:type="dxa"/>
            <w:tcBorders>
              <w:top w:val="single" w:sz="4" w:space="0" w:color="auto"/>
              <w:left w:val="single" w:sz="4" w:space="0" w:color="auto"/>
              <w:bottom w:val="single" w:sz="4" w:space="0" w:color="auto"/>
              <w:right w:val="single" w:sz="4" w:space="0" w:color="auto"/>
            </w:tcBorders>
            <w:vAlign w:val="center"/>
          </w:tcPr>
          <w:p w14:paraId="4D816ACB" w14:textId="087A4F04" w:rsidR="00FC6AE1" w:rsidRPr="0018072B" w:rsidRDefault="00FC6AE1" w:rsidP="00FC6AE1">
            <w:pPr>
              <w:pStyle w:val="Caption"/>
              <w:spacing w:after="0"/>
              <w:rPr>
                <w:rFonts w:ascii="Times New Roman" w:hAnsi="Times New Roman" w:cs="Times New Roman"/>
                <w:b/>
                <w:i w:val="0"/>
                <w:iCs w:val="0"/>
                <w:color w:val="auto"/>
                <w:sz w:val="20"/>
                <w:szCs w:val="20"/>
              </w:rPr>
            </w:pPr>
            <w:r w:rsidRPr="006767E9">
              <w:rPr>
                <w:rFonts w:ascii="Times New Roman" w:hAnsi="Times New Roman" w:cs="Times New Roman"/>
                <w:i w:val="0"/>
                <w:color w:val="auto"/>
                <w:sz w:val="20"/>
                <w:szCs w:val="20"/>
              </w:rPr>
              <w:t>Subsequent ther</w:t>
            </w:r>
            <w:r>
              <w:rPr>
                <w:rFonts w:ascii="Times New Roman" w:hAnsi="Times New Roman" w:cs="Times New Roman"/>
                <w:i w:val="0"/>
                <w:color w:val="auto"/>
                <w:sz w:val="20"/>
                <w:szCs w:val="20"/>
              </w:rPr>
              <w:t>apy costs equal to chemotherapy</w:t>
            </w:r>
            <w:r w:rsidR="0044268D">
              <w:rPr>
                <w:rFonts w:ascii="Times New Roman" w:hAnsi="Times New Roman" w:cs="Times New Roman"/>
                <w:i w:val="0"/>
                <w:color w:val="auto"/>
                <w:sz w:val="20"/>
                <w:szCs w:val="20"/>
              </w:rPr>
              <w:t xml:space="preserve"> costs</w:t>
            </w:r>
            <w:r>
              <w:rPr>
                <w:rFonts w:ascii="Times New Roman" w:hAnsi="Times New Roman" w:cs="Times New Roman"/>
                <w:i w:val="0"/>
                <w:color w:val="auto"/>
                <w:sz w:val="20"/>
                <w:szCs w:val="20"/>
              </w:rPr>
              <w:t xml:space="preserve"> </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AC7F5" w14:textId="25E9F64B" w:rsidR="00FC6AE1" w:rsidRPr="00291009" w:rsidRDefault="004A7A30" w:rsidP="004A7A30">
            <w:pPr>
              <w:pStyle w:val="Caption"/>
              <w:spacing w:after="0"/>
              <w:rPr>
                <w:rFonts w:ascii="Times New Roman" w:hAnsi="Times New Roman" w:cs="Times New Roman"/>
                <w:i w:val="0"/>
                <w:color w:val="auto"/>
                <w:sz w:val="20"/>
                <w:szCs w:val="20"/>
              </w:rPr>
            </w:pPr>
            <w:r>
              <w:rPr>
                <w:rFonts w:ascii="Times New Roman" w:hAnsi="Times New Roman" w:cs="Times New Roman"/>
                <w:i w:val="0"/>
                <w:color w:val="auto"/>
                <w:sz w:val="20"/>
                <w:szCs w:val="20"/>
              </w:rPr>
              <w:t>Reverting back to s</w:t>
            </w:r>
            <w:r w:rsidR="00FC6AE1" w:rsidRPr="00291009">
              <w:rPr>
                <w:rFonts w:ascii="Times New Roman" w:hAnsi="Times New Roman" w:cs="Times New Roman"/>
                <w:i w:val="0"/>
                <w:color w:val="auto"/>
                <w:sz w:val="20"/>
                <w:szCs w:val="20"/>
              </w:rPr>
              <w:t xml:space="preserve">ubsequent therapies costed from the safety population observed in INO-VATE 1022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5F684" w14:textId="37095F4B" w:rsidR="00FC6AE1" w:rsidRPr="00FC6AE1" w:rsidRDefault="00FC6AE1" w:rsidP="00FC6AE1">
            <w:pPr>
              <w:pStyle w:val="Caption"/>
              <w:spacing w:after="0"/>
              <w:rPr>
                <w:rFonts w:ascii="Times New Roman" w:hAnsi="Times New Roman" w:cs="Times New Roman"/>
                <w:i w:val="0"/>
                <w:color w:val="auto"/>
                <w:sz w:val="20"/>
                <w:szCs w:val="20"/>
              </w:rPr>
            </w:pPr>
            <w:r w:rsidRPr="00FC6AE1">
              <w:rPr>
                <w:rFonts w:ascii="Times New Roman" w:hAnsi="Times New Roman" w:cs="Times New Roman"/>
                <w:i w:val="0"/>
                <w:color w:val="auto"/>
                <w:sz w:val="20"/>
                <w:szCs w:val="20"/>
              </w:rPr>
              <w:t xml:space="preserve">The (new) data shows all subsequent </w:t>
            </w:r>
            <w:proofErr w:type="spellStart"/>
            <w:r w:rsidRPr="00FC6AE1">
              <w:rPr>
                <w:rFonts w:ascii="Times New Roman" w:hAnsi="Times New Roman" w:cs="Times New Roman"/>
                <w:i w:val="0"/>
                <w:color w:val="auto"/>
                <w:sz w:val="20"/>
                <w:szCs w:val="20"/>
              </w:rPr>
              <w:t>blinatumomab</w:t>
            </w:r>
            <w:proofErr w:type="spellEnd"/>
            <w:r w:rsidRPr="00FC6AE1">
              <w:rPr>
                <w:rFonts w:ascii="Times New Roman" w:hAnsi="Times New Roman" w:cs="Times New Roman"/>
                <w:i w:val="0"/>
                <w:color w:val="auto"/>
                <w:sz w:val="20"/>
                <w:szCs w:val="20"/>
              </w:rPr>
              <w:t xml:space="preserve"> and </w:t>
            </w:r>
            <w:proofErr w:type="spellStart"/>
            <w:r w:rsidRPr="00FC6AE1">
              <w:rPr>
                <w:rFonts w:ascii="Times New Roman" w:hAnsi="Times New Roman" w:cs="Times New Roman"/>
                <w:i w:val="0"/>
                <w:color w:val="auto"/>
                <w:sz w:val="20"/>
                <w:szCs w:val="20"/>
              </w:rPr>
              <w:t>inotuzumab</w:t>
            </w:r>
            <w:proofErr w:type="spellEnd"/>
            <w:r w:rsidRPr="00FC6AE1">
              <w:rPr>
                <w:rFonts w:ascii="Times New Roman" w:hAnsi="Times New Roman" w:cs="Times New Roman"/>
                <w:i w:val="0"/>
                <w:color w:val="auto"/>
                <w:sz w:val="20"/>
                <w:szCs w:val="20"/>
              </w:rPr>
              <w:t xml:space="preserve"> was administered to the safety population, proving that using the safety population does not introduce treatment bias</w:t>
            </w:r>
          </w:p>
        </w:tc>
      </w:tr>
      <w:tr w:rsidR="00FC6AE1" w14:paraId="63E0FE09" w14:textId="77777777" w:rsidTr="00F34100">
        <w:trPr>
          <w:trHeight w:val="890"/>
        </w:trPr>
        <w:tc>
          <w:tcPr>
            <w:tcW w:w="3964" w:type="dxa"/>
            <w:tcBorders>
              <w:top w:val="single" w:sz="4" w:space="0" w:color="auto"/>
              <w:left w:val="single" w:sz="4" w:space="0" w:color="auto"/>
              <w:bottom w:val="single" w:sz="4" w:space="0" w:color="auto"/>
              <w:right w:val="single" w:sz="4" w:space="0" w:color="auto"/>
            </w:tcBorders>
            <w:vAlign w:val="center"/>
          </w:tcPr>
          <w:p w14:paraId="37D2C26A" w14:textId="0EBDD0C1" w:rsidR="00FC6AE1" w:rsidRPr="0018072B" w:rsidRDefault="00FC6AE1" w:rsidP="005F15F8">
            <w:pPr>
              <w:pStyle w:val="Caption"/>
              <w:spacing w:after="0"/>
              <w:rPr>
                <w:rFonts w:ascii="Times New Roman" w:hAnsi="Times New Roman" w:cs="Times New Roman"/>
                <w:b/>
                <w:i w:val="0"/>
                <w:iCs w:val="0"/>
                <w:color w:val="auto"/>
                <w:sz w:val="20"/>
                <w:szCs w:val="20"/>
              </w:rPr>
            </w:pPr>
            <w:r>
              <w:rPr>
                <w:rFonts w:ascii="Times New Roman" w:hAnsi="Times New Roman" w:cs="Times New Roman"/>
                <w:i w:val="0"/>
                <w:color w:val="auto"/>
                <w:sz w:val="20"/>
                <w:szCs w:val="20"/>
              </w:rPr>
              <w:t>U</w:t>
            </w:r>
            <w:r w:rsidRPr="0018072B">
              <w:rPr>
                <w:rFonts w:ascii="Times New Roman" w:hAnsi="Times New Roman" w:cs="Times New Roman"/>
                <w:i w:val="0"/>
                <w:color w:val="auto"/>
                <w:sz w:val="20"/>
                <w:szCs w:val="20"/>
              </w:rPr>
              <w:t>tility values</w:t>
            </w:r>
            <w:r w:rsidRPr="00291009">
              <w:rPr>
                <w:rFonts w:ascii="Times New Roman" w:hAnsi="Times New Roman" w:cs="Times New Roman"/>
                <w:i w:val="0"/>
                <w:color w:val="auto"/>
                <w:sz w:val="20"/>
                <w:szCs w:val="20"/>
              </w:rPr>
              <w:t xml:space="preserve"> </w:t>
            </w:r>
            <w:r w:rsidR="001F7231">
              <w:rPr>
                <w:rFonts w:ascii="Times New Roman" w:hAnsi="Times New Roman" w:cs="Times New Roman"/>
                <w:i w:val="0"/>
                <w:color w:val="auto"/>
                <w:sz w:val="20"/>
                <w:szCs w:val="20"/>
              </w:rPr>
              <w:t>post-cure</w:t>
            </w:r>
            <w:r>
              <w:rPr>
                <w:rFonts w:ascii="Times New Roman" w:hAnsi="Times New Roman" w:cs="Times New Roman"/>
                <w:i w:val="0"/>
                <w:color w:val="auto"/>
                <w:sz w:val="20"/>
                <w:szCs w:val="20"/>
              </w:rPr>
              <w:t xml:space="preserve"> </w:t>
            </w:r>
            <w:r w:rsidRPr="0018072B">
              <w:rPr>
                <w:rFonts w:ascii="Times New Roman" w:hAnsi="Times New Roman" w:cs="Times New Roman"/>
                <w:i w:val="0"/>
                <w:color w:val="auto"/>
                <w:sz w:val="20"/>
                <w:szCs w:val="20"/>
              </w:rPr>
              <w:t xml:space="preserve">taken from the literature </w:t>
            </w:r>
            <w:r w:rsidRPr="0018072B">
              <w:rPr>
                <w:rFonts w:ascii="Times New Roman" w:hAnsi="Times New Roman" w:cs="Times New Roman"/>
                <w:i w:val="0"/>
                <w:noProof/>
                <w:color w:val="auto"/>
                <w:sz w:val="20"/>
                <w:szCs w:val="20"/>
              </w:rPr>
              <w:fldChar w:fldCharType="begin"/>
            </w:r>
            <w:r w:rsidR="005F15F8">
              <w:rPr>
                <w:rFonts w:ascii="Times New Roman" w:hAnsi="Times New Roman" w:cs="Times New Roman"/>
                <w:i w:val="0"/>
                <w:noProof/>
                <w:color w:val="auto"/>
                <w:sz w:val="20"/>
                <w:szCs w:val="20"/>
              </w:rPr>
              <w:instrText xml:space="preserve"> ADDIN EN.CITE &lt;EndNote&gt;&lt;Cite&gt;&lt;Author&gt;Kurosawa&lt;/Author&gt;&lt;Year&gt;2016&lt;/Year&gt;&lt;RecNum&gt;14&lt;/RecNum&gt;&lt;DisplayText&gt;[18]&lt;/DisplayText&gt;&lt;record&gt;&lt;rec-number&gt;14&lt;/rec-number&gt;&lt;foreign-keys&gt;&lt;key app="EN" db-id="9f090dpxqtedprezvanxwdxlwv2d9d9dp2rs" timestamp="0"&gt;14&lt;/key&gt;&lt;/foreign-keys&gt;&lt;ref-type name="Journal Article"&gt;17&lt;/ref-type&gt;&lt;contributors&gt;&lt;authors&gt;&lt;author&gt;Kurosawa, Saiko&lt;/author&gt;&lt;author&gt;Yamaguchi, Hiroki&lt;/author&gt;&lt;author&gt;Yamaguchi, Takuhiro&lt;/author&gt;&lt;author&gt;Fukunaga, Keiko&lt;/author&gt;&lt;author&gt;Yui, Shunsuke&lt;/author&gt;&lt;author&gt;Wakita, Satoshi&lt;/author&gt;&lt;author&gt;Kanamori, Heiwa&lt;/author&gt;&lt;author&gt;Usuki, Kensuke&lt;/author&gt;&lt;author&gt;Uoshima, Nobuhiko&lt;/author&gt;&lt;author&gt;Yanada, Masamitsu&lt;/author&gt;&lt;author&gt;Shono, Katsuhiro&lt;/author&gt;&lt;author&gt;Ueki, Toshimitsu&lt;/author&gt;&lt;author&gt;Mizuno, Ishikazu&lt;/author&gt;&lt;author&gt;Yano, Shingo&lt;/author&gt;&lt;author&gt;Takeuchi, Jin&lt;/author&gt;&lt;author&gt;Kanda, Junya&lt;/author&gt;&lt;author&gt;Okamura, Hiroshi&lt;/author&gt;&lt;author&gt;Inamoto, Yoshihiro&lt;/author&gt;&lt;author&gt;Inokuchi, Koiti&lt;/author&gt;&lt;author&gt;Fukuda, Takahiro&lt;/author&gt;&lt;/authors&gt;&lt;/contributors&gt;&lt;titles&gt;&lt;title&gt;Decision analysis of postremission therapy in cytogenetically intermediate-risk acute myeloid leukemia: the impact of FLT3 internal tandem duplication, nucleophosmin, and CCAAT/enhancer binding protein alpha&lt;/title&gt;&lt;secondary-title&gt;Biology of Blood and Marrow Transplantation&lt;/secondary-title&gt;&lt;/titles&gt;&lt;pages&gt;1125-1132&lt;/pages&gt;&lt;volume&gt;22&lt;/volume&gt;&lt;number&gt;6&lt;/number&gt;&lt;keywords&gt;&lt;keyword&gt;Acute myeloid leukemia&lt;/keyword&gt;&lt;keyword&gt;Hematopoietic cell transplantation&lt;/keyword&gt;&lt;keyword&gt;Decision analysis&lt;/keyword&gt;&lt;keyword&gt;Quality of life&lt;/keyword&gt;&lt;/keywords&gt;&lt;dates&gt;&lt;year&gt;2016&lt;/year&gt;&lt;/dates&gt;&lt;isbn&gt;1083-8791&lt;/isbn&gt;&lt;urls&gt;&lt;/urls&gt;&lt;electronic-resource-num&gt;&lt;style face="underline" font="default" size="100%"&gt;http://dx.doi.org/10.1016/j.bbmt.2016.03.015&lt;/style&gt;&lt;/electronic-resource-num&gt;&lt;research-notes&gt;&lt;style face="underline" font="default" size="100%"&gt;http://www.sciencedirect.com/science/article/pii/S1083879116001646&lt;/style&gt;&lt;/research-notes&gt;&lt;/record&gt;&lt;/Cite&gt;&lt;/EndNote&gt;</w:instrText>
            </w:r>
            <w:r w:rsidRPr="0018072B">
              <w:rPr>
                <w:rFonts w:ascii="Times New Roman" w:hAnsi="Times New Roman" w:cs="Times New Roman"/>
                <w:i w:val="0"/>
                <w:noProof/>
                <w:color w:val="auto"/>
                <w:sz w:val="20"/>
                <w:szCs w:val="20"/>
              </w:rPr>
              <w:fldChar w:fldCharType="separate"/>
            </w:r>
            <w:r w:rsidR="005F15F8">
              <w:rPr>
                <w:rFonts w:ascii="Times New Roman" w:hAnsi="Times New Roman" w:cs="Times New Roman"/>
                <w:i w:val="0"/>
                <w:noProof/>
                <w:color w:val="auto"/>
                <w:sz w:val="20"/>
                <w:szCs w:val="20"/>
              </w:rPr>
              <w:t>[18]</w:t>
            </w:r>
            <w:r w:rsidRPr="0018072B">
              <w:rPr>
                <w:rFonts w:ascii="Times New Roman" w:hAnsi="Times New Roman" w:cs="Times New Roman"/>
                <w:i w:val="0"/>
                <w:noProof/>
                <w:color w:val="auto"/>
                <w:sz w:val="20"/>
                <w:szCs w:val="20"/>
              </w:rPr>
              <w:fldChar w:fldCharType="end"/>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938E5" w14:textId="39B517DE" w:rsidR="00FC6AE1" w:rsidRPr="00291009" w:rsidRDefault="00FC6AE1" w:rsidP="00FC6AE1">
            <w:pPr>
              <w:pStyle w:val="Caption"/>
              <w:spacing w:after="0"/>
              <w:rPr>
                <w:rFonts w:ascii="Times New Roman" w:hAnsi="Times New Roman" w:cs="Times New Roman"/>
                <w:i w:val="0"/>
                <w:color w:val="auto"/>
                <w:sz w:val="20"/>
                <w:szCs w:val="20"/>
              </w:rPr>
            </w:pPr>
            <w:r>
              <w:rPr>
                <w:rFonts w:ascii="Times New Roman" w:hAnsi="Times New Roman" w:cs="Times New Roman"/>
                <w:i w:val="0"/>
                <w:color w:val="auto"/>
                <w:sz w:val="20"/>
                <w:szCs w:val="20"/>
              </w:rPr>
              <w:t>G</w:t>
            </w:r>
            <w:r w:rsidRPr="00291009">
              <w:rPr>
                <w:rFonts w:ascii="Times New Roman" w:hAnsi="Times New Roman" w:cs="Times New Roman"/>
                <w:i w:val="0"/>
                <w:color w:val="auto"/>
                <w:sz w:val="20"/>
                <w:szCs w:val="20"/>
              </w:rPr>
              <w:t xml:space="preserve">eneral population utilities </w:t>
            </w:r>
            <w:r>
              <w:rPr>
                <w:rFonts w:ascii="Times New Roman" w:hAnsi="Times New Roman" w:cs="Times New Roman"/>
                <w:i w:val="0"/>
                <w:color w:val="auto"/>
                <w:sz w:val="20"/>
                <w:szCs w:val="20"/>
              </w:rPr>
              <w:t>applied instead of those sourced from the literature</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8819B" w14:textId="5486FF9B" w:rsidR="00FC6AE1" w:rsidRPr="00FC6AE1" w:rsidRDefault="00FC6AE1" w:rsidP="00FC6AE1">
            <w:pPr>
              <w:pStyle w:val="Caption"/>
              <w:spacing w:after="0"/>
              <w:rPr>
                <w:rFonts w:ascii="Times New Roman" w:hAnsi="Times New Roman" w:cs="Times New Roman"/>
                <w:i w:val="0"/>
                <w:color w:val="auto"/>
                <w:sz w:val="20"/>
                <w:szCs w:val="20"/>
              </w:rPr>
            </w:pPr>
            <w:r w:rsidRPr="00FC6AE1">
              <w:rPr>
                <w:rFonts w:ascii="Times New Roman" w:hAnsi="Times New Roman" w:cs="Times New Roman"/>
                <w:i w:val="0"/>
                <w:color w:val="auto"/>
                <w:sz w:val="20"/>
                <w:szCs w:val="20"/>
              </w:rPr>
              <w:t xml:space="preserve">The NICE committee for </w:t>
            </w:r>
            <w:proofErr w:type="spellStart"/>
            <w:r w:rsidRPr="00FC6AE1">
              <w:rPr>
                <w:rFonts w:ascii="Times New Roman" w:hAnsi="Times New Roman" w:cs="Times New Roman"/>
                <w:i w:val="0"/>
                <w:color w:val="auto"/>
                <w:sz w:val="20"/>
                <w:szCs w:val="20"/>
              </w:rPr>
              <w:t>blinatumomab</w:t>
            </w:r>
            <w:proofErr w:type="spellEnd"/>
            <w:r w:rsidRPr="00FC6AE1">
              <w:rPr>
                <w:rFonts w:ascii="Times New Roman" w:hAnsi="Times New Roman" w:cs="Times New Roman"/>
                <w:i w:val="0"/>
                <w:color w:val="auto"/>
                <w:sz w:val="20"/>
                <w:szCs w:val="20"/>
              </w:rPr>
              <w:t xml:space="preserve"> accepted that patients who pass the cure point post-HSCT can expect a return to the health-related quality of life (utility) of the normal population</w:t>
            </w:r>
          </w:p>
        </w:tc>
      </w:tr>
    </w:tbl>
    <w:p w14:paraId="3E6BFD19" w14:textId="77777777" w:rsidR="00C14E22" w:rsidRPr="00C14E22" w:rsidRDefault="00C14E22" w:rsidP="00C14E22"/>
    <w:p w14:paraId="65F850CD" w14:textId="77777777" w:rsidR="00C14E22" w:rsidRPr="00C14E22" w:rsidRDefault="00C14E22" w:rsidP="00C14E22"/>
    <w:bookmarkEnd w:id="3"/>
    <w:bookmarkEnd w:id="4"/>
    <w:p w14:paraId="749D90DF" w14:textId="5A424900" w:rsidR="007920CC" w:rsidRPr="00777C6F" w:rsidRDefault="007920CC" w:rsidP="00E61BB0">
      <w:pPr>
        <w:spacing w:line="360" w:lineRule="auto"/>
        <w:rPr>
          <w:rFonts w:ascii="Times New Roman" w:hAnsi="Times New Roman" w:cs="Times New Roman"/>
          <w:sz w:val="16"/>
          <w:szCs w:val="16"/>
        </w:rPr>
      </w:pPr>
    </w:p>
    <w:sectPr w:rsidR="007920CC" w:rsidRPr="00777C6F" w:rsidSect="00BC608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72D9A" w14:textId="77777777" w:rsidR="00EA36C8" w:rsidRDefault="00EA36C8" w:rsidP="00EC65F6">
      <w:pPr>
        <w:spacing w:after="0" w:line="240" w:lineRule="auto"/>
      </w:pPr>
      <w:r>
        <w:separator/>
      </w:r>
    </w:p>
  </w:endnote>
  <w:endnote w:type="continuationSeparator" w:id="0">
    <w:p w14:paraId="04285DA9" w14:textId="77777777" w:rsidR="00EA36C8" w:rsidRDefault="00EA36C8" w:rsidP="00EC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573701"/>
      <w:docPartObj>
        <w:docPartGallery w:val="Page Numbers (Bottom of Page)"/>
        <w:docPartUnique/>
      </w:docPartObj>
    </w:sdtPr>
    <w:sdtEndPr>
      <w:rPr>
        <w:rFonts w:ascii="Arial" w:hAnsi="Arial" w:cs="Arial"/>
        <w:noProof/>
        <w:sz w:val="20"/>
      </w:rPr>
    </w:sdtEndPr>
    <w:sdtContent>
      <w:p w14:paraId="350A1151" w14:textId="46E6B17D" w:rsidR="00EA36C8" w:rsidRPr="006D0242" w:rsidRDefault="00EA36C8">
        <w:pPr>
          <w:pStyle w:val="Footer"/>
          <w:jc w:val="right"/>
          <w:rPr>
            <w:rFonts w:ascii="Arial" w:hAnsi="Arial" w:cs="Arial"/>
            <w:sz w:val="20"/>
          </w:rPr>
        </w:pPr>
        <w:r w:rsidRPr="006D0242">
          <w:rPr>
            <w:rFonts w:ascii="Arial" w:hAnsi="Arial" w:cs="Arial"/>
            <w:sz w:val="20"/>
          </w:rPr>
          <w:fldChar w:fldCharType="begin"/>
        </w:r>
        <w:r w:rsidRPr="006D0242">
          <w:rPr>
            <w:rFonts w:ascii="Arial" w:hAnsi="Arial" w:cs="Arial"/>
            <w:sz w:val="20"/>
          </w:rPr>
          <w:instrText xml:space="preserve"> PAGE   \* MERGEFORMAT </w:instrText>
        </w:r>
        <w:r w:rsidRPr="006D0242">
          <w:rPr>
            <w:rFonts w:ascii="Arial" w:hAnsi="Arial" w:cs="Arial"/>
            <w:sz w:val="20"/>
          </w:rPr>
          <w:fldChar w:fldCharType="separate"/>
        </w:r>
        <w:r w:rsidR="00742587">
          <w:rPr>
            <w:rFonts w:ascii="Arial" w:hAnsi="Arial" w:cs="Arial"/>
            <w:noProof/>
            <w:sz w:val="20"/>
          </w:rPr>
          <w:t>3</w:t>
        </w:r>
        <w:r w:rsidRPr="006D0242">
          <w:rPr>
            <w:rFonts w:ascii="Arial" w:hAnsi="Arial" w:cs="Arial"/>
            <w:noProof/>
            <w:sz w:val="20"/>
          </w:rPr>
          <w:fldChar w:fldCharType="end"/>
        </w:r>
      </w:p>
    </w:sdtContent>
  </w:sdt>
  <w:p w14:paraId="54ED5D75" w14:textId="77777777" w:rsidR="00EA36C8" w:rsidRDefault="00EA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A8152" w14:textId="77777777" w:rsidR="00EA36C8" w:rsidRDefault="00EA36C8" w:rsidP="00EC65F6">
      <w:pPr>
        <w:spacing w:after="0" w:line="240" w:lineRule="auto"/>
      </w:pPr>
      <w:r>
        <w:separator/>
      </w:r>
    </w:p>
  </w:footnote>
  <w:footnote w:type="continuationSeparator" w:id="0">
    <w:p w14:paraId="38308233" w14:textId="77777777" w:rsidR="00EA36C8" w:rsidRDefault="00EA36C8" w:rsidP="00EC6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26D"/>
    <w:multiLevelType w:val="hybridMultilevel"/>
    <w:tmpl w:val="0A7A4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6A7258"/>
    <w:multiLevelType w:val="hybridMultilevel"/>
    <w:tmpl w:val="C82E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87756"/>
    <w:multiLevelType w:val="hybridMultilevel"/>
    <w:tmpl w:val="51709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FA2D94"/>
    <w:multiLevelType w:val="hybridMultilevel"/>
    <w:tmpl w:val="38F8DF98"/>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580801"/>
    <w:multiLevelType w:val="hybridMultilevel"/>
    <w:tmpl w:val="863E6CCE"/>
    <w:lvl w:ilvl="0" w:tplc="27C2C2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E908F6"/>
    <w:multiLevelType w:val="hybridMultilevel"/>
    <w:tmpl w:val="DAD24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1F08BE"/>
    <w:multiLevelType w:val="multilevel"/>
    <w:tmpl w:val="5100E8A8"/>
    <w:numStyleLink w:val="Numberedheadingsscheme"/>
  </w:abstractNum>
  <w:abstractNum w:abstractNumId="7" w15:restartNumberingAfterBreak="0">
    <w:nsid w:val="64224772"/>
    <w:multiLevelType w:val="hybridMultilevel"/>
    <w:tmpl w:val="67F82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B23FB1"/>
    <w:multiLevelType w:val="multilevel"/>
    <w:tmpl w:val="5100E8A8"/>
    <w:styleLink w:val="Numberedheadingsschem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suff w:val="nothing"/>
      <w:lvlText w:val=""/>
      <w:lvlJc w:val="left"/>
      <w:pPr>
        <w:ind w:left="1008" w:hanging="1008"/>
      </w:pPr>
      <w:rPr>
        <w:rFonts w:hint="default"/>
      </w:rPr>
    </w:lvl>
    <w:lvl w:ilvl="5">
      <w:start w:val="1"/>
      <w:numFmt w:val="none"/>
      <w:pStyle w:val="Heading6"/>
      <w:suff w:val="nothing"/>
      <w:lvlText w:val=""/>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9C42B81"/>
    <w:multiLevelType w:val="multilevel"/>
    <w:tmpl w:val="5E0C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6B3049"/>
    <w:multiLevelType w:val="hybridMultilevel"/>
    <w:tmpl w:val="04B8817E"/>
    <w:lvl w:ilvl="0" w:tplc="5D027CBA">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6"/>
  </w:num>
  <w:num w:numId="5">
    <w:abstractNumId w:val="0"/>
  </w:num>
  <w:num w:numId="6">
    <w:abstractNumId w:val="3"/>
  </w:num>
  <w:num w:numId="7">
    <w:abstractNumId w:val="6"/>
  </w:num>
  <w:num w:numId="8">
    <w:abstractNumId w:val="1"/>
  </w:num>
  <w:num w:numId="9">
    <w:abstractNumId w:val="5"/>
  </w:num>
  <w:num w:numId="10">
    <w:abstractNumId w:val="4"/>
  </w:num>
  <w:num w:numId="11">
    <w:abstractNumId w:val="9"/>
  </w:num>
  <w:num w:numId="12">
    <w:abstractNumId w:val="6"/>
  </w:num>
  <w:num w:numId="13">
    <w:abstractNumId w:val="6"/>
  </w:num>
  <w:num w:numId="14">
    <w:abstractNumId w:val="7"/>
  </w:num>
  <w:num w:numId="15">
    <w:abstractNumId w:val="10"/>
  </w:num>
  <w:num w:numId="16">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0&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090dpxqtedprezvanxwdxlwv2d9d9dp2rs&quot;&gt;STA Inotuzumab Copy&lt;record-ids&gt;&lt;item&gt;5&lt;/item&gt;&lt;item&gt;9&lt;/item&gt;&lt;item&gt;14&lt;/item&gt;&lt;item&gt;21&lt;/item&gt;&lt;item&gt;34&lt;/item&gt;&lt;item&gt;35&lt;/item&gt;&lt;item&gt;36&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record-ids&gt;&lt;/item&gt;&lt;/Libraries&gt;"/>
  </w:docVars>
  <w:rsids>
    <w:rsidRoot w:val="00C07E4C"/>
    <w:rsid w:val="000013C5"/>
    <w:rsid w:val="000028D0"/>
    <w:rsid w:val="000039CB"/>
    <w:rsid w:val="00007871"/>
    <w:rsid w:val="00010545"/>
    <w:rsid w:val="00012A4C"/>
    <w:rsid w:val="00015EB3"/>
    <w:rsid w:val="00020505"/>
    <w:rsid w:val="0002078B"/>
    <w:rsid w:val="0002660F"/>
    <w:rsid w:val="00026C60"/>
    <w:rsid w:val="00031FEA"/>
    <w:rsid w:val="00033399"/>
    <w:rsid w:val="00033D2D"/>
    <w:rsid w:val="00033E63"/>
    <w:rsid w:val="00036D72"/>
    <w:rsid w:val="00037360"/>
    <w:rsid w:val="00037A77"/>
    <w:rsid w:val="00042496"/>
    <w:rsid w:val="0004519E"/>
    <w:rsid w:val="000460FC"/>
    <w:rsid w:val="00050346"/>
    <w:rsid w:val="000517E3"/>
    <w:rsid w:val="00051A84"/>
    <w:rsid w:val="00051F52"/>
    <w:rsid w:val="00052EE8"/>
    <w:rsid w:val="000552DE"/>
    <w:rsid w:val="00056507"/>
    <w:rsid w:val="00061126"/>
    <w:rsid w:val="00061A6B"/>
    <w:rsid w:val="000628AB"/>
    <w:rsid w:val="0006339D"/>
    <w:rsid w:val="00071523"/>
    <w:rsid w:val="00071CF8"/>
    <w:rsid w:val="00073166"/>
    <w:rsid w:val="00073386"/>
    <w:rsid w:val="00074D78"/>
    <w:rsid w:val="00075133"/>
    <w:rsid w:val="00081EF9"/>
    <w:rsid w:val="0008253C"/>
    <w:rsid w:val="00085F82"/>
    <w:rsid w:val="00090D5B"/>
    <w:rsid w:val="000914D4"/>
    <w:rsid w:val="0009420B"/>
    <w:rsid w:val="00094FE3"/>
    <w:rsid w:val="000A2D20"/>
    <w:rsid w:val="000A3EDC"/>
    <w:rsid w:val="000A52ED"/>
    <w:rsid w:val="000A5656"/>
    <w:rsid w:val="000A5E1C"/>
    <w:rsid w:val="000A65EC"/>
    <w:rsid w:val="000A7F48"/>
    <w:rsid w:val="000B24D7"/>
    <w:rsid w:val="000B2FDA"/>
    <w:rsid w:val="000B358D"/>
    <w:rsid w:val="000B3A55"/>
    <w:rsid w:val="000B4015"/>
    <w:rsid w:val="000C1496"/>
    <w:rsid w:val="000C1B35"/>
    <w:rsid w:val="000C3203"/>
    <w:rsid w:val="000C4830"/>
    <w:rsid w:val="000C705C"/>
    <w:rsid w:val="000D18DC"/>
    <w:rsid w:val="000D1FC6"/>
    <w:rsid w:val="000D53FB"/>
    <w:rsid w:val="000D67AB"/>
    <w:rsid w:val="000E0798"/>
    <w:rsid w:val="000E0F51"/>
    <w:rsid w:val="000E3284"/>
    <w:rsid w:val="000E526E"/>
    <w:rsid w:val="000E678F"/>
    <w:rsid w:val="000E76B0"/>
    <w:rsid w:val="000E7E13"/>
    <w:rsid w:val="000F2155"/>
    <w:rsid w:val="000F4C07"/>
    <w:rsid w:val="001002DC"/>
    <w:rsid w:val="00100785"/>
    <w:rsid w:val="0010146F"/>
    <w:rsid w:val="001018C9"/>
    <w:rsid w:val="00102103"/>
    <w:rsid w:val="00102130"/>
    <w:rsid w:val="00104A12"/>
    <w:rsid w:val="00106974"/>
    <w:rsid w:val="00113D0B"/>
    <w:rsid w:val="001162C5"/>
    <w:rsid w:val="00116BED"/>
    <w:rsid w:val="001204BF"/>
    <w:rsid w:val="00120802"/>
    <w:rsid w:val="00122A26"/>
    <w:rsid w:val="0012546D"/>
    <w:rsid w:val="001310CF"/>
    <w:rsid w:val="00131B47"/>
    <w:rsid w:val="00135791"/>
    <w:rsid w:val="00135C64"/>
    <w:rsid w:val="00136BE1"/>
    <w:rsid w:val="001372C5"/>
    <w:rsid w:val="00141B8A"/>
    <w:rsid w:val="001420BD"/>
    <w:rsid w:val="001426B4"/>
    <w:rsid w:val="0014291E"/>
    <w:rsid w:val="00143336"/>
    <w:rsid w:val="00144EFF"/>
    <w:rsid w:val="00146099"/>
    <w:rsid w:val="001478F3"/>
    <w:rsid w:val="00147BB3"/>
    <w:rsid w:val="00150B77"/>
    <w:rsid w:val="0015451A"/>
    <w:rsid w:val="00155D9C"/>
    <w:rsid w:val="00156B30"/>
    <w:rsid w:val="0015721F"/>
    <w:rsid w:val="001614EA"/>
    <w:rsid w:val="00162540"/>
    <w:rsid w:val="00163A33"/>
    <w:rsid w:val="00164FF0"/>
    <w:rsid w:val="00165D3A"/>
    <w:rsid w:val="00165E3D"/>
    <w:rsid w:val="00167046"/>
    <w:rsid w:val="001709A3"/>
    <w:rsid w:val="00170DB2"/>
    <w:rsid w:val="00171ECF"/>
    <w:rsid w:val="00172CD0"/>
    <w:rsid w:val="00173848"/>
    <w:rsid w:val="0017422F"/>
    <w:rsid w:val="001746A3"/>
    <w:rsid w:val="001805DB"/>
    <w:rsid w:val="0018072B"/>
    <w:rsid w:val="00184309"/>
    <w:rsid w:val="00185761"/>
    <w:rsid w:val="001876AD"/>
    <w:rsid w:val="0018784A"/>
    <w:rsid w:val="00187F73"/>
    <w:rsid w:val="0019014D"/>
    <w:rsid w:val="001906F5"/>
    <w:rsid w:val="00194E0C"/>
    <w:rsid w:val="00196A73"/>
    <w:rsid w:val="001A29D4"/>
    <w:rsid w:val="001A6982"/>
    <w:rsid w:val="001A7CC3"/>
    <w:rsid w:val="001B01E2"/>
    <w:rsid w:val="001B0739"/>
    <w:rsid w:val="001B3F1B"/>
    <w:rsid w:val="001B3F49"/>
    <w:rsid w:val="001B40A9"/>
    <w:rsid w:val="001B550D"/>
    <w:rsid w:val="001B7FE7"/>
    <w:rsid w:val="001C0FAB"/>
    <w:rsid w:val="001C5267"/>
    <w:rsid w:val="001C5B03"/>
    <w:rsid w:val="001C61FD"/>
    <w:rsid w:val="001C65E4"/>
    <w:rsid w:val="001C6B20"/>
    <w:rsid w:val="001C6F69"/>
    <w:rsid w:val="001C73C2"/>
    <w:rsid w:val="001D155D"/>
    <w:rsid w:val="001D29A3"/>
    <w:rsid w:val="001D2FE1"/>
    <w:rsid w:val="001D6F0C"/>
    <w:rsid w:val="001E1FD7"/>
    <w:rsid w:val="001E3419"/>
    <w:rsid w:val="001E449E"/>
    <w:rsid w:val="001F177B"/>
    <w:rsid w:val="001F262F"/>
    <w:rsid w:val="001F2BFC"/>
    <w:rsid w:val="001F3ED5"/>
    <w:rsid w:val="001F60A9"/>
    <w:rsid w:val="001F7113"/>
    <w:rsid w:val="001F7231"/>
    <w:rsid w:val="00200448"/>
    <w:rsid w:val="00200AFF"/>
    <w:rsid w:val="002037AD"/>
    <w:rsid w:val="00204412"/>
    <w:rsid w:val="002046BE"/>
    <w:rsid w:val="00210CCD"/>
    <w:rsid w:val="00211298"/>
    <w:rsid w:val="00211341"/>
    <w:rsid w:val="00211BF9"/>
    <w:rsid w:val="00212FE2"/>
    <w:rsid w:val="002136B3"/>
    <w:rsid w:val="0021548A"/>
    <w:rsid w:val="002165FF"/>
    <w:rsid w:val="002167F5"/>
    <w:rsid w:val="00216B5E"/>
    <w:rsid w:val="0021791D"/>
    <w:rsid w:val="00221D84"/>
    <w:rsid w:val="0022243E"/>
    <w:rsid w:val="00222F37"/>
    <w:rsid w:val="00226BC5"/>
    <w:rsid w:val="002274B8"/>
    <w:rsid w:val="00233E22"/>
    <w:rsid w:val="00233F29"/>
    <w:rsid w:val="00236FDA"/>
    <w:rsid w:val="002401E0"/>
    <w:rsid w:val="00241782"/>
    <w:rsid w:val="00241B72"/>
    <w:rsid w:val="0024257F"/>
    <w:rsid w:val="00245D42"/>
    <w:rsid w:val="002465DA"/>
    <w:rsid w:val="0025666D"/>
    <w:rsid w:val="00260E8B"/>
    <w:rsid w:val="00261A1B"/>
    <w:rsid w:val="00265E13"/>
    <w:rsid w:val="00271532"/>
    <w:rsid w:val="0027192A"/>
    <w:rsid w:val="00273DF4"/>
    <w:rsid w:val="0027496F"/>
    <w:rsid w:val="00281C13"/>
    <w:rsid w:val="00282E20"/>
    <w:rsid w:val="00284912"/>
    <w:rsid w:val="00284EF9"/>
    <w:rsid w:val="0028650D"/>
    <w:rsid w:val="00286641"/>
    <w:rsid w:val="00286E00"/>
    <w:rsid w:val="00290C12"/>
    <w:rsid w:val="00291009"/>
    <w:rsid w:val="0029302A"/>
    <w:rsid w:val="00293E21"/>
    <w:rsid w:val="00295108"/>
    <w:rsid w:val="00295B5A"/>
    <w:rsid w:val="002A0B5D"/>
    <w:rsid w:val="002A10A6"/>
    <w:rsid w:val="002A1A91"/>
    <w:rsid w:val="002A294A"/>
    <w:rsid w:val="002A478F"/>
    <w:rsid w:val="002B0424"/>
    <w:rsid w:val="002B11E0"/>
    <w:rsid w:val="002B2074"/>
    <w:rsid w:val="002B4BE9"/>
    <w:rsid w:val="002B67BC"/>
    <w:rsid w:val="002C12A7"/>
    <w:rsid w:val="002C2DEC"/>
    <w:rsid w:val="002C68F3"/>
    <w:rsid w:val="002C7599"/>
    <w:rsid w:val="002C790E"/>
    <w:rsid w:val="002D00AB"/>
    <w:rsid w:val="002D18FC"/>
    <w:rsid w:val="002E052D"/>
    <w:rsid w:val="002E2FC6"/>
    <w:rsid w:val="002E4865"/>
    <w:rsid w:val="002E4D1B"/>
    <w:rsid w:val="002E5C2F"/>
    <w:rsid w:val="002F13DE"/>
    <w:rsid w:val="002F1A1A"/>
    <w:rsid w:val="002F3EDE"/>
    <w:rsid w:val="002F611A"/>
    <w:rsid w:val="002F733C"/>
    <w:rsid w:val="00302232"/>
    <w:rsid w:val="0030238E"/>
    <w:rsid w:val="00303B31"/>
    <w:rsid w:val="00304BC1"/>
    <w:rsid w:val="00304FC5"/>
    <w:rsid w:val="00306A27"/>
    <w:rsid w:val="00307E32"/>
    <w:rsid w:val="00315EDB"/>
    <w:rsid w:val="00316C54"/>
    <w:rsid w:val="00320E1C"/>
    <w:rsid w:val="003226BA"/>
    <w:rsid w:val="00326D25"/>
    <w:rsid w:val="00330EF9"/>
    <w:rsid w:val="00332839"/>
    <w:rsid w:val="003329F5"/>
    <w:rsid w:val="00336D76"/>
    <w:rsid w:val="00346B96"/>
    <w:rsid w:val="00347AE3"/>
    <w:rsid w:val="00351979"/>
    <w:rsid w:val="003524F7"/>
    <w:rsid w:val="00354DAE"/>
    <w:rsid w:val="0036254C"/>
    <w:rsid w:val="00362F71"/>
    <w:rsid w:val="003636C8"/>
    <w:rsid w:val="003647CD"/>
    <w:rsid w:val="003656C2"/>
    <w:rsid w:val="003702BE"/>
    <w:rsid w:val="00370C51"/>
    <w:rsid w:val="00371427"/>
    <w:rsid w:val="00371F0F"/>
    <w:rsid w:val="003725F1"/>
    <w:rsid w:val="00372D09"/>
    <w:rsid w:val="00375F84"/>
    <w:rsid w:val="0038096E"/>
    <w:rsid w:val="00381399"/>
    <w:rsid w:val="003822FA"/>
    <w:rsid w:val="00383857"/>
    <w:rsid w:val="00383B83"/>
    <w:rsid w:val="003860CC"/>
    <w:rsid w:val="00386AB6"/>
    <w:rsid w:val="00387075"/>
    <w:rsid w:val="003873EC"/>
    <w:rsid w:val="00390DE9"/>
    <w:rsid w:val="003921C5"/>
    <w:rsid w:val="003924D1"/>
    <w:rsid w:val="00392AB6"/>
    <w:rsid w:val="00394291"/>
    <w:rsid w:val="003969CE"/>
    <w:rsid w:val="00396AB2"/>
    <w:rsid w:val="00397AE9"/>
    <w:rsid w:val="003A0DCB"/>
    <w:rsid w:val="003A2662"/>
    <w:rsid w:val="003A42D3"/>
    <w:rsid w:val="003B4220"/>
    <w:rsid w:val="003C086A"/>
    <w:rsid w:val="003C26D2"/>
    <w:rsid w:val="003C47A9"/>
    <w:rsid w:val="003C4A64"/>
    <w:rsid w:val="003D1AD2"/>
    <w:rsid w:val="003D2EA8"/>
    <w:rsid w:val="003D44B1"/>
    <w:rsid w:val="003D561E"/>
    <w:rsid w:val="003E02E3"/>
    <w:rsid w:val="003E0602"/>
    <w:rsid w:val="003E0E8B"/>
    <w:rsid w:val="003E2F99"/>
    <w:rsid w:val="003E3C99"/>
    <w:rsid w:val="003E64F5"/>
    <w:rsid w:val="003F0472"/>
    <w:rsid w:val="003F553C"/>
    <w:rsid w:val="003F5A0E"/>
    <w:rsid w:val="003F7BFD"/>
    <w:rsid w:val="00401131"/>
    <w:rsid w:val="00404F22"/>
    <w:rsid w:val="00404FA9"/>
    <w:rsid w:val="004069DC"/>
    <w:rsid w:val="00410366"/>
    <w:rsid w:val="0041065C"/>
    <w:rsid w:val="00410F3A"/>
    <w:rsid w:val="00414E5C"/>
    <w:rsid w:val="004159E6"/>
    <w:rsid w:val="00421E70"/>
    <w:rsid w:val="00424227"/>
    <w:rsid w:val="004255FE"/>
    <w:rsid w:val="00431514"/>
    <w:rsid w:val="00432C25"/>
    <w:rsid w:val="004330E8"/>
    <w:rsid w:val="0044268D"/>
    <w:rsid w:val="00442773"/>
    <w:rsid w:val="004437CC"/>
    <w:rsid w:val="00445882"/>
    <w:rsid w:val="00446B60"/>
    <w:rsid w:val="00446E64"/>
    <w:rsid w:val="0045225E"/>
    <w:rsid w:val="00454653"/>
    <w:rsid w:val="00456C5B"/>
    <w:rsid w:val="004610F1"/>
    <w:rsid w:val="00462181"/>
    <w:rsid w:val="0046697F"/>
    <w:rsid w:val="00466FCF"/>
    <w:rsid w:val="00481402"/>
    <w:rsid w:val="00482AC4"/>
    <w:rsid w:val="004849BD"/>
    <w:rsid w:val="00490DBE"/>
    <w:rsid w:val="00490E94"/>
    <w:rsid w:val="00491445"/>
    <w:rsid w:val="004961DD"/>
    <w:rsid w:val="004A03CB"/>
    <w:rsid w:val="004A22A9"/>
    <w:rsid w:val="004A2BA8"/>
    <w:rsid w:val="004A652E"/>
    <w:rsid w:val="004A7A30"/>
    <w:rsid w:val="004B0494"/>
    <w:rsid w:val="004B0868"/>
    <w:rsid w:val="004B4175"/>
    <w:rsid w:val="004B5845"/>
    <w:rsid w:val="004B6A07"/>
    <w:rsid w:val="004B7431"/>
    <w:rsid w:val="004C10F7"/>
    <w:rsid w:val="004C22D7"/>
    <w:rsid w:val="004C5AA5"/>
    <w:rsid w:val="004D1DE3"/>
    <w:rsid w:val="004E1445"/>
    <w:rsid w:val="004E1BAB"/>
    <w:rsid w:val="004E66FE"/>
    <w:rsid w:val="004E7605"/>
    <w:rsid w:val="004F01B8"/>
    <w:rsid w:val="004F1259"/>
    <w:rsid w:val="004F26B6"/>
    <w:rsid w:val="004F4BD9"/>
    <w:rsid w:val="004F6B8F"/>
    <w:rsid w:val="005001F0"/>
    <w:rsid w:val="0050038B"/>
    <w:rsid w:val="00500D8D"/>
    <w:rsid w:val="00502A61"/>
    <w:rsid w:val="00504CC2"/>
    <w:rsid w:val="00515C06"/>
    <w:rsid w:val="00521A90"/>
    <w:rsid w:val="00522D53"/>
    <w:rsid w:val="0052423F"/>
    <w:rsid w:val="00524D9C"/>
    <w:rsid w:val="0052522D"/>
    <w:rsid w:val="00527A84"/>
    <w:rsid w:val="0053010A"/>
    <w:rsid w:val="005363B2"/>
    <w:rsid w:val="0054026F"/>
    <w:rsid w:val="0054047E"/>
    <w:rsid w:val="005427BD"/>
    <w:rsid w:val="0054331C"/>
    <w:rsid w:val="0054454B"/>
    <w:rsid w:val="005476EB"/>
    <w:rsid w:val="00550505"/>
    <w:rsid w:val="0055406F"/>
    <w:rsid w:val="00555AA0"/>
    <w:rsid w:val="00555E79"/>
    <w:rsid w:val="005564B2"/>
    <w:rsid w:val="005565CE"/>
    <w:rsid w:val="0056117B"/>
    <w:rsid w:val="00564A15"/>
    <w:rsid w:val="0056736A"/>
    <w:rsid w:val="00570C81"/>
    <w:rsid w:val="005718BA"/>
    <w:rsid w:val="005719CD"/>
    <w:rsid w:val="005767AE"/>
    <w:rsid w:val="0057691A"/>
    <w:rsid w:val="00576E09"/>
    <w:rsid w:val="00577113"/>
    <w:rsid w:val="0058122C"/>
    <w:rsid w:val="00581FB1"/>
    <w:rsid w:val="00581FE1"/>
    <w:rsid w:val="005830C1"/>
    <w:rsid w:val="00586A9D"/>
    <w:rsid w:val="005917AE"/>
    <w:rsid w:val="00595BAF"/>
    <w:rsid w:val="00597243"/>
    <w:rsid w:val="005A28EB"/>
    <w:rsid w:val="005A32B9"/>
    <w:rsid w:val="005A3356"/>
    <w:rsid w:val="005A35DB"/>
    <w:rsid w:val="005A427C"/>
    <w:rsid w:val="005B15E8"/>
    <w:rsid w:val="005B3135"/>
    <w:rsid w:val="005B3CD4"/>
    <w:rsid w:val="005B5839"/>
    <w:rsid w:val="005B7763"/>
    <w:rsid w:val="005C1C42"/>
    <w:rsid w:val="005C22A3"/>
    <w:rsid w:val="005C237C"/>
    <w:rsid w:val="005C35F6"/>
    <w:rsid w:val="005C6896"/>
    <w:rsid w:val="005C6E21"/>
    <w:rsid w:val="005C79A2"/>
    <w:rsid w:val="005D0921"/>
    <w:rsid w:val="005D1277"/>
    <w:rsid w:val="005D260D"/>
    <w:rsid w:val="005D3753"/>
    <w:rsid w:val="005D5D10"/>
    <w:rsid w:val="005D6B2A"/>
    <w:rsid w:val="005E0F50"/>
    <w:rsid w:val="005E10C9"/>
    <w:rsid w:val="005E214C"/>
    <w:rsid w:val="005E4456"/>
    <w:rsid w:val="005E5571"/>
    <w:rsid w:val="005F119D"/>
    <w:rsid w:val="005F1237"/>
    <w:rsid w:val="005F15F8"/>
    <w:rsid w:val="005F393D"/>
    <w:rsid w:val="005F4945"/>
    <w:rsid w:val="005F6157"/>
    <w:rsid w:val="005F67F8"/>
    <w:rsid w:val="005F6F84"/>
    <w:rsid w:val="005F73CE"/>
    <w:rsid w:val="005F73EC"/>
    <w:rsid w:val="00601C2A"/>
    <w:rsid w:val="00602DFA"/>
    <w:rsid w:val="006044F5"/>
    <w:rsid w:val="00605759"/>
    <w:rsid w:val="0060593C"/>
    <w:rsid w:val="0060678A"/>
    <w:rsid w:val="00611BB1"/>
    <w:rsid w:val="00611DE0"/>
    <w:rsid w:val="00614A16"/>
    <w:rsid w:val="0061531B"/>
    <w:rsid w:val="00615A1C"/>
    <w:rsid w:val="00620989"/>
    <w:rsid w:val="00625008"/>
    <w:rsid w:val="00625A11"/>
    <w:rsid w:val="00627EC9"/>
    <w:rsid w:val="0063183C"/>
    <w:rsid w:val="006334BA"/>
    <w:rsid w:val="00636C8E"/>
    <w:rsid w:val="00637CBC"/>
    <w:rsid w:val="00640E84"/>
    <w:rsid w:val="00642B2A"/>
    <w:rsid w:val="006435D6"/>
    <w:rsid w:val="00650DEA"/>
    <w:rsid w:val="00652ED2"/>
    <w:rsid w:val="00654923"/>
    <w:rsid w:val="00654D06"/>
    <w:rsid w:val="00655FCE"/>
    <w:rsid w:val="0065742A"/>
    <w:rsid w:val="006600E6"/>
    <w:rsid w:val="00662661"/>
    <w:rsid w:val="0066480F"/>
    <w:rsid w:val="00664E25"/>
    <w:rsid w:val="00665FAF"/>
    <w:rsid w:val="006673B9"/>
    <w:rsid w:val="006678C3"/>
    <w:rsid w:val="00670AB4"/>
    <w:rsid w:val="00671E07"/>
    <w:rsid w:val="006724B4"/>
    <w:rsid w:val="00675A02"/>
    <w:rsid w:val="006767E9"/>
    <w:rsid w:val="00680FD3"/>
    <w:rsid w:val="006829AB"/>
    <w:rsid w:val="00684B6A"/>
    <w:rsid w:val="0068576B"/>
    <w:rsid w:val="006867B1"/>
    <w:rsid w:val="00687E82"/>
    <w:rsid w:val="00690509"/>
    <w:rsid w:val="00691E27"/>
    <w:rsid w:val="006922CE"/>
    <w:rsid w:val="00695137"/>
    <w:rsid w:val="00697473"/>
    <w:rsid w:val="006A4810"/>
    <w:rsid w:val="006A4C1B"/>
    <w:rsid w:val="006A6930"/>
    <w:rsid w:val="006A6CA3"/>
    <w:rsid w:val="006A732C"/>
    <w:rsid w:val="006A797C"/>
    <w:rsid w:val="006B2EC7"/>
    <w:rsid w:val="006B381C"/>
    <w:rsid w:val="006B41AE"/>
    <w:rsid w:val="006B6282"/>
    <w:rsid w:val="006B71A8"/>
    <w:rsid w:val="006B7E86"/>
    <w:rsid w:val="006C371E"/>
    <w:rsid w:val="006C67E5"/>
    <w:rsid w:val="006D0242"/>
    <w:rsid w:val="006D0755"/>
    <w:rsid w:val="006D1A8D"/>
    <w:rsid w:val="006D1DF4"/>
    <w:rsid w:val="006D354F"/>
    <w:rsid w:val="006E0D2F"/>
    <w:rsid w:val="006E141F"/>
    <w:rsid w:val="006E55EA"/>
    <w:rsid w:val="006E667E"/>
    <w:rsid w:val="006E66D7"/>
    <w:rsid w:val="006E7039"/>
    <w:rsid w:val="006F4048"/>
    <w:rsid w:val="006F4834"/>
    <w:rsid w:val="006F6BCE"/>
    <w:rsid w:val="006F74EF"/>
    <w:rsid w:val="006F77A6"/>
    <w:rsid w:val="007010ED"/>
    <w:rsid w:val="0070697D"/>
    <w:rsid w:val="00714037"/>
    <w:rsid w:val="00714311"/>
    <w:rsid w:val="007158C2"/>
    <w:rsid w:val="0071593A"/>
    <w:rsid w:val="00722585"/>
    <w:rsid w:val="00723277"/>
    <w:rsid w:val="00731B57"/>
    <w:rsid w:val="00732025"/>
    <w:rsid w:val="00732C77"/>
    <w:rsid w:val="007338B8"/>
    <w:rsid w:val="00737B51"/>
    <w:rsid w:val="00742587"/>
    <w:rsid w:val="00742B9B"/>
    <w:rsid w:val="00746A92"/>
    <w:rsid w:val="00746FE0"/>
    <w:rsid w:val="00753C4C"/>
    <w:rsid w:val="00753FF1"/>
    <w:rsid w:val="00756548"/>
    <w:rsid w:val="0075774A"/>
    <w:rsid w:val="00760B85"/>
    <w:rsid w:val="00760F3C"/>
    <w:rsid w:val="007628FE"/>
    <w:rsid w:val="00766841"/>
    <w:rsid w:val="00767DAA"/>
    <w:rsid w:val="00771828"/>
    <w:rsid w:val="0077248A"/>
    <w:rsid w:val="00772E28"/>
    <w:rsid w:val="007736CA"/>
    <w:rsid w:val="007737E5"/>
    <w:rsid w:val="00775141"/>
    <w:rsid w:val="00775E3E"/>
    <w:rsid w:val="00776444"/>
    <w:rsid w:val="00777C6F"/>
    <w:rsid w:val="007842CF"/>
    <w:rsid w:val="007920CC"/>
    <w:rsid w:val="0079306E"/>
    <w:rsid w:val="00793370"/>
    <w:rsid w:val="007A3832"/>
    <w:rsid w:val="007A4AC4"/>
    <w:rsid w:val="007B0738"/>
    <w:rsid w:val="007B0856"/>
    <w:rsid w:val="007B1BF3"/>
    <w:rsid w:val="007B1EDC"/>
    <w:rsid w:val="007B2825"/>
    <w:rsid w:val="007B2888"/>
    <w:rsid w:val="007B3A45"/>
    <w:rsid w:val="007B4A8F"/>
    <w:rsid w:val="007C0737"/>
    <w:rsid w:val="007C0902"/>
    <w:rsid w:val="007C117B"/>
    <w:rsid w:val="007C25C4"/>
    <w:rsid w:val="007C30BB"/>
    <w:rsid w:val="007C48A4"/>
    <w:rsid w:val="007C5108"/>
    <w:rsid w:val="007C5768"/>
    <w:rsid w:val="007D008C"/>
    <w:rsid w:val="007D05A8"/>
    <w:rsid w:val="007D0A56"/>
    <w:rsid w:val="007D1208"/>
    <w:rsid w:val="007D15CD"/>
    <w:rsid w:val="007D1C06"/>
    <w:rsid w:val="007D273D"/>
    <w:rsid w:val="007D2A8D"/>
    <w:rsid w:val="007D3247"/>
    <w:rsid w:val="007D3554"/>
    <w:rsid w:val="007D4220"/>
    <w:rsid w:val="007E16A3"/>
    <w:rsid w:val="007E3554"/>
    <w:rsid w:val="007E6B9C"/>
    <w:rsid w:val="007F001A"/>
    <w:rsid w:val="007F2C91"/>
    <w:rsid w:val="007F3CBD"/>
    <w:rsid w:val="007F4015"/>
    <w:rsid w:val="007F4AF3"/>
    <w:rsid w:val="007F5EF3"/>
    <w:rsid w:val="007F6DA0"/>
    <w:rsid w:val="007F7D39"/>
    <w:rsid w:val="00805B62"/>
    <w:rsid w:val="008071A2"/>
    <w:rsid w:val="008117E2"/>
    <w:rsid w:val="0081285E"/>
    <w:rsid w:val="00814002"/>
    <w:rsid w:val="008156AD"/>
    <w:rsid w:val="00822AE9"/>
    <w:rsid w:val="00825A98"/>
    <w:rsid w:val="008260FA"/>
    <w:rsid w:val="008276D5"/>
    <w:rsid w:val="008314C6"/>
    <w:rsid w:val="008325AD"/>
    <w:rsid w:val="008400EC"/>
    <w:rsid w:val="0084741B"/>
    <w:rsid w:val="00850883"/>
    <w:rsid w:val="0085185C"/>
    <w:rsid w:val="00851C62"/>
    <w:rsid w:val="00851FE9"/>
    <w:rsid w:val="008525F2"/>
    <w:rsid w:val="0085269B"/>
    <w:rsid w:val="008532F3"/>
    <w:rsid w:val="00854AB3"/>
    <w:rsid w:val="00855AA8"/>
    <w:rsid w:val="0085719E"/>
    <w:rsid w:val="008616CC"/>
    <w:rsid w:val="00861CAB"/>
    <w:rsid w:val="00863352"/>
    <w:rsid w:val="00865725"/>
    <w:rsid w:val="0086589C"/>
    <w:rsid w:val="00865B62"/>
    <w:rsid w:val="00867380"/>
    <w:rsid w:val="00870147"/>
    <w:rsid w:val="00870181"/>
    <w:rsid w:val="0087084C"/>
    <w:rsid w:val="00872EA2"/>
    <w:rsid w:val="008750F1"/>
    <w:rsid w:val="00881B86"/>
    <w:rsid w:val="008826BA"/>
    <w:rsid w:val="00884D9B"/>
    <w:rsid w:val="00885C9D"/>
    <w:rsid w:val="00887C9A"/>
    <w:rsid w:val="0089133C"/>
    <w:rsid w:val="008917CC"/>
    <w:rsid w:val="00895E2A"/>
    <w:rsid w:val="00897915"/>
    <w:rsid w:val="00897AEB"/>
    <w:rsid w:val="008A161D"/>
    <w:rsid w:val="008A224E"/>
    <w:rsid w:val="008A2AC5"/>
    <w:rsid w:val="008A43C0"/>
    <w:rsid w:val="008A67C3"/>
    <w:rsid w:val="008A6ED8"/>
    <w:rsid w:val="008A796E"/>
    <w:rsid w:val="008A79F3"/>
    <w:rsid w:val="008A7B8D"/>
    <w:rsid w:val="008B0FEC"/>
    <w:rsid w:val="008B39C9"/>
    <w:rsid w:val="008B3FFE"/>
    <w:rsid w:val="008B5182"/>
    <w:rsid w:val="008B6485"/>
    <w:rsid w:val="008B691E"/>
    <w:rsid w:val="008B7B9E"/>
    <w:rsid w:val="008B7DFC"/>
    <w:rsid w:val="008C1443"/>
    <w:rsid w:val="008C1E9D"/>
    <w:rsid w:val="008C2002"/>
    <w:rsid w:val="008C4FE0"/>
    <w:rsid w:val="008C6744"/>
    <w:rsid w:val="008C7A65"/>
    <w:rsid w:val="008D11CB"/>
    <w:rsid w:val="008E0084"/>
    <w:rsid w:val="008F2166"/>
    <w:rsid w:val="008F34B5"/>
    <w:rsid w:val="008F357A"/>
    <w:rsid w:val="008F6976"/>
    <w:rsid w:val="008F7728"/>
    <w:rsid w:val="0090015B"/>
    <w:rsid w:val="00904669"/>
    <w:rsid w:val="009128B4"/>
    <w:rsid w:val="00914FCC"/>
    <w:rsid w:val="009170D0"/>
    <w:rsid w:val="00917542"/>
    <w:rsid w:val="00920FC6"/>
    <w:rsid w:val="00922418"/>
    <w:rsid w:val="009227FD"/>
    <w:rsid w:val="00926816"/>
    <w:rsid w:val="00926D82"/>
    <w:rsid w:val="009300AD"/>
    <w:rsid w:val="00930D32"/>
    <w:rsid w:val="00931D2F"/>
    <w:rsid w:val="00933348"/>
    <w:rsid w:val="00937632"/>
    <w:rsid w:val="0094038E"/>
    <w:rsid w:val="00942226"/>
    <w:rsid w:val="00943140"/>
    <w:rsid w:val="009434D6"/>
    <w:rsid w:val="00944935"/>
    <w:rsid w:val="009457F0"/>
    <w:rsid w:val="00945E77"/>
    <w:rsid w:val="009464A8"/>
    <w:rsid w:val="00947DD7"/>
    <w:rsid w:val="00950D8C"/>
    <w:rsid w:val="009531AB"/>
    <w:rsid w:val="00957C15"/>
    <w:rsid w:val="00960E82"/>
    <w:rsid w:val="00961FC0"/>
    <w:rsid w:val="009636AD"/>
    <w:rsid w:val="0096444D"/>
    <w:rsid w:val="00965223"/>
    <w:rsid w:val="00965F9D"/>
    <w:rsid w:val="009673C3"/>
    <w:rsid w:val="00967AC6"/>
    <w:rsid w:val="00967D80"/>
    <w:rsid w:val="0097084F"/>
    <w:rsid w:val="00970D60"/>
    <w:rsid w:val="0097195F"/>
    <w:rsid w:val="00971D08"/>
    <w:rsid w:val="009746D1"/>
    <w:rsid w:val="00977018"/>
    <w:rsid w:val="00977FFB"/>
    <w:rsid w:val="009803C1"/>
    <w:rsid w:val="00981A66"/>
    <w:rsid w:val="00981EAD"/>
    <w:rsid w:val="009823F1"/>
    <w:rsid w:val="00982734"/>
    <w:rsid w:val="009855B9"/>
    <w:rsid w:val="009875CE"/>
    <w:rsid w:val="00991457"/>
    <w:rsid w:val="009925BC"/>
    <w:rsid w:val="0099272C"/>
    <w:rsid w:val="009940FF"/>
    <w:rsid w:val="00995206"/>
    <w:rsid w:val="009967CF"/>
    <w:rsid w:val="00996925"/>
    <w:rsid w:val="009A055F"/>
    <w:rsid w:val="009A764D"/>
    <w:rsid w:val="009B4B4D"/>
    <w:rsid w:val="009B5B48"/>
    <w:rsid w:val="009C083A"/>
    <w:rsid w:val="009C2C71"/>
    <w:rsid w:val="009D2CA9"/>
    <w:rsid w:val="009D31C1"/>
    <w:rsid w:val="009D3348"/>
    <w:rsid w:val="009D3BC1"/>
    <w:rsid w:val="009D4123"/>
    <w:rsid w:val="009D7C8A"/>
    <w:rsid w:val="009E08AD"/>
    <w:rsid w:val="009E12BF"/>
    <w:rsid w:val="009E1C85"/>
    <w:rsid w:val="009E3C19"/>
    <w:rsid w:val="009E4A78"/>
    <w:rsid w:val="009E55C7"/>
    <w:rsid w:val="009E6293"/>
    <w:rsid w:val="009E7180"/>
    <w:rsid w:val="009E7F2E"/>
    <w:rsid w:val="009F1F68"/>
    <w:rsid w:val="009F2DAC"/>
    <w:rsid w:val="009F567E"/>
    <w:rsid w:val="009F648C"/>
    <w:rsid w:val="009F6B18"/>
    <w:rsid w:val="009F6BA8"/>
    <w:rsid w:val="009F74CB"/>
    <w:rsid w:val="009F7B90"/>
    <w:rsid w:val="00A00C65"/>
    <w:rsid w:val="00A01321"/>
    <w:rsid w:val="00A01729"/>
    <w:rsid w:val="00A03CF9"/>
    <w:rsid w:val="00A05163"/>
    <w:rsid w:val="00A05698"/>
    <w:rsid w:val="00A12569"/>
    <w:rsid w:val="00A14C65"/>
    <w:rsid w:val="00A14DE8"/>
    <w:rsid w:val="00A24E87"/>
    <w:rsid w:val="00A251BA"/>
    <w:rsid w:val="00A25EDA"/>
    <w:rsid w:val="00A267E9"/>
    <w:rsid w:val="00A27389"/>
    <w:rsid w:val="00A27966"/>
    <w:rsid w:val="00A30F93"/>
    <w:rsid w:val="00A321B0"/>
    <w:rsid w:val="00A41A30"/>
    <w:rsid w:val="00A41E49"/>
    <w:rsid w:val="00A44068"/>
    <w:rsid w:val="00A455CF"/>
    <w:rsid w:val="00A456E1"/>
    <w:rsid w:val="00A4699A"/>
    <w:rsid w:val="00A47CFB"/>
    <w:rsid w:val="00A47FD7"/>
    <w:rsid w:val="00A5079A"/>
    <w:rsid w:val="00A514B4"/>
    <w:rsid w:val="00A56CAA"/>
    <w:rsid w:val="00A57566"/>
    <w:rsid w:val="00A64728"/>
    <w:rsid w:val="00A64E3D"/>
    <w:rsid w:val="00A67B52"/>
    <w:rsid w:val="00A70093"/>
    <w:rsid w:val="00A74189"/>
    <w:rsid w:val="00A7535A"/>
    <w:rsid w:val="00A83F0B"/>
    <w:rsid w:val="00A859A1"/>
    <w:rsid w:val="00A934DC"/>
    <w:rsid w:val="00A95062"/>
    <w:rsid w:val="00A96E1A"/>
    <w:rsid w:val="00AA3465"/>
    <w:rsid w:val="00AA7A3C"/>
    <w:rsid w:val="00AB4305"/>
    <w:rsid w:val="00AB4805"/>
    <w:rsid w:val="00AB6741"/>
    <w:rsid w:val="00AC3D62"/>
    <w:rsid w:val="00AD052D"/>
    <w:rsid w:val="00AD3C21"/>
    <w:rsid w:val="00AD3E87"/>
    <w:rsid w:val="00AD4A9F"/>
    <w:rsid w:val="00AD5473"/>
    <w:rsid w:val="00AD6445"/>
    <w:rsid w:val="00AE09E6"/>
    <w:rsid w:val="00AE12FE"/>
    <w:rsid w:val="00AE2592"/>
    <w:rsid w:val="00AE3FA8"/>
    <w:rsid w:val="00AE6C01"/>
    <w:rsid w:val="00AE7BD0"/>
    <w:rsid w:val="00AF0C13"/>
    <w:rsid w:val="00AF4384"/>
    <w:rsid w:val="00AF5599"/>
    <w:rsid w:val="00AF5900"/>
    <w:rsid w:val="00B00045"/>
    <w:rsid w:val="00B0107F"/>
    <w:rsid w:val="00B012EA"/>
    <w:rsid w:val="00B019E7"/>
    <w:rsid w:val="00B063B7"/>
    <w:rsid w:val="00B07C3F"/>
    <w:rsid w:val="00B11EBF"/>
    <w:rsid w:val="00B13FA4"/>
    <w:rsid w:val="00B14D07"/>
    <w:rsid w:val="00B15A81"/>
    <w:rsid w:val="00B15F8C"/>
    <w:rsid w:val="00B16049"/>
    <w:rsid w:val="00B1696A"/>
    <w:rsid w:val="00B17342"/>
    <w:rsid w:val="00B20AF0"/>
    <w:rsid w:val="00B224D9"/>
    <w:rsid w:val="00B2262C"/>
    <w:rsid w:val="00B23C09"/>
    <w:rsid w:val="00B23CCD"/>
    <w:rsid w:val="00B2480A"/>
    <w:rsid w:val="00B26C5B"/>
    <w:rsid w:val="00B30701"/>
    <w:rsid w:val="00B30AA8"/>
    <w:rsid w:val="00B31FDC"/>
    <w:rsid w:val="00B343AB"/>
    <w:rsid w:val="00B41185"/>
    <w:rsid w:val="00B44F9D"/>
    <w:rsid w:val="00B5048A"/>
    <w:rsid w:val="00B5272C"/>
    <w:rsid w:val="00B52B80"/>
    <w:rsid w:val="00B56703"/>
    <w:rsid w:val="00B615BC"/>
    <w:rsid w:val="00B62A37"/>
    <w:rsid w:val="00B62A5E"/>
    <w:rsid w:val="00B63BCC"/>
    <w:rsid w:val="00B65F1B"/>
    <w:rsid w:val="00B66816"/>
    <w:rsid w:val="00B700E8"/>
    <w:rsid w:val="00B70AE5"/>
    <w:rsid w:val="00B71868"/>
    <w:rsid w:val="00B71D1A"/>
    <w:rsid w:val="00B72D12"/>
    <w:rsid w:val="00B751CD"/>
    <w:rsid w:val="00B759A7"/>
    <w:rsid w:val="00B825E3"/>
    <w:rsid w:val="00B8515B"/>
    <w:rsid w:val="00B85AFA"/>
    <w:rsid w:val="00B87A54"/>
    <w:rsid w:val="00B93667"/>
    <w:rsid w:val="00B958E7"/>
    <w:rsid w:val="00BA0EED"/>
    <w:rsid w:val="00BA3DB0"/>
    <w:rsid w:val="00BA4754"/>
    <w:rsid w:val="00BA71A0"/>
    <w:rsid w:val="00BB1471"/>
    <w:rsid w:val="00BB38FF"/>
    <w:rsid w:val="00BB3F4D"/>
    <w:rsid w:val="00BB4AC1"/>
    <w:rsid w:val="00BC0222"/>
    <w:rsid w:val="00BC409F"/>
    <w:rsid w:val="00BC608C"/>
    <w:rsid w:val="00BC6E22"/>
    <w:rsid w:val="00BC7551"/>
    <w:rsid w:val="00BC7F36"/>
    <w:rsid w:val="00BD0871"/>
    <w:rsid w:val="00BD0DFF"/>
    <w:rsid w:val="00BD2BCA"/>
    <w:rsid w:val="00BD4DCC"/>
    <w:rsid w:val="00BD7D4A"/>
    <w:rsid w:val="00BE18C2"/>
    <w:rsid w:val="00BE201D"/>
    <w:rsid w:val="00BE567A"/>
    <w:rsid w:val="00BE74BE"/>
    <w:rsid w:val="00BE7BBE"/>
    <w:rsid w:val="00BF08C5"/>
    <w:rsid w:val="00BF205C"/>
    <w:rsid w:val="00BF2483"/>
    <w:rsid w:val="00BF28B5"/>
    <w:rsid w:val="00BF3D9B"/>
    <w:rsid w:val="00BF5F65"/>
    <w:rsid w:val="00BF6E5F"/>
    <w:rsid w:val="00BF7B01"/>
    <w:rsid w:val="00C04862"/>
    <w:rsid w:val="00C054B1"/>
    <w:rsid w:val="00C05B29"/>
    <w:rsid w:val="00C06056"/>
    <w:rsid w:val="00C06A58"/>
    <w:rsid w:val="00C06B09"/>
    <w:rsid w:val="00C07A32"/>
    <w:rsid w:val="00C07E4C"/>
    <w:rsid w:val="00C13A6B"/>
    <w:rsid w:val="00C14E22"/>
    <w:rsid w:val="00C1656B"/>
    <w:rsid w:val="00C174D6"/>
    <w:rsid w:val="00C17AD9"/>
    <w:rsid w:val="00C20689"/>
    <w:rsid w:val="00C21E86"/>
    <w:rsid w:val="00C2543F"/>
    <w:rsid w:val="00C264E2"/>
    <w:rsid w:val="00C26C81"/>
    <w:rsid w:val="00C27210"/>
    <w:rsid w:val="00C303A2"/>
    <w:rsid w:val="00C30B24"/>
    <w:rsid w:val="00C3103A"/>
    <w:rsid w:val="00C3224B"/>
    <w:rsid w:val="00C35541"/>
    <w:rsid w:val="00C35F51"/>
    <w:rsid w:val="00C36DED"/>
    <w:rsid w:val="00C37044"/>
    <w:rsid w:val="00C425BE"/>
    <w:rsid w:val="00C459C3"/>
    <w:rsid w:val="00C47848"/>
    <w:rsid w:val="00C53E03"/>
    <w:rsid w:val="00C57B07"/>
    <w:rsid w:val="00C57F9D"/>
    <w:rsid w:val="00C6350B"/>
    <w:rsid w:val="00C67AAC"/>
    <w:rsid w:val="00C71C81"/>
    <w:rsid w:val="00C71E37"/>
    <w:rsid w:val="00C7348A"/>
    <w:rsid w:val="00C75BC6"/>
    <w:rsid w:val="00C81957"/>
    <w:rsid w:val="00C872E5"/>
    <w:rsid w:val="00C91D7F"/>
    <w:rsid w:val="00C921C3"/>
    <w:rsid w:val="00C93075"/>
    <w:rsid w:val="00C93DE1"/>
    <w:rsid w:val="00C94D31"/>
    <w:rsid w:val="00C97E50"/>
    <w:rsid w:val="00CA2402"/>
    <w:rsid w:val="00CA3442"/>
    <w:rsid w:val="00CB05FC"/>
    <w:rsid w:val="00CB7D51"/>
    <w:rsid w:val="00CC0356"/>
    <w:rsid w:val="00CC2D70"/>
    <w:rsid w:val="00CC5702"/>
    <w:rsid w:val="00CC5768"/>
    <w:rsid w:val="00CC6B12"/>
    <w:rsid w:val="00CC6FB8"/>
    <w:rsid w:val="00CD3555"/>
    <w:rsid w:val="00CD6208"/>
    <w:rsid w:val="00CD6271"/>
    <w:rsid w:val="00CD6D07"/>
    <w:rsid w:val="00CD72BE"/>
    <w:rsid w:val="00CD7BAD"/>
    <w:rsid w:val="00CE0711"/>
    <w:rsid w:val="00CE26F4"/>
    <w:rsid w:val="00CF021D"/>
    <w:rsid w:val="00CF0393"/>
    <w:rsid w:val="00CF1467"/>
    <w:rsid w:val="00CF4F31"/>
    <w:rsid w:val="00CF59C1"/>
    <w:rsid w:val="00CF655E"/>
    <w:rsid w:val="00D06144"/>
    <w:rsid w:val="00D12DA3"/>
    <w:rsid w:val="00D12E23"/>
    <w:rsid w:val="00D13A43"/>
    <w:rsid w:val="00D16658"/>
    <w:rsid w:val="00D215C7"/>
    <w:rsid w:val="00D21614"/>
    <w:rsid w:val="00D24C22"/>
    <w:rsid w:val="00D24CAF"/>
    <w:rsid w:val="00D25BE0"/>
    <w:rsid w:val="00D267FF"/>
    <w:rsid w:val="00D31647"/>
    <w:rsid w:val="00D319A6"/>
    <w:rsid w:val="00D35C75"/>
    <w:rsid w:val="00D36AA2"/>
    <w:rsid w:val="00D43BFC"/>
    <w:rsid w:val="00D45364"/>
    <w:rsid w:val="00D4565C"/>
    <w:rsid w:val="00D45C4D"/>
    <w:rsid w:val="00D51CDD"/>
    <w:rsid w:val="00D53B73"/>
    <w:rsid w:val="00D54B96"/>
    <w:rsid w:val="00D55B9F"/>
    <w:rsid w:val="00D5634B"/>
    <w:rsid w:val="00D56CBD"/>
    <w:rsid w:val="00D57B35"/>
    <w:rsid w:val="00D57D0F"/>
    <w:rsid w:val="00D62892"/>
    <w:rsid w:val="00D65888"/>
    <w:rsid w:val="00D71A2E"/>
    <w:rsid w:val="00D71DD8"/>
    <w:rsid w:val="00D723F2"/>
    <w:rsid w:val="00D751BA"/>
    <w:rsid w:val="00D76F1C"/>
    <w:rsid w:val="00D83A88"/>
    <w:rsid w:val="00D83CC7"/>
    <w:rsid w:val="00D84419"/>
    <w:rsid w:val="00D86189"/>
    <w:rsid w:val="00D90526"/>
    <w:rsid w:val="00D91586"/>
    <w:rsid w:val="00D91E65"/>
    <w:rsid w:val="00D92258"/>
    <w:rsid w:val="00D950FD"/>
    <w:rsid w:val="00D9539B"/>
    <w:rsid w:val="00DA177C"/>
    <w:rsid w:val="00DA3E30"/>
    <w:rsid w:val="00DA5F96"/>
    <w:rsid w:val="00DA6736"/>
    <w:rsid w:val="00DA7377"/>
    <w:rsid w:val="00DB0E2C"/>
    <w:rsid w:val="00DB4362"/>
    <w:rsid w:val="00DB4B66"/>
    <w:rsid w:val="00DB62E3"/>
    <w:rsid w:val="00DB73DE"/>
    <w:rsid w:val="00DC216F"/>
    <w:rsid w:val="00DC3FFC"/>
    <w:rsid w:val="00DC52C2"/>
    <w:rsid w:val="00DC591B"/>
    <w:rsid w:val="00DD04BF"/>
    <w:rsid w:val="00DD07C6"/>
    <w:rsid w:val="00DD196F"/>
    <w:rsid w:val="00DD4DBB"/>
    <w:rsid w:val="00DD6428"/>
    <w:rsid w:val="00DD657B"/>
    <w:rsid w:val="00DE0B82"/>
    <w:rsid w:val="00DE217A"/>
    <w:rsid w:val="00DF2676"/>
    <w:rsid w:val="00DF3199"/>
    <w:rsid w:val="00DF4957"/>
    <w:rsid w:val="00DF4DB7"/>
    <w:rsid w:val="00DF5B93"/>
    <w:rsid w:val="00E0151F"/>
    <w:rsid w:val="00E03105"/>
    <w:rsid w:val="00E06576"/>
    <w:rsid w:val="00E10EA4"/>
    <w:rsid w:val="00E10F74"/>
    <w:rsid w:val="00E13E0C"/>
    <w:rsid w:val="00E15F1D"/>
    <w:rsid w:val="00E20249"/>
    <w:rsid w:val="00E20560"/>
    <w:rsid w:val="00E20AD9"/>
    <w:rsid w:val="00E22021"/>
    <w:rsid w:val="00E22BB3"/>
    <w:rsid w:val="00E23B86"/>
    <w:rsid w:val="00E26777"/>
    <w:rsid w:val="00E27D39"/>
    <w:rsid w:val="00E305C2"/>
    <w:rsid w:val="00E3409A"/>
    <w:rsid w:val="00E37B49"/>
    <w:rsid w:val="00E37D75"/>
    <w:rsid w:val="00E436C9"/>
    <w:rsid w:val="00E43B51"/>
    <w:rsid w:val="00E4548C"/>
    <w:rsid w:val="00E46484"/>
    <w:rsid w:val="00E579D5"/>
    <w:rsid w:val="00E61BB0"/>
    <w:rsid w:val="00E638FD"/>
    <w:rsid w:val="00E64BB8"/>
    <w:rsid w:val="00E65917"/>
    <w:rsid w:val="00E72FD1"/>
    <w:rsid w:val="00E735D5"/>
    <w:rsid w:val="00E762FD"/>
    <w:rsid w:val="00E766CD"/>
    <w:rsid w:val="00E77375"/>
    <w:rsid w:val="00E801CF"/>
    <w:rsid w:val="00E845AF"/>
    <w:rsid w:val="00E846F4"/>
    <w:rsid w:val="00E84BA9"/>
    <w:rsid w:val="00E8673F"/>
    <w:rsid w:val="00E90877"/>
    <w:rsid w:val="00E90FF6"/>
    <w:rsid w:val="00E913D4"/>
    <w:rsid w:val="00E91BB9"/>
    <w:rsid w:val="00EA0AAB"/>
    <w:rsid w:val="00EA27AB"/>
    <w:rsid w:val="00EA36C8"/>
    <w:rsid w:val="00EA65BF"/>
    <w:rsid w:val="00EA77F7"/>
    <w:rsid w:val="00EB7AC5"/>
    <w:rsid w:val="00EC0306"/>
    <w:rsid w:val="00EC60A6"/>
    <w:rsid w:val="00EC65F6"/>
    <w:rsid w:val="00ED0263"/>
    <w:rsid w:val="00ED0C62"/>
    <w:rsid w:val="00ED1300"/>
    <w:rsid w:val="00ED16C2"/>
    <w:rsid w:val="00ED1E8F"/>
    <w:rsid w:val="00ED2F4F"/>
    <w:rsid w:val="00ED403D"/>
    <w:rsid w:val="00ED4095"/>
    <w:rsid w:val="00ED5E87"/>
    <w:rsid w:val="00ED747B"/>
    <w:rsid w:val="00ED7AAA"/>
    <w:rsid w:val="00EE182A"/>
    <w:rsid w:val="00EE1D7B"/>
    <w:rsid w:val="00EE3419"/>
    <w:rsid w:val="00EE3F61"/>
    <w:rsid w:val="00EE4671"/>
    <w:rsid w:val="00EE6A12"/>
    <w:rsid w:val="00EF0CF1"/>
    <w:rsid w:val="00EF1049"/>
    <w:rsid w:val="00EF1D07"/>
    <w:rsid w:val="00EF4BE0"/>
    <w:rsid w:val="00EF521E"/>
    <w:rsid w:val="00EF591E"/>
    <w:rsid w:val="00EF6A17"/>
    <w:rsid w:val="00EF7B6C"/>
    <w:rsid w:val="00F048AB"/>
    <w:rsid w:val="00F05EFF"/>
    <w:rsid w:val="00F063F0"/>
    <w:rsid w:val="00F066E6"/>
    <w:rsid w:val="00F06E8B"/>
    <w:rsid w:val="00F10A40"/>
    <w:rsid w:val="00F141E5"/>
    <w:rsid w:val="00F14582"/>
    <w:rsid w:val="00F157CB"/>
    <w:rsid w:val="00F15F35"/>
    <w:rsid w:val="00F177D9"/>
    <w:rsid w:val="00F22FA1"/>
    <w:rsid w:val="00F23002"/>
    <w:rsid w:val="00F23025"/>
    <w:rsid w:val="00F258EA"/>
    <w:rsid w:val="00F27405"/>
    <w:rsid w:val="00F31708"/>
    <w:rsid w:val="00F32123"/>
    <w:rsid w:val="00F32180"/>
    <w:rsid w:val="00F324E4"/>
    <w:rsid w:val="00F33EBB"/>
    <w:rsid w:val="00F34100"/>
    <w:rsid w:val="00F37A35"/>
    <w:rsid w:val="00F41A88"/>
    <w:rsid w:val="00F450AC"/>
    <w:rsid w:val="00F4596C"/>
    <w:rsid w:val="00F53666"/>
    <w:rsid w:val="00F542AA"/>
    <w:rsid w:val="00F567BE"/>
    <w:rsid w:val="00F609F8"/>
    <w:rsid w:val="00F622E7"/>
    <w:rsid w:val="00F63DC8"/>
    <w:rsid w:val="00F651D2"/>
    <w:rsid w:val="00F65ADA"/>
    <w:rsid w:val="00F66DB8"/>
    <w:rsid w:val="00F676E4"/>
    <w:rsid w:val="00F67E3F"/>
    <w:rsid w:val="00F7008C"/>
    <w:rsid w:val="00F700AD"/>
    <w:rsid w:val="00F72AB4"/>
    <w:rsid w:val="00F754E2"/>
    <w:rsid w:val="00F773FB"/>
    <w:rsid w:val="00F77E31"/>
    <w:rsid w:val="00F81726"/>
    <w:rsid w:val="00F81FB7"/>
    <w:rsid w:val="00F863B5"/>
    <w:rsid w:val="00F970CC"/>
    <w:rsid w:val="00FA0B23"/>
    <w:rsid w:val="00FA0E3D"/>
    <w:rsid w:val="00FA26CB"/>
    <w:rsid w:val="00FA3D08"/>
    <w:rsid w:val="00FA50AC"/>
    <w:rsid w:val="00FA5A6C"/>
    <w:rsid w:val="00FA6CDB"/>
    <w:rsid w:val="00FB2766"/>
    <w:rsid w:val="00FB7BB1"/>
    <w:rsid w:val="00FC0B99"/>
    <w:rsid w:val="00FC0F88"/>
    <w:rsid w:val="00FC152B"/>
    <w:rsid w:val="00FC24F5"/>
    <w:rsid w:val="00FC2B69"/>
    <w:rsid w:val="00FC4392"/>
    <w:rsid w:val="00FC5255"/>
    <w:rsid w:val="00FC5E27"/>
    <w:rsid w:val="00FC6AE1"/>
    <w:rsid w:val="00FD0C1B"/>
    <w:rsid w:val="00FD26E3"/>
    <w:rsid w:val="00FD67D6"/>
    <w:rsid w:val="00FE00DF"/>
    <w:rsid w:val="00FE0153"/>
    <w:rsid w:val="00FE1AFD"/>
    <w:rsid w:val="00FE41CB"/>
    <w:rsid w:val="00FE70DC"/>
    <w:rsid w:val="00FF2B34"/>
    <w:rsid w:val="00FF4AB0"/>
    <w:rsid w:val="00FF665E"/>
    <w:rsid w:val="00FF7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EFF6BE"/>
  <w15:docId w15:val="{9DD7F067-0760-49FB-AAEA-88851476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ICE Heading 1"/>
    <w:basedOn w:val="Normal"/>
    <w:next w:val="Normal"/>
    <w:link w:val="Heading1Char"/>
    <w:uiPriority w:val="9"/>
    <w:qFormat/>
    <w:rsid w:val="00C07E4C"/>
    <w:pPr>
      <w:numPr>
        <w:numId w:val="2"/>
      </w:numPr>
      <w:spacing w:before="480" w:after="0" w:line="240" w:lineRule="auto"/>
      <w:contextualSpacing/>
      <w:outlineLvl w:val="0"/>
    </w:pPr>
    <w:rPr>
      <w:rFonts w:ascii="Times New Roman" w:eastAsiaTheme="majorEastAsia" w:hAnsi="Times New Roman" w:cstheme="majorBidi"/>
      <w:b/>
      <w:bCs/>
      <w:sz w:val="28"/>
      <w:szCs w:val="28"/>
    </w:rPr>
  </w:style>
  <w:style w:type="paragraph" w:styleId="Heading2">
    <w:name w:val="heading 2"/>
    <w:aliases w:val="NICE Heading 2"/>
    <w:basedOn w:val="Normal"/>
    <w:next w:val="Normal"/>
    <w:link w:val="Heading2Char"/>
    <w:uiPriority w:val="9"/>
    <w:unhideWhenUsed/>
    <w:qFormat/>
    <w:rsid w:val="00C07E4C"/>
    <w:pPr>
      <w:numPr>
        <w:ilvl w:val="1"/>
        <w:numId w:val="2"/>
      </w:numPr>
      <w:spacing w:before="200" w:after="0" w:line="240" w:lineRule="auto"/>
      <w:outlineLvl w:val="1"/>
    </w:pPr>
    <w:rPr>
      <w:rFonts w:ascii="Times New Roman" w:eastAsiaTheme="majorEastAsia" w:hAnsi="Times New Roman" w:cstheme="majorBidi"/>
      <w:b/>
      <w:bCs/>
      <w:sz w:val="24"/>
      <w:szCs w:val="26"/>
    </w:rPr>
  </w:style>
  <w:style w:type="paragraph" w:styleId="Heading3">
    <w:name w:val="heading 3"/>
    <w:aliases w:val="NICE Heading 3"/>
    <w:basedOn w:val="Normal"/>
    <w:next w:val="Normal"/>
    <w:link w:val="Heading3Char"/>
    <w:uiPriority w:val="9"/>
    <w:unhideWhenUsed/>
    <w:qFormat/>
    <w:rsid w:val="00C07E4C"/>
    <w:pPr>
      <w:numPr>
        <w:ilvl w:val="2"/>
        <w:numId w:val="2"/>
      </w:numPr>
      <w:spacing w:before="200" w:after="0" w:line="240" w:lineRule="auto"/>
      <w:outlineLvl w:val="2"/>
    </w:pPr>
    <w:rPr>
      <w:rFonts w:ascii="Times New Roman" w:eastAsiaTheme="majorEastAsia" w:hAnsi="Times New Roman" w:cstheme="majorBidi"/>
      <w:b/>
      <w:bCs/>
    </w:rPr>
  </w:style>
  <w:style w:type="paragraph" w:styleId="Heading4">
    <w:name w:val="heading 4"/>
    <w:aliases w:val="NICE Heading 4"/>
    <w:basedOn w:val="Normal"/>
    <w:next w:val="Normal"/>
    <w:link w:val="Heading4Char"/>
    <w:uiPriority w:val="9"/>
    <w:unhideWhenUsed/>
    <w:qFormat/>
    <w:rsid w:val="00C07E4C"/>
    <w:pPr>
      <w:numPr>
        <w:ilvl w:val="3"/>
        <w:numId w:val="2"/>
      </w:numPr>
      <w:spacing w:before="200" w:after="0" w:line="240" w:lineRule="auto"/>
      <w:outlineLvl w:val="3"/>
    </w:pPr>
    <w:rPr>
      <w:rFonts w:ascii="Times New Roman" w:eastAsiaTheme="majorEastAsia" w:hAnsi="Times New Roman" w:cstheme="majorBidi"/>
      <w:b/>
      <w:bCs/>
      <w:iCs/>
    </w:rPr>
  </w:style>
  <w:style w:type="paragraph" w:styleId="Heading5">
    <w:name w:val="heading 5"/>
    <w:basedOn w:val="Normal"/>
    <w:next w:val="Normal"/>
    <w:link w:val="Heading5Char"/>
    <w:uiPriority w:val="9"/>
    <w:unhideWhenUsed/>
    <w:qFormat/>
    <w:rsid w:val="00C07E4C"/>
    <w:pPr>
      <w:numPr>
        <w:ilvl w:val="4"/>
        <w:numId w:val="2"/>
      </w:numPr>
      <w:spacing w:before="200" w:after="0" w:line="240" w:lineRule="auto"/>
      <w:outlineLvl w:val="4"/>
    </w:pPr>
    <w:rPr>
      <w:rFonts w:ascii="Times New Roman" w:eastAsiaTheme="majorEastAsia" w:hAnsi="Times New Roman" w:cstheme="majorBidi"/>
      <w:b/>
      <w:bCs/>
      <w:i/>
    </w:rPr>
  </w:style>
  <w:style w:type="paragraph" w:styleId="Heading6">
    <w:name w:val="heading 6"/>
    <w:basedOn w:val="Normal"/>
    <w:next w:val="Normal"/>
    <w:link w:val="Heading6Char"/>
    <w:uiPriority w:val="9"/>
    <w:unhideWhenUsed/>
    <w:qFormat/>
    <w:rsid w:val="00C07E4C"/>
    <w:pPr>
      <w:numPr>
        <w:ilvl w:val="5"/>
        <w:numId w:val="2"/>
      </w:numPr>
      <w:spacing w:before="200" w:after="0" w:line="240" w:lineRule="auto"/>
      <w:outlineLvl w:val="5"/>
    </w:pPr>
    <w:rPr>
      <w:rFonts w:ascii="Times New Roman" w:eastAsiaTheme="majorEastAsia" w:hAnsi="Times New Roman"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ICE Heading 1 Char"/>
    <w:basedOn w:val="DefaultParagraphFont"/>
    <w:link w:val="Heading1"/>
    <w:uiPriority w:val="9"/>
    <w:rsid w:val="00C07E4C"/>
    <w:rPr>
      <w:rFonts w:ascii="Times New Roman" w:eastAsiaTheme="majorEastAsia" w:hAnsi="Times New Roman" w:cstheme="majorBidi"/>
      <w:b/>
      <w:bCs/>
      <w:sz w:val="28"/>
      <w:szCs w:val="28"/>
    </w:rPr>
  </w:style>
  <w:style w:type="character" w:customStyle="1" w:styleId="Heading2Char">
    <w:name w:val="Heading 2 Char"/>
    <w:aliases w:val="NICE Heading 2 Char"/>
    <w:basedOn w:val="DefaultParagraphFont"/>
    <w:link w:val="Heading2"/>
    <w:uiPriority w:val="9"/>
    <w:rsid w:val="00C07E4C"/>
    <w:rPr>
      <w:rFonts w:ascii="Times New Roman" w:eastAsiaTheme="majorEastAsia" w:hAnsi="Times New Roman" w:cstheme="majorBidi"/>
      <w:b/>
      <w:bCs/>
      <w:sz w:val="24"/>
      <w:szCs w:val="26"/>
    </w:rPr>
  </w:style>
  <w:style w:type="character" w:customStyle="1" w:styleId="Heading3Char">
    <w:name w:val="Heading 3 Char"/>
    <w:aliases w:val="NICE Heading 3 Char"/>
    <w:basedOn w:val="DefaultParagraphFont"/>
    <w:link w:val="Heading3"/>
    <w:uiPriority w:val="9"/>
    <w:rsid w:val="00C07E4C"/>
    <w:rPr>
      <w:rFonts w:ascii="Times New Roman" w:eastAsiaTheme="majorEastAsia" w:hAnsi="Times New Roman" w:cstheme="majorBidi"/>
      <w:b/>
      <w:bCs/>
    </w:rPr>
  </w:style>
  <w:style w:type="character" w:customStyle="1" w:styleId="Heading4Char">
    <w:name w:val="Heading 4 Char"/>
    <w:aliases w:val="NICE Heading 4 Char"/>
    <w:basedOn w:val="DefaultParagraphFont"/>
    <w:link w:val="Heading4"/>
    <w:uiPriority w:val="9"/>
    <w:rsid w:val="00C07E4C"/>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rsid w:val="00C07E4C"/>
    <w:rPr>
      <w:rFonts w:ascii="Times New Roman" w:eastAsiaTheme="majorEastAsia" w:hAnsi="Times New Roman" w:cstheme="majorBidi"/>
      <w:b/>
      <w:bCs/>
      <w:i/>
    </w:rPr>
  </w:style>
  <w:style w:type="character" w:customStyle="1" w:styleId="Heading6Char">
    <w:name w:val="Heading 6 Char"/>
    <w:basedOn w:val="DefaultParagraphFont"/>
    <w:link w:val="Heading6"/>
    <w:uiPriority w:val="9"/>
    <w:rsid w:val="00C07E4C"/>
    <w:rPr>
      <w:rFonts w:ascii="Times New Roman" w:eastAsiaTheme="majorEastAsia" w:hAnsi="Times New Roman" w:cstheme="majorBidi"/>
      <w:bCs/>
      <w:i/>
      <w:iCs/>
    </w:rPr>
  </w:style>
  <w:style w:type="numbering" w:customStyle="1" w:styleId="Numberedheadingsscheme">
    <w:name w:val="Numbered headings scheme"/>
    <w:uiPriority w:val="99"/>
    <w:rsid w:val="00C07E4C"/>
    <w:pPr>
      <w:numPr>
        <w:numId w:val="1"/>
      </w:numPr>
    </w:pPr>
  </w:style>
  <w:style w:type="paragraph" w:customStyle="1" w:styleId="EndNoteBibliographyTitle">
    <w:name w:val="EndNote Bibliography Title"/>
    <w:basedOn w:val="Normal"/>
    <w:link w:val="EndNoteBibliographyTitleChar"/>
    <w:rsid w:val="001709A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709A3"/>
    <w:rPr>
      <w:rFonts w:ascii="Calibri" w:hAnsi="Calibri" w:cs="Calibri"/>
      <w:noProof/>
      <w:lang w:val="en-US"/>
    </w:rPr>
  </w:style>
  <w:style w:type="paragraph" w:customStyle="1" w:styleId="EndNoteBibliography">
    <w:name w:val="EndNote Bibliography"/>
    <w:basedOn w:val="Normal"/>
    <w:link w:val="EndNoteBibliographyChar"/>
    <w:rsid w:val="001709A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709A3"/>
    <w:rPr>
      <w:rFonts w:ascii="Calibri" w:hAnsi="Calibri" w:cs="Calibri"/>
      <w:noProof/>
      <w:lang w:val="en-US"/>
    </w:rPr>
  </w:style>
  <w:style w:type="character" w:styleId="Hyperlink">
    <w:name w:val="Hyperlink"/>
    <w:basedOn w:val="DefaultParagraphFont"/>
    <w:uiPriority w:val="99"/>
    <w:unhideWhenUsed/>
    <w:rsid w:val="006B41AE"/>
    <w:rPr>
      <w:color w:val="0563C1" w:themeColor="hyperlink"/>
      <w:u w:val="single"/>
    </w:rPr>
  </w:style>
  <w:style w:type="character" w:styleId="FollowedHyperlink">
    <w:name w:val="FollowedHyperlink"/>
    <w:basedOn w:val="DefaultParagraphFont"/>
    <w:uiPriority w:val="99"/>
    <w:semiHidden/>
    <w:unhideWhenUsed/>
    <w:rsid w:val="00FF7B0D"/>
    <w:rPr>
      <w:color w:val="954F72" w:themeColor="followedHyperlink"/>
      <w:u w:val="single"/>
    </w:rPr>
  </w:style>
  <w:style w:type="character" w:styleId="CommentReference">
    <w:name w:val="annotation reference"/>
    <w:basedOn w:val="DefaultParagraphFont"/>
    <w:uiPriority w:val="99"/>
    <w:semiHidden/>
    <w:unhideWhenUsed/>
    <w:rsid w:val="00284912"/>
    <w:rPr>
      <w:sz w:val="16"/>
      <w:szCs w:val="16"/>
    </w:rPr>
  </w:style>
  <w:style w:type="paragraph" w:styleId="CommentText">
    <w:name w:val="annotation text"/>
    <w:basedOn w:val="Normal"/>
    <w:link w:val="CommentTextChar"/>
    <w:uiPriority w:val="99"/>
    <w:unhideWhenUsed/>
    <w:rsid w:val="00284912"/>
    <w:pPr>
      <w:spacing w:line="240" w:lineRule="auto"/>
    </w:pPr>
    <w:rPr>
      <w:sz w:val="20"/>
      <w:szCs w:val="20"/>
    </w:rPr>
  </w:style>
  <w:style w:type="character" w:customStyle="1" w:styleId="CommentTextChar">
    <w:name w:val="Comment Text Char"/>
    <w:basedOn w:val="DefaultParagraphFont"/>
    <w:link w:val="CommentText"/>
    <w:uiPriority w:val="99"/>
    <w:rsid w:val="00284912"/>
    <w:rPr>
      <w:sz w:val="20"/>
      <w:szCs w:val="20"/>
    </w:rPr>
  </w:style>
  <w:style w:type="paragraph" w:styleId="CommentSubject">
    <w:name w:val="annotation subject"/>
    <w:basedOn w:val="CommentText"/>
    <w:next w:val="CommentText"/>
    <w:link w:val="CommentSubjectChar"/>
    <w:uiPriority w:val="99"/>
    <w:semiHidden/>
    <w:unhideWhenUsed/>
    <w:rsid w:val="00284912"/>
    <w:rPr>
      <w:b/>
      <w:bCs/>
    </w:rPr>
  </w:style>
  <w:style w:type="character" w:customStyle="1" w:styleId="CommentSubjectChar">
    <w:name w:val="Comment Subject Char"/>
    <w:basedOn w:val="CommentTextChar"/>
    <w:link w:val="CommentSubject"/>
    <w:uiPriority w:val="99"/>
    <w:semiHidden/>
    <w:rsid w:val="00284912"/>
    <w:rPr>
      <w:b/>
      <w:bCs/>
      <w:sz w:val="20"/>
      <w:szCs w:val="20"/>
    </w:rPr>
  </w:style>
  <w:style w:type="paragraph" w:styleId="BalloonText">
    <w:name w:val="Balloon Text"/>
    <w:basedOn w:val="Normal"/>
    <w:link w:val="BalloonTextChar"/>
    <w:uiPriority w:val="99"/>
    <w:semiHidden/>
    <w:unhideWhenUsed/>
    <w:rsid w:val="00284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912"/>
    <w:rPr>
      <w:rFonts w:ascii="Tahoma" w:hAnsi="Tahoma" w:cs="Tahoma"/>
      <w:sz w:val="16"/>
      <w:szCs w:val="16"/>
    </w:rPr>
  </w:style>
  <w:style w:type="paragraph" w:customStyle="1" w:styleId="Tabletext">
    <w:name w:val="Table text"/>
    <w:basedOn w:val="Normal"/>
    <w:link w:val="TabletextChar"/>
    <w:qFormat/>
    <w:rsid w:val="00A456E1"/>
    <w:pPr>
      <w:keepNext/>
      <w:spacing w:after="0" w:line="240" w:lineRule="auto"/>
    </w:pPr>
    <w:rPr>
      <w:rFonts w:ascii="Times New Roman" w:eastAsia="Times New Roman" w:hAnsi="Times New Roman" w:cs="Times New Roman"/>
      <w:sz w:val="20"/>
      <w:szCs w:val="24"/>
      <w:lang w:val="en-US"/>
    </w:rPr>
  </w:style>
  <w:style w:type="character" w:customStyle="1" w:styleId="TabletextChar">
    <w:name w:val="Table text Char"/>
    <w:link w:val="Tabletext"/>
    <w:rsid w:val="00A456E1"/>
    <w:rPr>
      <w:rFonts w:ascii="Times New Roman" w:eastAsia="Times New Roman" w:hAnsi="Times New Roman" w:cs="Times New Roman"/>
      <w:sz w:val="20"/>
      <w:szCs w:val="24"/>
      <w:lang w:val="en-US"/>
    </w:rPr>
  </w:style>
  <w:style w:type="paragraph" w:customStyle="1" w:styleId="Default">
    <w:name w:val="Default"/>
    <w:rsid w:val="00A27389"/>
    <w:pPr>
      <w:autoSpaceDE w:val="0"/>
      <w:autoSpaceDN w:val="0"/>
      <w:adjustRightInd w:val="0"/>
      <w:spacing w:after="0" w:line="240" w:lineRule="auto"/>
    </w:pPr>
    <w:rPr>
      <w:rFonts w:ascii="Arial" w:hAnsi="Arial" w:cs="Arial"/>
      <w:color w:val="000000"/>
      <w:sz w:val="24"/>
      <w:szCs w:val="24"/>
    </w:rPr>
  </w:style>
  <w:style w:type="character" w:customStyle="1" w:styleId="AIC">
    <w:name w:val="AIC"/>
    <w:basedOn w:val="DefaultParagraphFont"/>
    <w:uiPriority w:val="1"/>
    <w:rsid w:val="001E1FD7"/>
    <w:rPr>
      <w:u w:val="single"/>
      <w:bdr w:val="none" w:sz="0" w:space="0" w:color="auto"/>
      <w:shd w:val="clear" w:color="auto" w:fill="FFFF00"/>
    </w:rPr>
  </w:style>
  <w:style w:type="paragraph" w:styleId="BodyText">
    <w:name w:val="Body Text"/>
    <w:basedOn w:val="Normal"/>
    <w:link w:val="BodyTextChar"/>
    <w:uiPriority w:val="99"/>
    <w:unhideWhenUsed/>
    <w:rsid w:val="001E1FD7"/>
    <w:pPr>
      <w:spacing w:before="120" w:after="120" w:line="360" w:lineRule="auto"/>
    </w:pPr>
    <w:rPr>
      <w:rFonts w:ascii="Times New Roman" w:eastAsiaTheme="minorEastAsia" w:hAnsi="Times New Roman"/>
    </w:rPr>
  </w:style>
  <w:style w:type="character" w:customStyle="1" w:styleId="BodyTextChar">
    <w:name w:val="Body Text Char"/>
    <w:basedOn w:val="DefaultParagraphFont"/>
    <w:link w:val="BodyText"/>
    <w:uiPriority w:val="99"/>
    <w:rsid w:val="001E1FD7"/>
    <w:rPr>
      <w:rFonts w:ascii="Times New Roman" w:eastAsiaTheme="minorEastAsia" w:hAnsi="Times New Roman"/>
    </w:rPr>
  </w:style>
  <w:style w:type="paragraph" w:styleId="ListParagraph">
    <w:name w:val="List Paragraph"/>
    <w:basedOn w:val="Normal"/>
    <w:link w:val="ListParagraphChar"/>
    <w:uiPriority w:val="34"/>
    <w:qFormat/>
    <w:rsid w:val="005719CD"/>
    <w:pPr>
      <w:ind w:left="720"/>
      <w:contextualSpacing/>
    </w:pPr>
  </w:style>
  <w:style w:type="character" w:customStyle="1" w:styleId="ListParagraphChar">
    <w:name w:val="List Paragraph Char"/>
    <w:link w:val="ListParagraph"/>
    <w:uiPriority w:val="34"/>
    <w:rsid w:val="005719CD"/>
  </w:style>
  <w:style w:type="table" w:styleId="TableGrid">
    <w:name w:val="Table Grid"/>
    <w:basedOn w:val="TableNormal"/>
    <w:uiPriority w:val="39"/>
    <w:rsid w:val="00346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C">
    <w:name w:val="CIC"/>
    <w:basedOn w:val="AIC"/>
    <w:uiPriority w:val="1"/>
    <w:rsid w:val="00637CBC"/>
    <w:rPr>
      <w:rFonts w:ascii="Times New Roman" w:hAnsi="Times New Roman"/>
      <w:u w:val="single"/>
      <w:bdr w:val="none" w:sz="0" w:space="0" w:color="auto"/>
      <w:shd w:val="clear" w:color="auto" w:fill="24F7FC"/>
    </w:rPr>
  </w:style>
  <w:style w:type="paragraph" w:styleId="Caption">
    <w:name w:val="caption"/>
    <w:basedOn w:val="Normal"/>
    <w:next w:val="Normal"/>
    <w:uiPriority w:val="35"/>
    <w:unhideWhenUsed/>
    <w:qFormat/>
    <w:rsid w:val="00442773"/>
    <w:pPr>
      <w:spacing w:after="200" w:line="240" w:lineRule="auto"/>
    </w:pPr>
    <w:rPr>
      <w:i/>
      <w:iCs/>
      <w:color w:val="44546A" w:themeColor="text2"/>
      <w:sz w:val="18"/>
      <w:szCs w:val="18"/>
    </w:rPr>
  </w:style>
  <w:style w:type="paragraph" w:styleId="Revision">
    <w:name w:val="Revision"/>
    <w:hidden/>
    <w:uiPriority w:val="99"/>
    <w:semiHidden/>
    <w:rsid w:val="00E762FD"/>
    <w:pPr>
      <w:spacing w:after="0" w:line="240" w:lineRule="auto"/>
    </w:pPr>
  </w:style>
  <w:style w:type="character" w:customStyle="1" w:styleId="tgc">
    <w:name w:val="_tgc"/>
    <w:basedOn w:val="DefaultParagraphFont"/>
    <w:rsid w:val="00410F3A"/>
  </w:style>
  <w:style w:type="paragraph" w:styleId="NormalWeb">
    <w:name w:val="Normal (Web)"/>
    <w:basedOn w:val="Normal"/>
    <w:uiPriority w:val="99"/>
    <w:semiHidden/>
    <w:unhideWhenUsed/>
    <w:rsid w:val="00E867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F1D07"/>
    <w:rPr>
      <w:color w:val="808080"/>
      <w:shd w:val="clear" w:color="auto" w:fill="E6E6E6"/>
    </w:rPr>
  </w:style>
  <w:style w:type="paragraph" w:styleId="Header">
    <w:name w:val="header"/>
    <w:basedOn w:val="Normal"/>
    <w:link w:val="HeaderChar"/>
    <w:uiPriority w:val="99"/>
    <w:unhideWhenUsed/>
    <w:rsid w:val="00EC6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5F6"/>
  </w:style>
  <w:style w:type="paragraph" w:styleId="Footer">
    <w:name w:val="footer"/>
    <w:basedOn w:val="Normal"/>
    <w:link w:val="FooterChar"/>
    <w:uiPriority w:val="99"/>
    <w:unhideWhenUsed/>
    <w:rsid w:val="00EC6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041769">
      <w:bodyDiv w:val="1"/>
      <w:marLeft w:val="0"/>
      <w:marRight w:val="0"/>
      <w:marTop w:val="0"/>
      <w:marBottom w:val="0"/>
      <w:divBdr>
        <w:top w:val="none" w:sz="0" w:space="0" w:color="auto"/>
        <w:left w:val="none" w:sz="0" w:space="0" w:color="auto"/>
        <w:bottom w:val="none" w:sz="0" w:space="0" w:color="auto"/>
        <w:right w:val="none" w:sz="0" w:space="0" w:color="auto"/>
      </w:divBdr>
      <w:divsChild>
        <w:div w:id="238297298">
          <w:marLeft w:val="0"/>
          <w:marRight w:val="0"/>
          <w:marTop w:val="0"/>
          <w:marBottom w:val="0"/>
          <w:divBdr>
            <w:top w:val="none" w:sz="0" w:space="0" w:color="auto"/>
            <w:left w:val="none" w:sz="0" w:space="0" w:color="auto"/>
            <w:bottom w:val="none" w:sz="0" w:space="0" w:color="auto"/>
            <w:right w:val="none" w:sz="0" w:space="0" w:color="auto"/>
          </w:divBdr>
        </w:div>
        <w:div w:id="351610688">
          <w:marLeft w:val="0"/>
          <w:marRight w:val="0"/>
          <w:marTop w:val="0"/>
          <w:marBottom w:val="0"/>
          <w:divBdr>
            <w:top w:val="none" w:sz="0" w:space="0" w:color="auto"/>
            <w:left w:val="none" w:sz="0" w:space="0" w:color="auto"/>
            <w:bottom w:val="none" w:sz="0" w:space="0" w:color="auto"/>
            <w:right w:val="none" w:sz="0" w:space="0" w:color="auto"/>
          </w:divBdr>
        </w:div>
        <w:div w:id="435946396">
          <w:marLeft w:val="0"/>
          <w:marRight w:val="0"/>
          <w:marTop w:val="0"/>
          <w:marBottom w:val="0"/>
          <w:divBdr>
            <w:top w:val="none" w:sz="0" w:space="0" w:color="auto"/>
            <w:left w:val="none" w:sz="0" w:space="0" w:color="auto"/>
            <w:bottom w:val="none" w:sz="0" w:space="0" w:color="auto"/>
            <w:right w:val="none" w:sz="0" w:space="0" w:color="auto"/>
          </w:divBdr>
        </w:div>
        <w:div w:id="575094665">
          <w:marLeft w:val="0"/>
          <w:marRight w:val="0"/>
          <w:marTop w:val="0"/>
          <w:marBottom w:val="0"/>
          <w:divBdr>
            <w:top w:val="none" w:sz="0" w:space="0" w:color="auto"/>
            <w:left w:val="none" w:sz="0" w:space="0" w:color="auto"/>
            <w:bottom w:val="none" w:sz="0" w:space="0" w:color="auto"/>
            <w:right w:val="none" w:sz="0" w:space="0" w:color="auto"/>
          </w:divBdr>
        </w:div>
        <w:div w:id="627861974">
          <w:marLeft w:val="0"/>
          <w:marRight w:val="0"/>
          <w:marTop w:val="0"/>
          <w:marBottom w:val="0"/>
          <w:divBdr>
            <w:top w:val="none" w:sz="0" w:space="0" w:color="auto"/>
            <w:left w:val="none" w:sz="0" w:space="0" w:color="auto"/>
            <w:bottom w:val="none" w:sz="0" w:space="0" w:color="auto"/>
            <w:right w:val="none" w:sz="0" w:space="0" w:color="auto"/>
          </w:divBdr>
        </w:div>
        <w:div w:id="817961772">
          <w:marLeft w:val="0"/>
          <w:marRight w:val="0"/>
          <w:marTop w:val="0"/>
          <w:marBottom w:val="0"/>
          <w:divBdr>
            <w:top w:val="none" w:sz="0" w:space="0" w:color="auto"/>
            <w:left w:val="none" w:sz="0" w:space="0" w:color="auto"/>
            <w:bottom w:val="none" w:sz="0" w:space="0" w:color="auto"/>
            <w:right w:val="none" w:sz="0" w:space="0" w:color="auto"/>
          </w:divBdr>
        </w:div>
        <w:div w:id="1238899144">
          <w:marLeft w:val="0"/>
          <w:marRight w:val="0"/>
          <w:marTop w:val="0"/>
          <w:marBottom w:val="0"/>
          <w:divBdr>
            <w:top w:val="none" w:sz="0" w:space="0" w:color="auto"/>
            <w:left w:val="none" w:sz="0" w:space="0" w:color="auto"/>
            <w:bottom w:val="none" w:sz="0" w:space="0" w:color="auto"/>
            <w:right w:val="none" w:sz="0" w:space="0" w:color="auto"/>
          </w:divBdr>
        </w:div>
        <w:div w:id="1393045055">
          <w:marLeft w:val="0"/>
          <w:marRight w:val="0"/>
          <w:marTop w:val="0"/>
          <w:marBottom w:val="0"/>
          <w:divBdr>
            <w:top w:val="none" w:sz="0" w:space="0" w:color="auto"/>
            <w:left w:val="none" w:sz="0" w:space="0" w:color="auto"/>
            <w:bottom w:val="none" w:sz="0" w:space="0" w:color="auto"/>
            <w:right w:val="none" w:sz="0" w:space="0" w:color="auto"/>
          </w:divBdr>
        </w:div>
        <w:div w:id="1547833266">
          <w:marLeft w:val="0"/>
          <w:marRight w:val="0"/>
          <w:marTop w:val="0"/>
          <w:marBottom w:val="0"/>
          <w:divBdr>
            <w:top w:val="none" w:sz="0" w:space="0" w:color="auto"/>
            <w:left w:val="none" w:sz="0" w:space="0" w:color="auto"/>
            <w:bottom w:val="none" w:sz="0" w:space="0" w:color="auto"/>
            <w:right w:val="none" w:sz="0" w:space="0" w:color="auto"/>
          </w:divBdr>
        </w:div>
        <w:div w:id="1712610779">
          <w:marLeft w:val="0"/>
          <w:marRight w:val="0"/>
          <w:marTop w:val="0"/>
          <w:marBottom w:val="0"/>
          <w:divBdr>
            <w:top w:val="none" w:sz="0" w:space="0" w:color="auto"/>
            <w:left w:val="none" w:sz="0" w:space="0" w:color="auto"/>
            <w:bottom w:val="none" w:sz="0" w:space="0" w:color="auto"/>
            <w:right w:val="none" w:sz="0" w:space="0" w:color="auto"/>
          </w:divBdr>
        </w:div>
      </w:divsChild>
    </w:div>
    <w:div w:id="840119924">
      <w:bodyDiv w:val="1"/>
      <w:marLeft w:val="0"/>
      <w:marRight w:val="0"/>
      <w:marTop w:val="0"/>
      <w:marBottom w:val="0"/>
      <w:divBdr>
        <w:top w:val="none" w:sz="0" w:space="0" w:color="auto"/>
        <w:left w:val="none" w:sz="0" w:space="0" w:color="auto"/>
        <w:bottom w:val="none" w:sz="0" w:space="0" w:color="auto"/>
        <w:right w:val="none" w:sz="0" w:space="0" w:color="auto"/>
      </w:divBdr>
      <w:divsChild>
        <w:div w:id="690031362">
          <w:marLeft w:val="0"/>
          <w:marRight w:val="0"/>
          <w:marTop w:val="0"/>
          <w:marBottom w:val="0"/>
          <w:divBdr>
            <w:top w:val="none" w:sz="0" w:space="0" w:color="auto"/>
            <w:left w:val="none" w:sz="0" w:space="0" w:color="auto"/>
            <w:bottom w:val="none" w:sz="0" w:space="0" w:color="auto"/>
            <w:right w:val="none" w:sz="0" w:space="0" w:color="auto"/>
          </w:divBdr>
        </w:div>
        <w:div w:id="1034235632">
          <w:marLeft w:val="0"/>
          <w:marRight w:val="0"/>
          <w:marTop w:val="0"/>
          <w:marBottom w:val="0"/>
          <w:divBdr>
            <w:top w:val="none" w:sz="0" w:space="0" w:color="auto"/>
            <w:left w:val="none" w:sz="0" w:space="0" w:color="auto"/>
            <w:bottom w:val="none" w:sz="0" w:space="0" w:color="auto"/>
            <w:right w:val="none" w:sz="0" w:space="0" w:color="auto"/>
          </w:divBdr>
        </w:div>
        <w:div w:id="1091703093">
          <w:marLeft w:val="0"/>
          <w:marRight w:val="0"/>
          <w:marTop w:val="0"/>
          <w:marBottom w:val="0"/>
          <w:divBdr>
            <w:top w:val="none" w:sz="0" w:space="0" w:color="auto"/>
            <w:left w:val="none" w:sz="0" w:space="0" w:color="auto"/>
            <w:bottom w:val="none" w:sz="0" w:space="0" w:color="auto"/>
            <w:right w:val="none" w:sz="0" w:space="0" w:color="auto"/>
          </w:divBdr>
        </w:div>
        <w:div w:id="1699236527">
          <w:marLeft w:val="0"/>
          <w:marRight w:val="0"/>
          <w:marTop w:val="0"/>
          <w:marBottom w:val="0"/>
          <w:divBdr>
            <w:top w:val="none" w:sz="0" w:space="0" w:color="auto"/>
            <w:left w:val="none" w:sz="0" w:space="0" w:color="auto"/>
            <w:bottom w:val="none" w:sz="0" w:space="0" w:color="auto"/>
            <w:right w:val="none" w:sz="0" w:space="0" w:color="auto"/>
          </w:divBdr>
        </w:div>
      </w:divsChild>
    </w:div>
    <w:div w:id="1671524128">
      <w:bodyDiv w:val="1"/>
      <w:marLeft w:val="0"/>
      <w:marRight w:val="0"/>
      <w:marTop w:val="0"/>
      <w:marBottom w:val="0"/>
      <w:divBdr>
        <w:top w:val="none" w:sz="0" w:space="0" w:color="auto"/>
        <w:left w:val="none" w:sz="0" w:space="0" w:color="auto"/>
        <w:bottom w:val="none" w:sz="0" w:space="0" w:color="auto"/>
        <w:right w:val="none" w:sz="0" w:space="0" w:color="auto"/>
      </w:divBdr>
      <w:divsChild>
        <w:div w:id="126364489">
          <w:marLeft w:val="0"/>
          <w:marRight w:val="0"/>
          <w:marTop w:val="0"/>
          <w:marBottom w:val="0"/>
          <w:divBdr>
            <w:top w:val="none" w:sz="0" w:space="0" w:color="auto"/>
            <w:left w:val="none" w:sz="0" w:space="0" w:color="auto"/>
            <w:bottom w:val="none" w:sz="0" w:space="0" w:color="auto"/>
            <w:right w:val="none" w:sz="0" w:space="0" w:color="auto"/>
          </w:divBdr>
        </w:div>
        <w:div w:id="142739116">
          <w:marLeft w:val="0"/>
          <w:marRight w:val="0"/>
          <w:marTop w:val="0"/>
          <w:marBottom w:val="0"/>
          <w:divBdr>
            <w:top w:val="none" w:sz="0" w:space="0" w:color="auto"/>
            <w:left w:val="none" w:sz="0" w:space="0" w:color="auto"/>
            <w:bottom w:val="none" w:sz="0" w:space="0" w:color="auto"/>
            <w:right w:val="none" w:sz="0" w:space="0" w:color="auto"/>
          </w:divBdr>
        </w:div>
        <w:div w:id="149291435">
          <w:marLeft w:val="0"/>
          <w:marRight w:val="0"/>
          <w:marTop w:val="0"/>
          <w:marBottom w:val="0"/>
          <w:divBdr>
            <w:top w:val="none" w:sz="0" w:space="0" w:color="auto"/>
            <w:left w:val="none" w:sz="0" w:space="0" w:color="auto"/>
            <w:bottom w:val="none" w:sz="0" w:space="0" w:color="auto"/>
            <w:right w:val="none" w:sz="0" w:space="0" w:color="auto"/>
          </w:divBdr>
        </w:div>
        <w:div w:id="360057365">
          <w:marLeft w:val="0"/>
          <w:marRight w:val="0"/>
          <w:marTop w:val="0"/>
          <w:marBottom w:val="0"/>
          <w:divBdr>
            <w:top w:val="none" w:sz="0" w:space="0" w:color="auto"/>
            <w:left w:val="none" w:sz="0" w:space="0" w:color="auto"/>
            <w:bottom w:val="none" w:sz="0" w:space="0" w:color="auto"/>
            <w:right w:val="none" w:sz="0" w:space="0" w:color="auto"/>
          </w:divBdr>
        </w:div>
        <w:div w:id="458763557">
          <w:marLeft w:val="0"/>
          <w:marRight w:val="0"/>
          <w:marTop w:val="0"/>
          <w:marBottom w:val="0"/>
          <w:divBdr>
            <w:top w:val="none" w:sz="0" w:space="0" w:color="auto"/>
            <w:left w:val="none" w:sz="0" w:space="0" w:color="auto"/>
            <w:bottom w:val="none" w:sz="0" w:space="0" w:color="auto"/>
            <w:right w:val="none" w:sz="0" w:space="0" w:color="auto"/>
          </w:divBdr>
        </w:div>
        <w:div w:id="484973499">
          <w:marLeft w:val="0"/>
          <w:marRight w:val="0"/>
          <w:marTop w:val="0"/>
          <w:marBottom w:val="0"/>
          <w:divBdr>
            <w:top w:val="none" w:sz="0" w:space="0" w:color="auto"/>
            <w:left w:val="none" w:sz="0" w:space="0" w:color="auto"/>
            <w:bottom w:val="none" w:sz="0" w:space="0" w:color="auto"/>
            <w:right w:val="none" w:sz="0" w:space="0" w:color="auto"/>
          </w:divBdr>
        </w:div>
        <w:div w:id="595332249">
          <w:marLeft w:val="0"/>
          <w:marRight w:val="0"/>
          <w:marTop w:val="0"/>
          <w:marBottom w:val="0"/>
          <w:divBdr>
            <w:top w:val="none" w:sz="0" w:space="0" w:color="auto"/>
            <w:left w:val="none" w:sz="0" w:space="0" w:color="auto"/>
            <w:bottom w:val="none" w:sz="0" w:space="0" w:color="auto"/>
            <w:right w:val="none" w:sz="0" w:space="0" w:color="auto"/>
          </w:divBdr>
        </w:div>
        <w:div w:id="1379235939">
          <w:marLeft w:val="0"/>
          <w:marRight w:val="0"/>
          <w:marTop w:val="0"/>
          <w:marBottom w:val="0"/>
          <w:divBdr>
            <w:top w:val="none" w:sz="0" w:space="0" w:color="auto"/>
            <w:left w:val="none" w:sz="0" w:space="0" w:color="auto"/>
            <w:bottom w:val="none" w:sz="0" w:space="0" w:color="auto"/>
            <w:right w:val="none" w:sz="0" w:space="0" w:color="auto"/>
          </w:divBdr>
        </w:div>
        <w:div w:id="1408961991">
          <w:marLeft w:val="0"/>
          <w:marRight w:val="0"/>
          <w:marTop w:val="0"/>
          <w:marBottom w:val="0"/>
          <w:divBdr>
            <w:top w:val="none" w:sz="0" w:space="0" w:color="auto"/>
            <w:left w:val="none" w:sz="0" w:space="0" w:color="auto"/>
            <w:bottom w:val="none" w:sz="0" w:space="0" w:color="auto"/>
            <w:right w:val="none" w:sz="0" w:space="0" w:color="auto"/>
          </w:divBdr>
        </w:div>
        <w:div w:id="1414081679">
          <w:marLeft w:val="0"/>
          <w:marRight w:val="0"/>
          <w:marTop w:val="0"/>
          <w:marBottom w:val="0"/>
          <w:divBdr>
            <w:top w:val="none" w:sz="0" w:space="0" w:color="auto"/>
            <w:left w:val="none" w:sz="0" w:space="0" w:color="auto"/>
            <w:bottom w:val="none" w:sz="0" w:space="0" w:color="auto"/>
            <w:right w:val="none" w:sz="0" w:space="0" w:color="auto"/>
          </w:divBdr>
        </w:div>
        <w:div w:id="1611888131">
          <w:marLeft w:val="0"/>
          <w:marRight w:val="0"/>
          <w:marTop w:val="0"/>
          <w:marBottom w:val="0"/>
          <w:divBdr>
            <w:top w:val="none" w:sz="0" w:space="0" w:color="auto"/>
            <w:left w:val="none" w:sz="0" w:space="0" w:color="auto"/>
            <w:bottom w:val="none" w:sz="0" w:space="0" w:color="auto"/>
            <w:right w:val="none" w:sz="0" w:space="0" w:color="auto"/>
          </w:divBdr>
        </w:div>
        <w:div w:id="1857452651">
          <w:marLeft w:val="0"/>
          <w:marRight w:val="0"/>
          <w:marTop w:val="0"/>
          <w:marBottom w:val="0"/>
          <w:divBdr>
            <w:top w:val="none" w:sz="0" w:space="0" w:color="auto"/>
            <w:left w:val="none" w:sz="0" w:space="0" w:color="auto"/>
            <w:bottom w:val="none" w:sz="0" w:space="0" w:color="auto"/>
            <w:right w:val="none" w:sz="0" w:space="0" w:color="auto"/>
          </w:divBdr>
        </w:div>
        <w:div w:id="1957903521">
          <w:marLeft w:val="0"/>
          <w:marRight w:val="0"/>
          <w:marTop w:val="0"/>
          <w:marBottom w:val="0"/>
          <w:divBdr>
            <w:top w:val="none" w:sz="0" w:space="0" w:color="auto"/>
            <w:left w:val="none" w:sz="0" w:space="0" w:color="auto"/>
            <w:bottom w:val="none" w:sz="0" w:space="0" w:color="auto"/>
            <w:right w:val="none" w:sz="0" w:space="0" w:color="auto"/>
          </w:divBdr>
        </w:div>
        <w:div w:id="2008092749">
          <w:marLeft w:val="0"/>
          <w:marRight w:val="0"/>
          <w:marTop w:val="0"/>
          <w:marBottom w:val="0"/>
          <w:divBdr>
            <w:top w:val="none" w:sz="0" w:space="0" w:color="auto"/>
            <w:left w:val="none" w:sz="0" w:space="0" w:color="auto"/>
            <w:bottom w:val="none" w:sz="0" w:space="0" w:color="auto"/>
            <w:right w:val="none" w:sz="0" w:space="0" w:color="auto"/>
          </w:divBdr>
        </w:div>
        <w:div w:id="2077898146">
          <w:marLeft w:val="0"/>
          <w:marRight w:val="0"/>
          <w:marTop w:val="0"/>
          <w:marBottom w:val="0"/>
          <w:divBdr>
            <w:top w:val="none" w:sz="0" w:space="0" w:color="auto"/>
            <w:left w:val="none" w:sz="0" w:space="0" w:color="auto"/>
            <w:bottom w:val="none" w:sz="0" w:space="0" w:color="auto"/>
            <w:right w:val="none" w:sz="0" w:space="0" w:color="auto"/>
          </w:divBdr>
        </w:div>
      </w:divsChild>
    </w:div>
    <w:div w:id="1702707882">
      <w:bodyDiv w:val="1"/>
      <w:marLeft w:val="0"/>
      <w:marRight w:val="0"/>
      <w:marTop w:val="0"/>
      <w:marBottom w:val="0"/>
      <w:divBdr>
        <w:top w:val="none" w:sz="0" w:space="0" w:color="auto"/>
        <w:left w:val="none" w:sz="0" w:space="0" w:color="auto"/>
        <w:bottom w:val="none" w:sz="0" w:space="0" w:color="auto"/>
        <w:right w:val="none" w:sz="0" w:space="0" w:color="auto"/>
      </w:divBdr>
      <w:divsChild>
        <w:div w:id="567305111">
          <w:marLeft w:val="0"/>
          <w:marRight w:val="0"/>
          <w:marTop w:val="0"/>
          <w:marBottom w:val="0"/>
          <w:divBdr>
            <w:top w:val="none" w:sz="0" w:space="0" w:color="auto"/>
            <w:left w:val="none" w:sz="0" w:space="0" w:color="auto"/>
            <w:bottom w:val="none" w:sz="0" w:space="0" w:color="auto"/>
            <w:right w:val="none" w:sz="0" w:space="0" w:color="auto"/>
          </w:divBdr>
        </w:div>
        <w:div w:id="573704087">
          <w:marLeft w:val="0"/>
          <w:marRight w:val="0"/>
          <w:marTop w:val="0"/>
          <w:marBottom w:val="0"/>
          <w:divBdr>
            <w:top w:val="none" w:sz="0" w:space="0" w:color="auto"/>
            <w:left w:val="none" w:sz="0" w:space="0" w:color="auto"/>
            <w:bottom w:val="none" w:sz="0" w:space="0" w:color="auto"/>
            <w:right w:val="none" w:sz="0" w:space="0" w:color="auto"/>
          </w:divBdr>
        </w:div>
        <w:div w:id="680665972">
          <w:marLeft w:val="0"/>
          <w:marRight w:val="0"/>
          <w:marTop w:val="0"/>
          <w:marBottom w:val="0"/>
          <w:divBdr>
            <w:top w:val="none" w:sz="0" w:space="0" w:color="auto"/>
            <w:left w:val="none" w:sz="0" w:space="0" w:color="auto"/>
            <w:bottom w:val="none" w:sz="0" w:space="0" w:color="auto"/>
            <w:right w:val="none" w:sz="0" w:space="0" w:color="auto"/>
          </w:divBdr>
        </w:div>
        <w:div w:id="936408670">
          <w:marLeft w:val="0"/>
          <w:marRight w:val="0"/>
          <w:marTop w:val="0"/>
          <w:marBottom w:val="0"/>
          <w:divBdr>
            <w:top w:val="none" w:sz="0" w:space="0" w:color="auto"/>
            <w:left w:val="none" w:sz="0" w:space="0" w:color="auto"/>
            <w:bottom w:val="none" w:sz="0" w:space="0" w:color="auto"/>
            <w:right w:val="none" w:sz="0" w:space="0" w:color="auto"/>
          </w:divBdr>
        </w:div>
        <w:div w:id="1188567160">
          <w:marLeft w:val="0"/>
          <w:marRight w:val="0"/>
          <w:marTop w:val="0"/>
          <w:marBottom w:val="0"/>
          <w:divBdr>
            <w:top w:val="none" w:sz="0" w:space="0" w:color="auto"/>
            <w:left w:val="none" w:sz="0" w:space="0" w:color="auto"/>
            <w:bottom w:val="none" w:sz="0" w:space="0" w:color="auto"/>
            <w:right w:val="none" w:sz="0" w:space="0" w:color="auto"/>
          </w:divBdr>
        </w:div>
        <w:div w:id="1212379157">
          <w:marLeft w:val="0"/>
          <w:marRight w:val="0"/>
          <w:marTop w:val="0"/>
          <w:marBottom w:val="0"/>
          <w:divBdr>
            <w:top w:val="none" w:sz="0" w:space="0" w:color="auto"/>
            <w:left w:val="none" w:sz="0" w:space="0" w:color="auto"/>
            <w:bottom w:val="none" w:sz="0" w:space="0" w:color="auto"/>
            <w:right w:val="none" w:sz="0" w:space="0" w:color="auto"/>
          </w:divBdr>
        </w:div>
        <w:div w:id="1222330439">
          <w:marLeft w:val="0"/>
          <w:marRight w:val="0"/>
          <w:marTop w:val="0"/>
          <w:marBottom w:val="0"/>
          <w:divBdr>
            <w:top w:val="none" w:sz="0" w:space="0" w:color="auto"/>
            <w:left w:val="none" w:sz="0" w:space="0" w:color="auto"/>
            <w:bottom w:val="none" w:sz="0" w:space="0" w:color="auto"/>
            <w:right w:val="none" w:sz="0" w:space="0" w:color="auto"/>
          </w:divBdr>
        </w:div>
        <w:div w:id="1389381966">
          <w:marLeft w:val="0"/>
          <w:marRight w:val="0"/>
          <w:marTop w:val="0"/>
          <w:marBottom w:val="0"/>
          <w:divBdr>
            <w:top w:val="none" w:sz="0" w:space="0" w:color="auto"/>
            <w:left w:val="none" w:sz="0" w:space="0" w:color="auto"/>
            <w:bottom w:val="none" w:sz="0" w:space="0" w:color="auto"/>
            <w:right w:val="none" w:sz="0" w:space="0" w:color="auto"/>
          </w:divBdr>
        </w:div>
        <w:div w:id="1832941935">
          <w:marLeft w:val="0"/>
          <w:marRight w:val="0"/>
          <w:marTop w:val="0"/>
          <w:marBottom w:val="0"/>
          <w:divBdr>
            <w:top w:val="none" w:sz="0" w:space="0" w:color="auto"/>
            <w:left w:val="none" w:sz="0" w:space="0" w:color="auto"/>
            <w:bottom w:val="none" w:sz="0" w:space="0" w:color="auto"/>
            <w:right w:val="none" w:sz="0" w:space="0" w:color="auto"/>
          </w:divBdr>
        </w:div>
        <w:div w:id="2005627477">
          <w:marLeft w:val="0"/>
          <w:marRight w:val="0"/>
          <w:marTop w:val="0"/>
          <w:marBottom w:val="0"/>
          <w:divBdr>
            <w:top w:val="none" w:sz="0" w:space="0" w:color="auto"/>
            <w:left w:val="none" w:sz="0" w:space="0" w:color="auto"/>
            <w:bottom w:val="none" w:sz="0" w:space="0" w:color="auto"/>
            <w:right w:val="none" w:sz="0" w:space="0" w:color="auto"/>
          </w:divBdr>
        </w:div>
      </w:divsChild>
    </w:div>
    <w:div w:id="1751806766">
      <w:bodyDiv w:val="1"/>
      <w:marLeft w:val="0"/>
      <w:marRight w:val="0"/>
      <w:marTop w:val="0"/>
      <w:marBottom w:val="0"/>
      <w:divBdr>
        <w:top w:val="none" w:sz="0" w:space="0" w:color="auto"/>
        <w:left w:val="none" w:sz="0" w:space="0" w:color="auto"/>
        <w:bottom w:val="none" w:sz="0" w:space="0" w:color="auto"/>
        <w:right w:val="none" w:sz="0" w:space="0" w:color="auto"/>
      </w:divBdr>
    </w:div>
    <w:div w:id="1913542025">
      <w:bodyDiv w:val="1"/>
      <w:marLeft w:val="0"/>
      <w:marRight w:val="0"/>
      <w:marTop w:val="0"/>
      <w:marBottom w:val="0"/>
      <w:divBdr>
        <w:top w:val="none" w:sz="0" w:space="0" w:color="auto"/>
        <w:left w:val="none" w:sz="0" w:space="0" w:color="auto"/>
        <w:bottom w:val="none" w:sz="0" w:space="0" w:color="auto"/>
        <w:right w:val="none" w:sz="0" w:space="0" w:color="auto"/>
      </w:divBdr>
      <w:divsChild>
        <w:div w:id="142083407">
          <w:marLeft w:val="0"/>
          <w:marRight w:val="0"/>
          <w:marTop w:val="0"/>
          <w:marBottom w:val="0"/>
          <w:divBdr>
            <w:top w:val="none" w:sz="0" w:space="0" w:color="auto"/>
            <w:left w:val="none" w:sz="0" w:space="0" w:color="auto"/>
            <w:bottom w:val="none" w:sz="0" w:space="0" w:color="auto"/>
            <w:right w:val="none" w:sz="0" w:space="0" w:color="auto"/>
          </w:divBdr>
        </w:div>
        <w:div w:id="506143005">
          <w:marLeft w:val="0"/>
          <w:marRight w:val="0"/>
          <w:marTop w:val="0"/>
          <w:marBottom w:val="0"/>
          <w:divBdr>
            <w:top w:val="none" w:sz="0" w:space="0" w:color="auto"/>
            <w:left w:val="none" w:sz="0" w:space="0" w:color="auto"/>
            <w:bottom w:val="none" w:sz="0" w:space="0" w:color="auto"/>
            <w:right w:val="none" w:sz="0" w:space="0" w:color="auto"/>
          </w:divBdr>
        </w:div>
        <w:div w:id="549153011">
          <w:marLeft w:val="0"/>
          <w:marRight w:val="0"/>
          <w:marTop w:val="0"/>
          <w:marBottom w:val="0"/>
          <w:divBdr>
            <w:top w:val="none" w:sz="0" w:space="0" w:color="auto"/>
            <w:left w:val="none" w:sz="0" w:space="0" w:color="auto"/>
            <w:bottom w:val="none" w:sz="0" w:space="0" w:color="auto"/>
            <w:right w:val="none" w:sz="0" w:space="0" w:color="auto"/>
          </w:divBdr>
        </w:div>
        <w:div w:id="882516912">
          <w:marLeft w:val="0"/>
          <w:marRight w:val="0"/>
          <w:marTop w:val="0"/>
          <w:marBottom w:val="0"/>
          <w:divBdr>
            <w:top w:val="none" w:sz="0" w:space="0" w:color="auto"/>
            <w:left w:val="none" w:sz="0" w:space="0" w:color="auto"/>
            <w:bottom w:val="none" w:sz="0" w:space="0" w:color="auto"/>
            <w:right w:val="none" w:sz="0" w:space="0" w:color="auto"/>
          </w:divBdr>
        </w:div>
        <w:div w:id="891234651">
          <w:marLeft w:val="0"/>
          <w:marRight w:val="0"/>
          <w:marTop w:val="0"/>
          <w:marBottom w:val="0"/>
          <w:divBdr>
            <w:top w:val="none" w:sz="0" w:space="0" w:color="auto"/>
            <w:left w:val="none" w:sz="0" w:space="0" w:color="auto"/>
            <w:bottom w:val="none" w:sz="0" w:space="0" w:color="auto"/>
            <w:right w:val="none" w:sz="0" w:space="0" w:color="auto"/>
          </w:divBdr>
        </w:div>
        <w:div w:id="1021318488">
          <w:marLeft w:val="0"/>
          <w:marRight w:val="0"/>
          <w:marTop w:val="0"/>
          <w:marBottom w:val="0"/>
          <w:divBdr>
            <w:top w:val="none" w:sz="0" w:space="0" w:color="auto"/>
            <w:left w:val="none" w:sz="0" w:space="0" w:color="auto"/>
            <w:bottom w:val="none" w:sz="0" w:space="0" w:color="auto"/>
            <w:right w:val="none" w:sz="0" w:space="0" w:color="auto"/>
          </w:divBdr>
        </w:div>
        <w:div w:id="1192760715">
          <w:marLeft w:val="0"/>
          <w:marRight w:val="0"/>
          <w:marTop w:val="0"/>
          <w:marBottom w:val="0"/>
          <w:divBdr>
            <w:top w:val="none" w:sz="0" w:space="0" w:color="auto"/>
            <w:left w:val="none" w:sz="0" w:space="0" w:color="auto"/>
            <w:bottom w:val="none" w:sz="0" w:space="0" w:color="auto"/>
            <w:right w:val="none" w:sz="0" w:space="0" w:color="auto"/>
          </w:divBdr>
        </w:div>
        <w:div w:id="1342972143">
          <w:marLeft w:val="0"/>
          <w:marRight w:val="0"/>
          <w:marTop w:val="0"/>
          <w:marBottom w:val="0"/>
          <w:divBdr>
            <w:top w:val="none" w:sz="0" w:space="0" w:color="auto"/>
            <w:left w:val="none" w:sz="0" w:space="0" w:color="auto"/>
            <w:bottom w:val="none" w:sz="0" w:space="0" w:color="auto"/>
            <w:right w:val="none" w:sz="0" w:space="0" w:color="auto"/>
          </w:divBdr>
        </w:div>
        <w:div w:id="1409114544">
          <w:marLeft w:val="0"/>
          <w:marRight w:val="0"/>
          <w:marTop w:val="0"/>
          <w:marBottom w:val="0"/>
          <w:divBdr>
            <w:top w:val="none" w:sz="0" w:space="0" w:color="auto"/>
            <w:left w:val="none" w:sz="0" w:space="0" w:color="auto"/>
            <w:bottom w:val="none" w:sz="0" w:space="0" w:color="auto"/>
            <w:right w:val="none" w:sz="0" w:space="0" w:color="auto"/>
          </w:divBdr>
        </w:div>
        <w:div w:id="1627928871">
          <w:marLeft w:val="0"/>
          <w:marRight w:val="0"/>
          <w:marTop w:val="0"/>
          <w:marBottom w:val="0"/>
          <w:divBdr>
            <w:top w:val="none" w:sz="0" w:space="0" w:color="auto"/>
            <w:left w:val="none" w:sz="0" w:space="0" w:color="auto"/>
            <w:bottom w:val="none" w:sz="0" w:space="0" w:color="auto"/>
            <w:right w:val="none" w:sz="0" w:space="0" w:color="auto"/>
          </w:divBdr>
        </w:div>
      </w:divsChild>
    </w:div>
    <w:div w:id="1970089397">
      <w:bodyDiv w:val="1"/>
      <w:marLeft w:val="0"/>
      <w:marRight w:val="0"/>
      <w:marTop w:val="0"/>
      <w:marBottom w:val="0"/>
      <w:divBdr>
        <w:top w:val="none" w:sz="0" w:space="0" w:color="auto"/>
        <w:left w:val="none" w:sz="0" w:space="0" w:color="auto"/>
        <w:bottom w:val="none" w:sz="0" w:space="0" w:color="auto"/>
        <w:right w:val="none" w:sz="0" w:space="0" w:color="auto"/>
      </w:divBdr>
      <w:divsChild>
        <w:div w:id="87967213">
          <w:marLeft w:val="0"/>
          <w:marRight w:val="0"/>
          <w:marTop w:val="0"/>
          <w:marBottom w:val="0"/>
          <w:divBdr>
            <w:top w:val="none" w:sz="0" w:space="0" w:color="auto"/>
            <w:left w:val="none" w:sz="0" w:space="0" w:color="auto"/>
            <w:bottom w:val="none" w:sz="0" w:space="0" w:color="auto"/>
            <w:right w:val="none" w:sz="0" w:space="0" w:color="auto"/>
          </w:divBdr>
        </w:div>
        <w:div w:id="660156175">
          <w:marLeft w:val="0"/>
          <w:marRight w:val="0"/>
          <w:marTop w:val="0"/>
          <w:marBottom w:val="0"/>
          <w:divBdr>
            <w:top w:val="none" w:sz="0" w:space="0" w:color="auto"/>
            <w:left w:val="none" w:sz="0" w:space="0" w:color="auto"/>
            <w:bottom w:val="none" w:sz="0" w:space="0" w:color="auto"/>
            <w:right w:val="none" w:sz="0" w:space="0" w:color="auto"/>
          </w:divBdr>
        </w:div>
        <w:div w:id="929922760">
          <w:marLeft w:val="0"/>
          <w:marRight w:val="0"/>
          <w:marTop w:val="0"/>
          <w:marBottom w:val="0"/>
          <w:divBdr>
            <w:top w:val="none" w:sz="0" w:space="0" w:color="auto"/>
            <w:left w:val="none" w:sz="0" w:space="0" w:color="auto"/>
            <w:bottom w:val="none" w:sz="0" w:space="0" w:color="auto"/>
            <w:right w:val="none" w:sz="0" w:space="0" w:color="auto"/>
          </w:divBdr>
        </w:div>
        <w:div w:id="2011909406">
          <w:marLeft w:val="0"/>
          <w:marRight w:val="0"/>
          <w:marTop w:val="0"/>
          <w:marBottom w:val="0"/>
          <w:divBdr>
            <w:top w:val="none" w:sz="0" w:space="0" w:color="auto"/>
            <w:left w:val="none" w:sz="0" w:space="0" w:color="auto"/>
            <w:bottom w:val="none" w:sz="0" w:space="0" w:color="auto"/>
            <w:right w:val="none" w:sz="0" w:space="0" w:color="auto"/>
          </w:divBdr>
        </w:div>
      </w:divsChild>
    </w:div>
    <w:div w:id="212206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cox@york.ac.uk" TargetMode="External"/><Relationship Id="rId13" Type="http://schemas.openxmlformats.org/officeDocument/2006/relationships/hyperlink" Target="http://www.cancerresearchuk.org/health-professional/cancer-statistics/statistics-by-cancer-type/leukaemia-all/incidence" TargetMode="External"/><Relationship Id="rId18" Type="http://schemas.openxmlformats.org/officeDocument/2006/relationships/hyperlink" Target="https://www.nice.org.uk/guidance/gid-ta10091/documents/committee-pape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ice.org.uk/guidance/gid-ta10091/documents/appeal-decision-2" TargetMode="External"/><Relationship Id="rId7" Type="http://schemas.openxmlformats.org/officeDocument/2006/relationships/endnotes" Target="endnotes.xml"/><Relationship Id="rId12" Type="http://schemas.openxmlformats.org/officeDocument/2006/relationships/hyperlink" Target="https://www.nice.org.uk/guidance/indevelopment/gid-ta10091" TargetMode="External"/><Relationship Id="rId17" Type="http://schemas.openxmlformats.org/officeDocument/2006/relationships/hyperlink" Target="https://www.nice.org.uk/guidance/gid-ta10091/documents/appraisal-consultation-documen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ice.org.uk/guidance/gid-ta10091/documents/final-scope" TargetMode="External"/><Relationship Id="rId20" Type="http://schemas.openxmlformats.org/officeDocument/2006/relationships/hyperlink" Target="https://www.nice.org.uk/guidance/gid-ta10091/documents/appeal-let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9/chapter/foreword" TargetMode="External"/><Relationship Id="rId24" Type="http://schemas.openxmlformats.org/officeDocument/2006/relationships/hyperlink" Target="https://www.nice.org.uk/guidance/gid-ta10091/documents/final-appraisal-determination-document-2" TargetMode="External"/><Relationship Id="rId5" Type="http://schemas.openxmlformats.org/officeDocument/2006/relationships/webSettings" Target="webSettings.xml"/><Relationship Id="rId15" Type="http://schemas.openxmlformats.org/officeDocument/2006/relationships/hyperlink" Target="https://www.nice.org.uk/guidance/ta450/history" TargetMode="External"/><Relationship Id="rId23" Type="http://schemas.openxmlformats.org/officeDocument/2006/relationships/hyperlink" Target="https://www.nice.org.uk/guidance/gid-ta10091/documents/appraisal-consultation-document-2" TargetMode="External"/><Relationship Id="rId10" Type="http://schemas.openxmlformats.org/officeDocument/2006/relationships/hyperlink" Target="https://www.nice.org.uk/guidance/ta541/documents/committee-papers-2" TargetMode="External"/><Relationship Id="rId19" Type="http://schemas.openxmlformats.org/officeDocument/2006/relationships/hyperlink" Target="https://www.nice.org.uk/guidance/gid-ta10091/documents/final-appraisal-determination-document" TargetMode="External"/><Relationship Id="rId4" Type="http://schemas.openxmlformats.org/officeDocument/2006/relationships/settings" Target="settings.xml"/><Relationship Id="rId9" Type="http://schemas.openxmlformats.org/officeDocument/2006/relationships/hyperlink" Target="https://www.nice.org.uk/Media/Default/About/what-we-do/NICE-guidance/NICE-technology-appraisals/Guide-to-the-single-technology-appraisal-process.pdf" TargetMode="External"/><Relationship Id="rId14" Type="http://schemas.openxmlformats.org/officeDocument/2006/relationships/hyperlink" Target="https://www.cancer.org/cancer/acute-lymphocytic-leukemia/about/key-statistics.html" TargetMode="External"/><Relationship Id="rId22" Type="http://schemas.openxmlformats.org/officeDocument/2006/relationships/hyperlink" Target="https://www.nice.org.uk/guidance/gid-ta10091/documents/committee-papers-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8F634DF-9FF7-4B19-BCBC-2F7415C30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12802</Words>
  <Characters>72974</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85605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Cox</dc:creator>
  <cp:keywords/>
  <dc:description/>
  <cp:lastModifiedBy>Edward Cox</cp:lastModifiedBy>
  <cp:revision>6</cp:revision>
  <dcterms:created xsi:type="dcterms:W3CDTF">2019-02-01T12:47:00Z</dcterms:created>
  <dcterms:modified xsi:type="dcterms:W3CDTF">2019-02-01T13:11:00Z</dcterms:modified>
</cp:coreProperties>
</file>