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4BD71" w14:textId="03F7E156" w:rsidR="00805C06" w:rsidRDefault="00805C06" w:rsidP="00805C06">
      <w:pPr>
        <w:spacing w:line="480" w:lineRule="auto"/>
        <w:rPr>
          <w:color w:val="000000" w:themeColor="text1"/>
          <w:u w:val="single"/>
        </w:rPr>
      </w:pPr>
      <w:r>
        <w:rPr>
          <w:color w:val="000000" w:themeColor="text1"/>
          <w:u w:val="single"/>
        </w:rPr>
        <w:t>TITLE</w:t>
      </w:r>
    </w:p>
    <w:p w14:paraId="017BC316" w14:textId="50B0EB15" w:rsidR="00805C06" w:rsidRPr="00805C06" w:rsidRDefault="00805C06" w:rsidP="00805C06">
      <w:pPr>
        <w:rPr>
          <w:color w:val="000000" w:themeColor="text1"/>
        </w:rPr>
      </w:pPr>
      <w:r w:rsidRPr="00F10CF0">
        <w:rPr>
          <w:color w:val="000000" w:themeColor="text1"/>
        </w:rPr>
        <w:t>Can C-reactive protein be used to predict acute septic arthritis in the adult population?</w:t>
      </w:r>
    </w:p>
    <w:p w14:paraId="3003BD57" w14:textId="77777777" w:rsidR="00805C06" w:rsidRDefault="00805C06" w:rsidP="00805C06">
      <w:pPr>
        <w:spacing w:line="480" w:lineRule="auto"/>
        <w:rPr>
          <w:color w:val="000000" w:themeColor="text1"/>
          <w:u w:val="single"/>
        </w:rPr>
      </w:pPr>
    </w:p>
    <w:p w14:paraId="225C3E7A" w14:textId="77777777" w:rsidR="006324A9" w:rsidRDefault="00792256" w:rsidP="00805C06">
      <w:pPr>
        <w:spacing w:line="480" w:lineRule="auto"/>
        <w:rPr>
          <w:color w:val="000000" w:themeColor="text1"/>
          <w:u w:val="single"/>
        </w:rPr>
      </w:pPr>
      <w:r>
        <w:rPr>
          <w:color w:val="000000" w:themeColor="text1"/>
          <w:u w:val="single"/>
        </w:rPr>
        <w:t>ABSTRACT</w:t>
      </w:r>
    </w:p>
    <w:p w14:paraId="7E6F5B9F" w14:textId="4F8303AF" w:rsidR="004D083F" w:rsidRPr="006324A9" w:rsidRDefault="00805C06" w:rsidP="00805C06">
      <w:pPr>
        <w:spacing w:line="480" w:lineRule="auto"/>
        <w:rPr>
          <w:color w:val="000000" w:themeColor="text1"/>
          <w:u w:val="single"/>
        </w:rPr>
      </w:pPr>
      <w:r>
        <w:rPr>
          <w:b/>
          <w:color w:val="000000" w:themeColor="text1"/>
        </w:rPr>
        <w:t>Objective</w:t>
      </w:r>
      <w:r w:rsidR="006324A9">
        <w:rPr>
          <w:b/>
          <w:color w:val="000000" w:themeColor="text1"/>
        </w:rPr>
        <w:t>s</w:t>
      </w:r>
      <w:r w:rsidR="000F2A83">
        <w:rPr>
          <w:b/>
          <w:color w:val="000000" w:themeColor="text1"/>
        </w:rPr>
        <w:t xml:space="preserve">: </w:t>
      </w:r>
      <w:r w:rsidR="000F2A83" w:rsidRPr="0057029D">
        <w:rPr>
          <w:color w:val="000000" w:themeColor="text1"/>
        </w:rPr>
        <w:t xml:space="preserve">The primary </w:t>
      </w:r>
      <w:r>
        <w:rPr>
          <w:color w:val="000000" w:themeColor="text1"/>
        </w:rPr>
        <w:t>objective</w:t>
      </w:r>
      <w:r w:rsidR="000F2A83" w:rsidRPr="0057029D">
        <w:rPr>
          <w:color w:val="000000" w:themeColor="text1"/>
        </w:rPr>
        <w:t xml:space="preserve"> of this study was to establish whether </w:t>
      </w:r>
      <w:r w:rsidR="002A450A">
        <w:t xml:space="preserve">C-reactive protein (CRP) </w:t>
      </w:r>
      <w:r w:rsidR="000F2A83" w:rsidRPr="0057029D">
        <w:rPr>
          <w:color w:val="000000" w:themeColor="text1"/>
        </w:rPr>
        <w:t xml:space="preserve">can </w:t>
      </w:r>
      <w:r w:rsidR="002A450A">
        <w:rPr>
          <w:color w:val="000000" w:themeColor="text1"/>
        </w:rPr>
        <w:t xml:space="preserve">be used to predict </w:t>
      </w:r>
      <w:r w:rsidR="0093031F">
        <w:rPr>
          <w:color w:val="000000" w:themeColor="text1"/>
        </w:rPr>
        <w:t xml:space="preserve">native joint </w:t>
      </w:r>
      <w:r w:rsidR="002A450A">
        <w:rPr>
          <w:color w:val="000000" w:themeColor="text1"/>
        </w:rPr>
        <w:t xml:space="preserve">septic arthritis (SA) </w:t>
      </w:r>
      <w:r w:rsidR="000F2A83" w:rsidRPr="0057029D">
        <w:rPr>
          <w:color w:val="000000" w:themeColor="text1"/>
        </w:rPr>
        <w:t>in the adult population.</w:t>
      </w:r>
    </w:p>
    <w:p w14:paraId="50D72216" w14:textId="545871C8" w:rsidR="002A450A" w:rsidRDefault="002A450A" w:rsidP="00805C06">
      <w:pPr>
        <w:spacing w:line="480" w:lineRule="auto"/>
        <w:rPr>
          <w:bCs/>
          <w:color w:val="000000" w:themeColor="text1"/>
          <w:lang w:val="en-US"/>
        </w:rPr>
      </w:pPr>
      <w:r w:rsidRPr="002A450A">
        <w:rPr>
          <w:b/>
          <w:color w:val="000000" w:themeColor="text1"/>
        </w:rPr>
        <w:t>Method</w:t>
      </w:r>
      <w:r>
        <w:rPr>
          <w:color w:val="000000" w:themeColor="text1"/>
        </w:rPr>
        <w:t xml:space="preserve">: </w:t>
      </w:r>
      <w:r w:rsidR="00384909" w:rsidRPr="0057029D">
        <w:rPr>
          <w:color w:val="000000" w:themeColor="text1"/>
        </w:rPr>
        <w:t xml:space="preserve">All patients who underwent native </w:t>
      </w:r>
      <w:r w:rsidR="00384909" w:rsidRPr="0057029D">
        <w:rPr>
          <w:color w:val="000000" w:themeColor="text1"/>
          <w:lang w:val="en-US"/>
        </w:rPr>
        <w:t>joint aspiration in A&amp;E between April 2012 and September 2016 were identified from lab microbiology records</w:t>
      </w:r>
      <w:r w:rsidR="00384909">
        <w:rPr>
          <w:bCs/>
          <w:color w:val="000000" w:themeColor="text1"/>
          <w:lang w:val="en-US"/>
        </w:rPr>
        <w:t xml:space="preserve">. </w:t>
      </w:r>
      <w:r w:rsidRPr="002A450A">
        <w:rPr>
          <w:bCs/>
          <w:color w:val="000000" w:themeColor="text1"/>
          <w:lang w:val="en-US"/>
        </w:rPr>
        <w:t>Patients were divided into three groups</w:t>
      </w:r>
      <w:r>
        <w:rPr>
          <w:bCs/>
          <w:color w:val="000000" w:themeColor="text1"/>
          <w:lang w:val="en-US"/>
        </w:rPr>
        <w:t xml:space="preserve"> for analysis: </w:t>
      </w:r>
      <w:r w:rsidRPr="002A450A">
        <w:rPr>
          <w:bCs/>
          <w:color w:val="000000" w:themeColor="text1"/>
          <w:lang w:val="en-US"/>
        </w:rPr>
        <w:t>patients with SA, those with crystal arthropathy and those with normal or osteo/inflammatory arthritic joints</w:t>
      </w:r>
      <w:r>
        <w:rPr>
          <w:bCs/>
          <w:color w:val="000000" w:themeColor="text1"/>
          <w:lang w:val="en-US"/>
        </w:rPr>
        <w:t>.</w:t>
      </w:r>
    </w:p>
    <w:p w14:paraId="5FD36743" w14:textId="76A56A68" w:rsidR="002A450A" w:rsidRPr="00F10CF0" w:rsidRDefault="002A450A" w:rsidP="00805C06">
      <w:pPr>
        <w:spacing w:line="480" w:lineRule="auto"/>
        <w:rPr>
          <w:color w:val="FF0000"/>
        </w:rPr>
      </w:pPr>
      <w:r>
        <w:rPr>
          <w:b/>
          <w:color w:val="000000" w:themeColor="text1"/>
        </w:rPr>
        <w:t>Results</w:t>
      </w:r>
      <w:r>
        <w:rPr>
          <w:color w:val="000000" w:themeColor="text1"/>
        </w:rPr>
        <w:t xml:space="preserve">: </w:t>
      </w:r>
      <w:r>
        <w:t>15 patients (7.9%) were deemed to have SA</w:t>
      </w:r>
      <w:r w:rsidR="00C53CA4">
        <w:t xml:space="preserve">, </w:t>
      </w:r>
      <w:r>
        <w:t xml:space="preserve">18 patients had </w:t>
      </w:r>
      <w:r w:rsidR="006013AE">
        <w:t xml:space="preserve">a crystal arthopathy (9.5%) and 157 patients (82.6%) were deemed to have </w:t>
      </w:r>
      <w:r w:rsidR="006013AE" w:rsidRPr="00627E2B">
        <w:rPr>
          <w:bCs/>
          <w:color w:val="000000" w:themeColor="text1"/>
          <w:lang w:val="en-US"/>
        </w:rPr>
        <w:t xml:space="preserve">normal or </w:t>
      </w:r>
      <w:r w:rsidR="006013AE" w:rsidRPr="00627E2B">
        <w:rPr>
          <w:color w:val="000000" w:themeColor="text1"/>
        </w:rPr>
        <w:t>osteo/i</w:t>
      </w:r>
      <w:r w:rsidR="006013AE">
        <w:t xml:space="preserve">nflammatory arthritic joints. </w:t>
      </w:r>
      <w:r w:rsidR="00F10CF0" w:rsidRPr="0057029D">
        <w:rPr>
          <w:color w:val="000000" w:themeColor="text1"/>
        </w:rPr>
        <w:t>All pati</w:t>
      </w:r>
      <w:r w:rsidR="00F10CF0">
        <w:rPr>
          <w:color w:val="000000" w:themeColor="text1"/>
        </w:rPr>
        <w:t>ents with CRP &gt; 200 mg/L had SA. P</w:t>
      </w:r>
      <w:r w:rsidR="00F10CF0" w:rsidRPr="0057029D">
        <w:rPr>
          <w:color w:val="000000" w:themeColor="text1"/>
        </w:rPr>
        <w:t>atients with CRP 90-200 mg/L had a mix of crystal arthropathy a</w:t>
      </w:r>
      <w:r w:rsidR="00F10CF0">
        <w:t>nd SA and patients with CRP &lt; 90 mg/L had either normal or osteo/inflammatory arthritic joints or crystal arthropathy. M</w:t>
      </w:r>
      <w:r w:rsidR="00F10CF0" w:rsidRPr="00F10CF0">
        <w:t>ean CRP in patients with a normal or osteo/inflammatory arthritic joint was 25 mg/L. This was compared with 100 mg/L (p=&lt;0.001) in crystal arthropathy and 30</w:t>
      </w:r>
      <w:r w:rsidR="00C53CA4">
        <w:t>8</w:t>
      </w:r>
      <w:r w:rsidR="00F10CF0" w:rsidRPr="00F10CF0">
        <w:t xml:space="preserve"> mg/L (p=&lt;0.001) in patients with SA</w:t>
      </w:r>
      <w:r w:rsidR="00F10CF0">
        <w:t>.</w:t>
      </w:r>
    </w:p>
    <w:p w14:paraId="15A07F9E" w14:textId="4021F076" w:rsidR="00384909" w:rsidRDefault="006013AE" w:rsidP="00805C06">
      <w:pPr>
        <w:spacing w:line="480" w:lineRule="auto"/>
        <w:rPr>
          <w:color w:val="000000" w:themeColor="text1"/>
          <w:u w:val="single"/>
        </w:rPr>
      </w:pPr>
      <w:r>
        <w:rPr>
          <w:b/>
        </w:rPr>
        <w:t>Conclusion</w:t>
      </w:r>
      <w:r w:rsidR="00805C06">
        <w:t>:</w:t>
      </w:r>
      <w:r w:rsidR="00F10CF0" w:rsidRPr="00F10CF0">
        <w:t xml:space="preserve"> We have demonstrated CRP to be a reliable independent marker to help differentiate between SA, crystal arthopathy and normal/arthriti</w:t>
      </w:r>
      <w:r w:rsidR="00805C06">
        <w:t>c joint in an adult population.</w:t>
      </w:r>
      <w:r w:rsidR="004B44FD">
        <w:t xml:space="preserve"> </w:t>
      </w:r>
      <w:r w:rsidR="004B44FD" w:rsidRPr="009E3F40">
        <w:rPr>
          <w:color w:val="000000" w:themeColor="text1"/>
        </w:rPr>
        <w:t>No patients with CRP &lt; 90 mg/L had SA.</w:t>
      </w:r>
    </w:p>
    <w:p w14:paraId="0AB7012D" w14:textId="77777777" w:rsidR="00384909" w:rsidRDefault="00384909" w:rsidP="00805C06">
      <w:pPr>
        <w:spacing w:line="480" w:lineRule="auto"/>
        <w:rPr>
          <w:color w:val="000000" w:themeColor="text1"/>
          <w:u w:val="single"/>
        </w:rPr>
      </w:pPr>
    </w:p>
    <w:p w14:paraId="7749FE42" w14:textId="77777777" w:rsidR="00CA5EBF" w:rsidRDefault="00CA5EBF" w:rsidP="00805C06">
      <w:pPr>
        <w:spacing w:line="480" w:lineRule="auto"/>
        <w:rPr>
          <w:color w:val="000000" w:themeColor="text1"/>
          <w:u w:val="single"/>
        </w:rPr>
      </w:pPr>
    </w:p>
    <w:p w14:paraId="3D922316" w14:textId="77777777" w:rsidR="00CA5EBF" w:rsidRDefault="00CA5EBF" w:rsidP="00805C06">
      <w:pPr>
        <w:spacing w:line="480" w:lineRule="auto"/>
        <w:rPr>
          <w:color w:val="000000" w:themeColor="text1"/>
          <w:u w:val="single"/>
        </w:rPr>
      </w:pPr>
    </w:p>
    <w:p w14:paraId="51F09A66" w14:textId="494C842C" w:rsidR="00722AF7" w:rsidRPr="00A30032" w:rsidRDefault="00722AF7" w:rsidP="00805C06">
      <w:pPr>
        <w:spacing w:line="480" w:lineRule="auto"/>
        <w:rPr>
          <w:color w:val="000000" w:themeColor="text1"/>
          <w:u w:val="single"/>
        </w:rPr>
      </w:pPr>
      <w:r>
        <w:rPr>
          <w:color w:val="000000" w:themeColor="text1"/>
          <w:u w:val="single"/>
        </w:rPr>
        <w:lastRenderedPageBreak/>
        <w:t>KEYWORDS</w:t>
      </w:r>
    </w:p>
    <w:p w14:paraId="36DB4816" w14:textId="693024B4" w:rsidR="00722AF7" w:rsidRPr="00722AF7" w:rsidRDefault="00722AF7" w:rsidP="00805C06">
      <w:pPr>
        <w:spacing w:line="480" w:lineRule="auto"/>
        <w:rPr>
          <w:color w:val="000000" w:themeColor="text1"/>
        </w:rPr>
      </w:pPr>
      <w:r w:rsidRPr="00722AF7">
        <w:rPr>
          <w:color w:val="000000" w:themeColor="text1"/>
        </w:rPr>
        <w:t>CRP, orthopaedics, septic arthritis</w:t>
      </w:r>
    </w:p>
    <w:p w14:paraId="438B6E71" w14:textId="37B2DF8D" w:rsidR="00CE7006" w:rsidRPr="00CE7006" w:rsidRDefault="00792256" w:rsidP="00805C06">
      <w:pPr>
        <w:spacing w:line="480" w:lineRule="auto"/>
        <w:rPr>
          <w:u w:val="single"/>
        </w:rPr>
      </w:pPr>
      <w:r>
        <w:rPr>
          <w:u w:val="single"/>
        </w:rPr>
        <w:t>INTRODUCTION</w:t>
      </w:r>
    </w:p>
    <w:p w14:paraId="1462F274" w14:textId="59911EEA" w:rsidR="006F343F" w:rsidRDefault="0069609E" w:rsidP="00805C06">
      <w:pPr>
        <w:spacing w:line="480" w:lineRule="auto"/>
      </w:pPr>
      <w:r>
        <w:t xml:space="preserve">The hot swollen </w:t>
      </w:r>
      <w:r w:rsidR="000A7BBE">
        <w:t xml:space="preserve">native </w:t>
      </w:r>
      <w:r>
        <w:t xml:space="preserve">joint is a common presentation to both primary and secondary care in the United Kingdom (UK). A wide range of </w:t>
      </w:r>
      <w:r w:rsidR="000A7BBE">
        <w:t xml:space="preserve">potential differential </w:t>
      </w:r>
      <w:r>
        <w:t xml:space="preserve">diagnoses </w:t>
      </w:r>
      <w:r w:rsidR="000A7BBE">
        <w:t>exist</w:t>
      </w:r>
      <w:r w:rsidR="00616D28">
        <w:t xml:space="preserve">, the most serious being </w:t>
      </w:r>
      <w:r>
        <w:t>septi</w:t>
      </w:r>
      <w:r w:rsidR="00616D28">
        <w:t xml:space="preserve">c arthritis </w:t>
      </w:r>
      <w:r w:rsidR="002E2D42">
        <w:t xml:space="preserve">(SA). </w:t>
      </w:r>
      <w:r w:rsidR="000A7BBE">
        <w:t xml:space="preserve">In the UK, </w:t>
      </w:r>
      <w:r w:rsidR="009F6846">
        <w:t>SA is most common in children and the</w:t>
      </w:r>
      <w:r w:rsidR="00F80721">
        <w:t xml:space="preserve"> elderly. The incidence of SA </w:t>
      </w:r>
      <w:r w:rsidR="0048088A">
        <w:t>increased</w:t>
      </w:r>
      <w:r w:rsidR="00616D28">
        <w:t xml:space="preserve"> </w:t>
      </w:r>
      <w:r w:rsidR="00616D28" w:rsidRPr="00616D28">
        <w:t xml:space="preserve">from </w:t>
      </w:r>
      <w:r w:rsidR="00616D28">
        <w:t>approximately 6</w:t>
      </w:r>
      <w:r w:rsidR="00616D28" w:rsidRPr="00616D28">
        <w:t>/100</w:t>
      </w:r>
      <w:r w:rsidR="00616D28">
        <w:t>,000 in 1998 to 8/100,</w:t>
      </w:r>
      <w:r w:rsidR="00616D28" w:rsidRPr="00616D28">
        <w:t>000 in 2013</w:t>
      </w:r>
      <w:r w:rsidR="005A6478">
        <w:t>.</w:t>
      </w:r>
      <w:r w:rsidR="00B1347C">
        <w:t xml:space="preserve"> This increase </w:t>
      </w:r>
      <w:r w:rsidR="0048088A">
        <w:t>was</w:t>
      </w:r>
      <w:r w:rsidR="00B1347C">
        <w:t xml:space="preserve"> more apparent in the elderly population, </w:t>
      </w:r>
      <w:r w:rsidR="008D5338">
        <w:t xml:space="preserve">which may be associated with </w:t>
      </w:r>
      <w:r w:rsidR="002858D9">
        <w:t xml:space="preserve">an </w:t>
      </w:r>
      <w:r w:rsidR="008D5338">
        <w:t>increasing</w:t>
      </w:r>
      <w:r w:rsidR="002858D9">
        <w:t xml:space="preserve"> level of co-morbidity</w:t>
      </w:r>
      <w:r w:rsidR="00B1347C">
        <w:rPr>
          <w:vertAlign w:val="superscript"/>
        </w:rPr>
        <w:t>1</w:t>
      </w:r>
      <w:r w:rsidR="00B1347C">
        <w:t>.</w:t>
      </w:r>
    </w:p>
    <w:p w14:paraId="5DF1FB1D" w14:textId="58A10845" w:rsidR="00B41ED1" w:rsidRPr="00856CF6" w:rsidRDefault="00D82FCD" w:rsidP="00805C06">
      <w:pPr>
        <w:spacing w:line="480" w:lineRule="auto"/>
      </w:pPr>
      <w:r>
        <w:t xml:space="preserve">Since the introduction of </w:t>
      </w:r>
      <w:r w:rsidR="006F343F">
        <w:t>childhood immunisation</w:t>
      </w:r>
      <w:r>
        <w:t xml:space="preserve">, </w:t>
      </w:r>
      <w:r w:rsidR="002270BE" w:rsidRPr="002270BE">
        <w:t xml:space="preserve">Staphylococcal </w:t>
      </w:r>
      <w:r w:rsidR="002270BE">
        <w:t xml:space="preserve">and Streptococcal species are </w:t>
      </w:r>
      <w:r w:rsidR="00721457">
        <w:t>consistently the</w:t>
      </w:r>
      <w:r w:rsidR="00855D94">
        <w:t xml:space="preserve"> most frequently reported causative organisms</w:t>
      </w:r>
      <w:r w:rsidR="00B41ED1">
        <w:rPr>
          <w:vertAlign w:val="superscript"/>
        </w:rPr>
        <w:t>1</w:t>
      </w:r>
      <w:r w:rsidR="00855D94">
        <w:t>.</w:t>
      </w:r>
      <w:r w:rsidR="006F343F">
        <w:t xml:space="preserve"> </w:t>
      </w:r>
      <w:r w:rsidR="004E4BB0">
        <w:t>Patients at greater risk of infection</w:t>
      </w:r>
      <w:r w:rsidR="004E4BB0" w:rsidRPr="004E4BB0">
        <w:t xml:space="preserve"> </w:t>
      </w:r>
      <w:r w:rsidR="004E4BB0">
        <w:t xml:space="preserve">include those with type II diabetes </w:t>
      </w:r>
      <w:r w:rsidR="0048088A">
        <w:t>or</w:t>
      </w:r>
      <w:r w:rsidR="004E4BB0">
        <w:t xml:space="preserve"> HIV; patients taking regular steroids; intravenous drug users and p</w:t>
      </w:r>
      <w:r w:rsidR="006F343F">
        <w:t>revious</w:t>
      </w:r>
      <w:r w:rsidR="00E76417">
        <w:t>ly damaged joints</w:t>
      </w:r>
      <w:r w:rsidR="006F343F">
        <w:t xml:space="preserve">, especially </w:t>
      </w:r>
      <w:r w:rsidR="00747EFD">
        <w:t xml:space="preserve">those </w:t>
      </w:r>
      <w:r w:rsidR="006F343F">
        <w:t>af</w:t>
      </w:r>
      <w:r w:rsidR="004E4BB0">
        <w:t>fected by rheumatoid arthritis</w:t>
      </w:r>
      <w:r w:rsidR="00E620A6">
        <w:rPr>
          <w:vertAlign w:val="superscript"/>
        </w:rPr>
        <w:t>2</w:t>
      </w:r>
      <w:r w:rsidR="00E76417">
        <w:t xml:space="preserve">. </w:t>
      </w:r>
      <w:r w:rsidR="0036573D">
        <w:t xml:space="preserve">Haematogenous spread, local </w:t>
      </w:r>
      <w:r w:rsidR="003D2EFA">
        <w:t xml:space="preserve">spread from </w:t>
      </w:r>
      <w:r w:rsidR="00AE0865">
        <w:t xml:space="preserve">adjacent </w:t>
      </w:r>
      <w:r w:rsidR="00A80781">
        <w:t>osteomyelitis</w:t>
      </w:r>
      <w:r w:rsidR="00AE0865">
        <w:t xml:space="preserve"> and direct</w:t>
      </w:r>
      <w:r w:rsidR="00F33BB4">
        <w:t xml:space="preserve"> joint</w:t>
      </w:r>
      <w:r w:rsidR="00AE0865">
        <w:t xml:space="preserve"> </w:t>
      </w:r>
      <w:r w:rsidR="00F44DA1">
        <w:t>inoculation</w:t>
      </w:r>
      <w:r w:rsidR="00AE0865">
        <w:t xml:space="preserve"> </w:t>
      </w:r>
      <w:r w:rsidR="00F33BB4">
        <w:t>via pene</w:t>
      </w:r>
      <w:r w:rsidR="00F44DA1">
        <w:t xml:space="preserve">trating injury are all potential </w:t>
      </w:r>
      <w:r w:rsidR="00231BBF">
        <w:t xml:space="preserve">causes of infection. Whilst any joint can </w:t>
      </w:r>
      <w:r w:rsidR="00344D05">
        <w:t xml:space="preserve">be affected by these processes, </w:t>
      </w:r>
      <w:r w:rsidR="003C7701">
        <w:t xml:space="preserve">the hip and knee joint </w:t>
      </w:r>
      <w:r w:rsidR="009245D2">
        <w:t>are the most commonly affected</w:t>
      </w:r>
      <w:r w:rsidR="00856CF6">
        <w:rPr>
          <w:vertAlign w:val="superscript"/>
        </w:rPr>
        <w:t>3</w:t>
      </w:r>
      <w:r w:rsidR="00856CF6">
        <w:t>.</w:t>
      </w:r>
    </w:p>
    <w:p w14:paraId="1DACF560" w14:textId="02D69746" w:rsidR="00365FD8" w:rsidRDefault="00394D8D" w:rsidP="00805C06">
      <w:pPr>
        <w:spacing w:line="480" w:lineRule="auto"/>
      </w:pPr>
      <w:r>
        <w:t xml:space="preserve">Clinical features of </w:t>
      </w:r>
      <w:r w:rsidR="003103FA">
        <w:t xml:space="preserve">SA </w:t>
      </w:r>
      <w:r w:rsidR="002F4ADB">
        <w:t>include a</w:t>
      </w:r>
      <w:r w:rsidR="005F7CA7">
        <w:t>n</w:t>
      </w:r>
      <w:r w:rsidR="00EE2402">
        <w:t xml:space="preserve"> acutely hot swollen joint with movement limitation and pyrexia</w:t>
      </w:r>
      <w:r w:rsidR="00CE2B99">
        <w:rPr>
          <w:vertAlign w:val="superscript"/>
        </w:rPr>
        <w:t>9</w:t>
      </w:r>
      <w:r w:rsidR="00EE2402">
        <w:t xml:space="preserve">. </w:t>
      </w:r>
      <w:r w:rsidR="005D10DD">
        <w:t xml:space="preserve">Patients may also present unwell, with signs of systemic sepsis fulfilling the </w:t>
      </w:r>
      <w:r w:rsidR="00674A1D">
        <w:t xml:space="preserve">systemic inflammatory response syndrome (SIRS) </w:t>
      </w:r>
      <w:r w:rsidR="000C4D0A">
        <w:t>criteria</w:t>
      </w:r>
      <w:r w:rsidR="00ED4C5F">
        <w:t xml:space="preserve">. </w:t>
      </w:r>
      <w:r w:rsidR="002858D9">
        <w:t>It is important to note that children may present atypically, however</w:t>
      </w:r>
      <w:r w:rsidR="00ED4C5F">
        <w:t xml:space="preserve"> </w:t>
      </w:r>
      <w:r w:rsidR="002858D9">
        <w:t>s</w:t>
      </w:r>
      <w:r w:rsidR="00F57954">
        <w:t>evera</w:t>
      </w:r>
      <w:r w:rsidR="002858D9">
        <w:t>l studies have demonstrated</w:t>
      </w:r>
      <w:r w:rsidR="0096659E">
        <w:t xml:space="preserve"> </w:t>
      </w:r>
      <w:r w:rsidR="002858D9">
        <w:t>that the presence of</w:t>
      </w:r>
      <w:r w:rsidR="007D3605">
        <w:t xml:space="preserve"> </w:t>
      </w:r>
      <w:r w:rsidR="00DA7E23">
        <w:t>non-weight-</w:t>
      </w:r>
      <w:r w:rsidR="00EB40AE">
        <w:t xml:space="preserve">bearing and </w:t>
      </w:r>
      <w:r w:rsidR="00E67DBA">
        <w:t xml:space="preserve">pyrexia greater than 38.5 degrees </w:t>
      </w:r>
      <w:r w:rsidR="002858D9">
        <w:t>can reliably differentiate</w:t>
      </w:r>
      <w:r w:rsidR="007C1710">
        <w:t xml:space="preserve"> between SA and transient synovitis</w:t>
      </w:r>
      <w:r w:rsidR="001508C9">
        <w:rPr>
          <w:vertAlign w:val="superscript"/>
        </w:rPr>
        <w:t>4-5</w:t>
      </w:r>
      <w:r w:rsidR="007C1710">
        <w:t>.</w:t>
      </w:r>
    </w:p>
    <w:p w14:paraId="7B2E5CFA" w14:textId="3DDCBC6F" w:rsidR="004F3286" w:rsidRDefault="00775688" w:rsidP="00805C06">
      <w:pPr>
        <w:spacing w:line="480" w:lineRule="auto"/>
      </w:pPr>
      <w:r>
        <w:t xml:space="preserve">In </w:t>
      </w:r>
      <w:r w:rsidR="002858D9">
        <w:t xml:space="preserve">the </w:t>
      </w:r>
      <w:r>
        <w:t>Accident and Emergency</w:t>
      </w:r>
      <w:r w:rsidR="002858D9">
        <w:t xml:space="preserve"> </w:t>
      </w:r>
      <w:r w:rsidR="003443D5">
        <w:t xml:space="preserve">(A&amp;E) </w:t>
      </w:r>
      <w:r w:rsidR="002858D9">
        <w:t>setting</w:t>
      </w:r>
      <w:r>
        <w:t>, b</w:t>
      </w:r>
      <w:r w:rsidR="002858D9">
        <w:t>loods including full blood count (FBC)</w:t>
      </w:r>
      <w:r w:rsidR="00F4023E">
        <w:t>,</w:t>
      </w:r>
      <w:r w:rsidR="002858D9">
        <w:t xml:space="preserve"> urea and electrolytes (U&amp;Es), C-reactive protein</w:t>
      </w:r>
      <w:r w:rsidR="00833340">
        <w:t xml:space="preserve"> </w:t>
      </w:r>
      <w:r w:rsidR="002858D9">
        <w:t>(</w:t>
      </w:r>
      <w:r w:rsidR="00F4023E">
        <w:t>CRP</w:t>
      </w:r>
      <w:r w:rsidR="002858D9">
        <w:t>)</w:t>
      </w:r>
      <w:r w:rsidR="00833340">
        <w:t xml:space="preserve"> and </w:t>
      </w:r>
      <w:r w:rsidR="002858D9">
        <w:t xml:space="preserve">peripheral blood </w:t>
      </w:r>
      <w:r w:rsidR="00833340">
        <w:t>cultures</w:t>
      </w:r>
      <w:r w:rsidR="00DD4665">
        <w:t xml:space="preserve"> should be taken</w:t>
      </w:r>
      <w:r w:rsidR="00FA086B">
        <w:t>.</w:t>
      </w:r>
      <w:r w:rsidR="004A5108">
        <w:t xml:space="preserve"> </w:t>
      </w:r>
      <w:r w:rsidR="00CE7006">
        <w:t xml:space="preserve">X-rays </w:t>
      </w:r>
      <w:r w:rsidR="00237B08">
        <w:t>often</w:t>
      </w:r>
      <w:r w:rsidR="009A57F3">
        <w:t xml:space="preserve"> </w:t>
      </w:r>
      <w:r w:rsidR="00237B08">
        <w:t>demonstrate joint effusion and may also show</w:t>
      </w:r>
      <w:r w:rsidR="00FA2E99">
        <w:t xml:space="preserve"> osteomyelitis</w:t>
      </w:r>
      <w:r w:rsidR="00FA2E99">
        <w:rPr>
          <w:vertAlign w:val="superscript"/>
        </w:rPr>
        <w:t>10</w:t>
      </w:r>
      <w:r w:rsidR="00FA2E99">
        <w:t xml:space="preserve">. </w:t>
      </w:r>
      <w:r w:rsidR="00F4023E">
        <w:t xml:space="preserve">Urgent joint aspiration </w:t>
      </w:r>
      <w:r w:rsidR="009A57F3">
        <w:t xml:space="preserve">should </w:t>
      </w:r>
      <w:r w:rsidR="009A57F3">
        <w:lastRenderedPageBreak/>
        <w:t>be performed</w:t>
      </w:r>
      <w:r w:rsidR="002D045F">
        <w:t xml:space="preserve">, preferably before </w:t>
      </w:r>
      <w:r w:rsidR="006A0D9D">
        <w:t>commencing antibiotic treatment;</w:t>
      </w:r>
      <w:r w:rsidR="00DF70C8">
        <w:t xml:space="preserve"> a</w:t>
      </w:r>
      <w:r w:rsidR="002D045F">
        <w:t xml:space="preserve">spirates </w:t>
      </w:r>
      <w:r w:rsidR="009D4595">
        <w:t xml:space="preserve">should be sent for </w:t>
      </w:r>
      <w:r w:rsidR="00E94B78">
        <w:t xml:space="preserve">urgent </w:t>
      </w:r>
      <w:r w:rsidR="009D4595">
        <w:t>gram stain</w:t>
      </w:r>
      <w:r w:rsidR="0027283C">
        <w:t>, cell count and</w:t>
      </w:r>
      <w:r w:rsidR="009D4595">
        <w:t xml:space="preserve"> crystal analysis</w:t>
      </w:r>
      <w:r w:rsidR="00C367BD" w:rsidRPr="00C367BD">
        <w:rPr>
          <w:color w:val="000000" w:themeColor="text1"/>
          <w:vertAlign w:val="superscript"/>
        </w:rPr>
        <w:t>10</w:t>
      </w:r>
      <w:r w:rsidR="002B65FE">
        <w:t>.</w:t>
      </w:r>
    </w:p>
    <w:p w14:paraId="3787C17F" w14:textId="13D54012" w:rsidR="00785F22" w:rsidRDefault="00D4022C" w:rsidP="00805C06">
      <w:pPr>
        <w:spacing w:line="480" w:lineRule="auto"/>
      </w:pPr>
      <w:r>
        <w:t>Early orthopaedic opinion should be so</w:t>
      </w:r>
      <w:r w:rsidR="00FC562D">
        <w:t>ught in all patients</w:t>
      </w:r>
      <w:r w:rsidR="000858A0">
        <w:t xml:space="preserve"> with </w:t>
      </w:r>
      <w:r w:rsidR="00E57770">
        <w:t xml:space="preserve">suspected </w:t>
      </w:r>
      <w:r w:rsidR="008E7897">
        <w:t xml:space="preserve">native joint </w:t>
      </w:r>
      <w:r w:rsidR="000858A0">
        <w:t>SA</w:t>
      </w:r>
      <w:r w:rsidR="00FC562D">
        <w:t xml:space="preserve">. Treatment with </w:t>
      </w:r>
      <w:r w:rsidR="003A11DB">
        <w:t xml:space="preserve">intravenous </w:t>
      </w:r>
      <w:r w:rsidR="00E21DB9">
        <w:t xml:space="preserve">(IV) </w:t>
      </w:r>
      <w:r w:rsidR="00FC562D">
        <w:t xml:space="preserve">antibiotics and </w:t>
      </w:r>
      <w:r w:rsidR="003A11DB">
        <w:t xml:space="preserve">urgent </w:t>
      </w:r>
      <w:r w:rsidR="00FC562D">
        <w:t xml:space="preserve">removal of </w:t>
      </w:r>
      <w:r w:rsidR="00597B9A">
        <w:t xml:space="preserve">the </w:t>
      </w:r>
      <w:r w:rsidR="00FC562D">
        <w:t xml:space="preserve">infective focus should be </w:t>
      </w:r>
      <w:r w:rsidR="003A11DB">
        <w:t>performed.</w:t>
      </w:r>
      <w:r w:rsidR="00FC562D">
        <w:t xml:space="preserve"> </w:t>
      </w:r>
      <w:r w:rsidR="00590F4F">
        <w:t>Most patients</w:t>
      </w:r>
      <w:r w:rsidR="003319F9">
        <w:t xml:space="preserve">, especially </w:t>
      </w:r>
      <w:r w:rsidR="003C0715">
        <w:t xml:space="preserve">those with infection of </w:t>
      </w:r>
      <w:r w:rsidR="003319F9">
        <w:t>larger joints such as the hip or knee,</w:t>
      </w:r>
      <w:r w:rsidR="00590F4F">
        <w:t xml:space="preserve"> require this in the form of washout of the affected joint in theatre</w:t>
      </w:r>
      <w:r w:rsidR="003319F9">
        <w:rPr>
          <w:vertAlign w:val="superscript"/>
        </w:rPr>
        <w:t>11-</w:t>
      </w:r>
      <w:r w:rsidR="00D466F6">
        <w:rPr>
          <w:vertAlign w:val="superscript"/>
        </w:rPr>
        <w:t>1</w:t>
      </w:r>
      <w:r w:rsidR="008D5338">
        <w:rPr>
          <w:vertAlign w:val="superscript"/>
        </w:rPr>
        <w:t>4</w:t>
      </w:r>
      <w:r w:rsidR="00590F4F">
        <w:t>.</w:t>
      </w:r>
    </w:p>
    <w:p w14:paraId="27FD1AEB" w14:textId="1719D040" w:rsidR="00700DB4" w:rsidRPr="00700DB4" w:rsidRDefault="00DD4665" w:rsidP="00700DB4">
      <w:pPr>
        <w:spacing w:line="480" w:lineRule="auto"/>
        <w:rPr>
          <w:color w:val="000000" w:themeColor="text1"/>
          <w:u w:val="single"/>
        </w:rPr>
      </w:pPr>
      <w:r w:rsidRPr="0057029D">
        <w:rPr>
          <w:color w:val="000000" w:themeColor="text1"/>
        </w:rPr>
        <w:t>There is an increasing evidence base to support the role of CRP as a strong independent predictor of SA in children</w:t>
      </w:r>
      <w:r w:rsidRPr="0057029D">
        <w:rPr>
          <w:color w:val="000000" w:themeColor="text1"/>
          <w:vertAlign w:val="superscript"/>
        </w:rPr>
        <w:t>6-8</w:t>
      </w:r>
      <w:r w:rsidRPr="0057029D">
        <w:rPr>
          <w:color w:val="000000" w:themeColor="text1"/>
        </w:rPr>
        <w:t>. The primary aim of this study was to establish whether CRP can also be used to predict SA in the adult population.</w:t>
      </w:r>
    </w:p>
    <w:p w14:paraId="01881AEC" w14:textId="0DA903A2" w:rsidR="00DD4665" w:rsidRPr="0057029D" w:rsidRDefault="00DD4665" w:rsidP="00805C06">
      <w:pPr>
        <w:spacing w:line="480" w:lineRule="auto"/>
        <w:rPr>
          <w:color w:val="000000" w:themeColor="text1"/>
        </w:rPr>
      </w:pPr>
    </w:p>
    <w:p w14:paraId="32EFA201" w14:textId="77777777" w:rsidR="00800E48" w:rsidRPr="0057029D" w:rsidRDefault="00800E48" w:rsidP="00805C06">
      <w:pPr>
        <w:spacing w:line="480" w:lineRule="auto"/>
        <w:rPr>
          <w:color w:val="000000" w:themeColor="text1"/>
        </w:rPr>
      </w:pPr>
    </w:p>
    <w:p w14:paraId="4C5F7087" w14:textId="77777777" w:rsidR="00A30032" w:rsidRDefault="00A30032" w:rsidP="00805C06">
      <w:pPr>
        <w:spacing w:line="480" w:lineRule="auto"/>
        <w:rPr>
          <w:color w:val="000000" w:themeColor="text1"/>
          <w:u w:val="single"/>
        </w:rPr>
      </w:pPr>
    </w:p>
    <w:p w14:paraId="70659F3E" w14:textId="77777777" w:rsidR="00A30032" w:rsidRDefault="00A30032" w:rsidP="00805C06">
      <w:pPr>
        <w:spacing w:line="480" w:lineRule="auto"/>
        <w:rPr>
          <w:color w:val="000000" w:themeColor="text1"/>
          <w:u w:val="single"/>
        </w:rPr>
      </w:pPr>
    </w:p>
    <w:p w14:paraId="74804531" w14:textId="77777777" w:rsidR="00A30032" w:rsidRDefault="00A30032" w:rsidP="00805C06">
      <w:pPr>
        <w:spacing w:line="480" w:lineRule="auto"/>
        <w:rPr>
          <w:color w:val="000000" w:themeColor="text1"/>
          <w:u w:val="single"/>
        </w:rPr>
      </w:pPr>
    </w:p>
    <w:p w14:paraId="4C1B54D7" w14:textId="77777777" w:rsidR="00A30032" w:rsidRDefault="00A30032" w:rsidP="00805C06">
      <w:pPr>
        <w:spacing w:line="480" w:lineRule="auto"/>
        <w:rPr>
          <w:color w:val="000000" w:themeColor="text1"/>
          <w:u w:val="single"/>
        </w:rPr>
      </w:pPr>
    </w:p>
    <w:p w14:paraId="5DBC3FE6" w14:textId="77777777" w:rsidR="00A30032" w:rsidRDefault="00A30032" w:rsidP="00805C06">
      <w:pPr>
        <w:spacing w:line="480" w:lineRule="auto"/>
        <w:rPr>
          <w:color w:val="000000" w:themeColor="text1"/>
          <w:u w:val="single"/>
        </w:rPr>
      </w:pPr>
    </w:p>
    <w:p w14:paraId="70EC3C7A" w14:textId="77777777" w:rsidR="00A30032" w:rsidRDefault="00A30032" w:rsidP="00805C06">
      <w:pPr>
        <w:spacing w:line="480" w:lineRule="auto"/>
        <w:rPr>
          <w:color w:val="000000" w:themeColor="text1"/>
          <w:u w:val="single"/>
        </w:rPr>
      </w:pPr>
    </w:p>
    <w:p w14:paraId="0E5670B0" w14:textId="77777777" w:rsidR="00A30032" w:rsidRDefault="00A30032" w:rsidP="00805C06">
      <w:pPr>
        <w:spacing w:line="480" w:lineRule="auto"/>
        <w:rPr>
          <w:color w:val="000000" w:themeColor="text1"/>
          <w:u w:val="single"/>
        </w:rPr>
      </w:pPr>
    </w:p>
    <w:p w14:paraId="0A94FCA0" w14:textId="77777777" w:rsidR="00A30032" w:rsidRDefault="00A30032" w:rsidP="00805C06">
      <w:pPr>
        <w:spacing w:line="480" w:lineRule="auto"/>
        <w:rPr>
          <w:color w:val="000000" w:themeColor="text1"/>
          <w:u w:val="single"/>
        </w:rPr>
      </w:pPr>
    </w:p>
    <w:p w14:paraId="32C12831" w14:textId="77777777" w:rsidR="00A30032" w:rsidRDefault="00A30032" w:rsidP="00805C06">
      <w:pPr>
        <w:spacing w:line="480" w:lineRule="auto"/>
        <w:rPr>
          <w:color w:val="000000" w:themeColor="text1"/>
          <w:u w:val="single"/>
        </w:rPr>
      </w:pPr>
    </w:p>
    <w:p w14:paraId="3FBCB9D3" w14:textId="77777777" w:rsidR="00755F9C" w:rsidRDefault="00755F9C" w:rsidP="00805C06">
      <w:pPr>
        <w:spacing w:line="480" w:lineRule="auto"/>
        <w:rPr>
          <w:color w:val="000000" w:themeColor="text1"/>
          <w:u w:val="single"/>
        </w:rPr>
      </w:pPr>
    </w:p>
    <w:p w14:paraId="27F386E6" w14:textId="50CFBBAB" w:rsidR="00D4022C" w:rsidRPr="0057029D" w:rsidRDefault="00A30032" w:rsidP="00805C06">
      <w:pPr>
        <w:spacing w:line="480" w:lineRule="auto"/>
        <w:rPr>
          <w:color w:val="000000" w:themeColor="text1"/>
          <w:u w:val="single"/>
        </w:rPr>
      </w:pPr>
      <w:r>
        <w:rPr>
          <w:color w:val="000000" w:themeColor="text1"/>
          <w:u w:val="single"/>
        </w:rPr>
        <w:lastRenderedPageBreak/>
        <w:t>MATERIALS AND METHODS</w:t>
      </w:r>
    </w:p>
    <w:p w14:paraId="3507AEB0" w14:textId="31922840" w:rsidR="007C6E5F" w:rsidRPr="0057029D" w:rsidRDefault="00286D8D" w:rsidP="00805C06">
      <w:pPr>
        <w:spacing w:line="480" w:lineRule="auto"/>
        <w:rPr>
          <w:color w:val="000000" w:themeColor="text1"/>
          <w:lang w:val="en-US"/>
        </w:rPr>
      </w:pPr>
      <w:r w:rsidRPr="0057029D">
        <w:rPr>
          <w:color w:val="000000" w:themeColor="text1"/>
        </w:rPr>
        <w:t xml:space="preserve">All patients who underwent </w:t>
      </w:r>
      <w:r w:rsidR="007C6E5F" w:rsidRPr="0057029D">
        <w:rPr>
          <w:color w:val="000000" w:themeColor="text1"/>
        </w:rPr>
        <w:t xml:space="preserve">native </w:t>
      </w:r>
      <w:r w:rsidRPr="0057029D">
        <w:rPr>
          <w:color w:val="000000" w:themeColor="text1"/>
          <w:lang w:val="en-US"/>
        </w:rPr>
        <w:t xml:space="preserve">joint aspiration in A&amp;E between April 2012 and September 2016 were identified from lab microbiology records. </w:t>
      </w:r>
      <w:r w:rsidR="003313F7">
        <w:rPr>
          <w:color w:val="000000" w:themeColor="text1"/>
          <w:lang w:val="en-US"/>
        </w:rPr>
        <w:t xml:space="preserve">This was particularly appropriate for our institution as all aspirations </w:t>
      </w:r>
      <w:r w:rsidR="00D66850">
        <w:rPr>
          <w:color w:val="000000" w:themeColor="text1"/>
          <w:lang w:val="en-US"/>
        </w:rPr>
        <w:t>required</w:t>
      </w:r>
      <w:r w:rsidR="003313F7">
        <w:rPr>
          <w:color w:val="000000" w:themeColor="text1"/>
          <w:lang w:val="en-US"/>
        </w:rPr>
        <w:t xml:space="preserve"> in A&amp;E on presentation are done by the orthopaedic team</w:t>
      </w:r>
      <w:r w:rsidR="00DA0606">
        <w:rPr>
          <w:color w:val="000000" w:themeColor="text1"/>
          <w:lang w:val="en-US"/>
        </w:rPr>
        <w:t xml:space="preserve">. </w:t>
      </w:r>
      <w:r w:rsidR="003A6F03" w:rsidRPr="0057029D">
        <w:rPr>
          <w:color w:val="000000" w:themeColor="text1"/>
          <w:lang w:val="en-US"/>
        </w:rPr>
        <w:t>Exclusion criteria were patients with</w:t>
      </w:r>
      <w:r w:rsidR="007C6E5F" w:rsidRPr="0057029D">
        <w:rPr>
          <w:color w:val="000000" w:themeColor="text1"/>
          <w:lang w:val="en-US"/>
        </w:rPr>
        <w:t xml:space="preserve"> recent surgery or joint injections; prosthetic joints; </w:t>
      </w:r>
      <w:r w:rsidR="005F120A" w:rsidRPr="0057029D">
        <w:rPr>
          <w:color w:val="000000" w:themeColor="text1"/>
          <w:lang w:val="en-US"/>
        </w:rPr>
        <w:t xml:space="preserve">paediatric patients; </w:t>
      </w:r>
      <w:r w:rsidR="007C6E5F" w:rsidRPr="0057029D">
        <w:rPr>
          <w:color w:val="000000" w:themeColor="text1"/>
          <w:lang w:val="en-US"/>
        </w:rPr>
        <w:t xml:space="preserve">concomitant demonstrable infection and overlying cellulitis. For each patient the following variables were recorded: age; gender; </w:t>
      </w:r>
      <w:r w:rsidR="003C7C04" w:rsidRPr="0057029D">
        <w:rPr>
          <w:color w:val="000000" w:themeColor="text1"/>
          <w:lang w:val="en-US"/>
        </w:rPr>
        <w:t xml:space="preserve">joint </w:t>
      </w:r>
      <w:r w:rsidR="00400BCF" w:rsidRPr="0057029D">
        <w:rPr>
          <w:color w:val="000000" w:themeColor="text1"/>
          <w:lang w:val="en-US"/>
        </w:rPr>
        <w:t>aspirated</w:t>
      </w:r>
      <w:r w:rsidR="007C6E5F" w:rsidRPr="0057029D">
        <w:rPr>
          <w:color w:val="000000" w:themeColor="text1"/>
          <w:lang w:val="en-US"/>
        </w:rPr>
        <w:t xml:space="preserve">; gram stain; </w:t>
      </w:r>
      <w:r w:rsidR="00FD790F" w:rsidRPr="0057029D">
        <w:rPr>
          <w:color w:val="000000" w:themeColor="text1"/>
          <w:lang w:val="en-US"/>
        </w:rPr>
        <w:t xml:space="preserve">aspirate white </w:t>
      </w:r>
      <w:r w:rsidR="007C6E5F" w:rsidRPr="0057029D">
        <w:rPr>
          <w:color w:val="000000" w:themeColor="text1"/>
          <w:lang w:val="en-US"/>
        </w:rPr>
        <w:t>cell count</w:t>
      </w:r>
      <w:r w:rsidR="00FD790F" w:rsidRPr="0057029D">
        <w:rPr>
          <w:color w:val="000000" w:themeColor="text1"/>
          <w:lang w:val="en-US"/>
        </w:rPr>
        <w:t xml:space="preserve"> (WCC)</w:t>
      </w:r>
      <w:r w:rsidR="007C6E5F" w:rsidRPr="0057029D">
        <w:rPr>
          <w:color w:val="000000" w:themeColor="text1"/>
          <w:lang w:val="en-US"/>
        </w:rPr>
        <w:t xml:space="preserve">; crystal analysis; extended culture; </w:t>
      </w:r>
      <w:r w:rsidR="00FD790F" w:rsidRPr="0057029D">
        <w:rPr>
          <w:color w:val="000000" w:themeColor="text1"/>
          <w:lang w:val="en-US"/>
        </w:rPr>
        <w:t>peripheral WCC</w:t>
      </w:r>
      <w:r w:rsidR="007C6E5F" w:rsidRPr="0057029D">
        <w:rPr>
          <w:color w:val="000000" w:themeColor="text1"/>
          <w:lang w:val="en-US"/>
        </w:rPr>
        <w:t>, CRP and</w:t>
      </w:r>
      <w:r w:rsidR="00BE4832" w:rsidRPr="0057029D">
        <w:rPr>
          <w:color w:val="000000" w:themeColor="text1"/>
          <w:lang w:val="en-US"/>
        </w:rPr>
        <w:t xml:space="preserve"> definitive</w:t>
      </w:r>
      <w:r w:rsidR="007C6E5F" w:rsidRPr="0057029D">
        <w:rPr>
          <w:color w:val="000000" w:themeColor="text1"/>
          <w:lang w:val="en-US"/>
        </w:rPr>
        <w:t xml:space="preserve"> treatment.</w:t>
      </w:r>
    </w:p>
    <w:p w14:paraId="7DB49228" w14:textId="77777777" w:rsidR="00174D8E" w:rsidRDefault="006E73EE" w:rsidP="00805C06">
      <w:pPr>
        <w:spacing w:line="480" w:lineRule="auto"/>
        <w:rPr>
          <w:bCs/>
          <w:color w:val="000000" w:themeColor="text1"/>
          <w:lang w:val="en-US"/>
        </w:rPr>
      </w:pPr>
      <w:r w:rsidRPr="0057029D">
        <w:rPr>
          <w:bCs/>
          <w:color w:val="000000" w:themeColor="text1"/>
          <w:lang w:val="en-US"/>
        </w:rPr>
        <w:t>Patients were subsequently divided into three grou</w:t>
      </w:r>
      <w:r w:rsidR="008072F3" w:rsidRPr="0057029D">
        <w:rPr>
          <w:bCs/>
          <w:color w:val="000000" w:themeColor="text1"/>
          <w:lang w:val="en-US"/>
        </w:rPr>
        <w:t>ps depending on their diagnosis</w:t>
      </w:r>
      <w:r w:rsidRPr="0057029D">
        <w:rPr>
          <w:bCs/>
          <w:color w:val="000000" w:themeColor="text1"/>
          <w:lang w:val="en-US"/>
        </w:rPr>
        <w:t xml:space="preserve"> to allow for statistical </w:t>
      </w:r>
      <w:r w:rsidR="008072F3" w:rsidRPr="0057029D">
        <w:rPr>
          <w:bCs/>
          <w:color w:val="000000" w:themeColor="text1"/>
          <w:lang w:val="en-US"/>
        </w:rPr>
        <w:t>analysis. The three groups were: p</w:t>
      </w:r>
      <w:r w:rsidRPr="0057029D">
        <w:rPr>
          <w:bCs/>
          <w:color w:val="000000" w:themeColor="text1"/>
          <w:lang w:val="en-US"/>
        </w:rPr>
        <w:t xml:space="preserve">atients with </w:t>
      </w:r>
      <w:r w:rsidR="006E5159" w:rsidRPr="0057029D">
        <w:rPr>
          <w:bCs/>
          <w:color w:val="000000" w:themeColor="text1"/>
          <w:lang w:val="en-US"/>
        </w:rPr>
        <w:t>SA</w:t>
      </w:r>
      <w:r w:rsidR="008072F3" w:rsidRPr="0057029D">
        <w:rPr>
          <w:bCs/>
          <w:color w:val="000000" w:themeColor="text1"/>
          <w:lang w:val="en-US"/>
        </w:rPr>
        <w:t>, those with</w:t>
      </w:r>
      <w:r w:rsidR="0088610B" w:rsidRPr="0057029D">
        <w:rPr>
          <w:bCs/>
          <w:color w:val="000000" w:themeColor="text1"/>
          <w:lang w:val="en-US"/>
        </w:rPr>
        <w:t xml:space="preserve"> </w:t>
      </w:r>
      <w:r w:rsidR="008072F3" w:rsidRPr="0057029D">
        <w:rPr>
          <w:bCs/>
          <w:color w:val="000000" w:themeColor="text1"/>
          <w:lang w:val="en-US"/>
        </w:rPr>
        <w:t>crystal arthropathy</w:t>
      </w:r>
      <w:r w:rsidR="0088610B" w:rsidRPr="0057029D">
        <w:rPr>
          <w:bCs/>
          <w:color w:val="000000" w:themeColor="text1"/>
          <w:lang w:val="en-US"/>
        </w:rPr>
        <w:t xml:space="preserve"> and those with</w:t>
      </w:r>
      <w:r w:rsidRPr="0057029D">
        <w:rPr>
          <w:bCs/>
          <w:color w:val="000000" w:themeColor="text1"/>
          <w:lang w:val="en-US"/>
        </w:rPr>
        <w:t xml:space="preserve"> normal or osteo/inflammatory arthritic joint</w:t>
      </w:r>
      <w:r w:rsidR="0088610B" w:rsidRPr="0057029D">
        <w:rPr>
          <w:bCs/>
          <w:color w:val="000000" w:themeColor="text1"/>
          <w:lang w:val="en-US"/>
        </w:rPr>
        <w:t>s.</w:t>
      </w:r>
    </w:p>
    <w:p w14:paraId="0807D9DE" w14:textId="0B509A86" w:rsidR="00174D8E" w:rsidRDefault="005E37AA" w:rsidP="00805C06">
      <w:pPr>
        <w:spacing w:line="480" w:lineRule="auto"/>
        <w:rPr>
          <w:bCs/>
          <w:color w:val="000000" w:themeColor="text1"/>
          <w:lang w:val="en-US"/>
        </w:rPr>
      </w:pPr>
      <w:r>
        <w:rPr>
          <w:bCs/>
          <w:color w:val="000000" w:themeColor="text1"/>
          <w:lang w:val="en-US"/>
        </w:rPr>
        <w:t>As in clinical practice, t</w:t>
      </w:r>
      <w:r w:rsidR="00174D8E">
        <w:rPr>
          <w:bCs/>
          <w:color w:val="000000" w:themeColor="text1"/>
          <w:lang w:val="en-US"/>
        </w:rPr>
        <w:t xml:space="preserve">here </w:t>
      </w:r>
      <w:r w:rsidR="00E66976">
        <w:rPr>
          <w:bCs/>
          <w:color w:val="000000" w:themeColor="text1"/>
          <w:lang w:val="en-US"/>
        </w:rPr>
        <w:t>was no absolute value</w:t>
      </w:r>
      <w:r w:rsidR="00174D8E">
        <w:rPr>
          <w:bCs/>
          <w:color w:val="000000" w:themeColor="text1"/>
          <w:lang w:val="en-US"/>
        </w:rPr>
        <w:t xml:space="preserve"> </w:t>
      </w:r>
      <w:r w:rsidR="001C1AF3">
        <w:rPr>
          <w:bCs/>
          <w:color w:val="000000" w:themeColor="text1"/>
          <w:lang w:val="en-US"/>
        </w:rPr>
        <w:t xml:space="preserve">or criteria used </w:t>
      </w:r>
      <w:r w:rsidR="00E66976">
        <w:rPr>
          <w:bCs/>
          <w:color w:val="000000" w:themeColor="text1"/>
          <w:lang w:val="en-US"/>
        </w:rPr>
        <w:t>to diagnose septic arthritis. T</w:t>
      </w:r>
      <w:r w:rsidR="00DE6C89">
        <w:rPr>
          <w:bCs/>
          <w:color w:val="000000" w:themeColor="text1"/>
          <w:lang w:val="en-US"/>
        </w:rPr>
        <w:t>he diagnosis was based on the</w:t>
      </w:r>
      <w:r w:rsidR="007D3A5D">
        <w:rPr>
          <w:bCs/>
          <w:color w:val="000000" w:themeColor="text1"/>
          <w:lang w:val="en-US"/>
        </w:rPr>
        <w:t xml:space="preserve"> </w:t>
      </w:r>
      <w:r w:rsidR="00174D8E">
        <w:rPr>
          <w:bCs/>
          <w:color w:val="000000" w:themeColor="text1"/>
          <w:lang w:val="en-US"/>
        </w:rPr>
        <w:t xml:space="preserve">consultant </w:t>
      </w:r>
      <w:r w:rsidR="00287DED">
        <w:rPr>
          <w:bCs/>
          <w:color w:val="000000" w:themeColor="text1"/>
          <w:lang w:val="en-US"/>
        </w:rPr>
        <w:t>clinician’s</w:t>
      </w:r>
      <w:r w:rsidR="00174D8E">
        <w:rPr>
          <w:bCs/>
          <w:color w:val="000000" w:themeColor="text1"/>
          <w:lang w:val="en-US"/>
        </w:rPr>
        <w:t xml:space="preserve"> overall </w:t>
      </w:r>
      <w:r w:rsidR="0039133F">
        <w:rPr>
          <w:bCs/>
          <w:color w:val="000000" w:themeColor="text1"/>
          <w:lang w:val="en-US"/>
        </w:rPr>
        <w:t xml:space="preserve">interpretation of </w:t>
      </w:r>
      <w:r w:rsidR="00287DED">
        <w:rPr>
          <w:bCs/>
          <w:color w:val="000000" w:themeColor="text1"/>
          <w:lang w:val="en-US"/>
        </w:rPr>
        <w:t xml:space="preserve">the above </w:t>
      </w:r>
      <w:r w:rsidR="0039133F">
        <w:rPr>
          <w:bCs/>
          <w:color w:val="000000" w:themeColor="text1"/>
          <w:lang w:val="en-US"/>
        </w:rPr>
        <w:t>investigations and the clinical presentation</w:t>
      </w:r>
      <w:r w:rsidR="00174D8E">
        <w:rPr>
          <w:bCs/>
          <w:color w:val="000000" w:themeColor="text1"/>
          <w:lang w:val="en-US"/>
        </w:rPr>
        <w:t xml:space="preserve"> of each individual case.</w:t>
      </w:r>
    </w:p>
    <w:p w14:paraId="22EAD668" w14:textId="77777777" w:rsidR="00CA5EBF" w:rsidRDefault="006E73EE" w:rsidP="00805C06">
      <w:pPr>
        <w:spacing w:line="480" w:lineRule="auto"/>
        <w:rPr>
          <w:bCs/>
          <w:color w:val="000000" w:themeColor="text1"/>
          <w:lang w:val="en-US"/>
        </w:rPr>
      </w:pPr>
      <w:r w:rsidRPr="0057029D">
        <w:rPr>
          <w:bCs/>
          <w:color w:val="000000" w:themeColor="text1"/>
          <w:lang w:val="en-US"/>
        </w:rPr>
        <w:t xml:space="preserve">Our null hypothesis for our primary outcome measure, was that ‘there is no significant difference in CRP values in patients with acute </w:t>
      </w:r>
      <w:r w:rsidR="006E5159" w:rsidRPr="0057029D">
        <w:rPr>
          <w:bCs/>
          <w:color w:val="000000" w:themeColor="text1"/>
          <w:lang w:val="en-US"/>
        </w:rPr>
        <w:t>SA</w:t>
      </w:r>
      <w:r w:rsidRPr="0057029D">
        <w:rPr>
          <w:bCs/>
          <w:color w:val="000000" w:themeColor="text1"/>
          <w:lang w:val="en-US"/>
        </w:rPr>
        <w:t xml:space="preserve">, when compared to patients with </w:t>
      </w:r>
      <w:r w:rsidR="0088610B" w:rsidRPr="0057029D">
        <w:rPr>
          <w:bCs/>
          <w:color w:val="000000" w:themeColor="text1"/>
          <w:lang w:val="en-US"/>
        </w:rPr>
        <w:t>crystal arthropathy</w:t>
      </w:r>
      <w:r w:rsidRPr="0057029D">
        <w:rPr>
          <w:bCs/>
          <w:color w:val="000000" w:themeColor="text1"/>
          <w:lang w:val="en-US"/>
        </w:rPr>
        <w:t xml:space="preserve"> and patients with normal or osteo/inflammatory </w:t>
      </w:r>
      <w:r w:rsidR="008072F3" w:rsidRPr="0057029D">
        <w:rPr>
          <w:bCs/>
          <w:color w:val="000000" w:themeColor="text1"/>
          <w:lang w:val="en-US"/>
        </w:rPr>
        <w:t>arthritic joint</w:t>
      </w:r>
      <w:r w:rsidR="0088610B" w:rsidRPr="0057029D">
        <w:rPr>
          <w:bCs/>
          <w:color w:val="000000" w:themeColor="text1"/>
          <w:lang w:val="en-US"/>
        </w:rPr>
        <w:t>s</w:t>
      </w:r>
      <w:r w:rsidR="008072F3" w:rsidRPr="0057029D">
        <w:rPr>
          <w:bCs/>
          <w:color w:val="000000" w:themeColor="text1"/>
          <w:lang w:val="en-US"/>
        </w:rPr>
        <w:t xml:space="preserve">’. </w:t>
      </w:r>
      <w:r w:rsidRPr="0057029D">
        <w:rPr>
          <w:bCs/>
          <w:color w:val="000000" w:themeColor="text1"/>
          <w:lang w:val="en-US"/>
        </w:rPr>
        <w:t>Analysis of variance (ANOVA) of the three groups was performed in or</w:t>
      </w:r>
      <w:r w:rsidR="006E05C2" w:rsidRPr="0057029D">
        <w:rPr>
          <w:bCs/>
          <w:color w:val="000000" w:themeColor="text1"/>
          <w:lang w:val="en-US"/>
        </w:rPr>
        <w:t>der to calculate an F statistic and P</w:t>
      </w:r>
      <w:r w:rsidRPr="0057029D">
        <w:rPr>
          <w:bCs/>
          <w:color w:val="000000" w:themeColor="text1"/>
          <w:lang w:val="en-US"/>
        </w:rPr>
        <w:t>-value</w:t>
      </w:r>
      <w:r w:rsidR="003E0026" w:rsidRPr="0057029D">
        <w:rPr>
          <w:bCs/>
          <w:color w:val="000000" w:themeColor="text1"/>
          <w:lang w:val="en-US"/>
        </w:rPr>
        <w:t>.</w:t>
      </w:r>
    </w:p>
    <w:p w14:paraId="2E5E504F" w14:textId="49B0CED1" w:rsidR="00CA5EBF" w:rsidRDefault="005046D0" w:rsidP="00805C06">
      <w:pPr>
        <w:spacing w:line="480" w:lineRule="auto"/>
        <w:rPr>
          <w:bCs/>
          <w:color w:val="000000" w:themeColor="text1"/>
          <w:lang w:val="en-US"/>
        </w:rPr>
      </w:pPr>
      <w:r>
        <w:t>T</w:t>
      </w:r>
      <w:r w:rsidRPr="005046D0">
        <w:t xml:space="preserve">wo </w:t>
      </w:r>
      <w:r>
        <w:t>receiver operating characteristic (ROC) curves were produced,</w:t>
      </w:r>
      <w:r w:rsidRPr="005046D0">
        <w:t xml:space="preserve"> with the first comparing septic joints to crystalline joints and the second comparing septic joints to arthritic joints</w:t>
      </w:r>
      <w:r>
        <w:t>. The ROC</w:t>
      </w:r>
      <w:r w:rsidR="00CA5EBF">
        <w:t xml:space="preserve"> curve</w:t>
      </w:r>
      <w:r>
        <w:t>s display</w:t>
      </w:r>
      <w:r w:rsidR="00CA5EBF">
        <w:t xml:space="preserve"> the trade-off between the sensitivity (true positive rate) and (1- specificity) (false positive rate) across a series of cut-off points. Area under the ROC curve is considered as an effective measure of inherent validity of a diagnostic test. The optimal cut-off point was determined by the minimum distance between the point (0, 1) and any point on the ROC curve.</w:t>
      </w:r>
    </w:p>
    <w:p w14:paraId="4BC39883" w14:textId="26300C5B" w:rsidR="005957DA" w:rsidRDefault="006E73EE" w:rsidP="00805C06">
      <w:pPr>
        <w:spacing w:line="480" w:lineRule="auto"/>
        <w:rPr>
          <w:bCs/>
          <w:color w:val="000000" w:themeColor="text1"/>
          <w:lang w:val="en-US"/>
        </w:rPr>
      </w:pPr>
      <w:r w:rsidRPr="0057029D">
        <w:rPr>
          <w:color w:val="000000" w:themeColor="text1"/>
        </w:rPr>
        <w:lastRenderedPageBreak/>
        <w:t xml:space="preserve">Statistical analysis was performed using </w:t>
      </w:r>
      <w:r w:rsidRPr="0057029D">
        <w:rPr>
          <w:bCs/>
          <w:color w:val="000000" w:themeColor="text1"/>
          <w:lang w:val="en-US"/>
        </w:rPr>
        <w:t>Statistical Packag</w:t>
      </w:r>
      <w:r w:rsidR="003E0026" w:rsidRPr="0057029D">
        <w:rPr>
          <w:bCs/>
          <w:color w:val="000000" w:themeColor="text1"/>
          <w:lang w:val="en-US"/>
        </w:rPr>
        <w:t>e for the Social Sciences (IBM)</w:t>
      </w:r>
      <w:r w:rsidRPr="0057029D">
        <w:rPr>
          <w:bCs/>
          <w:color w:val="000000" w:themeColor="text1"/>
          <w:lang w:val="en-US"/>
        </w:rPr>
        <w:t xml:space="preserve"> and XLSTAT (Addinsoft).</w:t>
      </w:r>
    </w:p>
    <w:p w14:paraId="1CC1D365" w14:textId="3BEFED8F" w:rsidR="008072F3" w:rsidRPr="005957DA" w:rsidRDefault="005957DA" w:rsidP="00805C06">
      <w:pPr>
        <w:spacing w:line="480" w:lineRule="auto"/>
        <w:rPr>
          <w:bCs/>
          <w:color w:val="000000" w:themeColor="text1"/>
          <w:lang w:val="en-US"/>
        </w:rPr>
      </w:pPr>
      <w:r>
        <w:t>Ethical approval was deemed unnecessary for this study.</w:t>
      </w:r>
    </w:p>
    <w:p w14:paraId="378C89FF" w14:textId="77777777" w:rsidR="005957DA" w:rsidRDefault="005957DA" w:rsidP="00805C06">
      <w:pPr>
        <w:spacing w:line="480" w:lineRule="auto"/>
      </w:pPr>
    </w:p>
    <w:p w14:paraId="10E60F97" w14:textId="77777777" w:rsidR="00A30032" w:rsidRDefault="00A30032" w:rsidP="00805C06">
      <w:pPr>
        <w:spacing w:line="480" w:lineRule="auto"/>
        <w:rPr>
          <w:u w:val="single"/>
        </w:rPr>
      </w:pPr>
    </w:p>
    <w:p w14:paraId="7A9679BD" w14:textId="77777777" w:rsidR="00A30032" w:rsidRDefault="00A30032" w:rsidP="00805C06">
      <w:pPr>
        <w:spacing w:line="480" w:lineRule="auto"/>
        <w:rPr>
          <w:u w:val="single"/>
        </w:rPr>
      </w:pPr>
    </w:p>
    <w:p w14:paraId="00B60230" w14:textId="77777777" w:rsidR="00CA5EBF" w:rsidRDefault="00CA5EBF" w:rsidP="00805C06">
      <w:pPr>
        <w:spacing w:line="480" w:lineRule="auto"/>
        <w:rPr>
          <w:u w:val="single"/>
        </w:rPr>
      </w:pPr>
    </w:p>
    <w:p w14:paraId="11903489" w14:textId="77777777" w:rsidR="00CA5EBF" w:rsidRDefault="00CA5EBF" w:rsidP="00805C06">
      <w:pPr>
        <w:spacing w:line="480" w:lineRule="auto"/>
        <w:rPr>
          <w:u w:val="single"/>
        </w:rPr>
      </w:pPr>
    </w:p>
    <w:p w14:paraId="521457FE" w14:textId="77777777" w:rsidR="00CA5EBF" w:rsidRDefault="00CA5EBF" w:rsidP="00805C06">
      <w:pPr>
        <w:spacing w:line="480" w:lineRule="auto"/>
        <w:rPr>
          <w:u w:val="single"/>
        </w:rPr>
      </w:pPr>
    </w:p>
    <w:p w14:paraId="60AD5F2A" w14:textId="77777777" w:rsidR="00CA5EBF" w:rsidRDefault="00CA5EBF" w:rsidP="00805C06">
      <w:pPr>
        <w:spacing w:line="480" w:lineRule="auto"/>
        <w:rPr>
          <w:u w:val="single"/>
        </w:rPr>
      </w:pPr>
    </w:p>
    <w:p w14:paraId="7742BA73" w14:textId="77777777" w:rsidR="00CA5EBF" w:rsidRDefault="00CA5EBF" w:rsidP="00805C06">
      <w:pPr>
        <w:spacing w:line="480" w:lineRule="auto"/>
        <w:rPr>
          <w:u w:val="single"/>
        </w:rPr>
      </w:pPr>
    </w:p>
    <w:p w14:paraId="2CC60D61" w14:textId="77777777" w:rsidR="00CA5EBF" w:rsidRDefault="00CA5EBF" w:rsidP="00805C06">
      <w:pPr>
        <w:spacing w:line="480" w:lineRule="auto"/>
        <w:rPr>
          <w:u w:val="single"/>
        </w:rPr>
      </w:pPr>
    </w:p>
    <w:p w14:paraId="6A5764CC" w14:textId="77777777" w:rsidR="00CA5EBF" w:rsidRDefault="00CA5EBF" w:rsidP="00805C06">
      <w:pPr>
        <w:spacing w:line="480" w:lineRule="auto"/>
        <w:rPr>
          <w:u w:val="single"/>
        </w:rPr>
      </w:pPr>
    </w:p>
    <w:p w14:paraId="7A589FC8" w14:textId="77777777" w:rsidR="00CA5EBF" w:rsidRDefault="00CA5EBF" w:rsidP="00805C06">
      <w:pPr>
        <w:spacing w:line="480" w:lineRule="auto"/>
        <w:rPr>
          <w:u w:val="single"/>
        </w:rPr>
      </w:pPr>
    </w:p>
    <w:p w14:paraId="69C6A9F3" w14:textId="77777777" w:rsidR="00CA5EBF" w:rsidRDefault="00CA5EBF" w:rsidP="00805C06">
      <w:pPr>
        <w:spacing w:line="480" w:lineRule="auto"/>
        <w:rPr>
          <w:u w:val="single"/>
        </w:rPr>
      </w:pPr>
    </w:p>
    <w:p w14:paraId="12ADAB9B" w14:textId="77777777" w:rsidR="00CA5EBF" w:rsidRDefault="00CA5EBF" w:rsidP="00805C06">
      <w:pPr>
        <w:spacing w:line="480" w:lineRule="auto"/>
        <w:rPr>
          <w:u w:val="single"/>
        </w:rPr>
      </w:pPr>
    </w:p>
    <w:p w14:paraId="07323120" w14:textId="77777777" w:rsidR="00CA5EBF" w:rsidRDefault="00CA5EBF" w:rsidP="00805C06">
      <w:pPr>
        <w:spacing w:line="480" w:lineRule="auto"/>
        <w:rPr>
          <w:u w:val="single"/>
        </w:rPr>
      </w:pPr>
    </w:p>
    <w:p w14:paraId="73D6DD3B" w14:textId="77777777" w:rsidR="00CA5EBF" w:rsidRDefault="00CA5EBF" w:rsidP="00805C06">
      <w:pPr>
        <w:spacing w:line="480" w:lineRule="auto"/>
        <w:rPr>
          <w:u w:val="single"/>
        </w:rPr>
      </w:pPr>
    </w:p>
    <w:p w14:paraId="5FFD1ACE" w14:textId="77777777" w:rsidR="00CA5EBF" w:rsidRDefault="00CA5EBF" w:rsidP="00805C06">
      <w:pPr>
        <w:spacing w:line="480" w:lineRule="auto"/>
        <w:rPr>
          <w:u w:val="single"/>
        </w:rPr>
      </w:pPr>
    </w:p>
    <w:p w14:paraId="1A5A75BA" w14:textId="132C8CA5" w:rsidR="00D4022C" w:rsidRPr="005F47A6" w:rsidRDefault="00792256" w:rsidP="00805C06">
      <w:pPr>
        <w:spacing w:line="480" w:lineRule="auto"/>
        <w:rPr>
          <w:color w:val="FF0000"/>
        </w:rPr>
      </w:pPr>
      <w:r>
        <w:rPr>
          <w:u w:val="single"/>
        </w:rPr>
        <w:lastRenderedPageBreak/>
        <w:t>RESULTS</w:t>
      </w:r>
    </w:p>
    <w:p w14:paraId="22B4BE57" w14:textId="6552D3EF" w:rsidR="00424401" w:rsidRDefault="00424401" w:rsidP="00214AE6">
      <w:pPr>
        <w:spacing w:line="480" w:lineRule="auto"/>
      </w:pPr>
      <w:r>
        <w:t>A total of 190 patients underwent joint aspiration in A&amp;E by the orthopaedic team, of which 128 (67.4%) patients were male and 62 (32.6%) were female</w:t>
      </w:r>
      <w:r w:rsidR="00F51FD5">
        <w:t xml:space="preserve"> </w:t>
      </w:r>
      <w:r w:rsidR="00253465" w:rsidRPr="00253465">
        <w:rPr>
          <w:color w:val="000000" w:themeColor="text1"/>
        </w:rPr>
        <w:t>with a median age of 63</w:t>
      </w:r>
      <w:r w:rsidRPr="00253465">
        <w:rPr>
          <w:color w:val="000000" w:themeColor="text1"/>
        </w:rPr>
        <w:t>.</w:t>
      </w:r>
      <w:r>
        <w:t xml:space="preserve"> 140 knees, 12 shoulders, 11 ankles and 9 wrists were aspirated; the remainder were fingers and toes or not recorded.</w:t>
      </w:r>
      <w:r w:rsidR="006E05C2">
        <w:t xml:space="preserve"> 15 patients </w:t>
      </w:r>
      <w:r w:rsidR="005F47A6">
        <w:t xml:space="preserve">(7.9%) </w:t>
      </w:r>
      <w:r w:rsidR="0017724B">
        <w:t>were deemed to have</w:t>
      </w:r>
      <w:r w:rsidR="006E05C2">
        <w:t xml:space="preserve"> </w:t>
      </w:r>
      <w:r w:rsidR="006E5159">
        <w:t>SA</w:t>
      </w:r>
      <w:r w:rsidR="006E05C2">
        <w:t xml:space="preserve">. Multiple </w:t>
      </w:r>
      <w:r w:rsidR="0017724B">
        <w:t xml:space="preserve">causative </w:t>
      </w:r>
      <w:r w:rsidR="006E05C2">
        <w:t xml:space="preserve">organisms were seen, but most commonly </w:t>
      </w:r>
      <w:r w:rsidR="006E05C2" w:rsidRPr="002270BE">
        <w:t xml:space="preserve">Staphylococcal </w:t>
      </w:r>
      <w:r w:rsidR="006E05C2">
        <w:t xml:space="preserve">and Streptococcal species </w:t>
      </w:r>
      <w:r w:rsidR="006E05C2" w:rsidRPr="007B6BC4">
        <w:rPr>
          <w:color w:val="000000" w:themeColor="text1"/>
        </w:rPr>
        <w:t>accounting fo</w:t>
      </w:r>
      <w:r w:rsidR="00BC1D0D">
        <w:rPr>
          <w:color w:val="000000" w:themeColor="text1"/>
        </w:rPr>
        <w:t>r 5 and 4</w:t>
      </w:r>
      <w:r w:rsidR="006E05C2" w:rsidRPr="007B6BC4">
        <w:rPr>
          <w:color w:val="000000" w:themeColor="text1"/>
        </w:rPr>
        <w:t xml:space="preserve"> cases, respectively.</w:t>
      </w:r>
    </w:p>
    <w:p w14:paraId="4DF98A32" w14:textId="77777777" w:rsidR="00214AE6" w:rsidRDefault="005F47A6" w:rsidP="00214AE6">
      <w:pPr>
        <w:spacing w:line="480" w:lineRule="auto"/>
      </w:pPr>
      <w:r>
        <w:t xml:space="preserve">Of those with SA, 1 patient died in A&amp;E; 2 were treated with prolonged IV antibiotics and 12 were treated with surgical washout. 18 patients (9.5%) had a crystal arthropathy, with 12 having gout and 6 having pseudogout on crystal analysis. The remaining 157 patients (82.6%) were deemed to have </w:t>
      </w:r>
      <w:r w:rsidRPr="00627E2B">
        <w:rPr>
          <w:bCs/>
          <w:color w:val="000000" w:themeColor="text1"/>
          <w:lang w:val="en-US"/>
        </w:rPr>
        <w:t xml:space="preserve">normal or </w:t>
      </w:r>
      <w:r w:rsidRPr="00627E2B">
        <w:rPr>
          <w:color w:val="000000" w:themeColor="text1"/>
        </w:rPr>
        <w:t>osteo/i</w:t>
      </w:r>
      <w:r>
        <w:t xml:space="preserve">nflammatory arthritic joints and were </w:t>
      </w:r>
      <w:r w:rsidR="00524D7D" w:rsidRPr="00524D7D">
        <w:t>treated symptomatically and discharged, with no readmissions or subsequent infective diagnosis</w:t>
      </w:r>
      <w:r w:rsidR="00214AE6">
        <w:t>.</w:t>
      </w:r>
    </w:p>
    <w:p w14:paraId="2AFCDD31" w14:textId="77777777" w:rsidR="002F4F95" w:rsidRDefault="00214AE6" w:rsidP="00C44175">
      <w:pPr>
        <w:spacing w:line="480" w:lineRule="auto"/>
      </w:pPr>
      <w:r>
        <w:t xml:space="preserve">Comparing the mean CRP values between the 3 groups showed a statistically significant difference. </w:t>
      </w:r>
      <w:r w:rsidRPr="0057029D">
        <w:rPr>
          <w:color w:val="000000" w:themeColor="text1"/>
        </w:rPr>
        <w:t>All pati</w:t>
      </w:r>
      <w:r>
        <w:rPr>
          <w:color w:val="000000" w:themeColor="text1"/>
        </w:rPr>
        <w:t>ents with CRP &gt; 200 mg/L had SA. We found that</w:t>
      </w:r>
      <w:r w:rsidRPr="0057029D">
        <w:rPr>
          <w:color w:val="000000" w:themeColor="text1"/>
        </w:rPr>
        <w:t xml:space="preserve"> patients with CRP 90-200 mg/L had a mix of crystal arthropathy a</w:t>
      </w:r>
      <w:r>
        <w:t>nd SA and patients with CRP &lt; 90 mg/L had either normal or osteo/inflammatory arthritic joints or crystal arthropathy</w:t>
      </w:r>
      <w:r w:rsidR="002F4F95">
        <w:t>.</w:t>
      </w:r>
    </w:p>
    <w:p w14:paraId="23926476" w14:textId="77777777" w:rsidR="00041335" w:rsidRDefault="00041335" w:rsidP="00041335">
      <w:pPr>
        <w:spacing w:line="480" w:lineRule="auto"/>
      </w:pPr>
    </w:p>
    <w:p w14:paraId="3328F52D" w14:textId="503B5B2B" w:rsidR="00227370" w:rsidRPr="00A96B0B" w:rsidRDefault="00227370" w:rsidP="00C44175">
      <w:pPr>
        <w:spacing w:line="480" w:lineRule="auto"/>
      </w:pPr>
      <w:r w:rsidRPr="00A96B0B">
        <w:rPr>
          <w:b/>
        </w:rPr>
        <w:t>Figure 1: CRP by Group</w:t>
      </w:r>
    </w:p>
    <w:p w14:paraId="4F663CD6" w14:textId="71E98A76" w:rsidR="006F4E5B" w:rsidRDefault="006F4E5B" w:rsidP="00805C06">
      <w:pPr>
        <w:spacing w:line="480" w:lineRule="auto"/>
      </w:pPr>
    </w:p>
    <w:p w14:paraId="6BCB5761" w14:textId="2771CE4D" w:rsidR="009A0944" w:rsidRDefault="009A0944" w:rsidP="00805C06">
      <w:pPr>
        <w:spacing w:line="480" w:lineRule="auto"/>
        <w:rPr>
          <w:color w:val="000000" w:themeColor="text1"/>
        </w:rPr>
      </w:pPr>
      <w:r>
        <w:t xml:space="preserve">We performed an analysis of variance to </w:t>
      </w:r>
      <w:r w:rsidR="00CA5EBF">
        <w:t>test for</w:t>
      </w:r>
      <w:r>
        <w:t xml:space="preserve"> difference between the groups. We found that the mean CRP in patients with a normal or osteo/inflammatory arthritic joint </w:t>
      </w:r>
      <w:r w:rsidR="005F47A6">
        <w:t xml:space="preserve">was </w:t>
      </w:r>
      <w:r w:rsidR="005F47A6" w:rsidRPr="008B16CB">
        <w:rPr>
          <w:color w:val="000000" w:themeColor="text1"/>
        </w:rPr>
        <w:t>25</w:t>
      </w:r>
      <w:r w:rsidR="005F47A6">
        <w:t xml:space="preserve"> mg/L</w:t>
      </w:r>
      <w:r w:rsidR="00C53CA4">
        <w:t xml:space="preserve"> [15-37]</w:t>
      </w:r>
      <w:r>
        <w:t xml:space="preserve">. This was compared with </w:t>
      </w:r>
      <w:r w:rsidR="005F47A6">
        <w:t xml:space="preserve">100 mg/L </w:t>
      </w:r>
      <w:r>
        <w:t xml:space="preserve">(p=&lt;0.001) </w:t>
      </w:r>
      <w:r w:rsidR="005F47A6">
        <w:t xml:space="preserve">in crystal arthropathy </w:t>
      </w:r>
      <w:r w:rsidR="00C53CA4">
        <w:t xml:space="preserve">[71-125] </w:t>
      </w:r>
      <w:r w:rsidR="005F47A6">
        <w:t>and 30</w:t>
      </w:r>
      <w:r w:rsidR="00C53CA4">
        <w:t>8</w:t>
      </w:r>
      <w:r w:rsidR="005F47A6">
        <w:t xml:space="preserve"> mg/L </w:t>
      </w:r>
      <w:r w:rsidR="00C53CA4">
        <w:t xml:space="preserve">[265-362] </w:t>
      </w:r>
      <w:r>
        <w:t xml:space="preserve">(p=&lt;0.001) </w:t>
      </w:r>
      <w:r w:rsidR="005F47A6">
        <w:t>in patients with SA</w:t>
      </w:r>
      <w:r>
        <w:rPr>
          <w:color w:val="000000" w:themeColor="text1"/>
        </w:rPr>
        <w:t xml:space="preserve"> (Figure 1).</w:t>
      </w:r>
      <w:r w:rsidR="000B72F9">
        <w:rPr>
          <w:color w:val="000000" w:themeColor="text1"/>
        </w:rPr>
        <w:t xml:space="preserve"> There was also a statistically significant difference when comparing the mean CRP in crystal </w:t>
      </w:r>
      <w:r w:rsidR="00EE573B">
        <w:rPr>
          <w:color w:val="000000" w:themeColor="text1"/>
        </w:rPr>
        <w:t>arthropathy with those with SA.</w:t>
      </w:r>
    </w:p>
    <w:p w14:paraId="337CC7B3" w14:textId="00E72B05" w:rsidR="00D4050A" w:rsidRDefault="00D4050A" w:rsidP="00805C06">
      <w:pPr>
        <w:spacing w:line="480" w:lineRule="auto"/>
        <w:rPr>
          <w:color w:val="000000" w:themeColor="text1"/>
        </w:rPr>
      </w:pPr>
      <w:r w:rsidRPr="00D4050A">
        <w:rPr>
          <w:color w:val="000000" w:themeColor="text1"/>
        </w:rPr>
        <w:lastRenderedPageBreak/>
        <w:t xml:space="preserve">Receiver operative curves (ROC) produced for CRP demonstrated an AUC of 0.88 (95% CI: 0.77, 0.99) with an optimal cut off of &gt;=65 mg/L to differentiate between patients with normal or osteo/inflammatory arthritic joints </w:t>
      </w:r>
      <w:r w:rsidR="00D557BF">
        <w:rPr>
          <w:color w:val="000000" w:themeColor="text1"/>
        </w:rPr>
        <w:t>(Figure 3</w:t>
      </w:r>
      <w:r w:rsidR="00342811">
        <w:rPr>
          <w:color w:val="000000" w:themeColor="text1"/>
        </w:rPr>
        <w:t xml:space="preserve">) </w:t>
      </w:r>
      <w:r w:rsidRPr="00D4050A">
        <w:rPr>
          <w:color w:val="000000" w:themeColor="text1"/>
        </w:rPr>
        <w:t>and crystal arthropathy (sensitivity 77.8%; specificity 92.3%)</w:t>
      </w:r>
      <w:r w:rsidR="00D557BF">
        <w:rPr>
          <w:color w:val="000000" w:themeColor="text1"/>
        </w:rPr>
        <w:t xml:space="preserve"> (Figure 4</w:t>
      </w:r>
      <w:bookmarkStart w:id="0" w:name="_GoBack"/>
      <w:bookmarkEnd w:id="0"/>
      <w:r w:rsidR="00342811">
        <w:rPr>
          <w:color w:val="000000" w:themeColor="text1"/>
        </w:rPr>
        <w:t>)</w:t>
      </w:r>
      <w:r w:rsidRPr="00D4050A">
        <w:rPr>
          <w:color w:val="000000" w:themeColor="text1"/>
        </w:rPr>
        <w:t>. An AUC of 0.99 (95% CI: 0.99, 1.00) with an optimal cut off of &gt;=90mg/L was found to differentiate between patients with normal or osteo/inflammatory arthritic joints and SA (sensitivity 100%; specificity of 96.2%).</w:t>
      </w:r>
    </w:p>
    <w:p w14:paraId="57781BC8" w14:textId="5505EAAE" w:rsidR="006F4E5B" w:rsidRDefault="005F47A6" w:rsidP="00805C06">
      <w:pPr>
        <w:spacing w:line="480" w:lineRule="auto"/>
        <w:rPr>
          <w:color w:val="000000" w:themeColor="text1"/>
        </w:rPr>
      </w:pPr>
      <w:r w:rsidRPr="000B72F9">
        <w:t>Mean peripheral WCC was 11x10</w:t>
      </w:r>
      <w:r w:rsidRPr="000B72F9">
        <w:rPr>
          <w:vertAlign w:val="superscript"/>
        </w:rPr>
        <w:t>9</w:t>
      </w:r>
      <w:r w:rsidRPr="000B72F9">
        <w:t xml:space="preserve">/L </w:t>
      </w:r>
      <w:r w:rsidR="00C53CA4">
        <w:t xml:space="preserve">[10-12] </w:t>
      </w:r>
      <w:r w:rsidRPr="000B72F9">
        <w:t>in those with normal or osteo/inflammatory arthritic joints, 12x10</w:t>
      </w:r>
      <w:r w:rsidRPr="000B72F9">
        <w:rPr>
          <w:vertAlign w:val="superscript"/>
        </w:rPr>
        <w:t>9</w:t>
      </w:r>
      <w:r w:rsidRPr="000B72F9">
        <w:t xml:space="preserve">/L </w:t>
      </w:r>
      <w:r w:rsidR="006F4E5B">
        <w:t xml:space="preserve">[10-13] </w:t>
      </w:r>
      <w:r w:rsidRPr="000B72F9">
        <w:t>in crystal arthropathy and 13x10</w:t>
      </w:r>
      <w:r w:rsidRPr="000B72F9">
        <w:rPr>
          <w:vertAlign w:val="superscript"/>
        </w:rPr>
        <w:t>9</w:t>
      </w:r>
      <w:r w:rsidRPr="000B72F9">
        <w:t xml:space="preserve">/L </w:t>
      </w:r>
      <w:r w:rsidR="006F4E5B">
        <w:t xml:space="preserve">[10-16] </w:t>
      </w:r>
      <w:r w:rsidRPr="000B72F9">
        <w:t>in patients with SA. There was no significant difference between WCC</w:t>
      </w:r>
      <w:r w:rsidR="003B0D0E">
        <w:t xml:space="preserve"> </w:t>
      </w:r>
      <w:r w:rsidR="003B0D0E" w:rsidRPr="00C44175">
        <w:rPr>
          <w:color w:val="000000" w:themeColor="text1"/>
        </w:rPr>
        <w:t>when comparing the three groups (p=0.111).</w:t>
      </w:r>
    </w:p>
    <w:p w14:paraId="50B403D8" w14:textId="77777777" w:rsidR="00041335" w:rsidRDefault="00041335" w:rsidP="00805C06">
      <w:pPr>
        <w:spacing w:line="480" w:lineRule="auto"/>
        <w:rPr>
          <w:color w:val="000000" w:themeColor="text1"/>
        </w:rPr>
      </w:pPr>
    </w:p>
    <w:p w14:paraId="1A683C89" w14:textId="5D5DC76D" w:rsidR="00041335" w:rsidRPr="00041335" w:rsidRDefault="00041335" w:rsidP="00805C06">
      <w:pPr>
        <w:spacing w:line="480" w:lineRule="auto"/>
        <w:rPr>
          <w:b/>
        </w:rPr>
      </w:pPr>
      <w:r w:rsidRPr="00041335">
        <w:rPr>
          <w:b/>
          <w:color w:val="000000" w:themeColor="text1"/>
        </w:rPr>
        <w:t xml:space="preserve">Figure 2: </w:t>
      </w:r>
      <w:r w:rsidR="00F64D65">
        <w:rPr>
          <w:b/>
          <w:color w:val="000000" w:themeColor="text1"/>
        </w:rPr>
        <w:t xml:space="preserve">Peripheral </w:t>
      </w:r>
      <w:r w:rsidRPr="00041335">
        <w:rPr>
          <w:b/>
          <w:color w:val="000000" w:themeColor="text1"/>
        </w:rPr>
        <w:t>WCC by Group</w:t>
      </w:r>
    </w:p>
    <w:p w14:paraId="2C59EB52" w14:textId="3BD26FCB" w:rsidR="003B0D0E" w:rsidRDefault="003B0D0E" w:rsidP="00805C06">
      <w:pPr>
        <w:spacing w:line="480" w:lineRule="auto"/>
      </w:pPr>
    </w:p>
    <w:p w14:paraId="0B51CF10" w14:textId="1A646F9F" w:rsidR="005F47A6" w:rsidRDefault="005F47A6" w:rsidP="00805C06">
      <w:pPr>
        <w:spacing w:line="480" w:lineRule="auto"/>
      </w:pPr>
      <w:r>
        <w:t>Mean aspiration WCC was 8215</w:t>
      </w:r>
      <w:r w:rsidRPr="00941E0B">
        <w:t>/mm</w:t>
      </w:r>
      <w:r w:rsidRPr="00941E0B">
        <w:rPr>
          <w:vertAlign w:val="superscript"/>
        </w:rPr>
        <w:t>3</w:t>
      </w:r>
      <w:r>
        <w:t xml:space="preserve"> in those with normal or osteo/inflammatory arthritic joints, 25,964</w:t>
      </w:r>
      <w:r w:rsidRPr="00941E0B">
        <w:t>/mm</w:t>
      </w:r>
      <w:r w:rsidRPr="00941E0B">
        <w:rPr>
          <w:vertAlign w:val="superscript"/>
        </w:rPr>
        <w:t>3</w:t>
      </w:r>
      <w:r>
        <w:t xml:space="preserve"> in crystal arthropathy and 48,554</w:t>
      </w:r>
      <w:r w:rsidRPr="00941E0B">
        <w:t>/mm</w:t>
      </w:r>
      <w:r w:rsidRPr="00941E0B">
        <w:rPr>
          <w:vertAlign w:val="superscript"/>
        </w:rPr>
        <w:t>3</w:t>
      </w:r>
      <w:r>
        <w:t xml:space="preserve"> in patients with SA. Aspiration WCC differentiated between SA and </w:t>
      </w:r>
      <w:r w:rsidR="000B72F9">
        <w:t xml:space="preserve">a </w:t>
      </w:r>
      <w:r>
        <w:t>normal or osteo/inflamma</w:t>
      </w:r>
      <w:r w:rsidR="009E3F40">
        <w:t>tory arthritic joint (p=0.001)</w:t>
      </w:r>
      <w:r w:rsidR="000B72F9">
        <w:t xml:space="preserve">, but we found </w:t>
      </w:r>
      <w:r>
        <w:t>no significant difference between SA and crystal arthropathy (</w:t>
      </w:r>
      <w:r w:rsidR="006F4E5B">
        <w:t>p=</w:t>
      </w:r>
      <w:r>
        <w:t>0.059).</w:t>
      </w:r>
    </w:p>
    <w:p w14:paraId="365A476E" w14:textId="0BF7BC26" w:rsidR="00A30032" w:rsidRDefault="00F51FD5" w:rsidP="00805C06">
      <w:pPr>
        <w:spacing w:line="480" w:lineRule="auto"/>
        <w:rPr>
          <w:u w:val="single"/>
        </w:rPr>
      </w:pPr>
      <w:r>
        <w:t xml:space="preserve">4 (2%) </w:t>
      </w:r>
      <w:r w:rsidR="00923731">
        <w:t xml:space="preserve">patients </w:t>
      </w:r>
      <w:r>
        <w:t xml:space="preserve">had a positive gram stain and 23 (12%) had a positive extended culture. </w:t>
      </w:r>
      <w:r w:rsidR="00400BCF">
        <w:t>Only 13 (7%) of these patients were treated as septic, with the rest labelled as contaminants. 2 patients had clinically septic joints with no growth.</w:t>
      </w:r>
      <w:r w:rsidR="00BE4832">
        <w:t xml:space="preserve"> </w:t>
      </w:r>
      <w:r w:rsidR="000B72F9">
        <w:t>The reliability of gram stain and extended culture are shown in Table 1.</w:t>
      </w:r>
    </w:p>
    <w:p w14:paraId="362D94DA" w14:textId="77777777" w:rsidR="00041335" w:rsidRDefault="00041335" w:rsidP="00805C06">
      <w:pPr>
        <w:spacing w:line="480" w:lineRule="auto"/>
        <w:rPr>
          <w:u w:val="single"/>
        </w:rPr>
      </w:pPr>
    </w:p>
    <w:p w14:paraId="6D74BAB5" w14:textId="77777777" w:rsidR="00EE573B" w:rsidRDefault="00EE573B" w:rsidP="00805C06">
      <w:pPr>
        <w:spacing w:line="480" w:lineRule="auto"/>
        <w:rPr>
          <w:u w:val="single"/>
        </w:rPr>
      </w:pPr>
    </w:p>
    <w:p w14:paraId="415EEC4A" w14:textId="77777777" w:rsidR="00EE573B" w:rsidRDefault="00EE573B" w:rsidP="00805C06">
      <w:pPr>
        <w:spacing w:line="480" w:lineRule="auto"/>
        <w:rPr>
          <w:u w:val="single"/>
        </w:rPr>
      </w:pPr>
    </w:p>
    <w:p w14:paraId="208A0807" w14:textId="6B561E3F" w:rsidR="00CE7006" w:rsidRPr="00D6519C" w:rsidRDefault="00792256" w:rsidP="00805C06">
      <w:pPr>
        <w:spacing w:line="480" w:lineRule="auto"/>
        <w:rPr>
          <w:color w:val="FF0000"/>
        </w:rPr>
      </w:pPr>
      <w:r>
        <w:rPr>
          <w:u w:val="single"/>
        </w:rPr>
        <w:lastRenderedPageBreak/>
        <w:t>DISCUSSION</w:t>
      </w:r>
    </w:p>
    <w:p w14:paraId="536A1204" w14:textId="39F9BDDE" w:rsidR="00041335" w:rsidRPr="009E3F40" w:rsidRDefault="00BE6B2F" w:rsidP="00041335">
      <w:pPr>
        <w:spacing w:line="480" w:lineRule="auto"/>
        <w:rPr>
          <w:color w:val="000000" w:themeColor="text1"/>
        </w:rPr>
      </w:pPr>
      <w:r w:rsidRPr="009E3F40">
        <w:rPr>
          <w:color w:val="000000" w:themeColor="text1"/>
        </w:rPr>
        <w:t>We have demonstrated</w:t>
      </w:r>
      <w:r w:rsidR="00BE1A6B">
        <w:rPr>
          <w:color w:val="000000" w:themeColor="text1"/>
        </w:rPr>
        <w:t xml:space="preserve"> that</w:t>
      </w:r>
      <w:r w:rsidRPr="009E3F40">
        <w:rPr>
          <w:color w:val="000000" w:themeColor="text1"/>
        </w:rPr>
        <w:t xml:space="preserve"> CRP </w:t>
      </w:r>
      <w:r w:rsidR="00BE1A6B">
        <w:rPr>
          <w:color w:val="000000" w:themeColor="text1"/>
        </w:rPr>
        <w:t>is</w:t>
      </w:r>
      <w:r w:rsidRPr="009E3F40">
        <w:rPr>
          <w:color w:val="000000" w:themeColor="text1"/>
        </w:rPr>
        <w:t xml:space="preserve"> a </w:t>
      </w:r>
      <w:r w:rsidR="00BE1A6B">
        <w:rPr>
          <w:color w:val="000000" w:themeColor="text1"/>
        </w:rPr>
        <w:t xml:space="preserve">useful test in aiding the diagnosis of a patient presenting with hot swollen </w:t>
      </w:r>
      <w:r w:rsidR="00041335">
        <w:rPr>
          <w:color w:val="000000" w:themeColor="text1"/>
        </w:rPr>
        <w:t>joints</w:t>
      </w:r>
      <w:r w:rsidR="00BE1A6B">
        <w:rPr>
          <w:color w:val="000000" w:themeColor="text1"/>
        </w:rPr>
        <w:t xml:space="preserve">. We have found it to be reliable independent positive predictor of SA and that it can be used to differentiate between the </w:t>
      </w:r>
      <w:r w:rsidR="00627E2B" w:rsidRPr="009E3F40">
        <w:rPr>
          <w:color w:val="000000" w:themeColor="text1"/>
        </w:rPr>
        <w:t xml:space="preserve">normal or </w:t>
      </w:r>
      <w:r w:rsidRPr="009E3F40">
        <w:rPr>
          <w:color w:val="000000" w:themeColor="text1"/>
        </w:rPr>
        <w:t>osteo/inflammat</w:t>
      </w:r>
      <w:r w:rsidR="00BE1A6B">
        <w:rPr>
          <w:color w:val="000000" w:themeColor="text1"/>
        </w:rPr>
        <w:t xml:space="preserve">ory arthritic joints (p=&lt;0.001), </w:t>
      </w:r>
      <w:r w:rsidRPr="009E3F40">
        <w:rPr>
          <w:color w:val="000000" w:themeColor="text1"/>
        </w:rPr>
        <w:t xml:space="preserve">SA and crystal arthropathy (p=&lt;0.001) in </w:t>
      </w:r>
      <w:r w:rsidR="0087496A" w:rsidRPr="009E3F40">
        <w:rPr>
          <w:color w:val="000000" w:themeColor="text1"/>
        </w:rPr>
        <w:t>an adult population</w:t>
      </w:r>
      <w:r w:rsidRPr="009E3F40">
        <w:rPr>
          <w:color w:val="000000" w:themeColor="text1"/>
        </w:rPr>
        <w:t xml:space="preserve">. Mean CRP was 25 mg/L in those with </w:t>
      </w:r>
      <w:r w:rsidR="00627E2B" w:rsidRPr="009E3F40">
        <w:rPr>
          <w:color w:val="000000" w:themeColor="text1"/>
        </w:rPr>
        <w:t xml:space="preserve">normal or </w:t>
      </w:r>
      <w:r w:rsidRPr="009E3F40">
        <w:rPr>
          <w:color w:val="000000" w:themeColor="text1"/>
        </w:rPr>
        <w:t>osteo/inflammatory arthritic joints, 100 mg/L in crystal arthropathy and 30</w:t>
      </w:r>
      <w:r w:rsidR="00C53CA4">
        <w:rPr>
          <w:color w:val="000000" w:themeColor="text1"/>
        </w:rPr>
        <w:t>8</w:t>
      </w:r>
      <w:r w:rsidRPr="009E3F40">
        <w:rPr>
          <w:color w:val="000000" w:themeColor="text1"/>
        </w:rPr>
        <w:t xml:space="preserve"> mg/L in patients with </w:t>
      </w:r>
      <w:r w:rsidR="006E5159" w:rsidRPr="009E3F40">
        <w:rPr>
          <w:color w:val="000000" w:themeColor="text1"/>
        </w:rPr>
        <w:t>SA</w:t>
      </w:r>
      <w:r w:rsidRPr="009E3F40">
        <w:rPr>
          <w:color w:val="000000" w:themeColor="text1"/>
        </w:rPr>
        <w:t xml:space="preserve">. No patients with CRP &lt; 90 mg/L had SA. </w:t>
      </w:r>
      <w:r w:rsidR="00041335">
        <w:rPr>
          <w:color w:val="000000" w:themeColor="text1"/>
        </w:rPr>
        <w:t xml:space="preserve">ROC analysis demonstrated a cut of 90 mg/L to differentiate between </w:t>
      </w:r>
      <w:r w:rsidR="00041335" w:rsidRPr="009E3F40">
        <w:rPr>
          <w:color w:val="000000" w:themeColor="text1"/>
        </w:rPr>
        <w:t>normal or osteo/inflammat</w:t>
      </w:r>
      <w:r w:rsidR="00041335">
        <w:rPr>
          <w:color w:val="000000" w:themeColor="text1"/>
        </w:rPr>
        <w:t xml:space="preserve">ory arthritic joints and SA, with a highly favourable </w:t>
      </w:r>
      <w:r w:rsidR="00A2779D">
        <w:rPr>
          <w:color w:val="000000" w:themeColor="text1"/>
        </w:rPr>
        <w:t xml:space="preserve">sensitivity of 100% and </w:t>
      </w:r>
      <w:r w:rsidR="00A2779D" w:rsidRPr="00041335">
        <w:rPr>
          <w:color w:val="000000" w:themeColor="text1"/>
        </w:rPr>
        <w:t>specificity of 96.2%</w:t>
      </w:r>
      <w:r w:rsidR="00A2779D">
        <w:rPr>
          <w:color w:val="000000" w:themeColor="text1"/>
        </w:rPr>
        <w:t>.</w:t>
      </w:r>
    </w:p>
    <w:p w14:paraId="5C8573C1" w14:textId="161A7DC1" w:rsidR="00BE6B2F" w:rsidRDefault="00BE6B2F" w:rsidP="00805C06">
      <w:pPr>
        <w:spacing w:line="480" w:lineRule="auto"/>
        <w:rPr>
          <w:color w:val="000000" w:themeColor="text1"/>
        </w:rPr>
      </w:pPr>
      <w:r w:rsidRPr="009E3F40">
        <w:rPr>
          <w:color w:val="000000" w:themeColor="text1"/>
        </w:rPr>
        <w:t xml:space="preserve">This is in keeping with a prospective study by Jain </w:t>
      </w:r>
      <w:r w:rsidRPr="009E3F40">
        <w:rPr>
          <w:i/>
          <w:color w:val="000000" w:themeColor="text1"/>
        </w:rPr>
        <w:t>et al.</w:t>
      </w:r>
      <w:r w:rsidRPr="009E3F40">
        <w:rPr>
          <w:color w:val="000000" w:themeColor="text1"/>
        </w:rPr>
        <w:t xml:space="preserve"> who reported CRP values of more than or equal to 96 mg/L in 84% of patients </w:t>
      </w:r>
      <w:r w:rsidR="00BE1A6B">
        <w:rPr>
          <w:color w:val="000000" w:themeColor="text1"/>
        </w:rPr>
        <w:t xml:space="preserve">presenting with SA </w:t>
      </w:r>
      <w:r w:rsidRPr="009E3F40">
        <w:rPr>
          <w:color w:val="000000" w:themeColor="text1"/>
        </w:rPr>
        <w:t>in their series</w:t>
      </w:r>
      <w:r w:rsidRPr="009E3F40">
        <w:rPr>
          <w:color w:val="000000" w:themeColor="text1"/>
          <w:vertAlign w:val="superscript"/>
        </w:rPr>
        <w:t>7</w:t>
      </w:r>
      <w:r w:rsidR="00BE1A6B">
        <w:rPr>
          <w:color w:val="000000" w:themeColor="text1"/>
        </w:rPr>
        <w:t>. In a similar study</w:t>
      </w:r>
      <w:r w:rsidRPr="009E3F40">
        <w:rPr>
          <w:color w:val="000000" w:themeColor="text1"/>
        </w:rPr>
        <w:t xml:space="preserve">, Earnst </w:t>
      </w:r>
      <w:r w:rsidRPr="009E3F40">
        <w:rPr>
          <w:i/>
          <w:color w:val="000000" w:themeColor="text1"/>
        </w:rPr>
        <w:t>et al.</w:t>
      </w:r>
      <w:r w:rsidRPr="009E3F40">
        <w:rPr>
          <w:color w:val="000000" w:themeColor="text1"/>
        </w:rPr>
        <w:t xml:space="preserve"> reported mean CRP values in patients presenting with hot swollen joints</w:t>
      </w:r>
      <w:r w:rsidR="00623A54">
        <w:rPr>
          <w:color w:val="000000" w:themeColor="text1"/>
        </w:rPr>
        <w:t xml:space="preserve"> of</w:t>
      </w:r>
      <w:r w:rsidRPr="009E3F40">
        <w:rPr>
          <w:color w:val="000000" w:themeColor="text1"/>
        </w:rPr>
        <w:t xml:space="preserve"> 124 mg/L</w:t>
      </w:r>
      <w:r w:rsidR="0013600E">
        <w:rPr>
          <w:color w:val="000000" w:themeColor="text1"/>
        </w:rPr>
        <w:t xml:space="preserve"> in SA,</w:t>
      </w:r>
      <w:r w:rsidRPr="009E3F40">
        <w:rPr>
          <w:color w:val="000000" w:themeColor="text1"/>
        </w:rPr>
        <w:t xml:space="preserve"> 81 mg/L </w:t>
      </w:r>
      <w:r w:rsidR="0013600E">
        <w:rPr>
          <w:color w:val="000000" w:themeColor="text1"/>
        </w:rPr>
        <w:t xml:space="preserve">in </w:t>
      </w:r>
      <w:r w:rsidR="0013600E" w:rsidRPr="009E3F40">
        <w:rPr>
          <w:color w:val="000000" w:themeColor="text1"/>
        </w:rPr>
        <w:t xml:space="preserve">inflammatory arthritis </w:t>
      </w:r>
      <w:r w:rsidR="0013600E">
        <w:rPr>
          <w:color w:val="000000" w:themeColor="text1"/>
        </w:rPr>
        <w:t xml:space="preserve">and </w:t>
      </w:r>
      <w:r w:rsidRPr="009E3F40">
        <w:rPr>
          <w:color w:val="000000" w:themeColor="text1"/>
        </w:rPr>
        <w:t>57 mg/L</w:t>
      </w:r>
      <w:r w:rsidR="0013600E">
        <w:rPr>
          <w:color w:val="000000" w:themeColor="text1"/>
        </w:rPr>
        <w:t xml:space="preserve"> in the normal knee</w:t>
      </w:r>
      <w:r w:rsidRPr="009E3F40">
        <w:rPr>
          <w:color w:val="000000" w:themeColor="text1"/>
          <w:vertAlign w:val="superscript"/>
        </w:rPr>
        <w:t>8</w:t>
      </w:r>
      <w:r w:rsidRPr="009E3F40">
        <w:rPr>
          <w:color w:val="000000" w:themeColor="text1"/>
        </w:rPr>
        <w:t>.</w:t>
      </w:r>
    </w:p>
    <w:p w14:paraId="40B17EC7" w14:textId="2B2F79E9" w:rsidR="00BC2E36" w:rsidRPr="00DE1D8F" w:rsidRDefault="005C0D32" w:rsidP="00805C06">
      <w:pPr>
        <w:spacing w:line="480" w:lineRule="auto"/>
        <w:rPr>
          <w:color w:val="000000" w:themeColor="text1"/>
        </w:rPr>
      </w:pPr>
      <w:r w:rsidRPr="00DE1D8F">
        <w:rPr>
          <w:color w:val="000000" w:themeColor="text1"/>
        </w:rPr>
        <w:t>We have found that p</w:t>
      </w:r>
      <w:r w:rsidR="00BC2E36" w:rsidRPr="00DE1D8F">
        <w:rPr>
          <w:color w:val="000000" w:themeColor="text1"/>
        </w:rPr>
        <w:t xml:space="preserve">eripheral WCC </w:t>
      </w:r>
      <w:r w:rsidRPr="00DE1D8F">
        <w:rPr>
          <w:color w:val="000000" w:themeColor="text1"/>
        </w:rPr>
        <w:t>is an unreliable</w:t>
      </w:r>
      <w:r w:rsidR="00BC2E36" w:rsidRPr="00DE1D8F">
        <w:rPr>
          <w:color w:val="000000" w:themeColor="text1"/>
        </w:rPr>
        <w:t xml:space="preserve"> predictive marker</w:t>
      </w:r>
      <w:r w:rsidRPr="00DE1D8F">
        <w:rPr>
          <w:color w:val="000000" w:themeColor="text1"/>
        </w:rPr>
        <w:t>.</w:t>
      </w:r>
      <w:r w:rsidR="00BC2E36" w:rsidRPr="00DE1D8F">
        <w:rPr>
          <w:color w:val="000000" w:themeColor="text1"/>
        </w:rPr>
        <w:t xml:space="preserve"> Aspiration WCC was reliable as a predictive marker between SA and normal or osteo/inflammatory arthritic joints (p=0.001), but not between SA and crystal arthropathy (</w:t>
      </w:r>
      <w:r w:rsidR="004662E3" w:rsidRPr="00DE1D8F">
        <w:rPr>
          <w:color w:val="000000" w:themeColor="text1"/>
        </w:rPr>
        <w:t>p=</w:t>
      </w:r>
      <w:r w:rsidR="00BC2E36" w:rsidRPr="00DE1D8F">
        <w:rPr>
          <w:color w:val="000000" w:themeColor="text1"/>
        </w:rPr>
        <w:t>0.059). It is also important to note that mean aspiration WCC was 48,554/mm</w:t>
      </w:r>
      <w:r w:rsidR="00BC2E36" w:rsidRPr="00DE1D8F">
        <w:rPr>
          <w:color w:val="000000" w:themeColor="text1"/>
          <w:vertAlign w:val="superscript"/>
        </w:rPr>
        <w:t>3</w:t>
      </w:r>
      <w:r w:rsidR="00BC2E36" w:rsidRPr="00DE1D8F">
        <w:rPr>
          <w:color w:val="000000" w:themeColor="text1"/>
        </w:rPr>
        <w:t xml:space="preserve"> in patients with SA, which is less than the gold standard value of 50,000/mm</w:t>
      </w:r>
      <w:r w:rsidR="00BC2E36" w:rsidRPr="00DE1D8F">
        <w:rPr>
          <w:color w:val="000000" w:themeColor="text1"/>
          <w:vertAlign w:val="superscript"/>
        </w:rPr>
        <w:t>3</w:t>
      </w:r>
      <w:r w:rsidR="00BC2E36" w:rsidRPr="00DE1D8F">
        <w:rPr>
          <w:color w:val="000000" w:themeColor="text1"/>
        </w:rPr>
        <w:t>. Therefore, in practice, aspiration WCC may not be as useful as other parameters, such as CRP, and the gold standard value of 50,000/mm</w:t>
      </w:r>
      <w:r w:rsidR="00BC2E36" w:rsidRPr="00DE1D8F">
        <w:rPr>
          <w:color w:val="000000" w:themeColor="text1"/>
          <w:vertAlign w:val="superscript"/>
        </w:rPr>
        <w:t>3</w:t>
      </w:r>
      <w:r w:rsidR="00BC2E36" w:rsidRPr="00DE1D8F">
        <w:rPr>
          <w:color w:val="000000" w:themeColor="text1"/>
        </w:rPr>
        <w:t xml:space="preserve"> should perhaps be used with caution. We propose a value of 20,000/mm</w:t>
      </w:r>
      <w:r w:rsidR="00BC2E36" w:rsidRPr="00DE1D8F">
        <w:rPr>
          <w:color w:val="000000" w:themeColor="text1"/>
          <w:vertAlign w:val="superscript"/>
        </w:rPr>
        <w:t>3</w:t>
      </w:r>
      <w:r w:rsidR="00BC2E36" w:rsidRPr="00DE1D8F">
        <w:rPr>
          <w:color w:val="000000" w:themeColor="text1"/>
        </w:rPr>
        <w:t xml:space="preserve"> </w:t>
      </w:r>
      <w:r w:rsidRPr="00DE1D8F">
        <w:rPr>
          <w:color w:val="000000" w:themeColor="text1"/>
        </w:rPr>
        <w:t>as a value to help exclude SA, but ensure that it is not missed.</w:t>
      </w:r>
    </w:p>
    <w:p w14:paraId="4A029C9E" w14:textId="16FCEDF2" w:rsidR="00A30032" w:rsidRDefault="00BE6B2F" w:rsidP="00805C06">
      <w:pPr>
        <w:spacing w:line="480" w:lineRule="auto"/>
        <w:rPr>
          <w:color w:val="000000" w:themeColor="text1"/>
        </w:rPr>
      </w:pPr>
      <w:r w:rsidRPr="009E3F40">
        <w:rPr>
          <w:color w:val="000000" w:themeColor="text1"/>
        </w:rPr>
        <w:t xml:space="preserve">In children, Bruce </w:t>
      </w:r>
      <w:r w:rsidRPr="009E3F40">
        <w:rPr>
          <w:i/>
          <w:color w:val="000000" w:themeColor="text1"/>
        </w:rPr>
        <w:t>et al.</w:t>
      </w:r>
      <w:r w:rsidRPr="009E3F40">
        <w:rPr>
          <w:color w:val="000000" w:themeColor="text1"/>
        </w:rPr>
        <w:t xml:space="preserve"> demonstrated CRP and weight-bearing status </w:t>
      </w:r>
      <w:r w:rsidR="0087496A" w:rsidRPr="009E3F40">
        <w:rPr>
          <w:color w:val="000000" w:themeColor="text1"/>
        </w:rPr>
        <w:t xml:space="preserve">to </w:t>
      </w:r>
      <w:r w:rsidRPr="009E3F40">
        <w:rPr>
          <w:color w:val="000000" w:themeColor="text1"/>
        </w:rPr>
        <w:t xml:space="preserve">independently differentiate between </w:t>
      </w:r>
      <w:r w:rsidR="006E5159" w:rsidRPr="009E3F40">
        <w:rPr>
          <w:color w:val="000000" w:themeColor="text1"/>
        </w:rPr>
        <w:t>SA</w:t>
      </w:r>
      <w:r w:rsidRPr="009E3F40">
        <w:rPr>
          <w:color w:val="000000" w:themeColor="text1"/>
        </w:rPr>
        <w:t xml:space="preserve"> and transient synovitis and used </w:t>
      </w:r>
      <w:r w:rsidR="0087496A" w:rsidRPr="009E3F40">
        <w:rPr>
          <w:color w:val="000000" w:themeColor="text1"/>
        </w:rPr>
        <w:t xml:space="preserve">them </w:t>
      </w:r>
      <w:r w:rsidRPr="009E3F40">
        <w:rPr>
          <w:color w:val="000000" w:themeColor="text1"/>
        </w:rPr>
        <w:t>in a two-variable algorithm as an excellent negative predictor</w:t>
      </w:r>
      <w:r w:rsidRPr="009E3F40">
        <w:rPr>
          <w:color w:val="000000" w:themeColor="text1"/>
          <w:vertAlign w:val="superscript"/>
        </w:rPr>
        <w:t>6</w:t>
      </w:r>
      <w:r w:rsidRPr="009E3F40">
        <w:rPr>
          <w:color w:val="000000" w:themeColor="text1"/>
        </w:rPr>
        <w:t xml:space="preserve">. </w:t>
      </w:r>
      <w:r w:rsidR="00DF26BD" w:rsidRPr="009E3F40">
        <w:rPr>
          <w:color w:val="000000" w:themeColor="text1"/>
        </w:rPr>
        <w:t>O</w:t>
      </w:r>
      <w:r w:rsidRPr="009E3F40">
        <w:rPr>
          <w:color w:val="000000" w:themeColor="text1"/>
        </w:rPr>
        <w:t xml:space="preserve">ur results suggest that CRP </w:t>
      </w:r>
      <w:r w:rsidR="00312E16">
        <w:rPr>
          <w:color w:val="000000" w:themeColor="text1"/>
        </w:rPr>
        <w:t>could</w:t>
      </w:r>
      <w:r w:rsidR="00DF26BD" w:rsidRPr="009E3F40">
        <w:rPr>
          <w:color w:val="000000" w:themeColor="text1"/>
        </w:rPr>
        <w:t xml:space="preserve"> also be used in a similar adult model</w:t>
      </w:r>
      <w:r w:rsidR="00017F29" w:rsidRPr="009E3F40">
        <w:rPr>
          <w:color w:val="000000" w:themeColor="text1"/>
        </w:rPr>
        <w:t xml:space="preserve"> to differentiate between normal or osteo/inflammatory arthritic joints, crystal arthropathy and SA</w:t>
      </w:r>
      <w:r w:rsidR="00E56911" w:rsidRPr="00CE5F10">
        <w:rPr>
          <w:color w:val="000000" w:themeColor="text1"/>
        </w:rPr>
        <w:t>.</w:t>
      </w:r>
    </w:p>
    <w:p w14:paraId="3FAEE87D" w14:textId="2BFEBA89" w:rsidR="00A30032" w:rsidRDefault="00A30032" w:rsidP="00805C06">
      <w:pPr>
        <w:spacing w:line="480" w:lineRule="auto"/>
        <w:rPr>
          <w:color w:val="000000" w:themeColor="text1"/>
          <w:u w:val="single"/>
        </w:rPr>
      </w:pPr>
      <w:r>
        <w:rPr>
          <w:color w:val="000000" w:themeColor="text1"/>
          <w:u w:val="single"/>
        </w:rPr>
        <w:lastRenderedPageBreak/>
        <w:t>CONCLUSIONS</w:t>
      </w:r>
    </w:p>
    <w:p w14:paraId="4FD7F3C4" w14:textId="5C860607" w:rsidR="00A30032" w:rsidRDefault="00A30032" w:rsidP="00A30032">
      <w:pPr>
        <w:spacing w:line="480" w:lineRule="auto"/>
        <w:rPr>
          <w:color w:val="000000" w:themeColor="text1"/>
        </w:rPr>
      </w:pPr>
      <w:r>
        <w:rPr>
          <w:color w:val="000000" w:themeColor="text1"/>
        </w:rPr>
        <w:t>W</w:t>
      </w:r>
      <w:r w:rsidRPr="00CE5F10">
        <w:rPr>
          <w:color w:val="000000" w:themeColor="text1"/>
        </w:rPr>
        <w:t xml:space="preserve">e have demonstrated CRP to be a reliable independent marker </w:t>
      </w:r>
      <w:r>
        <w:rPr>
          <w:color w:val="000000" w:themeColor="text1"/>
        </w:rPr>
        <w:t>to help differentiate between SA, crystal arthopathy and normal/arthritic joint in an adult population</w:t>
      </w:r>
      <w:r w:rsidRPr="00CE5F10">
        <w:rPr>
          <w:color w:val="000000" w:themeColor="text1"/>
        </w:rPr>
        <w:t xml:space="preserve">. </w:t>
      </w:r>
      <w:r w:rsidR="00384909" w:rsidRPr="009E3F40">
        <w:rPr>
          <w:color w:val="000000" w:themeColor="text1"/>
        </w:rPr>
        <w:t>No patients with CRP &lt; 90 mg/L had SA.</w:t>
      </w:r>
      <w:r w:rsidR="00384909">
        <w:rPr>
          <w:color w:val="000000" w:themeColor="text1"/>
        </w:rPr>
        <w:t xml:space="preserve"> Future studies should </w:t>
      </w:r>
      <w:r w:rsidR="00772432">
        <w:rPr>
          <w:color w:val="000000" w:themeColor="text1"/>
        </w:rPr>
        <w:t>focus on the develo</w:t>
      </w:r>
      <w:r w:rsidR="00E6090E">
        <w:rPr>
          <w:color w:val="000000" w:themeColor="text1"/>
        </w:rPr>
        <w:t>pment of a reliable criteria to diagnose</w:t>
      </w:r>
      <w:r w:rsidR="00772432">
        <w:rPr>
          <w:color w:val="000000" w:themeColor="text1"/>
        </w:rPr>
        <w:t xml:space="preserve"> septic arthritis in adults, similar to the Kocher criteria</w:t>
      </w:r>
      <w:r w:rsidR="00B01BFD">
        <w:rPr>
          <w:color w:val="000000" w:themeColor="text1"/>
        </w:rPr>
        <w:t xml:space="preserve"> in children</w:t>
      </w:r>
      <w:r w:rsidR="00730546">
        <w:rPr>
          <w:color w:val="000000" w:themeColor="text1"/>
          <w:vertAlign w:val="superscript"/>
        </w:rPr>
        <w:t>16</w:t>
      </w:r>
      <w:r w:rsidR="00772432">
        <w:rPr>
          <w:color w:val="000000" w:themeColor="text1"/>
        </w:rPr>
        <w:t>.</w:t>
      </w:r>
    </w:p>
    <w:p w14:paraId="78172BF8" w14:textId="77777777" w:rsidR="00A30032" w:rsidRDefault="00A30032" w:rsidP="00805C06">
      <w:pPr>
        <w:spacing w:line="480" w:lineRule="auto"/>
        <w:rPr>
          <w:color w:val="000000" w:themeColor="text1"/>
        </w:rPr>
      </w:pPr>
    </w:p>
    <w:p w14:paraId="034264CC" w14:textId="2521959E" w:rsidR="00792256" w:rsidRDefault="00792256" w:rsidP="00805C06">
      <w:pPr>
        <w:spacing w:line="480" w:lineRule="auto"/>
        <w:rPr>
          <w:color w:val="000000" w:themeColor="text1"/>
          <w:u w:val="single"/>
        </w:rPr>
      </w:pPr>
      <w:r>
        <w:rPr>
          <w:color w:val="000000" w:themeColor="text1"/>
          <w:u w:val="single"/>
        </w:rPr>
        <w:t>ACKNOWLEDGEMENTS, COMPETING INTERESTS, FUNDING</w:t>
      </w:r>
    </w:p>
    <w:p w14:paraId="4340A400" w14:textId="68F3D861" w:rsidR="00A879D5" w:rsidRPr="00A879D5" w:rsidRDefault="002D63EF" w:rsidP="00805C06">
      <w:pPr>
        <w:spacing w:line="480" w:lineRule="auto"/>
        <w:rPr>
          <w:color w:val="000000" w:themeColor="text1"/>
        </w:rPr>
      </w:pPr>
      <w:r>
        <w:rPr>
          <w:color w:val="000000" w:themeColor="text1"/>
        </w:rPr>
        <w:t>None to declare.</w:t>
      </w:r>
    </w:p>
    <w:p w14:paraId="2B63E4BD" w14:textId="77777777" w:rsidR="008E7897" w:rsidRPr="00CE5F10" w:rsidRDefault="008E7897" w:rsidP="00805C06">
      <w:pPr>
        <w:spacing w:line="480" w:lineRule="auto"/>
        <w:rPr>
          <w:color w:val="000000" w:themeColor="text1"/>
        </w:rPr>
      </w:pPr>
    </w:p>
    <w:p w14:paraId="11D26C00" w14:textId="1C142F42" w:rsidR="00616D28" w:rsidRPr="00D92CF6" w:rsidRDefault="002D63EF" w:rsidP="00805C06">
      <w:pPr>
        <w:spacing w:line="480" w:lineRule="auto"/>
        <w:rPr>
          <w:u w:val="single"/>
        </w:rPr>
      </w:pPr>
      <w:r>
        <w:rPr>
          <w:u w:val="single"/>
        </w:rPr>
        <w:t>REFERENCES</w:t>
      </w:r>
    </w:p>
    <w:p w14:paraId="36337C77" w14:textId="22F73B32"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1. Rutherford A, Subesinghe S, Bharucha T, Ibrahim F, Kleymann A, Galloway J. A population study of the reported incidence of native joint septic arthritis in the United Kingdom between 1998 and 2013. Rheumatology. 2016;55(12):2176-2180.</w:t>
      </w:r>
    </w:p>
    <w:p w14:paraId="703A9EE5" w14:textId="01A6A0F2"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2. Al-Ahaideb A. Septic arthritis in patients with rheumatoid arthritis. Journal of Orthopaedic Surgery and Research. 2008;3(1):33.</w:t>
      </w:r>
    </w:p>
    <w:p w14:paraId="13EEA3D7" w14:textId="707904BB"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3. Jagodzinski N, Kanwar R, Graham K, Bache C. Prospective Evaluation of a Shortened Regimen of Treatment for Acute Osteomyelitis and Septic Arthritis in Children. Journal of Pediatric Orthopaedics. 2009;29(5):518-525.</w:t>
      </w:r>
    </w:p>
    <w:p w14:paraId="45103144" w14:textId="6DB76933"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4. CAIRD M, FLYNN J, LEUNG Y, MILLMAN J, DʼITALIA J, DORMANS J. FACTORS DISTINGUISHING SEPTIC ARTHRITIS FROM TRANSIENT SYNOVITIS OF THE HIP IN CHILDREN. The Journal of Bone and Joint Surgery-American Volume. 2006;88(6):1251-1257.</w:t>
      </w:r>
    </w:p>
    <w:p w14:paraId="193EE675" w14:textId="304BCB3B"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lastRenderedPageBreak/>
        <w:t>5. Sultan J, Hughes P. Septic arthritis or transient synovitis of the hip in children: THE VALUE OF CLINICAL PREDICTION ALGORITHMS. Journal of Bone and Joint Surgery - British Volume. 2010;92-B(9):1289-1293.</w:t>
      </w:r>
    </w:p>
    <w:p w14:paraId="1D1BC76F" w14:textId="66C05A18"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6. Singhal R, Perry D, Khan F, Cohen D, Stevenson H, James L et al. The use of CRP within a clinical prediction algorithm for the differentiation of septic arthritis and transient synovitis in children. The Bone &amp; Joint Journal. 2011;93-B(11):1556-1561.</w:t>
      </w:r>
    </w:p>
    <w:p w14:paraId="4DBEB841" w14:textId="7C4D2561"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7. Jain S, Tittal P, Rohilla N, Sud A, Yadav C, Kanojia R et al. Acute septic arthritis revisited: a prospective study in 93 patients correlating C-reactive protein levels with duration of intravenous antibiotic therapy, clinical and radiological outcomes. European Journal of Orthopaedic Surgery &amp; Traumatology. 2009;19(7):447-455.</w:t>
      </w:r>
    </w:p>
    <w:p w14:paraId="28AF61AB" w14:textId="369FF233"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8. Ernst A, Weiss S, Tracy L, Weiss N. Usefulness of CRP and ESR in Predicting Septic Joints. Southern Medical Journal. 2010;103(6):522-526.</w:t>
      </w:r>
    </w:p>
    <w:p w14:paraId="6B429E9B" w14:textId="311B6106"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9. Gupta M. A prospective 2-year study of 75 patients with adult-onset septic arthritis. Rheumatology. 2001;40(1):24-30.</w:t>
      </w:r>
    </w:p>
    <w:p w14:paraId="75CB9711" w14:textId="0265FC80"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10. Coakley G. BSR &amp; BHPR, BOA, RCGP and BSAC guidelines for management of the hot swollen joint in adults. Rheumatology. 2006;45(8):1039-1041.</w:t>
      </w:r>
    </w:p>
    <w:p w14:paraId="1E6F63A2" w14:textId="1D945B65"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11. Banzet P. Acute septic arthritis of the fingers. A clinical study of 87 cases. Plastic and Reconstructive Surgery. 1983;72(2):275.</w:t>
      </w:r>
    </w:p>
    <w:p w14:paraId="324E0C74" w14:textId="5F830191" w:rsidR="00533304" w:rsidRPr="00D92CF6"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12. Wirtz D, Marth M, Miltner O, Schneider U, Zilkens K. Septic arthritis of the knee in adults: treatment by arthroscopy or arthrotomy. International Orthopaedics. 2001;25(4):239-241.</w:t>
      </w:r>
    </w:p>
    <w:p w14:paraId="7740865E" w14:textId="77777777" w:rsidR="00533304" w:rsidRDefault="00533304"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sidRPr="00D92CF6">
        <w:rPr>
          <w:rFonts w:asciiTheme="minorHAnsi" w:hAnsiTheme="minorHAnsi"/>
          <w:color w:val="000000"/>
          <w:sz w:val="22"/>
          <w:szCs w:val="22"/>
        </w:rPr>
        <w:t>13. Stutz G, Kuster M, Kleinstück F, Gächter A. Arthroscopic management of septic arthritis: stages of infection and results. Knee Surgery, Sports Traumatology, Arthroscopy. 2000;8(5):270-274.</w:t>
      </w:r>
    </w:p>
    <w:p w14:paraId="3FDFFA48" w14:textId="5ECA472D" w:rsidR="00D92CF6" w:rsidRDefault="00D92CF6" w:rsidP="00A30032">
      <w:pPr>
        <w:pStyle w:val="NormalWeb"/>
        <w:shd w:val="clear" w:color="auto" w:fill="FFFFFF"/>
        <w:spacing w:before="0" w:beforeAutospacing="0" w:after="180" w:afterAutospacing="0" w:line="480" w:lineRule="auto"/>
        <w:divId w:val="1813137608"/>
        <w:rPr>
          <w:rFonts w:asciiTheme="minorHAnsi" w:hAnsiTheme="minorHAnsi"/>
          <w:sz w:val="22"/>
          <w:szCs w:val="22"/>
        </w:rPr>
      </w:pPr>
      <w:r>
        <w:rPr>
          <w:rFonts w:asciiTheme="minorHAnsi" w:hAnsiTheme="minorHAnsi"/>
          <w:color w:val="000000"/>
          <w:sz w:val="22"/>
          <w:szCs w:val="22"/>
        </w:rPr>
        <w:lastRenderedPageBreak/>
        <w:t xml:space="preserve">14. Goldenburg L, Brandt D, Cohen S, Cathcart S. </w:t>
      </w:r>
      <w:r w:rsidRPr="00D92CF6">
        <w:rPr>
          <w:rFonts w:asciiTheme="minorHAnsi" w:hAnsiTheme="minorHAnsi"/>
          <w:sz w:val="22"/>
          <w:szCs w:val="22"/>
        </w:rPr>
        <w:t>Treatment of septic arthritis: comparison of needle aspiration and surgery as initial modes of joint drainage</w:t>
      </w:r>
      <w:r>
        <w:rPr>
          <w:rFonts w:asciiTheme="minorHAnsi" w:hAnsiTheme="minorHAnsi"/>
          <w:sz w:val="22"/>
          <w:szCs w:val="22"/>
        </w:rPr>
        <w:t>. Arthritis and Rheumatology. 1975;18(1):83-90.</w:t>
      </w:r>
    </w:p>
    <w:p w14:paraId="7DA206B8" w14:textId="7C8128ED" w:rsidR="00D92CF6" w:rsidRDefault="00D92CF6" w:rsidP="00A30032">
      <w:pPr>
        <w:pStyle w:val="NormalWeb"/>
        <w:shd w:val="clear" w:color="auto" w:fill="FFFFFF"/>
        <w:spacing w:before="0" w:beforeAutospacing="0" w:after="180" w:afterAutospacing="0" w:line="480" w:lineRule="auto"/>
        <w:divId w:val="1813137608"/>
        <w:rPr>
          <w:rFonts w:asciiTheme="minorHAnsi" w:hAnsiTheme="minorHAnsi"/>
          <w:sz w:val="22"/>
          <w:szCs w:val="22"/>
        </w:rPr>
      </w:pPr>
      <w:r>
        <w:rPr>
          <w:rFonts w:asciiTheme="minorHAnsi" w:hAnsiTheme="minorHAnsi"/>
          <w:sz w:val="22"/>
          <w:szCs w:val="22"/>
        </w:rPr>
        <w:t>15. Office for National Statistics. Wirral population estimate (mid 2013). Retrieved 26 June 2014.</w:t>
      </w:r>
    </w:p>
    <w:p w14:paraId="04F03A89" w14:textId="2BA4B6D9" w:rsidR="00A30032" w:rsidRDefault="00E6090E" w:rsidP="00E6090E">
      <w:pPr>
        <w:pStyle w:val="NormalWeb"/>
        <w:shd w:val="clear" w:color="auto" w:fill="FFFFFF"/>
        <w:spacing w:after="180" w:line="480" w:lineRule="auto"/>
        <w:divId w:val="1813137608"/>
        <w:rPr>
          <w:bCs/>
        </w:rPr>
      </w:pPr>
      <w:r>
        <w:rPr>
          <w:rFonts w:asciiTheme="minorHAnsi" w:hAnsiTheme="minorHAnsi"/>
          <w:sz w:val="22"/>
          <w:szCs w:val="22"/>
        </w:rPr>
        <w:t xml:space="preserve">16. </w:t>
      </w:r>
      <w:r w:rsidRPr="00E6090E">
        <w:rPr>
          <w:rFonts w:asciiTheme="minorHAnsi" w:hAnsiTheme="minorHAnsi"/>
          <w:sz w:val="22"/>
          <w:szCs w:val="22"/>
        </w:rPr>
        <w:t xml:space="preserve">Kocher MS, Zurakowski D, Kasser JR. </w:t>
      </w:r>
      <w:r w:rsidRPr="00E6090E">
        <w:rPr>
          <w:rFonts w:asciiTheme="minorHAnsi" w:hAnsiTheme="minorHAnsi"/>
          <w:bCs/>
          <w:sz w:val="22"/>
          <w:szCs w:val="22"/>
        </w:rPr>
        <w:t>Differentiating between septic arthritis and transient synovitis of the hip in children: an evidence-based clinical prediction algorithm. J Bone Joint Surg Am. 1999;81(12):1662-70.</w:t>
      </w:r>
    </w:p>
    <w:p w14:paraId="4558C20A" w14:textId="77777777" w:rsidR="00E6090E" w:rsidRPr="00E6090E" w:rsidRDefault="00E6090E" w:rsidP="00E6090E">
      <w:pPr>
        <w:pStyle w:val="NormalWeb"/>
        <w:shd w:val="clear" w:color="auto" w:fill="FFFFFF"/>
        <w:spacing w:after="180" w:line="480" w:lineRule="auto"/>
        <w:divId w:val="1813137608"/>
        <w:rPr>
          <w:bCs/>
        </w:rPr>
      </w:pPr>
    </w:p>
    <w:p w14:paraId="3191D8A2" w14:textId="0D6A0377" w:rsidR="00A30032" w:rsidRDefault="00A30032" w:rsidP="00805C06">
      <w:pPr>
        <w:pStyle w:val="NormalWeb"/>
        <w:shd w:val="clear" w:color="auto" w:fill="FFFFFF"/>
        <w:spacing w:before="0" w:beforeAutospacing="0" w:after="180" w:afterAutospacing="0" w:line="480" w:lineRule="auto"/>
        <w:ind w:left="450" w:hanging="450"/>
        <w:divId w:val="1813137608"/>
        <w:rPr>
          <w:rFonts w:asciiTheme="minorHAnsi" w:hAnsiTheme="minorHAnsi"/>
          <w:sz w:val="22"/>
          <w:szCs w:val="22"/>
          <w:u w:val="single"/>
        </w:rPr>
      </w:pPr>
      <w:r>
        <w:rPr>
          <w:rFonts w:asciiTheme="minorHAnsi" w:hAnsiTheme="minorHAnsi"/>
          <w:sz w:val="22"/>
          <w:szCs w:val="22"/>
          <w:u w:val="single"/>
        </w:rPr>
        <w:t>FIGURE AND TABLE LEGENDS</w:t>
      </w:r>
    </w:p>
    <w:p w14:paraId="0D801BE5" w14:textId="044DAD1A" w:rsidR="00A30032" w:rsidRDefault="00A30032" w:rsidP="00A30032">
      <w:pPr>
        <w:spacing w:line="480" w:lineRule="auto"/>
        <w:divId w:val="1813137608"/>
      </w:pPr>
      <w:r>
        <w:t xml:space="preserve">Figure 1 – </w:t>
      </w:r>
      <w:r w:rsidR="00F64D65">
        <w:t>CRP by Group</w:t>
      </w:r>
    </w:p>
    <w:p w14:paraId="1371BAB1" w14:textId="59AFFEC3" w:rsidR="00F64D65" w:rsidRDefault="00F64D65" w:rsidP="00A30032">
      <w:pPr>
        <w:spacing w:line="480" w:lineRule="auto"/>
        <w:divId w:val="1813137608"/>
      </w:pPr>
      <w:r>
        <w:t>Figure 2 – Peripheral WCC by Group</w:t>
      </w:r>
    </w:p>
    <w:p w14:paraId="1E02707E" w14:textId="3B4BCD7D" w:rsidR="00A30032" w:rsidRDefault="00A30032" w:rsidP="00A30032">
      <w:pPr>
        <w:spacing w:line="480" w:lineRule="auto"/>
        <w:divId w:val="1813137608"/>
      </w:pPr>
      <w:r>
        <w:t>Table 1 – Gram stain a</w:t>
      </w:r>
      <w:r w:rsidR="00F64D65">
        <w:t>nd extended culture reliability</w:t>
      </w:r>
    </w:p>
    <w:p w14:paraId="5BDECCF7" w14:textId="77777777" w:rsidR="00A30032" w:rsidRDefault="00A30032"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u w:val="single"/>
        </w:rPr>
      </w:pPr>
    </w:p>
    <w:p w14:paraId="6E5428B2" w14:textId="5E1D781A" w:rsidR="00A30032" w:rsidRDefault="00A30032"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u w:val="single"/>
        </w:rPr>
      </w:pPr>
      <w:r w:rsidRPr="00A30032">
        <w:rPr>
          <w:rFonts w:asciiTheme="minorHAnsi" w:hAnsiTheme="minorHAnsi"/>
          <w:color w:val="000000"/>
          <w:sz w:val="22"/>
          <w:szCs w:val="22"/>
          <w:u w:val="single"/>
        </w:rPr>
        <w:t>ARTICLE SUMMARY</w:t>
      </w:r>
    </w:p>
    <w:p w14:paraId="391D86B3" w14:textId="69EF8A8D" w:rsidR="00A30032" w:rsidRDefault="009C27BD"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Pr>
          <w:rFonts w:asciiTheme="minorHAnsi" w:hAnsiTheme="minorHAnsi"/>
          <w:color w:val="000000"/>
          <w:sz w:val="22"/>
          <w:szCs w:val="22"/>
        </w:rPr>
        <w:t>Why is this topic important? Native joint septic arthritis is associated with significant morbidity and mortality and is often difficult to diagnose.</w:t>
      </w:r>
    </w:p>
    <w:p w14:paraId="04A439FC" w14:textId="77777777" w:rsidR="009C27BD" w:rsidRDefault="009C27BD"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Pr>
          <w:rFonts w:asciiTheme="minorHAnsi" w:hAnsiTheme="minorHAnsi"/>
          <w:color w:val="000000"/>
          <w:sz w:val="22"/>
          <w:szCs w:val="22"/>
        </w:rPr>
        <w:t xml:space="preserve">What does this study attempt to show? </w:t>
      </w:r>
      <w:r w:rsidRPr="009C27BD">
        <w:rPr>
          <w:rFonts w:asciiTheme="minorHAnsi" w:hAnsiTheme="minorHAnsi"/>
          <w:color w:val="000000"/>
          <w:sz w:val="22"/>
          <w:szCs w:val="22"/>
        </w:rPr>
        <w:t>The primary objective of this study was to establish whether C-reactive protein (CRP) can be used to predict native joint septic arthritis (SA) in the adult population</w:t>
      </w:r>
      <w:r>
        <w:rPr>
          <w:rFonts w:asciiTheme="minorHAnsi" w:hAnsiTheme="minorHAnsi"/>
          <w:color w:val="000000"/>
          <w:sz w:val="22"/>
          <w:szCs w:val="22"/>
        </w:rPr>
        <w:t>.</w:t>
      </w:r>
    </w:p>
    <w:p w14:paraId="15028C76" w14:textId="15DDD75D" w:rsidR="009C27BD" w:rsidRDefault="009C27BD"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Pr>
          <w:rFonts w:asciiTheme="minorHAnsi" w:hAnsiTheme="minorHAnsi"/>
          <w:color w:val="000000"/>
          <w:sz w:val="22"/>
          <w:szCs w:val="22"/>
        </w:rPr>
        <w:t xml:space="preserve">What are the key findings? </w:t>
      </w:r>
      <w:r w:rsidRPr="009C27BD">
        <w:rPr>
          <w:rFonts w:asciiTheme="minorHAnsi" w:hAnsiTheme="minorHAnsi"/>
          <w:color w:val="000000"/>
          <w:sz w:val="22"/>
          <w:szCs w:val="22"/>
        </w:rPr>
        <w:t>We have demonstrated CRP to be a reliable independent marker to help differentiate between SA, crystal arthopathy and normal/arthritic joint in an adult population.</w:t>
      </w:r>
    </w:p>
    <w:p w14:paraId="0361FCFB" w14:textId="3EB0ED99" w:rsidR="009C27BD" w:rsidRPr="009C27BD" w:rsidRDefault="009C27BD" w:rsidP="00A30032">
      <w:pPr>
        <w:pStyle w:val="NormalWeb"/>
        <w:shd w:val="clear" w:color="auto" w:fill="FFFFFF"/>
        <w:spacing w:before="0" w:beforeAutospacing="0" w:after="180" w:afterAutospacing="0" w:line="480" w:lineRule="auto"/>
        <w:divId w:val="1813137608"/>
        <w:rPr>
          <w:rFonts w:asciiTheme="minorHAnsi" w:hAnsiTheme="minorHAnsi"/>
          <w:color w:val="000000"/>
          <w:sz w:val="22"/>
          <w:szCs w:val="22"/>
        </w:rPr>
      </w:pPr>
      <w:r>
        <w:rPr>
          <w:rFonts w:asciiTheme="minorHAnsi" w:hAnsiTheme="minorHAnsi"/>
          <w:color w:val="000000"/>
          <w:sz w:val="22"/>
          <w:szCs w:val="22"/>
        </w:rPr>
        <w:lastRenderedPageBreak/>
        <w:t xml:space="preserve">How is patient care impacted? The findings of this study will be used locally to implement a pathway in </w:t>
      </w:r>
      <w:r w:rsidRPr="009C27BD">
        <w:rPr>
          <w:rFonts w:asciiTheme="minorHAnsi" w:hAnsiTheme="minorHAnsi"/>
          <w:color w:val="000000"/>
          <w:sz w:val="22"/>
          <w:szCs w:val="22"/>
        </w:rPr>
        <w:t>Accident and Emergency (A&amp;E)</w:t>
      </w:r>
      <w:r w:rsidR="00805C49">
        <w:rPr>
          <w:rFonts w:asciiTheme="minorHAnsi" w:hAnsiTheme="minorHAnsi"/>
          <w:color w:val="000000"/>
          <w:sz w:val="22"/>
          <w:szCs w:val="22"/>
        </w:rPr>
        <w:t xml:space="preserve">. Externally, we would advise </w:t>
      </w:r>
      <w:r>
        <w:rPr>
          <w:rFonts w:asciiTheme="minorHAnsi" w:hAnsiTheme="minorHAnsi"/>
          <w:color w:val="000000"/>
          <w:sz w:val="22"/>
          <w:szCs w:val="22"/>
        </w:rPr>
        <w:t>that a</w:t>
      </w:r>
      <w:r w:rsidR="00805C49">
        <w:rPr>
          <w:rFonts w:asciiTheme="minorHAnsi" w:hAnsiTheme="minorHAnsi"/>
          <w:color w:val="000000"/>
          <w:sz w:val="22"/>
          <w:szCs w:val="22"/>
        </w:rPr>
        <w:t>ll patients presenting with hot, swollen joints have CRP measured to reduce the likelihood of missing this potentially highly significant diagnosis.</w:t>
      </w:r>
    </w:p>
    <w:sectPr w:rsidR="009C27BD" w:rsidRPr="009C27BD" w:rsidSect="00805C0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1A628" w14:textId="77777777" w:rsidR="00D97EEF" w:rsidRDefault="00D97EEF" w:rsidP="004147BB">
      <w:pPr>
        <w:spacing w:after="0" w:line="240" w:lineRule="auto"/>
      </w:pPr>
      <w:r>
        <w:separator/>
      </w:r>
    </w:p>
  </w:endnote>
  <w:endnote w:type="continuationSeparator" w:id="0">
    <w:p w14:paraId="2EF0AA69" w14:textId="77777777" w:rsidR="00D97EEF" w:rsidRDefault="00D97EEF" w:rsidP="0041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Courier">
    <w:panose1 w:val="000000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7A3DC" w14:textId="77777777" w:rsidR="00D97EEF" w:rsidRDefault="00D97EEF" w:rsidP="004147BB">
      <w:pPr>
        <w:spacing w:after="0" w:line="240" w:lineRule="auto"/>
      </w:pPr>
      <w:r>
        <w:separator/>
      </w:r>
    </w:p>
  </w:footnote>
  <w:footnote w:type="continuationSeparator" w:id="0">
    <w:p w14:paraId="14BF30D1" w14:textId="77777777" w:rsidR="00D97EEF" w:rsidRDefault="00D97EEF" w:rsidP="004147B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F3FB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A5796"/>
    <w:multiLevelType w:val="hybridMultilevel"/>
    <w:tmpl w:val="D79C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92A2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30F21"/>
    <w:multiLevelType w:val="hybridMultilevel"/>
    <w:tmpl w:val="57ACD5D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21AB4D13"/>
    <w:multiLevelType w:val="hybridMultilevel"/>
    <w:tmpl w:val="093E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2A4592"/>
    <w:multiLevelType w:val="hybridMultilevel"/>
    <w:tmpl w:val="57ACD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DE472E"/>
    <w:multiLevelType w:val="hybridMultilevel"/>
    <w:tmpl w:val="D9F2AACE"/>
    <w:lvl w:ilvl="0" w:tplc="42CCF946">
      <w:start w:val="1"/>
      <w:numFmt w:val="bullet"/>
      <w:lvlText w:val=""/>
      <w:lvlJc w:val="left"/>
      <w:pPr>
        <w:tabs>
          <w:tab w:val="num" w:pos="720"/>
        </w:tabs>
        <w:ind w:left="720" w:hanging="360"/>
      </w:pPr>
      <w:rPr>
        <w:rFonts w:ascii="Wingdings" w:hAnsi="Wingdings" w:hint="default"/>
      </w:rPr>
    </w:lvl>
    <w:lvl w:ilvl="1" w:tplc="77C2EE40">
      <w:start w:val="1"/>
      <w:numFmt w:val="bullet"/>
      <w:lvlText w:val=""/>
      <w:lvlJc w:val="left"/>
      <w:pPr>
        <w:tabs>
          <w:tab w:val="num" w:pos="1440"/>
        </w:tabs>
        <w:ind w:left="1440" w:hanging="360"/>
      </w:pPr>
      <w:rPr>
        <w:rFonts w:ascii="Wingdings" w:hAnsi="Wingdings" w:hint="default"/>
      </w:rPr>
    </w:lvl>
    <w:lvl w:ilvl="2" w:tplc="AE5CA5F4" w:tentative="1">
      <w:start w:val="1"/>
      <w:numFmt w:val="bullet"/>
      <w:lvlText w:val=""/>
      <w:lvlJc w:val="left"/>
      <w:pPr>
        <w:tabs>
          <w:tab w:val="num" w:pos="2160"/>
        </w:tabs>
        <w:ind w:left="2160" w:hanging="360"/>
      </w:pPr>
      <w:rPr>
        <w:rFonts w:ascii="Wingdings" w:hAnsi="Wingdings" w:hint="default"/>
      </w:rPr>
    </w:lvl>
    <w:lvl w:ilvl="3" w:tplc="F162C0C2" w:tentative="1">
      <w:start w:val="1"/>
      <w:numFmt w:val="bullet"/>
      <w:lvlText w:val=""/>
      <w:lvlJc w:val="left"/>
      <w:pPr>
        <w:tabs>
          <w:tab w:val="num" w:pos="2880"/>
        </w:tabs>
        <w:ind w:left="2880" w:hanging="360"/>
      </w:pPr>
      <w:rPr>
        <w:rFonts w:ascii="Wingdings" w:hAnsi="Wingdings" w:hint="default"/>
      </w:rPr>
    </w:lvl>
    <w:lvl w:ilvl="4" w:tplc="82706EB0" w:tentative="1">
      <w:start w:val="1"/>
      <w:numFmt w:val="bullet"/>
      <w:lvlText w:val=""/>
      <w:lvlJc w:val="left"/>
      <w:pPr>
        <w:tabs>
          <w:tab w:val="num" w:pos="3600"/>
        </w:tabs>
        <w:ind w:left="3600" w:hanging="360"/>
      </w:pPr>
      <w:rPr>
        <w:rFonts w:ascii="Wingdings" w:hAnsi="Wingdings" w:hint="default"/>
      </w:rPr>
    </w:lvl>
    <w:lvl w:ilvl="5" w:tplc="DE88AFD8" w:tentative="1">
      <w:start w:val="1"/>
      <w:numFmt w:val="bullet"/>
      <w:lvlText w:val=""/>
      <w:lvlJc w:val="left"/>
      <w:pPr>
        <w:tabs>
          <w:tab w:val="num" w:pos="4320"/>
        </w:tabs>
        <w:ind w:left="4320" w:hanging="360"/>
      </w:pPr>
      <w:rPr>
        <w:rFonts w:ascii="Wingdings" w:hAnsi="Wingdings" w:hint="default"/>
      </w:rPr>
    </w:lvl>
    <w:lvl w:ilvl="6" w:tplc="61961354" w:tentative="1">
      <w:start w:val="1"/>
      <w:numFmt w:val="bullet"/>
      <w:lvlText w:val=""/>
      <w:lvlJc w:val="left"/>
      <w:pPr>
        <w:tabs>
          <w:tab w:val="num" w:pos="5040"/>
        </w:tabs>
        <w:ind w:left="5040" w:hanging="360"/>
      </w:pPr>
      <w:rPr>
        <w:rFonts w:ascii="Wingdings" w:hAnsi="Wingdings" w:hint="default"/>
      </w:rPr>
    </w:lvl>
    <w:lvl w:ilvl="7" w:tplc="DBB693A6" w:tentative="1">
      <w:start w:val="1"/>
      <w:numFmt w:val="bullet"/>
      <w:lvlText w:val=""/>
      <w:lvlJc w:val="left"/>
      <w:pPr>
        <w:tabs>
          <w:tab w:val="num" w:pos="5760"/>
        </w:tabs>
        <w:ind w:left="5760" w:hanging="360"/>
      </w:pPr>
      <w:rPr>
        <w:rFonts w:ascii="Wingdings" w:hAnsi="Wingdings" w:hint="default"/>
      </w:rPr>
    </w:lvl>
    <w:lvl w:ilvl="8" w:tplc="EF6221A0" w:tentative="1">
      <w:start w:val="1"/>
      <w:numFmt w:val="bullet"/>
      <w:lvlText w:val=""/>
      <w:lvlJc w:val="left"/>
      <w:pPr>
        <w:tabs>
          <w:tab w:val="num" w:pos="6480"/>
        </w:tabs>
        <w:ind w:left="6480" w:hanging="360"/>
      </w:pPr>
      <w:rPr>
        <w:rFonts w:ascii="Wingdings" w:hAnsi="Wingdings" w:hint="default"/>
      </w:rPr>
    </w:lvl>
  </w:abstractNum>
  <w:abstractNum w:abstractNumId="7">
    <w:nsid w:val="440E1A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266B6B"/>
    <w:multiLevelType w:val="hybridMultilevel"/>
    <w:tmpl w:val="56F8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6D6354"/>
    <w:multiLevelType w:val="hybridMultilevel"/>
    <w:tmpl w:val="B3EA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
  </w:num>
  <w:num w:numId="5">
    <w:abstractNumId w:val="7"/>
  </w:num>
  <w:num w:numId="6">
    <w:abstractNumId w:val="0"/>
  </w:num>
  <w:num w:numId="7">
    <w:abstractNumId w:val="3"/>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9E"/>
    <w:rsid w:val="00003103"/>
    <w:rsid w:val="00007515"/>
    <w:rsid w:val="0001027C"/>
    <w:rsid w:val="00017F29"/>
    <w:rsid w:val="000218DE"/>
    <w:rsid w:val="000319A2"/>
    <w:rsid w:val="00041335"/>
    <w:rsid w:val="00043D6A"/>
    <w:rsid w:val="000512B2"/>
    <w:rsid w:val="00073521"/>
    <w:rsid w:val="00082EBE"/>
    <w:rsid w:val="00083612"/>
    <w:rsid w:val="000858A0"/>
    <w:rsid w:val="000A11A5"/>
    <w:rsid w:val="000A7BBE"/>
    <w:rsid w:val="000B72F9"/>
    <w:rsid w:val="000C4D0A"/>
    <w:rsid w:val="000C594D"/>
    <w:rsid w:val="000C5F28"/>
    <w:rsid w:val="000C731B"/>
    <w:rsid w:val="000D0525"/>
    <w:rsid w:val="000D49BC"/>
    <w:rsid w:val="000E0DB6"/>
    <w:rsid w:val="000E2F3D"/>
    <w:rsid w:val="000F2A83"/>
    <w:rsid w:val="000F3C49"/>
    <w:rsid w:val="000F3F55"/>
    <w:rsid w:val="00100A94"/>
    <w:rsid w:val="00103A04"/>
    <w:rsid w:val="00110378"/>
    <w:rsid w:val="00111396"/>
    <w:rsid w:val="0011153E"/>
    <w:rsid w:val="00125625"/>
    <w:rsid w:val="00134C35"/>
    <w:rsid w:val="0013600E"/>
    <w:rsid w:val="0013734E"/>
    <w:rsid w:val="00147FED"/>
    <w:rsid w:val="001508C9"/>
    <w:rsid w:val="00150B17"/>
    <w:rsid w:val="00150E6F"/>
    <w:rsid w:val="00151790"/>
    <w:rsid w:val="001526DA"/>
    <w:rsid w:val="001548BE"/>
    <w:rsid w:val="00164FBE"/>
    <w:rsid w:val="00174D76"/>
    <w:rsid w:val="00174D8E"/>
    <w:rsid w:val="0017724B"/>
    <w:rsid w:val="00177B11"/>
    <w:rsid w:val="00183E77"/>
    <w:rsid w:val="00195C95"/>
    <w:rsid w:val="001A2A19"/>
    <w:rsid w:val="001A2C75"/>
    <w:rsid w:val="001B5789"/>
    <w:rsid w:val="001C1A59"/>
    <w:rsid w:val="001C1AF3"/>
    <w:rsid w:val="001C1D7B"/>
    <w:rsid w:val="001C2AD2"/>
    <w:rsid w:val="001D0225"/>
    <w:rsid w:val="001E0750"/>
    <w:rsid w:val="001F1063"/>
    <w:rsid w:val="001F6EA0"/>
    <w:rsid w:val="002013E7"/>
    <w:rsid w:val="002062F3"/>
    <w:rsid w:val="00214AE6"/>
    <w:rsid w:val="002162BD"/>
    <w:rsid w:val="00217FDF"/>
    <w:rsid w:val="00220B72"/>
    <w:rsid w:val="002270BE"/>
    <w:rsid w:val="00227370"/>
    <w:rsid w:val="00231BBF"/>
    <w:rsid w:val="00234F3A"/>
    <w:rsid w:val="00237675"/>
    <w:rsid w:val="00237B08"/>
    <w:rsid w:val="00253465"/>
    <w:rsid w:val="00254F40"/>
    <w:rsid w:val="00255885"/>
    <w:rsid w:val="002656EF"/>
    <w:rsid w:val="0027283C"/>
    <w:rsid w:val="0027658A"/>
    <w:rsid w:val="00280C7C"/>
    <w:rsid w:val="0028298E"/>
    <w:rsid w:val="002858D9"/>
    <w:rsid w:val="00286D8D"/>
    <w:rsid w:val="00287DED"/>
    <w:rsid w:val="002919F5"/>
    <w:rsid w:val="002A2093"/>
    <w:rsid w:val="002A450A"/>
    <w:rsid w:val="002B42CA"/>
    <w:rsid w:val="002B6523"/>
    <w:rsid w:val="002B65FE"/>
    <w:rsid w:val="002B6941"/>
    <w:rsid w:val="002D045F"/>
    <w:rsid w:val="002D3FA9"/>
    <w:rsid w:val="002D63EF"/>
    <w:rsid w:val="002E2D42"/>
    <w:rsid w:val="002F3366"/>
    <w:rsid w:val="002F4ADB"/>
    <w:rsid w:val="002F4F95"/>
    <w:rsid w:val="003103FA"/>
    <w:rsid w:val="00311FE9"/>
    <w:rsid w:val="00312E16"/>
    <w:rsid w:val="00316C00"/>
    <w:rsid w:val="003255DC"/>
    <w:rsid w:val="00326E62"/>
    <w:rsid w:val="003313F7"/>
    <w:rsid w:val="00331500"/>
    <w:rsid w:val="003319F9"/>
    <w:rsid w:val="00342811"/>
    <w:rsid w:val="003443D5"/>
    <w:rsid w:val="00344D05"/>
    <w:rsid w:val="00344DFB"/>
    <w:rsid w:val="00357113"/>
    <w:rsid w:val="0036573D"/>
    <w:rsid w:val="00365FD8"/>
    <w:rsid w:val="00384909"/>
    <w:rsid w:val="003868E4"/>
    <w:rsid w:val="0039133F"/>
    <w:rsid w:val="00393CA3"/>
    <w:rsid w:val="00394D8D"/>
    <w:rsid w:val="003A11DB"/>
    <w:rsid w:val="003A4AC5"/>
    <w:rsid w:val="003A6F03"/>
    <w:rsid w:val="003B0D0E"/>
    <w:rsid w:val="003C0715"/>
    <w:rsid w:val="003C7701"/>
    <w:rsid w:val="003C7C04"/>
    <w:rsid w:val="003D0DC4"/>
    <w:rsid w:val="003D2EFA"/>
    <w:rsid w:val="003D6650"/>
    <w:rsid w:val="003E0026"/>
    <w:rsid w:val="003E16F1"/>
    <w:rsid w:val="003E1984"/>
    <w:rsid w:val="003F2142"/>
    <w:rsid w:val="003F25CE"/>
    <w:rsid w:val="00400BCF"/>
    <w:rsid w:val="0041327A"/>
    <w:rsid w:val="004147BB"/>
    <w:rsid w:val="004163B6"/>
    <w:rsid w:val="00424401"/>
    <w:rsid w:val="00434D8B"/>
    <w:rsid w:val="004360FF"/>
    <w:rsid w:val="00444173"/>
    <w:rsid w:val="00456D44"/>
    <w:rsid w:val="00462F82"/>
    <w:rsid w:val="00464070"/>
    <w:rsid w:val="004662E3"/>
    <w:rsid w:val="0048088A"/>
    <w:rsid w:val="00480BFB"/>
    <w:rsid w:val="0048459C"/>
    <w:rsid w:val="00493E3A"/>
    <w:rsid w:val="00495168"/>
    <w:rsid w:val="004A5108"/>
    <w:rsid w:val="004B44FD"/>
    <w:rsid w:val="004B6DDB"/>
    <w:rsid w:val="004B6F18"/>
    <w:rsid w:val="004C58FC"/>
    <w:rsid w:val="004D083F"/>
    <w:rsid w:val="004D2459"/>
    <w:rsid w:val="004E44C6"/>
    <w:rsid w:val="004E4BB0"/>
    <w:rsid w:val="004E73BE"/>
    <w:rsid w:val="004F1CBF"/>
    <w:rsid w:val="004F3286"/>
    <w:rsid w:val="004F3679"/>
    <w:rsid w:val="005023F2"/>
    <w:rsid w:val="005046D0"/>
    <w:rsid w:val="005073BA"/>
    <w:rsid w:val="005152EB"/>
    <w:rsid w:val="0051691C"/>
    <w:rsid w:val="00524779"/>
    <w:rsid w:val="00524D7D"/>
    <w:rsid w:val="00525142"/>
    <w:rsid w:val="00533304"/>
    <w:rsid w:val="00541325"/>
    <w:rsid w:val="00545C24"/>
    <w:rsid w:val="0057029D"/>
    <w:rsid w:val="00581645"/>
    <w:rsid w:val="005873A5"/>
    <w:rsid w:val="00590F4F"/>
    <w:rsid w:val="005957DA"/>
    <w:rsid w:val="00597B9A"/>
    <w:rsid w:val="005A6478"/>
    <w:rsid w:val="005A727F"/>
    <w:rsid w:val="005B482C"/>
    <w:rsid w:val="005C0BE5"/>
    <w:rsid w:val="005C0D32"/>
    <w:rsid w:val="005C3744"/>
    <w:rsid w:val="005C7C29"/>
    <w:rsid w:val="005D10DD"/>
    <w:rsid w:val="005E37AA"/>
    <w:rsid w:val="005E391D"/>
    <w:rsid w:val="005F120A"/>
    <w:rsid w:val="005F47A6"/>
    <w:rsid w:val="005F7CA7"/>
    <w:rsid w:val="006013AE"/>
    <w:rsid w:val="00604C75"/>
    <w:rsid w:val="00606D44"/>
    <w:rsid w:val="00607873"/>
    <w:rsid w:val="00616D28"/>
    <w:rsid w:val="00621C47"/>
    <w:rsid w:val="0062353F"/>
    <w:rsid w:val="00623A54"/>
    <w:rsid w:val="00626FC7"/>
    <w:rsid w:val="00627E2B"/>
    <w:rsid w:val="006324A9"/>
    <w:rsid w:val="00646000"/>
    <w:rsid w:val="00646193"/>
    <w:rsid w:val="00650FDE"/>
    <w:rsid w:val="006554C1"/>
    <w:rsid w:val="006746B2"/>
    <w:rsid w:val="00674A1D"/>
    <w:rsid w:val="00677CCE"/>
    <w:rsid w:val="006936F5"/>
    <w:rsid w:val="0069609E"/>
    <w:rsid w:val="006964AF"/>
    <w:rsid w:val="00697F0B"/>
    <w:rsid w:val="006A0D9D"/>
    <w:rsid w:val="006A1E40"/>
    <w:rsid w:val="006A597C"/>
    <w:rsid w:val="006B0BF6"/>
    <w:rsid w:val="006C3F9A"/>
    <w:rsid w:val="006C5F25"/>
    <w:rsid w:val="006D1849"/>
    <w:rsid w:val="006E05C2"/>
    <w:rsid w:val="006E4FE2"/>
    <w:rsid w:val="006E5159"/>
    <w:rsid w:val="006E73EE"/>
    <w:rsid w:val="006F2052"/>
    <w:rsid w:val="006F343F"/>
    <w:rsid w:val="006F4E5B"/>
    <w:rsid w:val="006F6416"/>
    <w:rsid w:val="006F77D2"/>
    <w:rsid w:val="00700DB4"/>
    <w:rsid w:val="007016D1"/>
    <w:rsid w:val="0070176A"/>
    <w:rsid w:val="007022D5"/>
    <w:rsid w:val="00706E51"/>
    <w:rsid w:val="007077BB"/>
    <w:rsid w:val="00721457"/>
    <w:rsid w:val="00722AF7"/>
    <w:rsid w:val="00723138"/>
    <w:rsid w:val="0072557C"/>
    <w:rsid w:val="007261C1"/>
    <w:rsid w:val="00730546"/>
    <w:rsid w:val="0073614B"/>
    <w:rsid w:val="00744535"/>
    <w:rsid w:val="007450A6"/>
    <w:rsid w:val="00745477"/>
    <w:rsid w:val="00747EFD"/>
    <w:rsid w:val="00750B85"/>
    <w:rsid w:val="00755F9C"/>
    <w:rsid w:val="0076364C"/>
    <w:rsid w:val="007676E8"/>
    <w:rsid w:val="00772432"/>
    <w:rsid w:val="00774018"/>
    <w:rsid w:val="007743D7"/>
    <w:rsid w:val="00775688"/>
    <w:rsid w:val="00776EFB"/>
    <w:rsid w:val="007814D6"/>
    <w:rsid w:val="0078244D"/>
    <w:rsid w:val="007833A2"/>
    <w:rsid w:val="00785F22"/>
    <w:rsid w:val="00791933"/>
    <w:rsid w:val="00792256"/>
    <w:rsid w:val="00796169"/>
    <w:rsid w:val="007A4347"/>
    <w:rsid w:val="007B00A3"/>
    <w:rsid w:val="007B0115"/>
    <w:rsid w:val="007B153D"/>
    <w:rsid w:val="007B1EA2"/>
    <w:rsid w:val="007B36BC"/>
    <w:rsid w:val="007B6BC4"/>
    <w:rsid w:val="007C1710"/>
    <w:rsid w:val="007C6E5F"/>
    <w:rsid w:val="007D16F2"/>
    <w:rsid w:val="007D3605"/>
    <w:rsid w:val="007D3A5D"/>
    <w:rsid w:val="007E3D32"/>
    <w:rsid w:val="007E5AE6"/>
    <w:rsid w:val="007F022B"/>
    <w:rsid w:val="007F22CE"/>
    <w:rsid w:val="007F60EA"/>
    <w:rsid w:val="00800E48"/>
    <w:rsid w:val="0080450D"/>
    <w:rsid w:val="00805736"/>
    <w:rsid w:val="00805C06"/>
    <w:rsid w:val="00805C49"/>
    <w:rsid w:val="0080710A"/>
    <w:rsid w:val="008072F3"/>
    <w:rsid w:val="00814931"/>
    <w:rsid w:val="00817727"/>
    <w:rsid w:val="00821C5B"/>
    <w:rsid w:val="00833340"/>
    <w:rsid w:val="00840328"/>
    <w:rsid w:val="00845404"/>
    <w:rsid w:val="0085200D"/>
    <w:rsid w:val="00854A7D"/>
    <w:rsid w:val="00855D94"/>
    <w:rsid w:val="00856CF6"/>
    <w:rsid w:val="008604AD"/>
    <w:rsid w:val="00862873"/>
    <w:rsid w:val="0087189B"/>
    <w:rsid w:val="00873454"/>
    <w:rsid w:val="0087496A"/>
    <w:rsid w:val="00883878"/>
    <w:rsid w:val="0088610B"/>
    <w:rsid w:val="008A133C"/>
    <w:rsid w:val="008B16CB"/>
    <w:rsid w:val="008B4261"/>
    <w:rsid w:val="008C2C57"/>
    <w:rsid w:val="008D5338"/>
    <w:rsid w:val="008E0FE1"/>
    <w:rsid w:val="008E718C"/>
    <w:rsid w:val="008E71ED"/>
    <w:rsid w:val="008E7897"/>
    <w:rsid w:val="008F0984"/>
    <w:rsid w:val="00903465"/>
    <w:rsid w:val="00923731"/>
    <w:rsid w:val="009245D2"/>
    <w:rsid w:val="0093031F"/>
    <w:rsid w:val="00936D60"/>
    <w:rsid w:val="00941E0B"/>
    <w:rsid w:val="009456C4"/>
    <w:rsid w:val="009460AA"/>
    <w:rsid w:val="0095781A"/>
    <w:rsid w:val="00957FB9"/>
    <w:rsid w:val="0096659E"/>
    <w:rsid w:val="00971DD8"/>
    <w:rsid w:val="00975E9D"/>
    <w:rsid w:val="00992F33"/>
    <w:rsid w:val="00997230"/>
    <w:rsid w:val="009A0944"/>
    <w:rsid w:val="009A34AB"/>
    <w:rsid w:val="009A57F3"/>
    <w:rsid w:val="009B1707"/>
    <w:rsid w:val="009B2B77"/>
    <w:rsid w:val="009C27BD"/>
    <w:rsid w:val="009C5CC5"/>
    <w:rsid w:val="009D4595"/>
    <w:rsid w:val="009D56BB"/>
    <w:rsid w:val="009E2481"/>
    <w:rsid w:val="009E3F40"/>
    <w:rsid w:val="009F1991"/>
    <w:rsid w:val="009F277B"/>
    <w:rsid w:val="009F6846"/>
    <w:rsid w:val="00A0567D"/>
    <w:rsid w:val="00A14704"/>
    <w:rsid w:val="00A17469"/>
    <w:rsid w:val="00A24776"/>
    <w:rsid w:val="00A2779D"/>
    <w:rsid w:val="00A30032"/>
    <w:rsid w:val="00A3114C"/>
    <w:rsid w:val="00A33A4B"/>
    <w:rsid w:val="00A404AA"/>
    <w:rsid w:val="00A4610C"/>
    <w:rsid w:val="00A540DE"/>
    <w:rsid w:val="00A561E7"/>
    <w:rsid w:val="00A569CD"/>
    <w:rsid w:val="00A62C11"/>
    <w:rsid w:val="00A8044C"/>
    <w:rsid w:val="00A80781"/>
    <w:rsid w:val="00A879D5"/>
    <w:rsid w:val="00A963B3"/>
    <w:rsid w:val="00A96B0B"/>
    <w:rsid w:val="00A975CC"/>
    <w:rsid w:val="00AA17FF"/>
    <w:rsid w:val="00AA29DD"/>
    <w:rsid w:val="00AB27AD"/>
    <w:rsid w:val="00AC23F9"/>
    <w:rsid w:val="00AC2D93"/>
    <w:rsid w:val="00AC42AB"/>
    <w:rsid w:val="00AD0D87"/>
    <w:rsid w:val="00AD178C"/>
    <w:rsid w:val="00AD3EF9"/>
    <w:rsid w:val="00AE0865"/>
    <w:rsid w:val="00AE560D"/>
    <w:rsid w:val="00AE597F"/>
    <w:rsid w:val="00AF0976"/>
    <w:rsid w:val="00AF4BF0"/>
    <w:rsid w:val="00B0156F"/>
    <w:rsid w:val="00B01BFD"/>
    <w:rsid w:val="00B0403C"/>
    <w:rsid w:val="00B1347C"/>
    <w:rsid w:val="00B13929"/>
    <w:rsid w:val="00B160D9"/>
    <w:rsid w:val="00B407F6"/>
    <w:rsid w:val="00B41ED1"/>
    <w:rsid w:val="00B50495"/>
    <w:rsid w:val="00B51389"/>
    <w:rsid w:val="00B7121D"/>
    <w:rsid w:val="00B767FA"/>
    <w:rsid w:val="00B81BE1"/>
    <w:rsid w:val="00B81C9C"/>
    <w:rsid w:val="00B832E9"/>
    <w:rsid w:val="00BA054C"/>
    <w:rsid w:val="00BB5BBD"/>
    <w:rsid w:val="00BC1D0D"/>
    <w:rsid w:val="00BC2E36"/>
    <w:rsid w:val="00BD0D95"/>
    <w:rsid w:val="00BE1A6B"/>
    <w:rsid w:val="00BE32A4"/>
    <w:rsid w:val="00BE4832"/>
    <w:rsid w:val="00BE6B2F"/>
    <w:rsid w:val="00BF5527"/>
    <w:rsid w:val="00C01289"/>
    <w:rsid w:val="00C03B90"/>
    <w:rsid w:val="00C05387"/>
    <w:rsid w:val="00C12DB0"/>
    <w:rsid w:val="00C24E88"/>
    <w:rsid w:val="00C24FCC"/>
    <w:rsid w:val="00C26E15"/>
    <w:rsid w:val="00C34D80"/>
    <w:rsid w:val="00C367BD"/>
    <w:rsid w:val="00C44175"/>
    <w:rsid w:val="00C468DB"/>
    <w:rsid w:val="00C53CA4"/>
    <w:rsid w:val="00C83A20"/>
    <w:rsid w:val="00C917EA"/>
    <w:rsid w:val="00C918F2"/>
    <w:rsid w:val="00CA185C"/>
    <w:rsid w:val="00CA3B61"/>
    <w:rsid w:val="00CA5EBF"/>
    <w:rsid w:val="00CB2011"/>
    <w:rsid w:val="00CC025B"/>
    <w:rsid w:val="00CC4B6B"/>
    <w:rsid w:val="00CC75D0"/>
    <w:rsid w:val="00CE2A65"/>
    <w:rsid w:val="00CE2B99"/>
    <w:rsid w:val="00CE5F10"/>
    <w:rsid w:val="00CE7006"/>
    <w:rsid w:val="00D0307C"/>
    <w:rsid w:val="00D03A24"/>
    <w:rsid w:val="00D050D2"/>
    <w:rsid w:val="00D0623C"/>
    <w:rsid w:val="00D1466D"/>
    <w:rsid w:val="00D3226B"/>
    <w:rsid w:val="00D34106"/>
    <w:rsid w:val="00D4022C"/>
    <w:rsid w:val="00D4050A"/>
    <w:rsid w:val="00D41890"/>
    <w:rsid w:val="00D4448C"/>
    <w:rsid w:val="00D45ED5"/>
    <w:rsid w:val="00D466F6"/>
    <w:rsid w:val="00D46BFE"/>
    <w:rsid w:val="00D47F99"/>
    <w:rsid w:val="00D557BF"/>
    <w:rsid w:val="00D650E4"/>
    <w:rsid w:val="00D6519C"/>
    <w:rsid w:val="00D66850"/>
    <w:rsid w:val="00D76FF3"/>
    <w:rsid w:val="00D8146C"/>
    <w:rsid w:val="00D82FCD"/>
    <w:rsid w:val="00D92CF6"/>
    <w:rsid w:val="00D97EEF"/>
    <w:rsid w:val="00DA0606"/>
    <w:rsid w:val="00DA7E23"/>
    <w:rsid w:val="00DB4C80"/>
    <w:rsid w:val="00DC6FD3"/>
    <w:rsid w:val="00DC7E29"/>
    <w:rsid w:val="00DD4665"/>
    <w:rsid w:val="00DD4934"/>
    <w:rsid w:val="00DD6B55"/>
    <w:rsid w:val="00DE1D8F"/>
    <w:rsid w:val="00DE5792"/>
    <w:rsid w:val="00DE6C89"/>
    <w:rsid w:val="00DF1D0A"/>
    <w:rsid w:val="00DF26BD"/>
    <w:rsid w:val="00DF28E5"/>
    <w:rsid w:val="00DF70C8"/>
    <w:rsid w:val="00E01EC5"/>
    <w:rsid w:val="00E21DB9"/>
    <w:rsid w:val="00E257F5"/>
    <w:rsid w:val="00E26BA9"/>
    <w:rsid w:val="00E316DE"/>
    <w:rsid w:val="00E32EDD"/>
    <w:rsid w:val="00E3674A"/>
    <w:rsid w:val="00E438B5"/>
    <w:rsid w:val="00E556A6"/>
    <w:rsid w:val="00E56911"/>
    <w:rsid w:val="00E57770"/>
    <w:rsid w:val="00E6090E"/>
    <w:rsid w:val="00E615A2"/>
    <w:rsid w:val="00E620A6"/>
    <w:rsid w:val="00E66976"/>
    <w:rsid w:val="00E67DBA"/>
    <w:rsid w:val="00E745F7"/>
    <w:rsid w:val="00E76417"/>
    <w:rsid w:val="00E85D62"/>
    <w:rsid w:val="00E94B78"/>
    <w:rsid w:val="00E95FF3"/>
    <w:rsid w:val="00E97A66"/>
    <w:rsid w:val="00E97F96"/>
    <w:rsid w:val="00EA70B7"/>
    <w:rsid w:val="00EB40AE"/>
    <w:rsid w:val="00EB6A2A"/>
    <w:rsid w:val="00EC34B5"/>
    <w:rsid w:val="00ED4C5F"/>
    <w:rsid w:val="00EE2402"/>
    <w:rsid w:val="00EE573B"/>
    <w:rsid w:val="00EE582A"/>
    <w:rsid w:val="00EF0D3C"/>
    <w:rsid w:val="00EF1389"/>
    <w:rsid w:val="00F07DF2"/>
    <w:rsid w:val="00F10CF0"/>
    <w:rsid w:val="00F14454"/>
    <w:rsid w:val="00F22BB9"/>
    <w:rsid w:val="00F25D49"/>
    <w:rsid w:val="00F33BB4"/>
    <w:rsid w:val="00F4023E"/>
    <w:rsid w:val="00F44DA1"/>
    <w:rsid w:val="00F50613"/>
    <w:rsid w:val="00F51FD5"/>
    <w:rsid w:val="00F545EB"/>
    <w:rsid w:val="00F55A0A"/>
    <w:rsid w:val="00F57954"/>
    <w:rsid w:val="00F618DB"/>
    <w:rsid w:val="00F64854"/>
    <w:rsid w:val="00F64D65"/>
    <w:rsid w:val="00F80721"/>
    <w:rsid w:val="00F84F80"/>
    <w:rsid w:val="00FA086B"/>
    <w:rsid w:val="00FA2E99"/>
    <w:rsid w:val="00FA4D46"/>
    <w:rsid w:val="00FA74CF"/>
    <w:rsid w:val="00FB07EA"/>
    <w:rsid w:val="00FB53E8"/>
    <w:rsid w:val="00FB7923"/>
    <w:rsid w:val="00FC562D"/>
    <w:rsid w:val="00FD2C78"/>
    <w:rsid w:val="00FD2ECB"/>
    <w:rsid w:val="00FD577B"/>
    <w:rsid w:val="00FD790F"/>
    <w:rsid w:val="00FE6226"/>
    <w:rsid w:val="00FE6B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FCA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304"/>
  </w:style>
  <w:style w:type="paragraph" w:styleId="Heading1">
    <w:name w:val="heading 1"/>
    <w:basedOn w:val="Normal"/>
    <w:link w:val="Heading1Char"/>
    <w:uiPriority w:val="9"/>
    <w:qFormat/>
    <w:rsid w:val="00E6090E"/>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533304"/>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28"/>
    <w:rPr>
      <w:color w:val="808080"/>
    </w:rPr>
  </w:style>
  <w:style w:type="paragraph" w:styleId="BalloonText">
    <w:name w:val="Balloon Text"/>
    <w:basedOn w:val="Normal"/>
    <w:link w:val="BalloonTextChar"/>
    <w:uiPriority w:val="99"/>
    <w:semiHidden/>
    <w:unhideWhenUsed/>
    <w:rsid w:val="00616D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D28"/>
    <w:rPr>
      <w:rFonts w:ascii="Lucida Grande" w:hAnsi="Lucida Grande" w:cs="Lucida Grande"/>
      <w:sz w:val="18"/>
      <w:szCs w:val="18"/>
    </w:rPr>
  </w:style>
  <w:style w:type="paragraph" w:styleId="ListParagraph">
    <w:name w:val="List Paragraph"/>
    <w:basedOn w:val="Normal"/>
    <w:uiPriority w:val="34"/>
    <w:qFormat/>
    <w:rsid w:val="00616D28"/>
    <w:pPr>
      <w:ind w:left="720"/>
      <w:contextualSpacing/>
    </w:pPr>
  </w:style>
  <w:style w:type="character" w:styleId="Hyperlink">
    <w:name w:val="Hyperlink"/>
    <w:basedOn w:val="DefaultParagraphFont"/>
    <w:uiPriority w:val="99"/>
    <w:unhideWhenUsed/>
    <w:rsid w:val="00B41ED1"/>
    <w:rPr>
      <w:color w:val="0000FF" w:themeColor="hyperlink"/>
      <w:u w:val="single"/>
    </w:rPr>
  </w:style>
  <w:style w:type="character" w:customStyle="1" w:styleId="Mention1">
    <w:name w:val="Mention1"/>
    <w:basedOn w:val="DefaultParagraphFont"/>
    <w:uiPriority w:val="99"/>
    <w:semiHidden/>
    <w:unhideWhenUsed/>
    <w:rsid w:val="00151790"/>
    <w:rPr>
      <w:color w:val="2B579A"/>
      <w:shd w:val="clear" w:color="auto" w:fill="E6E6E6"/>
    </w:rPr>
  </w:style>
  <w:style w:type="character" w:styleId="FollowedHyperlink">
    <w:name w:val="FollowedHyperlink"/>
    <w:basedOn w:val="DefaultParagraphFont"/>
    <w:uiPriority w:val="99"/>
    <w:semiHidden/>
    <w:unhideWhenUsed/>
    <w:rsid w:val="00456D44"/>
    <w:rPr>
      <w:color w:val="800080" w:themeColor="followedHyperlink"/>
      <w:u w:val="single"/>
    </w:rPr>
  </w:style>
  <w:style w:type="character" w:customStyle="1" w:styleId="apple-converted-space">
    <w:name w:val="apple-converted-space"/>
    <w:basedOn w:val="DefaultParagraphFont"/>
    <w:rsid w:val="00C01289"/>
  </w:style>
  <w:style w:type="paragraph" w:styleId="Header">
    <w:name w:val="header"/>
    <w:basedOn w:val="Normal"/>
    <w:link w:val="HeaderChar"/>
    <w:uiPriority w:val="99"/>
    <w:unhideWhenUsed/>
    <w:rsid w:val="00414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7BB"/>
  </w:style>
  <w:style w:type="paragraph" w:styleId="Footer">
    <w:name w:val="footer"/>
    <w:basedOn w:val="Normal"/>
    <w:link w:val="FooterChar"/>
    <w:uiPriority w:val="99"/>
    <w:unhideWhenUsed/>
    <w:rsid w:val="00414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7BB"/>
  </w:style>
  <w:style w:type="table" w:styleId="TableGrid">
    <w:name w:val="Table Grid"/>
    <w:basedOn w:val="TableNormal"/>
    <w:uiPriority w:val="59"/>
    <w:rsid w:val="00BE1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34C3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134C35"/>
    <w:rPr>
      <w:rFonts w:ascii="Courier" w:hAnsi="Courier"/>
      <w:sz w:val="20"/>
      <w:szCs w:val="20"/>
    </w:rPr>
  </w:style>
  <w:style w:type="character" w:customStyle="1" w:styleId="Heading2Char">
    <w:name w:val="Heading 2 Char"/>
    <w:basedOn w:val="DefaultParagraphFont"/>
    <w:link w:val="Heading2"/>
    <w:uiPriority w:val="9"/>
    <w:rsid w:val="00533304"/>
    <w:rPr>
      <w:rFonts w:ascii="Times New Roman" w:hAnsi="Times New Roman" w:cs="Times New Roman"/>
      <w:b/>
      <w:bCs/>
      <w:sz w:val="36"/>
      <w:szCs w:val="36"/>
      <w:lang w:eastAsia="en-GB"/>
    </w:rPr>
  </w:style>
  <w:style w:type="paragraph" w:styleId="NormalWeb">
    <w:name w:val="Normal (Web)"/>
    <w:basedOn w:val="Normal"/>
    <w:uiPriority w:val="99"/>
    <w:unhideWhenUsed/>
    <w:rsid w:val="00533304"/>
    <w:pPr>
      <w:spacing w:before="100" w:beforeAutospacing="1" w:after="100" w:afterAutospacing="1" w:line="240" w:lineRule="auto"/>
    </w:pPr>
    <w:rPr>
      <w:rFonts w:ascii="Times New Roman" w:hAnsi="Times New Roman" w:cs="Times New Roman"/>
      <w:sz w:val="24"/>
      <w:szCs w:val="24"/>
      <w:lang w:eastAsia="en-GB"/>
    </w:rPr>
  </w:style>
  <w:style w:type="character" w:styleId="LineNumber">
    <w:name w:val="line number"/>
    <w:basedOn w:val="DefaultParagraphFont"/>
    <w:uiPriority w:val="99"/>
    <w:semiHidden/>
    <w:unhideWhenUsed/>
    <w:rsid w:val="00805C06"/>
  </w:style>
  <w:style w:type="character" w:customStyle="1" w:styleId="Heading1Char">
    <w:name w:val="Heading 1 Char"/>
    <w:basedOn w:val="DefaultParagraphFont"/>
    <w:link w:val="Heading1"/>
    <w:uiPriority w:val="9"/>
    <w:rsid w:val="00E6090E"/>
    <w:rPr>
      <w:rFonts w:ascii="Times New Roman" w:hAnsi="Times New Roman" w:cs="Times New Roman"/>
      <w:b/>
      <w:bCs/>
      <w:kern w:val="36"/>
      <w:sz w:val="48"/>
      <w:szCs w:val="48"/>
      <w:lang w:eastAsia="en-GB"/>
    </w:rPr>
  </w:style>
  <w:style w:type="paragraph" w:styleId="Caption">
    <w:name w:val="caption"/>
    <w:basedOn w:val="Normal"/>
    <w:next w:val="Normal"/>
    <w:uiPriority w:val="35"/>
    <w:unhideWhenUsed/>
    <w:qFormat/>
    <w:rsid w:val="003B0D0E"/>
    <w:pPr>
      <w:spacing w:line="240" w:lineRule="auto"/>
    </w:pPr>
    <w:rPr>
      <w:b/>
      <w:bCs/>
      <w:color w:val="4F81BD" w:themeColor="accent1"/>
      <w:sz w:val="18"/>
      <w:szCs w:val="18"/>
    </w:rPr>
  </w:style>
  <w:style w:type="paragraph" w:styleId="Revision">
    <w:name w:val="Revision"/>
    <w:hidden/>
    <w:uiPriority w:val="99"/>
    <w:semiHidden/>
    <w:rsid w:val="00C53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28387">
      <w:bodyDiv w:val="1"/>
      <w:marLeft w:val="0"/>
      <w:marRight w:val="0"/>
      <w:marTop w:val="0"/>
      <w:marBottom w:val="0"/>
      <w:divBdr>
        <w:top w:val="none" w:sz="0" w:space="0" w:color="auto"/>
        <w:left w:val="none" w:sz="0" w:space="0" w:color="auto"/>
        <w:bottom w:val="none" w:sz="0" w:space="0" w:color="auto"/>
        <w:right w:val="none" w:sz="0" w:space="0" w:color="auto"/>
      </w:divBdr>
    </w:div>
    <w:div w:id="262108890">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553779300">
      <w:bodyDiv w:val="1"/>
      <w:marLeft w:val="0"/>
      <w:marRight w:val="0"/>
      <w:marTop w:val="0"/>
      <w:marBottom w:val="0"/>
      <w:divBdr>
        <w:top w:val="none" w:sz="0" w:space="0" w:color="auto"/>
        <w:left w:val="none" w:sz="0" w:space="0" w:color="auto"/>
        <w:bottom w:val="none" w:sz="0" w:space="0" w:color="auto"/>
        <w:right w:val="none" w:sz="0" w:space="0" w:color="auto"/>
      </w:divBdr>
      <w:divsChild>
        <w:div w:id="654070036">
          <w:marLeft w:val="720"/>
          <w:marRight w:val="0"/>
          <w:marTop w:val="120"/>
          <w:marBottom w:val="0"/>
          <w:divBdr>
            <w:top w:val="none" w:sz="0" w:space="0" w:color="auto"/>
            <w:left w:val="none" w:sz="0" w:space="0" w:color="auto"/>
            <w:bottom w:val="none" w:sz="0" w:space="0" w:color="auto"/>
            <w:right w:val="none" w:sz="0" w:space="0" w:color="auto"/>
          </w:divBdr>
        </w:div>
        <w:div w:id="396056336">
          <w:marLeft w:val="720"/>
          <w:marRight w:val="0"/>
          <w:marTop w:val="120"/>
          <w:marBottom w:val="0"/>
          <w:divBdr>
            <w:top w:val="none" w:sz="0" w:space="0" w:color="auto"/>
            <w:left w:val="none" w:sz="0" w:space="0" w:color="auto"/>
            <w:bottom w:val="none" w:sz="0" w:space="0" w:color="auto"/>
            <w:right w:val="none" w:sz="0" w:space="0" w:color="auto"/>
          </w:divBdr>
        </w:div>
      </w:divsChild>
    </w:div>
    <w:div w:id="628585146">
      <w:bodyDiv w:val="1"/>
      <w:marLeft w:val="0"/>
      <w:marRight w:val="0"/>
      <w:marTop w:val="0"/>
      <w:marBottom w:val="0"/>
      <w:divBdr>
        <w:top w:val="none" w:sz="0" w:space="0" w:color="auto"/>
        <w:left w:val="none" w:sz="0" w:space="0" w:color="auto"/>
        <w:bottom w:val="none" w:sz="0" w:space="0" w:color="auto"/>
        <w:right w:val="none" w:sz="0" w:space="0" w:color="auto"/>
      </w:divBdr>
    </w:div>
    <w:div w:id="691804101">
      <w:bodyDiv w:val="1"/>
      <w:marLeft w:val="0"/>
      <w:marRight w:val="0"/>
      <w:marTop w:val="0"/>
      <w:marBottom w:val="0"/>
      <w:divBdr>
        <w:top w:val="none" w:sz="0" w:space="0" w:color="auto"/>
        <w:left w:val="none" w:sz="0" w:space="0" w:color="auto"/>
        <w:bottom w:val="none" w:sz="0" w:space="0" w:color="auto"/>
        <w:right w:val="none" w:sz="0" w:space="0" w:color="auto"/>
      </w:divBdr>
      <w:divsChild>
        <w:div w:id="1824809978">
          <w:marLeft w:val="720"/>
          <w:marRight w:val="0"/>
          <w:marTop w:val="120"/>
          <w:marBottom w:val="0"/>
          <w:divBdr>
            <w:top w:val="none" w:sz="0" w:space="0" w:color="auto"/>
            <w:left w:val="none" w:sz="0" w:space="0" w:color="auto"/>
            <w:bottom w:val="none" w:sz="0" w:space="0" w:color="auto"/>
            <w:right w:val="none" w:sz="0" w:space="0" w:color="auto"/>
          </w:divBdr>
        </w:div>
        <w:div w:id="1147817841">
          <w:marLeft w:val="720"/>
          <w:marRight w:val="0"/>
          <w:marTop w:val="120"/>
          <w:marBottom w:val="0"/>
          <w:divBdr>
            <w:top w:val="none" w:sz="0" w:space="0" w:color="auto"/>
            <w:left w:val="none" w:sz="0" w:space="0" w:color="auto"/>
            <w:bottom w:val="none" w:sz="0" w:space="0" w:color="auto"/>
            <w:right w:val="none" w:sz="0" w:space="0" w:color="auto"/>
          </w:divBdr>
        </w:div>
        <w:div w:id="681667349">
          <w:marLeft w:val="720"/>
          <w:marRight w:val="0"/>
          <w:marTop w:val="120"/>
          <w:marBottom w:val="0"/>
          <w:divBdr>
            <w:top w:val="none" w:sz="0" w:space="0" w:color="auto"/>
            <w:left w:val="none" w:sz="0" w:space="0" w:color="auto"/>
            <w:bottom w:val="none" w:sz="0" w:space="0" w:color="auto"/>
            <w:right w:val="none" w:sz="0" w:space="0" w:color="auto"/>
          </w:divBdr>
        </w:div>
        <w:div w:id="1337221999">
          <w:marLeft w:val="720"/>
          <w:marRight w:val="0"/>
          <w:marTop w:val="120"/>
          <w:marBottom w:val="0"/>
          <w:divBdr>
            <w:top w:val="none" w:sz="0" w:space="0" w:color="auto"/>
            <w:left w:val="none" w:sz="0" w:space="0" w:color="auto"/>
            <w:bottom w:val="none" w:sz="0" w:space="0" w:color="auto"/>
            <w:right w:val="none" w:sz="0" w:space="0" w:color="auto"/>
          </w:divBdr>
        </w:div>
        <w:div w:id="716667707">
          <w:marLeft w:val="720"/>
          <w:marRight w:val="0"/>
          <w:marTop w:val="120"/>
          <w:marBottom w:val="0"/>
          <w:divBdr>
            <w:top w:val="none" w:sz="0" w:space="0" w:color="auto"/>
            <w:left w:val="none" w:sz="0" w:space="0" w:color="auto"/>
            <w:bottom w:val="none" w:sz="0" w:space="0" w:color="auto"/>
            <w:right w:val="none" w:sz="0" w:space="0" w:color="auto"/>
          </w:divBdr>
        </w:div>
      </w:divsChild>
    </w:div>
    <w:div w:id="711883951">
      <w:bodyDiv w:val="1"/>
      <w:marLeft w:val="0"/>
      <w:marRight w:val="0"/>
      <w:marTop w:val="0"/>
      <w:marBottom w:val="0"/>
      <w:divBdr>
        <w:top w:val="none" w:sz="0" w:space="0" w:color="auto"/>
        <w:left w:val="none" w:sz="0" w:space="0" w:color="auto"/>
        <w:bottom w:val="none" w:sz="0" w:space="0" w:color="auto"/>
        <w:right w:val="none" w:sz="0" w:space="0" w:color="auto"/>
      </w:divBdr>
    </w:div>
    <w:div w:id="1020813299">
      <w:bodyDiv w:val="1"/>
      <w:marLeft w:val="0"/>
      <w:marRight w:val="0"/>
      <w:marTop w:val="0"/>
      <w:marBottom w:val="0"/>
      <w:divBdr>
        <w:top w:val="none" w:sz="0" w:space="0" w:color="auto"/>
        <w:left w:val="none" w:sz="0" w:space="0" w:color="auto"/>
        <w:bottom w:val="none" w:sz="0" w:space="0" w:color="auto"/>
        <w:right w:val="none" w:sz="0" w:space="0" w:color="auto"/>
      </w:divBdr>
    </w:div>
    <w:div w:id="1131754608">
      <w:bodyDiv w:val="1"/>
      <w:marLeft w:val="0"/>
      <w:marRight w:val="0"/>
      <w:marTop w:val="0"/>
      <w:marBottom w:val="0"/>
      <w:divBdr>
        <w:top w:val="none" w:sz="0" w:space="0" w:color="auto"/>
        <w:left w:val="none" w:sz="0" w:space="0" w:color="auto"/>
        <w:bottom w:val="none" w:sz="0" w:space="0" w:color="auto"/>
        <w:right w:val="none" w:sz="0" w:space="0" w:color="auto"/>
      </w:divBdr>
    </w:div>
    <w:div w:id="1143891351">
      <w:bodyDiv w:val="1"/>
      <w:marLeft w:val="0"/>
      <w:marRight w:val="0"/>
      <w:marTop w:val="0"/>
      <w:marBottom w:val="0"/>
      <w:divBdr>
        <w:top w:val="none" w:sz="0" w:space="0" w:color="auto"/>
        <w:left w:val="none" w:sz="0" w:space="0" w:color="auto"/>
        <w:bottom w:val="none" w:sz="0" w:space="0" w:color="auto"/>
        <w:right w:val="none" w:sz="0" w:space="0" w:color="auto"/>
      </w:divBdr>
    </w:div>
    <w:div w:id="1217352196">
      <w:bodyDiv w:val="1"/>
      <w:marLeft w:val="0"/>
      <w:marRight w:val="0"/>
      <w:marTop w:val="0"/>
      <w:marBottom w:val="0"/>
      <w:divBdr>
        <w:top w:val="none" w:sz="0" w:space="0" w:color="auto"/>
        <w:left w:val="none" w:sz="0" w:space="0" w:color="auto"/>
        <w:bottom w:val="none" w:sz="0" w:space="0" w:color="auto"/>
        <w:right w:val="none" w:sz="0" w:space="0" w:color="auto"/>
      </w:divBdr>
      <w:divsChild>
        <w:div w:id="1017392332">
          <w:marLeft w:val="720"/>
          <w:marRight w:val="0"/>
          <w:marTop w:val="120"/>
          <w:marBottom w:val="0"/>
          <w:divBdr>
            <w:top w:val="none" w:sz="0" w:space="0" w:color="auto"/>
            <w:left w:val="none" w:sz="0" w:space="0" w:color="auto"/>
            <w:bottom w:val="none" w:sz="0" w:space="0" w:color="auto"/>
            <w:right w:val="none" w:sz="0" w:space="0" w:color="auto"/>
          </w:divBdr>
        </w:div>
        <w:div w:id="275719706">
          <w:marLeft w:val="720"/>
          <w:marRight w:val="0"/>
          <w:marTop w:val="120"/>
          <w:marBottom w:val="0"/>
          <w:divBdr>
            <w:top w:val="none" w:sz="0" w:space="0" w:color="auto"/>
            <w:left w:val="none" w:sz="0" w:space="0" w:color="auto"/>
            <w:bottom w:val="none" w:sz="0" w:space="0" w:color="auto"/>
            <w:right w:val="none" w:sz="0" w:space="0" w:color="auto"/>
          </w:divBdr>
        </w:div>
        <w:div w:id="683631041">
          <w:marLeft w:val="720"/>
          <w:marRight w:val="0"/>
          <w:marTop w:val="120"/>
          <w:marBottom w:val="0"/>
          <w:divBdr>
            <w:top w:val="none" w:sz="0" w:space="0" w:color="auto"/>
            <w:left w:val="none" w:sz="0" w:space="0" w:color="auto"/>
            <w:bottom w:val="none" w:sz="0" w:space="0" w:color="auto"/>
            <w:right w:val="none" w:sz="0" w:space="0" w:color="auto"/>
          </w:divBdr>
        </w:div>
      </w:divsChild>
    </w:div>
    <w:div w:id="1224102343">
      <w:bodyDiv w:val="1"/>
      <w:marLeft w:val="0"/>
      <w:marRight w:val="0"/>
      <w:marTop w:val="0"/>
      <w:marBottom w:val="0"/>
      <w:divBdr>
        <w:top w:val="none" w:sz="0" w:space="0" w:color="auto"/>
        <w:left w:val="none" w:sz="0" w:space="0" w:color="auto"/>
        <w:bottom w:val="none" w:sz="0" w:space="0" w:color="auto"/>
        <w:right w:val="none" w:sz="0" w:space="0" w:color="auto"/>
      </w:divBdr>
    </w:div>
    <w:div w:id="1601789623">
      <w:bodyDiv w:val="1"/>
      <w:marLeft w:val="0"/>
      <w:marRight w:val="0"/>
      <w:marTop w:val="0"/>
      <w:marBottom w:val="0"/>
      <w:divBdr>
        <w:top w:val="none" w:sz="0" w:space="0" w:color="auto"/>
        <w:left w:val="none" w:sz="0" w:space="0" w:color="auto"/>
        <w:bottom w:val="none" w:sz="0" w:space="0" w:color="auto"/>
        <w:right w:val="none" w:sz="0" w:space="0" w:color="auto"/>
      </w:divBdr>
      <w:divsChild>
        <w:div w:id="696779105">
          <w:marLeft w:val="1138"/>
          <w:marRight w:val="0"/>
          <w:marTop w:val="0"/>
          <w:marBottom w:val="0"/>
          <w:divBdr>
            <w:top w:val="none" w:sz="0" w:space="0" w:color="auto"/>
            <w:left w:val="none" w:sz="0" w:space="0" w:color="auto"/>
            <w:bottom w:val="none" w:sz="0" w:space="0" w:color="auto"/>
            <w:right w:val="none" w:sz="0" w:space="0" w:color="auto"/>
          </w:divBdr>
        </w:div>
      </w:divsChild>
    </w:div>
    <w:div w:id="1813137608">
      <w:bodyDiv w:val="1"/>
      <w:marLeft w:val="0"/>
      <w:marRight w:val="0"/>
      <w:marTop w:val="0"/>
      <w:marBottom w:val="0"/>
      <w:divBdr>
        <w:top w:val="none" w:sz="0" w:space="0" w:color="auto"/>
        <w:left w:val="none" w:sz="0" w:space="0" w:color="auto"/>
        <w:bottom w:val="none" w:sz="0" w:space="0" w:color="auto"/>
        <w:right w:val="none" w:sz="0" w:space="0" w:color="auto"/>
      </w:divBdr>
      <w:divsChild>
        <w:div w:id="1652905547">
          <w:marLeft w:val="0"/>
          <w:marRight w:val="0"/>
          <w:marTop w:val="0"/>
          <w:marBottom w:val="0"/>
          <w:divBdr>
            <w:top w:val="none" w:sz="0" w:space="0" w:color="auto"/>
            <w:left w:val="none" w:sz="0" w:space="0" w:color="auto"/>
            <w:bottom w:val="none" w:sz="0" w:space="0" w:color="auto"/>
            <w:right w:val="none" w:sz="0" w:space="0" w:color="auto"/>
          </w:divBdr>
        </w:div>
        <w:div w:id="931280195">
          <w:marLeft w:val="0"/>
          <w:marRight w:val="0"/>
          <w:marTop w:val="0"/>
          <w:marBottom w:val="0"/>
          <w:divBdr>
            <w:top w:val="none" w:sz="0" w:space="0" w:color="auto"/>
            <w:left w:val="none" w:sz="0" w:space="0" w:color="auto"/>
            <w:bottom w:val="none" w:sz="0" w:space="0" w:color="auto"/>
            <w:right w:val="none" w:sz="0" w:space="0" w:color="auto"/>
          </w:divBdr>
        </w:div>
        <w:div w:id="1976061903">
          <w:marLeft w:val="0"/>
          <w:marRight w:val="0"/>
          <w:marTop w:val="0"/>
          <w:marBottom w:val="0"/>
          <w:divBdr>
            <w:top w:val="none" w:sz="0" w:space="0" w:color="auto"/>
            <w:left w:val="none" w:sz="0" w:space="0" w:color="auto"/>
            <w:bottom w:val="none" w:sz="0" w:space="0" w:color="auto"/>
            <w:right w:val="none" w:sz="0" w:space="0" w:color="auto"/>
          </w:divBdr>
        </w:div>
        <w:div w:id="58021449">
          <w:marLeft w:val="0"/>
          <w:marRight w:val="0"/>
          <w:marTop w:val="0"/>
          <w:marBottom w:val="0"/>
          <w:divBdr>
            <w:top w:val="none" w:sz="0" w:space="0" w:color="auto"/>
            <w:left w:val="none" w:sz="0" w:space="0" w:color="auto"/>
            <w:bottom w:val="none" w:sz="0" w:space="0" w:color="auto"/>
            <w:right w:val="none" w:sz="0" w:space="0" w:color="auto"/>
          </w:divBdr>
        </w:div>
        <w:div w:id="275063203">
          <w:marLeft w:val="0"/>
          <w:marRight w:val="0"/>
          <w:marTop w:val="0"/>
          <w:marBottom w:val="0"/>
          <w:divBdr>
            <w:top w:val="none" w:sz="0" w:space="0" w:color="auto"/>
            <w:left w:val="none" w:sz="0" w:space="0" w:color="auto"/>
            <w:bottom w:val="none" w:sz="0" w:space="0" w:color="auto"/>
            <w:right w:val="none" w:sz="0" w:space="0" w:color="auto"/>
          </w:divBdr>
        </w:div>
        <w:div w:id="537621477">
          <w:marLeft w:val="0"/>
          <w:marRight w:val="0"/>
          <w:marTop w:val="0"/>
          <w:marBottom w:val="0"/>
          <w:divBdr>
            <w:top w:val="none" w:sz="0" w:space="0" w:color="auto"/>
            <w:left w:val="none" w:sz="0" w:space="0" w:color="auto"/>
            <w:bottom w:val="none" w:sz="0" w:space="0" w:color="auto"/>
            <w:right w:val="none" w:sz="0" w:space="0" w:color="auto"/>
          </w:divBdr>
        </w:div>
        <w:div w:id="2102406614">
          <w:marLeft w:val="0"/>
          <w:marRight w:val="0"/>
          <w:marTop w:val="0"/>
          <w:marBottom w:val="0"/>
          <w:divBdr>
            <w:top w:val="none" w:sz="0" w:space="0" w:color="auto"/>
            <w:left w:val="none" w:sz="0" w:space="0" w:color="auto"/>
            <w:bottom w:val="none" w:sz="0" w:space="0" w:color="auto"/>
            <w:right w:val="none" w:sz="0" w:space="0" w:color="auto"/>
          </w:divBdr>
        </w:div>
      </w:divsChild>
    </w:div>
    <w:div w:id="2133940544">
      <w:bodyDiv w:val="1"/>
      <w:marLeft w:val="0"/>
      <w:marRight w:val="0"/>
      <w:marTop w:val="0"/>
      <w:marBottom w:val="0"/>
      <w:divBdr>
        <w:top w:val="none" w:sz="0" w:space="0" w:color="auto"/>
        <w:left w:val="none" w:sz="0" w:space="0" w:color="auto"/>
        <w:bottom w:val="none" w:sz="0" w:space="0" w:color="auto"/>
        <w:right w:val="none" w:sz="0" w:space="0" w:color="auto"/>
      </w:divBdr>
      <w:divsChild>
        <w:div w:id="67463862">
          <w:marLeft w:val="720"/>
          <w:marRight w:val="0"/>
          <w:marTop w:val="120"/>
          <w:marBottom w:val="0"/>
          <w:divBdr>
            <w:top w:val="none" w:sz="0" w:space="0" w:color="auto"/>
            <w:left w:val="none" w:sz="0" w:space="0" w:color="auto"/>
            <w:bottom w:val="none" w:sz="0" w:space="0" w:color="auto"/>
            <w:right w:val="none" w:sz="0" w:space="0" w:color="auto"/>
          </w:divBdr>
        </w:div>
        <w:div w:id="174615107">
          <w:marLeft w:val="720"/>
          <w:marRight w:val="0"/>
          <w:marTop w:val="120"/>
          <w:marBottom w:val="0"/>
          <w:divBdr>
            <w:top w:val="none" w:sz="0" w:space="0" w:color="auto"/>
            <w:left w:val="none" w:sz="0" w:space="0" w:color="auto"/>
            <w:bottom w:val="none" w:sz="0" w:space="0" w:color="auto"/>
            <w:right w:val="none" w:sz="0" w:space="0" w:color="auto"/>
          </w:divBdr>
        </w:div>
        <w:div w:id="1685091137">
          <w:marLeft w:val="720"/>
          <w:marRight w:val="0"/>
          <w:marTop w:val="120"/>
          <w:marBottom w:val="0"/>
          <w:divBdr>
            <w:top w:val="none" w:sz="0" w:space="0" w:color="auto"/>
            <w:left w:val="none" w:sz="0" w:space="0" w:color="auto"/>
            <w:bottom w:val="none" w:sz="0" w:space="0" w:color="auto"/>
            <w:right w:val="none" w:sz="0" w:space="0" w:color="auto"/>
          </w:divBdr>
        </w:div>
        <w:div w:id="1905212800">
          <w:marLeft w:val="720"/>
          <w:marRight w:val="0"/>
          <w:marTop w:val="120"/>
          <w:marBottom w:val="0"/>
          <w:divBdr>
            <w:top w:val="none" w:sz="0" w:space="0" w:color="auto"/>
            <w:left w:val="none" w:sz="0" w:space="0" w:color="auto"/>
            <w:bottom w:val="none" w:sz="0" w:space="0" w:color="auto"/>
            <w:right w:val="none" w:sz="0" w:space="0" w:color="auto"/>
          </w:divBdr>
        </w:div>
        <w:div w:id="1311400787">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0F85-5A94-0444-BF54-B201403B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2454</Words>
  <Characters>13991</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4</cp:revision>
  <dcterms:created xsi:type="dcterms:W3CDTF">2018-08-03T01:27:00Z</dcterms:created>
  <dcterms:modified xsi:type="dcterms:W3CDTF">2018-08-05T22:23:00Z</dcterms:modified>
</cp:coreProperties>
</file>