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7B7F8" w14:textId="3E0EF1AB" w:rsidR="00A02122" w:rsidRPr="00B45098" w:rsidRDefault="00B45098" w:rsidP="00B45098">
      <w:pPr>
        <w:spacing w:line="480" w:lineRule="auto"/>
      </w:pPr>
      <w:bookmarkStart w:id="0" w:name="_GoBack"/>
      <w:bookmarkEnd w:id="0"/>
      <w:r w:rsidRPr="0056344E">
        <w:rPr>
          <w:b/>
        </w:rPr>
        <w:t>Manuscript Title</w:t>
      </w:r>
      <w:r w:rsidRPr="00B45098">
        <w:t xml:space="preserve">: </w:t>
      </w:r>
      <w:r w:rsidR="00A02122" w:rsidRPr="00B45098">
        <w:t xml:space="preserve">Examining </w:t>
      </w:r>
      <w:r>
        <w:t>t</w:t>
      </w:r>
      <w:r w:rsidR="00A02122" w:rsidRPr="00B45098">
        <w:t xml:space="preserve">he </w:t>
      </w:r>
      <w:r>
        <w:t>i</w:t>
      </w:r>
      <w:r w:rsidR="00A02122" w:rsidRPr="00B45098">
        <w:t xml:space="preserve">mpact </w:t>
      </w:r>
      <w:r>
        <w:t>o</w:t>
      </w:r>
      <w:r w:rsidR="00A02122" w:rsidRPr="00B45098">
        <w:t xml:space="preserve">f </w:t>
      </w:r>
      <w:r>
        <w:t>a</w:t>
      </w:r>
      <w:r w:rsidR="00A02122" w:rsidRPr="00B45098">
        <w:t xml:space="preserve">udience </w:t>
      </w:r>
      <w:r>
        <w:t>r</w:t>
      </w:r>
      <w:r w:rsidR="00A02122" w:rsidRPr="00B45098">
        <w:t xml:space="preserve">esponse </w:t>
      </w:r>
      <w:r>
        <w:t>s</w:t>
      </w:r>
      <w:r w:rsidR="00A02122" w:rsidRPr="00B45098">
        <w:t xml:space="preserve">ystems </w:t>
      </w:r>
      <w:r>
        <w:t>o</w:t>
      </w:r>
      <w:r w:rsidR="00A02122" w:rsidRPr="00B45098">
        <w:t xml:space="preserve">n </w:t>
      </w:r>
      <w:r>
        <w:t>s</w:t>
      </w:r>
      <w:r w:rsidR="00A02122" w:rsidRPr="00B45098">
        <w:t xml:space="preserve">tudent </w:t>
      </w:r>
      <w:r>
        <w:t>p</w:t>
      </w:r>
      <w:r w:rsidR="00A02122" w:rsidRPr="00B45098">
        <w:t xml:space="preserve">erformance </w:t>
      </w:r>
      <w:r>
        <w:t>i</w:t>
      </w:r>
      <w:r w:rsidR="00A02122" w:rsidRPr="00B45098">
        <w:t xml:space="preserve">n </w:t>
      </w:r>
      <w:r>
        <w:t>a</w:t>
      </w:r>
      <w:r w:rsidR="00A02122" w:rsidRPr="00B45098">
        <w:t xml:space="preserve">natomy </w:t>
      </w:r>
      <w:r>
        <w:t>e</w:t>
      </w:r>
      <w:r w:rsidR="00A02122" w:rsidRPr="00B45098">
        <w:t>ducation</w:t>
      </w:r>
      <w:r w:rsidR="00D51638">
        <w:t>: a randomized controlled trial.</w:t>
      </w:r>
    </w:p>
    <w:p w14:paraId="00C472D4" w14:textId="77777777" w:rsidR="00A02122" w:rsidRDefault="00A02122" w:rsidP="00B45098">
      <w:pPr>
        <w:spacing w:line="480" w:lineRule="auto"/>
      </w:pPr>
    </w:p>
    <w:p w14:paraId="0B75E6FE" w14:textId="0B1152CE" w:rsidR="00A02122" w:rsidRDefault="0056344E" w:rsidP="00B45098">
      <w:pPr>
        <w:spacing w:line="480" w:lineRule="auto"/>
        <w:jc w:val="both"/>
      </w:pPr>
      <w:r w:rsidRPr="0056344E">
        <w:rPr>
          <w:b/>
        </w:rPr>
        <w:t>Authors</w:t>
      </w:r>
      <w:r>
        <w:t xml:space="preserve">: </w:t>
      </w:r>
      <w:r w:rsidR="00A02122">
        <w:t>Stuart J. Fergusson</w:t>
      </w:r>
      <w:r w:rsidR="00A02122" w:rsidRPr="00A02122">
        <w:rPr>
          <w:vertAlign w:val="superscript"/>
        </w:rPr>
        <w:t>1</w:t>
      </w:r>
      <w:r w:rsidR="00A02122">
        <w:t>, Justine Aka</w:t>
      </w:r>
      <w:r w:rsidR="00A02122" w:rsidRPr="00A02122">
        <w:rPr>
          <w:vertAlign w:val="superscript"/>
        </w:rPr>
        <w:t>2</w:t>
      </w:r>
      <w:r w:rsidR="00A02122">
        <w:t>, Catherine M. Hennessy</w:t>
      </w:r>
      <w:r w:rsidR="00A02122" w:rsidRPr="00A02122">
        <w:rPr>
          <w:vertAlign w:val="superscript"/>
        </w:rPr>
        <w:t>3</w:t>
      </w:r>
      <w:r w:rsidR="00A02122">
        <w:t>, Andrew J. Wilson</w:t>
      </w:r>
      <w:r w:rsidR="00A02122" w:rsidRPr="00A02122">
        <w:rPr>
          <w:vertAlign w:val="superscript"/>
        </w:rPr>
        <w:t>4</w:t>
      </w:r>
      <w:r w:rsidR="00A02122">
        <w:t>, Simon H. Parson</w:t>
      </w:r>
      <w:r w:rsidR="00A02122" w:rsidRPr="00A02122">
        <w:rPr>
          <w:vertAlign w:val="superscript"/>
        </w:rPr>
        <w:t>5</w:t>
      </w:r>
      <w:r w:rsidR="00A02122">
        <w:t>, Ewen M. Harrison</w:t>
      </w:r>
      <w:r w:rsidR="00A02122" w:rsidRPr="00A02122">
        <w:rPr>
          <w:vertAlign w:val="superscript"/>
        </w:rPr>
        <w:t>6</w:t>
      </w:r>
      <w:r w:rsidR="00A02122">
        <w:t>, Gabrielle M. Finn*</w:t>
      </w:r>
      <w:r w:rsidR="00A02122" w:rsidRPr="00A02122">
        <w:rPr>
          <w:vertAlign w:val="superscript"/>
        </w:rPr>
        <w:t>7</w:t>
      </w:r>
      <w:r w:rsidR="00A02122">
        <w:t xml:space="preserve">, Thomas H. </w:t>
      </w:r>
      <w:proofErr w:type="spellStart"/>
      <w:r w:rsidR="00A02122">
        <w:t>Gillingwater</w:t>
      </w:r>
      <w:proofErr w:type="spellEnd"/>
      <w:r w:rsidR="00A02122">
        <w:t>*</w:t>
      </w:r>
      <w:r w:rsidR="00A02122" w:rsidRPr="00A02122">
        <w:rPr>
          <w:vertAlign w:val="superscript"/>
        </w:rPr>
        <w:t>8</w:t>
      </w:r>
    </w:p>
    <w:p w14:paraId="452B45B0" w14:textId="77777777" w:rsidR="00A02122" w:rsidRDefault="00A02122" w:rsidP="00B45098">
      <w:pPr>
        <w:spacing w:line="480" w:lineRule="auto"/>
      </w:pPr>
    </w:p>
    <w:p w14:paraId="281D44BF" w14:textId="79D0AD83" w:rsidR="00A02122" w:rsidRDefault="00A02122" w:rsidP="00B45098">
      <w:pPr>
        <w:spacing w:line="480" w:lineRule="auto"/>
        <w:jc w:val="both"/>
      </w:pPr>
      <w:r w:rsidRPr="00A02122">
        <w:rPr>
          <w:vertAlign w:val="superscript"/>
        </w:rPr>
        <w:t>1</w:t>
      </w:r>
      <w:r w:rsidR="00882DAD">
        <w:t xml:space="preserve">Royal </w:t>
      </w:r>
      <w:r w:rsidR="001D519A">
        <w:t>Alexandra Hospital, Paisley, UK</w:t>
      </w:r>
      <w:r>
        <w:t xml:space="preserve">; </w:t>
      </w:r>
      <w:r w:rsidRPr="00A02122">
        <w:rPr>
          <w:vertAlign w:val="superscript"/>
        </w:rPr>
        <w:t>2</w:t>
      </w:r>
      <w:r w:rsidR="002A387D">
        <w:t xml:space="preserve">Institute of Molecular and Cellular Anatomy, University Hospital RWTH </w:t>
      </w:r>
      <w:r w:rsidR="003C3526">
        <w:t>Aachen, Germany</w:t>
      </w:r>
      <w:r>
        <w:t xml:space="preserve">; </w:t>
      </w:r>
      <w:r w:rsidRPr="00A02122">
        <w:rPr>
          <w:vertAlign w:val="superscript"/>
        </w:rPr>
        <w:t>3</w:t>
      </w:r>
      <w:r>
        <w:t xml:space="preserve">Department of Anatomy, Brighton and Sussex Medical School, University of Sussex, Brighton, UK; </w:t>
      </w:r>
      <w:r w:rsidRPr="00A02122">
        <w:rPr>
          <w:vertAlign w:val="superscript"/>
        </w:rPr>
        <w:t>4</w:t>
      </w:r>
      <w:r w:rsidR="00FB3651">
        <w:t>Northern Health and Social Care Trust, Causeway Hospital, 4 Newbridge Road, Coleraine, County Londonderry.</w:t>
      </w:r>
      <w:r>
        <w:t xml:space="preserve">; </w:t>
      </w:r>
      <w:r w:rsidRPr="00A02122">
        <w:rPr>
          <w:vertAlign w:val="superscript"/>
        </w:rPr>
        <w:t>5</w:t>
      </w:r>
      <w:r>
        <w:t xml:space="preserve">Division of Medical and Dental Education, The Institute of Medical Sciences, College of Life Sciences and Medicine, University of Aberdeen, Aberdeen, UK; </w:t>
      </w:r>
      <w:r w:rsidRPr="00A02122">
        <w:rPr>
          <w:vertAlign w:val="superscript"/>
        </w:rPr>
        <w:t>6</w:t>
      </w:r>
      <w:r>
        <w:t xml:space="preserve">Department of Clinical Surgery, University of Edinburgh, Edinburgh, UK; </w:t>
      </w:r>
      <w:r w:rsidRPr="00A02122">
        <w:rPr>
          <w:vertAlign w:val="superscript"/>
        </w:rPr>
        <w:t>7</w:t>
      </w:r>
      <w:r>
        <w:t xml:space="preserve">Centre for Education Development, Hull York Medical School, University of York, York, UK; </w:t>
      </w:r>
      <w:r w:rsidRPr="00A02122">
        <w:rPr>
          <w:vertAlign w:val="superscript"/>
        </w:rPr>
        <w:t>8</w:t>
      </w:r>
      <w:r>
        <w:t>Edinburgh Medical School: Biomedical Sciences (Anatomy) &amp; Centre for Integrative Physiology, College of Medicine and Veterinary Medicine, University of Edinburgh, Edinburgh, UK</w:t>
      </w:r>
    </w:p>
    <w:p w14:paraId="755F51DB" w14:textId="77777777" w:rsidR="00A02122" w:rsidRDefault="00A02122" w:rsidP="00B45098">
      <w:pPr>
        <w:spacing w:line="480" w:lineRule="auto"/>
      </w:pPr>
      <w:r>
        <w:t>*Joint senior authors</w:t>
      </w:r>
    </w:p>
    <w:p w14:paraId="64D4261C" w14:textId="77777777" w:rsidR="00625DDF" w:rsidRDefault="00625DDF" w:rsidP="00B45098">
      <w:pPr>
        <w:spacing w:line="480" w:lineRule="auto"/>
      </w:pPr>
    </w:p>
    <w:p w14:paraId="39C6DB36" w14:textId="01DA47B9" w:rsidR="00A02122" w:rsidRDefault="00A02122" w:rsidP="00B45098">
      <w:pPr>
        <w:spacing w:line="480" w:lineRule="auto"/>
        <w:jc w:val="both"/>
      </w:pPr>
      <w:r w:rsidRPr="0056344E">
        <w:rPr>
          <w:b/>
        </w:rPr>
        <w:t>Corresponding authors</w:t>
      </w:r>
      <w:r>
        <w:t xml:space="preserve">: Professor T </w:t>
      </w:r>
      <w:proofErr w:type="spellStart"/>
      <w:r>
        <w:t>Gillingwater</w:t>
      </w:r>
      <w:proofErr w:type="spellEnd"/>
      <w:r>
        <w:t xml:space="preserve">, University of Edinburgh, Old Medical School (Anatomy), Teviot Place, Edinburgh, EH8 9AG. Email: t.gillingwater@ed.ac.uk / </w:t>
      </w:r>
      <w:proofErr w:type="spellStart"/>
      <w:r>
        <w:t>Dr</w:t>
      </w:r>
      <w:proofErr w:type="spellEnd"/>
      <w:r>
        <w:t xml:space="preserve"> G Finn, University of York, Centre for Education Development, York, YO10 5DD. Email: Gabrielle.Finn@hyms.ac.uk </w:t>
      </w:r>
    </w:p>
    <w:p w14:paraId="1CD474B2" w14:textId="6463A7CE" w:rsidR="00A02122" w:rsidRDefault="009B5C85" w:rsidP="009B5C85">
      <w:pPr>
        <w:spacing w:line="480" w:lineRule="auto"/>
        <w:jc w:val="both"/>
      </w:pPr>
      <w:r>
        <w:t xml:space="preserve">Word count: </w:t>
      </w:r>
      <w:r w:rsidR="00817116">
        <w:t>2,471.</w:t>
      </w:r>
    </w:p>
    <w:p w14:paraId="6B287AF4" w14:textId="77777777" w:rsidR="00B86BDC" w:rsidRDefault="00B86BDC" w:rsidP="00B45098">
      <w:pPr>
        <w:spacing w:line="480" w:lineRule="auto"/>
      </w:pPr>
      <w:r>
        <w:lastRenderedPageBreak/>
        <w:br w:type="page"/>
      </w:r>
    </w:p>
    <w:p w14:paraId="1D8D8E7B" w14:textId="39888CE3" w:rsidR="00A02122" w:rsidRDefault="00A02122" w:rsidP="00B45098">
      <w:pPr>
        <w:spacing w:line="480" w:lineRule="auto"/>
        <w:jc w:val="both"/>
        <w:rPr>
          <w:b/>
        </w:rPr>
      </w:pPr>
      <w:r w:rsidRPr="00C54CC1">
        <w:rPr>
          <w:b/>
        </w:rPr>
        <w:lastRenderedPageBreak/>
        <w:t>Abstract</w:t>
      </w:r>
    </w:p>
    <w:p w14:paraId="4691A181" w14:textId="77777777" w:rsidR="009B5C85" w:rsidRPr="00C54CC1" w:rsidRDefault="009B5C85" w:rsidP="00B45098">
      <w:pPr>
        <w:spacing w:line="480" w:lineRule="auto"/>
        <w:jc w:val="both"/>
        <w:rPr>
          <w:b/>
        </w:rPr>
      </w:pPr>
    </w:p>
    <w:p w14:paraId="44C4F65B" w14:textId="2792D371" w:rsidR="009B5C85" w:rsidRDefault="009B5C85" w:rsidP="00B45098">
      <w:pPr>
        <w:spacing w:line="480" w:lineRule="auto"/>
        <w:jc w:val="both"/>
      </w:pPr>
      <w:r w:rsidRPr="009B5C85">
        <w:rPr>
          <w:i/>
        </w:rPr>
        <w:t>Background and Aims</w:t>
      </w:r>
      <w:r>
        <w:t xml:space="preserve">: </w:t>
      </w:r>
      <w:r w:rsidR="00A02122">
        <w:t xml:space="preserve">Electronic audience response systems </w:t>
      </w:r>
      <w:r w:rsidR="00250057">
        <w:t>(ARS</w:t>
      </w:r>
      <w:r w:rsidR="00C758B2">
        <w:t>s</w:t>
      </w:r>
      <w:r w:rsidR="00250057">
        <w:t>) offer</w:t>
      </w:r>
      <w:r w:rsidR="00A02122">
        <w:t xml:space="preserve"> the potential to enhance learning and improve performance. However, objective research investigating the use of </w:t>
      </w:r>
      <w:r w:rsidR="00250057">
        <w:t>ARS</w:t>
      </w:r>
      <w:r w:rsidR="00C758B2">
        <w:t>s</w:t>
      </w:r>
      <w:r w:rsidR="00250057">
        <w:t xml:space="preserve"> </w:t>
      </w:r>
      <w:r w:rsidR="00A02122">
        <w:t xml:space="preserve">in undergraduate education has so far produced mixed, inconclusive results. </w:t>
      </w:r>
      <w:r w:rsidR="00250057">
        <w:t>W</w:t>
      </w:r>
      <w:r w:rsidR="00A02122">
        <w:t>e investigated the impact of ARS</w:t>
      </w:r>
      <w:r w:rsidR="00C758B2">
        <w:t>s</w:t>
      </w:r>
      <w:r w:rsidR="00A02122">
        <w:t xml:space="preserve"> on short- and long-term test performance, as well as student perceptions of the educational experience, when integrated into undergraduate anatomy teaching. </w:t>
      </w:r>
    </w:p>
    <w:p w14:paraId="39D7F008" w14:textId="559D80A3" w:rsidR="009B5C85" w:rsidRPr="0076061C" w:rsidRDefault="009B5C85" w:rsidP="00B45098">
      <w:pPr>
        <w:spacing w:line="480" w:lineRule="auto"/>
        <w:jc w:val="both"/>
      </w:pPr>
      <w:r w:rsidRPr="009B5C85">
        <w:rPr>
          <w:i/>
        </w:rPr>
        <w:t>Methods and Results</w:t>
      </w:r>
      <w:r>
        <w:t xml:space="preserve">:  </w:t>
      </w:r>
      <w:r w:rsidR="00A02122">
        <w:t xml:space="preserve">A cohort of </w:t>
      </w:r>
      <w:r w:rsidR="009208FF">
        <w:t>70</w:t>
      </w:r>
      <w:r w:rsidR="00A02122">
        <w:t xml:space="preserve"> undergraduate medical students were randomly allocated to one of two groups. Both groups received the same anatomy lecture, but one group </w:t>
      </w:r>
      <w:r w:rsidR="009208FF">
        <w:t>experienced the addition of</w:t>
      </w:r>
      <w:r w:rsidR="007E3425">
        <w:t xml:space="preserve"> </w:t>
      </w:r>
      <w:r w:rsidR="009208FF">
        <w:t>ARS</w:t>
      </w:r>
      <w:r w:rsidR="00C758B2">
        <w:t>s</w:t>
      </w:r>
      <w:r w:rsidR="00A02122">
        <w:t xml:space="preserve">. Multiple-choice tests were conducted </w:t>
      </w:r>
      <w:r w:rsidR="001A2162">
        <w:t xml:space="preserve">before, </w:t>
      </w:r>
      <w:r w:rsidR="00A02122">
        <w:t xml:space="preserve">immediately after the lecture and again </w:t>
      </w:r>
      <w:r w:rsidR="009208FF">
        <w:t>10</w:t>
      </w:r>
      <w:r w:rsidR="00A02122">
        <w:t xml:space="preserve"> weeks later. Self-perceived post</w:t>
      </w:r>
      <w:r w:rsidR="00A02122" w:rsidRPr="0076061C">
        <w:t xml:space="preserve">-lecture subject knowledge, confidence and enjoyment ratings did not differ between groups. Test performance immediately following the lecture </w:t>
      </w:r>
      <w:r w:rsidR="007A287A" w:rsidRPr="0076061C">
        <w:t xml:space="preserve">improved when compared against baseline and </w:t>
      </w:r>
      <w:r w:rsidR="00A02122" w:rsidRPr="0076061C">
        <w:t xml:space="preserve">was modestly but significantly </w:t>
      </w:r>
      <w:r w:rsidR="007A287A" w:rsidRPr="0076061C">
        <w:t xml:space="preserve">superior </w:t>
      </w:r>
      <w:r w:rsidR="00A02122" w:rsidRPr="0076061C">
        <w:t>in the group taught with ARS</w:t>
      </w:r>
      <w:r w:rsidR="00C758B2" w:rsidRPr="0076061C">
        <w:t>s</w:t>
      </w:r>
      <w:r w:rsidR="00A02122" w:rsidRPr="0076061C">
        <w:t xml:space="preserve"> (mean test score of 17.3/20 </w:t>
      </w:r>
      <w:r w:rsidR="009208FF" w:rsidRPr="0076061C">
        <w:t xml:space="preserve">versus </w:t>
      </w:r>
      <w:r w:rsidR="00A02122" w:rsidRPr="0076061C">
        <w:t xml:space="preserve">15.6/20 in the </w:t>
      </w:r>
      <w:r w:rsidR="009208FF" w:rsidRPr="0076061C">
        <w:t xml:space="preserve">control </w:t>
      </w:r>
      <w:r w:rsidR="00A02122" w:rsidRPr="0076061C">
        <w:t>group</w:t>
      </w:r>
      <w:r w:rsidR="009208FF" w:rsidRPr="0076061C">
        <w:t>,</w:t>
      </w:r>
      <w:r w:rsidR="00A02122" w:rsidRPr="0076061C">
        <w:t xml:space="preserve"> p = 0.01). </w:t>
      </w:r>
      <w:r w:rsidR="009208FF" w:rsidRPr="0076061C">
        <w:t>T</w:t>
      </w:r>
      <w:r w:rsidR="00A02122" w:rsidRPr="0076061C">
        <w:t>ests</w:t>
      </w:r>
      <w:r w:rsidR="009208FF" w:rsidRPr="0076061C">
        <w:t xml:space="preserve"> </w:t>
      </w:r>
      <w:r w:rsidR="00A02122" w:rsidRPr="0076061C">
        <w:t>conducted 10 weeks after the lecture</w:t>
      </w:r>
      <w:r w:rsidR="009208FF" w:rsidRPr="0076061C">
        <w:t xml:space="preserve"> showed no difference between groups</w:t>
      </w:r>
      <w:r w:rsidR="00A02122" w:rsidRPr="0076061C">
        <w:t xml:space="preserve"> (p = 0.61)</w:t>
      </w:r>
      <w:r w:rsidR="007A287A" w:rsidRPr="0076061C">
        <w:t xml:space="preserve"> </w:t>
      </w:r>
      <w:r w:rsidR="0076061C">
        <w:t xml:space="preserve">although </w:t>
      </w:r>
      <w:r w:rsidR="001A2162">
        <w:t xml:space="preserve">overall </w:t>
      </w:r>
      <w:r w:rsidR="0076061C">
        <w:t xml:space="preserve">a small </w:t>
      </w:r>
      <w:r w:rsidR="001A2162">
        <w:t>improvement</w:t>
      </w:r>
      <w:r w:rsidR="0076061C">
        <w:t xml:space="preserve"> </w:t>
      </w:r>
      <w:r w:rsidR="007A287A" w:rsidRPr="0076061C">
        <w:t xml:space="preserve">from the baseline test </w:t>
      </w:r>
      <w:r w:rsidR="001A2162">
        <w:t xml:space="preserve">was maintained </w:t>
      </w:r>
      <w:r w:rsidR="007A287A" w:rsidRPr="0076061C">
        <w:t>(p = 0.</w:t>
      </w:r>
      <w:r w:rsidR="0076061C">
        <w:t>02</w:t>
      </w:r>
      <w:r w:rsidR="007A287A" w:rsidRPr="0076061C">
        <w:t>)</w:t>
      </w:r>
      <w:r w:rsidR="00A02122" w:rsidRPr="0076061C">
        <w:t xml:space="preserve">. </w:t>
      </w:r>
    </w:p>
    <w:p w14:paraId="5A9FD8E7" w14:textId="1896E18A" w:rsidR="00A02122" w:rsidRDefault="009B5C85" w:rsidP="00B45098">
      <w:pPr>
        <w:spacing w:line="480" w:lineRule="auto"/>
        <w:jc w:val="both"/>
      </w:pPr>
      <w:r w:rsidRPr="0076061C">
        <w:rPr>
          <w:i/>
        </w:rPr>
        <w:t>Conclusions</w:t>
      </w:r>
      <w:r w:rsidRPr="0076061C">
        <w:t xml:space="preserve">: </w:t>
      </w:r>
      <w:r w:rsidR="009208FF" w:rsidRPr="0076061C">
        <w:t>W</w:t>
      </w:r>
      <w:r w:rsidR="00A02122" w:rsidRPr="0076061C">
        <w:t>hilst ARS</w:t>
      </w:r>
      <w:r w:rsidR="00C758B2" w:rsidRPr="0076061C">
        <w:t>s</w:t>
      </w:r>
      <w:r w:rsidR="00A02122" w:rsidRPr="0076061C">
        <w:t xml:space="preserve"> offer opportunities to deliver novel education experiences to students, </w:t>
      </w:r>
      <w:r w:rsidR="007A287A" w:rsidRPr="0076061C">
        <w:t xml:space="preserve">an initial superiority over standard methods </w:t>
      </w:r>
      <w:r w:rsidR="00A02122" w:rsidRPr="0076061C">
        <w:t xml:space="preserve">does not necessarily </w:t>
      </w:r>
      <w:r w:rsidR="007025E0" w:rsidRPr="0076061C">
        <w:t xml:space="preserve">translate into </w:t>
      </w:r>
      <w:r w:rsidR="00A02122" w:rsidRPr="0076061C">
        <w:t>longer-term gains in student performance when employed in the context of anatomy education.</w:t>
      </w:r>
      <w:r w:rsidR="00A02122">
        <w:t xml:space="preserve"> </w:t>
      </w:r>
    </w:p>
    <w:p w14:paraId="2307AB37" w14:textId="4BFABB5A" w:rsidR="009208FF" w:rsidRDefault="009208FF" w:rsidP="0076061C">
      <w:pPr>
        <w:spacing w:line="480" w:lineRule="auto"/>
        <w:jc w:val="both"/>
        <w:rPr>
          <w:b/>
        </w:rPr>
      </w:pPr>
      <w:r w:rsidRPr="009218B4">
        <w:rPr>
          <w:b/>
        </w:rPr>
        <w:t>Key words</w:t>
      </w:r>
      <w:r>
        <w:t>: medical education; education methodology; education technology; audience response systems</w:t>
      </w:r>
      <w:r w:rsidR="009218B4">
        <w:t>;</w:t>
      </w:r>
      <w:r w:rsidR="009218B4" w:rsidRPr="009218B4">
        <w:t xml:space="preserve"> </w:t>
      </w:r>
      <w:r w:rsidR="009218B4">
        <w:t>anatomy.</w:t>
      </w:r>
      <w:r>
        <w:rPr>
          <w:b/>
        </w:rPr>
        <w:br w:type="page"/>
      </w:r>
    </w:p>
    <w:p w14:paraId="3A3BC503" w14:textId="6B47229C" w:rsidR="00A02122" w:rsidRDefault="00A02122" w:rsidP="00B45098">
      <w:pPr>
        <w:spacing w:line="480" w:lineRule="auto"/>
        <w:jc w:val="both"/>
      </w:pPr>
      <w:r w:rsidRPr="00BB1ED3">
        <w:rPr>
          <w:b/>
        </w:rPr>
        <w:lastRenderedPageBreak/>
        <w:t>Introduction</w:t>
      </w:r>
    </w:p>
    <w:p w14:paraId="173B8A5F" w14:textId="77777777" w:rsidR="00D51638" w:rsidRDefault="00D51638" w:rsidP="00B45098">
      <w:pPr>
        <w:spacing w:line="480" w:lineRule="auto"/>
        <w:jc w:val="both"/>
      </w:pPr>
    </w:p>
    <w:p w14:paraId="2201CB6C" w14:textId="64B2E91B" w:rsidR="00A02122" w:rsidRDefault="00A02122" w:rsidP="00B45098">
      <w:pPr>
        <w:spacing w:line="480" w:lineRule="auto"/>
        <w:jc w:val="both"/>
      </w:pPr>
      <w:r>
        <w:t xml:space="preserve">For many years educators have sought to improve the learning experience offered to their students by adopting new technologies. </w:t>
      </w:r>
      <w:r w:rsidR="00D51638">
        <w:t>One such technology is an audience response system</w:t>
      </w:r>
      <w:r>
        <w:t xml:space="preserve"> (ARS; sometimes referred to as electronic voting systems or </w:t>
      </w:r>
      <w:r w:rsidR="00A94776">
        <w:t>“</w:t>
      </w:r>
      <w:r>
        <w:t>clickers</w:t>
      </w:r>
      <w:r w:rsidR="00A94776">
        <w:t>”</w:t>
      </w:r>
      <w:r>
        <w:t xml:space="preserve">). Whilst many new technologies </w:t>
      </w:r>
      <w:r w:rsidR="00A94776">
        <w:t xml:space="preserve">simply </w:t>
      </w:r>
      <w:r>
        <w:t>aim to update delivery methods for existing materials</w:t>
      </w:r>
      <w:r w:rsidR="00D51638">
        <w:t>, such as</w:t>
      </w:r>
      <w:r>
        <w:t xml:space="preserve"> online systems rather than books, it has been proposed that ARS approaches offer </w:t>
      </w:r>
      <w:r w:rsidRPr="005C000D">
        <w:rPr>
          <w:highlight w:val="yellow"/>
        </w:rPr>
        <w:t xml:space="preserve">a </w:t>
      </w:r>
      <w:commentRangeStart w:id="1"/>
      <w:commentRangeStart w:id="2"/>
      <w:r w:rsidRPr="005C000D">
        <w:rPr>
          <w:highlight w:val="yellow"/>
        </w:rPr>
        <w:t>genuinely</w:t>
      </w:r>
      <w:commentRangeEnd w:id="1"/>
      <w:r w:rsidR="001A2162" w:rsidRPr="005C000D">
        <w:rPr>
          <w:rStyle w:val="CommentReference"/>
          <w:highlight w:val="yellow"/>
        </w:rPr>
        <w:commentReference w:id="1"/>
      </w:r>
      <w:commentRangeEnd w:id="2"/>
      <w:r w:rsidR="007E3425">
        <w:rPr>
          <w:rStyle w:val="CommentReference"/>
        </w:rPr>
        <w:commentReference w:id="2"/>
      </w:r>
      <w:r w:rsidRPr="005C000D">
        <w:rPr>
          <w:highlight w:val="yellow"/>
        </w:rPr>
        <w:t xml:space="preserve"> novel way of bridging the gap</w:t>
      </w:r>
      <w:r>
        <w:t xml:space="preserve"> between the learner and educator, particularly with respect to large group teaching</w:t>
      </w:r>
      <w:r w:rsidR="003A7457">
        <w:t xml:space="preserve"> [</w:t>
      </w:r>
      <w:r w:rsidR="00A0171E">
        <w:t>1</w:t>
      </w:r>
      <w:r w:rsidR="003A7457">
        <w:t>]</w:t>
      </w:r>
      <w:r>
        <w:t xml:space="preserve">. </w:t>
      </w:r>
    </w:p>
    <w:p w14:paraId="39E5C514" w14:textId="77777777" w:rsidR="00A02122" w:rsidRDefault="00A02122" w:rsidP="00B45098">
      <w:pPr>
        <w:spacing w:line="480" w:lineRule="auto"/>
        <w:jc w:val="both"/>
      </w:pPr>
    </w:p>
    <w:p w14:paraId="3EC657BF" w14:textId="529AECFF" w:rsidR="00A02122" w:rsidRDefault="00A02122" w:rsidP="00B45098">
      <w:pPr>
        <w:spacing w:line="480" w:lineRule="auto"/>
        <w:jc w:val="both"/>
      </w:pPr>
      <w:r>
        <w:t>Early research suggested that ARS</w:t>
      </w:r>
      <w:r w:rsidR="00C758B2">
        <w:t>s</w:t>
      </w:r>
      <w:r>
        <w:t xml:space="preserve"> may increase student and teacher motivation to participate in a more active learning environment, thereby facilitating increased engagement, observation and critical reflection amongst students</w:t>
      </w:r>
      <w:r w:rsidR="00A0171E">
        <w:t xml:space="preserve"> [2]</w:t>
      </w:r>
      <w:r>
        <w:t>. Current ARS</w:t>
      </w:r>
      <w:r w:rsidR="00C758B2">
        <w:t>s</w:t>
      </w:r>
      <w:r>
        <w:t xml:space="preserve"> </w:t>
      </w:r>
      <w:r w:rsidR="005602D1">
        <w:t xml:space="preserve">provide </w:t>
      </w:r>
      <w:r>
        <w:t xml:space="preserve">instantaneous </w:t>
      </w:r>
      <w:r w:rsidR="005602D1">
        <w:t xml:space="preserve">and anonymous </w:t>
      </w:r>
      <w:r>
        <w:t>feedback of student responses, allow</w:t>
      </w:r>
      <w:r w:rsidR="005602D1">
        <w:t>ing</w:t>
      </w:r>
      <w:r>
        <w:t xml:space="preserve"> students to compare their understanding with that of their colleagues</w:t>
      </w:r>
      <w:r w:rsidR="004A6719">
        <w:t xml:space="preserve"> [3</w:t>
      </w:r>
      <w:r w:rsidR="002A387D">
        <w:t>,4</w:t>
      </w:r>
      <w:r w:rsidR="004A6719">
        <w:t>]</w:t>
      </w:r>
      <w:r>
        <w:t>.  Furthermore, as an accurate method of collecting responses, ARS</w:t>
      </w:r>
      <w:r w:rsidR="00C758B2">
        <w:t>s</w:t>
      </w:r>
      <w:r>
        <w:t xml:space="preserve"> ha</w:t>
      </w:r>
      <w:r w:rsidR="00A94776">
        <w:t>ve</w:t>
      </w:r>
      <w:r>
        <w:t xml:space="preserve"> the capacity to enhance a teacher’s ability to evaluate audience understanding in real time</w:t>
      </w:r>
      <w:r w:rsidR="008E07D4">
        <w:t xml:space="preserve"> [5]</w:t>
      </w:r>
      <w:r>
        <w:t xml:space="preserve">.  </w:t>
      </w:r>
      <w:r w:rsidR="00A94776">
        <w:t>P</w:t>
      </w:r>
      <w:r>
        <w:t>otential advantages of ARS</w:t>
      </w:r>
      <w:r w:rsidR="00C758B2">
        <w:t>s</w:t>
      </w:r>
      <w:r>
        <w:t xml:space="preserve"> have been reported across diverse fields of academia, including microbiology</w:t>
      </w:r>
      <w:r w:rsidR="00477137">
        <w:t xml:space="preserve"> [6]</w:t>
      </w:r>
      <w:r>
        <w:t>, business education</w:t>
      </w:r>
      <w:r w:rsidR="00477137">
        <w:t xml:space="preserve"> [7]</w:t>
      </w:r>
      <w:r>
        <w:t>, library tutorials</w:t>
      </w:r>
      <w:r w:rsidR="00477137">
        <w:t xml:space="preserve"> [8]</w:t>
      </w:r>
      <w:r>
        <w:t>, and student questionnaire feedback sessions</w:t>
      </w:r>
      <w:r w:rsidR="00477137">
        <w:t xml:space="preserve"> [9]</w:t>
      </w:r>
      <w:r>
        <w:t>.</w:t>
      </w:r>
    </w:p>
    <w:p w14:paraId="5A211F2A" w14:textId="77777777" w:rsidR="00A02122" w:rsidRDefault="00A02122" w:rsidP="00B45098">
      <w:pPr>
        <w:spacing w:line="480" w:lineRule="auto"/>
        <w:jc w:val="both"/>
      </w:pPr>
    </w:p>
    <w:p w14:paraId="43B573DC" w14:textId="4A9321D5" w:rsidR="00A02122" w:rsidRDefault="00A02122" w:rsidP="00B45098">
      <w:pPr>
        <w:spacing w:line="480" w:lineRule="auto"/>
        <w:jc w:val="both"/>
      </w:pPr>
      <w:r>
        <w:t>Several lines of evidence suggest that ARS activities are popular with learners</w:t>
      </w:r>
      <w:r w:rsidR="00166C09">
        <w:t xml:space="preserve"> [10]</w:t>
      </w:r>
      <w:r>
        <w:t>, and their use has been linked to improved student attendance and retention</w:t>
      </w:r>
      <w:r w:rsidR="00A94776">
        <w:t>,</w:t>
      </w:r>
      <w:r>
        <w:t xml:space="preserve"> with preliminary suggestions that they may also improve student performance</w:t>
      </w:r>
      <w:r w:rsidR="00166C09">
        <w:t xml:space="preserve"> [11]</w:t>
      </w:r>
      <w:r>
        <w:t xml:space="preserve">. </w:t>
      </w:r>
      <w:r>
        <w:lastRenderedPageBreak/>
        <w:t xml:space="preserve">ARS approaches have been used as a key component of </w:t>
      </w:r>
      <w:r w:rsidR="00C758B2">
        <w:t xml:space="preserve">distinct </w:t>
      </w:r>
      <w:r>
        <w:t xml:space="preserve">pedagogical </w:t>
      </w:r>
      <w:r w:rsidR="007E3425">
        <w:rPr>
          <w:highlight w:val="yellow"/>
        </w:rPr>
        <w:t>methods</w:t>
      </w:r>
      <w:r w:rsidR="007E3425" w:rsidRPr="007E3425" w:rsidDel="007E3425">
        <w:rPr>
          <w:highlight w:val="yellow"/>
        </w:rPr>
        <w:t xml:space="preserve"> </w:t>
      </w:r>
      <w:r>
        <w:t>such as peer instruction</w:t>
      </w:r>
      <w:r w:rsidR="00A85D70">
        <w:t xml:space="preserve"> [12]</w:t>
      </w:r>
      <w:r>
        <w:t>, or as an add-on to more traditional lectures</w:t>
      </w:r>
      <w:r w:rsidR="002A5445">
        <w:t xml:space="preserve"> [13]</w:t>
      </w:r>
      <w:r>
        <w:t xml:space="preserve">. </w:t>
      </w:r>
      <w:r w:rsidR="008D1108">
        <w:t>However</w:t>
      </w:r>
      <w:r>
        <w:t xml:space="preserve">, objective data </w:t>
      </w:r>
      <w:commentRangeStart w:id="3"/>
      <w:r w:rsidR="001A2162">
        <w:t>on</w:t>
      </w:r>
      <w:commentRangeEnd w:id="3"/>
      <w:r w:rsidR="001A2162">
        <w:rPr>
          <w:rStyle w:val="CommentReference"/>
        </w:rPr>
        <w:commentReference w:id="3"/>
      </w:r>
      <w:r>
        <w:t xml:space="preserve"> the ability of ARS</w:t>
      </w:r>
      <w:r w:rsidR="007E7F67">
        <w:t>s</w:t>
      </w:r>
      <w:r>
        <w:t xml:space="preserve"> to enhance long-term knowledge and understanding remain lacking</w:t>
      </w:r>
      <w:r w:rsidR="00923D10">
        <w:t xml:space="preserve"> [14]</w:t>
      </w:r>
      <w:r>
        <w:t>. A meta-analysis of immediate and long-term knowledge outcomes suggested that there was no difference between groups</w:t>
      </w:r>
      <w:r w:rsidR="00A94776">
        <w:t xml:space="preserve"> at either time-point</w:t>
      </w:r>
      <w:r>
        <w:t xml:space="preserve"> in randomized studies, while non-randomized studies showed significant benefits for ARS</w:t>
      </w:r>
      <w:r w:rsidR="007E7F67">
        <w:t>s</w:t>
      </w:r>
      <w:r>
        <w:t xml:space="preserve"> in both immediate </w:t>
      </w:r>
      <w:r w:rsidR="00004CF6">
        <w:t>and long-term knowledge scores [15]</w:t>
      </w:r>
      <w:r>
        <w:t xml:space="preserve">. </w:t>
      </w:r>
      <w:r w:rsidR="002A387D">
        <w:t>As with all technologies, ARS</w:t>
      </w:r>
      <w:r w:rsidR="007E7F67">
        <w:t>s</w:t>
      </w:r>
      <w:r w:rsidR="002A387D">
        <w:t xml:space="preserve"> </w:t>
      </w:r>
      <w:r w:rsidR="007E7F67">
        <w:t xml:space="preserve">are </w:t>
      </w:r>
      <w:r w:rsidR="002A387D">
        <w:t xml:space="preserve">not without drawbacks; </w:t>
      </w:r>
      <w:r w:rsidR="007E7F67">
        <w:t xml:space="preserve">they can be </w:t>
      </w:r>
      <w:r w:rsidR="002A387D">
        <w:t>costly to purchase initially, require some staff training</w:t>
      </w:r>
      <w:r w:rsidR="00B83180">
        <w:t>,</w:t>
      </w:r>
      <w:r w:rsidR="002A387D">
        <w:t xml:space="preserve"> and </w:t>
      </w:r>
      <w:r w:rsidR="007E7F67">
        <w:t xml:space="preserve">ARS </w:t>
      </w:r>
      <w:r w:rsidR="002A387D">
        <w:t>use within teaching sessions may result in less content coverage [</w:t>
      </w:r>
      <w:r w:rsidR="002D5F7A">
        <w:t>16</w:t>
      </w:r>
      <w:r w:rsidR="002A387D">
        <w:t>].</w:t>
      </w:r>
    </w:p>
    <w:p w14:paraId="232AA474" w14:textId="77777777" w:rsidR="00A02122" w:rsidRDefault="00A02122" w:rsidP="00B45098">
      <w:pPr>
        <w:spacing w:line="480" w:lineRule="auto"/>
        <w:jc w:val="both"/>
      </w:pPr>
    </w:p>
    <w:p w14:paraId="5C946F0A" w14:textId="04C2F2D1" w:rsidR="00A02122" w:rsidRDefault="002A387D" w:rsidP="00B45098">
      <w:pPr>
        <w:spacing w:line="480" w:lineRule="auto"/>
        <w:jc w:val="both"/>
      </w:pPr>
      <w:r>
        <w:t>The need for m</w:t>
      </w:r>
      <w:r w:rsidR="00A02122">
        <w:t xml:space="preserve">ore research </w:t>
      </w:r>
      <w:r>
        <w:t xml:space="preserve">on the </w:t>
      </w:r>
      <w:r w:rsidR="00A02122">
        <w:t xml:space="preserve">impact of ARS </w:t>
      </w:r>
      <w:r>
        <w:t xml:space="preserve">use </w:t>
      </w:r>
      <w:r w:rsidR="00A02122">
        <w:t>in anatomy education</w:t>
      </w:r>
      <w:r>
        <w:t xml:space="preserve"> has been clearly identified [</w:t>
      </w:r>
      <w:r w:rsidR="00A55164">
        <w:t>17, 18</w:t>
      </w:r>
      <w:r>
        <w:t>]</w:t>
      </w:r>
      <w:r w:rsidR="00A02122">
        <w:t xml:space="preserve">.  Here, we have used a randomized controlled trial design to investigate whether the introduction of </w:t>
      </w:r>
      <w:r w:rsidR="00312B9F">
        <w:t xml:space="preserve">an </w:t>
      </w:r>
      <w:r w:rsidR="00A02122">
        <w:t>ARS into medical student anatomy teaching resulted in benefits with respect to objective learning outcomes (short</w:t>
      </w:r>
      <w:r w:rsidR="003915E3">
        <w:t>-</w:t>
      </w:r>
      <w:r w:rsidR="00A02122">
        <w:t>term and long</w:t>
      </w:r>
      <w:r w:rsidR="003915E3">
        <w:t>-</w:t>
      </w:r>
      <w:r w:rsidR="00A02122">
        <w:t xml:space="preserve">term test performance), as well as self-perceived knowledge, subject confidence and enjoyment. </w:t>
      </w:r>
    </w:p>
    <w:p w14:paraId="4574B876" w14:textId="77777777" w:rsidR="00A02122" w:rsidRDefault="00A02122" w:rsidP="00B45098">
      <w:pPr>
        <w:spacing w:line="480" w:lineRule="auto"/>
        <w:jc w:val="both"/>
      </w:pPr>
      <w:r>
        <w:t> </w:t>
      </w:r>
    </w:p>
    <w:p w14:paraId="59C5241A" w14:textId="77777777" w:rsidR="00D34847" w:rsidRDefault="00D34847" w:rsidP="00B45098">
      <w:pPr>
        <w:spacing w:line="480" w:lineRule="auto"/>
      </w:pPr>
      <w:r>
        <w:br w:type="page"/>
      </w:r>
    </w:p>
    <w:p w14:paraId="29D55AF0" w14:textId="1B8CABA6" w:rsidR="00A02122" w:rsidRDefault="00A02122" w:rsidP="00B45098">
      <w:pPr>
        <w:spacing w:line="480" w:lineRule="auto"/>
        <w:jc w:val="both"/>
        <w:rPr>
          <w:b/>
        </w:rPr>
      </w:pPr>
      <w:r w:rsidRPr="00D34847">
        <w:rPr>
          <w:b/>
        </w:rPr>
        <w:lastRenderedPageBreak/>
        <w:t>Methods</w:t>
      </w:r>
    </w:p>
    <w:p w14:paraId="01EA04A2" w14:textId="77777777" w:rsidR="003915E3" w:rsidRPr="00D34847" w:rsidRDefault="003915E3" w:rsidP="00B45098">
      <w:pPr>
        <w:spacing w:line="480" w:lineRule="auto"/>
        <w:jc w:val="both"/>
        <w:rPr>
          <w:b/>
        </w:rPr>
      </w:pPr>
    </w:p>
    <w:p w14:paraId="790E7B61" w14:textId="45E9DDCB" w:rsidR="00A02122" w:rsidRDefault="00A02122" w:rsidP="00B45098">
      <w:pPr>
        <w:spacing w:line="480" w:lineRule="auto"/>
        <w:jc w:val="both"/>
      </w:pPr>
      <w:r>
        <w:t>We conducted a randomized controlled trial</w:t>
      </w:r>
      <w:r w:rsidR="00277EB6">
        <w:t xml:space="preserve"> </w:t>
      </w:r>
      <w:r>
        <w:t>within the Medical School at the University of Edinburgh, following ethic</w:t>
      </w:r>
      <w:r w:rsidR="00A77699">
        <w:t>s</w:t>
      </w:r>
      <w:r>
        <w:t xml:space="preserve"> approval. Written consent was obtained from all participants. All information was handled in an anonymous and confidential manner.</w:t>
      </w:r>
    </w:p>
    <w:p w14:paraId="3BA04268" w14:textId="77777777" w:rsidR="00A02122" w:rsidRDefault="00A02122" w:rsidP="00B45098">
      <w:pPr>
        <w:spacing w:line="480" w:lineRule="auto"/>
        <w:jc w:val="both"/>
      </w:pPr>
    </w:p>
    <w:p w14:paraId="38F218AB" w14:textId="37EE927B" w:rsidR="00C61086" w:rsidRDefault="00A02122" w:rsidP="00B45098">
      <w:pPr>
        <w:spacing w:line="480" w:lineRule="auto"/>
        <w:jc w:val="both"/>
      </w:pPr>
      <w:r>
        <w:t xml:space="preserve">All medical students from the first three years of the curriculum, or who were intercalating (undertaking an extra year of study to obtain a BSc), were invited to participate (approximately 700 students). </w:t>
      </w:r>
      <w:r w:rsidR="00D8257A">
        <w:t xml:space="preserve">We used </w:t>
      </w:r>
      <w:r>
        <w:t>oral and dental anatomy as our subject material</w:t>
      </w:r>
      <w:r w:rsidR="00C61086">
        <w:t xml:space="preserve"> </w:t>
      </w:r>
      <w:r w:rsidR="002D5F7A">
        <w:t xml:space="preserve">in the study </w:t>
      </w:r>
      <w:r w:rsidR="00C61086">
        <w:t>since t</w:t>
      </w:r>
      <w:r>
        <w:t xml:space="preserve">his is not covered in the Edinburgh MBChB curriculum. </w:t>
      </w:r>
      <w:r w:rsidR="00C61086">
        <w:t>Anatomy teaching at the University of Edinburgh does not normally utilize the ARS approach.</w:t>
      </w:r>
    </w:p>
    <w:p w14:paraId="507F1589" w14:textId="77777777" w:rsidR="00F32726" w:rsidRDefault="00F32726" w:rsidP="00B45098">
      <w:pPr>
        <w:spacing w:line="480" w:lineRule="auto"/>
        <w:jc w:val="both"/>
      </w:pPr>
    </w:p>
    <w:p w14:paraId="342F48C7" w14:textId="0985D51A" w:rsidR="00A02122" w:rsidRDefault="00A02122" w:rsidP="00B45098">
      <w:pPr>
        <w:spacing w:line="480" w:lineRule="auto"/>
        <w:jc w:val="both"/>
      </w:pPr>
      <w:r>
        <w:t xml:space="preserve">All </w:t>
      </w:r>
      <w:r w:rsidR="00312B9F">
        <w:t>respondents</w:t>
      </w:r>
      <w:r>
        <w:t xml:space="preserve"> initially undertook an online 20-item multiple-choice test (referred to subsequently as the “pre-lecture test”). Students were asked to complete this as a “closed book” test, without reference to any knowledge source. Students were divided, at the median of pre-lecture test scores, into high and low score groups. These were used to perform stratified randomization of participants to a lecture </w:t>
      </w:r>
      <w:r w:rsidR="001A2162">
        <w:t xml:space="preserve">either </w:t>
      </w:r>
      <w:r>
        <w:t xml:space="preserve">taught with </w:t>
      </w:r>
      <w:r w:rsidR="00132819">
        <w:t xml:space="preserve">an </w:t>
      </w:r>
      <w:r>
        <w:t xml:space="preserve">ARS or taught without </w:t>
      </w:r>
      <w:r w:rsidR="00132819">
        <w:t xml:space="preserve">an </w:t>
      </w:r>
      <w:r>
        <w:t>ARS. Randomization was performed using random number generation and students were not aware of their allocation in advance of the lecture.</w:t>
      </w:r>
    </w:p>
    <w:p w14:paraId="0793D5EA" w14:textId="77777777" w:rsidR="003915E3" w:rsidRDefault="003915E3" w:rsidP="00B45098">
      <w:pPr>
        <w:spacing w:line="480" w:lineRule="auto"/>
        <w:jc w:val="both"/>
      </w:pPr>
    </w:p>
    <w:p w14:paraId="39F49226" w14:textId="61034746" w:rsidR="00F272ED" w:rsidRPr="00F804A3" w:rsidRDefault="00A02122" w:rsidP="00852134">
      <w:pPr>
        <w:spacing w:line="480" w:lineRule="auto"/>
        <w:jc w:val="both"/>
      </w:pPr>
      <w:r>
        <w:t xml:space="preserve">The lectures </w:t>
      </w:r>
      <w:r w:rsidR="00B83180">
        <w:t>took place</w:t>
      </w:r>
      <w:r>
        <w:t xml:space="preserve"> on consecutive days, approximately one week after the pre-lecture test.  They were given by the same lecturer using an identical format </w:t>
      </w:r>
      <w:r>
        <w:lastRenderedPageBreak/>
        <w:t>and covering identical content.  The</w:t>
      </w:r>
      <w:r w:rsidR="001A2162">
        <w:t>y</w:t>
      </w:r>
      <w:r>
        <w:t xml:space="preserve"> differed </w:t>
      </w:r>
      <w:r w:rsidR="001A2162">
        <w:t xml:space="preserve">only </w:t>
      </w:r>
      <w:r>
        <w:t>with regard to the inclusion of ARS questions</w:t>
      </w:r>
      <w:r w:rsidR="001A2162">
        <w:t>,</w:t>
      </w:r>
      <w:r>
        <w:t xml:space="preserve"> which were followed </w:t>
      </w:r>
      <w:r w:rsidR="001A2162">
        <w:t xml:space="preserve">immediately </w:t>
      </w:r>
      <w:r>
        <w:t>by the lecturer briefly discussing the answers, with explanations tailored to the spread of answers received. Ten ARS questions were interspersed throughout the lecture</w:t>
      </w:r>
      <w:r w:rsidR="00A77699">
        <w:t>.</w:t>
      </w:r>
      <w:r w:rsidR="003915E3">
        <w:t xml:space="preserve"> </w:t>
      </w:r>
      <w:r>
        <w:t xml:space="preserve">Questions were mostly multiple-choice and used the </w:t>
      </w:r>
      <w:proofErr w:type="spellStart"/>
      <w:r>
        <w:t>Interwrite</w:t>
      </w:r>
      <w:proofErr w:type="spellEnd"/>
      <w:r>
        <w:t xml:space="preserve"> Cricket ARS (Turning Technologies, Youngstown, OH</w:t>
      </w:r>
      <w:r w:rsidRPr="002D5F7A">
        <w:t>)</w:t>
      </w:r>
      <w:r w:rsidR="003915E3" w:rsidRPr="002D5F7A">
        <w:t>.</w:t>
      </w:r>
      <w:r w:rsidR="00F272ED" w:rsidRPr="00F804A3">
        <w:t xml:space="preserve"> </w:t>
      </w:r>
      <w:r w:rsidR="001A2162">
        <w:t>I</w:t>
      </w:r>
      <w:r w:rsidR="00EB5A12">
        <w:t xml:space="preserve">ndividual handset responses </w:t>
      </w:r>
      <w:r w:rsidR="001A2162">
        <w:t xml:space="preserve">were linked </w:t>
      </w:r>
      <w:r w:rsidR="00EB5A12">
        <w:t>to answers in the pre-lecture/post-lecture tests.</w:t>
      </w:r>
    </w:p>
    <w:p w14:paraId="7CD12FD2" w14:textId="77777777" w:rsidR="00A02122" w:rsidRPr="002D5F7A" w:rsidRDefault="00A02122" w:rsidP="00B45098">
      <w:pPr>
        <w:spacing w:line="480" w:lineRule="auto"/>
        <w:jc w:val="both"/>
      </w:pPr>
    </w:p>
    <w:p w14:paraId="00248474" w14:textId="31CA0A51" w:rsidR="00A02122" w:rsidRDefault="00A02122" w:rsidP="00B45098">
      <w:pPr>
        <w:spacing w:line="480" w:lineRule="auto"/>
        <w:jc w:val="both"/>
      </w:pPr>
      <w:r>
        <w:t>Immediately following the lecture, students complete</w:t>
      </w:r>
      <w:r w:rsidR="00C61086">
        <w:t>d</w:t>
      </w:r>
      <w:r>
        <w:t xml:space="preserve"> a paper-based 20-item multiple-choice test (hereafter the “immediate post-lecture test”). Students also completed a survey which collected demographic data and assessed student perceptions of their learning experience </w:t>
      </w:r>
      <w:r w:rsidR="00F32726">
        <w:t xml:space="preserve">using </w:t>
      </w:r>
      <w:r>
        <w:t>five-item Likert scales.  Finally, in order to test long-term knowledge retention</w:t>
      </w:r>
      <w:r w:rsidR="00A77699">
        <w:t>,</w:t>
      </w:r>
      <w:r>
        <w:t xml:space="preserve"> a further online </w:t>
      </w:r>
      <w:r w:rsidR="00C61086">
        <w:t xml:space="preserve">“closed book” </w:t>
      </w:r>
      <w:r>
        <w:t>20-item multiple-choice test was administered ten weeks after the lecture (hereafter the “final post-lecture test”).</w:t>
      </w:r>
    </w:p>
    <w:p w14:paraId="13F9FEAE" w14:textId="77777777" w:rsidR="00A02122" w:rsidRDefault="00A02122" w:rsidP="00B45098">
      <w:pPr>
        <w:spacing w:line="480" w:lineRule="auto"/>
        <w:jc w:val="both"/>
      </w:pPr>
    </w:p>
    <w:p w14:paraId="78AC16F3" w14:textId="66E773FD" w:rsidR="00A02122" w:rsidRDefault="001A2162" w:rsidP="00B45098">
      <w:pPr>
        <w:spacing w:line="480" w:lineRule="auto"/>
        <w:jc w:val="both"/>
      </w:pPr>
      <w:r>
        <w:t>M</w:t>
      </w:r>
      <w:r w:rsidR="00A02122">
        <w:t xml:space="preserve">ultiple-choice exam questions </w:t>
      </w:r>
      <w:r w:rsidR="00B83180">
        <w:t>in</w:t>
      </w:r>
      <w:r w:rsidR="00A02122">
        <w:t xml:space="preserve"> the three test papers were mapped against the lecture’s learning outcomes to ensure a balanced coverage of topics. Neither post-lecture test contained questions posed to the ARS group during the lecture.</w:t>
      </w:r>
      <w:r w:rsidR="00800B15">
        <w:t xml:space="preserve"> This </w:t>
      </w:r>
      <w:r w:rsidR="00A77699">
        <w:t>ensured</w:t>
      </w:r>
      <w:r w:rsidR="00800B15">
        <w:t xml:space="preserve"> that students were not simply recalling the wording of a previously encountered question.</w:t>
      </w:r>
    </w:p>
    <w:p w14:paraId="68DC7EFF" w14:textId="1CF34AE1" w:rsidR="009E79D8" w:rsidRDefault="009E79D8" w:rsidP="00B45098">
      <w:pPr>
        <w:spacing w:line="480" w:lineRule="auto"/>
        <w:jc w:val="both"/>
      </w:pPr>
    </w:p>
    <w:p w14:paraId="4842A670" w14:textId="1B1D4754" w:rsidR="00133BB5" w:rsidRPr="00133BB5" w:rsidRDefault="00133BB5" w:rsidP="00133BB5">
      <w:pPr>
        <w:spacing w:line="480" w:lineRule="auto"/>
        <w:jc w:val="both"/>
        <w:rPr>
          <w:lang w:val="en-GB"/>
        </w:rPr>
      </w:pPr>
      <w:r w:rsidRPr="00133BB5">
        <w:rPr>
          <w:lang w:val="en-GB"/>
        </w:rPr>
        <w:t>A power calculation was performed using data from the ‘immediate post-test’ score in a similar trial [</w:t>
      </w:r>
      <w:r>
        <w:rPr>
          <w:lang w:val="en-GB"/>
        </w:rPr>
        <w:t>19</w:t>
      </w:r>
      <w:r w:rsidRPr="00133BB5">
        <w:rPr>
          <w:lang w:val="en-GB"/>
        </w:rPr>
        <w:t xml:space="preserve">]. </w:t>
      </w:r>
      <w:r w:rsidR="00A77699">
        <w:rPr>
          <w:lang w:val="en-GB"/>
        </w:rPr>
        <w:t>M</w:t>
      </w:r>
      <w:r w:rsidRPr="00133BB5">
        <w:rPr>
          <w:lang w:val="en-GB"/>
        </w:rPr>
        <w:t>ean score in that study was 7.65 with standard deviation (SD) 1.16 in students taught without clickers</w:t>
      </w:r>
      <w:r w:rsidR="00A77699">
        <w:rPr>
          <w:lang w:val="en-GB"/>
        </w:rPr>
        <w:t>. W</w:t>
      </w:r>
      <w:r w:rsidRPr="00133BB5">
        <w:rPr>
          <w:lang w:val="en-GB"/>
        </w:rPr>
        <w:t xml:space="preserve">e estimated that a total </w:t>
      </w:r>
      <w:r w:rsidRPr="00133BB5">
        <w:rPr>
          <w:lang w:val="en-GB"/>
        </w:rPr>
        <w:lastRenderedPageBreak/>
        <w:t>sample size of 98 would be required to detect a 10% improvement in score with power 0.9 and alpha 0.05.</w:t>
      </w:r>
    </w:p>
    <w:p w14:paraId="0AB532AB" w14:textId="77777777" w:rsidR="00133BB5" w:rsidRDefault="00133BB5" w:rsidP="00B45098">
      <w:pPr>
        <w:spacing w:line="480" w:lineRule="auto"/>
        <w:jc w:val="both"/>
      </w:pPr>
    </w:p>
    <w:p w14:paraId="7CF96A41" w14:textId="4401EC39" w:rsidR="00A02122" w:rsidRDefault="00A02122" w:rsidP="00B45098">
      <w:pPr>
        <w:spacing w:line="480" w:lineRule="auto"/>
        <w:jc w:val="both"/>
      </w:pPr>
      <w:r>
        <w:t xml:space="preserve">Descriptive statistics were produced as appropriate to data type and distribution. </w:t>
      </w:r>
      <w:r w:rsidR="00D21E28">
        <w:t xml:space="preserve">Parametric tests were used </w:t>
      </w:r>
      <w:r w:rsidR="007F12AC">
        <w:t xml:space="preserve">only </w:t>
      </w:r>
      <w:r w:rsidR="00D21E28">
        <w:t>following acceptance assessment of data approximation to a normal distribution</w:t>
      </w:r>
      <w:r w:rsidR="00D97C91">
        <w:t>, and sufficient numbers</w:t>
      </w:r>
      <w:r w:rsidR="00D21E28">
        <w:t xml:space="preserve">. </w:t>
      </w:r>
      <w:r w:rsidR="00D97C91">
        <w:t xml:space="preserve">Analysis of test results was by comparison of groups, but was </w:t>
      </w:r>
      <w:r w:rsidR="007F12AC">
        <w:t>additionally</w:t>
      </w:r>
      <w:r w:rsidR="00D97C91">
        <w:t xml:space="preserve"> explored using individually paired differences. </w:t>
      </w:r>
      <w:r>
        <w:t xml:space="preserve">Unless otherwise stated, correlation was tested using the Pearson method, which assumes that at least one variable is normally distributed. For all analyses, a p-value of &lt;0.05 was regarded as significant. Statistical analysis was performed using Microsoft Office Excel 2003, Service Pack 3 (Microsoft Corp., Redmond, WA) and R-package software version 3.0.2 (The R Foundation for Statistical Computing, Vienna, Austria). </w:t>
      </w:r>
    </w:p>
    <w:p w14:paraId="5D2C1F4E" w14:textId="4C8BA3EC" w:rsidR="002A387D" w:rsidRDefault="002A387D" w:rsidP="00B45098">
      <w:pPr>
        <w:spacing w:line="480" w:lineRule="auto"/>
        <w:jc w:val="both"/>
        <w:rPr>
          <w:b/>
        </w:rPr>
      </w:pPr>
    </w:p>
    <w:p w14:paraId="5B8A0989" w14:textId="77777777" w:rsidR="00D8257A" w:rsidRDefault="00D8257A">
      <w:pPr>
        <w:rPr>
          <w:b/>
        </w:rPr>
      </w:pPr>
      <w:r>
        <w:rPr>
          <w:b/>
        </w:rPr>
        <w:br w:type="page"/>
      </w:r>
    </w:p>
    <w:p w14:paraId="14E06806" w14:textId="614CD4BC" w:rsidR="00A02122" w:rsidRDefault="00A02122" w:rsidP="00B45098">
      <w:pPr>
        <w:spacing w:line="480" w:lineRule="auto"/>
        <w:jc w:val="both"/>
      </w:pPr>
      <w:r w:rsidRPr="00EF047B">
        <w:rPr>
          <w:b/>
        </w:rPr>
        <w:lastRenderedPageBreak/>
        <w:t>Results</w:t>
      </w:r>
    </w:p>
    <w:p w14:paraId="13DCCB4D" w14:textId="77777777" w:rsidR="00F32726" w:rsidRDefault="00F32726" w:rsidP="00B45098">
      <w:pPr>
        <w:spacing w:line="480" w:lineRule="auto"/>
        <w:jc w:val="both"/>
      </w:pPr>
    </w:p>
    <w:p w14:paraId="41C32707" w14:textId="51CACF66" w:rsidR="00F32726" w:rsidRDefault="00F32726" w:rsidP="00B45098">
      <w:pPr>
        <w:spacing w:line="480" w:lineRule="auto"/>
        <w:jc w:val="both"/>
      </w:pPr>
      <w:r>
        <w:t>Eighty</w:t>
      </w:r>
      <w:r w:rsidR="00132819">
        <w:t xml:space="preserve"> of the approximately 700 invited students </w:t>
      </w:r>
      <w:r w:rsidR="00A02122">
        <w:t xml:space="preserve">completed the pre-lecture test and were randomly assigned to lecture groups.  </w:t>
      </w:r>
      <w:r>
        <w:t>A total of 70 students attended the lectures</w:t>
      </w:r>
      <w:r w:rsidR="002D5F7A">
        <w:t xml:space="preserve">. No reasons for </w:t>
      </w:r>
      <w:r w:rsidR="002A387D">
        <w:t>non-attendance</w:t>
      </w:r>
      <w:r w:rsidR="002D5F7A">
        <w:t xml:space="preserve"> were available for analysis</w:t>
      </w:r>
      <w:r>
        <w:t xml:space="preserve">. </w:t>
      </w:r>
      <w:r w:rsidR="00A02122">
        <w:t xml:space="preserve">Thirty-nine students attended the lecture taught with </w:t>
      </w:r>
      <w:r w:rsidR="00EB5A12">
        <w:t xml:space="preserve">an </w:t>
      </w:r>
      <w:r w:rsidR="00A02122">
        <w:t>ARS</w:t>
      </w:r>
      <w:r w:rsidR="00132819">
        <w:t xml:space="preserve"> (“ARS students”)</w:t>
      </w:r>
      <w:r w:rsidR="00A02122">
        <w:t xml:space="preserve">, and 31 attended the lecture given without </w:t>
      </w:r>
      <w:r w:rsidR="00EB5A12">
        <w:t xml:space="preserve">an </w:t>
      </w:r>
      <w:r w:rsidR="00A02122">
        <w:t>ARS</w:t>
      </w:r>
      <w:r w:rsidR="00132819">
        <w:t xml:space="preserve"> (“non-ARS students”)</w:t>
      </w:r>
      <w:r w:rsidR="00A02122">
        <w:t xml:space="preserve">. </w:t>
      </w:r>
      <w:r>
        <w:t xml:space="preserve">Participant progress through the phases of the trial </w:t>
      </w:r>
      <w:r w:rsidR="00852134">
        <w:t>is</w:t>
      </w:r>
      <w:r>
        <w:t xml:space="preserve"> shown in Figure 1.</w:t>
      </w:r>
    </w:p>
    <w:p w14:paraId="0CA37EFD" w14:textId="77777777" w:rsidR="00F32726" w:rsidRDefault="00F32726" w:rsidP="00F32726">
      <w:pPr>
        <w:spacing w:line="480" w:lineRule="auto"/>
        <w:jc w:val="both"/>
      </w:pPr>
    </w:p>
    <w:p w14:paraId="774B5765" w14:textId="09C8F950" w:rsidR="00F32726" w:rsidRPr="002776A9" w:rsidRDefault="00F32726" w:rsidP="00F32726">
      <w:pPr>
        <w:spacing w:line="480" w:lineRule="auto"/>
        <w:jc w:val="both"/>
        <w:rPr>
          <w:b/>
          <w:i/>
        </w:rPr>
      </w:pPr>
      <w:r w:rsidRPr="002776A9">
        <w:rPr>
          <w:b/>
          <w:i/>
        </w:rPr>
        <w:t>Fig</w:t>
      </w:r>
      <w:r w:rsidR="0056344E">
        <w:rPr>
          <w:b/>
          <w:i/>
        </w:rPr>
        <w:t>ure</w:t>
      </w:r>
      <w:r w:rsidRPr="002776A9">
        <w:rPr>
          <w:b/>
          <w:i/>
        </w:rPr>
        <w:t xml:space="preserve"> 1: </w:t>
      </w:r>
      <w:r>
        <w:rPr>
          <w:b/>
          <w:i/>
        </w:rPr>
        <w:t>CONSORT flow diagram</w:t>
      </w:r>
      <w:r w:rsidR="00D8257A">
        <w:rPr>
          <w:b/>
          <w:i/>
        </w:rPr>
        <w:t xml:space="preserve"> (uploaded as separate file)</w:t>
      </w:r>
      <w:r>
        <w:rPr>
          <w:b/>
          <w:i/>
        </w:rPr>
        <w:t>.</w:t>
      </w:r>
    </w:p>
    <w:p w14:paraId="3DB2B508" w14:textId="77777777" w:rsidR="00F32726" w:rsidRDefault="00F32726" w:rsidP="00B45098">
      <w:pPr>
        <w:spacing w:line="480" w:lineRule="auto"/>
        <w:jc w:val="both"/>
      </w:pPr>
    </w:p>
    <w:p w14:paraId="0003725E" w14:textId="14556950" w:rsidR="00A02122" w:rsidRDefault="00A02122" w:rsidP="00B45098">
      <w:pPr>
        <w:spacing w:line="480" w:lineRule="auto"/>
        <w:jc w:val="both"/>
      </w:pPr>
      <w:r>
        <w:t xml:space="preserve">Participant characteristics are shown in Table 1 and did not vary between groups. All were undertaking medicine as their first undergraduate degree except for one </w:t>
      </w:r>
      <w:r w:rsidR="00132819">
        <w:t xml:space="preserve">ARS-student </w:t>
      </w:r>
      <w:r>
        <w:t xml:space="preserve">who had a previous undergraduate degree in dentistry.  The control lecture lasted 47 minutes and the intervention lecture lasted 53 minutes. The </w:t>
      </w:r>
      <w:r w:rsidR="00D8257A">
        <w:t>multiple-choice</w:t>
      </w:r>
      <w:r>
        <w:t xml:space="preserve"> tests had acceptable reliability with Cronbach alpha values of 0.68 for the immediate post-lecture test and 0.60 for the final post-lecture test.</w:t>
      </w:r>
    </w:p>
    <w:p w14:paraId="1F473EDE" w14:textId="77777777" w:rsidR="00A02122" w:rsidRDefault="00A02122" w:rsidP="00B45098">
      <w:pPr>
        <w:spacing w:line="480" w:lineRule="auto"/>
        <w:jc w:val="both"/>
      </w:pPr>
    </w:p>
    <w:p w14:paraId="0B437F67" w14:textId="77777777" w:rsidR="00A02122" w:rsidRPr="00536F73" w:rsidRDefault="00A02122" w:rsidP="00B45098">
      <w:pPr>
        <w:spacing w:line="480" w:lineRule="auto"/>
        <w:jc w:val="both"/>
        <w:rPr>
          <w:i/>
        </w:rPr>
      </w:pPr>
      <w:r w:rsidRPr="00536F73">
        <w:rPr>
          <w:i/>
        </w:rPr>
        <w:t>Post-lecture survey</w:t>
      </w:r>
    </w:p>
    <w:p w14:paraId="377B4EEC" w14:textId="049A2E58" w:rsidR="00A02122" w:rsidRDefault="00A02122" w:rsidP="00B45098">
      <w:pPr>
        <w:spacing w:line="480" w:lineRule="auto"/>
        <w:jc w:val="both"/>
      </w:pPr>
      <w:r>
        <w:t xml:space="preserve">Post-lecture survey results were based on 68 students </w:t>
      </w:r>
      <w:r w:rsidR="00291C56">
        <w:t xml:space="preserve">for some questions and 67 for others </w:t>
      </w:r>
      <w:r>
        <w:t xml:space="preserve">as </w:t>
      </w:r>
      <w:r w:rsidR="00291C56">
        <w:t xml:space="preserve">3 </w:t>
      </w:r>
      <w:r>
        <w:t>students failed to c</w:t>
      </w:r>
      <w:r w:rsidR="00291C56">
        <w:t>orrectly c</w:t>
      </w:r>
      <w:r>
        <w:t>omplete the survey. There was no difference in levels of self-perceived knowledge between groups: mean 5-point score was 2.80 (</w:t>
      </w:r>
      <w:r w:rsidR="00852134">
        <w:t>SD</w:t>
      </w:r>
      <w:r>
        <w:t xml:space="preserve"> 0.66) in ARS</w:t>
      </w:r>
      <w:r w:rsidR="00132819">
        <w:t>-students</w:t>
      </w:r>
      <w:r>
        <w:t xml:space="preserve">, versus 2.69 </w:t>
      </w:r>
      <w:r w:rsidR="00852134">
        <w:t xml:space="preserve">(SD </w:t>
      </w:r>
      <w:r>
        <w:t>0.85) in</w:t>
      </w:r>
      <w:r w:rsidR="00132819">
        <w:t xml:space="preserve"> non-ARS</w:t>
      </w:r>
      <w:r>
        <w:t xml:space="preserve"> students (p = 0.57, 2-sample t-test).</w:t>
      </w:r>
    </w:p>
    <w:p w14:paraId="108F9448" w14:textId="77777777" w:rsidR="00A02122" w:rsidRDefault="00A02122" w:rsidP="00B45098">
      <w:pPr>
        <w:spacing w:line="480" w:lineRule="auto"/>
        <w:jc w:val="both"/>
      </w:pPr>
    </w:p>
    <w:p w14:paraId="70A733D9" w14:textId="0B9ED6A9" w:rsidR="00132819" w:rsidRDefault="00A02122" w:rsidP="00B45098">
      <w:pPr>
        <w:spacing w:line="480" w:lineRule="auto"/>
        <w:jc w:val="both"/>
      </w:pPr>
      <w:r>
        <w:lastRenderedPageBreak/>
        <w:t>When asked for their level of agreement with the statement “I now feel confident with the topic of oral anatomy”, 16/</w:t>
      </w:r>
      <w:r w:rsidRPr="005C000D">
        <w:rPr>
          <w:highlight w:val="yellow"/>
        </w:rPr>
        <w:t>39</w:t>
      </w:r>
      <w:r>
        <w:t xml:space="preserve"> (41%) of </w:t>
      </w:r>
      <w:r w:rsidR="00C6021D">
        <w:t>ARS</w:t>
      </w:r>
      <w:r w:rsidR="00132819">
        <w:t>-students</w:t>
      </w:r>
      <w:r>
        <w:t xml:space="preserve"> agreed or strongly agreed, </w:t>
      </w:r>
      <w:r w:rsidR="00291C56">
        <w:t xml:space="preserve">versus </w:t>
      </w:r>
      <w:r>
        <w:t>10/</w:t>
      </w:r>
      <w:commentRangeStart w:id="4"/>
      <w:commentRangeStart w:id="5"/>
      <w:r w:rsidRPr="005C000D">
        <w:rPr>
          <w:highlight w:val="yellow"/>
        </w:rPr>
        <w:t>28</w:t>
      </w:r>
      <w:commentRangeEnd w:id="4"/>
      <w:r w:rsidR="001966AA">
        <w:rPr>
          <w:rStyle w:val="CommentReference"/>
        </w:rPr>
        <w:commentReference w:id="4"/>
      </w:r>
      <w:commentRangeEnd w:id="5"/>
      <w:r w:rsidR="00291C56">
        <w:rPr>
          <w:rStyle w:val="CommentReference"/>
        </w:rPr>
        <w:commentReference w:id="5"/>
      </w:r>
      <w:r>
        <w:t xml:space="preserve"> (36%) of </w:t>
      </w:r>
      <w:r w:rsidR="00132819">
        <w:t xml:space="preserve">non-ARS </w:t>
      </w:r>
      <w:r>
        <w:t xml:space="preserve">students </w:t>
      </w:r>
      <w:r w:rsidR="00132819">
        <w:t>(p = 0.62, χ</w:t>
      </w:r>
      <w:r w:rsidR="00132819" w:rsidRPr="0076061C">
        <w:rPr>
          <w:vertAlign w:val="superscript"/>
        </w:rPr>
        <w:t>2</w:t>
      </w:r>
      <w:r w:rsidR="00132819">
        <w:t xml:space="preserve"> test)</w:t>
      </w:r>
    </w:p>
    <w:p w14:paraId="021016A5" w14:textId="315A37FC" w:rsidR="00A02122" w:rsidRDefault="00A02122" w:rsidP="00B45098">
      <w:pPr>
        <w:spacing w:line="480" w:lineRule="auto"/>
        <w:jc w:val="both"/>
      </w:pPr>
      <w:r>
        <w:t xml:space="preserve">When </w:t>
      </w:r>
      <w:r w:rsidR="00A77699">
        <w:t>faced w</w:t>
      </w:r>
      <w:r>
        <w:t xml:space="preserve">ith the statement “I enjoyed this lecture on oral anatomy”, 37/39 (95%) of </w:t>
      </w:r>
      <w:r w:rsidR="00C6021D">
        <w:t>ARS</w:t>
      </w:r>
      <w:r w:rsidR="00132819">
        <w:t>-</w:t>
      </w:r>
      <w:r w:rsidR="00C6021D">
        <w:t>students</w:t>
      </w:r>
      <w:r>
        <w:t xml:space="preserve"> agreed</w:t>
      </w:r>
      <w:r w:rsidR="00C6021D">
        <w:t xml:space="preserve"> or strongly agreed</w:t>
      </w:r>
      <w:r>
        <w:t xml:space="preserve">, </w:t>
      </w:r>
      <w:r w:rsidR="00291C56">
        <w:t xml:space="preserve">versus </w:t>
      </w:r>
      <w:r>
        <w:t xml:space="preserve"> 24/28 (86%) of </w:t>
      </w:r>
      <w:r w:rsidR="00C6021D">
        <w:t>non-ARS</w:t>
      </w:r>
      <w:r w:rsidR="00291C56">
        <w:t xml:space="preserve"> </w:t>
      </w:r>
      <w:r w:rsidR="00C6021D">
        <w:t xml:space="preserve">students </w:t>
      </w:r>
      <w:commentRangeStart w:id="6"/>
      <w:r w:rsidR="001966AA">
        <w:rPr>
          <w:rStyle w:val="CommentReference"/>
        </w:rPr>
        <w:commentReference w:id="7"/>
      </w:r>
      <w:commentRangeEnd w:id="6"/>
      <w:r w:rsidR="00291C56">
        <w:rPr>
          <w:rStyle w:val="CommentReference"/>
        </w:rPr>
        <w:commentReference w:id="6"/>
      </w:r>
      <w:r w:rsidR="00132819">
        <w:t>(p = 0.25, Fisher’s exact test)</w:t>
      </w:r>
      <w:r>
        <w:t xml:space="preserve">.  </w:t>
      </w:r>
    </w:p>
    <w:p w14:paraId="3E415C35" w14:textId="77777777" w:rsidR="00A02122" w:rsidRDefault="00A02122" w:rsidP="00B45098">
      <w:pPr>
        <w:spacing w:line="480" w:lineRule="auto"/>
        <w:jc w:val="both"/>
      </w:pPr>
    </w:p>
    <w:p w14:paraId="6C7B33CC" w14:textId="24C00FC4" w:rsidR="00A02122" w:rsidRDefault="00A02122" w:rsidP="00B45098">
      <w:pPr>
        <w:spacing w:line="480" w:lineRule="auto"/>
        <w:jc w:val="both"/>
      </w:pPr>
      <w:r>
        <w:t>When the 39 ARS</w:t>
      </w:r>
      <w:r w:rsidR="00132819">
        <w:t>-</w:t>
      </w:r>
      <w:r w:rsidR="00C6021D">
        <w:t xml:space="preserve">students </w:t>
      </w:r>
      <w:r>
        <w:t>were asked how the ARS had affected their learning experience, 30 stated “positively” and 7 “very positively” (95% in combination). No student felt it had negatively affected their experience.</w:t>
      </w:r>
    </w:p>
    <w:p w14:paraId="4D7F0215" w14:textId="77777777" w:rsidR="00A02122" w:rsidRDefault="00A02122" w:rsidP="00B45098">
      <w:pPr>
        <w:spacing w:line="480" w:lineRule="auto"/>
        <w:jc w:val="both"/>
      </w:pPr>
    </w:p>
    <w:p w14:paraId="1C7FCBE7" w14:textId="77777777" w:rsidR="00A02122" w:rsidRPr="00760C4A" w:rsidRDefault="00A02122" w:rsidP="00B45098">
      <w:pPr>
        <w:spacing w:line="480" w:lineRule="auto"/>
        <w:jc w:val="both"/>
        <w:rPr>
          <w:i/>
        </w:rPr>
      </w:pPr>
      <w:r w:rsidRPr="00760C4A">
        <w:rPr>
          <w:i/>
        </w:rPr>
        <w:t>Immediate post-lecture test performance</w:t>
      </w:r>
    </w:p>
    <w:p w14:paraId="6DBE2273" w14:textId="02DA3F26" w:rsidR="00A02122" w:rsidRDefault="00A02122" w:rsidP="00B45098">
      <w:pPr>
        <w:spacing w:line="480" w:lineRule="auto"/>
        <w:jc w:val="both"/>
      </w:pPr>
      <w:r>
        <w:t xml:space="preserve"> Immediate post-lecture test performance was </w:t>
      </w:r>
      <w:commentRangeStart w:id="8"/>
      <w:commentRangeStart w:id="9"/>
      <w:proofErr w:type="spellStart"/>
      <w:r>
        <w:t>significantl</w:t>
      </w:r>
      <w:commentRangeEnd w:id="8"/>
      <w:commentRangeEnd w:id="9"/>
      <w:proofErr w:type="spellEnd"/>
      <w:r w:rsidR="00291C56">
        <w:t xml:space="preserve"> </w:t>
      </w:r>
      <w:r>
        <w:t xml:space="preserve">superior in the </w:t>
      </w:r>
      <w:r w:rsidR="00C6021D">
        <w:t xml:space="preserve">ARS </w:t>
      </w:r>
      <w:r>
        <w:t>group (score 17.3/20 versus 15.6/20, p = 0.01</w:t>
      </w:r>
      <w:r w:rsidR="00EB5A12">
        <w:t>,</w:t>
      </w:r>
      <w:r w:rsidR="00C6021D">
        <w:t xml:space="preserve"> Table 2</w:t>
      </w:r>
      <w:r>
        <w:t>).  Test performance was superior in the ARS group in both genders and across all year groups, although in sub-group analysis this only reached statistical significance in males and in Year 2 students</w:t>
      </w:r>
      <w:r w:rsidR="00DC28F3">
        <w:t>.  These results were unaltered by using a paired differences analysis, comparing differences in individual scores between the pre-lecture and immediate post-lecture tests.</w:t>
      </w:r>
    </w:p>
    <w:p w14:paraId="323C8532" w14:textId="77777777" w:rsidR="00A02122" w:rsidRDefault="00A02122" w:rsidP="00B45098">
      <w:pPr>
        <w:spacing w:line="480" w:lineRule="auto"/>
        <w:jc w:val="both"/>
      </w:pPr>
    </w:p>
    <w:p w14:paraId="51CBD64F" w14:textId="061DAFD7" w:rsidR="00A02122" w:rsidRPr="005E7442" w:rsidRDefault="00A979C9" w:rsidP="00B45098">
      <w:pPr>
        <w:spacing w:line="480" w:lineRule="auto"/>
        <w:jc w:val="both"/>
        <w:rPr>
          <w:i/>
        </w:rPr>
      </w:pPr>
      <w:r>
        <w:rPr>
          <w:i/>
        </w:rPr>
        <w:t>Final</w:t>
      </w:r>
      <w:r w:rsidR="00852134">
        <w:rPr>
          <w:i/>
        </w:rPr>
        <w:t xml:space="preserve"> </w:t>
      </w:r>
      <w:r w:rsidR="00A02122" w:rsidRPr="005E7442">
        <w:rPr>
          <w:i/>
        </w:rPr>
        <w:t>post-lecture test performance</w:t>
      </w:r>
    </w:p>
    <w:p w14:paraId="24E8EDBC" w14:textId="6CDEE248" w:rsidR="00A77699" w:rsidRDefault="00A77699" w:rsidP="00F804A3">
      <w:pPr>
        <w:spacing w:line="480" w:lineRule="auto"/>
        <w:jc w:val="both"/>
      </w:pPr>
      <w:r w:rsidRPr="00A77699">
        <w:t xml:space="preserve">The final </w:t>
      </w:r>
      <w:r>
        <w:t xml:space="preserve">post-lecture </w:t>
      </w:r>
      <w:r w:rsidRPr="00A77699">
        <w:t xml:space="preserve">test was completed </w:t>
      </w:r>
      <w:r>
        <w:t xml:space="preserve">(online, ten weeks following the lecture) </w:t>
      </w:r>
      <w:r w:rsidRPr="00A77699">
        <w:t>by 65/70 (93%) of students</w:t>
      </w:r>
      <w:r>
        <w:t>.</w:t>
      </w:r>
    </w:p>
    <w:p w14:paraId="70741DA6" w14:textId="09B54117" w:rsidR="000C0DB0" w:rsidRDefault="00FF3249" w:rsidP="00F804A3">
      <w:pPr>
        <w:spacing w:line="480" w:lineRule="auto"/>
        <w:jc w:val="both"/>
      </w:pPr>
      <w:r>
        <w:t>When performance was directly compared between groups</w:t>
      </w:r>
      <w:r w:rsidR="00A02122">
        <w:t xml:space="preserve">, </w:t>
      </w:r>
      <w:r>
        <w:t>there was no difference</w:t>
      </w:r>
      <w:r w:rsidR="0021415C">
        <w:t>, including in sub-group analysis</w:t>
      </w:r>
      <w:r w:rsidR="001966AA">
        <w:t xml:space="preserve"> </w:t>
      </w:r>
      <w:r w:rsidR="00852134">
        <w:t>(Table 2)</w:t>
      </w:r>
      <w:r w:rsidR="00A02122">
        <w:t xml:space="preserve">.   </w:t>
      </w:r>
      <w:r w:rsidR="00DC28F3">
        <w:t xml:space="preserve">A paired analysis comparing </w:t>
      </w:r>
      <w:r w:rsidR="00DC28F3">
        <w:lastRenderedPageBreak/>
        <w:t>differences in individual scores between the final post-lecture test and the pre-lecture test also showed no significant difference between groups</w:t>
      </w:r>
      <w:r w:rsidR="0008718F">
        <w:t xml:space="preserve"> (</w:t>
      </w:r>
      <w:r w:rsidR="007A62AC">
        <w:t xml:space="preserve">mean </w:t>
      </w:r>
      <w:r w:rsidR="0021415C">
        <w:t>improvement</w:t>
      </w:r>
      <w:r w:rsidR="0008718F">
        <w:t xml:space="preserve"> 1.5 in the ARS group, versus </w:t>
      </w:r>
      <w:r w:rsidR="007A62AC">
        <w:t>0.7 in the non-ARS group, p = 0.31)</w:t>
      </w:r>
      <w:r w:rsidR="00DC28F3">
        <w:t xml:space="preserve">. </w:t>
      </w:r>
      <w:r w:rsidR="00CC27DE">
        <w:t xml:space="preserve">Final test score in the study population as a whole (mean </w:t>
      </w:r>
      <w:r w:rsidR="002928B2">
        <w:t>10.4</w:t>
      </w:r>
      <w:r w:rsidR="00CC27DE">
        <w:t xml:space="preserve">/17) had </w:t>
      </w:r>
      <w:r w:rsidR="001966AA">
        <w:rPr>
          <w:rStyle w:val="CommentReference"/>
        </w:rPr>
        <w:commentReference w:id="10"/>
      </w:r>
      <w:r w:rsidR="00CC27DE">
        <w:t xml:space="preserve"> significantly improved when compared to the baseline pre-lecture test (</w:t>
      </w:r>
      <w:r w:rsidR="002928B2">
        <w:t xml:space="preserve">9.2/17), </w:t>
      </w:r>
      <w:r w:rsidR="00CC27DE">
        <w:t xml:space="preserve">p = 0.02. </w:t>
      </w:r>
    </w:p>
    <w:p w14:paraId="59719262" w14:textId="23D3E4B1" w:rsidR="0079647A" w:rsidRDefault="0079647A" w:rsidP="00F804A3">
      <w:pPr>
        <w:spacing w:line="480" w:lineRule="auto"/>
        <w:jc w:val="both"/>
      </w:pPr>
    </w:p>
    <w:p w14:paraId="6B2502A6" w14:textId="11175D81" w:rsidR="00F148D6" w:rsidRDefault="00A02122" w:rsidP="00F804A3">
      <w:pPr>
        <w:spacing w:line="480" w:lineRule="auto"/>
        <w:jc w:val="both"/>
      </w:pPr>
      <w:r>
        <w:t xml:space="preserve">In the group taught with </w:t>
      </w:r>
      <w:r w:rsidR="00EB5A12">
        <w:t xml:space="preserve">the </w:t>
      </w:r>
      <w:r>
        <w:t>ARS, there was no correlation between in-lecture ARS question performance and either immediate post-lecture scores (correlation 0.23, p = 0.16) or final post-lecture scores (correlation 0.11, p = 0.52).</w:t>
      </w:r>
      <w:r w:rsidR="00F148D6">
        <w:br w:type="page"/>
      </w:r>
    </w:p>
    <w:p w14:paraId="2911413F" w14:textId="1DFD0B81" w:rsidR="00A02122" w:rsidRDefault="00A02122" w:rsidP="00B45098">
      <w:pPr>
        <w:spacing w:line="480" w:lineRule="auto"/>
        <w:jc w:val="both"/>
        <w:rPr>
          <w:b/>
        </w:rPr>
      </w:pPr>
      <w:r w:rsidRPr="00F148D6">
        <w:rPr>
          <w:b/>
        </w:rPr>
        <w:lastRenderedPageBreak/>
        <w:t>Discussion</w:t>
      </w:r>
    </w:p>
    <w:p w14:paraId="0FAF1D25" w14:textId="7EA59AB6" w:rsidR="00852134" w:rsidRDefault="00852134" w:rsidP="00B45098">
      <w:pPr>
        <w:spacing w:line="480" w:lineRule="auto"/>
        <w:jc w:val="both"/>
      </w:pPr>
    </w:p>
    <w:p w14:paraId="322D2943" w14:textId="15EEFDB2" w:rsidR="00A979C9" w:rsidRPr="00F804A3" w:rsidRDefault="00A979C9" w:rsidP="00B45098">
      <w:pPr>
        <w:spacing w:line="480" w:lineRule="auto"/>
        <w:jc w:val="both"/>
        <w:rPr>
          <w:i/>
        </w:rPr>
      </w:pPr>
      <w:commentRangeStart w:id="11"/>
      <w:commentRangeStart w:id="12"/>
      <w:r w:rsidRPr="005C000D">
        <w:rPr>
          <w:i/>
          <w:highlight w:val="yellow"/>
        </w:rPr>
        <w:t>Summary</w:t>
      </w:r>
      <w:commentRangeEnd w:id="11"/>
      <w:r w:rsidR="001966AA">
        <w:rPr>
          <w:rStyle w:val="CommentReference"/>
        </w:rPr>
        <w:commentReference w:id="11"/>
      </w:r>
      <w:commentRangeEnd w:id="12"/>
      <w:r w:rsidR="00291C56">
        <w:rPr>
          <w:rStyle w:val="CommentReference"/>
        </w:rPr>
        <w:commentReference w:id="12"/>
      </w:r>
    </w:p>
    <w:p w14:paraId="5C21A8C3" w14:textId="77777777" w:rsidR="00A979C9" w:rsidRDefault="00A979C9" w:rsidP="00B45098">
      <w:pPr>
        <w:spacing w:line="480" w:lineRule="auto"/>
        <w:jc w:val="both"/>
      </w:pPr>
    </w:p>
    <w:p w14:paraId="1600E362" w14:textId="366203B4" w:rsidR="00A02122" w:rsidRDefault="0021415C" w:rsidP="00B45098">
      <w:pPr>
        <w:spacing w:line="480" w:lineRule="auto"/>
        <w:jc w:val="both"/>
      </w:pPr>
      <w:r>
        <w:t>Our</w:t>
      </w:r>
      <w:r w:rsidR="00A02122">
        <w:t xml:space="preserve"> findings suggest that the introduction of ARS into anatomy education had no impact on students’ self-perceived post-lecture subject knowledge, confidence or enjoyment, and had no demonstrable impact on long-term student performance. </w:t>
      </w:r>
      <w:r w:rsidR="00796327">
        <w:t>Several randomized controlled studies have investigated the use of ARS in other educational settings, and have not consistently demonstrated improvements in immediate or long-term knowledge tests</w:t>
      </w:r>
      <w:r w:rsidR="00A02122">
        <w:t xml:space="preserve"> </w:t>
      </w:r>
      <w:r w:rsidR="006B77C2">
        <w:t>[15]</w:t>
      </w:r>
      <w:r w:rsidR="00A02122">
        <w:t>. Our observation of a modest</w:t>
      </w:r>
      <w:r w:rsidR="005A3924">
        <w:t xml:space="preserve"> </w:t>
      </w:r>
      <w:r w:rsidR="00A02122">
        <w:t>improvement in performance immediate</w:t>
      </w:r>
      <w:r w:rsidR="001966AA">
        <w:t>ly</w:t>
      </w:r>
      <w:r w:rsidR="00A02122">
        <w:t xml:space="preserve"> post-lecture , </w:t>
      </w:r>
      <w:r w:rsidR="001966AA">
        <w:t>with</w:t>
      </w:r>
      <w:r w:rsidR="00A02122">
        <w:t xml:space="preserve"> its subsequent </w:t>
      </w:r>
      <w:r w:rsidR="001966AA">
        <w:t>disappearance</w:t>
      </w:r>
      <w:r w:rsidR="00A02122">
        <w:t xml:space="preserve"> over an intervening </w:t>
      </w:r>
      <w:r w:rsidR="00D8257A">
        <w:t>ten-week</w:t>
      </w:r>
      <w:r w:rsidR="00A02122">
        <w:t xml:space="preserve"> period is in keeping with a study from </w:t>
      </w:r>
      <w:proofErr w:type="spellStart"/>
      <w:r w:rsidR="00A02122">
        <w:t>Tregonning</w:t>
      </w:r>
      <w:proofErr w:type="spellEnd"/>
      <w:r w:rsidR="00A02122">
        <w:t xml:space="preserve"> and colleagues who found that </w:t>
      </w:r>
      <w:r w:rsidR="001966AA">
        <w:t>although</w:t>
      </w:r>
      <w:r w:rsidR="00A02122">
        <w:t xml:space="preserve"> ARS improv</w:t>
      </w:r>
      <w:r w:rsidR="001966AA">
        <w:t>ed</w:t>
      </w:r>
      <w:r w:rsidR="00A02122">
        <w:t xml:space="preserve"> immediate knowledge test scores</w:t>
      </w:r>
      <w:r w:rsidR="001966AA">
        <w:t>,</w:t>
      </w:r>
      <w:r w:rsidR="00A02122">
        <w:t xml:space="preserve"> this effect </w:t>
      </w:r>
      <w:r w:rsidR="007A62AC">
        <w:t>was not seen 5 weeks later</w:t>
      </w:r>
      <w:r w:rsidR="0097574C">
        <w:t xml:space="preserve"> [</w:t>
      </w:r>
      <w:r w:rsidR="00133BB5">
        <w:t>20</w:t>
      </w:r>
      <w:r w:rsidR="0097574C">
        <w:t>]</w:t>
      </w:r>
      <w:r w:rsidR="00A02122">
        <w:t xml:space="preserve">. </w:t>
      </w:r>
      <w:r>
        <w:t xml:space="preserve">A systematic study </w:t>
      </w:r>
      <w:r w:rsidR="002928B2">
        <w:t xml:space="preserve">by Nelson et al </w:t>
      </w:r>
      <w:r>
        <w:t xml:space="preserve">concluded that a </w:t>
      </w:r>
      <w:r w:rsidR="00A02122">
        <w:t xml:space="preserve">tendency to produce  results </w:t>
      </w:r>
      <w:r w:rsidR="001966AA">
        <w:t xml:space="preserve">strongly </w:t>
      </w:r>
      <w:r w:rsidR="00A02122">
        <w:t xml:space="preserve">in </w:t>
      </w:r>
      <w:proofErr w:type="spellStart"/>
      <w:r w:rsidR="00A02122">
        <w:t>favour</w:t>
      </w:r>
      <w:proofErr w:type="spellEnd"/>
      <w:r w:rsidR="00A02122">
        <w:t xml:space="preserve"> of ARS is associated wit</w:t>
      </w:r>
      <w:r w:rsidR="008A4C56">
        <w:t>h non-</w:t>
      </w:r>
      <w:r w:rsidR="00852134">
        <w:t>randomized</w:t>
      </w:r>
      <w:r w:rsidR="008A4C56">
        <w:t xml:space="preserve"> study designs [15]</w:t>
      </w:r>
      <w:r w:rsidR="00A02122">
        <w:t>.</w:t>
      </w:r>
    </w:p>
    <w:p w14:paraId="74FA88F2" w14:textId="55C45865" w:rsidR="00133BB5" w:rsidRDefault="00133BB5" w:rsidP="00B45098">
      <w:pPr>
        <w:spacing w:line="480" w:lineRule="auto"/>
        <w:jc w:val="both"/>
      </w:pPr>
    </w:p>
    <w:p w14:paraId="687FF919" w14:textId="1624AD0E" w:rsidR="00133BB5" w:rsidRPr="00F804A3" w:rsidRDefault="00133BB5" w:rsidP="00B45098">
      <w:pPr>
        <w:spacing w:line="480" w:lineRule="auto"/>
        <w:jc w:val="both"/>
        <w:rPr>
          <w:i/>
        </w:rPr>
      </w:pPr>
      <w:r w:rsidRPr="00F804A3">
        <w:rPr>
          <w:i/>
        </w:rPr>
        <w:t>Limitations</w:t>
      </w:r>
    </w:p>
    <w:p w14:paraId="3B1FE3BE" w14:textId="77777777" w:rsidR="00A02122" w:rsidRDefault="00A02122" w:rsidP="00B45098">
      <w:pPr>
        <w:spacing w:line="480" w:lineRule="auto"/>
        <w:jc w:val="both"/>
      </w:pPr>
    </w:p>
    <w:p w14:paraId="43FD71B5" w14:textId="7CA33519" w:rsidR="002D5F7A" w:rsidRDefault="00A02122" w:rsidP="00B45098">
      <w:pPr>
        <w:spacing w:line="480" w:lineRule="auto"/>
        <w:jc w:val="both"/>
      </w:pPr>
      <w:r>
        <w:t xml:space="preserve">It should be noted that the present study was based on a single lecture intervention, allowing for a controlled experimental environment. </w:t>
      </w:r>
      <w:r w:rsidR="001966AA">
        <w:t>S</w:t>
      </w:r>
      <w:r>
        <w:t xml:space="preserve">tudents </w:t>
      </w:r>
      <w:r w:rsidR="001966AA">
        <w:t>had little</w:t>
      </w:r>
      <w:r w:rsidR="00D8257A">
        <w:t xml:space="preserve"> time </w:t>
      </w:r>
      <w:r>
        <w:t xml:space="preserve">to incorporate </w:t>
      </w:r>
      <w:r w:rsidR="00800B15">
        <w:t>the ARS approach</w:t>
      </w:r>
      <w:r>
        <w:t xml:space="preserve"> into their expectations and learning style. </w:t>
      </w:r>
      <w:r w:rsidRPr="005C000D">
        <w:rPr>
          <w:highlight w:val="yellow"/>
        </w:rPr>
        <w:t>It is conceivable</w:t>
      </w:r>
      <w:r w:rsidR="00800B15" w:rsidRPr="005C000D">
        <w:rPr>
          <w:highlight w:val="yellow"/>
        </w:rPr>
        <w:t xml:space="preserve"> </w:t>
      </w:r>
      <w:r w:rsidRPr="005C000D">
        <w:rPr>
          <w:highlight w:val="yellow"/>
        </w:rPr>
        <w:t xml:space="preserve">that an intervention consisting of more than one lecture could have resulted in improvements in long-term student </w:t>
      </w:r>
      <w:commentRangeStart w:id="13"/>
      <w:commentRangeStart w:id="14"/>
      <w:r w:rsidRPr="005C000D">
        <w:rPr>
          <w:highlight w:val="yellow"/>
        </w:rPr>
        <w:t>performance</w:t>
      </w:r>
      <w:commentRangeEnd w:id="13"/>
      <w:r w:rsidR="001966AA">
        <w:rPr>
          <w:rStyle w:val="CommentReference"/>
        </w:rPr>
        <w:commentReference w:id="13"/>
      </w:r>
      <w:commentRangeEnd w:id="14"/>
      <w:r w:rsidR="00796327">
        <w:rPr>
          <w:rStyle w:val="CommentReference"/>
        </w:rPr>
        <w:commentReference w:id="14"/>
      </w:r>
      <w:r>
        <w:t xml:space="preserve">. </w:t>
      </w:r>
    </w:p>
    <w:p w14:paraId="469E67DB" w14:textId="3AC2AD17" w:rsidR="002D5F7A" w:rsidRDefault="002D5F7A" w:rsidP="00B45098">
      <w:pPr>
        <w:spacing w:line="480" w:lineRule="auto"/>
        <w:jc w:val="both"/>
      </w:pPr>
    </w:p>
    <w:p w14:paraId="59771250" w14:textId="4F73FD5F" w:rsidR="00133BB5" w:rsidRDefault="00133BB5" w:rsidP="00B45098">
      <w:pPr>
        <w:spacing w:line="480" w:lineRule="auto"/>
        <w:jc w:val="both"/>
      </w:pPr>
      <w:r w:rsidRPr="00133BB5">
        <w:lastRenderedPageBreak/>
        <w:t>The failure of this study to recruit the number</w:t>
      </w:r>
      <w:r w:rsidR="00DC289D">
        <w:t>s</w:t>
      </w:r>
      <w:r w:rsidRPr="00133BB5">
        <w:t xml:space="preserve"> suggested by the pre-trial power calculation </w:t>
      </w:r>
      <w:r w:rsidR="00D07E44">
        <w:t>is</w:t>
      </w:r>
      <w:r w:rsidRPr="00133BB5">
        <w:t xml:space="preserve"> a further limitation.  Participation was voluntary and attendance at an evening lecture </w:t>
      </w:r>
      <w:r w:rsidR="00D07E44">
        <w:t>unrelated</w:t>
      </w:r>
      <w:r w:rsidRPr="00133BB5">
        <w:t xml:space="preserve"> to the core MBChB curriculum may not have been perceived as valuable by non-</w:t>
      </w:r>
      <w:r w:rsidR="00800B15">
        <w:t>participants</w:t>
      </w:r>
      <w:r w:rsidRPr="00133BB5">
        <w:t xml:space="preserve">. </w:t>
      </w:r>
      <w:r w:rsidR="005A3924">
        <w:t xml:space="preserve">There was no identifiable reason for non-attendance </w:t>
      </w:r>
      <w:r w:rsidR="00800B15">
        <w:t>from</w:t>
      </w:r>
      <w:r w:rsidR="00800B15" w:rsidRPr="0076061C">
        <w:rPr>
          <w:lang w:val="en-GB"/>
        </w:rPr>
        <w:t xml:space="preserve"> randomised</w:t>
      </w:r>
      <w:r w:rsidR="00800B15">
        <w:t xml:space="preserve"> participants</w:t>
      </w:r>
      <w:r w:rsidR="005A3924">
        <w:t xml:space="preserve">, or for why </w:t>
      </w:r>
      <w:r w:rsidR="00800B15">
        <w:t xml:space="preserve">this varied between </w:t>
      </w:r>
      <w:r w:rsidR="005A3924">
        <w:t>group</w:t>
      </w:r>
      <w:r w:rsidR="00800B15">
        <w:t>s</w:t>
      </w:r>
      <w:r w:rsidR="00E774E6">
        <w:t xml:space="preserve"> (8/39 vs 2</w:t>
      </w:r>
      <w:r w:rsidR="00D07E44">
        <w:t>/</w:t>
      </w:r>
      <w:r w:rsidR="00E774E6">
        <w:t>41</w:t>
      </w:r>
      <w:r w:rsidR="00D07E44">
        <w:t>)</w:t>
      </w:r>
      <w:r w:rsidR="00800B15">
        <w:t>. The control lecture preceded the ARS-assisted lecture, and participants were blinded to their assignment.</w:t>
      </w:r>
      <w:r w:rsidR="005A3924">
        <w:t xml:space="preserve"> </w:t>
      </w:r>
      <w:r w:rsidR="00800B15">
        <w:t>Despite these difficulties</w:t>
      </w:r>
      <w:r w:rsidRPr="00133BB5">
        <w:t>, our study was still able to demonstrate a significant difference in immediate post-lecture test results.</w:t>
      </w:r>
      <w:r w:rsidR="005A3924">
        <w:t xml:space="preserve"> </w:t>
      </w:r>
      <w:r w:rsidR="00800B15">
        <w:t xml:space="preserve">Low numbers </w:t>
      </w:r>
      <w:r w:rsidR="007A62AC">
        <w:t xml:space="preserve">may have contributed to the failure to demonstrate a significant difference at ten weeks, and </w:t>
      </w:r>
      <w:r w:rsidR="00E4131B">
        <w:t>also rule out any</w:t>
      </w:r>
      <w:r w:rsidR="00800B15">
        <w:t xml:space="preserve"> firm conclusions on sub-group analyses. </w:t>
      </w:r>
      <w:r w:rsidR="005A3924">
        <w:t xml:space="preserve">All conclusions </w:t>
      </w:r>
      <w:r w:rsidR="00800B15">
        <w:t xml:space="preserve">in this study </w:t>
      </w:r>
      <w:r w:rsidR="005A3924">
        <w:t>were unaltered by analysis using non-parametric tests and by using a paired-data approach.</w:t>
      </w:r>
    </w:p>
    <w:p w14:paraId="03E36E94" w14:textId="77777777" w:rsidR="00133BB5" w:rsidRDefault="00133BB5" w:rsidP="00B45098">
      <w:pPr>
        <w:spacing w:line="480" w:lineRule="auto"/>
        <w:jc w:val="both"/>
      </w:pPr>
    </w:p>
    <w:p w14:paraId="146FD716" w14:textId="43A7DE6B" w:rsidR="00133BB5" w:rsidRPr="00F804A3" w:rsidRDefault="00133BB5" w:rsidP="00B45098">
      <w:pPr>
        <w:spacing w:line="480" w:lineRule="auto"/>
        <w:jc w:val="both"/>
        <w:rPr>
          <w:i/>
        </w:rPr>
      </w:pPr>
      <w:r w:rsidRPr="00F804A3">
        <w:rPr>
          <w:i/>
        </w:rPr>
        <w:t>Interpretation</w:t>
      </w:r>
    </w:p>
    <w:p w14:paraId="63F223DE" w14:textId="77777777" w:rsidR="00133BB5" w:rsidRDefault="00133BB5" w:rsidP="00133BB5">
      <w:pPr>
        <w:spacing w:line="480" w:lineRule="auto"/>
        <w:jc w:val="both"/>
      </w:pPr>
    </w:p>
    <w:p w14:paraId="35407BA0" w14:textId="3EED9E6E" w:rsidR="00133BB5" w:rsidRDefault="00DC289D" w:rsidP="00133BB5">
      <w:pPr>
        <w:spacing w:line="480" w:lineRule="auto"/>
        <w:jc w:val="both"/>
      </w:pPr>
      <w:r>
        <w:t>D</w:t>
      </w:r>
      <w:r w:rsidR="00133BB5">
        <w:t xml:space="preserve">espite the lack of significant improvement in performance, the </w:t>
      </w:r>
      <w:r w:rsidR="00133BB5" w:rsidRPr="0076061C">
        <w:t xml:space="preserve">vast majority (95%) of students who received ARS teaching felt that </w:t>
      </w:r>
      <w:r w:rsidR="00E4131B" w:rsidRPr="0076061C">
        <w:t>its use</w:t>
      </w:r>
      <w:r w:rsidR="00133BB5" w:rsidRPr="0076061C">
        <w:t xml:space="preserve"> positively affected their learning experience. Again, this is in keeping with previous findings [21]. It remains </w:t>
      </w:r>
      <w:r w:rsidR="002928B2" w:rsidRPr="0076061C">
        <w:t>unexplained</w:t>
      </w:r>
      <w:r w:rsidR="00133BB5" w:rsidRPr="0076061C">
        <w:t>, therefore, why such a positive reported response from students was not reflected in improved perceptions of confidence or knowledge after the introduction of ARS. One</w:t>
      </w:r>
      <w:r w:rsidR="00133BB5">
        <w:t xml:space="preserve"> parsimonious explanation is that ARS technologies were seen by students as an intervention that promoted ‘intentional engagement’ with their learning [</w:t>
      </w:r>
      <w:r w:rsidR="00893306">
        <w:t>22</w:t>
      </w:r>
      <w:r w:rsidR="00133BB5">
        <w:t>], marking a major change from the</w:t>
      </w:r>
      <w:r w:rsidR="00E4131B">
        <w:t>ir</w:t>
      </w:r>
      <w:r w:rsidR="00133BB5">
        <w:t xml:space="preserve"> normal teaching methods and leading to a perception of positive change irrespective of whether the change actually impacted on their learning.</w:t>
      </w:r>
    </w:p>
    <w:p w14:paraId="399FEBB4" w14:textId="77777777" w:rsidR="00A02122" w:rsidRDefault="00A02122" w:rsidP="00B45098">
      <w:pPr>
        <w:spacing w:line="480" w:lineRule="auto"/>
        <w:jc w:val="both"/>
      </w:pPr>
    </w:p>
    <w:p w14:paraId="322C13AE" w14:textId="1601ABAF" w:rsidR="00A02122" w:rsidRDefault="00A02122" w:rsidP="00B45098">
      <w:pPr>
        <w:spacing w:line="480" w:lineRule="auto"/>
        <w:jc w:val="both"/>
      </w:pPr>
      <w:r>
        <w:t xml:space="preserve">Despite the resource implications and training needs created by </w:t>
      </w:r>
      <w:commentRangeStart w:id="15"/>
      <w:commentRangeStart w:id="16"/>
      <w:r>
        <w:t>ARS</w:t>
      </w:r>
      <w:commentRangeEnd w:id="15"/>
      <w:r w:rsidR="00DC289D">
        <w:rPr>
          <w:rStyle w:val="CommentReference"/>
        </w:rPr>
        <w:commentReference w:id="15"/>
      </w:r>
      <w:commentRangeEnd w:id="16"/>
      <w:r w:rsidR="00796327">
        <w:rPr>
          <w:rStyle w:val="CommentReference"/>
        </w:rPr>
        <w:commentReference w:id="16"/>
      </w:r>
      <w:r w:rsidR="00796327">
        <w:t>[23, 24]</w:t>
      </w:r>
      <w:r>
        <w:t xml:space="preserve">, </w:t>
      </w:r>
      <w:r w:rsidR="002D5F7A">
        <w:t>its</w:t>
      </w:r>
      <w:r>
        <w:t xml:space="preserve"> </w:t>
      </w:r>
      <w:r w:rsidR="004B42F4">
        <w:t xml:space="preserve">potential </w:t>
      </w:r>
      <w:r>
        <w:t>advantages remain attractive</w:t>
      </w:r>
      <w:r w:rsidR="00417E23">
        <w:t xml:space="preserve">. </w:t>
      </w:r>
      <w:r w:rsidRPr="004B42F4">
        <w:t xml:space="preserve">ARS provide interactivity within the teaching setting, </w:t>
      </w:r>
      <w:r w:rsidR="00800A16" w:rsidRPr="004B42F4">
        <w:t xml:space="preserve">which </w:t>
      </w:r>
      <w:r w:rsidR="00796327">
        <w:t xml:space="preserve">would appear </w:t>
      </w:r>
      <w:r w:rsidRPr="004B42F4">
        <w:t>important</w:t>
      </w:r>
      <w:r w:rsidR="00796327">
        <w:t>,</w:t>
      </w:r>
      <w:r w:rsidRPr="004B42F4">
        <w:t xml:space="preserve"> considering that in the long term large group teaching is </w:t>
      </w:r>
      <w:r w:rsidRPr="005C000D">
        <w:rPr>
          <w:highlight w:val="yellow"/>
        </w:rPr>
        <w:t xml:space="preserve">not </w:t>
      </w:r>
      <w:r w:rsidR="00796327">
        <w:rPr>
          <w:highlight w:val="yellow"/>
        </w:rPr>
        <w:t xml:space="preserve">particularly </w:t>
      </w:r>
      <w:commentRangeStart w:id="17"/>
      <w:commentRangeStart w:id="18"/>
      <w:r w:rsidRPr="005C000D">
        <w:rPr>
          <w:highlight w:val="yellow"/>
        </w:rPr>
        <w:t>effectiv</w:t>
      </w:r>
      <w:r w:rsidR="00EE5978" w:rsidRPr="005C000D">
        <w:rPr>
          <w:highlight w:val="yellow"/>
        </w:rPr>
        <w:t>e</w:t>
      </w:r>
      <w:commentRangeEnd w:id="17"/>
      <w:r w:rsidR="00DC289D">
        <w:rPr>
          <w:rStyle w:val="CommentReference"/>
        </w:rPr>
        <w:commentReference w:id="17"/>
      </w:r>
      <w:commentRangeEnd w:id="18"/>
      <w:r w:rsidR="00796327">
        <w:rPr>
          <w:rStyle w:val="CommentReference"/>
        </w:rPr>
        <w:commentReference w:id="18"/>
      </w:r>
      <w:r w:rsidR="00EE5978" w:rsidRPr="004B42F4">
        <w:t xml:space="preserve"> in </w:t>
      </w:r>
      <w:r w:rsidR="00796327">
        <w:t xml:space="preserve">delivering </w:t>
      </w:r>
      <w:r w:rsidR="00EE5978" w:rsidRPr="004B42F4">
        <w:t>student learning [</w:t>
      </w:r>
      <w:r w:rsidR="004B42F4">
        <w:t>25</w:t>
      </w:r>
      <w:r w:rsidR="00EE5978" w:rsidRPr="004B42F4">
        <w:t>]</w:t>
      </w:r>
      <w:r w:rsidRPr="004B42F4">
        <w:t>. Knowledge retention following conventional teaching often</w:t>
      </w:r>
      <w:r w:rsidR="00EE5978" w:rsidRPr="004B42F4">
        <w:t xml:space="preserve"> decays at an undesirable rate [</w:t>
      </w:r>
      <w:r w:rsidR="006C173B">
        <w:t xml:space="preserve">25, </w:t>
      </w:r>
      <w:r w:rsidR="004B42F4">
        <w:t>26</w:t>
      </w:r>
      <w:r w:rsidR="00EE5978" w:rsidRPr="004B42F4">
        <w:t>]</w:t>
      </w:r>
      <w:r w:rsidRPr="004B42F4">
        <w:t xml:space="preserve">. </w:t>
      </w:r>
      <w:r w:rsidR="00D8257A" w:rsidRPr="004B42F4">
        <w:t>P</w:t>
      </w:r>
      <w:r w:rsidRPr="004B42F4">
        <w:t xml:space="preserve">ost-teaching testing is a valuable way to </w:t>
      </w:r>
      <w:r w:rsidR="00CD2FD5" w:rsidRPr="004B42F4">
        <w:t xml:space="preserve">improve retention of knowledge </w:t>
      </w:r>
      <w:r w:rsidRPr="004B42F4">
        <w:t>as it has been sh</w:t>
      </w:r>
      <w:r w:rsidR="00FE1AA9" w:rsidRPr="004B42F4">
        <w:t>own to slow decay of knowledge</w:t>
      </w:r>
      <w:r w:rsidR="00390596">
        <w:t>[27]</w:t>
      </w:r>
      <w:r w:rsidR="002928B2">
        <w:t>, and ARS may yet be shown to be a useful mechanism for this</w:t>
      </w:r>
      <w:r w:rsidRPr="004B42F4">
        <w:t>.</w:t>
      </w:r>
      <w:r w:rsidR="004B42F4">
        <w:t xml:space="preserve"> Furthermore, t</w:t>
      </w:r>
      <w:r>
        <w:t xml:space="preserve">he use of technologies such as ARS within teaching sessions could create what </w:t>
      </w:r>
      <w:r w:rsidR="00DC289D">
        <w:t>are</w:t>
      </w:r>
      <w:r>
        <w:t xml:space="preserve"> known as </w:t>
      </w:r>
      <w:r w:rsidR="003B6242">
        <w:t xml:space="preserve">a </w:t>
      </w:r>
      <w:r>
        <w:t>“learning landmark” exercise</w:t>
      </w:r>
      <w:r w:rsidR="00DC289D">
        <w:t>s</w:t>
      </w:r>
      <w:r>
        <w:t xml:space="preserve"> [</w:t>
      </w:r>
      <w:r w:rsidR="004B42F4">
        <w:t>2</w:t>
      </w:r>
      <w:r w:rsidR="006C173B">
        <w:t>8</w:t>
      </w:r>
      <w:r>
        <w:t xml:space="preserve">]. </w:t>
      </w:r>
      <w:r w:rsidR="00DC289D">
        <w:t>These</w:t>
      </w:r>
      <w:r>
        <w:t xml:space="preserve"> are vivid experiences which are memorable in themselves and which then provide access to the educational content associated with</w:t>
      </w:r>
      <w:r w:rsidR="00DC289D">
        <w:t xml:space="preserve"> that memory</w:t>
      </w:r>
      <w:commentRangeStart w:id="19"/>
      <w:r w:rsidR="00DC289D">
        <w:rPr>
          <w:rStyle w:val="CommentReference"/>
        </w:rPr>
        <w:commentReference w:id="20"/>
      </w:r>
      <w:commentRangeEnd w:id="19"/>
      <w:r w:rsidR="00390596">
        <w:rPr>
          <w:rStyle w:val="CommentReference"/>
        </w:rPr>
        <w:commentReference w:id="19"/>
      </w:r>
      <w:r w:rsidR="004D3E8F">
        <w:t>. O</w:t>
      </w:r>
      <w:r>
        <w:t>ther examples include the use of virtual reality software in teaching</w:t>
      </w:r>
      <w:r w:rsidR="00DC289D">
        <w:t>,</w:t>
      </w:r>
      <w:r>
        <w:t xml:space="preserve"> or body pa</w:t>
      </w:r>
      <w:r w:rsidR="007743B5">
        <w:t>inting within an anatomy class [</w:t>
      </w:r>
      <w:r w:rsidR="006C173B">
        <w:t>28, 29</w:t>
      </w:r>
      <w:r w:rsidR="007743B5">
        <w:t>]</w:t>
      </w:r>
      <w:r>
        <w:t xml:space="preserve">. </w:t>
      </w:r>
    </w:p>
    <w:p w14:paraId="5FFBCB48" w14:textId="77777777" w:rsidR="00A02122" w:rsidRDefault="00A02122" w:rsidP="00B45098">
      <w:pPr>
        <w:spacing w:line="480" w:lineRule="auto"/>
        <w:jc w:val="both"/>
      </w:pPr>
    </w:p>
    <w:p w14:paraId="59B27786" w14:textId="2AA358B0" w:rsidR="00A02122" w:rsidRPr="00F804A3" w:rsidRDefault="00A02122" w:rsidP="00B45098">
      <w:pPr>
        <w:spacing w:line="480" w:lineRule="auto"/>
        <w:jc w:val="both"/>
        <w:rPr>
          <w:i/>
        </w:rPr>
      </w:pPr>
      <w:r w:rsidRPr="00F804A3">
        <w:rPr>
          <w:i/>
        </w:rPr>
        <w:t>Conclusions</w:t>
      </w:r>
    </w:p>
    <w:p w14:paraId="578E16CD" w14:textId="77777777" w:rsidR="00D8257A" w:rsidRDefault="00D8257A" w:rsidP="00B45098">
      <w:pPr>
        <w:spacing w:line="480" w:lineRule="auto"/>
        <w:jc w:val="both"/>
      </w:pPr>
    </w:p>
    <w:p w14:paraId="2EA03EE0" w14:textId="306C3BD2" w:rsidR="00A02122" w:rsidRDefault="00A02122" w:rsidP="00B45098">
      <w:pPr>
        <w:spacing w:line="480" w:lineRule="auto"/>
        <w:jc w:val="both"/>
      </w:pPr>
      <w:r>
        <w:t xml:space="preserve">In conclusion, our study found that ARS use </w:t>
      </w:r>
      <w:r w:rsidR="005849E8">
        <w:t xml:space="preserve">in a single lecture </w:t>
      </w:r>
      <w:r w:rsidR="00E4131B">
        <w:t xml:space="preserve">improved </w:t>
      </w:r>
      <w:r w:rsidR="004B42F4">
        <w:t xml:space="preserve">objective </w:t>
      </w:r>
      <w:r w:rsidR="00E4131B">
        <w:t>short-term</w:t>
      </w:r>
      <w:r w:rsidR="004B42F4">
        <w:t xml:space="preserve"> anatomical knowledge</w:t>
      </w:r>
      <w:r w:rsidR="00E4131B">
        <w:t xml:space="preserve">, but </w:t>
      </w:r>
      <w:r>
        <w:t>did not improve long-term knowledge retention</w:t>
      </w:r>
      <w:r w:rsidR="004D3E8F">
        <w:t>,</w:t>
      </w:r>
      <w:r>
        <w:t xml:space="preserve"> when integrated into a traditional one</w:t>
      </w:r>
      <w:r w:rsidR="00417E23">
        <w:t>-</w:t>
      </w:r>
      <w:r>
        <w:t xml:space="preserve">hour lecture format.  Moreover, although students perceived ARS use to improve their learning experience, it did not improve self-perceived knowledge, nor subjective subject confidence. </w:t>
      </w:r>
      <w:r w:rsidR="005849E8">
        <w:t xml:space="preserve">However, </w:t>
      </w:r>
      <w:r w:rsidR="00A325D6">
        <w:t>ARS</w:t>
      </w:r>
      <w:r w:rsidR="005849E8">
        <w:t>s</w:t>
      </w:r>
      <w:r w:rsidR="00A325D6">
        <w:t xml:space="preserve"> </w:t>
      </w:r>
      <w:r w:rsidR="005849E8">
        <w:t>have good theoretical</w:t>
      </w:r>
      <w:r w:rsidR="00A325D6">
        <w:t xml:space="preserve"> potential to improve the effectiveness of anatomy teaching </w:t>
      </w:r>
      <w:r w:rsidR="005849E8">
        <w:t xml:space="preserve">and given the encouraging results of short-term knowledge </w:t>
      </w:r>
      <w:r w:rsidR="005849E8">
        <w:lastRenderedPageBreak/>
        <w:t>improvement we recommend further investigation of their use, including deployment in a more longitudinal fashion.</w:t>
      </w:r>
      <w:r>
        <w:t xml:space="preserve"> </w:t>
      </w:r>
    </w:p>
    <w:p w14:paraId="5498E021" w14:textId="77777777" w:rsidR="00A02122" w:rsidRDefault="00A02122" w:rsidP="00B45098">
      <w:pPr>
        <w:spacing w:line="480" w:lineRule="auto"/>
        <w:jc w:val="both"/>
      </w:pPr>
    </w:p>
    <w:p w14:paraId="0A27A9E1" w14:textId="77777777" w:rsidR="00923C90" w:rsidRDefault="00923C90" w:rsidP="00B45098">
      <w:pPr>
        <w:spacing w:line="480" w:lineRule="auto"/>
        <w:jc w:val="both"/>
        <w:rPr>
          <w:b/>
        </w:rPr>
      </w:pPr>
    </w:p>
    <w:p w14:paraId="04475E75" w14:textId="77777777" w:rsidR="00A02122" w:rsidRDefault="00A02122" w:rsidP="00B45098">
      <w:pPr>
        <w:spacing w:line="480" w:lineRule="auto"/>
        <w:jc w:val="both"/>
      </w:pPr>
      <w:r w:rsidRPr="0027569A">
        <w:rPr>
          <w:b/>
        </w:rPr>
        <w:t>Acknowledgements</w:t>
      </w:r>
    </w:p>
    <w:p w14:paraId="40FF576A" w14:textId="77777777" w:rsidR="00A02122" w:rsidRDefault="00A02122" w:rsidP="00B45098">
      <w:pPr>
        <w:spacing w:line="480" w:lineRule="auto"/>
        <w:jc w:val="both"/>
      </w:pPr>
      <w:r>
        <w:t xml:space="preserve">The authors would like to thank academic and technical colleagues at the University of Edinburgh for helpful discussions regarding study design and data interpretation, and for assisting with setting up the technology required for the ARS lectures. </w:t>
      </w:r>
    </w:p>
    <w:p w14:paraId="1EC95E18" w14:textId="77777777" w:rsidR="00A02122" w:rsidRDefault="00A02122" w:rsidP="00B45098">
      <w:pPr>
        <w:spacing w:line="480" w:lineRule="auto"/>
        <w:jc w:val="both"/>
      </w:pPr>
    </w:p>
    <w:p w14:paraId="2E2B775E" w14:textId="77777777" w:rsidR="00A02122" w:rsidRDefault="00A02122" w:rsidP="00B45098">
      <w:pPr>
        <w:spacing w:line="480" w:lineRule="auto"/>
      </w:pPr>
    </w:p>
    <w:p w14:paraId="548F10E9" w14:textId="77777777" w:rsidR="00A02122" w:rsidRDefault="00A02122" w:rsidP="00B45098">
      <w:pPr>
        <w:spacing w:line="480" w:lineRule="auto"/>
      </w:pPr>
      <w:r>
        <w:t> </w:t>
      </w:r>
    </w:p>
    <w:p w14:paraId="7A8D0A8B" w14:textId="77777777" w:rsidR="0027569A" w:rsidRDefault="0027569A" w:rsidP="00B45098">
      <w:pPr>
        <w:spacing w:line="480" w:lineRule="auto"/>
      </w:pPr>
      <w:r>
        <w:br w:type="page"/>
      </w:r>
    </w:p>
    <w:p w14:paraId="0F88AA97" w14:textId="7B88D431" w:rsidR="00A02122" w:rsidRDefault="00A02122" w:rsidP="00B45098">
      <w:pPr>
        <w:spacing w:line="480" w:lineRule="auto"/>
        <w:jc w:val="both"/>
        <w:rPr>
          <w:b/>
        </w:rPr>
      </w:pPr>
      <w:r w:rsidRPr="0027569A">
        <w:rPr>
          <w:b/>
        </w:rPr>
        <w:lastRenderedPageBreak/>
        <w:t>References</w:t>
      </w:r>
    </w:p>
    <w:p w14:paraId="4B414779" w14:textId="77777777" w:rsidR="002D5F7A" w:rsidRDefault="002D5F7A" w:rsidP="00B45098">
      <w:pPr>
        <w:spacing w:line="480" w:lineRule="auto"/>
        <w:jc w:val="both"/>
      </w:pPr>
    </w:p>
    <w:p w14:paraId="09052492" w14:textId="24AC7E94" w:rsidR="00A02122" w:rsidRDefault="00A02122" w:rsidP="00B45098">
      <w:pPr>
        <w:spacing w:line="480" w:lineRule="auto"/>
        <w:jc w:val="both"/>
      </w:pPr>
      <w:r>
        <w:t xml:space="preserve">1. </w:t>
      </w:r>
      <w:r>
        <w:tab/>
        <w:t>Draper SW, Brown MI. Increasing interactivity in lectures using an electronic voting system. J</w:t>
      </w:r>
      <w:r w:rsidR="003B1902">
        <w:t xml:space="preserve"> </w:t>
      </w:r>
      <w:proofErr w:type="spellStart"/>
      <w:r w:rsidR="003B1902">
        <w:t>Comput</w:t>
      </w:r>
      <w:proofErr w:type="spellEnd"/>
      <w:r w:rsidR="003B1902">
        <w:t xml:space="preserve"> Assist Learn. 2004;20 </w:t>
      </w:r>
      <w:r>
        <w:t xml:space="preserve">:81–94. </w:t>
      </w:r>
    </w:p>
    <w:p w14:paraId="2558B3FB" w14:textId="4F00B6C3" w:rsidR="00A02122" w:rsidRDefault="00A02122" w:rsidP="00B45098">
      <w:pPr>
        <w:spacing w:line="480" w:lineRule="auto"/>
        <w:jc w:val="both"/>
      </w:pPr>
      <w:r>
        <w:t xml:space="preserve">2. </w:t>
      </w:r>
      <w:r>
        <w:tab/>
        <w:t xml:space="preserve">Doucet M, </w:t>
      </w:r>
      <w:proofErr w:type="spellStart"/>
      <w:r>
        <w:t>Vrins</w:t>
      </w:r>
      <w:proofErr w:type="spellEnd"/>
      <w:r>
        <w:t xml:space="preserve"> A, Harvey D. Effect of using an audience response system on learning environment, motivation and long-term retention, during case-discussions in a large group of undergraduate veterinary clinical pharmacolo</w:t>
      </w:r>
      <w:r w:rsidR="005E0B15">
        <w:t>gy students. Med Teach. 2009;31</w:t>
      </w:r>
      <w:r>
        <w:t>:</w:t>
      </w:r>
      <w:r w:rsidR="005E0B15">
        <w:t xml:space="preserve"> </w:t>
      </w:r>
      <w:r>
        <w:t xml:space="preserve">e570–9. </w:t>
      </w:r>
    </w:p>
    <w:p w14:paraId="56FD6DD6" w14:textId="55397C7E" w:rsidR="00A02122" w:rsidRDefault="00A02122" w:rsidP="00B45098">
      <w:pPr>
        <w:spacing w:line="480" w:lineRule="auto"/>
        <w:jc w:val="both"/>
      </w:pPr>
      <w:r>
        <w:t xml:space="preserve">3. </w:t>
      </w:r>
      <w:r>
        <w:tab/>
        <w:t>Steinert Y, Snell LS. Interactive lecturing: strategies for increasing participation in large group pres</w:t>
      </w:r>
      <w:r w:rsidR="00451A1E">
        <w:t>entations. Med Teach. 1999;21</w:t>
      </w:r>
      <w:r>
        <w:t>:</w:t>
      </w:r>
      <w:r w:rsidR="00451A1E">
        <w:t xml:space="preserve"> </w:t>
      </w:r>
      <w:r>
        <w:t xml:space="preserve">37–42. </w:t>
      </w:r>
    </w:p>
    <w:p w14:paraId="536B99C9" w14:textId="23ECB4B4" w:rsidR="00A02122" w:rsidRDefault="00A02122" w:rsidP="00B45098">
      <w:pPr>
        <w:spacing w:line="480" w:lineRule="auto"/>
        <w:jc w:val="both"/>
      </w:pPr>
      <w:r>
        <w:t xml:space="preserve">4. </w:t>
      </w:r>
      <w:r>
        <w:tab/>
        <w:t xml:space="preserve">Nayak L, </w:t>
      </w:r>
      <w:proofErr w:type="spellStart"/>
      <w:r>
        <w:t>Erinjeri</w:t>
      </w:r>
      <w:proofErr w:type="spellEnd"/>
      <w:r>
        <w:t xml:space="preserve"> JP. Audience response systems in medical student education benefit learners and pre</w:t>
      </w:r>
      <w:r w:rsidR="00474D6F">
        <w:t xml:space="preserve">senters. </w:t>
      </w:r>
      <w:proofErr w:type="spellStart"/>
      <w:r w:rsidR="00474D6F">
        <w:t>Acad</w:t>
      </w:r>
      <w:proofErr w:type="spellEnd"/>
      <w:r w:rsidR="00474D6F">
        <w:t xml:space="preserve"> </w:t>
      </w:r>
      <w:proofErr w:type="spellStart"/>
      <w:r w:rsidR="00474D6F">
        <w:t>Radiol</w:t>
      </w:r>
      <w:proofErr w:type="spellEnd"/>
      <w:r w:rsidR="00474D6F">
        <w:t>. 2008;15</w:t>
      </w:r>
      <w:r>
        <w:t>:</w:t>
      </w:r>
      <w:r w:rsidR="00474D6F">
        <w:t xml:space="preserve"> </w:t>
      </w:r>
      <w:r>
        <w:t xml:space="preserve">383–9. </w:t>
      </w:r>
    </w:p>
    <w:p w14:paraId="61F79533" w14:textId="43612BDF" w:rsidR="00A02122" w:rsidRDefault="00A02122" w:rsidP="00B45098">
      <w:pPr>
        <w:spacing w:line="480" w:lineRule="auto"/>
        <w:jc w:val="both"/>
      </w:pPr>
      <w:r>
        <w:t xml:space="preserve">5. </w:t>
      </w:r>
      <w:r>
        <w:tab/>
      </w:r>
      <w:proofErr w:type="spellStart"/>
      <w:r>
        <w:t>Guse</w:t>
      </w:r>
      <w:proofErr w:type="spellEnd"/>
      <w:r>
        <w:t xml:space="preserve"> DM, </w:t>
      </w:r>
      <w:proofErr w:type="spellStart"/>
      <w:r>
        <w:t>Zobitz</w:t>
      </w:r>
      <w:proofErr w:type="spellEnd"/>
      <w:r>
        <w:t xml:space="preserve"> PM. Validation of the audience response system. Br </w:t>
      </w:r>
      <w:r w:rsidR="0032409C">
        <w:t xml:space="preserve">J </w:t>
      </w:r>
      <w:proofErr w:type="spellStart"/>
      <w:r w:rsidR="0032409C">
        <w:t>Educ</w:t>
      </w:r>
      <w:proofErr w:type="spellEnd"/>
      <w:r w:rsidR="0032409C">
        <w:t xml:space="preserve"> Technol. 2011 Nov 1;42</w:t>
      </w:r>
      <w:r>
        <w:t>:</w:t>
      </w:r>
      <w:r w:rsidR="0032409C">
        <w:t xml:space="preserve"> </w:t>
      </w:r>
      <w:r>
        <w:t xml:space="preserve">985–91. </w:t>
      </w:r>
    </w:p>
    <w:p w14:paraId="7223B5EB" w14:textId="318C5F2E" w:rsidR="00A02122" w:rsidRDefault="00A02122" w:rsidP="00B45098">
      <w:pPr>
        <w:spacing w:line="480" w:lineRule="auto"/>
        <w:jc w:val="both"/>
      </w:pPr>
      <w:r>
        <w:t xml:space="preserve">6. </w:t>
      </w:r>
      <w:r>
        <w:tab/>
        <w:t xml:space="preserve">Chaudhry MA. Assessment of Microbiology Students’ Progress With an Audience Response System. J </w:t>
      </w:r>
      <w:proofErr w:type="spellStart"/>
      <w:r>
        <w:t>Microbiol</w:t>
      </w:r>
      <w:proofErr w:type="spellEnd"/>
      <w:r>
        <w:t xml:space="preserve"> </w:t>
      </w:r>
      <w:proofErr w:type="spellStart"/>
      <w:r>
        <w:t>Biol</w:t>
      </w:r>
      <w:proofErr w:type="spellEnd"/>
      <w:r>
        <w:t xml:space="preserve"> Educ</w:t>
      </w:r>
      <w:r w:rsidR="00433B44">
        <w:t>. 2011;12</w:t>
      </w:r>
      <w:r>
        <w:t>:</w:t>
      </w:r>
      <w:r w:rsidR="00433B44">
        <w:t xml:space="preserve"> </w:t>
      </w:r>
      <w:r>
        <w:t xml:space="preserve">200–1. </w:t>
      </w:r>
    </w:p>
    <w:p w14:paraId="5F06E3E4" w14:textId="3CB0768B" w:rsidR="00A02122" w:rsidRDefault="00A02122" w:rsidP="00B45098">
      <w:pPr>
        <w:spacing w:line="480" w:lineRule="auto"/>
        <w:jc w:val="both"/>
      </w:pPr>
      <w:r>
        <w:t xml:space="preserve">7. </w:t>
      </w:r>
      <w:r>
        <w:tab/>
      </w:r>
      <w:proofErr w:type="spellStart"/>
      <w:r>
        <w:t>Heaslip</w:t>
      </w:r>
      <w:proofErr w:type="spellEnd"/>
      <w:r>
        <w:t xml:space="preserve"> G, Donovan P, Cullen JG. Student response systems and learner engagement in large classes.</w:t>
      </w:r>
      <w:r w:rsidR="00B950E8">
        <w:t xml:space="preserve"> Act Learn High Educ. 2014;15</w:t>
      </w:r>
      <w:r>
        <w:t>:</w:t>
      </w:r>
      <w:r w:rsidR="00B950E8">
        <w:t xml:space="preserve"> </w:t>
      </w:r>
      <w:r>
        <w:t xml:space="preserve">11–24. </w:t>
      </w:r>
    </w:p>
    <w:p w14:paraId="266194D8" w14:textId="64A0FB64" w:rsidR="00A02122" w:rsidRDefault="00A02122" w:rsidP="00B45098">
      <w:pPr>
        <w:spacing w:line="480" w:lineRule="auto"/>
        <w:jc w:val="both"/>
      </w:pPr>
      <w:r>
        <w:t xml:space="preserve">8. </w:t>
      </w:r>
      <w:r>
        <w:tab/>
        <w:t xml:space="preserve">Abate LE, Gomes A, Linton A. Engaging students in active learning: Use of a blog and audience response system. Med </w:t>
      </w:r>
      <w:r w:rsidR="00767A37">
        <w:t xml:space="preserve">Ref </w:t>
      </w:r>
      <w:proofErr w:type="spellStart"/>
      <w:r w:rsidR="00767A37">
        <w:t>Serv</w:t>
      </w:r>
      <w:proofErr w:type="spellEnd"/>
      <w:r w:rsidR="00767A37">
        <w:t xml:space="preserve"> Q. 2011;30</w:t>
      </w:r>
      <w:r>
        <w:t>:</w:t>
      </w:r>
      <w:r w:rsidR="00767A37">
        <w:t xml:space="preserve"> </w:t>
      </w:r>
      <w:r>
        <w:t xml:space="preserve">12–8. </w:t>
      </w:r>
    </w:p>
    <w:p w14:paraId="0897F558" w14:textId="2A0FA17D" w:rsidR="00A02122" w:rsidRDefault="00A02122" w:rsidP="00B45098">
      <w:pPr>
        <w:spacing w:line="480" w:lineRule="auto"/>
        <w:jc w:val="both"/>
      </w:pPr>
      <w:r>
        <w:t xml:space="preserve">9. </w:t>
      </w:r>
      <w:r>
        <w:tab/>
        <w:t xml:space="preserve">Turban JW. Students Prefer Audience Response System for Lecture Evaluation. </w:t>
      </w:r>
      <w:proofErr w:type="spellStart"/>
      <w:r>
        <w:t>Int</w:t>
      </w:r>
      <w:proofErr w:type="spellEnd"/>
      <w:r>
        <w:t xml:space="preserve"> J </w:t>
      </w:r>
      <w:proofErr w:type="spellStart"/>
      <w:r>
        <w:t>Emerg</w:t>
      </w:r>
      <w:proofErr w:type="spellEnd"/>
      <w:r>
        <w:t xml:space="preserve"> Technol Learn IJET [Internet]. 2011</w:t>
      </w:r>
      <w:r w:rsidR="004B7D78">
        <w:t>;6</w:t>
      </w:r>
      <w:r>
        <w:t>. Available from: http://online-journals.org/i-jet/article/view/1743</w:t>
      </w:r>
    </w:p>
    <w:p w14:paraId="48ABE066" w14:textId="458D6492" w:rsidR="00A02122" w:rsidRDefault="00A02122" w:rsidP="00B45098">
      <w:pPr>
        <w:spacing w:line="480" w:lineRule="auto"/>
        <w:jc w:val="both"/>
      </w:pPr>
      <w:r>
        <w:lastRenderedPageBreak/>
        <w:t xml:space="preserve">10. </w:t>
      </w:r>
      <w:r>
        <w:tab/>
      </w:r>
      <w:proofErr w:type="spellStart"/>
      <w:r>
        <w:t>Preszler</w:t>
      </w:r>
      <w:proofErr w:type="spellEnd"/>
      <w:r>
        <w:t xml:space="preserve"> RW, Dawe A, Shuster CB, Shuster M. Assessment of the Effects of Student Response Systems on Student Learning and Attitudes over a Broad Range of Biology Courses</w:t>
      </w:r>
      <w:r w:rsidR="002B2926">
        <w:t>. CBE-Life Sci Educ. 2007;6</w:t>
      </w:r>
      <w:r>
        <w:t>:</w:t>
      </w:r>
      <w:r w:rsidR="002B2926">
        <w:t xml:space="preserve"> </w:t>
      </w:r>
      <w:r>
        <w:t xml:space="preserve">29–41. </w:t>
      </w:r>
    </w:p>
    <w:p w14:paraId="04CC8213" w14:textId="71978F99" w:rsidR="00A02122" w:rsidRDefault="00A02122" w:rsidP="00B45098">
      <w:pPr>
        <w:spacing w:line="480" w:lineRule="auto"/>
        <w:jc w:val="both"/>
      </w:pPr>
      <w:r>
        <w:t xml:space="preserve">11. </w:t>
      </w:r>
      <w:r>
        <w:tab/>
        <w:t>Caldwell JE. Clickers in the Large Classroom: Current Research and Best-Practice Tips</w:t>
      </w:r>
      <w:r w:rsidR="002D3307">
        <w:t>. CBE-Life Sci Educ. 2007;6</w:t>
      </w:r>
      <w:r>
        <w:t>:</w:t>
      </w:r>
      <w:r w:rsidR="002D3307">
        <w:t xml:space="preserve"> </w:t>
      </w:r>
      <w:r>
        <w:t xml:space="preserve">9–20. </w:t>
      </w:r>
    </w:p>
    <w:p w14:paraId="34A6BE49" w14:textId="793C5073" w:rsidR="00A02122" w:rsidRDefault="00A02122" w:rsidP="00B45098">
      <w:pPr>
        <w:spacing w:line="480" w:lineRule="auto"/>
        <w:jc w:val="both"/>
      </w:pPr>
      <w:r>
        <w:t xml:space="preserve">12. </w:t>
      </w:r>
      <w:r>
        <w:tab/>
        <w:t>Crouch CH, Mazur E. Peer Instruction: Ten years of experience an</w:t>
      </w:r>
      <w:r w:rsidR="0046031A">
        <w:t>d results. Am J Phys. 2001;69</w:t>
      </w:r>
      <w:r>
        <w:t>:</w:t>
      </w:r>
      <w:r w:rsidR="0046031A">
        <w:t xml:space="preserve"> </w:t>
      </w:r>
      <w:r>
        <w:t xml:space="preserve">970. </w:t>
      </w:r>
    </w:p>
    <w:p w14:paraId="7BDED6E0" w14:textId="4DA0291A" w:rsidR="00A02122" w:rsidRDefault="00A02122" w:rsidP="00B45098">
      <w:pPr>
        <w:spacing w:line="480" w:lineRule="auto"/>
        <w:jc w:val="both"/>
      </w:pPr>
      <w:r>
        <w:t xml:space="preserve">13. </w:t>
      </w:r>
      <w:r>
        <w:tab/>
        <w:t xml:space="preserve">Miller RG, </w:t>
      </w:r>
      <w:proofErr w:type="spellStart"/>
      <w:r>
        <w:t>Ashar</w:t>
      </w:r>
      <w:proofErr w:type="spellEnd"/>
      <w:r>
        <w:t xml:space="preserve"> BH, Getz KJ. Evaluation of an audience response system for the continuing education of health professionals. J </w:t>
      </w:r>
      <w:proofErr w:type="spellStart"/>
      <w:r>
        <w:t>Con</w:t>
      </w:r>
      <w:r w:rsidR="00B3443D">
        <w:t>tin</w:t>
      </w:r>
      <w:proofErr w:type="spellEnd"/>
      <w:r w:rsidR="00B3443D">
        <w:t xml:space="preserve"> </w:t>
      </w:r>
      <w:proofErr w:type="spellStart"/>
      <w:r w:rsidR="00B3443D">
        <w:t>Educ</w:t>
      </w:r>
      <w:proofErr w:type="spellEnd"/>
      <w:r w:rsidR="00B3443D">
        <w:t xml:space="preserve"> Health Prof. 2003;23</w:t>
      </w:r>
      <w:r>
        <w:t>:</w:t>
      </w:r>
      <w:r w:rsidR="00B3443D">
        <w:t xml:space="preserve"> </w:t>
      </w:r>
      <w:r>
        <w:t xml:space="preserve">109–15. </w:t>
      </w:r>
    </w:p>
    <w:p w14:paraId="2EE63FD8" w14:textId="41305DD6" w:rsidR="00A02122" w:rsidRDefault="00A02122" w:rsidP="00B45098">
      <w:pPr>
        <w:spacing w:line="480" w:lineRule="auto"/>
        <w:jc w:val="both"/>
      </w:pPr>
      <w:r>
        <w:t xml:space="preserve">14. </w:t>
      </w:r>
      <w:r>
        <w:tab/>
        <w:t>Kirkwood A, Price L. Technology-enhanced learning and teaching in higher education: what is ‘enhanced’ and how do we know? A critical literature review.</w:t>
      </w:r>
      <w:r w:rsidR="00AB1EB0">
        <w:t xml:space="preserve"> Learn Media Technol. 2014;39</w:t>
      </w:r>
      <w:r>
        <w:t>:</w:t>
      </w:r>
      <w:r w:rsidR="00AB1EB0">
        <w:t xml:space="preserve"> </w:t>
      </w:r>
      <w:r>
        <w:t xml:space="preserve">6–36. </w:t>
      </w:r>
    </w:p>
    <w:p w14:paraId="522C0DAC" w14:textId="4F3F543E" w:rsidR="00A02122" w:rsidRDefault="00A02122" w:rsidP="00B45098">
      <w:pPr>
        <w:spacing w:line="480" w:lineRule="auto"/>
        <w:jc w:val="both"/>
      </w:pPr>
      <w:r>
        <w:t xml:space="preserve">15. </w:t>
      </w:r>
      <w:r>
        <w:tab/>
        <w:t>Nelson C, Hartling L, Campbell S, Oswald AE. The effects of audience response systems on learning outcomes in health professions education. A BEME systematic review: BEME Gui</w:t>
      </w:r>
      <w:r w:rsidR="0034304C">
        <w:t>de No. 21. Med Teach. 2012;34</w:t>
      </w:r>
      <w:r>
        <w:t>:</w:t>
      </w:r>
      <w:r w:rsidR="0034304C">
        <w:t xml:space="preserve"> </w:t>
      </w:r>
      <w:r>
        <w:t xml:space="preserve">e386–405. </w:t>
      </w:r>
    </w:p>
    <w:p w14:paraId="005B360B" w14:textId="4BC066D3" w:rsidR="002D5F7A" w:rsidRDefault="002D5F7A" w:rsidP="002D5F7A">
      <w:pPr>
        <w:spacing w:line="480" w:lineRule="auto"/>
        <w:jc w:val="both"/>
      </w:pPr>
      <w:r>
        <w:t>16.</w:t>
      </w:r>
      <w:r w:rsidR="008A28B8">
        <w:tab/>
      </w:r>
      <w:proofErr w:type="spellStart"/>
      <w:r>
        <w:t>Mastoridis</w:t>
      </w:r>
      <w:proofErr w:type="spellEnd"/>
      <w:r>
        <w:t xml:space="preserve"> S, </w:t>
      </w:r>
      <w:proofErr w:type="spellStart"/>
      <w:r>
        <w:t>Kladidis</w:t>
      </w:r>
      <w:proofErr w:type="spellEnd"/>
      <w:r>
        <w:t xml:space="preserve"> S. Coming soon to a lecture theatre near you: the ‘clicker’. Clinical Teacher. 2010;7: 97–101.</w:t>
      </w:r>
    </w:p>
    <w:p w14:paraId="2F440374" w14:textId="39B47ECA" w:rsidR="00A02122" w:rsidRDefault="00A55164" w:rsidP="00B45098">
      <w:pPr>
        <w:spacing w:line="480" w:lineRule="auto"/>
        <w:jc w:val="both"/>
      </w:pPr>
      <w:r>
        <w:t>17</w:t>
      </w:r>
      <w:r w:rsidR="00A02122">
        <w:t xml:space="preserve">. </w:t>
      </w:r>
      <w:r w:rsidR="00A02122">
        <w:tab/>
        <w:t xml:space="preserve">Alexander CJ, </w:t>
      </w:r>
      <w:proofErr w:type="spellStart"/>
      <w:r w:rsidR="00A02122">
        <w:t>Crescini</w:t>
      </w:r>
      <w:proofErr w:type="spellEnd"/>
      <w:r w:rsidR="00A02122">
        <w:t xml:space="preserve"> WM, </w:t>
      </w:r>
      <w:proofErr w:type="spellStart"/>
      <w:r w:rsidR="00A02122">
        <w:t>Juskewitch</w:t>
      </w:r>
      <w:proofErr w:type="spellEnd"/>
      <w:r w:rsidR="00A02122">
        <w:t xml:space="preserve"> JE, Lachman N, </w:t>
      </w:r>
      <w:proofErr w:type="spellStart"/>
      <w:r w:rsidR="00A02122">
        <w:t>Pawlina</w:t>
      </w:r>
      <w:proofErr w:type="spellEnd"/>
      <w:r w:rsidR="00A02122">
        <w:t xml:space="preserve"> W. Assessing the integration of audience response system technology in teaching of anatomical sc</w:t>
      </w:r>
      <w:r w:rsidR="00301F2A">
        <w:t xml:space="preserve">iences. </w:t>
      </w:r>
      <w:proofErr w:type="spellStart"/>
      <w:r w:rsidR="00301F2A">
        <w:t>Anat</w:t>
      </w:r>
      <w:proofErr w:type="spellEnd"/>
      <w:r w:rsidR="00301F2A">
        <w:t xml:space="preserve"> Sci Educ. 2009;2</w:t>
      </w:r>
      <w:r w:rsidR="00A02122">
        <w:t>:</w:t>
      </w:r>
      <w:r w:rsidR="00301F2A">
        <w:t xml:space="preserve"> </w:t>
      </w:r>
      <w:r w:rsidR="00A02122">
        <w:t xml:space="preserve">160–6. </w:t>
      </w:r>
    </w:p>
    <w:p w14:paraId="5F45542D" w14:textId="5C70DB2E" w:rsidR="00A02122" w:rsidRDefault="00A55164" w:rsidP="00B45098">
      <w:pPr>
        <w:spacing w:line="480" w:lineRule="auto"/>
        <w:jc w:val="both"/>
      </w:pPr>
      <w:r>
        <w:t>18</w:t>
      </w:r>
      <w:r w:rsidR="00A02122">
        <w:t xml:space="preserve">. </w:t>
      </w:r>
      <w:r w:rsidR="00A02122">
        <w:tab/>
        <w:t>Border S, Walker F, Smith C. Are zappers a way of improving anatomy educat</w:t>
      </w:r>
      <w:r w:rsidR="00B62776">
        <w:t xml:space="preserve">ion? </w:t>
      </w:r>
      <w:proofErr w:type="spellStart"/>
      <w:r w:rsidR="00B62776">
        <w:t>Clin</w:t>
      </w:r>
      <w:proofErr w:type="spellEnd"/>
      <w:r w:rsidR="00B62776">
        <w:t xml:space="preserve"> Anat. 2009 Apr 1;22</w:t>
      </w:r>
      <w:r w:rsidR="00A02122">
        <w:t>:</w:t>
      </w:r>
      <w:r w:rsidR="00B62776">
        <w:t xml:space="preserve"> </w:t>
      </w:r>
      <w:r w:rsidR="00A02122">
        <w:t xml:space="preserve">410–6. </w:t>
      </w:r>
    </w:p>
    <w:p w14:paraId="206F03D6" w14:textId="234A7D0F" w:rsidR="00133BB5" w:rsidRDefault="00133BB5" w:rsidP="00B45098">
      <w:pPr>
        <w:spacing w:line="480" w:lineRule="auto"/>
        <w:jc w:val="both"/>
      </w:pPr>
      <w:r>
        <w:lastRenderedPageBreak/>
        <w:t>19.</w:t>
      </w:r>
      <w:r>
        <w:tab/>
      </w:r>
      <w:proofErr w:type="spellStart"/>
      <w:r w:rsidRPr="00133BB5">
        <w:t>Elashvili</w:t>
      </w:r>
      <w:proofErr w:type="spellEnd"/>
      <w:r w:rsidRPr="00133BB5">
        <w:t xml:space="preserve"> A, </w:t>
      </w:r>
      <w:proofErr w:type="spellStart"/>
      <w:r w:rsidRPr="00133BB5">
        <w:t>Denehy</w:t>
      </w:r>
      <w:proofErr w:type="spellEnd"/>
      <w:r w:rsidRPr="00133BB5">
        <w:t xml:space="preserve"> GE, Dawson DV, Cunningham MA. 2008. Evaluation of an Audience Response System in a Preclinical Operative Dentistry Course. J Dent </w:t>
      </w:r>
      <w:proofErr w:type="spellStart"/>
      <w:r w:rsidRPr="00133BB5">
        <w:t>Educ</w:t>
      </w:r>
      <w:proofErr w:type="spellEnd"/>
      <w:r w:rsidRPr="00133BB5">
        <w:t>, 72(11), 1296–1303.</w:t>
      </w:r>
    </w:p>
    <w:p w14:paraId="01BB36CA" w14:textId="70955EB5" w:rsidR="00A02122" w:rsidRDefault="00133BB5" w:rsidP="00B45098">
      <w:pPr>
        <w:spacing w:line="480" w:lineRule="auto"/>
        <w:jc w:val="both"/>
      </w:pPr>
      <w:r>
        <w:t>20</w:t>
      </w:r>
      <w:r w:rsidR="00A02122">
        <w:t xml:space="preserve">. </w:t>
      </w:r>
      <w:r w:rsidR="00A02122">
        <w:tab/>
      </w:r>
      <w:proofErr w:type="spellStart"/>
      <w:r w:rsidR="00A02122">
        <w:t>Tregonning</w:t>
      </w:r>
      <w:proofErr w:type="spellEnd"/>
      <w:r w:rsidR="00A02122">
        <w:t xml:space="preserve"> AM, Doherty DA, Hornbuckle J, Dickinson JE. The audience response system and knowledge gain: A prospe</w:t>
      </w:r>
      <w:r w:rsidR="000856ED">
        <w:t>ctive study. Med Teach. 2012;34</w:t>
      </w:r>
      <w:r w:rsidR="00A02122">
        <w:t>:</w:t>
      </w:r>
      <w:r w:rsidR="000856ED">
        <w:t xml:space="preserve"> </w:t>
      </w:r>
      <w:r w:rsidR="00A02122">
        <w:t xml:space="preserve">e269–74. </w:t>
      </w:r>
    </w:p>
    <w:p w14:paraId="0631A134" w14:textId="2D5F2E48" w:rsidR="00A02122" w:rsidRDefault="00133BB5" w:rsidP="00B45098">
      <w:pPr>
        <w:spacing w:line="480" w:lineRule="auto"/>
        <w:jc w:val="both"/>
      </w:pPr>
      <w:r>
        <w:t>21</w:t>
      </w:r>
      <w:r w:rsidR="00A02122">
        <w:t xml:space="preserve">. </w:t>
      </w:r>
      <w:r w:rsidR="00A02122">
        <w:tab/>
        <w:t xml:space="preserve">Kay RH, </w:t>
      </w:r>
      <w:proofErr w:type="spellStart"/>
      <w:r w:rsidR="00A02122">
        <w:t>LeSage</w:t>
      </w:r>
      <w:proofErr w:type="spellEnd"/>
      <w:r w:rsidR="00A02122">
        <w:t xml:space="preserve"> A. Examining the benefits and challenges of using audience response systems: A review of the l</w:t>
      </w:r>
      <w:r w:rsidR="007A7E71">
        <w:t xml:space="preserve">iterature. </w:t>
      </w:r>
      <w:proofErr w:type="spellStart"/>
      <w:r w:rsidR="007A7E71">
        <w:t>Comput</w:t>
      </w:r>
      <w:proofErr w:type="spellEnd"/>
      <w:r w:rsidR="007A7E71">
        <w:t xml:space="preserve"> Educ. 2009;53</w:t>
      </w:r>
      <w:r w:rsidR="00A02122">
        <w:t>:</w:t>
      </w:r>
      <w:r w:rsidR="007A7E71">
        <w:t xml:space="preserve"> </w:t>
      </w:r>
      <w:r w:rsidR="00A02122">
        <w:t xml:space="preserve">819–27. </w:t>
      </w:r>
    </w:p>
    <w:p w14:paraId="3901F5C0" w14:textId="377F429E" w:rsidR="00A02122" w:rsidRDefault="00133BB5" w:rsidP="00B45098">
      <w:pPr>
        <w:spacing w:line="480" w:lineRule="auto"/>
        <w:jc w:val="both"/>
      </w:pPr>
      <w:r>
        <w:t>22</w:t>
      </w:r>
      <w:r w:rsidR="00A02122">
        <w:t xml:space="preserve">. </w:t>
      </w:r>
      <w:r w:rsidR="00A02122">
        <w:tab/>
      </w:r>
      <w:proofErr w:type="spellStart"/>
      <w:r w:rsidR="00A02122">
        <w:t>Graffam</w:t>
      </w:r>
      <w:proofErr w:type="spellEnd"/>
      <w:r w:rsidR="00A02122">
        <w:t xml:space="preserve"> B. Active learning in medical education: Strategies for beginning impl</w:t>
      </w:r>
      <w:r w:rsidR="00A8020B">
        <w:t>ementation. Med Teach. 2007;29</w:t>
      </w:r>
      <w:r w:rsidR="00A02122">
        <w:t>:</w:t>
      </w:r>
      <w:r w:rsidR="00A8020B">
        <w:t xml:space="preserve"> </w:t>
      </w:r>
      <w:r w:rsidR="00A02122">
        <w:t xml:space="preserve">38–42. </w:t>
      </w:r>
    </w:p>
    <w:p w14:paraId="1B3D9784" w14:textId="282B85A9" w:rsidR="00A02122" w:rsidRDefault="00133BB5" w:rsidP="00B45098">
      <w:pPr>
        <w:spacing w:line="480" w:lineRule="auto"/>
        <w:jc w:val="both"/>
      </w:pPr>
      <w:r>
        <w:t>23</w:t>
      </w:r>
      <w:r w:rsidR="00A02122">
        <w:t xml:space="preserve">. </w:t>
      </w:r>
      <w:r w:rsidR="00A02122">
        <w:tab/>
        <w:t>Halloran L. A comparison of two methods of teaching. Computer managed instruction and keypad questions versus traditional classroo</w:t>
      </w:r>
      <w:r w:rsidR="00F2711A">
        <w:t xml:space="preserve">m lecture. </w:t>
      </w:r>
      <w:proofErr w:type="spellStart"/>
      <w:r w:rsidR="00F2711A">
        <w:t>Comput</w:t>
      </w:r>
      <w:proofErr w:type="spellEnd"/>
      <w:r w:rsidR="00F2711A">
        <w:t xml:space="preserve"> </w:t>
      </w:r>
      <w:proofErr w:type="spellStart"/>
      <w:r w:rsidR="00F2711A">
        <w:t>Nurs</w:t>
      </w:r>
      <w:proofErr w:type="spellEnd"/>
      <w:r w:rsidR="00F2711A">
        <w:t>. 1995;13</w:t>
      </w:r>
      <w:r w:rsidR="00A02122">
        <w:t>:</w:t>
      </w:r>
      <w:r w:rsidR="00F2711A">
        <w:t xml:space="preserve"> </w:t>
      </w:r>
      <w:r w:rsidR="00A02122">
        <w:t xml:space="preserve">285–8. </w:t>
      </w:r>
    </w:p>
    <w:p w14:paraId="24EA662A" w14:textId="28B36B34" w:rsidR="00A02122" w:rsidRDefault="00133BB5" w:rsidP="00B45098">
      <w:pPr>
        <w:spacing w:line="480" w:lineRule="auto"/>
        <w:jc w:val="both"/>
      </w:pPr>
      <w:r>
        <w:t>24</w:t>
      </w:r>
      <w:r w:rsidR="00A02122">
        <w:t xml:space="preserve">. </w:t>
      </w:r>
      <w:r w:rsidR="00A02122">
        <w:tab/>
        <w:t>Cain J, Robinson E. A primer on audience response systems: current applications and future considera</w:t>
      </w:r>
      <w:r w:rsidR="003017E7">
        <w:t>tions. Am J Pharm Educ. 2008;72</w:t>
      </w:r>
      <w:r w:rsidR="00A02122">
        <w:t>:</w:t>
      </w:r>
      <w:r w:rsidR="003017E7">
        <w:t xml:space="preserve"> </w:t>
      </w:r>
      <w:r w:rsidR="00A02122">
        <w:t xml:space="preserve">77–77. </w:t>
      </w:r>
    </w:p>
    <w:p w14:paraId="2E9CE78F" w14:textId="22E2C502" w:rsidR="003B6242" w:rsidRDefault="00893306" w:rsidP="003B6242">
      <w:pPr>
        <w:spacing w:line="480" w:lineRule="auto"/>
        <w:jc w:val="both"/>
      </w:pPr>
      <w:r>
        <w:t>2</w:t>
      </w:r>
      <w:r w:rsidR="006C173B">
        <w:t>5</w:t>
      </w:r>
      <w:r w:rsidR="003B6242">
        <w:t>.</w:t>
      </w:r>
      <w:r w:rsidR="003B6242">
        <w:tab/>
        <w:t>Bligh DA. 1998. What’s the use of lectures? Exeter, Intellect.</w:t>
      </w:r>
    </w:p>
    <w:p w14:paraId="0FA74D35" w14:textId="70ACA940" w:rsidR="00A02122" w:rsidRDefault="006C173B" w:rsidP="00B45098">
      <w:pPr>
        <w:spacing w:line="480" w:lineRule="auto"/>
        <w:jc w:val="both"/>
      </w:pPr>
      <w:r>
        <w:t>26</w:t>
      </w:r>
      <w:r w:rsidR="00A02122">
        <w:t>.</w:t>
      </w:r>
      <w:r w:rsidR="00A02122">
        <w:tab/>
      </w:r>
      <w:proofErr w:type="spellStart"/>
      <w:r w:rsidR="00A02122">
        <w:t>Sawdon</w:t>
      </w:r>
      <w:proofErr w:type="spellEnd"/>
      <w:r w:rsidR="00A02122">
        <w:t xml:space="preserve"> MA. Improving knowledge retenti</w:t>
      </w:r>
      <w:r w:rsidR="00E54EB5">
        <w:t xml:space="preserve">on using </w:t>
      </w:r>
      <w:proofErr w:type="spellStart"/>
      <w:r w:rsidR="00E54EB5">
        <w:t>KEEpad</w:t>
      </w:r>
      <w:proofErr w:type="spellEnd"/>
      <w:r w:rsidR="00E54EB5">
        <w:t>. Med Educ. 2009;</w:t>
      </w:r>
      <w:r w:rsidR="00A02122">
        <w:t>43:</w:t>
      </w:r>
      <w:r w:rsidR="00E54EB5">
        <w:t xml:space="preserve"> </w:t>
      </w:r>
      <w:r w:rsidR="00A02122">
        <w:t>487.</w:t>
      </w:r>
    </w:p>
    <w:p w14:paraId="460C1FE3" w14:textId="2AE6000D" w:rsidR="00A02122" w:rsidRDefault="006C173B" w:rsidP="00B45098">
      <w:pPr>
        <w:spacing w:line="480" w:lineRule="auto"/>
        <w:jc w:val="both"/>
      </w:pPr>
      <w:r>
        <w:t>27</w:t>
      </w:r>
      <w:r w:rsidR="00A02122">
        <w:t>.</w:t>
      </w:r>
      <w:r w:rsidR="00A02122">
        <w:tab/>
        <w:t>Karpicke JD, Roediger HL III. The critical importance of retrie</w:t>
      </w:r>
      <w:r w:rsidR="00E777C3">
        <w:t>val for learning. Science. 2008;</w:t>
      </w:r>
      <w:r w:rsidR="00A02122">
        <w:t>319:</w:t>
      </w:r>
      <w:r w:rsidR="00E777C3">
        <w:t xml:space="preserve"> </w:t>
      </w:r>
      <w:r w:rsidR="00A02122">
        <w:t>966–968.</w:t>
      </w:r>
    </w:p>
    <w:p w14:paraId="3A173097" w14:textId="549CB9AE" w:rsidR="00A02122" w:rsidRDefault="004B42F4" w:rsidP="00B45098">
      <w:pPr>
        <w:spacing w:line="480" w:lineRule="auto"/>
        <w:jc w:val="both"/>
      </w:pPr>
      <w:r>
        <w:t>2</w:t>
      </w:r>
      <w:r w:rsidR="006C173B">
        <w:t>8</w:t>
      </w:r>
      <w:r w:rsidR="00A02122">
        <w:t>. Finn GM</w:t>
      </w:r>
      <w:r w:rsidR="00AF0E3C">
        <w:t>,</w:t>
      </w:r>
      <w:r w:rsidR="00A02122">
        <w:t xml:space="preserve"> McLachlan JC. A qualitative study of students’ perceptions of body painting. </w:t>
      </w:r>
      <w:r w:rsidR="00596623">
        <w:t xml:space="preserve"> </w:t>
      </w:r>
      <w:proofErr w:type="spellStart"/>
      <w:r w:rsidR="00596623">
        <w:t>Anat</w:t>
      </w:r>
      <w:proofErr w:type="spellEnd"/>
      <w:r w:rsidR="00596623">
        <w:t xml:space="preserve"> Sci Educ.</w:t>
      </w:r>
      <w:r w:rsidR="00174175">
        <w:t xml:space="preserve"> </w:t>
      </w:r>
      <w:r w:rsidR="00596623">
        <w:t>2010;</w:t>
      </w:r>
      <w:r w:rsidR="00A02122">
        <w:t>3:</w:t>
      </w:r>
      <w:r w:rsidR="00596623">
        <w:t xml:space="preserve"> </w:t>
      </w:r>
      <w:r w:rsidR="00A02122">
        <w:t>33-38.</w:t>
      </w:r>
    </w:p>
    <w:p w14:paraId="42BDA383" w14:textId="1B8C2294" w:rsidR="00A02122" w:rsidRDefault="006C173B" w:rsidP="00B45098">
      <w:pPr>
        <w:spacing w:line="480" w:lineRule="auto"/>
        <w:jc w:val="both"/>
      </w:pPr>
      <w:r>
        <w:t>29</w:t>
      </w:r>
      <w:r w:rsidR="00EC2E65">
        <w:t>. Finn</w:t>
      </w:r>
      <w:r w:rsidR="00A02122">
        <w:t xml:space="preserve"> GM. Using Body Painting and Other Art-Ba</w:t>
      </w:r>
      <w:r w:rsidR="00427952">
        <w:t>sed Approaches to Teach Anatomy.</w:t>
      </w:r>
      <w:r w:rsidR="00A02122">
        <w:t xml:space="preserve"> </w:t>
      </w:r>
      <w:r w:rsidR="00D9232A">
        <w:t>Chan LK</w:t>
      </w:r>
      <w:r w:rsidR="00C24525">
        <w:t>,</w:t>
      </w:r>
      <w:r w:rsidR="00D9232A">
        <w:t xml:space="preserve"> </w:t>
      </w:r>
      <w:proofErr w:type="spellStart"/>
      <w:r w:rsidR="00D9232A">
        <w:t>Pawlina</w:t>
      </w:r>
      <w:proofErr w:type="spellEnd"/>
      <w:r w:rsidR="00D9232A">
        <w:t xml:space="preserve"> W</w:t>
      </w:r>
      <w:r w:rsidR="00C24525">
        <w:t>, editors</w:t>
      </w:r>
      <w:r w:rsidR="00427952">
        <w:t>. Teaching Anatomy: A Practical Guide</w:t>
      </w:r>
      <w:r w:rsidR="00561172">
        <w:t>.</w:t>
      </w:r>
      <w:r w:rsidR="00427952">
        <w:t xml:space="preserve"> </w:t>
      </w:r>
      <w:r w:rsidR="00D9232A">
        <w:t>2015.</w:t>
      </w:r>
      <w:r w:rsidR="000A218B">
        <w:t xml:space="preserve">  </w:t>
      </w:r>
      <w:r w:rsidR="00561172">
        <w:t>p</w:t>
      </w:r>
      <w:r w:rsidR="000A218B">
        <w:t>p</w:t>
      </w:r>
      <w:r w:rsidR="00561172">
        <w:t xml:space="preserve">. </w:t>
      </w:r>
      <w:r w:rsidR="00A02122">
        <w:t>155-164</w:t>
      </w:r>
      <w:r w:rsidR="000A218B">
        <w:t>.</w:t>
      </w:r>
    </w:p>
    <w:p w14:paraId="51BBB3A7" w14:textId="77777777" w:rsidR="00A02122" w:rsidRDefault="00A02122" w:rsidP="00A02122"/>
    <w:p w14:paraId="28E7EBA1" w14:textId="77777777" w:rsidR="00A02122" w:rsidRDefault="00A02122" w:rsidP="00A02122"/>
    <w:p w14:paraId="644750C9" w14:textId="77777777" w:rsidR="00A02122" w:rsidRDefault="00A02122" w:rsidP="00A02122">
      <w:r>
        <w:t> </w:t>
      </w:r>
    </w:p>
    <w:p w14:paraId="2E51345A" w14:textId="77777777" w:rsidR="00B6618E" w:rsidRDefault="00B6618E">
      <w:r>
        <w:br w:type="page"/>
      </w:r>
    </w:p>
    <w:p w14:paraId="7A9B42D6" w14:textId="77777777" w:rsidR="00493519" w:rsidRPr="00CD1B41" w:rsidRDefault="00493519" w:rsidP="00493519">
      <w:pPr>
        <w:spacing w:before="120" w:after="120"/>
        <w:rPr>
          <w:sz w:val="32"/>
        </w:rPr>
      </w:pPr>
      <w:r w:rsidRPr="00CD1B41">
        <w:rPr>
          <w:b/>
          <w:sz w:val="32"/>
        </w:rPr>
        <w:lastRenderedPageBreak/>
        <w:t xml:space="preserve">Tables </w:t>
      </w:r>
    </w:p>
    <w:p w14:paraId="316002F4" w14:textId="77777777" w:rsidR="00493519" w:rsidRPr="00CD1B41" w:rsidRDefault="00493519" w:rsidP="00493519">
      <w:pPr>
        <w:spacing w:before="120" w:after="120"/>
      </w:pPr>
    </w:p>
    <w:p w14:paraId="759ED4DF" w14:textId="4CBDA2FB" w:rsidR="00493519" w:rsidRPr="00CD1B41" w:rsidRDefault="00357641" w:rsidP="00493519">
      <w:pPr>
        <w:spacing w:before="120" w:after="120"/>
        <w:rPr>
          <w:rFonts w:eastAsia="Gentium Basic"/>
        </w:rPr>
      </w:pPr>
      <w:r>
        <w:rPr>
          <w:rFonts w:eastAsia="Gentium Basic"/>
          <w:b/>
        </w:rPr>
        <w:t>Table 1: Overview of p</w:t>
      </w:r>
      <w:r w:rsidR="00493519" w:rsidRPr="00CD1B41">
        <w:rPr>
          <w:rFonts w:eastAsia="Gentium Basic"/>
          <w:b/>
        </w:rPr>
        <w:t>articipant characteristics</w:t>
      </w:r>
    </w:p>
    <w:p w14:paraId="695958E2" w14:textId="77777777" w:rsidR="00493519" w:rsidRPr="00CD1B41" w:rsidRDefault="00493519" w:rsidP="00493519">
      <w:pPr>
        <w:spacing w:before="120" w:after="120"/>
      </w:pPr>
    </w:p>
    <w:tbl>
      <w:tblPr>
        <w:tblW w:w="6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0"/>
        <w:gridCol w:w="1800"/>
        <w:gridCol w:w="1710"/>
      </w:tblGrid>
      <w:tr w:rsidR="00493519" w:rsidRPr="00CD1B41" w14:paraId="3DBD297F" w14:textId="77777777" w:rsidTr="004E49B0">
        <w:tc>
          <w:tcPr>
            <w:tcW w:w="3290" w:type="dxa"/>
          </w:tcPr>
          <w:p w14:paraId="23B3C945" w14:textId="77777777" w:rsidR="00493519" w:rsidRPr="00CD1B41" w:rsidRDefault="00493519" w:rsidP="004E49B0">
            <w:pPr>
              <w:spacing w:before="120" w:after="120"/>
              <w:rPr>
                <w:b/>
              </w:rPr>
            </w:pPr>
            <w:r w:rsidRPr="00CD1B41">
              <w:rPr>
                <w:b/>
              </w:rPr>
              <w:t>Characteristics</w:t>
            </w:r>
          </w:p>
        </w:tc>
        <w:tc>
          <w:tcPr>
            <w:tcW w:w="1800" w:type="dxa"/>
          </w:tcPr>
          <w:p w14:paraId="433D1683" w14:textId="77777777" w:rsidR="00493519" w:rsidRPr="00CD1B41" w:rsidRDefault="00493519" w:rsidP="004E49B0">
            <w:pPr>
              <w:spacing w:before="120" w:after="120"/>
              <w:rPr>
                <w:rFonts w:eastAsia="Gentium Basic"/>
                <w:b/>
              </w:rPr>
            </w:pPr>
            <w:r w:rsidRPr="00CD1B41">
              <w:rPr>
                <w:rFonts w:eastAsia="Gentium Basic"/>
                <w:b/>
              </w:rPr>
              <w:t>Taught with ARS</w:t>
            </w:r>
          </w:p>
          <w:p w14:paraId="19956D25" w14:textId="77777777" w:rsidR="00493519" w:rsidRPr="00CD1B41" w:rsidRDefault="00493519" w:rsidP="004E49B0">
            <w:pPr>
              <w:spacing w:before="120" w:after="120"/>
            </w:pPr>
            <w:r w:rsidRPr="00CD1B41">
              <w:rPr>
                <w:rFonts w:eastAsia="Gentium Basic"/>
                <w:b/>
              </w:rPr>
              <w:t>n (%)</w:t>
            </w:r>
          </w:p>
        </w:tc>
        <w:tc>
          <w:tcPr>
            <w:tcW w:w="1710" w:type="dxa"/>
          </w:tcPr>
          <w:p w14:paraId="1488D7D8" w14:textId="77777777" w:rsidR="00493519" w:rsidRPr="00CD1B41" w:rsidRDefault="00493519" w:rsidP="004E49B0">
            <w:pPr>
              <w:spacing w:before="120" w:after="120"/>
              <w:rPr>
                <w:rFonts w:eastAsia="Gentium Basic"/>
                <w:b/>
                <w:vertAlign w:val="superscript"/>
              </w:rPr>
            </w:pPr>
            <w:r w:rsidRPr="00CD1B41">
              <w:rPr>
                <w:rFonts w:eastAsia="Gentium Basic"/>
                <w:b/>
              </w:rPr>
              <w:t>Taught without ARS</w:t>
            </w:r>
          </w:p>
          <w:p w14:paraId="60CD442C" w14:textId="77777777" w:rsidR="00493519" w:rsidRPr="00CD1B41" w:rsidRDefault="00493519" w:rsidP="004E49B0">
            <w:pPr>
              <w:spacing w:before="120" w:after="120"/>
            </w:pPr>
            <w:r w:rsidRPr="00CD1B41">
              <w:rPr>
                <w:rFonts w:eastAsia="Gentium Basic"/>
                <w:b/>
              </w:rPr>
              <w:t>n (%*)</w:t>
            </w:r>
          </w:p>
        </w:tc>
      </w:tr>
      <w:tr w:rsidR="00493519" w:rsidRPr="00CD1B41" w14:paraId="52A14E0A" w14:textId="77777777" w:rsidTr="004E49B0">
        <w:tc>
          <w:tcPr>
            <w:tcW w:w="3290" w:type="dxa"/>
          </w:tcPr>
          <w:p w14:paraId="1CEDBAFD" w14:textId="77777777" w:rsidR="00493519" w:rsidRPr="00CD1B41" w:rsidRDefault="00493519" w:rsidP="004E49B0">
            <w:pPr>
              <w:spacing w:before="120" w:after="120"/>
            </w:pPr>
            <w:r w:rsidRPr="00CD1B41">
              <w:rPr>
                <w:rFonts w:eastAsia="Gentium Basic"/>
              </w:rPr>
              <w:t>Gender</w:t>
            </w:r>
          </w:p>
        </w:tc>
        <w:tc>
          <w:tcPr>
            <w:tcW w:w="1800" w:type="dxa"/>
          </w:tcPr>
          <w:p w14:paraId="672B4B2F" w14:textId="77777777" w:rsidR="00493519" w:rsidRPr="00CD1B41" w:rsidRDefault="00493519" w:rsidP="004E49B0">
            <w:pPr>
              <w:spacing w:before="120" w:after="120"/>
            </w:pPr>
          </w:p>
        </w:tc>
        <w:tc>
          <w:tcPr>
            <w:tcW w:w="1710" w:type="dxa"/>
          </w:tcPr>
          <w:p w14:paraId="02F02AA9" w14:textId="77777777" w:rsidR="00493519" w:rsidRPr="00CD1B41" w:rsidRDefault="00493519" w:rsidP="004E49B0">
            <w:pPr>
              <w:spacing w:before="120" w:after="120"/>
            </w:pPr>
          </w:p>
        </w:tc>
      </w:tr>
      <w:tr w:rsidR="00493519" w:rsidRPr="00CD1B41" w14:paraId="757D8EA6" w14:textId="77777777" w:rsidTr="004E49B0">
        <w:trPr>
          <w:trHeight w:val="265"/>
        </w:trPr>
        <w:tc>
          <w:tcPr>
            <w:tcW w:w="3290" w:type="dxa"/>
          </w:tcPr>
          <w:p w14:paraId="113BBBC4" w14:textId="77777777" w:rsidR="00493519" w:rsidRPr="00CD1B41" w:rsidRDefault="00493519" w:rsidP="004E49B0">
            <w:pPr>
              <w:spacing w:before="120" w:after="120"/>
            </w:pPr>
            <w:r w:rsidRPr="00CD1B41">
              <w:rPr>
                <w:rFonts w:eastAsia="Gentium Basic"/>
              </w:rPr>
              <w:t xml:space="preserve">   Females</w:t>
            </w:r>
          </w:p>
        </w:tc>
        <w:tc>
          <w:tcPr>
            <w:tcW w:w="1800" w:type="dxa"/>
          </w:tcPr>
          <w:p w14:paraId="3B9F086C" w14:textId="77777777" w:rsidR="00493519" w:rsidRPr="00CD1B41" w:rsidRDefault="00493519" w:rsidP="004E49B0">
            <w:pPr>
              <w:spacing w:before="120" w:after="120"/>
            </w:pPr>
            <w:r w:rsidRPr="00CD1B41">
              <w:rPr>
                <w:rFonts w:eastAsia="Gentium Basic"/>
              </w:rPr>
              <w:t>21 (54%)</w:t>
            </w:r>
          </w:p>
        </w:tc>
        <w:tc>
          <w:tcPr>
            <w:tcW w:w="1710" w:type="dxa"/>
          </w:tcPr>
          <w:p w14:paraId="5F12F63E" w14:textId="77777777" w:rsidR="00493519" w:rsidRPr="00CD1B41" w:rsidRDefault="00493519" w:rsidP="004E49B0">
            <w:pPr>
              <w:spacing w:before="120" w:after="120"/>
            </w:pPr>
            <w:r w:rsidRPr="00CD1B41">
              <w:rPr>
                <w:rFonts w:eastAsia="Gentium Basic"/>
              </w:rPr>
              <w:t>15 (52%)</w:t>
            </w:r>
          </w:p>
        </w:tc>
      </w:tr>
      <w:tr w:rsidR="00493519" w:rsidRPr="00CD1B41" w14:paraId="58F8D3DD" w14:textId="77777777" w:rsidTr="004E49B0">
        <w:trPr>
          <w:trHeight w:val="457"/>
        </w:trPr>
        <w:tc>
          <w:tcPr>
            <w:tcW w:w="3290" w:type="dxa"/>
            <w:shd w:val="clear" w:color="auto" w:fill="auto"/>
          </w:tcPr>
          <w:p w14:paraId="6CD6663F" w14:textId="77777777" w:rsidR="00493519" w:rsidRPr="00CD1B41" w:rsidRDefault="00493519" w:rsidP="004E49B0">
            <w:pPr>
              <w:spacing w:before="120" w:after="120"/>
              <w:rPr>
                <w:rFonts w:eastAsia="Gentium Basic"/>
              </w:rPr>
            </w:pPr>
            <w:r w:rsidRPr="00CD1B41">
              <w:rPr>
                <w:rFonts w:eastAsia="Gentium Basic"/>
              </w:rPr>
              <w:t xml:space="preserve">   Males</w:t>
            </w:r>
          </w:p>
        </w:tc>
        <w:tc>
          <w:tcPr>
            <w:tcW w:w="1800" w:type="dxa"/>
            <w:shd w:val="clear" w:color="auto" w:fill="auto"/>
          </w:tcPr>
          <w:p w14:paraId="781D671C" w14:textId="77777777" w:rsidR="00493519" w:rsidRPr="00CD1B41" w:rsidRDefault="00493519" w:rsidP="004E49B0">
            <w:pPr>
              <w:spacing w:before="120" w:after="120"/>
              <w:rPr>
                <w:rFonts w:eastAsia="Gentium Basic"/>
              </w:rPr>
            </w:pPr>
            <w:r w:rsidRPr="00CD1B41">
              <w:rPr>
                <w:rFonts w:eastAsia="Gentium Basic"/>
              </w:rPr>
              <w:t>18 (46%)</w:t>
            </w:r>
          </w:p>
        </w:tc>
        <w:tc>
          <w:tcPr>
            <w:tcW w:w="1710" w:type="dxa"/>
            <w:shd w:val="clear" w:color="auto" w:fill="auto"/>
          </w:tcPr>
          <w:p w14:paraId="1B09907D" w14:textId="77777777" w:rsidR="00493519" w:rsidRPr="00CD1B41" w:rsidRDefault="00493519" w:rsidP="004E49B0">
            <w:pPr>
              <w:spacing w:before="120" w:after="120"/>
              <w:rPr>
                <w:rFonts w:eastAsia="Gentium Basic"/>
              </w:rPr>
            </w:pPr>
            <w:r w:rsidRPr="00CD1B41">
              <w:rPr>
                <w:rFonts w:eastAsia="Gentium Basic"/>
              </w:rPr>
              <w:t>14 (48%)</w:t>
            </w:r>
          </w:p>
        </w:tc>
      </w:tr>
      <w:tr w:rsidR="00493519" w:rsidRPr="00CD1B41" w14:paraId="2E010A58" w14:textId="77777777" w:rsidTr="004E49B0">
        <w:tc>
          <w:tcPr>
            <w:tcW w:w="3290" w:type="dxa"/>
          </w:tcPr>
          <w:p w14:paraId="5CE4B7ED" w14:textId="77777777" w:rsidR="00493519" w:rsidRPr="00CD1B41" w:rsidRDefault="00493519" w:rsidP="004E49B0">
            <w:pPr>
              <w:spacing w:before="120" w:after="120"/>
            </w:pPr>
            <w:r w:rsidRPr="00CD1B41">
              <w:rPr>
                <w:rFonts w:eastAsia="Gentium Basic"/>
              </w:rPr>
              <w:t xml:space="preserve">Year group </w:t>
            </w:r>
          </w:p>
        </w:tc>
        <w:tc>
          <w:tcPr>
            <w:tcW w:w="1800" w:type="dxa"/>
          </w:tcPr>
          <w:p w14:paraId="4D70D57D" w14:textId="77777777" w:rsidR="00493519" w:rsidRPr="00CD1B41" w:rsidRDefault="00493519" w:rsidP="004E49B0">
            <w:pPr>
              <w:spacing w:before="120" w:after="120"/>
            </w:pPr>
          </w:p>
        </w:tc>
        <w:tc>
          <w:tcPr>
            <w:tcW w:w="1710" w:type="dxa"/>
          </w:tcPr>
          <w:p w14:paraId="7CBB06CE" w14:textId="77777777" w:rsidR="00493519" w:rsidRPr="00CD1B41" w:rsidRDefault="00493519" w:rsidP="004E49B0">
            <w:pPr>
              <w:spacing w:before="120" w:after="120"/>
            </w:pPr>
          </w:p>
        </w:tc>
      </w:tr>
      <w:tr w:rsidR="00493519" w:rsidRPr="00CD1B41" w14:paraId="4662C086" w14:textId="77777777" w:rsidTr="004E49B0">
        <w:tc>
          <w:tcPr>
            <w:tcW w:w="3290" w:type="dxa"/>
          </w:tcPr>
          <w:p w14:paraId="78F68F08" w14:textId="77777777" w:rsidR="00493519" w:rsidRPr="00CD1B41" w:rsidRDefault="00493519" w:rsidP="004E49B0">
            <w:pPr>
              <w:spacing w:before="120" w:after="120"/>
            </w:pPr>
            <w:r w:rsidRPr="00CD1B41">
              <w:rPr>
                <w:rFonts w:eastAsia="Gentium Basic"/>
              </w:rPr>
              <w:t xml:space="preserve">  Year 1</w:t>
            </w:r>
          </w:p>
        </w:tc>
        <w:tc>
          <w:tcPr>
            <w:tcW w:w="1800" w:type="dxa"/>
          </w:tcPr>
          <w:p w14:paraId="25DA2789" w14:textId="77777777" w:rsidR="00493519" w:rsidRPr="00CD1B41" w:rsidRDefault="00493519" w:rsidP="004E49B0">
            <w:pPr>
              <w:spacing w:before="120" w:after="120"/>
            </w:pPr>
            <w:r w:rsidRPr="00CD1B41">
              <w:rPr>
                <w:rFonts w:eastAsia="Gentium Basic"/>
              </w:rPr>
              <w:t>13 (33%)</w:t>
            </w:r>
          </w:p>
        </w:tc>
        <w:tc>
          <w:tcPr>
            <w:tcW w:w="1710" w:type="dxa"/>
          </w:tcPr>
          <w:p w14:paraId="3D2B6F89" w14:textId="77777777" w:rsidR="00493519" w:rsidRPr="00CD1B41" w:rsidRDefault="00493519" w:rsidP="004E49B0">
            <w:pPr>
              <w:spacing w:before="120" w:after="120"/>
            </w:pPr>
            <w:r w:rsidRPr="00CD1B41">
              <w:rPr>
                <w:rFonts w:eastAsia="Gentium Basic"/>
              </w:rPr>
              <w:t>14 (48%)</w:t>
            </w:r>
          </w:p>
        </w:tc>
      </w:tr>
      <w:tr w:rsidR="00493519" w:rsidRPr="00CD1B41" w14:paraId="6CFA49BA" w14:textId="77777777" w:rsidTr="004E49B0">
        <w:tc>
          <w:tcPr>
            <w:tcW w:w="3290" w:type="dxa"/>
          </w:tcPr>
          <w:p w14:paraId="5580A1C8" w14:textId="77777777" w:rsidR="00493519" w:rsidRPr="00CD1B41" w:rsidRDefault="00493519" w:rsidP="004E49B0">
            <w:pPr>
              <w:spacing w:before="120" w:after="120"/>
            </w:pPr>
            <w:r w:rsidRPr="00CD1B41">
              <w:rPr>
                <w:rFonts w:eastAsia="Gentium Basic"/>
              </w:rPr>
              <w:t xml:space="preserve">  Year 2</w:t>
            </w:r>
          </w:p>
        </w:tc>
        <w:tc>
          <w:tcPr>
            <w:tcW w:w="1800" w:type="dxa"/>
          </w:tcPr>
          <w:p w14:paraId="42CB4BF9" w14:textId="77777777" w:rsidR="00493519" w:rsidRPr="00CD1B41" w:rsidRDefault="00493519" w:rsidP="004E49B0">
            <w:pPr>
              <w:spacing w:before="120" w:after="120"/>
            </w:pPr>
            <w:r w:rsidRPr="00CD1B41">
              <w:rPr>
                <w:rFonts w:eastAsia="Gentium Basic"/>
              </w:rPr>
              <w:t>17 (44%)</w:t>
            </w:r>
          </w:p>
        </w:tc>
        <w:tc>
          <w:tcPr>
            <w:tcW w:w="1710" w:type="dxa"/>
          </w:tcPr>
          <w:p w14:paraId="0C2E72E4" w14:textId="77777777" w:rsidR="00493519" w:rsidRPr="00CD1B41" w:rsidRDefault="00493519" w:rsidP="004E49B0">
            <w:pPr>
              <w:spacing w:before="120" w:after="120"/>
            </w:pPr>
            <w:r w:rsidRPr="00CD1B41">
              <w:rPr>
                <w:rFonts w:eastAsia="Gentium Basic"/>
              </w:rPr>
              <w:t>12 (41%)</w:t>
            </w:r>
          </w:p>
        </w:tc>
      </w:tr>
      <w:tr w:rsidR="00493519" w:rsidRPr="00CD1B41" w14:paraId="38B71E48" w14:textId="77777777" w:rsidTr="004E49B0">
        <w:tc>
          <w:tcPr>
            <w:tcW w:w="3290" w:type="dxa"/>
          </w:tcPr>
          <w:p w14:paraId="58EB478D" w14:textId="77777777" w:rsidR="00493519" w:rsidRPr="00CD1B41" w:rsidRDefault="00493519" w:rsidP="004E49B0">
            <w:pPr>
              <w:spacing w:before="120" w:after="120"/>
            </w:pPr>
            <w:r w:rsidRPr="00CD1B41">
              <w:rPr>
                <w:rFonts w:eastAsia="Gentium Basic"/>
              </w:rPr>
              <w:t xml:space="preserve">  Year 3</w:t>
            </w:r>
          </w:p>
        </w:tc>
        <w:tc>
          <w:tcPr>
            <w:tcW w:w="1800" w:type="dxa"/>
          </w:tcPr>
          <w:p w14:paraId="5524C41D" w14:textId="77777777" w:rsidR="00493519" w:rsidRPr="00CD1B41" w:rsidRDefault="00493519" w:rsidP="004E49B0">
            <w:pPr>
              <w:spacing w:before="120" w:after="120"/>
            </w:pPr>
            <w:r w:rsidRPr="00CD1B41">
              <w:rPr>
                <w:rFonts w:eastAsia="Gentium Basic"/>
              </w:rPr>
              <w:t>7   (18%)</w:t>
            </w:r>
          </w:p>
        </w:tc>
        <w:tc>
          <w:tcPr>
            <w:tcW w:w="1710" w:type="dxa"/>
          </w:tcPr>
          <w:p w14:paraId="7E8468D8" w14:textId="77777777" w:rsidR="00493519" w:rsidRPr="00CD1B41" w:rsidRDefault="00493519" w:rsidP="004E49B0">
            <w:pPr>
              <w:spacing w:before="120" w:after="120"/>
            </w:pPr>
            <w:r w:rsidRPr="00CD1B41">
              <w:rPr>
                <w:rFonts w:eastAsia="Gentium Basic"/>
              </w:rPr>
              <w:t>2   (7%)</w:t>
            </w:r>
          </w:p>
        </w:tc>
      </w:tr>
      <w:tr w:rsidR="00493519" w:rsidRPr="00CD1B41" w14:paraId="06D82C00" w14:textId="77777777" w:rsidTr="004E49B0">
        <w:tc>
          <w:tcPr>
            <w:tcW w:w="3290" w:type="dxa"/>
          </w:tcPr>
          <w:p w14:paraId="641174B7" w14:textId="77777777" w:rsidR="00493519" w:rsidRPr="00CD1B41" w:rsidRDefault="00493519" w:rsidP="004E49B0">
            <w:pPr>
              <w:spacing w:before="120" w:after="120"/>
            </w:pPr>
            <w:r w:rsidRPr="00CD1B41">
              <w:rPr>
                <w:rFonts w:eastAsia="Gentium Basic"/>
              </w:rPr>
              <w:t xml:space="preserve">  Intercalated¶</w:t>
            </w:r>
          </w:p>
        </w:tc>
        <w:tc>
          <w:tcPr>
            <w:tcW w:w="1800" w:type="dxa"/>
          </w:tcPr>
          <w:p w14:paraId="0CB7720A" w14:textId="77777777" w:rsidR="00493519" w:rsidRPr="00CD1B41" w:rsidRDefault="00493519" w:rsidP="004E49B0">
            <w:pPr>
              <w:spacing w:before="120" w:after="120"/>
            </w:pPr>
            <w:r w:rsidRPr="00CD1B41">
              <w:rPr>
                <w:rFonts w:eastAsia="Gentium Basic"/>
              </w:rPr>
              <w:t>2   (5%)</w:t>
            </w:r>
          </w:p>
        </w:tc>
        <w:tc>
          <w:tcPr>
            <w:tcW w:w="1710" w:type="dxa"/>
          </w:tcPr>
          <w:p w14:paraId="749EB023" w14:textId="77777777" w:rsidR="00493519" w:rsidRPr="00CD1B41" w:rsidRDefault="00493519" w:rsidP="004E49B0">
            <w:pPr>
              <w:spacing w:before="120" w:after="120"/>
            </w:pPr>
            <w:r w:rsidRPr="00CD1B41">
              <w:rPr>
                <w:rFonts w:eastAsia="Gentium Basic"/>
              </w:rPr>
              <w:t>1   (3%)</w:t>
            </w:r>
          </w:p>
        </w:tc>
      </w:tr>
      <w:tr w:rsidR="00493519" w:rsidRPr="00CD1B41" w14:paraId="7D19C735" w14:textId="77777777" w:rsidTr="004E49B0">
        <w:tc>
          <w:tcPr>
            <w:tcW w:w="3290" w:type="dxa"/>
          </w:tcPr>
          <w:p w14:paraId="2E1CA417" w14:textId="77777777" w:rsidR="00493519" w:rsidRPr="00CD1B41" w:rsidRDefault="00493519" w:rsidP="004E49B0">
            <w:pPr>
              <w:spacing w:before="120" w:after="120"/>
              <w:rPr>
                <w:rFonts w:eastAsia="Gentium Basic"/>
              </w:rPr>
            </w:pPr>
            <w:r w:rsidRPr="00CD1B41">
              <w:rPr>
                <w:rFonts w:eastAsia="Gentium Basic"/>
              </w:rPr>
              <w:t xml:space="preserve">Pre-lecture test score (maximum score of 20): </w:t>
            </w:r>
          </w:p>
          <w:p w14:paraId="1BCFC0A7" w14:textId="3E965FF6" w:rsidR="00493519" w:rsidRPr="00CD1B41" w:rsidRDefault="00493519" w:rsidP="004E49B0">
            <w:pPr>
              <w:spacing w:before="120" w:after="120"/>
            </w:pPr>
            <w:r w:rsidRPr="00CD1B41">
              <w:rPr>
                <w:rFonts w:eastAsia="Gentium Basic"/>
              </w:rPr>
              <w:t>mean (SD)</w:t>
            </w:r>
          </w:p>
        </w:tc>
        <w:tc>
          <w:tcPr>
            <w:tcW w:w="1800" w:type="dxa"/>
          </w:tcPr>
          <w:p w14:paraId="0C1E8649" w14:textId="29EC2BF9" w:rsidR="00493519" w:rsidRPr="00CD1B41" w:rsidRDefault="00493519" w:rsidP="004E49B0">
            <w:pPr>
              <w:spacing w:before="120" w:after="120"/>
            </w:pPr>
            <w:r w:rsidRPr="00CD1B41">
              <w:rPr>
                <w:rFonts w:eastAsia="Gentium Basic"/>
              </w:rPr>
              <w:t>9.0 (1.9)</w:t>
            </w:r>
          </w:p>
        </w:tc>
        <w:tc>
          <w:tcPr>
            <w:tcW w:w="1710" w:type="dxa"/>
          </w:tcPr>
          <w:p w14:paraId="0A125A2B" w14:textId="645FAD7F" w:rsidR="00493519" w:rsidRPr="00CD1B41" w:rsidRDefault="00493519" w:rsidP="004E49B0">
            <w:pPr>
              <w:spacing w:before="120" w:after="120"/>
            </w:pPr>
            <w:r w:rsidRPr="00CD1B41">
              <w:rPr>
                <w:rFonts w:eastAsia="Gentium Basic"/>
              </w:rPr>
              <w:t>9.5 (2.8)</w:t>
            </w:r>
          </w:p>
        </w:tc>
      </w:tr>
    </w:tbl>
    <w:p w14:paraId="60FC472B" w14:textId="77777777" w:rsidR="00493519" w:rsidRPr="00CD1B41" w:rsidRDefault="00493519" w:rsidP="00493519">
      <w:pPr>
        <w:spacing w:before="120" w:after="120"/>
        <w:rPr>
          <w:rFonts w:eastAsia="Gentium Basic"/>
          <w:b/>
          <w:i/>
        </w:rPr>
      </w:pPr>
    </w:p>
    <w:p w14:paraId="494333D5" w14:textId="77777777" w:rsidR="00493519" w:rsidRPr="00CD1B41" w:rsidRDefault="00493519" w:rsidP="00493519">
      <w:pPr>
        <w:spacing w:before="120" w:after="120"/>
        <w:rPr>
          <w:rFonts w:eastAsia="Gentium Basic"/>
        </w:rPr>
      </w:pPr>
      <w:r w:rsidRPr="00CD1B41">
        <w:rPr>
          <w:rFonts w:eastAsia="Gentium Basic"/>
          <w:b/>
          <w:i/>
        </w:rPr>
        <w:t>*</w:t>
      </w:r>
      <w:r w:rsidRPr="00CD1B41">
        <w:rPr>
          <w:rFonts w:eastAsia="Gentium Basic"/>
        </w:rPr>
        <w:t xml:space="preserve"> Percentages in this column are for 29/31 participants in this group due to missing data (two students failed to complete their post-lecture survey).</w:t>
      </w:r>
    </w:p>
    <w:p w14:paraId="32284BD8" w14:textId="77777777" w:rsidR="00493519" w:rsidRPr="00CD1B41" w:rsidRDefault="00493519" w:rsidP="00493519">
      <w:pPr>
        <w:spacing w:before="120" w:after="120"/>
        <w:rPr>
          <w:rFonts w:eastAsia="Gentium Basic"/>
        </w:rPr>
      </w:pPr>
      <w:r w:rsidRPr="00CD1B41">
        <w:rPr>
          <w:rFonts w:eastAsia="Gentium Basic"/>
        </w:rPr>
        <w:t xml:space="preserve">¶ Intercalated students are medical undergraduates completing an additional one year period of study which leads to a </w:t>
      </w:r>
      <w:proofErr w:type="spellStart"/>
      <w:r w:rsidRPr="00CD1B41">
        <w:rPr>
          <w:rFonts w:eastAsia="Gentium Basic"/>
        </w:rPr>
        <w:t>B.Sc</w:t>
      </w:r>
      <w:proofErr w:type="spellEnd"/>
      <w:r w:rsidRPr="00CD1B41">
        <w:rPr>
          <w:rFonts w:eastAsia="Gentium Basic"/>
        </w:rPr>
        <w:t xml:space="preserve"> degree and is undertaken after Year 2 of their medical degree.</w:t>
      </w:r>
    </w:p>
    <w:p w14:paraId="4EF272A9" w14:textId="77777777" w:rsidR="00493519" w:rsidRPr="00CD1B41" w:rsidRDefault="00493519" w:rsidP="00493519">
      <w:pPr>
        <w:spacing w:before="120" w:after="120"/>
        <w:rPr>
          <w:rFonts w:eastAsia="Gentium Basic"/>
        </w:rPr>
      </w:pPr>
    </w:p>
    <w:p w14:paraId="4625AB64" w14:textId="77777777" w:rsidR="00493519" w:rsidRPr="00CD1B41" w:rsidRDefault="00493519" w:rsidP="00493519">
      <w:pPr>
        <w:spacing w:before="120" w:after="120"/>
      </w:pPr>
    </w:p>
    <w:p w14:paraId="2E2CE7AE" w14:textId="77777777" w:rsidR="00493519" w:rsidRPr="00CD1B41" w:rsidRDefault="00493519" w:rsidP="00493519">
      <w:pPr>
        <w:spacing w:before="120" w:after="120"/>
      </w:pPr>
      <w:r w:rsidRPr="00CD1B41">
        <w:br w:type="page"/>
      </w:r>
    </w:p>
    <w:p w14:paraId="00B45652" w14:textId="12AA41B9" w:rsidR="00493519" w:rsidRPr="00CD1B41" w:rsidRDefault="00493519" w:rsidP="00493519">
      <w:pPr>
        <w:spacing w:before="120" w:after="120"/>
      </w:pPr>
      <w:r w:rsidRPr="00CD1B41">
        <w:rPr>
          <w:rFonts w:eastAsia="Gentium Basic"/>
          <w:b/>
        </w:rPr>
        <w:lastRenderedPageBreak/>
        <w:t xml:space="preserve">Table 2: </w:t>
      </w:r>
      <w:r w:rsidR="0056344E">
        <w:rPr>
          <w:rFonts w:eastAsia="Gentium Basic"/>
          <w:b/>
        </w:rPr>
        <w:t>Immediate and final p</w:t>
      </w:r>
      <w:r w:rsidRPr="00CD1B41">
        <w:rPr>
          <w:rFonts w:eastAsia="Gentium Basic"/>
          <w:b/>
        </w:rPr>
        <w:t xml:space="preserve">ost-lecture test scores </w:t>
      </w:r>
    </w:p>
    <w:p w14:paraId="216038F2" w14:textId="77777777" w:rsidR="00493519" w:rsidRPr="00CD1B41" w:rsidRDefault="00493519" w:rsidP="00493519">
      <w:pPr>
        <w:spacing w:before="120" w:after="120"/>
      </w:pP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1701"/>
        <w:gridCol w:w="1701"/>
        <w:gridCol w:w="1701"/>
        <w:gridCol w:w="1826"/>
      </w:tblGrid>
      <w:tr w:rsidR="00493519" w:rsidRPr="00CD1B41" w14:paraId="275B88C8" w14:textId="77777777" w:rsidTr="0076061C">
        <w:trPr>
          <w:trHeight w:val="1603"/>
        </w:trPr>
        <w:tc>
          <w:tcPr>
            <w:tcW w:w="2689" w:type="dxa"/>
          </w:tcPr>
          <w:p w14:paraId="03755564" w14:textId="77777777" w:rsidR="00493519" w:rsidRPr="00CD1B41" w:rsidRDefault="00493519" w:rsidP="004E49B0">
            <w:pPr>
              <w:spacing w:before="120" w:after="120"/>
            </w:pPr>
            <w:r w:rsidRPr="00CD1B41">
              <w:t>Participant characteristics</w:t>
            </w:r>
          </w:p>
        </w:tc>
        <w:tc>
          <w:tcPr>
            <w:tcW w:w="1701" w:type="dxa"/>
          </w:tcPr>
          <w:p w14:paraId="47598228" w14:textId="77777777" w:rsidR="00493519" w:rsidRPr="00CD1B41" w:rsidRDefault="00493519" w:rsidP="004E49B0">
            <w:pPr>
              <w:spacing w:before="120" w:after="120"/>
              <w:rPr>
                <w:rFonts w:eastAsia="Gentium Basic"/>
                <w:b/>
              </w:rPr>
            </w:pPr>
            <w:r w:rsidRPr="00CD1B41">
              <w:rPr>
                <w:rFonts w:eastAsia="Gentium Basic"/>
                <w:b/>
              </w:rPr>
              <w:t>All students</w:t>
            </w:r>
          </w:p>
          <w:p w14:paraId="4FE309CA" w14:textId="77777777" w:rsidR="00493519" w:rsidRPr="00CD1B41" w:rsidRDefault="00493519" w:rsidP="004E49B0">
            <w:pPr>
              <w:spacing w:before="120" w:after="120"/>
              <w:rPr>
                <w:rFonts w:eastAsia="Gentium Basic"/>
                <w:sz w:val="22"/>
              </w:rPr>
            </w:pPr>
          </w:p>
          <w:p w14:paraId="53FB7707" w14:textId="77777777" w:rsidR="00493519" w:rsidRPr="00CD1B41" w:rsidRDefault="00493519" w:rsidP="004E49B0">
            <w:pPr>
              <w:spacing w:before="120" w:after="120"/>
            </w:pPr>
            <w:r w:rsidRPr="00CD1B41">
              <w:rPr>
                <w:rFonts w:eastAsia="Gentium Basic"/>
                <w:sz w:val="22"/>
              </w:rPr>
              <w:t>(mean score, SD)</w:t>
            </w:r>
          </w:p>
        </w:tc>
        <w:tc>
          <w:tcPr>
            <w:tcW w:w="1701" w:type="dxa"/>
          </w:tcPr>
          <w:p w14:paraId="71122FEA" w14:textId="77777777" w:rsidR="00493519" w:rsidRPr="00CD1B41" w:rsidRDefault="00493519" w:rsidP="004E49B0">
            <w:pPr>
              <w:spacing w:before="120" w:after="120"/>
            </w:pPr>
            <w:r w:rsidRPr="00CD1B41">
              <w:rPr>
                <w:rFonts w:eastAsia="Gentium Basic"/>
                <w:b/>
              </w:rPr>
              <w:t>Taught with ARS</w:t>
            </w:r>
          </w:p>
          <w:p w14:paraId="61C5252F" w14:textId="77777777" w:rsidR="00493519" w:rsidRPr="00CD1B41" w:rsidRDefault="00493519" w:rsidP="004E49B0">
            <w:pPr>
              <w:spacing w:before="120" w:after="120"/>
            </w:pPr>
            <w:r w:rsidRPr="00CD1B41">
              <w:rPr>
                <w:rFonts w:eastAsia="Gentium Basic"/>
                <w:sz w:val="22"/>
              </w:rPr>
              <w:t>(mean score, SD)</w:t>
            </w:r>
          </w:p>
        </w:tc>
        <w:tc>
          <w:tcPr>
            <w:tcW w:w="1701" w:type="dxa"/>
          </w:tcPr>
          <w:p w14:paraId="63305B9B" w14:textId="77777777" w:rsidR="00493519" w:rsidRPr="00CD1B41" w:rsidRDefault="00493519" w:rsidP="004E49B0">
            <w:pPr>
              <w:spacing w:before="120" w:after="120"/>
            </w:pPr>
            <w:r w:rsidRPr="00CD1B41">
              <w:rPr>
                <w:rFonts w:eastAsia="Gentium Basic"/>
                <w:b/>
              </w:rPr>
              <w:t>Taught without ARS</w:t>
            </w:r>
          </w:p>
          <w:p w14:paraId="513739DA" w14:textId="77777777" w:rsidR="00493519" w:rsidRPr="00CD1B41" w:rsidRDefault="00493519" w:rsidP="004E49B0">
            <w:pPr>
              <w:spacing w:before="120" w:after="120"/>
            </w:pPr>
            <w:r w:rsidRPr="00CD1B41">
              <w:rPr>
                <w:rFonts w:eastAsia="Gentium Basic"/>
                <w:sz w:val="22"/>
              </w:rPr>
              <w:t>(mean score, SD)</w:t>
            </w:r>
          </w:p>
        </w:tc>
        <w:tc>
          <w:tcPr>
            <w:tcW w:w="1826" w:type="dxa"/>
          </w:tcPr>
          <w:p w14:paraId="7E35EF08" w14:textId="6A173D7D" w:rsidR="006C173B" w:rsidRDefault="006C173B" w:rsidP="004E49B0">
            <w:pPr>
              <w:spacing w:before="120" w:after="120"/>
              <w:rPr>
                <w:rFonts w:eastAsia="Gentium Basic"/>
                <w:b/>
              </w:rPr>
            </w:pPr>
            <w:r>
              <w:rPr>
                <w:rFonts w:eastAsia="Gentium Basic"/>
                <w:b/>
                <w:i/>
              </w:rPr>
              <w:t>p</w:t>
            </w:r>
            <w:r w:rsidR="00493519" w:rsidRPr="00CD1B41">
              <w:rPr>
                <w:rFonts w:eastAsia="Gentium Basic"/>
                <w:b/>
              </w:rPr>
              <w:t>-value</w:t>
            </w:r>
            <w:r>
              <w:rPr>
                <w:rFonts w:eastAsia="Gentium Basic"/>
                <w:b/>
              </w:rPr>
              <w:t xml:space="preserve"> </w:t>
            </w:r>
          </w:p>
          <w:p w14:paraId="67D0D152" w14:textId="77777777" w:rsidR="006C173B" w:rsidRDefault="006C173B" w:rsidP="004E49B0">
            <w:pPr>
              <w:spacing w:before="120" w:after="120"/>
              <w:rPr>
                <w:rFonts w:eastAsia="Gentium Basic"/>
                <w:sz w:val="22"/>
                <w:szCs w:val="22"/>
              </w:rPr>
            </w:pPr>
          </w:p>
          <w:p w14:paraId="4BC38895" w14:textId="189EC751" w:rsidR="00493519" w:rsidRPr="00CD1B41" w:rsidRDefault="006C173B" w:rsidP="006C173B">
            <w:pPr>
              <w:spacing w:before="120" w:after="120"/>
            </w:pPr>
            <w:r w:rsidRPr="0076061C">
              <w:rPr>
                <w:rFonts w:eastAsia="Gentium Basic"/>
                <w:sz w:val="22"/>
                <w:szCs w:val="22"/>
              </w:rPr>
              <w:t>(ARS versus non-ARS group)</w:t>
            </w:r>
            <w:r w:rsidRPr="006C173B" w:rsidDel="006C173B">
              <w:rPr>
                <w:sz w:val="22"/>
                <w:szCs w:val="22"/>
              </w:rPr>
              <w:t xml:space="preserve"> </w:t>
            </w:r>
          </w:p>
        </w:tc>
      </w:tr>
      <w:tr w:rsidR="00493519" w:rsidRPr="00CD1B41" w14:paraId="461497D6" w14:textId="77777777" w:rsidTr="004E49B0">
        <w:tc>
          <w:tcPr>
            <w:tcW w:w="9618" w:type="dxa"/>
            <w:gridSpan w:val="5"/>
          </w:tcPr>
          <w:p w14:paraId="7D9B3386" w14:textId="03D15677" w:rsidR="00493519" w:rsidRPr="00CD1B41" w:rsidRDefault="00493519" w:rsidP="004E49B0">
            <w:pPr>
              <w:spacing w:before="120" w:after="120"/>
            </w:pPr>
            <w:r w:rsidRPr="00CD1B41">
              <w:rPr>
                <w:rFonts w:eastAsia="Gentium Basic"/>
                <w:b/>
              </w:rPr>
              <w:t xml:space="preserve">Immediate post-lecture test scores </w:t>
            </w:r>
            <w:r w:rsidRPr="00CD1B41">
              <w:rPr>
                <w:rFonts w:eastAsia="Gentium Basic"/>
              </w:rPr>
              <w:t>(maximum score of 20)</w:t>
            </w:r>
          </w:p>
        </w:tc>
      </w:tr>
      <w:tr w:rsidR="00493519" w:rsidRPr="00CD1B41" w14:paraId="28ED9BE2" w14:textId="77777777" w:rsidTr="004E49B0">
        <w:tc>
          <w:tcPr>
            <w:tcW w:w="2689" w:type="dxa"/>
          </w:tcPr>
          <w:p w14:paraId="1F11C5D6" w14:textId="77777777" w:rsidR="00493519" w:rsidRPr="00CD1B41" w:rsidRDefault="00493519" w:rsidP="004E49B0">
            <w:pPr>
              <w:spacing w:before="120" w:after="120"/>
            </w:pPr>
            <w:r w:rsidRPr="00CD1B41">
              <w:rPr>
                <w:rFonts w:eastAsia="Gentium Basic"/>
              </w:rPr>
              <w:t xml:space="preserve">  Male</w:t>
            </w:r>
          </w:p>
        </w:tc>
        <w:tc>
          <w:tcPr>
            <w:tcW w:w="1701" w:type="dxa"/>
          </w:tcPr>
          <w:p w14:paraId="07DF5519" w14:textId="77777777" w:rsidR="00493519" w:rsidRPr="00CD1B41" w:rsidRDefault="00493519" w:rsidP="004E49B0">
            <w:pPr>
              <w:spacing w:before="120" w:after="120"/>
            </w:pPr>
            <w:r w:rsidRPr="00CD1B41">
              <w:rPr>
                <w:rFonts w:eastAsia="Gentium Basic"/>
              </w:rPr>
              <w:t>16.6 (3.4)</w:t>
            </w:r>
          </w:p>
        </w:tc>
        <w:tc>
          <w:tcPr>
            <w:tcW w:w="1701" w:type="dxa"/>
          </w:tcPr>
          <w:p w14:paraId="1DD055F5" w14:textId="77777777" w:rsidR="00493519" w:rsidRPr="00CD1B41" w:rsidRDefault="00493519" w:rsidP="004E49B0">
            <w:pPr>
              <w:spacing w:before="120" w:after="120"/>
            </w:pPr>
            <w:r w:rsidRPr="00CD1B41">
              <w:rPr>
                <w:rFonts w:eastAsia="Gentium Basic"/>
              </w:rPr>
              <w:t>17.7 (2.5)</w:t>
            </w:r>
          </w:p>
        </w:tc>
        <w:tc>
          <w:tcPr>
            <w:tcW w:w="1701" w:type="dxa"/>
          </w:tcPr>
          <w:p w14:paraId="5C7E627B" w14:textId="77777777" w:rsidR="00493519" w:rsidRPr="00CD1B41" w:rsidRDefault="00493519" w:rsidP="004E49B0">
            <w:pPr>
              <w:spacing w:before="120" w:after="120"/>
            </w:pPr>
            <w:r w:rsidRPr="00CD1B41">
              <w:rPr>
                <w:rFonts w:eastAsia="Gentium Basic"/>
              </w:rPr>
              <w:t>15.1 (3.7)</w:t>
            </w:r>
          </w:p>
        </w:tc>
        <w:tc>
          <w:tcPr>
            <w:tcW w:w="1826" w:type="dxa"/>
          </w:tcPr>
          <w:p w14:paraId="7794F7A6" w14:textId="77777777" w:rsidR="00493519" w:rsidRPr="00CD1B41" w:rsidRDefault="00493519" w:rsidP="004E49B0">
            <w:pPr>
              <w:spacing w:before="120" w:after="120"/>
            </w:pPr>
            <w:r w:rsidRPr="00CD1B41">
              <w:rPr>
                <w:rFonts w:eastAsia="Gentium Basic"/>
              </w:rPr>
              <w:t>0.02</w:t>
            </w:r>
          </w:p>
        </w:tc>
      </w:tr>
      <w:tr w:rsidR="00493519" w:rsidRPr="00CD1B41" w14:paraId="035298B8" w14:textId="77777777" w:rsidTr="004E49B0">
        <w:tc>
          <w:tcPr>
            <w:tcW w:w="2689" w:type="dxa"/>
          </w:tcPr>
          <w:p w14:paraId="3E81FB41" w14:textId="77777777" w:rsidR="00493519" w:rsidRPr="00CD1B41" w:rsidRDefault="00493519" w:rsidP="004E49B0">
            <w:pPr>
              <w:spacing w:before="120" w:after="120"/>
            </w:pPr>
            <w:r w:rsidRPr="00CD1B41">
              <w:rPr>
                <w:rFonts w:eastAsia="Gentium Basic"/>
              </w:rPr>
              <w:t xml:space="preserve">  Female</w:t>
            </w:r>
          </w:p>
        </w:tc>
        <w:tc>
          <w:tcPr>
            <w:tcW w:w="1701" w:type="dxa"/>
          </w:tcPr>
          <w:p w14:paraId="1B90B166" w14:textId="77777777" w:rsidR="00493519" w:rsidRPr="00CD1B41" w:rsidRDefault="00493519" w:rsidP="004E49B0">
            <w:pPr>
              <w:spacing w:before="120" w:after="120"/>
            </w:pPr>
            <w:r w:rsidRPr="00CD1B41">
              <w:rPr>
                <w:rFonts w:eastAsia="Gentium Basic"/>
              </w:rPr>
              <w:t>16.6 (2.2)</w:t>
            </w:r>
          </w:p>
        </w:tc>
        <w:tc>
          <w:tcPr>
            <w:tcW w:w="1701" w:type="dxa"/>
          </w:tcPr>
          <w:p w14:paraId="18F26628" w14:textId="77777777" w:rsidR="00493519" w:rsidRPr="00CD1B41" w:rsidRDefault="00493519" w:rsidP="004E49B0">
            <w:pPr>
              <w:spacing w:before="120" w:after="120"/>
            </w:pPr>
            <w:r w:rsidRPr="00CD1B41">
              <w:rPr>
                <w:rFonts w:eastAsia="Gentium Basic"/>
              </w:rPr>
              <w:t>17.0 (2.2)</w:t>
            </w:r>
          </w:p>
        </w:tc>
        <w:tc>
          <w:tcPr>
            <w:tcW w:w="1701" w:type="dxa"/>
          </w:tcPr>
          <w:p w14:paraId="2645C6AD" w14:textId="77777777" w:rsidR="00493519" w:rsidRPr="00CD1B41" w:rsidRDefault="00493519" w:rsidP="004E49B0">
            <w:pPr>
              <w:spacing w:before="120" w:after="120"/>
            </w:pPr>
            <w:r w:rsidRPr="00CD1B41">
              <w:rPr>
                <w:rFonts w:eastAsia="Gentium Basic"/>
              </w:rPr>
              <w:t>16.1 (2.1)</w:t>
            </w:r>
          </w:p>
        </w:tc>
        <w:tc>
          <w:tcPr>
            <w:tcW w:w="1826" w:type="dxa"/>
          </w:tcPr>
          <w:p w14:paraId="5DE3B2E3" w14:textId="77777777" w:rsidR="00493519" w:rsidRPr="00CD1B41" w:rsidRDefault="00493519" w:rsidP="004E49B0">
            <w:pPr>
              <w:spacing w:before="120" w:after="120"/>
            </w:pPr>
            <w:r w:rsidRPr="00CD1B41">
              <w:rPr>
                <w:rFonts w:eastAsia="Gentium Basic"/>
              </w:rPr>
              <w:t>0.25</w:t>
            </w:r>
          </w:p>
        </w:tc>
      </w:tr>
      <w:tr w:rsidR="00493519" w:rsidRPr="00CD1B41" w14:paraId="21F91BB9" w14:textId="77777777" w:rsidTr="004E49B0">
        <w:tc>
          <w:tcPr>
            <w:tcW w:w="2689" w:type="dxa"/>
          </w:tcPr>
          <w:p w14:paraId="12B96DB0" w14:textId="77777777" w:rsidR="00493519" w:rsidRPr="00CD1B41" w:rsidRDefault="00493519" w:rsidP="004E49B0">
            <w:pPr>
              <w:spacing w:before="120" w:after="120"/>
            </w:pPr>
            <w:r w:rsidRPr="00CD1B41">
              <w:rPr>
                <w:rFonts w:eastAsia="Gentium Basic"/>
              </w:rPr>
              <w:t xml:space="preserve">  Year 1</w:t>
            </w:r>
          </w:p>
        </w:tc>
        <w:tc>
          <w:tcPr>
            <w:tcW w:w="1701" w:type="dxa"/>
          </w:tcPr>
          <w:p w14:paraId="6EB1BE2C" w14:textId="77777777" w:rsidR="00493519" w:rsidRPr="00CD1B41" w:rsidRDefault="00493519" w:rsidP="004E49B0">
            <w:pPr>
              <w:spacing w:before="120" w:after="120"/>
            </w:pPr>
            <w:r w:rsidRPr="00CD1B41">
              <w:rPr>
                <w:rFonts w:eastAsia="Gentium Basic"/>
              </w:rPr>
              <w:t>15.8 (2.4)</w:t>
            </w:r>
          </w:p>
        </w:tc>
        <w:tc>
          <w:tcPr>
            <w:tcW w:w="1701" w:type="dxa"/>
          </w:tcPr>
          <w:p w14:paraId="33D98889" w14:textId="77777777" w:rsidR="00493519" w:rsidRPr="00CD1B41" w:rsidRDefault="00493519" w:rsidP="004E49B0">
            <w:pPr>
              <w:spacing w:before="120" w:after="120"/>
            </w:pPr>
            <w:r w:rsidRPr="00CD1B41">
              <w:rPr>
                <w:rFonts w:eastAsia="Gentium Basic"/>
              </w:rPr>
              <w:t>16.0 (2.3)</w:t>
            </w:r>
          </w:p>
        </w:tc>
        <w:tc>
          <w:tcPr>
            <w:tcW w:w="1701" w:type="dxa"/>
          </w:tcPr>
          <w:p w14:paraId="3B57AEA3" w14:textId="77777777" w:rsidR="00493519" w:rsidRPr="00CD1B41" w:rsidRDefault="00493519" w:rsidP="004E49B0">
            <w:pPr>
              <w:spacing w:before="120" w:after="120"/>
            </w:pPr>
            <w:r w:rsidRPr="00CD1B41">
              <w:rPr>
                <w:rFonts w:eastAsia="Gentium Basic"/>
              </w:rPr>
              <w:t>15.6 (2.5)</w:t>
            </w:r>
          </w:p>
        </w:tc>
        <w:tc>
          <w:tcPr>
            <w:tcW w:w="1826" w:type="dxa"/>
          </w:tcPr>
          <w:p w14:paraId="2DD365E7" w14:textId="77777777" w:rsidR="00493519" w:rsidRPr="00CD1B41" w:rsidRDefault="00493519" w:rsidP="004E49B0">
            <w:pPr>
              <w:spacing w:before="120" w:after="120"/>
            </w:pPr>
            <w:r w:rsidRPr="00CD1B41">
              <w:rPr>
                <w:rFonts w:eastAsia="Gentium Basic"/>
              </w:rPr>
              <w:t>0.65</w:t>
            </w:r>
          </w:p>
        </w:tc>
      </w:tr>
      <w:tr w:rsidR="00493519" w:rsidRPr="00CD1B41" w14:paraId="0E415885" w14:textId="77777777" w:rsidTr="004E49B0">
        <w:tc>
          <w:tcPr>
            <w:tcW w:w="2689" w:type="dxa"/>
          </w:tcPr>
          <w:p w14:paraId="6CA942A6" w14:textId="77777777" w:rsidR="00493519" w:rsidRPr="00CD1B41" w:rsidRDefault="00493519" w:rsidP="004E49B0">
            <w:pPr>
              <w:spacing w:before="120" w:after="120"/>
            </w:pPr>
            <w:r w:rsidRPr="00CD1B41">
              <w:rPr>
                <w:rFonts w:eastAsia="Gentium Basic"/>
              </w:rPr>
              <w:t xml:space="preserve">  Year 2</w:t>
            </w:r>
          </w:p>
        </w:tc>
        <w:tc>
          <w:tcPr>
            <w:tcW w:w="1701" w:type="dxa"/>
          </w:tcPr>
          <w:p w14:paraId="346ECE38" w14:textId="77777777" w:rsidR="00493519" w:rsidRPr="00CD1B41" w:rsidRDefault="00493519" w:rsidP="004E49B0">
            <w:pPr>
              <w:spacing w:before="120" w:after="120"/>
            </w:pPr>
            <w:r w:rsidRPr="00CD1B41">
              <w:rPr>
                <w:rFonts w:eastAsia="Gentium Basic"/>
              </w:rPr>
              <w:t>17.2 (2.3)</w:t>
            </w:r>
          </w:p>
        </w:tc>
        <w:tc>
          <w:tcPr>
            <w:tcW w:w="1701" w:type="dxa"/>
          </w:tcPr>
          <w:p w14:paraId="19EA142F" w14:textId="77777777" w:rsidR="00493519" w:rsidRPr="00CD1B41" w:rsidRDefault="00493519" w:rsidP="004E49B0">
            <w:pPr>
              <w:spacing w:before="120" w:after="120"/>
            </w:pPr>
            <w:r w:rsidRPr="00CD1B41">
              <w:rPr>
                <w:rFonts w:eastAsia="Gentium Basic"/>
              </w:rPr>
              <w:t>17.9 (2.1)</w:t>
            </w:r>
          </w:p>
        </w:tc>
        <w:tc>
          <w:tcPr>
            <w:tcW w:w="1701" w:type="dxa"/>
          </w:tcPr>
          <w:p w14:paraId="441520BF" w14:textId="77777777" w:rsidR="00493519" w:rsidRPr="00CD1B41" w:rsidRDefault="00493519" w:rsidP="004E49B0">
            <w:pPr>
              <w:spacing w:before="120" w:after="120"/>
            </w:pPr>
            <w:r w:rsidRPr="00CD1B41">
              <w:rPr>
                <w:rFonts w:eastAsia="Gentium Basic"/>
              </w:rPr>
              <w:t>16.2 (2.2)</w:t>
            </w:r>
          </w:p>
        </w:tc>
        <w:tc>
          <w:tcPr>
            <w:tcW w:w="1826" w:type="dxa"/>
          </w:tcPr>
          <w:p w14:paraId="799618C6" w14:textId="77777777" w:rsidR="00493519" w:rsidRPr="00CD1B41" w:rsidRDefault="00493519" w:rsidP="004E49B0">
            <w:pPr>
              <w:spacing w:before="120" w:after="120"/>
            </w:pPr>
            <w:r w:rsidRPr="00CD1B41">
              <w:rPr>
                <w:rFonts w:eastAsia="Gentium Basic"/>
              </w:rPr>
              <w:t>0.04</w:t>
            </w:r>
          </w:p>
        </w:tc>
      </w:tr>
      <w:tr w:rsidR="00493519" w:rsidRPr="00CD1B41" w14:paraId="5043B808" w14:textId="77777777" w:rsidTr="004E49B0">
        <w:tc>
          <w:tcPr>
            <w:tcW w:w="2689" w:type="dxa"/>
          </w:tcPr>
          <w:p w14:paraId="7BEDB211" w14:textId="5EC43B0F" w:rsidR="00493519" w:rsidRPr="00CD1B41" w:rsidRDefault="0056344E" w:rsidP="004E49B0">
            <w:pPr>
              <w:spacing w:before="120" w:after="120"/>
            </w:pPr>
            <w:r>
              <w:rPr>
                <w:rFonts w:eastAsia="Gentium Basic"/>
              </w:rPr>
              <w:t xml:space="preserve">  Year 3/ </w:t>
            </w:r>
            <w:r w:rsidR="00493519" w:rsidRPr="00CD1B41">
              <w:rPr>
                <w:rFonts w:eastAsia="Gentium Basic"/>
              </w:rPr>
              <w:t>intercalated</w:t>
            </w:r>
          </w:p>
        </w:tc>
        <w:tc>
          <w:tcPr>
            <w:tcW w:w="1701" w:type="dxa"/>
          </w:tcPr>
          <w:p w14:paraId="68D52884" w14:textId="77777777" w:rsidR="00493519" w:rsidRPr="00CD1B41" w:rsidRDefault="00493519" w:rsidP="004E49B0">
            <w:pPr>
              <w:spacing w:before="120" w:after="120"/>
            </w:pPr>
            <w:r w:rsidRPr="00CD1B41">
              <w:rPr>
                <w:rFonts w:eastAsia="Gentium Basic"/>
              </w:rPr>
              <w:t>17.2 (4.2)</w:t>
            </w:r>
          </w:p>
        </w:tc>
        <w:tc>
          <w:tcPr>
            <w:tcW w:w="1701" w:type="dxa"/>
          </w:tcPr>
          <w:p w14:paraId="548030FC" w14:textId="77777777" w:rsidR="00493519" w:rsidRPr="00CD1B41" w:rsidRDefault="00493519" w:rsidP="004E49B0">
            <w:pPr>
              <w:spacing w:before="120" w:after="120"/>
            </w:pPr>
            <w:r w:rsidRPr="00CD1B41">
              <w:rPr>
                <w:rFonts w:eastAsia="Gentium Basic"/>
              </w:rPr>
              <w:t>18.2 (2.1)</w:t>
            </w:r>
          </w:p>
        </w:tc>
        <w:tc>
          <w:tcPr>
            <w:tcW w:w="1701" w:type="dxa"/>
          </w:tcPr>
          <w:p w14:paraId="54E41600" w14:textId="77777777" w:rsidR="00493519" w:rsidRPr="00CD1B41" w:rsidRDefault="00493519" w:rsidP="004E49B0">
            <w:pPr>
              <w:spacing w:before="120" w:after="120"/>
            </w:pPr>
            <w:r w:rsidRPr="00CD1B41">
              <w:rPr>
                <w:rFonts w:eastAsia="Gentium Basic"/>
              </w:rPr>
              <w:t>14.0 (7.8)</w:t>
            </w:r>
          </w:p>
        </w:tc>
        <w:tc>
          <w:tcPr>
            <w:tcW w:w="1826" w:type="dxa"/>
          </w:tcPr>
          <w:p w14:paraId="4D2CF1C4" w14:textId="77777777" w:rsidR="00493519" w:rsidRPr="00CD1B41" w:rsidRDefault="00493519" w:rsidP="004E49B0">
            <w:pPr>
              <w:spacing w:before="120" w:after="120"/>
            </w:pPr>
            <w:r w:rsidRPr="00CD1B41">
              <w:rPr>
                <w:rFonts w:eastAsia="Gentium Basic"/>
              </w:rPr>
              <w:t>0.39</w:t>
            </w:r>
            <w:r w:rsidRPr="00CD1B41">
              <w:rPr>
                <w:rFonts w:eastAsia="Gentium Basic"/>
                <w:vertAlign w:val="superscript"/>
              </w:rPr>
              <w:t>*</w:t>
            </w:r>
          </w:p>
        </w:tc>
      </w:tr>
      <w:tr w:rsidR="00493519" w:rsidRPr="00CD1B41" w14:paraId="52E8F26F" w14:textId="77777777" w:rsidTr="004E49B0">
        <w:tc>
          <w:tcPr>
            <w:tcW w:w="2689" w:type="dxa"/>
          </w:tcPr>
          <w:p w14:paraId="50F7DDDA" w14:textId="77777777" w:rsidR="00493519" w:rsidRPr="00CD1B41" w:rsidRDefault="00493519" w:rsidP="004E49B0">
            <w:pPr>
              <w:spacing w:before="120" w:after="120"/>
            </w:pPr>
            <w:r w:rsidRPr="00CD1B41">
              <w:rPr>
                <w:rFonts w:eastAsia="Gentium Basic"/>
              </w:rPr>
              <w:t>All group participants</w:t>
            </w:r>
          </w:p>
        </w:tc>
        <w:tc>
          <w:tcPr>
            <w:tcW w:w="1701" w:type="dxa"/>
          </w:tcPr>
          <w:p w14:paraId="5006D0F5" w14:textId="77777777" w:rsidR="00493519" w:rsidRPr="00CD1B41" w:rsidRDefault="00493519" w:rsidP="004E49B0">
            <w:pPr>
              <w:spacing w:before="120" w:after="120"/>
            </w:pPr>
            <w:r w:rsidRPr="00CD1B41">
              <w:rPr>
                <w:rFonts w:eastAsia="Gentium Basic"/>
              </w:rPr>
              <w:t>16.6 (2.8)</w:t>
            </w:r>
          </w:p>
        </w:tc>
        <w:tc>
          <w:tcPr>
            <w:tcW w:w="1701" w:type="dxa"/>
          </w:tcPr>
          <w:p w14:paraId="308B1BE6" w14:textId="77777777" w:rsidR="00493519" w:rsidRPr="00CD1B41" w:rsidRDefault="00493519" w:rsidP="004E49B0">
            <w:pPr>
              <w:spacing w:before="120" w:after="120"/>
            </w:pPr>
            <w:r w:rsidRPr="00CD1B41">
              <w:rPr>
                <w:rFonts w:eastAsia="Gentium Basic"/>
              </w:rPr>
              <w:t>17.3 (2.3)</w:t>
            </w:r>
          </w:p>
        </w:tc>
        <w:tc>
          <w:tcPr>
            <w:tcW w:w="1701" w:type="dxa"/>
          </w:tcPr>
          <w:p w14:paraId="63BA18AD" w14:textId="77777777" w:rsidR="00493519" w:rsidRPr="00CD1B41" w:rsidRDefault="00493519" w:rsidP="004E49B0">
            <w:pPr>
              <w:spacing w:before="120" w:after="120"/>
            </w:pPr>
            <w:r w:rsidRPr="00CD1B41">
              <w:rPr>
                <w:rFonts w:eastAsia="Gentium Basic"/>
              </w:rPr>
              <w:t>15.6 (3.0)</w:t>
            </w:r>
          </w:p>
        </w:tc>
        <w:tc>
          <w:tcPr>
            <w:tcW w:w="1826" w:type="dxa"/>
          </w:tcPr>
          <w:p w14:paraId="755181AE" w14:textId="77777777" w:rsidR="00493519" w:rsidRPr="00CD1B41" w:rsidRDefault="00493519" w:rsidP="004E49B0">
            <w:pPr>
              <w:spacing w:before="120" w:after="120"/>
            </w:pPr>
            <w:r w:rsidRPr="00CD1B41">
              <w:rPr>
                <w:rFonts w:eastAsia="Gentium Basic"/>
              </w:rPr>
              <w:t>0.01</w:t>
            </w:r>
          </w:p>
        </w:tc>
      </w:tr>
      <w:tr w:rsidR="00493519" w:rsidRPr="00CD1B41" w14:paraId="7AC07CE3" w14:textId="77777777" w:rsidTr="004E49B0">
        <w:tc>
          <w:tcPr>
            <w:tcW w:w="9618" w:type="dxa"/>
            <w:gridSpan w:val="5"/>
          </w:tcPr>
          <w:p w14:paraId="4DA980D6" w14:textId="51FF525A" w:rsidR="00493519" w:rsidRPr="00CD1B41" w:rsidRDefault="00493519" w:rsidP="004E49B0">
            <w:pPr>
              <w:spacing w:before="120" w:after="120"/>
            </w:pPr>
            <w:r w:rsidRPr="00CD1B41">
              <w:rPr>
                <w:rFonts w:eastAsia="Gentium Basic"/>
                <w:b/>
              </w:rPr>
              <w:t xml:space="preserve">Final post-lecture test scores </w:t>
            </w:r>
            <w:r w:rsidRPr="00CD1B41">
              <w:rPr>
                <w:rFonts w:eastAsia="Gentium Basic"/>
              </w:rPr>
              <w:t>(maximum score of 20)</w:t>
            </w:r>
          </w:p>
        </w:tc>
      </w:tr>
      <w:tr w:rsidR="00493519" w:rsidRPr="00CD1B41" w14:paraId="36C9D4D9" w14:textId="77777777" w:rsidTr="004E49B0">
        <w:tc>
          <w:tcPr>
            <w:tcW w:w="2689" w:type="dxa"/>
          </w:tcPr>
          <w:p w14:paraId="458406ED" w14:textId="77777777" w:rsidR="00493519" w:rsidRPr="00CD1B41" w:rsidRDefault="00493519" w:rsidP="004E49B0">
            <w:pPr>
              <w:spacing w:before="120" w:after="120"/>
            </w:pPr>
            <w:r w:rsidRPr="00CD1B41">
              <w:rPr>
                <w:rFonts w:eastAsia="Gentium Basic"/>
              </w:rPr>
              <w:t xml:space="preserve">  Male</w:t>
            </w:r>
          </w:p>
        </w:tc>
        <w:tc>
          <w:tcPr>
            <w:tcW w:w="1701" w:type="dxa"/>
          </w:tcPr>
          <w:p w14:paraId="750A92AD" w14:textId="77777777" w:rsidR="00493519" w:rsidRPr="00CD1B41" w:rsidRDefault="00493519" w:rsidP="004E49B0">
            <w:pPr>
              <w:spacing w:before="120" w:after="120"/>
            </w:pPr>
            <w:r w:rsidRPr="00CD1B41">
              <w:rPr>
                <w:rFonts w:eastAsia="Gentium Basic"/>
              </w:rPr>
              <w:t>10.1 (3.6)</w:t>
            </w:r>
          </w:p>
        </w:tc>
        <w:tc>
          <w:tcPr>
            <w:tcW w:w="1701" w:type="dxa"/>
          </w:tcPr>
          <w:p w14:paraId="31A9FC39" w14:textId="77777777" w:rsidR="00493519" w:rsidRPr="00CD1B41" w:rsidRDefault="00493519" w:rsidP="004E49B0">
            <w:pPr>
              <w:spacing w:before="120" w:after="120"/>
            </w:pPr>
            <w:r w:rsidRPr="00CD1B41">
              <w:rPr>
                <w:rFonts w:eastAsia="Gentium Basic"/>
              </w:rPr>
              <w:t>9.9 (3.1)</w:t>
            </w:r>
          </w:p>
        </w:tc>
        <w:tc>
          <w:tcPr>
            <w:tcW w:w="1701" w:type="dxa"/>
          </w:tcPr>
          <w:p w14:paraId="613DD678" w14:textId="77777777" w:rsidR="00493519" w:rsidRPr="00CD1B41" w:rsidRDefault="00493519" w:rsidP="004E49B0">
            <w:pPr>
              <w:spacing w:before="120" w:after="120"/>
            </w:pPr>
            <w:r w:rsidRPr="00CD1B41">
              <w:rPr>
                <w:rFonts w:eastAsia="Gentium Basic"/>
              </w:rPr>
              <w:t>10.6 (4.4)</w:t>
            </w:r>
          </w:p>
        </w:tc>
        <w:tc>
          <w:tcPr>
            <w:tcW w:w="1826" w:type="dxa"/>
          </w:tcPr>
          <w:p w14:paraId="1C59A98A" w14:textId="77777777" w:rsidR="00493519" w:rsidRPr="00CD1B41" w:rsidRDefault="00493519" w:rsidP="004E49B0">
            <w:pPr>
              <w:spacing w:before="120" w:after="120"/>
            </w:pPr>
            <w:r w:rsidRPr="00CD1B41">
              <w:rPr>
                <w:rFonts w:eastAsia="Gentium Basic"/>
              </w:rPr>
              <w:t>0.61</w:t>
            </w:r>
          </w:p>
        </w:tc>
      </w:tr>
      <w:tr w:rsidR="00493519" w:rsidRPr="00CD1B41" w14:paraId="52A5267E" w14:textId="77777777" w:rsidTr="004E49B0">
        <w:tc>
          <w:tcPr>
            <w:tcW w:w="2689" w:type="dxa"/>
          </w:tcPr>
          <w:p w14:paraId="77F747C5" w14:textId="77777777" w:rsidR="00493519" w:rsidRPr="00CD1B41" w:rsidRDefault="00493519" w:rsidP="004E49B0">
            <w:pPr>
              <w:spacing w:before="120" w:after="120"/>
            </w:pPr>
            <w:r w:rsidRPr="00CD1B41">
              <w:rPr>
                <w:rFonts w:eastAsia="Gentium Basic"/>
              </w:rPr>
              <w:t xml:space="preserve">  Female</w:t>
            </w:r>
          </w:p>
        </w:tc>
        <w:tc>
          <w:tcPr>
            <w:tcW w:w="1701" w:type="dxa"/>
          </w:tcPr>
          <w:p w14:paraId="64894095" w14:textId="77777777" w:rsidR="00493519" w:rsidRPr="00CD1B41" w:rsidRDefault="00493519" w:rsidP="004E49B0">
            <w:pPr>
              <w:spacing w:before="120" w:after="120"/>
            </w:pPr>
            <w:r w:rsidRPr="00CD1B41">
              <w:rPr>
                <w:rFonts w:eastAsia="Gentium Basic"/>
              </w:rPr>
              <w:t>10.7 (2.9)</w:t>
            </w:r>
          </w:p>
        </w:tc>
        <w:tc>
          <w:tcPr>
            <w:tcW w:w="1701" w:type="dxa"/>
          </w:tcPr>
          <w:p w14:paraId="007F8340" w14:textId="77777777" w:rsidR="00493519" w:rsidRPr="00CD1B41" w:rsidRDefault="00493519" w:rsidP="004E49B0">
            <w:pPr>
              <w:spacing w:before="120" w:after="120"/>
            </w:pPr>
            <w:r w:rsidRPr="00CD1B41">
              <w:rPr>
                <w:rFonts w:eastAsia="Gentium Basic"/>
              </w:rPr>
              <w:t>11.1 (3.2)</w:t>
            </w:r>
          </w:p>
        </w:tc>
        <w:tc>
          <w:tcPr>
            <w:tcW w:w="1701" w:type="dxa"/>
          </w:tcPr>
          <w:p w14:paraId="36DAF00A" w14:textId="77777777" w:rsidR="00493519" w:rsidRPr="00CD1B41" w:rsidRDefault="00493519" w:rsidP="004E49B0">
            <w:pPr>
              <w:spacing w:before="120" w:after="120"/>
            </w:pPr>
            <w:r w:rsidRPr="00CD1B41">
              <w:rPr>
                <w:rFonts w:eastAsia="Gentium Basic"/>
              </w:rPr>
              <w:t>10.1 (2.3)</w:t>
            </w:r>
          </w:p>
        </w:tc>
        <w:tc>
          <w:tcPr>
            <w:tcW w:w="1826" w:type="dxa"/>
          </w:tcPr>
          <w:p w14:paraId="0837758C" w14:textId="77777777" w:rsidR="00493519" w:rsidRPr="00CD1B41" w:rsidRDefault="00493519" w:rsidP="004E49B0">
            <w:pPr>
              <w:spacing w:before="120" w:after="120"/>
            </w:pPr>
            <w:r w:rsidRPr="00CD1B41">
              <w:rPr>
                <w:rFonts w:eastAsia="Gentium Basic"/>
              </w:rPr>
              <w:t>0.33</w:t>
            </w:r>
          </w:p>
        </w:tc>
      </w:tr>
      <w:tr w:rsidR="00493519" w:rsidRPr="00CD1B41" w14:paraId="5887F56B" w14:textId="77777777" w:rsidTr="004E49B0">
        <w:tc>
          <w:tcPr>
            <w:tcW w:w="2689" w:type="dxa"/>
          </w:tcPr>
          <w:p w14:paraId="24C2972D" w14:textId="77777777" w:rsidR="00493519" w:rsidRPr="00CD1B41" w:rsidRDefault="00493519" w:rsidP="004E49B0">
            <w:pPr>
              <w:spacing w:before="120" w:after="120"/>
            </w:pPr>
            <w:r w:rsidRPr="00CD1B41">
              <w:rPr>
                <w:rFonts w:eastAsia="Gentium Basic"/>
              </w:rPr>
              <w:t xml:space="preserve">  Year 1</w:t>
            </w:r>
          </w:p>
        </w:tc>
        <w:tc>
          <w:tcPr>
            <w:tcW w:w="1701" w:type="dxa"/>
          </w:tcPr>
          <w:p w14:paraId="582E664C" w14:textId="77777777" w:rsidR="00493519" w:rsidRPr="00CD1B41" w:rsidRDefault="00493519" w:rsidP="004E49B0">
            <w:pPr>
              <w:spacing w:before="120" w:after="120"/>
            </w:pPr>
            <w:r w:rsidRPr="00CD1B41">
              <w:rPr>
                <w:rFonts w:eastAsia="Gentium Basic"/>
              </w:rPr>
              <w:t>8.9 (3.0)</w:t>
            </w:r>
          </w:p>
        </w:tc>
        <w:tc>
          <w:tcPr>
            <w:tcW w:w="1701" w:type="dxa"/>
          </w:tcPr>
          <w:p w14:paraId="0717605B" w14:textId="77777777" w:rsidR="00493519" w:rsidRPr="00CD1B41" w:rsidRDefault="00493519" w:rsidP="004E49B0">
            <w:pPr>
              <w:spacing w:before="120" w:after="120"/>
            </w:pPr>
            <w:r w:rsidRPr="00CD1B41">
              <w:rPr>
                <w:rFonts w:eastAsia="Gentium Basic"/>
              </w:rPr>
              <w:t>8.7 (3.1)</w:t>
            </w:r>
          </w:p>
        </w:tc>
        <w:tc>
          <w:tcPr>
            <w:tcW w:w="1701" w:type="dxa"/>
          </w:tcPr>
          <w:p w14:paraId="26D8485E" w14:textId="77777777" w:rsidR="00493519" w:rsidRPr="00CD1B41" w:rsidRDefault="00493519" w:rsidP="004E49B0">
            <w:pPr>
              <w:spacing w:before="120" w:after="120"/>
            </w:pPr>
            <w:r w:rsidRPr="00CD1B41">
              <w:rPr>
                <w:rFonts w:eastAsia="Gentium Basic"/>
              </w:rPr>
              <w:t>9.1 (3.0)</w:t>
            </w:r>
          </w:p>
        </w:tc>
        <w:tc>
          <w:tcPr>
            <w:tcW w:w="1826" w:type="dxa"/>
          </w:tcPr>
          <w:p w14:paraId="525D18A9" w14:textId="77777777" w:rsidR="00493519" w:rsidRPr="00CD1B41" w:rsidRDefault="00493519" w:rsidP="004E49B0">
            <w:pPr>
              <w:spacing w:before="120" w:after="120"/>
            </w:pPr>
            <w:r w:rsidRPr="00CD1B41">
              <w:rPr>
                <w:rFonts w:eastAsia="Gentium Basic"/>
              </w:rPr>
              <w:t>0.75</w:t>
            </w:r>
          </w:p>
        </w:tc>
      </w:tr>
      <w:tr w:rsidR="00493519" w:rsidRPr="00CD1B41" w14:paraId="6E9A068F" w14:textId="77777777" w:rsidTr="004E49B0">
        <w:tc>
          <w:tcPr>
            <w:tcW w:w="2689" w:type="dxa"/>
          </w:tcPr>
          <w:p w14:paraId="72DEE488" w14:textId="77777777" w:rsidR="00493519" w:rsidRPr="00CD1B41" w:rsidRDefault="00493519" w:rsidP="004E49B0">
            <w:pPr>
              <w:spacing w:before="120" w:after="120"/>
            </w:pPr>
            <w:r w:rsidRPr="00CD1B41">
              <w:rPr>
                <w:rFonts w:eastAsia="Gentium Basic"/>
              </w:rPr>
              <w:t xml:space="preserve">  Year 2</w:t>
            </w:r>
          </w:p>
        </w:tc>
        <w:tc>
          <w:tcPr>
            <w:tcW w:w="1701" w:type="dxa"/>
          </w:tcPr>
          <w:p w14:paraId="6BF22D5D" w14:textId="77777777" w:rsidR="00493519" w:rsidRPr="00CD1B41" w:rsidRDefault="00493519" w:rsidP="004E49B0">
            <w:pPr>
              <w:spacing w:before="120" w:after="120"/>
            </w:pPr>
            <w:r w:rsidRPr="00CD1B41">
              <w:rPr>
                <w:rFonts w:eastAsia="Gentium Basic"/>
              </w:rPr>
              <w:t>11.0 (2.8)</w:t>
            </w:r>
          </w:p>
        </w:tc>
        <w:tc>
          <w:tcPr>
            <w:tcW w:w="1701" w:type="dxa"/>
          </w:tcPr>
          <w:p w14:paraId="44C341A5" w14:textId="77777777" w:rsidR="00493519" w:rsidRPr="00CD1B41" w:rsidRDefault="00493519" w:rsidP="004E49B0">
            <w:pPr>
              <w:spacing w:before="120" w:after="120"/>
            </w:pPr>
            <w:r w:rsidRPr="00CD1B41">
              <w:rPr>
                <w:rFonts w:eastAsia="Gentium Basic"/>
              </w:rPr>
              <w:t>11.3 (3.0)</w:t>
            </w:r>
          </w:p>
        </w:tc>
        <w:tc>
          <w:tcPr>
            <w:tcW w:w="1701" w:type="dxa"/>
          </w:tcPr>
          <w:p w14:paraId="11BA3056" w14:textId="77777777" w:rsidR="00493519" w:rsidRPr="00CD1B41" w:rsidRDefault="00493519" w:rsidP="004E49B0">
            <w:pPr>
              <w:spacing w:before="120" w:after="120"/>
            </w:pPr>
            <w:r w:rsidRPr="00CD1B41">
              <w:rPr>
                <w:rFonts w:eastAsia="Gentium Basic"/>
              </w:rPr>
              <w:t>10.6 (2.5)</w:t>
            </w:r>
          </w:p>
        </w:tc>
        <w:tc>
          <w:tcPr>
            <w:tcW w:w="1826" w:type="dxa"/>
          </w:tcPr>
          <w:p w14:paraId="2EDCFB1B" w14:textId="77777777" w:rsidR="00493519" w:rsidRPr="00CD1B41" w:rsidRDefault="00493519" w:rsidP="004E49B0">
            <w:pPr>
              <w:spacing w:before="120" w:after="120"/>
            </w:pPr>
            <w:r w:rsidRPr="00CD1B41">
              <w:rPr>
                <w:rFonts w:eastAsia="Gentium Basic"/>
              </w:rPr>
              <w:t>0.54</w:t>
            </w:r>
          </w:p>
        </w:tc>
      </w:tr>
      <w:tr w:rsidR="00493519" w:rsidRPr="00CD1B41" w14:paraId="55E87E28" w14:textId="77777777" w:rsidTr="004E49B0">
        <w:tc>
          <w:tcPr>
            <w:tcW w:w="2689" w:type="dxa"/>
          </w:tcPr>
          <w:p w14:paraId="25FA8E4B" w14:textId="6A5D76B1" w:rsidR="00493519" w:rsidRPr="00CD1B41" w:rsidRDefault="0056344E" w:rsidP="004E49B0">
            <w:pPr>
              <w:spacing w:before="120" w:after="120"/>
            </w:pPr>
            <w:r>
              <w:rPr>
                <w:rFonts w:eastAsia="Gentium Basic"/>
              </w:rPr>
              <w:t xml:space="preserve">  Year 3/ </w:t>
            </w:r>
            <w:r w:rsidR="00493519" w:rsidRPr="00CD1B41">
              <w:rPr>
                <w:rFonts w:eastAsia="Gentium Basic"/>
              </w:rPr>
              <w:t>intercalated</w:t>
            </w:r>
          </w:p>
        </w:tc>
        <w:tc>
          <w:tcPr>
            <w:tcW w:w="1701" w:type="dxa"/>
          </w:tcPr>
          <w:p w14:paraId="18318DEB" w14:textId="77777777" w:rsidR="00493519" w:rsidRPr="00CD1B41" w:rsidRDefault="00493519" w:rsidP="004E49B0">
            <w:pPr>
              <w:spacing w:before="120" w:after="120"/>
            </w:pPr>
            <w:r w:rsidRPr="00CD1B41">
              <w:rPr>
                <w:rFonts w:eastAsia="Gentium Basic"/>
              </w:rPr>
              <w:t>12.5 (3.4)</w:t>
            </w:r>
          </w:p>
        </w:tc>
        <w:tc>
          <w:tcPr>
            <w:tcW w:w="1701" w:type="dxa"/>
          </w:tcPr>
          <w:p w14:paraId="401E2C77" w14:textId="77777777" w:rsidR="00493519" w:rsidRPr="00CD1B41" w:rsidRDefault="00493519" w:rsidP="004E49B0">
            <w:pPr>
              <w:spacing w:before="120" w:after="120"/>
            </w:pPr>
            <w:r w:rsidRPr="00CD1B41">
              <w:rPr>
                <w:rFonts w:eastAsia="Gentium Basic"/>
              </w:rPr>
              <w:t>11.8 (2.6)</w:t>
            </w:r>
          </w:p>
        </w:tc>
        <w:tc>
          <w:tcPr>
            <w:tcW w:w="1701" w:type="dxa"/>
          </w:tcPr>
          <w:p w14:paraId="609C9EA1" w14:textId="77777777" w:rsidR="00493519" w:rsidRPr="00CD1B41" w:rsidRDefault="00493519" w:rsidP="004E49B0">
            <w:pPr>
              <w:spacing w:before="120" w:after="120"/>
            </w:pPr>
            <w:r w:rsidRPr="00CD1B41">
              <w:rPr>
                <w:rFonts w:eastAsia="Gentium Basic"/>
              </w:rPr>
              <w:t>16.0 (5.7)</w:t>
            </w:r>
          </w:p>
        </w:tc>
        <w:tc>
          <w:tcPr>
            <w:tcW w:w="1826" w:type="dxa"/>
          </w:tcPr>
          <w:p w14:paraId="737E78AD" w14:textId="77777777" w:rsidR="00493519" w:rsidRPr="00CD1B41" w:rsidRDefault="00493519" w:rsidP="004E49B0">
            <w:pPr>
              <w:spacing w:before="120" w:after="120"/>
            </w:pPr>
            <w:r w:rsidRPr="00CD1B41">
              <w:rPr>
                <w:rFonts w:eastAsia="Gentium Basic"/>
              </w:rPr>
              <w:t>0.18</w:t>
            </w:r>
            <w:r w:rsidRPr="00CD1B41">
              <w:rPr>
                <w:rFonts w:eastAsia="Gentium Basic"/>
                <w:vertAlign w:val="superscript"/>
              </w:rPr>
              <w:t>*</w:t>
            </w:r>
          </w:p>
        </w:tc>
      </w:tr>
      <w:tr w:rsidR="00493519" w:rsidRPr="00CD1B41" w14:paraId="0454CB37" w14:textId="77777777" w:rsidTr="004E49B0">
        <w:tc>
          <w:tcPr>
            <w:tcW w:w="2689" w:type="dxa"/>
          </w:tcPr>
          <w:p w14:paraId="533CA15E" w14:textId="77777777" w:rsidR="00493519" w:rsidRPr="00CD1B41" w:rsidRDefault="00493519" w:rsidP="004E49B0">
            <w:pPr>
              <w:spacing w:before="120" w:after="120"/>
            </w:pPr>
            <w:r w:rsidRPr="00CD1B41">
              <w:rPr>
                <w:rFonts w:eastAsia="Gentium Basic"/>
              </w:rPr>
              <w:t>All group participants</w:t>
            </w:r>
          </w:p>
        </w:tc>
        <w:tc>
          <w:tcPr>
            <w:tcW w:w="1701" w:type="dxa"/>
          </w:tcPr>
          <w:p w14:paraId="58076F02" w14:textId="77777777" w:rsidR="00493519" w:rsidRPr="00CD1B41" w:rsidRDefault="00493519" w:rsidP="004E49B0">
            <w:pPr>
              <w:spacing w:before="120" w:after="120"/>
            </w:pPr>
            <w:r w:rsidRPr="00CD1B41">
              <w:rPr>
                <w:rFonts w:eastAsia="Gentium Basic"/>
              </w:rPr>
              <w:t>10.4 (3.2)</w:t>
            </w:r>
          </w:p>
        </w:tc>
        <w:tc>
          <w:tcPr>
            <w:tcW w:w="1701" w:type="dxa"/>
          </w:tcPr>
          <w:p w14:paraId="303A9417" w14:textId="77777777" w:rsidR="00493519" w:rsidRPr="00CD1B41" w:rsidRDefault="00493519" w:rsidP="004E49B0">
            <w:pPr>
              <w:spacing w:before="120" w:after="120"/>
            </w:pPr>
            <w:r w:rsidRPr="00CD1B41">
              <w:rPr>
                <w:rFonts w:eastAsia="Gentium Basic"/>
              </w:rPr>
              <w:t>10.5 (3.2)</w:t>
            </w:r>
          </w:p>
        </w:tc>
        <w:tc>
          <w:tcPr>
            <w:tcW w:w="1701" w:type="dxa"/>
          </w:tcPr>
          <w:p w14:paraId="52501391" w14:textId="77777777" w:rsidR="00493519" w:rsidRPr="00CD1B41" w:rsidRDefault="00493519" w:rsidP="004E49B0">
            <w:pPr>
              <w:spacing w:before="120" w:after="120"/>
            </w:pPr>
            <w:r w:rsidRPr="00CD1B41">
              <w:rPr>
                <w:rFonts w:eastAsia="Gentium Basic"/>
              </w:rPr>
              <w:t>10.1 (3.4)</w:t>
            </w:r>
          </w:p>
        </w:tc>
        <w:tc>
          <w:tcPr>
            <w:tcW w:w="1826" w:type="dxa"/>
          </w:tcPr>
          <w:p w14:paraId="650B7A04" w14:textId="77777777" w:rsidR="00493519" w:rsidRPr="00CD1B41" w:rsidRDefault="00493519" w:rsidP="004E49B0">
            <w:pPr>
              <w:spacing w:before="120" w:after="120"/>
            </w:pPr>
            <w:r w:rsidRPr="00CD1B41">
              <w:rPr>
                <w:rFonts w:eastAsia="Gentium Basic"/>
              </w:rPr>
              <w:t>0.61</w:t>
            </w:r>
          </w:p>
        </w:tc>
      </w:tr>
    </w:tbl>
    <w:p w14:paraId="4404B5B4" w14:textId="77777777" w:rsidR="00493519" w:rsidRPr="00CD1B41" w:rsidRDefault="00493519" w:rsidP="00493519">
      <w:pPr>
        <w:spacing w:before="120" w:after="120"/>
      </w:pPr>
    </w:p>
    <w:p w14:paraId="03BB8120" w14:textId="1E513F47" w:rsidR="00493519" w:rsidRPr="00CD1B41" w:rsidRDefault="00493519" w:rsidP="00493519">
      <w:pPr>
        <w:spacing w:before="120" w:after="120"/>
      </w:pPr>
      <w:r w:rsidRPr="00CD1B41">
        <w:t xml:space="preserve">Significance testing was carried out using 2-sample t-tests, except in the rows indicated with a *, where the Wilcoxon rank sum method with continuity correction was used </w:t>
      </w:r>
      <w:r w:rsidR="009B7ADD">
        <w:t>owing</w:t>
      </w:r>
      <w:r w:rsidRPr="00CD1B41">
        <w:t xml:space="preserve"> to small numbers.</w:t>
      </w:r>
    </w:p>
    <w:p w14:paraId="4B556E15" w14:textId="77777777" w:rsidR="00493519" w:rsidRPr="00CD1B41" w:rsidRDefault="00493519" w:rsidP="00493519">
      <w:pPr>
        <w:spacing w:before="120" w:after="120"/>
        <w:rPr>
          <w:rFonts w:eastAsia="Gentium Basic"/>
          <w:b/>
        </w:rPr>
      </w:pPr>
    </w:p>
    <w:p w14:paraId="276D0415" w14:textId="77777777" w:rsidR="00493519" w:rsidRPr="00CD1B41" w:rsidRDefault="00493519" w:rsidP="00493519">
      <w:pPr>
        <w:rPr>
          <w:rFonts w:eastAsia="Gentium Basic"/>
          <w:b/>
        </w:rPr>
      </w:pPr>
    </w:p>
    <w:sectPr w:rsidR="00493519" w:rsidRPr="00CD1B41" w:rsidSect="0085449A">
      <w:footerReference w:type="even" r:id="rId10"/>
      <w:footerReference w:type="default" r:id="rId11"/>
      <w:pgSz w:w="11900" w:h="16840"/>
      <w:pgMar w:top="1440" w:right="1797" w:bottom="1440" w:left="179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ohn Larkin" w:date="2017-10-16T14:54:00Z" w:initials="JL">
    <w:p w14:paraId="4D7997E6" w14:textId="4470CEF3" w:rsidR="001A2162" w:rsidRDefault="001A2162">
      <w:pPr>
        <w:pStyle w:val="CommentText"/>
      </w:pPr>
      <w:r>
        <w:rPr>
          <w:rStyle w:val="CommentReference"/>
        </w:rPr>
        <w:annotationRef/>
      </w:r>
      <w:r>
        <w:t>Is this planned to be “a novel way of genuinely bridging the gap…” or is it the novelty that you wish to emphasise?</w:t>
      </w:r>
    </w:p>
  </w:comment>
  <w:comment w:id="2" w:author="Stuart Fergusson" w:date="2017-10-17T13:30:00Z" w:initials="SF">
    <w:p w14:paraId="23987A75" w14:textId="51064586" w:rsidR="007E3425" w:rsidRDefault="007E3425">
      <w:pPr>
        <w:pStyle w:val="CommentText"/>
      </w:pPr>
      <w:r>
        <w:rPr>
          <w:rStyle w:val="CommentReference"/>
        </w:rPr>
        <w:annotationRef/>
      </w:r>
      <w:r>
        <w:t>the latter – it is suggested that ARS are a methodology that provides a unique and effective way to more meaningfully connect learners and educators; so would prefer wording as it is.</w:t>
      </w:r>
    </w:p>
  </w:comment>
  <w:comment w:id="3" w:author="John Larkin" w:date="2017-10-16T14:56:00Z" w:initials="JL">
    <w:p w14:paraId="39689D63" w14:textId="3E618CBA" w:rsidR="001A2162" w:rsidRDefault="001A2162">
      <w:pPr>
        <w:pStyle w:val="CommentText"/>
      </w:pPr>
      <w:r>
        <w:rPr>
          <w:rStyle w:val="CommentReference"/>
        </w:rPr>
        <w:annotationRef/>
      </w:r>
      <w:r>
        <w:t>“detailing” assumes it does have efficacy</w:t>
      </w:r>
    </w:p>
  </w:comment>
  <w:comment w:id="4" w:author="John Larkin" w:date="2017-10-16T15:03:00Z" w:initials="JL">
    <w:p w14:paraId="25641FE6" w14:textId="45ABCB84" w:rsidR="001966AA" w:rsidRDefault="001966AA">
      <w:pPr>
        <w:pStyle w:val="CommentText"/>
      </w:pPr>
      <w:r>
        <w:rPr>
          <w:rStyle w:val="CommentReference"/>
        </w:rPr>
        <w:annotationRef/>
      </w:r>
      <w:r>
        <w:t>These add up to 67. May have to mention if not all questions answered.</w:t>
      </w:r>
    </w:p>
  </w:comment>
  <w:comment w:id="5" w:author="Stuart Fergusson" w:date="2017-10-17T13:44:00Z" w:initials="SF">
    <w:p w14:paraId="0ED8ED4A" w14:textId="7AD803E8" w:rsidR="00291C56" w:rsidRDefault="00291C56">
      <w:pPr>
        <w:pStyle w:val="CommentText"/>
      </w:pPr>
      <w:r>
        <w:rPr>
          <w:rStyle w:val="CommentReference"/>
        </w:rPr>
        <w:annotationRef/>
      </w:r>
      <w:r>
        <w:t>the numbers are correct; another 1 student filled out some questions but not this one.  I’ve added this clarification earlier in the paragraph</w:t>
      </w:r>
    </w:p>
  </w:comment>
  <w:comment w:id="7" w:author="John Larkin" w:date="2017-10-16T15:04:00Z" w:initials="JL">
    <w:p w14:paraId="5DB5E345" w14:textId="00E68673" w:rsidR="001966AA" w:rsidRDefault="001966AA">
      <w:pPr>
        <w:pStyle w:val="CommentText"/>
      </w:pPr>
      <w:r>
        <w:rPr>
          <w:rStyle w:val="CommentReference"/>
        </w:rPr>
        <w:annotationRef/>
      </w:r>
      <w:r>
        <w:t>Is this now correct meaning? (plus shorter….which is a possibility for previous paragraph).</w:t>
      </w:r>
    </w:p>
  </w:comment>
  <w:comment w:id="6" w:author="Stuart Fergusson" w:date="2017-10-17T13:51:00Z" w:initials="SF">
    <w:p w14:paraId="77C2DFBC" w14:textId="5207B56A" w:rsidR="00291C56" w:rsidRDefault="00291C56">
      <w:pPr>
        <w:pStyle w:val="CommentText"/>
      </w:pPr>
      <w:r>
        <w:rPr>
          <w:rStyle w:val="CommentReference"/>
        </w:rPr>
        <w:annotationRef/>
      </w:r>
      <w:r>
        <w:t>yes – good pick up; these were figures for agreed/strongly agreed – and I’ve changed to your suggested wording here and in the paragraph above</w:t>
      </w:r>
    </w:p>
  </w:comment>
  <w:comment w:id="10" w:author="John Larkin" w:date="2017-10-16T15:06:00Z" w:initials="JL">
    <w:p w14:paraId="538AE526" w14:textId="6040DC35" w:rsidR="001966AA" w:rsidRDefault="001966AA">
      <w:pPr>
        <w:pStyle w:val="CommentText"/>
      </w:pPr>
      <w:r>
        <w:rPr>
          <w:rStyle w:val="CommentReference"/>
        </w:rPr>
        <w:annotationRef/>
      </w:r>
      <w:r>
        <w:t>Same thing.</w:t>
      </w:r>
    </w:p>
  </w:comment>
  <w:comment w:id="11" w:author="John Larkin" w:date="2017-10-16T15:07:00Z" w:initials="JL">
    <w:p w14:paraId="700AF2A6" w14:textId="4632433D" w:rsidR="001966AA" w:rsidRDefault="001966AA">
      <w:pPr>
        <w:pStyle w:val="CommentText"/>
      </w:pPr>
      <w:r>
        <w:rPr>
          <w:rStyle w:val="CommentReference"/>
        </w:rPr>
        <w:annotationRef/>
      </w:r>
      <w:r>
        <w:t>Is this correct?</w:t>
      </w:r>
    </w:p>
  </w:comment>
  <w:comment w:id="12" w:author="Stuart Fergusson" w:date="2017-10-17T13:52:00Z" w:initials="SF">
    <w:p w14:paraId="48CFDE51" w14:textId="2515DD96" w:rsidR="00291C56" w:rsidRDefault="00291C56">
      <w:pPr>
        <w:pStyle w:val="CommentText"/>
      </w:pPr>
      <w:r>
        <w:rPr>
          <w:rStyle w:val="CommentReference"/>
        </w:rPr>
        <w:annotationRef/>
      </w:r>
      <w:r>
        <w:t>yes, happy with this subtitle</w:t>
      </w:r>
    </w:p>
  </w:comment>
  <w:comment w:id="13" w:author="John Larkin" w:date="2017-10-16T15:11:00Z" w:initials="JL">
    <w:p w14:paraId="0E6955D8" w14:textId="12123AD5" w:rsidR="001966AA" w:rsidRDefault="001966AA">
      <w:pPr>
        <w:pStyle w:val="CommentText"/>
      </w:pPr>
      <w:r>
        <w:rPr>
          <w:rStyle w:val="CommentReference"/>
        </w:rPr>
        <w:annotationRef/>
      </w:r>
      <w:r>
        <w:t>I have Some slight problems with this. Does it matter – to change perceptions? Is it even a good thing for students to believe they have better knowledge – if they do not? Performance, yes.</w:t>
      </w:r>
    </w:p>
  </w:comment>
  <w:comment w:id="14" w:author="Stuart Fergusson" w:date="2017-10-17T13:57:00Z" w:initials="SF">
    <w:p w14:paraId="3C90D215" w14:textId="260E3C2A" w:rsidR="00796327" w:rsidRDefault="00796327">
      <w:pPr>
        <w:pStyle w:val="CommentText"/>
      </w:pPr>
      <w:r>
        <w:rPr>
          <w:rStyle w:val="CommentReference"/>
        </w:rPr>
        <w:annotationRef/>
      </w:r>
      <w:r>
        <w:t>happy to omit this comment and now just suggest that a more sustained intervention could have improved long-term student performance</w:t>
      </w:r>
    </w:p>
  </w:comment>
  <w:comment w:id="15" w:author="John Larkin" w:date="2017-10-16T15:15:00Z" w:initials="JL">
    <w:p w14:paraId="328C130E" w14:textId="1DA05FFB" w:rsidR="00DC289D" w:rsidRDefault="00DC289D">
      <w:pPr>
        <w:pStyle w:val="CommentText"/>
      </w:pPr>
      <w:r>
        <w:rPr>
          <w:rStyle w:val="CommentReference"/>
        </w:rPr>
        <w:annotationRef/>
      </w:r>
      <w:r>
        <w:t>Insert [23, 24] here.</w:t>
      </w:r>
    </w:p>
  </w:comment>
  <w:comment w:id="16" w:author="Stuart Fergusson" w:date="2017-10-17T13:59:00Z" w:initials="SF">
    <w:p w14:paraId="5AE6897C" w14:textId="51DD9ECE" w:rsidR="00796327" w:rsidRDefault="00796327">
      <w:pPr>
        <w:pStyle w:val="CommentText"/>
      </w:pPr>
      <w:r>
        <w:rPr>
          <w:rStyle w:val="CommentReference"/>
        </w:rPr>
        <w:annotationRef/>
      </w:r>
      <w:r>
        <w:t>done</w:t>
      </w:r>
    </w:p>
  </w:comment>
  <w:comment w:id="17" w:author="John Larkin" w:date="2017-10-16T15:17:00Z" w:initials="JL">
    <w:p w14:paraId="65B2DADC" w14:textId="780BA3A0" w:rsidR="00DC289D" w:rsidRDefault="00DC289D">
      <w:pPr>
        <w:pStyle w:val="CommentText"/>
      </w:pPr>
      <w:r>
        <w:rPr>
          <w:rStyle w:val="CommentReference"/>
        </w:rPr>
        <w:annotationRef/>
      </w:r>
      <w:r>
        <w:t>Does ref 25 prove they are totally useless?</w:t>
      </w:r>
    </w:p>
  </w:comment>
  <w:comment w:id="18" w:author="Stuart Fergusson" w:date="2017-10-17T13:59:00Z" w:initials="SF">
    <w:p w14:paraId="1BB08D49" w14:textId="2F111E4E" w:rsidR="00796327" w:rsidRDefault="00796327">
      <w:pPr>
        <w:pStyle w:val="CommentText"/>
      </w:pPr>
      <w:r>
        <w:rPr>
          <w:rStyle w:val="CommentReference"/>
        </w:rPr>
        <w:annotationRef/>
      </w:r>
      <w:r>
        <w:t>I’ve softened the claim here!</w:t>
      </w:r>
    </w:p>
  </w:comment>
  <w:comment w:id="20" w:author="John Larkin" w:date="2017-10-16T15:21:00Z" w:initials="JL">
    <w:p w14:paraId="50128D2B" w14:textId="47CD549C" w:rsidR="00DC289D" w:rsidRDefault="00DC289D">
      <w:pPr>
        <w:pStyle w:val="CommentText"/>
      </w:pPr>
      <w:r>
        <w:rPr>
          <w:rStyle w:val="CommentReference"/>
        </w:rPr>
        <w:annotationRef/>
      </w:r>
      <w:r>
        <w:t>Though the downside would be that if you are always getting ARS, then it loses its novelty, and would become a non-memorable experience?</w:t>
      </w:r>
    </w:p>
  </w:comment>
  <w:comment w:id="19" w:author="Stuart Fergusson" w:date="2017-10-17T14:09:00Z" w:initials="SF">
    <w:p w14:paraId="62C81852" w14:textId="74EF7AAC" w:rsidR="00390596" w:rsidRDefault="00390596">
      <w:pPr>
        <w:pStyle w:val="CommentText"/>
      </w:pPr>
      <w:r>
        <w:rPr>
          <w:rStyle w:val="CommentReference"/>
        </w:rPr>
        <w:annotationRef/>
      </w:r>
      <w:r>
        <w:t xml:space="preserve">interesting point.  </w:t>
      </w:r>
      <w:r w:rsidR="00572BEE">
        <w:t>This may become the case if the one technology was used in all subjects or teaching environments</w:t>
      </w:r>
      <w:r w:rsidR="00A325D6">
        <w:t xml:space="preserve"> but this is unlikely to become the case; I would also that the experience of being tested in itself is rather more memorable than simply being presented with content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7997E6" w15:done="0"/>
  <w15:commentEx w15:paraId="23987A75" w15:paraIdParent="4D7997E6" w15:done="0"/>
  <w15:commentEx w15:paraId="39689D63" w15:done="0"/>
  <w15:commentEx w15:paraId="25641FE6" w15:done="0"/>
  <w15:commentEx w15:paraId="0ED8ED4A" w15:paraIdParent="25641FE6" w15:done="0"/>
  <w15:commentEx w15:paraId="5DB5E345" w15:done="0"/>
  <w15:commentEx w15:paraId="77C2DFBC" w15:paraIdParent="5DB5E345" w15:done="0"/>
  <w15:commentEx w15:paraId="538AE526" w15:done="0"/>
  <w15:commentEx w15:paraId="700AF2A6" w15:done="0"/>
  <w15:commentEx w15:paraId="48CFDE51" w15:paraIdParent="700AF2A6" w15:done="0"/>
  <w15:commentEx w15:paraId="0E6955D8" w15:done="0"/>
  <w15:commentEx w15:paraId="3C90D215" w15:paraIdParent="0E6955D8" w15:done="0"/>
  <w15:commentEx w15:paraId="328C130E" w15:done="0"/>
  <w15:commentEx w15:paraId="5AE6897C" w15:paraIdParent="328C130E" w15:done="0"/>
  <w15:commentEx w15:paraId="65B2DADC" w15:done="0"/>
  <w15:commentEx w15:paraId="1BB08D49" w15:paraIdParent="65B2DADC" w15:done="0"/>
  <w15:commentEx w15:paraId="50128D2B" w15:done="0"/>
  <w15:commentEx w15:paraId="62C81852" w15:paraIdParent="50128D2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7997E6" w16cid:durableId="1D8F46A3"/>
  <w16cid:commentId w16cid:paraId="23987A75" w16cid:durableId="1D908485"/>
  <w16cid:commentId w16cid:paraId="39689D63" w16cid:durableId="1D8F470F"/>
  <w16cid:commentId w16cid:paraId="25641FE6" w16cid:durableId="1D8F48B9"/>
  <w16cid:commentId w16cid:paraId="0ED8ED4A" w16cid:durableId="1D9087AE"/>
  <w16cid:commentId w16cid:paraId="77C2DFBC" w16cid:durableId="1D90895A"/>
  <w16cid:commentId w16cid:paraId="700AF2A6" w16cid:durableId="1D8F49A4"/>
  <w16cid:commentId w16cid:paraId="48CFDE51" w16cid:durableId="1D9089A8"/>
  <w16cid:commentId w16cid:paraId="0E6955D8" w16cid:durableId="1D8F4AAB"/>
  <w16cid:commentId w16cid:paraId="3C90D215" w16cid:durableId="1D908ABE"/>
  <w16cid:commentId w16cid:paraId="328C130E" w16cid:durableId="1D8F4B95"/>
  <w16cid:commentId w16cid:paraId="5AE6897C" w16cid:durableId="1D908B35"/>
  <w16cid:commentId w16cid:paraId="65B2DADC" w16cid:durableId="1D8F4BEE"/>
  <w16cid:commentId w16cid:paraId="1BB08D49" w16cid:durableId="1D908B59"/>
  <w16cid:commentId w16cid:paraId="62C81852" w16cid:durableId="1D908DB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D2C66" w14:textId="77777777" w:rsidR="00864B21" w:rsidRDefault="00864B21" w:rsidP="00C54CC1">
      <w:r>
        <w:separator/>
      </w:r>
    </w:p>
  </w:endnote>
  <w:endnote w:type="continuationSeparator" w:id="0">
    <w:p w14:paraId="6B7605B3" w14:textId="77777777" w:rsidR="00864B21" w:rsidRDefault="00864B21" w:rsidP="00C54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Gentium Basic">
    <w:altName w:val="Times New Roman"/>
    <w:panose1 w:val="020B0604020202020204"/>
    <w:charset w:val="00"/>
    <w:family w:val="auto"/>
    <w:pitch w:val="variable"/>
    <w:sig w:usb0="00000001" w:usb1="4000204A" w:usb2="00000000" w:usb3="00000000" w:csb0="0000001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014ED" w14:textId="77777777" w:rsidR="00D07E44" w:rsidRDefault="00D07E44" w:rsidP="004E49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10F3A6" w14:textId="77777777" w:rsidR="00D07E44" w:rsidRDefault="00D07E44" w:rsidP="00C54C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3DEDA" w14:textId="074712EA" w:rsidR="00D07E44" w:rsidRDefault="00D07E44" w:rsidP="004E49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3651">
      <w:rPr>
        <w:rStyle w:val="PageNumber"/>
        <w:noProof/>
      </w:rPr>
      <w:t>1</w:t>
    </w:r>
    <w:r>
      <w:rPr>
        <w:rStyle w:val="PageNumber"/>
      </w:rPr>
      <w:fldChar w:fldCharType="end"/>
    </w:r>
  </w:p>
  <w:p w14:paraId="3145F710" w14:textId="77777777" w:rsidR="00D07E44" w:rsidRDefault="00D07E44" w:rsidP="00C54C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9F15E" w14:textId="77777777" w:rsidR="00864B21" w:rsidRDefault="00864B21" w:rsidP="00C54CC1">
      <w:r>
        <w:separator/>
      </w:r>
    </w:p>
  </w:footnote>
  <w:footnote w:type="continuationSeparator" w:id="0">
    <w:p w14:paraId="50AD5AEE" w14:textId="77777777" w:rsidR="00864B21" w:rsidRDefault="00864B21" w:rsidP="00C54CC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Larkin">
    <w15:presenceInfo w15:providerId="Windows Live" w15:userId="34339a113938431b"/>
  </w15:person>
  <w15:person w15:author="Stuart Fergusson">
    <w15:presenceInfo w15:providerId="Windows Live" w15:userId="a1421feadcfa98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122"/>
    <w:rsid w:val="00004CF6"/>
    <w:rsid w:val="000129BE"/>
    <w:rsid w:val="00033C26"/>
    <w:rsid w:val="00055C19"/>
    <w:rsid w:val="00061922"/>
    <w:rsid w:val="00067290"/>
    <w:rsid w:val="000856ED"/>
    <w:rsid w:val="0008718F"/>
    <w:rsid w:val="000A218B"/>
    <w:rsid w:val="000A5BFC"/>
    <w:rsid w:val="000C0DB0"/>
    <w:rsid w:val="000D128D"/>
    <w:rsid w:val="001027E5"/>
    <w:rsid w:val="001069C9"/>
    <w:rsid w:val="00132819"/>
    <w:rsid w:val="00133BB5"/>
    <w:rsid w:val="00166C09"/>
    <w:rsid w:val="00174175"/>
    <w:rsid w:val="0017511D"/>
    <w:rsid w:val="0017660F"/>
    <w:rsid w:val="0017710D"/>
    <w:rsid w:val="0018596B"/>
    <w:rsid w:val="001966AA"/>
    <w:rsid w:val="001A2162"/>
    <w:rsid w:val="001D519A"/>
    <w:rsid w:val="0021415C"/>
    <w:rsid w:val="00245982"/>
    <w:rsid w:val="00250057"/>
    <w:rsid w:val="0027165A"/>
    <w:rsid w:val="00273428"/>
    <w:rsid w:val="002743A9"/>
    <w:rsid w:val="0027569A"/>
    <w:rsid w:val="002776A9"/>
    <w:rsid w:val="00277EB6"/>
    <w:rsid w:val="002845B2"/>
    <w:rsid w:val="00286214"/>
    <w:rsid w:val="00291C56"/>
    <w:rsid w:val="00291D7B"/>
    <w:rsid w:val="002928B2"/>
    <w:rsid w:val="002A387D"/>
    <w:rsid w:val="002A5445"/>
    <w:rsid w:val="002B01FD"/>
    <w:rsid w:val="002B2926"/>
    <w:rsid w:val="002B494B"/>
    <w:rsid w:val="002C0B8A"/>
    <w:rsid w:val="002D3307"/>
    <w:rsid w:val="002D5F7A"/>
    <w:rsid w:val="002F0E27"/>
    <w:rsid w:val="002F6436"/>
    <w:rsid w:val="00300DA3"/>
    <w:rsid w:val="003017E7"/>
    <w:rsid w:val="00301F2A"/>
    <w:rsid w:val="003120DD"/>
    <w:rsid w:val="00312B9F"/>
    <w:rsid w:val="00317BB5"/>
    <w:rsid w:val="0032409C"/>
    <w:rsid w:val="0034304C"/>
    <w:rsid w:val="00357641"/>
    <w:rsid w:val="00381257"/>
    <w:rsid w:val="00390596"/>
    <w:rsid w:val="003915E3"/>
    <w:rsid w:val="003A7457"/>
    <w:rsid w:val="003B1902"/>
    <w:rsid w:val="003B1F9C"/>
    <w:rsid w:val="003B6242"/>
    <w:rsid w:val="003C3526"/>
    <w:rsid w:val="003D4419"/>
    <w:rsid w:val="003F6C1C"/>
    <w:rsid w:val="0041488A"/>
    <w:rsid w:val="00417E23"/>
    <w:rsid w:val="00427952"/>
    <w:rsid w:val="00433B44"/>
    <w:rsid w:val="00445A63"/>
    <w:rsid w:val="00451A1E"/>
    <w:rsid w:val="0046031A"/>
    <w:rsid w:val="00474D6F"/>
    <w:rsid w:val="00477137"/>
    <w:rsid w:val="00484FA0"/>
    <w:rsid w:val="00486E30"/>
    <w:rsid w:val="00493519"/>
    <w:rsid w:val="004A6719"/>
    <w:rsid w:val="004B42F4"/>
    <w:rsid w:val="004B7D78"/>
    <w:rsid w:val="004D3E8F"/>
    <w:rsid w:val="004D7D10"/>
    <w:rsid w:val="004E49B0"/>
    <w:rsid w:val="00502F28"/>
    <w:rsid w:val="005105BD"/>
    <w:rsid w:val="00536F73"/>
    <w:rsid w:val="005413D8"/>
    <w:rsid w:val="00553BF0"/>
    <w:rsid w:val="0055549F"/>
    <w:rsid w:val="005602D1"/>
    <w:rsid w:val="00561172"/>
    <w:rsid w:val="0056344E"/>
    <w:rsid w:val="00563898"/>
    <w:rsid w:val="005669A0"/>
    <w:rsid w:val="00572BEE"/>
    <w:rsid w:val="005849E8"/>
    <w:rsid w:val="00585491"/>
    <w:rsid w:val="00594236"/>
    <w:rsid w:val="00595FAE"/>
    <w:rsid w:val="00596623"/>
    <w:rsid w:val="005A3924"/>
    <w:rsid w:val="005C000D"/>
    <w:rsid w:val="005E0B15"/>
    <w:rsid w:val="005E7442"/>
    <w:rsid w:val="0060588A"/>
    <w:rsid w:val="00607652"/>
    <w:rsid w:val="00623E97"/>
    <w:rsid w:val="00625DDF"/>
    <w:rsid w:val="006525D9"/>
    <w:rsid w:val="006B77C2"/>
    <w:rsid w:val="006C173B"/>
    <w:rsid w:val="006E3469"/>
    <w:rsid w:val="006F0E5F"/>
    <w:rsid w:val="007025E0"/>
    <w:rsid w:val="0070621B"/>
    <w:rsid w:val="00727EB3"/>
    <w:rsid w:val="007537DB"/>
    <w:rsid w:val="0076061C"/>
    <w:rsid w:val="00760C4A"/>
    <w:rsid w:val="00767A37"/>
    <w:rsid w:val="007743B5"/>
    <w:rsid w:val="00776D84"/>
    <w:rsid w:val="00777ABF"/>
    <w:rsid w:val="0078284D"/>
    <w:rsid w:val="00795204"/>
    <w:rsid w:val="00795BD0"/>
    <w:rsid w:val="00796327"/>
    <w:rsid w:val="0079647A"/>
    <w:rsid w:val="007A287A"/>
    <w:rsid w:val="007A4E20"/>
    <w:rsid w:val="007A62AC"/>
    <w:rsid w:val="007A7E71"/>
    <w:rsid w:val="007E3425"/>
    <w:rsid w:val="007E7F67"/>
    <w:rsid w:val="007F12AC"/>
    <w:rsid w:val="00800A16"/>
    <w:rsid w:val="00800B15"/>
    <w:rsid w:val="00817116"/>
    <w:rsid w:val="00836633"/>
    <w:rsid w:val="00852134"/>
    <w:rsid w:val="0085449A"/>
    <w:rsid w:val="00864B21"/>
    <w:rsid w:val="008733B8"/>
    <w:rsid w:val="00882DAD"/>
    <w:rsid w:val="00893306"/>
    <w:rsid w:val="008A28B8"/>
    <w:rsid w:val="008A4C56"/>
    <w:rsid w:val="008A58CA"/>
    <w:rsid w:val="008D1108"/>
    <w:rsid w:val="008E07D4"/>
    <w:rsid w:val="008F2030"/>
    <w:rsid w:val="008F3D64"/>
    <w:rsid w:val="00902B54"/>
    <w:rsid w:val="00907537"/>
    <w:rsid w:val="009208FF"/>
    <w:rsid w:val="009218B4"/>
    <w:rsid w:val="00923C90"/>
    <w:rsid w:val="00923D10"/>
    <w:rsid w:val="00931BA6"/>
    <w:rsid w:val="0094580F"/>
    <w:rsid w:val="0097574C"/>
    <w:rsid w:val="00995B2F"/>
    <w:rsid w:val="009B5C85"/>
    <w:rsid w:val="009B7ADD"/>
    <w:rsid w:val="009C5C20"/>
    <w:rsid w:val="009E79D8"/>
    <w:rsid w:val="009F192E"/>
    <w:rsid w:val="009F1C08"/>
    <w:rsid w:val="00A0171E"/>
    <w:rsid w:val="00A02122"/>
    <w:rsid w:val="00A325D6"/>
    <w:rsid w:val="00A55164"/>
    <w:rsid w:val="00A7314B"/>
    <w:rsid w:val="00A77699"/>
    <w:rsid w:val="00A8020B"/>
    <w:rsid w:val="00A8575B"/>
    <w:rsid w:val="00A85D70"/>
    <w:rsid w:val="00A905EB"/>
    <w:rsid w:val="00A9158E"/>
    <w:rsid w:val="00A94776"/>
    <w:rsid w:val="00A979C9"/>
    <w:rsid w:val="00AA3EA6"/>
    <w:rsid w:val="00AB1EB0"/>
    <w:rsid w:val="00AF0E3C"/>
    <w:rsid w:val="00B02615"/>
    <w:rsid w:val="00B17B3A"/>
    <w:rsid w:val="00B25CDA"/>
    <w:rsid w:val="00B3443D"/>
    <w:rsid w:val="00B4416A"/>
    <w:rsid w:val="00B444BC"/>
    <w:rsid w:val="00B45098"/>
    <w:rsid w:val="00B62776"/>
    <w:rsid w:val="00B6618E"/>
    <w:rsid w:val="00B82D08"/>
    <w:rsid w:val="00B83180"/>
    <w:rsid w:val="00B84974"/>
    <w:rsid w:val="00B86BDC"/>
    <w:rsid w:val="00B950E8"/>
    <w:rsid w:val="00BB1ED3"/>
    <w:rsid w:val="00BF7EDB"/>
    <w:rsid w:val="00C1621E"/>
    <w:rsid w:val="00C24525"/>
    <w:rsid w:val="00C26AD8"/>
    <w:rsid w:val="00C405B3"/>
    <w:rsid w:val="00C4738B"/>
    <w:rsid w:val="00C54CC1"/>
    <w:rsid w:val="00C57B66"/>
    <w:rsid w:val="00C6021D"/>
    <w:rsid w:val="00C61086"/>
    <w:rsid w:val="00C66554"/>
    <w:rsid w:val="00C67652"/>
    <w:rsid w:val="00C758B2"/>
    <w:rsid w:val="00CA0A5A"/>
    <w:rsid w:val="00CC1C69"/>
    <w:rsid w:val="00CC27DE"/>
    <w:rsid w:val="00CD2FD5"/>
    <w:rsid w:val="00D07E44"/>
    <w:rsid w:val="00D21E28"/>
    <w:rsid w:val="00D34847"/>
    <w:rsid w:val="00D51638"/>
    <w:rsid w:val="00D8257A"/>
    <w:rsid w:val="00D86590"/>
    <w:rsid w:val="00D9232A"/>
    <w:rsid w:val="00D97C91"/>
    <w:rsid w:val="00DA6933"/>
    <w:rsid w:val="00DC289D"/>
    <w:rsid w:val="00DC28F3"/>
    <w:rsid w:val="00E129EE"/>
    <w:rsid w:val="00E27435"/>
    <w:rsid w:val="00E4131B"/>
    <w:rsid w:val="00E54A9A"/>
    <w:rsid w:val="00E54EB5"/>
    <w:rsid w:val="00E56A56"/>
    <w:rsid w:val="00E60A77"/>
    <w:rsid w:val="00E704C1"/>
    <w:rsid w:val="00E7109D"/>
    <w:rsid w:val="00E774E6"/>
    <w:rsid w:val="00E777C3"/>
    <w:rsid w:val="00E90A85"/>
    <w:rsid w:val="00E92DA6"/>
    <w:rsid w:val="00EB0561"/>
    <w:rsid w:val="00EB0BBF"/>
    <w:rsid w:val="00EB5A12"/>
    <w:rsid w:val="00EB6129"/>
    <w:rsid w:val="00EC2E65"/>
    <w:rsid w:val="00ED458F"/>
    <w:rsid w:val="00EE5978"/>
    <w:rsid w:val="00EF047B"/>
    <w:rsid w:val="00F148D6"/>
    <w:rsid w:val="00F2711A"/>
    <w:rsid w:val="00F272ED"/>
    <w:rsid w:val="00F32726"/>
    <w:rsid w:val="00F804A3"/>
    <w:rsid w:val="00F932BF"/>
    <w:rsid w:val="00FB3651"/>
    <w:rsid w:val="00FC264D"/>
    <w:rsid w:val="00FD32C1"/>
    <w:rsid w:val="00FE1AA9"/>
    <w:rsid w:val="00FF3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21BF26"/>
  <w14:defaultImageDpi w14:val="300"/>
  <w15:docId w15:val="{890C0381-5DBB-4D53-BBF7-95F7F8EA7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54CC1"/>
    <w:pPr>
      <w:tabs>
        <w:tab w:val="center" w:pos="4320"/>
        <w:tab w:val="right" w:pos="8640"/>
      </w:tabs>
    </w:pPr>
  </w:style>
  <w:style w:type="character" w:customStyle="1" w:styleId="FooterChar">
    <w:name w:val="Footer Char"/>
    <w:basedOn w:val="DefaultParagraphFont"/>
    <w:link w:val="Footer"/>
    <w:uiPriority w:val="99"/>
    <w:rsid w:val="00C54CC1"/>
  </w:style>
  <w:style w:type="character" w:styleId="PageNumber">
    <w:name w:val="page number"/>
    <w:basedOn w:val="DefaultParagraphFont"/>
    <w:uiPriority w:val="99"/>
    <w:semiHidden/>
    <w:unhideWhenUsed/>
    <w:rsid w:val="00C54CC1"/>
  </w:style>
  <w:style w:type="character" w:styleId="LineNumber">
    <w:name w:val="line number"/>
    <w:basedOn w:val="DefaultParagraphFont"/>
    <w:uiPriority w:val="99"/>
    <w:semiHidden/>
    <w:unhideWhenUsed/>
    <w:rsid w:val="00C54CC1"/>
  </w:style>
  <w:style w:type="paragraph" w:styleId="BalloonText">
    <w:name w:val="Balloon Text"/>
    <w:basedOn w:val="Normal"/>
    <w:link w:val="BalloonTextChar"/>
    <w:uiPriority w:val="99"/>
    <w:semiHidden/>
    <w:unhideWhenUsed/>
    <w:rsid w:val="003915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5E3"/>
    <w:rPr>
      <w:rFonts w:ascii="Segoe UI" w:hAnsi="Segoe UI" w:cs="Segoe UI"/>
      <w:sz w:val="18"/>
      <w:szCs w:val="18"/>
    </w:rPr>
  </w:style>
  <w:style w:type="character" w:styleId="CommentReference">
    <w:name w:val="annotation reference"/>
    <w:basedOn w:val="DefaultParagraphFont"/>
    <w:uiPriority w:val="99"/>
    <w:semiHidden/>
    <w:unhideWhenUsed/>
    <w:rsid w:val="003915E3"/>
    <w:rPr>
      <w:sz w:val="16"/>
      <w:szCs w:val="16"/>
    </w:rPr>
  </w:style>
  <w:style w:type="paragraph" w:styleId="CommentText">
    <w:name w:val="annotation text"/>
    <w:basedOn w:val="Normal"/>
    <w:link w:val="CommentTextChar"/>
    <w:uiPriority w:val="99"/>
    <w:semiHidden/>
    <w:unhideWhenUsed/>
    <w:rsid w:val="003915E3"/>
    <w:rPr>
      <w:sz w:val="20"/>
      <w:szCs w:val="20"/>
    </w:rPr>
  </w:style>
  <w:style w:type="character" w:customStyle="1" w:styleId="CommentTextChar">
    <w:name w:val="Comment Text Char"/>
    <w:basedOn w:val="DefaultParagraphFont"/>
    <w:link w:val="CommentText"/>
    <w:uiPriority w:val="99"/>
    <w:semiHidden/>
    <w:rsid w:val="003915E3"/>
    <w:rPr>
      <w:sz w:val="20"/>
      <w:szCs w:val="20"/>
    </w:rPr>
  </w:style>
  <w:style w:type="paragraph" w:styleId="CommentSubject">
    <w:name w:val="annotation subject"/>
    <w:basedOn w:val="CommentText"/>
    <w:next w:val="CommentText"/>
    <w:link w:val="CommentSubjectChar"/>
    <w:uiPriority w:val="99"/>
    <w:semiHidden/>
    <w:unhideWhenUsed/>
    <w:rsid w:val="003915E3"/>
    <w:rPr>
      <w:b/>
      <w:bCs/>
    </w:rPr>
  </w:style>
  <w:style w:type="character" w:customStyle="1" w:styleId="CommentSubjectChar">
    <w:name w:val="Comment Subject Char"/>
    <w:basedOn w:val="CommentTextChar"/>
    <w:link w:val="CommentSubject"/>
    <w:uiPriority w:val="99"/>
    <w:semiHidden/>
    <w:rsid w:val="003915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F2FBF-4FA8-044A-B256-85BE5B531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21</Pages>
  <Words>3706</Words>
  <Characters>21088</Characters>
  <Application>Microsoft Office Word</Application>
  <DocSecurity>0</DocSecurity>
  <Lines>620</Lines>
  <Paragraphs>178</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Gillingwater</dc:creator>
  <cp:keywords/>
  <dc:description/>
  <cp:lastModifiedBy>Gabrielle Finn</cp:lastModifiedBy>
  <cp:revision>3</cp:revision>
  <dcterms:created xsi:type="dcterms:W3CDTF">2019-01-29T18:39:00Z</dcterms:created>
  <dcterms:modified xsi:type="dcterms:W3CDTF">2019-01-29T21:33:00Z</dcterms:modified>
</cp:coreProperties>
</file>