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F917EC3" w14:textId="11881525" w:rsidR="009A20A0" w:rsidRPr="00CA1391" w:rsidRDefault="006A086E" w:rsidP="00DC068D">
      <w:pPr>
        <w:pStyle w:val="BodyA"/>
        <w:spacing w:line="360" w:lineRule="auto"/>
        <w:jc w:val="center"/>
        <w:rPr>
          <w:rFonts w:ascii="Times New Roman" w:eastAsia="Times New Roman" w:hAnsi="Times New Roman" w:cs="Times New Roman"/>
          <w:i/>
          <w:iCs/>
          <w:color w:val="000000" w:themeColor="text1"/>
          <w:sz w:val="24"/>
          <w:szCs w:val="24"/>
        </w:rPr>
      </w:pPr>
      <w:r w:rsidRPr="00CA1391">
        <w:rPr>
          <w:rFonts w:ascii="Times New Roman" w:hAnsi="Times New Roman" w:cs="Times New Roman"/>
          <w:i/>
          <w:iCs/>
          <w:color w:val="000000" w:themeColor="text1"/>
          <w:sz w:val="24"/>
          <w:szCs w:val="24"/>
        </w:rPr>
        <w:t>Social Policy &amp; Society — Special Issue</w:t>
      </w:r>
    </w:p>
    <w:p w14:paraId="49699DCA" w14:textId="5AF85B89" w:rsidR="0070663F" w:rsidRDefault="00CA1391" w:rsidP="00E5543B">
      <w:pPr>
        <w:pStyle w:val="BodyA"/>
        <w:jc w:val="center"/>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Governance Capacity and Institutional Change:</w:t>
      </w:r>
      <w:r w:rsidR="00F403A8">
        <w:rPr>
          <w:rFonts w:ascii="Times New Roman" w:eastAsia="Times New Roman" w:hAnsi="Times New Roman" w:cs="Times New Roman"/>
          <w:color w:val="000000" w:themeColor="text1"/>
          <w:sz w:val="24"/>
          <w:szCs w:val="24"/>
          <w:lang w:eastAsia="en-GB"/>
        </w:rPr>
        <w:t xml:space="preserve"> </w:t>
      </w:r>
      <w:r>
        <w:rPr>
          <w:rFonts w:ascii="Times New Roman" w:eastAsia="Times New Roman" w:hAnsi="Times New Roman" w:cs="Times New Roman"/>
          <w:color w:val="000000" w:themeColor="text1"/>
          <w:sz w:val="24"/>
          <w:szCs w:val="24"/>
          <w:lang w:eastAsia="en-GB"/>
        </w:rPr>
        <w:t xml:space="preserve">Basic Income Reform in European Welfare States </w:t>
      </w:r>
    </w:p>
    <w:p w14:paraId="04DC7555" w14:textId="7EF198D0" w:rsidR="00745C24" w:rsidRDefault="00745C24" w:rsidP="00E5543B">
      <w:pPr>
        <w:pStyle w:val="BodyA"/>
        <w:jc w:val="center"/>
        <w:rPr>
          <w:rFonts w:ascii="Times New Roman" w:eastAsia="Times New Roman" w:hAnsi="Times New Roman" w:cs="Times New Roman"/>
          <w:color w:val="000000" w:themeColor="text1"/>
          <w:sz w:val="24"/>
          <w:szCs w:val="24"/>
          <w:lang w:eastAsia="en-GB"/>
        </w:rPr>
      </w:pPr>
    </w:p>
    <w:p w14:paraId="1580695A" w14:textId="217758FC" w:rsidR="00745C24" w:rsidRPr="00745C24" w:rsidRDefault="00745C24" w:rsidP="00745C24">
      <w:pPr>
        <w:pStyle w:val="BodyA"/>
        <w:rPr>
          <w:rFonts w:ascii="Times New Roman" w:eastAsia="Times New Roman" w:hAnsi="Times New Roman" w:cs="Times New Roman"/>
          <w:color w:val="000000" w:themeColor="text1"/>
          <w:sz w:val="24"/>
          <w:szCs w:val="24"/>
          <w:lang w:eastAsia="en-GB"/>
        </w:rPr>
      </w:pPr>
      <w:bookmarkStart w:id="0" w:name="_GoBack"/>
      <w:bookmarkEnd w:id="0"/>
      <w:r w:rsidRPr="00745C24">
        <w:rPr>
          <w:rFonts w:ascii="Times New Roman" w:hAnsi="Times New Roman" w:cs="Times New Roman"/>
          <w:sz w:val="24"/>
          <w:szCs w:val="24"/>
        </w:rPr>
        <w:t>Louise Haagh</w:t>
      </w:r>
    </w:p>
    <w:p w14:paraId="5C001149" w14:textId="7EFEFB44" w:rsidR="00745C24" w:rsidRPr="00745C24" w:rsidRDefault="00745C24" w:rsidP="00745C24">
      <w:pPr>
        <w:pStyle w:val="BodyA"/>
        <w:rPr>
          <w:rFonts w:ascii="Times New Roman" w:hAnsi="Times New Roman" w:cs="Times New Roman"/>
          <w:sz w:val="24"/>
          <w:szCs w:val="24"/>
        </w:rPr>
      </w:pPr>
      <w:r w:rsidRPr="00745C24">
        <w:rPr>
          <w:rFonts w:ascii="Times New Roman" w:hAnsi="Times New Roman" w:cs="Times New Roman"/>
          <w:sz w:val="24"/>
          <w:szCs w:val="24"/>
        </w:rPr>
        <w:t>Department of Politics, University of York, UK</w:t>
      </w:r>
    </w:p>
    <w:p w14:paraId="16FA5B56" w14:textId="76E556A6" w:rsidR="00745C24" w:rsidRPr="00745C24" w:rsidRDefault="00745C24" w:rsidP="00745C24">
      <w:pPr>
        <w:pStyle w:val="BodyA"/>
        <w:rPr>
          <w:rFonts w:ascii="Times New Roman" w:hAnsi="Times New Roman" w:cs="Times New Roman"/>
          <w:sz w:val="24"/>
          <w:szCs w:val="24"/>
        </w:rPr>
      </w:pPr>
    </w:p>
    <w:p w14:paraId="573A21BA" w14:textId="6D280E15" w:rsidR="00745C24" w:rsidRPr="00745C24" w:rsidRDefault="00745C24" w:rsidP="00745C24">
      <w:pPr>
        <w:pStyle w:val="BodyA"/>
        <w:rPr>
          <w:rFonts w:ascii="Times New Roman" w:hAnsi="Times New Roman" w:cs="Times New Roman"/>
          <w:sz w:val="24"/>
          <w:szCs w:val="24"/>
        </w:rPr>
      </w:pPr>
      <w:r w:rsidRPr="00745C24">
        <w:rPr>
          <w:rFonts w:ascii="Times New Roman" w:hAnsi="Times New Roman" w:cs="Times New Roman"/>
          <w:sz w:val="24"/>
          <w:szCs w:val="24"/>
        </w:rPr>
        <w:t>Social Policy &amp; Society (2019) 18:2, 243–263</w:t>
      </w:r>
    </w:p>
    <w:p w14:paraId="34B12667" w14:textId="4600DA40" w:rsidR="00745C24" w:rsidRPr="00745C24" w:rsidRDefault="00745C24" w:rsidP="00745C24">
      <w:pPr>
        <w:pStyle w:val="BodyA"/>
        <w:rPr>
          <w:rFonts w:ascii="Times New Roman" w:eastAsia="Times New Roman" w:hAnsi="Times New Roman" w:cs="Times New Roman"/>
          <w:color w:val="000000" w:themeColor="text1"/>
          <w:sz w:val="24"/>
          <w:szCs w:val="24"/>
        </w:rPr>
      </w:pPr>
      <w:r w:rsidRPr="00745C24">
        <w:rPr>
          <w:rFonts w:ascii="Times New Roman" w:hAnsi="Times New Roman" w:cs="Times New Roman"/>
          <w:sz w:val="24"/>
          <w:szCs w:val="24"/>
        </w:rPr>
        <w:t>Cambridge University Press</w:t>
      </w:r>
    </w:p>
    <w:p w14:paraId="01017C63" w14:textId="77777777" w:rsidR="00373208" w:rsidRPr="00CA1391" w:rsidRDefault="00373208" w:rsidP="007B0611">
      <w:pPr>
        <w:shd w:val="clear" w:color="auto" w:fill="FFFFFF"/>
        <w:jc w:val="both"/>
        <w:rPr>
          <w:rFonts w:eastAsia="Times New Roman"/>
          <w:color w:val="000000" w:themeColor="text1"/>
          <w:lang w:eastAsia="en-GB"/>
        </w:rPr>
      </w:pPr>
    </w:p>
    <w:p w14:paraId="606E4270" w14:textId="3F3629F1" w:rsidR="0070663F" w:rsidRPr="00CA1391" w:rsidRDefault="0070663F" w:rsidP="00A36221">
      <w:pPr>
        <w:shd w:val="clear" w:color="auto" w:fill="FFFFFF"/>
        <w:jc w:val="both"/>
        <w:rPr>
          <w:color w:val="000000" w:themeColor="text1"/>
        </w:rPr>
      </w:pPr>
      <w:r w:rsidRPr="00CA1391">
        <w:rPr>
          <w:color w:val="000000" w:themeColor="text1"/>
        </w:rPr>
        <w:t>Abstract</w:t>
      </w:r>
    </w:p>
    <w:p w14:paraId="1BF3CD7B" w14:textId="77777777" w:rsidR="000276EE" w:rsidRPr="00CA1391" w:rsidRDefault="000276EE" w:rsidP="00A36221">
      <w:pPr>
        <w:shd w:val="clear" w:color="auto" w:fill="FFFFFF"/>
        <w:jc w:val="both"/>
        <w:rPr>
          <w:color w:val="000000" w:themeColor="text1"/>
        </w:rPr>
      </w:pPr>
    </w:p>
    <w:p w14:paraId="27D24B04" w14:textId="1F3C2D4D" w:rsidR="00A36221" w:rsidRPr="00CA1391" w:rsidRDefault="00A36221" w:rsidP="00A36221">
      <w:pPr>
        <w:shd w:val="clear" w:color="auto" w:fill="FFFFFF"/>
        <w:jc w:val="both"/>
        <w:rPr>
          <w:rFonts w:eastAsia="Times New Roman"/>
          <w:color w:val="000000" w:themeColor="text1"/>
          <w:lang w:eastAsia="en-GB"/>
        </w:rPr>
      </w:pPr>
      <w:r w:rsidRPr="00CA1391">
        <w:rPr>
          <w:rFonts w:eastAsia="Times New Roman"/>
          <w:color w:val="000000" w:themeColor="text1"/>
          <w:lang w:eastAsia="en-GB"/>
        </w:rPr>
        <w:t>This article will situate public debates about and experiments in features of basic income within European countries in the context of welfare state crisis and change. Treating access to basic income security as a policy problem, I argue basic income policy debate highlights the need for multi-level and multifactorial analysis of public gover</w:t>
      </w:r>
      <w:r w:rsidR="003133C6" w:rsidRPr="00CA1391">
        <w:rPr>
          <w:rFonts w:eastAsia="Times New Roman"/>
          <w:color w:val="000000" w:themeColor="text1"/>
          <w:lang w:eastAsia="en-GB"/>
        </w:rPr>
        <w:t xml:space="preserve">nance capacity as a key factor </w:t>
      </w:r>
      <w:r w:rsidR="0070663F" w:rsidRPr="00CA1391">
        <w:rPr>
          <w:rFonts w:eastAsia="Times New Roman"/>
          <w:color w:val="000000" w:themeColor="text1"/>
          <w:lang w:eastAsia="en-GB"/>
        </w:rPr>
        <w:t xml:space="preserve">in </w:t>
      </w:r>
      <w:r w:rsidR="003133C6" w:rsidRPr="00CA1391">
        <w:rPr>
          <w:rFonts w:eastAsia="Times New Roman"/>
          <w:color w:val="000000" w:themeColor="text1"/>
          <w:lang w:eastAsia="en-GB"/>
        </w:rPr>
        <w:t>d</w:t>
      </w:r>
      <w:r w:rsidRPr="00CA1391">
        <w:rPr>
          <w:rFonts w:eastAsia="Times New Roman"/>
          <w:color w:val="000000" w:themeColor="text1"/>
          <w:lang w:eastAsia="en-GB"/>
        </w:rPr>
        <w:t>riving the relationship of basic income with welfare state transforma</w:t>
      </w:r>
      <w:r w:rsidR="000276EE" w:rsidRPr="00CA1391">
        <w:rPr>
          <w:rFonts w:eastAsia="Times New Roman"/>
          <w:color w:val="000000" w:themeColor="text1"/>
          <w:lang w:eastAsia="en-GB"/>
        </w:rPr>
        <w:t xml:space="preserve">tion. </w:t>
      </w:r>
      <w:r w:rsidRPr="00CA1391">
        <w:rPr>
          <w:rFonts w:eastAsia="Times New Roman"/>
          <w:color w:val="000000" w:themeColor="text1"/>
          <w:lang w:eastAsia="en-GB"/>
        </w:rPr>
        <w:t xml:space="preserve">Drawing on the cases within this themed section, I attempt to tease out what comparatively are long-run conditions </w:t>
      </w:r>
      <w:r w:rsidRPr="00CA1391">
        <w:rPr>
          <w:rFonts w:eastAsia="Times New Roman"/>
          <w:i/>
          <w:color w:val="000000" w:themeColor="text1"/>
          <w:lang w:eastAsia="en-GB"/>
        </w:rPr>
        <w:t xml:space="preserve">for </w:t>
      </w:r>
      <w:r w:rsidRPr="00CA1391">
        <w:rPr>
          <w:rFonts w:eastAsia="Times New Roman"/>
          <w:color w:val="000000" w:themeColor="text1"/>
          <w:lang w:eastAsia="en-GB"/>
        </w:rPr>
        <w:t>basic income within state and society, and what are the political and institutional trade-offs at the current juncture</w:t>
      </w:r>
      <w:r w:rsidR="0070663F" w:rsidRPr="00CA1391">
        <w:rPr>
          <w:rFonts w:eastAsia="Times New Roman"/>
          <w:color w:val="000000" w:themeColor="text1"/>
          <w:lang w:eastAsia="en-GB"/>
        </w:rPr>
        <w:t>.</w:t>
      </w:r>
      <w:r w:rsidRPr="00CA1391">
        <w:rPr>
          <w:rFonts w:eastAsia="Times New Roman"/>
          <w:color w:val="000000" w:themeColor="text1"/>
          <w:lang w:eastAsia="en-GB"/>
        </w:rPr>
        <w:t xml:space="preserve"> Exploring contributing determinants of governance corrosion and adaptation of public economic security structures under globalization contributes to deepen our understanding of contemporary patterns of institutional change.</w:t>
      </w:r>
    </w:p>
    <w:p w14:paraId="685A306F" w14:textId="72362744" w:rsidR="009A20A0" w:rsidRPr="00CA1391" w:rsidRDefault="009A20A0" w:rsidP="007B0611">
      <w:pPr>
        <w:pStyle w:val="BodyA"/>
        <w:jc w:val="both"/>
        <w:rPr>
          <w:rFonts w:ascii="Times New Roman" w:eastAsia="Calibri" w:hAnsi="Times New Roman" w:cs="Times New Roman"/>
          <w:bCs/>
          <w:i/>
          <w:iCs/>
          <w:color w:val="000000" w:themeColor="text1"/>
          <w:sz w:val="24"/>
          <w:szCs w:val="24"/>
        </w:rPr>
      </w:pPr>
    </w:p>
    <w:p w14:paraId="6C419DE0" w14:textId="43DEAEDC" w:rsidR="0070663F" w:rsidRPr="00CA1391" w:rsidRDefault="006A086E" w:rsidP="00231327">
      <w:pPr>
        <w:pStyle w:val="BodyA"/>
        <w:jc w:val="both"/>
        <w:rPr>
          <w:rFonts w:ascii="Times New Roman" w:eastAsia="Calibri" w:hAnsi="Times New Roman" w:cs="Times New Roman"/>
          <w:bCs/>
          <w:color w:val="000000" w:themeColor="text1"/>
          <w:sz w:val="24"/>
          <w:szCs w:val="24"/>
          <w:lang w:val="fr-FR"/>
        </w:rPr>
      </w:pPr>
      <w:r w:rsidRPr="00CA1391">
        <w:rPr>
          <w:rFonts w:ascii="Times New Roman" w:eastAsia="Calibri" w:hAnsi="Times New Roman" w:cs="Times New Roman"/>
          <w:bCs/>
          <w:color w:val="000000" w:themeColor="text1"/>
          <w:sz w:val="24"/>
          <w:szCs w:val="24"/>
          <w:lang w:val="fr-FR"/>
        </w:rPr>
        <w:t>Introduction</w:t>
      </w:r>
      <w:r w:rsidR="00231327" w:rsidRPr="00CA1391">
        <w:rPr>
          <w:rFonts w:ascii="Times New Roman" w:eastAsia="Calibri" w:hAnsi="Times New Roman" w:cs="Times New Roman"/>
          <w:bCs/>
          <w:color w:val="000000" w:themeColor="text1"/>
          <w:sz w:val="24"/>
          <w:szCs w:val="24"/>
          <w:lang w:val="fr-FR"/>
        </w:rPr>
        <w:t xml:space="preserve">  </w:t>
      </w:r>
    </w:p>
    <w:p w14:paraId="2081223E" w14:textId="77777777" w:rsidR="00AF30A4" w:rsidRPr="00CA1391" w:rsidRDefault="00AF30A4" w:rsidP="00231327">
      <w:pPr>
        <w:pStyle w:val="BodyA"/>
        <w:jc w:val="both"/>
        <w:rPr>
          <w:rFonts w:ascii="Times New Roman" w:eastAsia="Calibri" w:hAnsi="Times New Roman" w:cs="Times New Roman"/>
          <w:bCs/>
          <w:color w:val="000000" w:themeColor="text1"/>
          <w:sz w:val="24"/>
          <w:szCs w:val="24"/>
          <w:lang w:val="fr-FR"/>
        </w:rPr>
      </w:pPr>
    </w:p>
    <w:p w14:paraId="61E02F43" w14:textId="4CC86D80" w:rsidR="0070663F" w:rsidRPr="00CA1391" w:rsidRDefault="00310FCB" w:rsidP="0070663F">
      <w:pPr>
        <w:pStyle w:val="BodyA"/>
        <w:jc w:val="both"/>
        <w:rPr>
          <w:rFonts w:ascii="Times New Roman" w:hAnsi="Times New Roman" w:cs="Times New Roman"/>
          <w:color w:val="000000" w:themeColor="text1"/>
          <w:sz w:val="24"/>
          <w:szCs w:val="24"/>
        </w:rPr>
      </w:pPr>
      <w:r w:rsidRPr="00CA1391">
        <w:rPr>
          <w:rFonts w:ascii="Times New Roman" w:hAnsi="Times New Roman" w:cs="Times New Roman"/>
          <w:color w:val="000000" w:themeColor="text1"/>
          <w:sz w:val="24"/>
          <w:szCs w:val="24"/>
        </w:rPr>
        <w:t>The basic income proposal involves the granting of regular, non-means-tested cash transfers to all permanent residents of a political territory on an individual basis, without means-test or work requirement. Whilst debate about this scheme as an alternative to means-tested support has a long history, a rise in economic insecurity in post-</w:t>
      </w:r>
      <w:r w:rsidR="00AC240B" w:rsidRPr="00CA1391">
        <w:rPr>
          <w:rFonts w:ascii="Times New Roman" w:hAnsi="Times New Roman" w:cs="Times New Roman"/>
          <w:color w:val="000000" w:themeColor="text1"/>
          <w:sz w:val="24"/>
          <w:szCs w:val="24"/>
        </w:rPr>
        <w:t>crisis</w:t>
      </w:r>
      <w:r w:rsidRPr="00CA1391">
        <w:rPr>
          <w:rFonts w:ascii="Times New Roman" w:hAnsi="Times New Roman" w:cs="Times New Roman"/>
          <w:color w:val="000000" w:themeColor="text1"/>
          <w:sz w:val="24"/>
          <w:szCs w:val="24"/>
        </w:rPr>
        <w:t xml:space="preserve"> Europe has refocused attention from the abstract to the empirical, and from critique of the welfare state to scoping basic income reform in different contexts. </w:t>
      </w:r>
      <w:r w:rsidR="0070663F" w:rsidRPr="00CA1391">
        <w:rPr>
          <w:rFonts w:ascii="Times New Roman" w:hAnsi="Times New Roman" w:cs="Times New Roman"/>
          <w:color w:val="000000" w:themeColor="text1"/>
          <w:sz w:val="24"/>
          <w:szCs w:val="24"/>
        </w:rPr>
        <w:t xml:space="preserve"> A number of factors have pushed basic income onto the political agenda since 2016, and consequently have drawn attention to opportunistic themes. However, media attention belie the real and arguably growing constraints. </w:t>
      </w:r>
    </w:p>
    <w:p w14:paraId="4544EDC3" w14:textId="77777777" w:rsidR="0070663F" w:rsidRPr="00CA1391" w:rsidRDefault="0070663F" w:rsidP="0070663F">
      <w:pPr>
        <w:pStyle w:val="BodyA"/>
        <w:jc w:val="both"/>
        <w:rPr>
          <w:rFonts w:ascii="Times New Roman" w:hAnsi="Times New Roman" w:cs="Times New Roman"/>
          <w:color w:val="000000" w:themeColor="text1"/>
          <w:sz w:val="24"/>
          <w:szCs w:val="24"/>
        </w:rPr>
      </w:pPr>
    </w:p>
    <w:p w14:paraId="29BFE210" w14:textId="688E1AB4" w:rsidR="0070663F" w:rsidRPr="00CA1391" w:rsidRDefault="0070663F" w:rsidP="0070663F">
      <w:pPr>
        <w:pStyle w:val="BodyA"/>
        <w:jc w:val="both"/>
        <w:rPr>
          <w:rFonts w:ascii="Times New Roman" w:hAnsi="Times New Roman" w:cs="Times New Roman"/>
          <w:color w:val="000000" w:themeColor="text1"/>
          <w:sz w:val="24"/>
          <w:szCs w:val="24"/>
        </w:rPr>
      </w:pPr>
      <w:r w:rsidRPr="00CA1391">
        <w:rPr>
          <w:rFonts w:ascii="Times New Roman" w:hAnsi="Times New Roman" w:cs="Times New Roman"/>
          <w:color w:val="000000" w:themeColor="text1"/>
          <w:sz w:val="24"/>
          <w:szCs w:val="24"/>
        </w:rPr>
        <w:t>Specifically, at stake in contemporary income security reform – the direction it takes - is the form of response to crises of incorporation following three decades of market reforms and public austerity. Hence, t</w:t>
      </w:r>
      <w:r w:rsidRPr="00CA1391">
        <w:rPr>
          <w:rFonts w:ascii="Times New Roman" w:eastAsia="Calibri" w:hAnsi="Times New Roman" w:cs="Times New Roman"/>
          <w:color w:val="000000" w:themeColor="text1"/>
          <w:sz w:val="24"/>
          <w:szCs w:val="24"/>
        </w:rPr>
        <w:t xml:space="preserve">he case of basic income reform sheds light on factors that intercede </w:t>
      </w:r>
      <w:r w:rsidRPr="00CA1391">
        <w:rPr>
          <w:rFonts w:ascii="Times New Roman" w:hAnsi="Times New Roman" w:cs="Times New Roman"/>
          <w:color w:val="000000" w:themeColor="text1"/>
          <w:sz w:val="24"/>
          <w:szCs w:val="24"/>
        </w:rPr>
        <w:t>in the contemporary tension between economic liberalisation and democratization, understood as forms of institutional change with, respectively, a propensity to propel the social exclusion and inclusion of citizens.</w:t>
      </w:r>
    </w:p>
    <w:p w14:paraId="0B7F3278" w14:textId="63DFCD58" w:rsidR="0070663F" w:rsidRPr="00CA1391" w:rsidRDefault="0070663F" w:rsidP="00A9292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4"/>
          <w:szCs w:val="24"/>
        </w:rPr>
      </w:pPr>
    </w:p>
    <w:p w14:paraId="24664C45" w14:textId="1D69AA99" w:rsidR="00954DCA" w:rsidRPr="00CA1391" w:rsidRDefault="00954DCA" w:rsidP="00465E09">
      <w:pPr>
        <w:pStyle w:val="BodyA"/>
        <w:jc w:val="both"/>
        <w:rPr>
          <w:rFonts w:ascii="Times New Roman" w:hAnsi="Times New Roman" w:cs="Times New Roman"/>
          <w:color w:val="000000" w:themeColor="text1"/>
          <w:sz w:val="24"/>
          <w:szCs w:val="24"/>
        </w:rPr>
      </w:pPr>
      <w:r w:rsidRPr="00CA1391">
        <w:rPr>
          <w:rFonts w:ascii="Times New Roman" w:hAnsi="Times New Roman" w:cs="Times New Roman"/>
          <w:color w:val="000000" w:themeColor="text1"/>
          <w:sz w:val="24"/>
          <w:szCs w:val="24"/>
        </w:rPr>
        <w:t>Accordingly, I propose an interactive framework which takes account of the inte</w:t>
      </w:r>
      <w:r w:rsidR="00B30B6D" w:rsidRPr="00CA1391">
        <w:rPr>
          <w:rFonts w:ascii="Times New Roman" w:hAnsi="Times New Roman" w:cs="Times New Roman"/>
          <w:color w:val="000000" w:themeColor="text1"/>
          <w:sz w:val="24"/>
          <w:szCs w:val="24"/>
        </w:rPr>
        <w:t xml:space="preserve">rsection between accelerating </w:t>
      </w:r>
      <w:r w:rsidRPr="00CA1391">
        <w:rPr>
          <w:rFonts w:ascii="Times New Roman" w:hAnsi="Times New Roman" w:cs="Times New Roman"/>
          <w:color w:val="000000" w:themeColor="text1"/>
          <w:sz w:val="24"/>
          <w:szCs w:val="24"/>
        </w:rPr>
        <w:t>changes in the global economy and local society, on the one hand, and institutional constraints and governance capacity within individua</w:t>
      </w:r>
      <w:r w:rsidR="00B30B6D" w:rsidRPr="00CA1391">
        <w:rPr>
          <w:rFonts w:ascii="Times New Roman" w:hAnsi="Times New Roman" w:cs="Times New Roman"/>
          <w:color w:val="000000" w:themeColor="text1"/>
          <w:sz w:val="24"/>
          <w:szCs w:val="24"/>
        </w:rPr>
        <w:t>l countries, on the other hand</w:t>
      </w:r>
      <w:r w:rsidR="000276EE" w:rsidRPr="00CA1391">
        <w:rPr>
          <w:rFonts w:ascii="Times New Roman" w:hAnsi="Times New Roman" w:cs="Times New Roman"/>
          <w:color w:val="000000" w:themeColor="text1"/>
          <w:sz w:val="24"/>
          <w:szCs w:val="24"/>
        </w:rPr>
        <w:t>. Whilst the former propel</w:t>
      </w:r>
      <w:r w:rsidR="003133C6" w:rsidRPr="00CA1391">
        <w:rPr>
          <w:rFonts w:ascii="Times New Roman" w:hAnsi="Times New Roman" w:cs="Times New Roman"/>
          <w:color w:val="000000" w:themeColor="text1"/>
          <w:sz w:val="24"/>
          <w:szCs w:val="24"/>
        </w:rPr>
        <w:t xml:space="preserve"> a surge in social need, political protest and populist tides which impact on the emergence of basic income politically</w:t>
      </w:r>
      <w:r w:rsidR="000276EE" w:rsidRPr="00CA1391">
        <w:rPr>
          <w:rFonts w:ascii="Times New Roman" w:hAnsi="Times New Roman" w:cs="Times New Roman"/>
          <w:color w:val="000000" w:themeColor="text1"/>
          <w:sz w:val="24"/>
          <w:szCs w:val="24"/>
        </w:rPr>
        <w:t>, real change is delimited</w:t>
      </w:r>
      <w:r w:rsidRPr="00CA1391">
        <w:rPr>
          <w:rFonts w:ascii="Times New Roman" w:hAnsi="Times New Roman" w:cs="Times New Roman"/>
          <w:color w:val="000000" w:themeColor="text1"/>
          <w:sz w:val="24"/>
          <w:szCs w:val="24"/>
        </w:rPr>
        <w:t xml:space="preserve"> by global and domestic institutional factors.</w:t>
      </w:r>
    </w:p>
    <w:p w14:paraId="268F6960" w14:textId="4A4A4718" w:rsidR="00954DCA" w:rsidRPr="00CA1391" w:rsidRDefault="00954DCA" w:rsidP="00A9292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4"/>
          <w:szCs w:val="24"/>
        </w:rPr>
      </w:pPr>
    </w:p>
    <w:p w14:paraId="0D2CCBE0" w14:textId="6F9969F4" w:rsidR="00472A99" w:rsidRPr="00CA1391" w:rsidRDefault="00472A99" w:rsidP="00472A9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4"/>
          <w:szCs w:val="24"/>
        </w:rPr>
      </w:pPr>
      <w:r w:rsidRPr="00CA1391">
        <w:rPr>
          <w:rFonts w:ascii="Times New Roman" w:hAnsi="Times New Roman" w:cs="Times New Roman"/>
          <w:color w:val="000000" w:themeColor="text1"/>
          <w:sz w:val="24"/>
          <w:szCs w:val="24"/>
        </w:rPr>
        <w:t>Whereas institutional scholars have highlighted ‘exhaustion’ as an institutional change mechanism occurring when an institution is depleted (Steeck and Thelen 2005, 30), and therefore its c</w:t>
      </w:r>
      <w:r w:rsidR="00994FF3">
        <w:rPr>
          <w:rFonts w:ascii="Times New Roman" w:hAnsi="Times New Roman" w:cs="Times New Roman"/>
          <w:color w:val="000000" w:themeColor="text1"/>
          <w:sz w:val="24"/>
          <w:szCs w:val="24"/>
        </w:rPr>
        <w:t>apacity to function is undercut,</w:t>
      </w:r>
      <w:r w:rsidRPr="00CA1391">
        <w:rPr>
          <w:rFonts w:ascii="Times New Roman" w:hAnsi="Times New Roman" w:cs="Times New Roman"/>
          <w:color w:val="000000" w:themeColor="text1"/>
          <w:sz w:val="24"/>
          <w:szCs w:val="24"/>
        </w:rPr>
        <w:t xml:space="preserve"> I argue it is timely to underscore how the prevalence of this phenomenon is underwritten by decline in public sector capacity as a whole. The varying extent to which this is true brings into view long-run factors linked with consolidating states’ capabilities to govern under globalisation.</w:t>
      </w:r>
    </w:p>
    <w:p w14:paraId="1E964521" w14:textId="05E6BB90" w:rsidR="00472A99" w:rsidRPr="00CA1391" w:rsidRDefault="00472A99" w:rsidP="00A9292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4"/>
          <w:szCs w:val="24"/>
        </w:rPr>
      </w:pPr>
    </w:p>
    <w:p w14:paraId="7FB63C1B" w14:textId="77777777" w:rsidR="00472A99" w:rsidRPr="00CA1391" w:rsidRDefault="00472A99" w:rsidP="00A9292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4"/>
          <w:szCs w:val="24"/>
        </w:rPr>
      </w:pPr>
    </w:p>
    <w:p w14:paraId="5870CA10" w14:textId="5345D56A" w:rsidR="00465E09" w:rsidRPr="00CA1391" w:rsidRDefault="00465E09" w:rsidP="00B87656">
      <w:pPr>
        <w:pStyle w:val="BodyA"/>
        <w:jc w:val="both"/>
        <w:rPr>
          <w:rFonts w:ascii="Times New Roman" w:hAnsi="Times New Roman" w:cs="Times New Roman"/>
          <w:color w:val="000000" w:themeColor="text1"/>
          <w:sz w:val="24"/>
          <w:szCs w:val="24"/>
        </w:rPr>
      </w:pPr>
      <w:r w:rsidRPr="00CA1391">
        <w:rPr>
          <w:rFonts w:ascii="Times New Roman" w:hAnsi="Times New Roman" w:cs="Times New Roman"/>
          <w:color w:val="000000" w:themeColor="text1"/>
          <w:sz w:val="24"/>
          <w:szCs w:val="24"/>
        </w:rPr>
        <w:t xml:space="preserve">On this basis, this article argues that the institutional change literature is useful for understanding mechanisms of change, but less so examining conditions for different directions of travel. A commitment to neutrality in comparison of national systems makes this literature less </w:t>
      </w:r>
      <w:r w:rsidR="00472A99" w:rsidRPr="00CA1391">
        <w:rPr>
          <w:rFonts w:ascii="Times New Roman" w:hAnsi="Times New Roman" w:cs="Times New Roman"/>
          <w:color w:val="000000" w:themeColor="text1"/>
          <w:sz w:val="24"/>
          <w:szCs w:val="24"/>
        </w:rPr>
        <w:t>likely to pick up how</w:t>
      </w:r>
      <w:r w:rsidRPr="00CA1391">
        <w:rPr>
          <w:rFonts w:ascii="Times New Roman" w:hAnsi="Times New Roman" w:cs="Times New Roman"/>
          <w:color w:val="000000" w:themeColor="text1"/>
          <w:sz w:val="24"/>
          <w:szCs w:val="24"/>
        </w:rPr>
        <w:t xml:space="preserve"> governance capacity translates into effectiveness,</w:t>
      </w:r>
      <w:r w:rsidR="00A36221" w:rsidRPr="00CA1391">
        <w:rPr>
          <w:rFonts w:ascii="Times New Roman" w:hAnsi="Times New Roman" w:cs="Times New Roman"/>
          <w:color w:val="000000" w:themeColor="text1"/>
          <w:sz w:val="24"/>
          <w:szCs w:val="24"/>
        </w:rPr>
        <w:t xml:space="preserve"> and the determinants concerned</w:t>
      </w:r>
      <w:r w:rsidRPr="00CA1391">
        <w:rPr>
          <w:rFonts w:ascii="Times New Roman" w:hAnsi="Times New Roman" w:cs="Times New Roman"/>
          <w:color w:val="000000" w:themeColor="text1"/>
          <w:sz w:val="24"/>
          <w:szCs w:val="24"/>
        </w:rPr>
        <w:t>.</w:t>
      </w:r>
      <w:r w:rsidR="008E502A" w:rsidRPr="00CA1391">
        <w:rPr>
          <w:rFonts w:ascii="Times New Roman" w:hAnsi="Times New Roman" w:cs="Times New Roman"/>
          <w:color w:val="000000" w:themeColor="text1"/>
          <w:sz w:val="24"/>
          <w:szCs w:val="24"/>
        </w:rPr>
        <w:t xml:space="preserve"> </w:t>
      </w:r>
      <w:r w:rsidRPr="00CA1391">
        <w:rPr>
          <w:rFonts w:ascii="Times New Roman" w:hAnsi="Times New Roman" w:cs="Times New Roman"/>
          <w:color w:val="000000" w:themeColor="text1"/>
          <w:sz w:val="24"/>
          <w:szCs w:val="24"/>
        </w:rPr>
        <w:t>Looking comparatively at conditions for and debate about basic income helps rectify this flaw, by showing how the prior democratisation of the state and society</w:t>
      </w:r>
      <w:r w:rsidR="00B87656" w:rsidRPr="00CA1391">
        <w:rPr>
          <w:rFonts w:ascii="Times New Roman" w:hAnsi="Times New Roman" w:cs="Times New Roman"/>
          <w:color w:val="000000" w:themeColor="text1"/>
          <w:sz w:val="24"/>
          <w:szCs w:val="24"/>
        </w:rPr>
        <w:t xml:space="preserve"> intercedes.</w:t>
      </w:r>
      <w:r w:rsidR="00994FF3">
        <w:rPr>
          <w:rFonts w:ascii="Times New Roman" w:hAnsi="Times New Roman" w:cs="Times New Roman"/>
          <w:color w:val="000000" w:themeColor="text1"/>
          <w:sz w:val="24"/>
          <w:szCs w:val="24"/>
        </w:rPr>
        <w:t xml:space="preserve"> </w:t>
      </w:r>
      <w:r w:rsidR="00106237" w:rsidRPr="00CA1391">
        <w:rPr>
          <w:rFonts w:ascii="Times New Roman" w:hAnsi="Times New Roman" w:cs="Times New Roman"/>
          <w:color w:val="000000" w:themeColor="text1"/>
          <w:sz w:val="24"/>
          <w:szCs w:val="24"/>
        </w:rPr>
        <w:t>More specifically, two pertinent criteria of governance effectiveness expressed in the realm of income security, is</w:t>
      </w:r>
      <w:r w:rsidR="00B87656" w:rsidRPr="00CA1391">
        <w:rPr>
          <w:rFonts w:ascii="Times New Roman" w:hAnsi="Times New Roman" w:cs="Times New Roman"/>
          <w:color w:val="000000" w:themeColor="text1"/>
          <w:sz w:val="24"/>
          <w:szCs w:val="24"/>
        </w:rPr>
        <w:t xml:space="preserve"> public capacity to </w:t>
      </w:r>
      <w:r w:rsidR="00106237" w:rsidRPr="00CA1391">
        <w:rPr>
          <w:rFonts w:ascii="Times New Roman" w:hAnsi="Times New Roman" w:cs="Times New Roman"/>
          <w:color w:val="000000" w:themeColor="text1"/>
          <w:sz w:val="24"/>
          <w:szCs w:val="24"/>
        </w:rPr>
        <w:t xml:space="preserve">secure citizens, and </w:t>
      </w:r>
      <w:r w:rsidR="00B87656" w:rsidRPr="00CA1391">
        <w:rPr>
          <w:rFonts w:ascii="Times New Roman" w:hAnsi="Times New Roman" w:cs="Times New Roman"/>
          <w:color w:val="000000" w:themeColor="text1"/>
          <w:sz w:val="24"/>
          <w:szCs w:val="24"/>
        </w:rPr>
        <w:t xml:space="preserve">the existence of </w:t>
      </w:r>
      <w:r w:rsidR="00106237" w:rsidRPr="00CA1391">
        <w:rPr>
          <w:rFonts w:ascii="Times New Roman" w:hAnsi="Times New Roman" w:cs="Times New Roman"/>
          <w:color w:val="000000" w:themeColor="text1"/>
          <w:sz w:val="24"/>
          <w:szCs w:val="24"/>
        </w:rPr>
        <w:t xml:space="preserve">public and societal capabilities to spot </w:t>
      </w:r>
      <w:r w:rsidR="00B87656" w:rsidRPr="00CA1391">
        <w:rPr>
          <w:rFonts w:ascii="Times New Roman" w:hAnsi="Times New Roman" w:cs="Times New Roman"/>
          <w:color w:val="000000" w:themeColor="text1"/>
          <w:sz w:val="24"/>
          <w:szCs w:val="24"/>
        </w:rPr>
        <w:t xml:space="preserve">and react to emerging gaps in social inclusion. </w:t>
      </w:r>
    </w:p>
    <w:p w14:paraId="266E1403" w14:textId="2A833937" w:rsidR="00C223D4" w:rsidRPr="00CA1391" w:rsidRDefault="00C223D4" w:rsidP="00C223D4">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4"/>
          <w:szCs w:val="24"/>
        </w:rPr>
      </w:pPr>
    </w:p>
    <w:p w14:paraId="66AA6CFA" w14:textId="6F83FA97" w:rsidR="005A2CD3" w:rsidRPr="00CA1391" w:rsidRDefault="00B30B6D" w:rsidP="00B8765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4"/>
          <w:szCs w:val="24"/>
        </w:rPr>
      </w:pPr>
      <w:r w:rsidRPr="00CA1391">
        <w:rPr>
          <w:rFonts w:ascii="Times New Roman" w:hAnsi="Times New Roman" w:cs="Times New Roman"/>
          <w:color w:val="000000" w:themeColor="text1"/>
          <w:sz w:val="24"/>
          <w:szCs w:val="24"/>
        </w:rPr>
        <w:t xml:space="preserve">In all, I situate inherited public governance capacity – defined as institutional conditions for social incorporation [and lower inequality – as potentially a key underlying </w:t>
      </w:r>
      <w:r w:rsidR="00B87656" w:rsidRPr="00CA1391">
        <w:rPr>
          <w:rFonts w:ascii="Times New Roman" w:hAnsi="Times New Roman" w:cs="Times New Roman"/>
          <w:color w:val="000000" w:themeColor="text1"/>
          <w:sz w:val="24"/>
          <w:szCs w:val="24"/>
        </w:rPr>
        <w:t>factor in shaping the speed and</w:t>
      </w:r>
      <w:r w:rsidR="003133C6" w:rsidRPr="00CA1391">
        <w:rPr>
          <w:rFonts w:ascii="Times New Roman" w:hAnsi="Times New Roman" w:cs="Times New Roman"/>
          <w:color w:val="000000" w:themeColor="text1"/>
          <w:sz w:val="24"/>
          <w:szCs w:val="24"/>
        </w:rPr>
        <w:t xml:space="preserve"> direction of change</w:t>
      </w:r>
      <w:r w:rsidR="00B87656" w:rsidRPr="00CA1391">
        <w:rPr>
          <w:rFonts w:ascii="Times New Roman" w:hAnsi="Times New Roman" w:cs="Times New Roman"/>
          <w:color w:val="000000" w:themeColor="text1"/>
          <w:sz w:val="24"/>
          <w:szCs w:val="24"/>
        </w:rPr>
        <w:t xml:space="preserve">. </w:t>
      </w:r>
      <w:r w:rsidRPr="00CA1391">
        <w:rPr>
          <w:rFonts w:ascii="Times New Roman" w:hAnsi="Times New Roman" w:cs="Times New Roman"/>
          <w:color w:val="000000" w:themeColor="text1"/>
          <w:sz w:val="24"/>
          <w:szCs w:val="24"/>
        </w:rPr>
        <w:t>For example, attention to this deeper factor helps explain how in some cou</w:t>
      </w:r>
      <w:r w:rsidR="00B87656" w:rsidRPr="00CA1391">
        <w:rPr>
          <w:rFonts w:ascii="Times New Roman" w:hAnsi="Times New Roman" w:cs="Times New Roman"/>
          <w:color w:val="000000" w:themeColor="text1"/>
          <w:sz w:val="24"/>
          <w:szCs w:val="24"/>
        </w:rPr>
        <w:t xml:space="preserve">ntries smaller crises </w:t>
      </w:r>
      <w:r w:rsidR="000276EE" w:rsidRPr="00CA1391">
        <w:rPr>
          <w:rFonts w:ascii="Times New Roman" w:hAnsi="Times New Roman" w:cs="Times New Roman"/>
          <w:color w:val="000000" w:themeColor="text1"/>
          <w:sz w:val="24"/>
          <w:szCs w:val="24"/>
        </w:rPr>
        <w:t>in incorporation</w:t>
      </w:r>
      <w:r w:rsidRPr="00CA1391">
        <w:rPr>
          <w:rFonts w:ascii="Times New Roman" w:hAnsi="Times New Roman" w:cs="Times New Roman"/>
          <w:color w:val="000000" w:themeColor="text1"/>
          <w:sz w:val="24"/>
          <w:szCs w:val="24"/>
        </w:rPr>
        <w:t xml:space="preserve"> </w:t>
      </w:r>
      <w:r w:rsidR="003133C6" w:rsidRPr="00CA1391">
        <w:rPr>
          <w:rFonts w:ascii="Times New Roman" w:hAnsi="Times New Roman" w:cs="Times New Roman"/>
          <w:color w:val="000000" w:themeColor="text1"/>
          <w:sz w:val="24"/>
          <w:szCs w:val="24"/>
        </w:rPr>
        <w:t xml:space="preserve">– as exemplified in the case of income security - </w:t>
      </w:r>
      <w:r w:rsidRPr="00CA1391">
        <w:rPr>
          <w:rFonts w:ascii="Times New Roman" w:hAnsi="Times New Roman" w:cs="Times New Roman"/>
          <w:color w:val="000000" w:themeColor="text1"/>
          <w:sz w:val="24"/>
          <w:szCs w:val="24"/>
        </w:rPr>
        <w:t>are given more attention, whilst paradoxically larger crises are side-stepped or diverted in other states.</w:t>
      </w:r>
      <w:r w:rsidR="00B87656" w:rsidRPr="00CA1391">
        <w:rPr>
          <w:rFonts w:ascii="Times New Roman" w:hAnsi="Times New Roman" w:cs="Times New Roman"/>
          <w:color w:val="000000" w:themeColor="text1"/>
          <w:sz w:val="24"/>
          <w:szCs w:val="24"/>
        </w:rPr>
        <w:t xml:space="preserve"> </w:t>
      </w:r>
      <w:r w:rsidRPr="00CA1391">
        <w:rPr>
          <w:rFonts w:ascii="Times New Roman" w:hAnsi="Times New Roman" w:cs="Times New Roman"/>
          <w:color w:val="000000" w:themeColor="text1"/>
          <w:sz w:val="24"/>
          <w:szCs w:val="24"/>
        </w:rPr>
        <w:t xml:space="preserve">More specifically, it will be argued that inter-country differences can be tracked along two dimensions, considering the level and combination of traditions of developmentalism and universalism in welfare state structure. These two dimensions are central in the </w:t>
      </w:r>
      <w:r w:rsidRPr="00CA1391">
        <w:rPr>
          <w:rFonts w:ascii="Times New Roman" w:hAnsi="Times New Roman" w:cs="Times New Roman"/>
          <w:color w:val="000000" w:themeColor="text1"/>
          <w:sz w:val="24"/>
          <w:szCs w:val="24"/>
        </w:rPr>
        <w:lastRenderedPageBreak/>
        <w:t xml:space="preserve">building of public governance capacity and thus in shaping an underlying Equality Paradox which pertains to the way basic income is less likely in conditions (of high inequality) where it seems most needed, because the political conditions that generate high inequality tend to be linked with low public governance capacity and so weaker conditions for basic income reform (see the paper by Haagh; also </w:t>
      </w:r>
      <w:r w:rsidRPr="00CA1391">
        <w:rPr>
          <w:rFonts w:ascii="Times New Roman" w:hAnsi="Times New Roman" w:cs="Times New Roman"/>
          <w:bCs/>
          <w:color w:val="000000" w:themeColor="text1"/>
          <w:sz w:val="24"/>
          <w:szCs w:val="24"/>
        </w:rPr>
        <w:t>Haagh 2019b</w:t>
      </w:r>
      <w:r w:rsidRPr="00CA1391">
        <w:rPr>
          <w:rFonts w:ascii="Times New Roman" w:hAnsi="Times New Roman" w:cs="Times New Roman"/>
          <w:color w:val="000000" w:themeColor="text1"/>
          <w:sz w:val="24"/>
          <w:szCs w:val="24"/>
        </w:rPr>
        <w:t xml:space="preserve">). </w:t>
      </w:r>
    </w:p>
    <w:p w14:paraId="0DB48371" w14:textId="77777777" w:rsidR="00B87656" w:rsidRPr="00CA1391" w:rsidRDefault="00B87656" w:rsidP="007B0611">
      <w:pPr>
        <w:pStyle w:val="BodyA"/>
        <w:jc w:val="both"/>
        <w:rPr>
          <w:rFonts w:ascii="Times New Roman" w:hAnsi="Times New Roman" w:cs="Times New Roman"/>
          <w:color w:val="000000" w:themeColor="text1"/>
          <w:sz w:val="24"/>
          <w:szCs w:val="24"/>
        </w:rPr>
      </w:pPr>
    </w:p>
    <w:p w14:paraId="6CF0E97A" w14:textId="7ABD5CAD" w:rsidR="00963B75" w:rsidRPr="00CA1391" w:rsidRDefault="00D8455B" w:rsidP="008E502A">
      <w:pPr>
        <w:pStyle w:val="BodyA"/>
        <w:jc w:val="both"/>
        <w:rPr>
          <w:rFonts w:ascii="Times New Roman" w:hAnsi="Times New Roman" w:cs="Times New Roman"/>
          <w:color w:val="000000" w:themeColor="text1"/>
          <w:sz w:val="24"/>
          <w:szCs w:val="24"/>
        </w:rPr>
      </w:pPr>
      <w:r w:rsidRPr="00CA1391">
        <w:rPr>
          <w:rFonts w:ascii="Times New Roman" w:hAnsi="Times New Roman" w:cs="Times New Roman"/>
          <w:color w:val="000000" w:themeColor="text1"/>
          <w:sz w:val="24"/>
          <w:szCs w:val="24"/>
        </w:rPr>
        <w:t xml:space="preserve">Illustrating this, </w:t>
      </w:r>
      <w:r w:rsidR="00DB3330" w:rsidRPr="00CA1391">
        <w:rPr>
          <w:rFonts w:ascii="Times New Roman" w:hAnsi="Times New Roman" w:cs="Times New Roman"/>
          <w:color w:val="000000" w:themeColor="text1"/>
          <w:sz w:val="24"/>
          <w:szCs w:val="24"/>
        </w:rPr>
        <w:t>h</w:t>
      </w:r>
      <w:r w:rsidR="00DC068D" w:rsidRPr="00CA1391">
        <w:rPr>
          <w:rFonts w:ascii="Times New Roman" w:hAnsi="Times New Roman" w:cs="Times New Roman"/>
          <w:color w:val="000000" w:themeColor="text1"/>
          <w:sz w:val="24"/>
          <w:szCs w:val="24"/>
        </w:rPr>
        <w:t xml:space="preserve">igh equality </w:t>
      </w:r>
      <w:r w:rsidR="000276EE" w:rsidRPr="00CA1391">
        <w:rPr>
          <w:rFonts w:ascii="Times New Roman" w:hAnsi="Times New Roman" w:cs="Times New Roman"/>
          <w:color w:val="000000" w:themeColor="text1"/>
          <w:sz w:val="24"/>
          <w:szCs w:val="24"/>
        </w:rPr>
        <w:t>and governance capacity</w:t>
      </w:r>
      <w:r w:rsidR="008A5978" w:rsidRPr="00CA1391">
        <w:rPr>
          <w:rFonts w:ascii="Times New Roman" w:hAnsi="Times New Roman" w:cs="Times New Roman"/>
          <w:color w:val="000000" w:themeColor="text1"/>
          <w:sz w:val="24"/>
          <w:szCs w:val="24"/>
        </w:rPr>
        <w:t xml:space="preserve"> </w:t>
      </w:r>
      <w:r w:rsidR="00DC068D" w:rsidRPr="00CA1391">
        <w:rPr>
          <w:rFonts w:ascii="Times New Roman" w:hAnsi="Times New Roman" w:cs="Times New Roman"/>
          <w:color w:val="000000" w:themeColor="text1"/>
          <w:sz w:val="24"/>
          <w:szCs w:val="24"/>
        </w:rPr>
        <w:t>countries are more likely to experiment with steps towards basic income reform</w:t>
      </w:r>
      <w:r w:rsidR="003133C6" w:rsidRPr="00CA1391">
        <w:rPr>
          <w:rFonts w:ascii="Times New Roman" w:hAnsi="Times New Roman" w:cs="Times New Roman"/>
          <w:color w:val="000000" w:themeColor="text1"/>
          <w:sz w:val="24"/>
          <w:szCs w:val="24"/>
        </w:rPr>
        <w:t>, and to sustain experiments where local government are stronger</w:t>
      </w:r>
      <w:r w:rsidR="00DC068D" w:rsidRPr="00CA1391">
        <w:rPr>
          <w:rFonts w:ascii="Times New Roman" w:hAnsi="Times New Roman" w:cs="Times New Roman"/>
          <w:color w:val="000000" w:themeColor="text1"/>
          <w:sz w:val="24"/>
          <w:szCs w:val="24"/>
        </w:rPr>
        <w:t>. However, said countries also face more immediate political tensions over basic income reform in the light of recent global trends, which threaten the cooperative basis and substance of welfare institutions already in place. On the other hand, high</w:t>
      </w:r>
      <w:r w:rsidR="00472A99" w:rsidRPr="00CA1391">
        <w:rPr>
          <w:rFonts w:ascii="Times New Roman" w:hAnsi="Times New Roman" w:cs="Times New Roman"/>
          <w:color w:val="000000" w:themeColor="text1"/>
          <w:sz w:val="24"/>
          <w:szCs w:val="24"/>
        </w:rPr>
        <w:t>er</w:t>
      </w:r>
      <w:r w:rsidR="00DC068D" w:rsidRPr="00CA1391">
        <w:rPr>
          <w:rFonts w:ascii="Times New Roman" w:hAnsi="Times New Roman" w:cs="Times New Roman"/>
          <w:color w:val="000000" w:themeColor="text1"/>
          <w:sz w:val="24"/>
          <w:szCs w:val="24"/>
        </w:rPr>
        <w:t xml:space="preserve"> inequality countries face greater institutional </w:t>
      </w:r>
      <w:r w:rsidR="00F95053" w:rsidRPr="00CA1391">
        <w:rPr>
          <w:rFonts w:ascii="Times New Roman" w:hAnsi="Times New Roman" w:cs="Times New Roman"/>
          <w:color w:val="000000" w:themeColor="text1"/>
          <w:sz w:val="24"/>
          <w:szCs w:val="24"/>
        </w:rPr>
        <w:t xml:space="preserve">capacity </w:t>
      </w:r>
      <w:r w:rsidR="00DC068D" w:rsidRPr="00CA1391">
        <w:rPr>
          <w:rFonts w:ascii="Times New Roman" w:hAnsi="Times New Roman" w:cs="Times New Roman"/>
          <w:color w:val="000000" w:themeColor="text1"/>
          <w:sz w:val="24"/>
          <w:szCs w:val="24"/>
        </w:rPr>
        <w:t xml:space="preserve">barriers, which casts basic income as </w:t>
      </w:r>
      <w:r w:rsidR="00E60679" w:rsidRPr="00CA1391">
        <w:rPr>
          <w:rFonts w:ascii="Times New Roman" w:hAnsi="Times New Roman" w:cs="Times New Roman"/>
          <w:color w:val="000000" w:themeColor="text1"/>
          <w:sz w:val="24"/>
          <w:szCs w:val="24"/>
        </w:rPr>
        <w:t xml:space="preserve">an </w:t>
      </w:r>
      <w:r w:rsidR="00DB3330" w:rsidRPr="00CA1391">
        <w:rPr>
          <w:rFonts w:ascii="Times New Roman" w:hAnsi="Times New Roman" w:cs="Times New Roman"/>
          <w:color w:val="000000" w:themeColor="text1"/>
          <w:sz w:val="24"/>
          <w:szCs w:val="24"/>
        </w:rPr>
        <w:t xml:space="preserve">unattractive or </w:t>
      </w:r>
      <w:r w:rsidR="00F02FD4" w:rsidRPr="00CA1391">
        <w:rPr>
          <w:rFonts w:ascii="Times New Roman" w:hAnsi="Times New Roman" w:cs="Times New Roman"/>
          <w:color w:val="000000" w:themeColor="text1"/>
          <w:sz w:val="24"/>
          <w:szCs w:val="24"/>
        </w:rPr>
        <w:t>unattainable</w:t>
      </w:r>
      <w:r w:rsidR="00DB3330" w:rsidRPr="00CA1391">
        <w:rPr>
          <w:rFonts w:ascii="Times New Roman" w:hAnsi="Times New Roman" w:cs="Times New Roman"/>
          <w:color w:val="000000" w:themeColor="text1"/>
          <w:sz w:val="24"/>
          <w:szCs w:val="24"/>
        </w:rPr>
        <w:t xml:space="preserve"> step</w:t>
      </w:r>
      <w:r w:rsidR="00B87656" w:rsidRPr="00CA1391">
        <w:rPr>
          <w:rFonts w:ascii="Times New Roman" w:hAnsi="Times New Roman" w:cs="Times New Roman"/>
          <w:color w:val="000000" w:themeColor="text1"/>
          <w:sz w:val="24"/>
          <w:szCs w:val="24"/>
        </w:rPr>
        <w:t>.</w:t>
      </w:r>
      <w:r w:rsidR="00A36221" w:rsidRPr="00CA1391">
        <w:rPr>
          <w:rFonts w:ascii="Times New Roman" w:hAnsi="Times New Roman" w:cs="Times New Roman"/>
          <w:color w:val="000000" w:themeColor="text1"/>
          <w:sz w:val="24"/>
          <w:szCs w:val="24"/>
        </w:rPr>
        <w:t xml:space="preserve"> </w:t>
      </w:r>
      <w:r w:rsidR="00DC068D" w:rsidRPr="00CA1391">
        <w:rPr>
          <w:rFonts w:ascii="Times New Roman" w:hAnsi="Times New Roman" w:cs="Times New Roman"/>
          <w:color w:val="000000" w:themeColor="text1"/>
          <w:sz w:val="24"/>
          <w:szCs w:val="24"/>
        </w:rPr>
        <w:t xml:space="preserve">The overall upshot is a conservative scenario in which in different ways European welfare states are unable to adopt basic </w:t>
      </w:r>
      <w:r w:rsidR="00C223D4" w:rsidRPr="00CA1391">
        <w:rPr>
          <w:rFonts w:ascii="Times New Roman" w:hAnsi="Times New Roman" w:cs="Times New Roman"/>
          <w:color w:val="000000" w:themeColor="text1"/>
          <w:sz w:val="24"/>
          <w:szCs w:val="24"/>
        </w:rPr>
        <w:t>income as standardly conceived.</w:t>
      </w:r>
    </w:p>
    <w:p w14:paraId="5A586FF9" w14:textId="77777777" w:rsidR="00DC068D" w:rsidRPr="00CA1391" w:rsidRDefault="00DC068D" w:rsidP="007B0611">
      <w:pPr>
        <w:pStyle w:val="BodyA"/>
        <w:jc w:val="both"/>
        <w:rPr>
          <w:rFonts w:ascii="Times New Roman" w:hAnsi="Times New Roman" w:cs="Times New Roman"/>
          <w:color w:val="000000" w:themeColor="text1"/>
          <w:sz w:val="24"/>
          <w:szCs w:val="24"/>
        </w:rPr>
      </w:pPr>
    </w:p>
    <w:p w14:paraId="0F7357F4" w14:textId="446F31F9" w:rsidR="00B10CBD" w:rsidRPr="00CA1391" w:rsidRDefault="00DC068D" w:rsidP="007B0611">
      <w:pPr>
        <w:pStyle w:val="BodyA"/>
        <w:jc w:val="both"/>
        <w:rPr>
          <w:rFonts w:ascii="Times New Roman" w:hAnsi="Times New Roman" w:cs="Times New Roman"/>
          <w:color w:val="000000" w:themeColor="text1"/>
          <w:sz w:val="24"/>
          <w:szCs w:val="24"/>
        </w:rPr>
      </w:pPr>
      <w:r w:rsidRPr="00CA1391">
        <w:rPr>
          <w:rFonts w:ascii="Times New Roman" w:hAnsi="Times New Roman" w:cs="Times New Roman"/>
          <w:color w:val="000000" w:themeColor="text1"/>
          <w:sz w:val="24"/>
          <w:szCs w:val="24"/>
        </w:rPr>
        <w:t>To explore these topics, this int</w:t>
      </w:r>
      <w:r w:rsidR="00994FF3">
        <w:rPr>
          <w:rFonts w:ascii="Times New Roman" w:hAnsi="Times New Roman" w:cs="Times New Roman"/>
          <w:color w:val="000000" w:themeColor="text1"/>
          <w:sz w:val="24"/>
          <w:szCs w:val="24"/>
        </w:rPr>
        <w:t>roduction is organised into five</w:t>
      </w:r>
      <w:r w:rsidRPr="00CA1391">
        <w:rPr>
          <w:rFonts w:ascii="Times New Roman" w:hAnsi="Times New Roman" w:cs="Times New Roman"/>
          <w:color w:val="000000" w:themeColor="text1"/>
          <w:sz w:val="24"/>
          <w:szCs w:val="24"/>
        </w:rPr>
        <w:t xml:space="preserve"> sections, covering briefly</w:t>
      </w:r>
      <w:r w:rsidR="00B10CBD" w:rsidRPr="00CA1391">
        <w:rPr>
          <w:rFonts w:ascii="Times New Roman" w:hAnsi="Times New Roman" w:cs="Times New Roman"/>
          <w:color w:val="000000" w:themeColor="text1"/>
          <w:sz w:val="24"/>
          <w:szCs w:val="24"/>
        </w:rPr>
        <w:t xml:space="preserve"> an overview of </w:t>
      </w:r>
      <w:r w:rsidRPr="00CA1391">
        <w:rPr>
          <w:rFonts w:ascii="Times New Roman" w:hAnsi="Times New Roman" w:cs="Times New Roman"/>
          <w:color w:val="000000" w:themeColor="text1"/>
          <w:sz w:val="24"/>
          <w:szCs w:val="24"/>
        </w:rPr>
        <w:t xml:space="preserve">the changing </w:t>
      </w:r>
      <w:r w:rsidR="00B10CBD" w:rsidRPr="00CA1391">
        <w:rPr>
          <w:rFonts w:ascii="Times New Roman" w:hAnsi="Times New Roman" w:cs="Times New Roman"/>
          <w:color w:val="000000" w:themeColor="text1"/>
          <w:sz w:val="24"/>
          <w:szCs w:val="24"/>
        </w:rPr>
        <w:t xml:space="preserve">politics and </w:t>
      </w:r>
      <w:r w:rsidRPr="00CA1391">
        <w:rPr>
          <w:rFonts w:ascii="Times New Roman" w:hAnsi="Times New Roman" w:cs="Times New Roman"/>
          <w:color w:val="000000" w:themeColor="text1"/>
          <w:sz w:val="24"/>
          <w:szCs w:val="24"/>
        </w:rPr>
        <w:t>narrative about basic income in relation to the welfare state, followed by elaboration of an analytical frame to consider the ro</w:t>
      </w:r>
      <w:r w:rsidR="00994FF3">
        <w:rPr>
          <w:rFonts w:ascii="Times New Roman" w:hAnsi="Times New Roman" w:cs="Times New Roman"/>
          <w:color w:val="000000" w:themeColor="text1"/>
          <w:sz w:val="24"/>
          <w:szCs w:val="24"/>
        </w:rPr>
        <w:t>le of respectively, public governance capacity</w:t>
      </w:r>
      <w:r w:rsidRPr="00CA1391">
        <w:rPr>
          <w:rFonts w:ascii="Times New Roman" w:hAnsi="Times New Roman" w:cs="Times New Roman"/>
          <w:color w:val="000000" w:themeColor="text1"/>
          <w:sz w:val="24"/>
          <w:szCs w:val="24"/>
        </w:rPr>
        <w:t xml:space="preserve">, processes of change, and </w:t>
      </w:r>
      <w:r w:rsidR="00994FF3">
        <w:rPr>
          <w:rFonts w:ascii="Times New Roman" w:hAnsi="Times New Roman" w:cs="Times New Roman"/>
          <w:color w:val="000000" w:themeColor="text1"/>
          <w:sz w:val="24"/>
          <w:szCs w:val="24"/>
        </w:rPr>
        <w:t>political support and trade-offs</w:t>
      </w:r>
      <w:r w:rsidRPr="00CA1391">
        <w:rPr>
          <w:rFonts w:ascii="Times New Roman" w:hAnsi="Times New Roman" w:cs="Times New Roman"/>
          <w:color w:val="000000" w:themeColor="text1"/>
          <w:sz w:val="24"/>
          <w:szCs w:val="24"/>
        </w:rPr>
        <w:t xml:space="preserve"> connected with basic income debates and scenarios</w:t>
      </w:r>
      <w:r w:rsidR="00994FF3">
        <w:rPr>
          <w:rFonts w:ascii="Times New Roman" w:hAnsi="Times New Roman" w:cs="Times New Roman"/>
          <w:color w:val="000000" w:themeColor="text1"/>
          <w:sz w:val="24"/>
          <w:szCs w:val="24"/>
        </w:rPr>
        <w:t xml:space="preserve"> under globalisation</w:t>
      </w:r>
      <w:r w:rsidRPr="00CA1391">
        <w:rPr>
          <w:rFonts w:ascii="Times New Roman" w:hAnsi="Times New Roman" w:cs="Times New Roman"/>
          <w:color w:val="000000" w:themeColor="text1"/>
          <w:sz w:val="24"/>
          <w:szCs w:val="24"/>
        </w:rPr>
        <w:t>.</w:t>
      </w:r>
    </w:p>
    <w:p w14:paraId="4E17FCB9" w14:textId="78522BF2" w:rsidR="003133C6" w:rsidRPr="00CA1391" w:rsidRDefault="003133C6" w:rsidP="00505B24">
      <w:pPr>
        <w:pStyle w:val="BodyA"/>
        <w:jc w:val="both"/>
        <w:rPr>
          <w:rFonts w:ascii="Times New Roman" w:eastAsia="Calibri" w:hAnsi="Times New Roman" w:cs="Times New Roman"/>
          <w:bCs/>
          <w:color w:val="000000" w:themeColor="text1"/>
          <w:sz w:val="24"/>
          <w:szCs w:val="24"/>
        </w:rPr>
      </w:pPr>
    </w:p>
    <w:p w14:paraId="036CE704" w14:textId="77777777" w:rsidR="003133C6" w:rsidRPr="00CA1391" w:rsidRDefault="003133C6" w:rsidP="00505B24">
      <w:pPr>
        <w:pStyle w:val="BodyA"/>
        <w:jc w:val="both"/>
        <w:rPr>
          <w:rFonts w:ascii="Times New Roman" w:eastAsia="Calibri" w:hAnsi="Times New Roman" w:cs="Times New Roman"/>
          <w:bCs/>
          <w:color w:val="000000" w:themeColor="text1"/>
          <w:sz w:val="24"/>
          <w:szCs w:val="24"/>
        </w:rPr>
      </w:pPr>
    </w:p>
    <w:p w14:paraId="75E5C7B3" w14:textId="5CB0F85B" w:rsidR="00505B24" w:rsidRPr="00CA1391" w:rsidRDefault="00505B24" w:rsidP="00505B24">
      <w:pPr>
        <w:pStyle w:val="BodyA"/>
        <w:jc w:val="both"/>
        <w:rPr>
          <w:rFonts w:ascii="Times New Roman" w:eastAsia="Calibri" w:hAnsi="Times New Roman" w:cs="Times New Roman"/>
          <w:bCs/>
          <w:color w:val="000000" w:themeColor="text1"/>
          <w:sz w:val="24"/>
          <w:szCs w:val="24"/>
        </w:rPr>
      </w:pPr>
      <w:r w:rsidRPr="00CA1391">
        <w:rPr>
          <w:rFonts w:ascii="Times New Roman" w:eastAsia="Calibri" w:hAnsi="Times New Roman" w:cs="Times New Roman"/>
          <w:bCs/>
          <w:color w:val="000000" w:themeColor="text1"/>
          <w:sz w:val="24"/>
          <w:szCs w:val="24"/>
        </w:rPr>
        <w:t>A Window of Opportunity … o</w:t>
      </w:r>
      <w:r w:rsidR="00400E2F" w:rsidRPr="00CA1391">
        <w:rPr>
          <w:rFonts w:ascii="Times New Roman" w:eastAsia="Calibri" w:hAnsi="Times New Roman" w:cs="Times New Roman"/>
          <w:bCs/>
          <w:color w:val="000000" w:themeColor="text1"/>
          <w:sz w:val="24"/>
          <w:szCs w:val="24"/>
        </w:rPr>
        <w:t>r a Policy Bubble</w:t>
      </w:r>
      <w:r w:rsidR="003133C6" w:rsidRPr="00CA1391">
        <w:rPr>
          <w:rFonts w:ascii="Times New Roman" w:eastAsia="Calibri" w:hAnsi="Times New Roman" w:cs="Times New Roman"/>
          <w:bCs/>
          <w:color w:val="000000" w:themeColor="text1"/>
          <w:sz w:val="24"/>
          <w:szCs w:val="24"/>
        </w:rPr>
        <w:t xml:space="preserve">?  </w:t>
      </w:r>
    </w:p>
    <w:p w14:paraId="36ABD4F8" w14:textId="710C10D8" w:rsidR="00E7136A" w:rsidRPr="00CA1391" w:rsidRDefault="00E7136A" w:rsidP="00505B24">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Calibri" w:hAnsi="Times New Roman" w:cs="Times New Roman"/>
          <w:color w:val="000000" w:themeColor="text1"/>
          <w:sz w:val="24"/>
          <w:szCs w:val="24"/>
        </w:rPr>
      </w:pPr>
    </w:p>
    <w:p w14:paraId="74B8D6A7" w14:textId="48AC2F7B" w:rsidR="00E7136A" w:rsidRPr="00CA1391" w:rsidRDefault="00581D24" w:rsidP="00505B24">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Calibri"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bdr w:val="none" w:sz="0" w:space="0" w:color="auto"/>
        </w:rPr>
        <w:t>As the basic income proposal has been flagging in the political winds of Europe since 2016,</w:t>
      </w:r>
      <w:r w:rsidR="00A749F0" w:rsidRPr="00CA1391">
        <w:rPr>
          <w:rFonts w:ascii="Times New Roman" w:eastAsia="Calibri" w:hAnsi="Times New Roman" w:cs="Times New Roman"/>
          <w:color w:val="000000" w:themeColor="text1"/>
          <w:sz w:val="24"/>
          <w:szCs w:val="24"/>
          <w:bdr w:val="none" w:sz="0" w:space="0" w:color="auto"/>
        </w:rPr>
        <w:t xml:space="preserve"> aspiration has been tested against harsh reality</w:t>
      </w:r>
      <w:r w:rsidRPr="00CA1391">
        <w:rPr>
          <w:rFonts w:ascii="Times New Roman" w:eastAsia="Calibri" w:hAnsi="Times New Roman" w:cs="Times New Roman"/>
          <w:color w:val="000000" w:themeColor="text1"/>
          <w:sz w:val="24"/>
          <w:szCs w:val="24"/>
          <w:bdr w:val="none" w:sz="0" w:space="0" w:color="auto"/>
        </w:rPr>
        <w:t xml:space="preserve">. </w:t>
      </w:r>
      <w:r w:rsidR="0084176C" w:rsidRPr="00CA1391">
        <w:rPr>
          <w:rFonts w:ascii="Times New Roman" w:eastAsia="Calibri" w:hAnsi="Times New Roman" w:cs="Times New Roman"/>
          <w:color w:val="000000" w:themeColor="text1"/>
          <w:sz w:val="24"/>
          <w:szCs w:val="24"/>
        </w:rPr>
        <w:t xml:space="preserve">Among </w:t>
      </w:r>
      <w:r w:rsidRPr="00CA1391">
        <w:rPr>
          <w:rFonts w:ascii="Times New Roman" w:eastAsia="Calibri" w:hAnsi="Times New Roman" w:cs="Times New Roman"/>
          <w:color w:val="000000" w:themeColor="text1"/>
          <w:sz w:val="24"/>
          <w:szCs w:val="24"/>
        </w:rPr>
        <w:t xml:space="preserve">basic income advocates, </w:t>
      </w:r>
      <w:r w:rsidR="0084176C" w:rsidRPr="00CA1391">
        <w:rPr>
          <w:rFonts w:ascii="Times New Roman" w:eastAsia="Calibri" w:hAnsi="Times New Roman" w:cs="Times New Roman"/>
          <w:color w:val="000000" w:themeColor="text1"/>
          <w:sz w:val="24"/>
          <w:szCs w:val="24"/>
        </w:rPr>
        <w:t>a</w:t>
      </w:r>
      <w:r w:rsidRPr="00CA1391">
        <w:rPr>
          <w:rFonts w:ascii="Times New Roman" w:eastAsia="Calibri" w:hAnsi="Times New Roman" w:cs="Times New Roman"/>
          <w:color w:val="000000" w:themeColor="text1"/>
          <w:sz w:val="24"/>
          <w:szCs w:val="24"/>
        </w:rPr>
        <w:t xml:space="preserve"> dominant narrative is that of a “programmatic success” story (McConnell, 2010): the time for basic income is now (De Wispelaere, 2016). </w:t>
      </w:r>
      <w:r w:rsidR="00A749F0" w:rsidRPr="00CA1391">
        <w:rPr>
          <w:rFonts w:ascii="Times New Roman" w:eastAsia="Calibri" w:hAnsi="Times New Roman" w:cs="Times New Roman"/>
          <w:color w:val="000000" w:themeColor="text1"/>
          <w:sz w:val="24"/>
          <w:szCs w:val="24"/>
        </w:rPr>
        <w:t>In actuality</w:t>
      </w:r>
      <w:r w:rsidR="0084176C" w:rsidRPr="00CA1391">
        <w:rPr>
          <w:rFonts w:ascii="Times New Roman" w:eastAsia="Calibri" w:hAnsi="Times New Roman" w:cs="Times New Roman"/>
          <w:color w:val="000000" w:themeColor="text1"/>
          <w:sz w:val="24"/>
          <w:szCs w:val="24"/>
        </w:rPr>
        <w:t>, p</w:t>
      </w:r>
      <w:r w:rsidRPr="00CA1391">
        <w:rPr>
          <w:rFonts w:ascii="Times New Roman" w:eastAsia="Calibri" w:hAnsi="Times New Roman" w:cs="Times New Roman"/>
          <w:color w:val="000000" w:themeColor="text1"/>
          <w:sz w:val="24"/>
          <w:szCs w:val="24"/>
        </w:rPr>
        <w:t>opular understanding and let alo</w:t>
      </w:r>
      <w:r w:rsidR="0084176C" w:rsidRPr="00CA1391">
        <w:rPr>
          <w:rFonts w:ascii="Times New Roman" w:eastAsia="Calibri" w:hAnsi="Times New Roman" w:cs="Times New Roman"/>
          <w:color w:val="000000" w:themeColor="text1"/>
          <w:sz w:val="24"/>
          <w:szCs w:val="24"/>
        </w:rPr>
        <w:t>ne acceptance of basic income are</w:t>
      </w:r>
      <w:r w:rsidRPr="00CA1391">
        <w:rPr>
          <w:rFonts w:ascii="Times New Roman" w:eastAsia="Calibri" w:hAnsi="Times New Roman" w:cs="Times New Roman"/>
          <w:color w:val="000000" w:themeColor="text1"/>
          <w:sz w:val="24"/>
          <w:szCs w:val="24"/>
        </w:rPr>
        <w:t xml:space="preserve"> still far from established, especially among mainstream </w:t>
      </w:r>
      <w:r w:rsidR="00B10CBD" w:rsidRPr="00CA1391">
        <w:rPr>
          <w:rFonts w:ascii="Times New Roman" w:eastAsia="Calibri" w:hAnsi="Times New Roman" w:cs="Times New Roman"/>
          <w:color w:val="000000" w:themeColor="text1"/>
          <w:sz w:val="24"/>
          <w:szCs w:val="24"/>
        </w:rPr>
        <w:t>parties</w:t>
      </w:r>
      <w:r w:rsidRPr="00CA1391">
        <w:rPr>
          <w:rFonts w:ascii="Times New Roman" w:eastAsia="Calibri" w:hAnsi="Times New Roman" w:cs="Times New Roman"/>
          <w:color w:val="000000" w:themeColor="text1"/>
          <w:sz w:val="24"/>
          <w:szCs w:val="24"/>
        </w:rPr>
        <w:t>.</w:t>
      </w:r>
      <w:r w:rsidR="00B10CBD" w:rsidRPr="00CA1391">
        <w:rPr>
          <w:rFonts w:ascii="Times New Roman" w:eastAsia="Calibri" w:hAnsi="Times New Roman" w:cs="Times New Roman"/>
          <w:color w:val="000000" w:themeColor="text1"/>
          <w:sz w:val="24"/>
          <w:szCs w:val="24"/>
        </w:rPr>
        <w:t xml:space="preserve"> </w:t>
      </w:r>
      <w:r w:rsidRPr="00CA1391">
        <w:rPr>
          <w:rFonts w:ascii="Times New Roman" w:eastAsia="Calibri" w:hAnsi="Times New Roman" w:cs="Times New Roman"/>
          <w:color w:val="000000" w:themeColor="text1"/>
          <w:sz w:val="24"/>
          <w:szCs w:val="24"/>
        </w:rPr>
        <w:t xml:space="preserve">The prevailing public austerity framework situates the basic income debate within polemics about </w:t>
      </w:r>
      <w:r w:rsidR="0084176C" w:rsidRPr="00CA1391">
        <w:rPr>
          <w:rFonts w:ascii="Times New Roman" w:eastAsia="Calibri" w:hAnsi="Times New Roman" w:cs="Times New Roman"/>
          <w:color w:val="000000" w:themeColor="text1"/>
          <w:sz w:val="24"/>
          <w:szCs w:val="24"/>
        </w:rPr>
        <w:t>services versus cash</w:t>
      </w:r>
      <w:r w:rsidR="00F35611" w:rsidRPr="00CA1391">
        <w:rPr>
          <w:rFonts w:ascii="Times New Roman" w:eastAsia="Calibri" w:hAnsi="Times New Roman" w:cs="Times New Roman"/>
          <w:color w:val="000000" w:themeColor="text1"/>
          <w:sz w:val="24"/>
          <w:szCs w:val="24"/>
        </w:rPr>
        <w:t xml:space="preserve"> (Coyle, </w:t>
      </w:r>
      <w:r w:rsidR="003133C6" w:rsidRPr="00CA1391">
        <w:rPr>
          <w:rFonts w:ascii="Times New Roman" w:eastAsia="Calibri" w:hAnsi="Times New Roman" w:cs="Times New Roman"/>
          <w:color w:val="000000" w:themeColor="text1"/>
          <w:sz w:val="24"/>
          <w:szCs w:val="24"/>
        </w:rPr>
        <w:t>2017)</w:t>
      </w:r>
      <w:r w:rsidR="0084176C" w:rsidRPr="00CA1391">
        <w:rPr>
          <w:rFonts w:ascii="Times New Roman" w:eastAsia="Calibri" w:hAnsi="Times New Roman" w:cs="Times New Roman"/>
          <w:color w:val="000000" w:themeColor="text1"/>
          <w:sz w:val="24"/>
          <w:szCs w:val="24"/>
        </w:rPr>
        <w:t>. Within public bureaucracies, and arguably among advocates too, the case for decent income security converges with a case for simply ‘simplicity’ and rationalising public expenditure</w:t>
      </w:r>
      <w:r w:rsidR="00472A99" w:rsidRPr="00CA1391">
        <w:rPr>
          <w:rFonts w:ascii="Times New Roman" w:eastAsia="Calibri" w:hAnsi="Times New Roman" w:cs="Times New Roman"/>
          <w:color w:val="000000" w:themeColor="text1"/>
          <w:sz w:val="24"/>
          <w:szCs w:val="24"/>
        </w:rPr>
        <w:t xml:space="preserve"> (Haagh 2019a</w:t>
      </w:r>
      <w:r w:rsidR="003133C6" w:rsidRPr="00CA1391">
        <w:rPr>
          <w:rFonts w:ascii="Times New Roman" w:eastAsia="Calibri" w:hAnsi="Times New Roman" w:cs="Times New Roman"/>
          <w:color w:val="000000" w:themeColor="text1"/>
          <w:sz w:val="24"/>
          <w:szCs w:val="24"/>
        </w:rPr>
        <w:t>)</w:t>
      </w:r>
      <w:r w:rsidR="0084176C" w:rsidRPr="00CA1391">
        <w:rPr>
          <w:rFonts w:ascii="Times New Roman" w:eastAsia="Calibri" w:hAnsi="Times New Roman" w:cs="Times New Roman"/>
          <w:color w:val="000000" w:themeColor="text1"/>
          <w:sz w:val="24"/>
          <w:szCs w:val="24"/>
        </w:rPr>
        <w:t xml:space="preserve">. Hence, although </w:t>
      </w:r>
      <w:r w:rsidRPr="00CA1391">
        <w:rPr>
          <w:rFonts w:ascii="Times New Roman" w:eastAsia="Calibri" w:hAnsi="Times New Roman" w:cs="Times New Roman"/>
          <w:color w:val="000000" w:themeColor="text1"/>
          <w:sz w:val="24"/>
          <w:szCs w:val="24"/>
        </w:rPr>
        <w:t xml:space="preserve">the case for basic income </w:t>
      </w:r>
      <w:r w:rsidRPr="00CA1391">
        <w:rPr>
          <w:rFonts w:ascii="Times New Roman" w:eastAsia="Calibri" w:hAnsi="Times New Roman" w:cs="Times New Roman"/>
          <w:color w:val="000000" w:themeColor="text1"/>
          <w:sz w:val="24"/>
          <w:szCs w:val="24"/>
        </w:rPr>
        <w:lastRenderedPageBreak/>
        <w:t xml:space="preserve">supplements a wider </w:t>
      </w:r>
      <w:r w:rsidRPr="00CA1391">
        <w:rPr>
          <w:rFonts w:ascii="Times New Roman" w:eastAsia="Calibri" w:hAnsi="Times New Roman" w:cs="Times New Roman"/>
          <w:color w:val="000000" w:themeColor="text1"/>
          <w:sz w:val="24"/>
          <w:szCs w:val="24"/>
          <w:bdr w:val="none" w:sz="0" w:space="0" w:color="auto"/>
        </w:rPr>
        <w:t xml:space="preserve">moral </w:t>
      </w:r>
      <w:r w:rsidR="0084176C" w:rsidRPr="00CA1391">
        <w:rPr>
          <w:rFonts w:ascii="Times New Roman" w:eastAsia="Calibri" w:hAnsi="Times New Roman" w:cs="Times New Roman"/>
          <w:color w:val="000000" w:themeColor="text1"/>
          <w:sz w:val="24"/>
          <w:szCs w:val="24"/>
          <w:bdr w:val="none" w:sz="0" w:space="0" w:color="auto"/>
        </w:rPr>
        <w:t>argument</w:t>
      </w:r>
      <w:r w:rsidRPr="00CA1391">
        <w:rPr>
          <w:rFonts w:ascii="Times New Roman" w:eastAsia="Calibri" w:hAnsi="Times New Roman" w:cs="Times New Roman"/>
          <w:color w:val="000000" w:themeColor="text1"/>
          <w:sz w:val="24"/>
          <w:szCs w:val="24"/>
          <w:bdr w:val="none" w:sz="0" w:space="0" w:color="auto"/>
        </w:rPr>
        <w:t xml:space="preserve"> for </w:t>
      </w:r>
      <w:r w:rsidR="0084176C" w:rsidRPr="00CA1391">
        <w:rPr>
          <w:rFonts w:ascii="Times New Roman" w:eastAsia="Calibri" w:hAnsi="Times New Roman" w:cs="Times New Roman"/>
          <w:color w:val="000000" w:themeColor="text1"/>
          <w:sz w:val="24"/>
          <w:szCs w:val="24"/>
          <w:bdr w:val="none" w:sz="0" w:space="0" w:color="auto"/>
        </w:rPr>
        <w:t xml:space="preserve">restoration </w:t>
      </w:r>
      <w:r w:rsidR="00994FF3">
        <w:rPr>
          <w:rFonts w:ascii="Times New Roman" w:eastAsia="Calibri" w:hAnsi="Times New Roman" w:cs="Times New Roman"/>
          <w:color w:val="000000" w:themeColor="text1"/>
          <w:sz w:val="24"/>
          <w:szCs w:val="24"/>
          <w:bdr w:val="none" w:sz="0" w:space="0" w:color="auto"/>
        </w:rPr>
        <w:t xml:space="preserve">of </w:t>
      </w:r>
      <w:r w:rsidR="0084176C" w:rsidRPr="00CA1391">
        <w:rPr>
          <w:rFonts w:ascii="Times New Roman" w:eastAsia="Calibri" w:hAnsi="Times New Roman" w:cs="Times New Roman"/>
          <w:color w:val="000000" w:themeColor="text1"/>
          <w:sz w:val="24"/>
          <w:szCs w:val="24"/>
          <w:bdr w:val="none" w:sz="0" w:space="0" w:color="auto"/>
        </w:rPr>
        <w:t xml:space="preserve">civil rights </w:t>
      </w:r>
      <w:r w:rsidRPr="00CA1391">
        <w:rPr>
          <w:rFonts w:ascii="Times New Roman" w:eastAsia="Calibri" w:hAnsi="Times New Roman" w:cs="Times New Roman"/>
          <w:color w:val="000000" w:themeColor="text1"/>
          <w:sz w:val="24"/>
          <w:szCs w:val="24"/>
          <w:bdr w:val="none" w:sz="0" w:space="0" w:color="auto"/>
        </w:rPr>
        <w:t>(Haagh 2017, 2019a)</w:t>
      </w:r>
      <w:r w:rsidR="0084176C" w:rsidRPr="00CA1391">
        <w:rPr>
          <w:rFonts w:ascii="Times New Roman" w:eastAsia="Calibri" w:hAnsi="Times New Roman" w:cs="Times New Roman"/>
          <w:color w:val="000000" w:themeColor="text1"/>
          <w:sz w:val="24"/>
          <w:szCs w:val="24"/>
          <w:bdr w:val="none" w:sz="0" w:space="0" w:color="auto"/>
        </w:rPr>
        <w:t>, immediate steps towards and finance of basic income come up against the constraints brought on by marketization and new public management.</w:t>
      </w:r>
      <w:r w:rsidR="0084176C" w:rsidRPr="00CA1391">
        <w:rPr>
          <w:rFonts w:ascii="Times New Roman" w:eastAsia="Calibri" w:hAnsi="Times New Roman" w:cs="Times New Roman"/>
          <w:color w:val="000000" w:themeColor="text1"/>
          <w:sz w:val="24"/>
          <w:szCs w:val="24"/>
        </w:rPr>
        <w:t xml:space="preserve"> </w:t>
      </w:r>
    </w:p>
    <w:p w14:paraId="26CF84FF" w14:textId="77777777" w:rsidR="00E7136A" w:rsidRPr="00CA1391" w:rsidRDefault="00E7136A" w:rsidP="00505B24">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Calibri" w:hAnsi="Times New Roman" w:cs="Times New Roman"/>
          <w:color w:val="000000" w:themeColor="text1"/>
          <w:sz w:val="24"/>
          <w:szCs w:val="24"/>
        </w:rPr>
      </w:pPr>
    </w:p>
    <w:p w14:paraId="5AF55C28" w14:textId="1132361D" w:rsidR="00505B24" w:rsidRPr="00CA1391" w:rsidRDefault="00505B24" w:rsidP="00505B24">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Calibri"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 xml:space="preserve">The </w:t>
      </w:r>
      <w:r w:rsidR="00A749F0" w:rsidRPr="00CA1391">
        <w:rPr>
          <w:rFonts w:ascii="Times New Roman" w:eastAsia="Calibri" w:hAnsi="Times New Roman" w:cs="Times New Roman"/>
          <w:color w:val="000000" w:themeColor="text1"/>
          <w:sz w:val="24"/>
          <w:szCs w:val="24"/>
        </w:rPr>
        <w:t>d</w:t>
      </w:r>
      <w:r w:rsidR="008E502A" w:rsidRPr="00CA1391">
        <w:rPr>
          <w:rFonts w:ascii="Times New Roman" w:eastAsia="Calibri" w:hAnsi="Times New Roman" w:cs="Times New Roman"/>
          <w:color w:val="000000" w:themeColor="text1"/>
          <w:sz w:val="24"/>
          <w:szCs w:val="24"/>
        </w:rPr>
        <w:t xml:space="preserve">eeper political tensions </w:t>
      </w:r>
      <w:r w:rsidR="00A749F0" w:rsidRPr="00CA1391">
        <w:rPr>
          <w:rFonts w:ascii="Times New Roman" w:eastAsia="Calibri" w:hAnsi="Times New Roman" w:cs="Times New Roman"/>
          <w:color w:val="000000" w:themeColor="text1"/>
          <w:sz w:val="24"/>
          <w:szCs w:val="24"/>
        </w:rPr>
        <w:t xml:space="preserve">earthed up by the basic income proposal are </w:t>
      </w:r>
      <w:r w:rsidRPr="00CA1391">
        <w:rPr>
          <w:rFonts w:ascii="Times New Roman" w:eastAsia="Calibri" w:hAnsi="Times New Roman" w:cs="Times New Roman"/>
          <w:color w:val="000000" w:themeColor="text1"/>
          <w:sz w:val="24"/>
          <w:szCs w:val="24"/>
        </w:rPr>
        <w:t xml:space="preserve">illustrated in the case studies presented in this section. Whilst some small liberal and Green parties in Europe are established supporters, basic income also forms part of the new landscape of protest politics, and the accompanying left and right populist surge, which many see as a representation of globalisation burn-out. </w:t>
      </w:r>
      <w:r w:rsidR="00A749F0" w:rsidRPr="00CA1391">
        <w:rPr>
          <w:rFonts w:ascii="Times New Roman" w:eastAsia="Calibri" w:hAnsi="Times New Roman" w:cs="Times New Roman"/>
          <w:color w:val="000000" w:themeColor="text1"/>
          <w:sz w:val="24"/>
          <w:szCs w:val="24"/>
        </w:rPr>
        <w:t xml:space="preserve"> I</w:t>
      </w:r>
      <w:r w:rsidRPr="00CA1391">
        <w:rPr>
          <w:rFonts w:ascii="Times New Roman" w:eastAsia="Calibri" w:hAnsi="Times New Roman" w:cs="Times New Roman"/>
          <w:color w:val="000000" w:themeColor="text1"/>
          <w:sz w:val="24"/>
          <w:szCs w:val="24"/>
        </w:rPr>
        <w:t>n Spain, heightened interest in basic income dovetailed on the stellar performance of Podemos in post-crisis conditions. Yet the initial enthusiastic support turned out to be short-lived or “cheap” (De Wispelaere, 2016b), with the leadership swiftly ditching its earlier commitment to basic income in its economic program.  In the UK, the governing Tories have put all their stock in universal credit (Jordan, 2012, Martin 2016, Millar and Bennet, 2016), which has been inextricably linked with tight benefit conditionality. Basic income has garnered some interest within the Labour Party — notably with Shadow Chancellor John McDonnell. However, a significant sector of the Labour Party are skeptical about basic income, repudiating what they see as its potential disconnect with longe</w:t>
      </w:r>
      <w:r w:rsidR="000276EE" w:rsidRPr="00CA1391">
        <w:rPr>
          <w:rFonts w:ascii="Times New Roman" w:eastAsia="Calibri" w:hAnsi="Times New Roman" w:cs="Times New Roman"/>
          <w:color w:val="000000" w:themeColor="text1"/>
          <w:sz w:val="24"/>
          <w:szCs w:val="24"/>
        </w:rPr>
        <w:t>d-for social democratic values</w:t>
      </w:r>
      <w:r w:rsidR="003133C6" w:rsidRPr="00CA1391">
        <w:rPr>
          <w:rFonts w:ascii="Times New Roman" w:eastAsia="Calibri" w:hAnsi="Times New Roman" w:cs="Times New Roman"/>
          <w:color w:val="000000" w:themeColor="text1"/>
          <w:sz w:val="24"/>
          <w:szCs w:val="24"/>
        </w:rPr>
        <w:t xml:space="preserve"> (</w:t>
      </w:r>
      <w:r w:rsidR="003133C6" w:rsidRPr="00CA1391">
        <w:rPr>
          <w:rFonts w:ascii="Times New Roman" w:hAnsi="Times New Roman" w:cs="Times New Roman"/>
          <w:color w:val="000000" w:themeColor="text1"/>
          <w:sz w:val="24"/>
          <w:szCs w:val="24"/>
        </w:rPr>
        <w:t>Cruddas and Kibasi, 2016)</w:t>
      </w:r>
      <w:r w:rsidR="000276EE" w:rsidRPr="00CA1391">
        <w:rPr>
          <w:rFonts w:ascii="Times New Roman" w:eastAsia="Calibri" w:hAnsi="Times New Roman" w:cs="Times New Roman"/>
          <w:color w:val="000000" w:themeColor="text1"/>
          <w:sz w:val="24"/>
          <w:szCs w:val="24"/>
        </w:rPr>
        <w:t xml:space="preserve">. </w:t>
      </w:r>
      <w:r w:rsidRPr="00CA1391">
        <w:rPr>
          <w:rFonts w:ascii="Times New Roman" w:eastAsia="Calibri" w:hAnsi="Times New Roman" w:cs="Times New Roman"/>
          <w:color w:val="000000" w:themeColor="text1"/>
          <w:sz w:val="24"/>
          <w:szCs w:val="24"/>
        </w:rPr>
        <w:t xml:space="preserve">Traditionally social democratic societies in which </w:t>
      </w:r>
      <w:r w:rsidR="00472A99" w:rsidRPr="00CA1391">
        <w:rPr>
          <w:rFonts w:ascii="Times New Roman" w:eastAsia="Calibri" w:hAnsi="Times New Roman" w:cs="Times New Roman"/>
          <w:color w:val="000000" w:themeColor="text1"/>
          <w:sz w:val="24"/>
          <w:szCs w:val="24"/>
        </w:rPr>
        <w:t>conservative</w:t>
      </w:r>
      <w:r w:rsidR="00A36221" w:rsidRPr="00CA1391">
        <w:rPr>
          <w:rFonts w:ascii="Times New Roman" w:eastAsia="Calibri" w:hAnsi="Times New Roman" w:cs="Times New Roman"/>
          <w:color w:val="000000" w:themeColor="text1"/>
          <w:sz w:val="24"/>
          <w:szCs w:val="24"/>
        </w:rPr>
        <w:t xml:space="preserve"> </w:t>
      </w:r>
      <w:r w:rsidRPr="00CA1391">
        <w:rPr>
          <w:rFonts w:ascii="Times New Roman" w:eastAsia="Calibri" w:hAnsi="Times New Roman" w:cs="Times New Roman"/>
          <w:color w:val="000000" w:themeColor="text1"/>
          <w:sz w:val="24"/>
          <w:szCs w:val="24"/>
        </w:rPr>
        <w:t>governments have licensed limited experiments in features of basic income – e.g. easing or removal of work conditionalities – are also conflicted. In the case of the Finland experiment that ran in 2017, limitations imposed from the outset on experimental design and implementation combined with the introduction of new activation measures in the latest round of social securit</w:t>
      </w:r>
      <w:r w:rsidR="003133C6" w:rsidRPr="00CA1391">
        <w:rPr>
          <w:rFonts w:ascii="Times New Roman" w:eastAsia="Calibri" w:hAnsi="Times New Roman" w:cs="Times New Roman"/>
          <w:color w:val="000000" w:themeColor="text1"/>
          <w:sz w:val="24"/>
          <w:szCs w:val="24"/>
        </w:rPr>
        <w:t xml:space="preserve">y reform, </w:t>
      </w:r>
      <w:r w:rsidRPr="00CA1391">
        <w:rPr>
          <w:rFonts w:ascii="Times New Roman" w:eastAsia="Calibri" w:hAnsi="Times New Roman" w:cs="Times New Roman"/>
          <w:color w:val="000000" w:themeColor="text1"/>
          <w:sz w:val="24"/>
          <w:szCs w:val="24"/>
        </w:rPr>
        <w:t xml:space="preserve">put a damper on the idea that Finland will be introducing a basic income scheme after the experiment has run its course (De Wispelaere et al, 2018). </w:t>
      </w:r>
    </w:p>
    <w:p w14:paraId="016E4A52" w14:textId="77777777" w:rsidR="00B10CBD" w:rsidRPr="00CA1391" w:rsidRDefault="00B10CBD" w:rsidP="007A5D63">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Calibri" w:hAnsi="Times New Roman" w:cs="Times New Roman"/>
          <w:color w:val="000000" w:themeColor="text1"/>
          <w:sz w:val="24"/>
          <w:szCs w:val="24"/>
        </w:rPr>
      </w:pPr>
    </w:p>
    <w:p w14:paraId="40CA0845" w14:textId="77FACF8C" w:rsidR="00505B24" w:rsidRPr="00CA1391" w:rsidRDefault="00472A99" w:rsidP="0090430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In the case of the Netherlands,</w:t>
      </w:r>
      <w:r w:rsidR="00A36221" w:rsidRPr="00CA1391">
        <w:rPr>
          <w:rFonts w:ascii="Times New Roman" w:eastAsia="Calibri" w:hAnsi="Times New Roman" w:cs="Times New Roman"/>
          <w:color w:val="000000" w:themeColor="text1"/>
          <w:sz w:val="24"/>
          <w:szCs w:val="24"/>
        </w:rPr>
        <w:t xml:space="preserve"> </w:t>
      </w:r>
      <w:r w:rsidR="00505B24" w:rsidRPr="00CA1391">
        <w:rPr>
          <w:rFonts w:ascii="Times New Roman" w:eastAsia="Calibri" w:hAnsi="Times New Roman" w:cs="Times New Roman"/>
          <w:color w:val="000000" w:themeColor="text1"/>
          <w:sz w:val="24"/>
          <w:szCs w:val="24"/>
        </w:rPr>
        <w:t xml:space="preserve">initiatives to conduct experiments in the municipalities of Utrecht, Tilburg, Wageningen and Amsterdam rapidly ran into intransigence and resistance at the level of the national government, and the resulting compromises and trade-offs again bode ill for the short-term future of basic income policy development in the Low Countries.  In the Danish case, municipalities have also been conducting small pilot projects, which entail lifting conditionalities on basic income support, on a license to pursue trial-and-error pilots on a basis of local autonomy </w:t>
      </w:r>
      <w:r w:rsidR="00B10CBD" w:rsidRPr="00CA1391">
        <w:rPr>
          <w:rFonts w:ascii="Times New Roman" w:eastAsia="Calibri" w:hAnsi="Times New Roman" w:cs="Times New Roman"/>
          <w:color w:val="000000" w:themeColor="text1"/>
          <w:sz w:val="24"/>
          <w:szCs w:val="24"/>
        </w:rPr>
        <w:t>that was given a boost under</w:t>
      </w:r>
      <w:r w:rsidR="00505B24" w:rsidRPr="00CA1391">
        <w:rPr>
          <w:rFonts w:ascii="Times New Roman" w:eastAsia="Calibri" w:hAnsi="Times New Roman" w:cs="Times New Roman"/>
          <w:color w:val="000000" w:themeColor="text1"/>
          <w:sz w:val="24"/>
          <w:szCs w:val="24"/>
        </w:rPr>
        <w:t xml:space="preserve"> Social Demo</w:t>
      </w:r>
      <w:r w:rsidR="00B10CBD" w:rsidRPr="00CA1391">
        <w:rPr>
          <w:rFonts w:ascii="Times New Roman" w:eastAsia="Calibri" w:hAnsi="Times New Roman" w:cs="Times New Roman"/>
          <w:color w:val="000000" w:themeColor="text1"/>
          <w:sz w:val="24"/>
          <w:szCs w:val="24"/>
        </w:rPr>
        <w:t xml:space="preserve">crat-led government, and </w:t>
      </w:r>
      <w:r w:rsidR="00505B24" w:rsidRPr="00CA1391">
        <w:rPr>
          <w:rFonts w:ascii="Times New Roman" w:eastAsia="Calibri" w:hAnsi="Times New Roman" w:cs="Times New Roman"/>
          <w:color w:val="000000" w:themeColor="text1"/>
          <w:sz w:val="24"/>
          <w:szCs w:val="24"/>
        </w:rPr>
        <w:t>continue</w:t>
      </w:r>
      <w:r w:rsidR="00B10CBD" w:rsidRPr="00CA1391">
        <w:rPr>
          <w:rFonts w:ascii="Times New Roman" w:eastAsia="Calibri" w:hAnsi="Times New Roman" w:cs="Times New Roman"/>
          <w:color w:val="000000" w:themeColor="text1"/>
          <w:sz w:val="24"/>
          <w:szCs w:val="24"/>
        </w:rPr>
        <w:t>d</w:t>
      </w:r>
      <w:r w:rsidRPr="00CA1391">
        <w:rPr>
          <w:rFonts w:ascii="Times New Roman" w:eastAsia="Calibri" w:hAnsi="Times New Roman" w:cs="Times New Roman"/>
          <w:color w:val="000000" w:themeColor="text1"/>
          <w:sz w:val="24"/>
          <w:szCs w:val="24"/>
        </w:rPr>
        <w:t xml:space="preserve"> </w:t>
      </w:r>
      <w:r w:rsidR="00B10CBD" w:rsidRPr="00CA1391">
        <w:rPr>
          <w:rFonts w:ascii="Times New Roman" w:eastAsia="Calibri" w:hAnsi="Times New Roman" w:cs="Times New Roman"/>
          <w:color w:val="000000" w:themeColor="text1"/>
          <w:sz w:val="24"/>
          <w:szCs w:val="24"/>
        </w:rPr>
        <w:t xml:space="preserve">thereafter. </w:t>
      </w:r>
      <w:r w:rsidR="00505B24" w:rsidRPr="00CA1391">
        <w:rPr>
          <w:rFonts w:ascii="Times New Roman" w:eastAsia="Calibri" w:hAnsi="Times New Roman" w:cs="Times New Roman"/>
          <w:color w:val="000000" w:themeColor="text1"/>
          <w:sz w:val="24"/>
          <w:szCs w:val="24"/>
        </w:rPr>
        <w:t>Whilst this has given traction to support among smaller green parties (e.g. Alternativet and some groups within Enhedslisten, Haagh 2019a), the major parties are still skeptical.</w:t>
      </w:r>
    </w:p>
    <w:p w14:paraId="57F1D793" w14:textId="184C130A" w:rsidR="00505B24" w:rsidRPr="00CA1391" w:rsidRDefault="00505B24" w:rsidP="00505B24">
      <w:pPr>
        <w:pStyle w:val="BodyA"/>
        <w:jc w:val="both"/>
        <w:rPr>
          <w:rFonts w:ascii="Times New Roman" w:eastAsia="Calibri" w:hAnsi="Times New Roman" w:cs="Times New Roman"/>
          <w:color w:val="000000" w:themeColor="text1"/>
          <w:sz w:val="24"/>
          <w:szCs w:val="24"/>
        </w:rPr>
      </w:pPr>
    </w:p>
    <w:p w14:paraId="39831E4E" w14:textId="77777777" w:rsidR="00F35611" w:rsidRPr="00CA1391" w:rsidRDefault="00F35611" w:rsidP="00505B24">
      <w:pPr>
        <w:pStyle w:val="BodyA"/>
        <w:jc w:val="both"/>
        <w:rPr>
          <w:rFonts w:ascii="Times New Roman" w:eastAsia="Calibri" w:hAnsi="Times New Roman" w:cs="Times New Roman"/>
          <w:color w:val="000000" w:themeColor="text1"/>
          <w:sz w:val="24"/>
          <w:szCs w:val="24"/>
        </w:rPr>
      </w:pPr>
    </w:p>
    <w:p w14:paraId="73E81843" w14:textId="77777777" w:rsidR="00505B24" w:rsidRPr="00CA1391" w:rsidRDefault="00505B24" w:rsidP="00505B24">
      <w:pPr>
        <w:pStyle w:val="BodyA"/>
        <w:jc w:val="both"/>
        <w:rPr>
          <w:rFonts w:ascii="Times New Roman" w:eastAsia="Times New Roman" w:hAnsi="Times New Roman" w:cs="Times New Roman"/>
          <w:color w:val="000000" w:themeColor="text1"/>
          <w:sz w:val="24"/>
          <w:szCs w:val="24"/>
        </w:rPr>
      </w:pPr>
      <w:r w:rsidRPr="00CA1391">
        <w:rPr>
          <w:rFonts w:ascii="Times New Roman" w:eastAsia="Calibri" w:hAnsi="Times New Roman" w:cs="Times New Roman"/>
          <w:bCs/>
          <w:color w:val="000000" w:themeColor="text1"/>
          <w:sz w:val="24"/>
          <w:szCs w:val="24"/>
        </w:rPr>
        <w:t>The Political Economy of Basic Income in the European Welfare States</w:t>
      </w:r>
    </w:p>
    <w:p w14:paraId="2AC1923E" w14:textId="611E3681" w:rsidR="008126B8" w:rsidRPr="00CA1391" w:rsidRDefault="008126B8" w:rsidP="00505B24">
      <w:pPr>
        <w:pStyle w:val="BodyA"/>
        <w:jc w:val="both"/>
        <w:rPr>
          <w:rFonts w:ascii="Times New Roman" w:hAnsi="Times New Roman" w:cs="Times New Roman"/>
          <w:color w:val="000000" w:themeColor="text1"/>
          <w:sz w:val="24"/>
          <w:szCs w:val="24"/>
        </w:rPr>
      </w:pPr>
    </w:p>
    <w:p w14:paraId="7DE7C17C" w14:textId="2DC99C7D" w:rsidR="00505B24" w:rsidRPr="00CA1391" w:rsidRDefault="00B10CBD" w:rsidP="00B10CBD">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What do the high levels of prevarication about the idea of basic income in some countries,</w:t>
      </w:r>
      <w:r w:rsidR="00674213" w:rsidRPr="00CA1391">
        <w:rPr>
          <w:rFonts w:ascii="Times New Roman" w:eastAsia="Calibri" w:hAnsi="Times New Roman" w:cs="Times New Roman"/>
          <w:color w:val="000000" w:themeColor="text1"/>
          <w:sz w:val="24"/>
          <w:szCs w:val="24"/>
        </w:rPr>
        <w:t xml:space="preserve"> as set against more concerted local</w:t>
      </w:r>
      <w:r w:rsidRPr="00CA1391">
        <w:rPr>
          <w:rFonts w:ascii="Times New Roman" w:eastAsia="Calibri" w:hAnsi="Times New Roman" w:cs="Times New Roman"/>
          <w:color w:val="000000" w:themeColor="text1"/>
          <w:sz w:val="24"/>
          <w:szCs w:val="24"/>
        </w:rPr>
        <w:t xml:space="preserve"> experimentation with lifting benefit conditionalities in others, tell us about contemporary conditions for institutional change?</w:t>
      </w:r>
      <w:r w:rsidRPr="00CA1391">
        <w:rPr>
          <w:rFonts w:ascii="Times New Roman" w:hAnsi="Times New Roman" w:cs="Times New Roman"/>
          <w:color w:val="000000" w:themeColor="text1"/>
          <w:sz w:val="24"/>
          <w:szCs w:val="24"/>
        </w:rPr>
        <w:t xml:space="preserve"> </w:t>
      </w:r>
      <w:r w:rsidR="00505B24" w:rsidRPr="00CA1391">
        <w:rPr>
          <w:rFonts w:ascii="Times New Roman" w:hAnsi="Times New Roman" w:cs="Times New Roman"/>
          <w:color w:val="000000" w:themeColor="text1"/>
          <w:sz w:val="24"/>
          <w:szCs w:val="24"/>
        </w:rPr>
        <w:t>Two interlinked developments challenge conventional wisdom, which pits basic income reform as a radical alternative to established welfare sta</w:t>
      </w:r>
      <w:r w:rsidR="00F35611" w:rsidRPr="00CA1391">
        <w:rPr>
          <w:rFonts w:ascii="Times New Roman" w:hAnsi="Times New Roman" w:cs="Times New Roman"/>
          <w:color w:val="000000" w:themeColor="text1"/>
          <w:sz w:val="24"/>
          <w:szCs w:val="24"/>
        </w:rPr>
        <w:t>te structures. On the one hand,</w:t>
      </w:r>
      <w:r w:rsidR="00D22A93" w:rsidRPr="00CA1391">
        <w:rPr>
          <w:rFonts w:ascii="Times New Roman" w:hAnsi="Times New Roman" w:cs="Times New Roman"/>
          <w:color w:val="000000" w:themeColor="text1"/>
          <w:sz w:val="24"/>
          <w:szCs w:val="24"/>
        </w:rPr>
        <w:t xml:space="preserve"> </w:t>
      </w:r>
      <w:r w:rsidR="00505B24" w:rsidRPr="00CA1391">
        <w:rPr>
          <w:rFonts w:ascii="Times New Roman" w:hAnsi="Times New Roman" w:cs="Times New Roman"/>
          <w:color w:val="000000" w:themeColor="text1"/>
          <w:sz w:val="24"/>
          <w:szCs w:val="24"/>
        </w:rPr>
        <w:t xml:space="preserve">mature welfare states have been at the forefront of policy experiments. On the other hand, global public austerity puts the foundations of public funding for distribution and development into doubt. </w:t>
      </w:r>
    </w:p>
    <w:p w14:paraId="3837F4AF" w14:textId="77777777" w:rsidR="00551398" w:rsidRPr="00CA1391" w:rsidRDefault="00551398" w:rsidP="00B10CBD">
      <w:pPr>
        <w:pStyle w:val="BodyA"/>
        <w:jc w:val="both"/>
        <w:rPr>
          <w:rFonts w:ascii="Times New Roman" w:eastAsia="Times New Roman" w:hAnsi="Times New Roman" w:cs="Times New Roman"/>
          <w:color w:val="000000" w:themeColor="text1"/>
          <w:sz w:val="24"/>
          <w:szCs w:val="24"/>
        </w:rPr>
      </w:pPr>
    </w:p>
    <w:p w14:paraId="7422DE0E" w14:textId="436D7EA7" w:rsidR="00E95D74" w:rsidRPr="00CA1391" w:rsidRDefault="00505B24" w:rsidP="00B10CBD">
      <w:pPr>
        <w:pStyle w:val="BodyA"/>
        <w:jc w:val="both"/>
        <w:rPr>
          <w:rFonts w:ascii="Times New Roman" w:eastAsia="Times New Roman" w:hAnsi="Times New Roman" w:cs="Times New Roman"/>
          <w:color w:val="000000" w:themeColor="text1"/>
          <w:sz w:val="24"/>
          <w:szCs w:val="24"/>
        </w:rPr>
      </w:pPr>
      <w:r w:rsidRPr="00CA1391">
        <w:rPr>
          <w:rFonts w:ascii="Times New Roman" w:hAnsi="Times New Roman" w:cs="Times New Roman"/>
          <w:color w:val="000000" w:themeColor="text1"/>
          <w:sz w:val="24"/>
          <w:szCs w:val="24"/>
        </w:rPr>
        <w:t>The implication of these developments is to shift the tectonic plates that have informed basic inc</w:t>
      </w:r>
      <w:r w:rsidR="009F684F" w:rsidRPr="00CA1391">
        <w:rPr>
          <w:rFonts w:ascii="Times New Roman" w:hAnsi="Times New Roman" w:cs="Times New Roman"/>
          <w:color w:val="000000" w:themeColor="text1"/>
          <w:sz w:val="24"/>
          <w:szCs w:val="24"/>
        </w:rPr>
        <w:t xml:space="preserve">ome debates. Differences aside </w:t>
      </w:r>
      <w:r w:rsidRPr="00CA1391">
        <w:rPr>
          <w:rFonts w:ascii="Times New Roman" w:hAnsi="Times New Roman" w:cs="Times New Roman"/>
          <w:color w:val="000000" w:themeColor="text1"/>
          <w:sz w:val="24"/>
          <w:szCs w:val="24"/>
        </w:rPr>
        <w:t xml:space="preserve">  e.g. a tendency to stress alternative taxes by left libertarians, and to assume a strong contributory regime by social democrat advocates — arguably both approaches implicitly or explicitly rely on two conditions: (i) a high level of shared finance, and (ii) the presence of stable economic opportunities and services in support of valuable choices (Haagh 2015). </w:t>
      </w:r>
      <w:r w:rsidR="008D2DBB" w:rsidRPr="00CA1391">
        <w:rPr>
          <w:rFonts w:ascii="Times New Roman" w:eastAsia="Times New Roman" w:hAnsi="Times New Roman" w:cs="Times New Roman"/>
          <w:color w:val="000000" w:themeColor="text1"/>
          <w:sz w:val="24"/>
          <w:szCs w:val="24"/>
        </w:rPr>
        <w:t xml:space="preserve"> </w:t>
      </w:r>
      <w:r w:rsidRPr="00CA1391">
        <w:rPr>
          <w:rFonts w:ascii="Times New Roman" w:hAnsi="Times New Roman" w:cs="Times New Roman"/>
          <w:color w:val="000000" w:themeColor="text1"/>
          <w:sz w:val="24"/>
          <w:szCs w:val="24"/>
        </w:rPr>
        <w:t xml:space="preserve">As these favourable conditions for basic income can no longer be assumed, old questions that used to divide libertarians and social democrat approaches are now supplemented with new concerns. </w:t>
      </w:r>
    </w:p>
    <w:p w14:paraId="57B78432" w14:textId="77777777" w:rsidR="00E95D74" w:rsidRPr="00CA1391" w:rsidRDefault="00E95D74" w:rsidP="00B10CBD">
      <w:pPr>
        <w:pStyle w:val="BodyA"/>
        <w:jc w:val="both"/>
        <w:rPr>
          <w:rFonts w:ascii="Times New Roman" w:hAnsi="Times New Roman" w:cs="Times New Roman"/>
          <w:color w:val="000000" w:themeColor="text1"/>
          <w:sz w:val="24"/>
          <w:szCs w:val="24"/>
        </w:rPr>
      </w:pPr>
    </w:p>
    <w:p w14:paraId="35AAB2BB" w14:textId="5C290C87" w:rsidR="00B62F2C" w:rsidRPr="00CA1391" w:rsidRDefault="00B62F2C" w:rsidP="00472A9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Calibri"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The spike in public visibility of basic income in the past five years runs parallel with a further deepening of public sector restructuring in the wake of the global financial crisis, typically incorporating a turn to punitive administration of income bene</w:t>
      </w:r>
      <w:r w:rsidR="00E23BB3" w:rsidRPr="00CA1391">
        <w:rPr>
          <w:rFonts w:ascii="Times New Roman" w:eastAsia="Calibri" w:hAnsi="Times New Roman" w:cs="Times New Roman"/>
          <w:color w:val="000000" w:themeColor="text1"/>
          <w:sz w:val="24"/>
          <w:szCs w:val="24"/>
        </w:rPr>
        <w:t>fits across OECD states</w:t>
      </w:r>
      <w:r w:rsidR="00674213" w:rsidRPr="00CA1391">
        <w:rPr>
          <w:rFonts w:ascii="Times New Roman" w:eastAsia="Calibri" w:hAnsi="Times New Roman" w:cs="Times New Roman"/>
          <w:color w:val="000000" w:themeColor="text1"/>
          <w:sz w:val="24"/>
          <w:szCs w:val="24"/>
        </w:rPr>
        <w:t xml:space="preserve"> (Knotz 2018)</w:t>
      </w:r>
      <w:r w:rsidR="00E23BB3" w:rsidRPr="00CA1391">
        <w:rPr>
          <w:rFonts w:ascii="Times New Roman" w:eastAsia="Calibri" w:hAnsi="Times New Roman" w:cs="Times New Roman"/>
          <w:color w:val="000000" w:themeColor="text1"/>
          <w:sz w:val="24"/>
          <w:szCs w:val="24"/>
        </w:rPr>
        <w:t xml:space="preserve">. </w:t>
      </w:r>
      <w:r w:rsidRPr="00CA1391">
        <w:rPr>
          <w:rFonts w:ascii="Times New Roman" w:eastAsia="Calibri" w:hAnsi="Times New Roman" w:cs="Times New Roman"/>
          <w:color w:val="000000" w:themeColor="text1"/>
          <w:sz w:val="24"/>
          <w:szCs w:val="24"/>
        </w:rPr>
        <w:t xml:space="preserve">This means that broader changes in the state itself are entailed in the debate about basic income reform. </w:t>
      </w:r>
      <w:r w:rsidRPr="00CA1391">
        <w:rPr>
          <w:rFonts w:ascii="Times New Roman" w:hAnsi="Times New Roman" w:cs="Times New Roman"/>
          <w:color w:val="000000" w:themeColor="text1"/>
          <w:sz w:val="24"/>
          <w:szCs w:val="24"/>
        </w:rPr>
        <w:t>Hence, whilst</w:t>
      </w:r>
      <w:r w:rsidRPr="00CA1391">
        <w:rPr>
          <w:rFonts w:ascii="Times New Roman" w:eastAsia="Times New Roman" w:hAnsi="Times New Roman" w:cs="Times New Roman"/>
          <w:color w:val="000000" w:themeColor="text1"/>
          <w:sz w:val="24"/>
          <w:szCs w:val="24"/>
          <w:lang w:eastAsia="en-GB"/>
        </w:rPr>
        <w:t xml:space="preserve"> a real basic income experiment cannot be run – because whole-society, long-term change is involved, and no two societies are alike in a way that a basic income’s effect could be isolated. there are two reasons for taking policy experiments linked with features of basic income seriously. </w:t>
      </w:r>
      <w:r w:rsidRPr="00CA1391">
        <w:rPr>
          <w:rFonts w:ascii="Times New Roman" w:hAnsi="Times New Roman" w:cs="Times New Roman"/>
          <w:color w:val="000000" w:themeColor="text1"/>
          <w:sz w:val="24"/>
          <w:szCs w:val="24"/>
        </w:rPr>
        <w:t xml:space="preserve"> First, </w:t>
      </w:r>
      <w:r w:rsidRPr="00CA1391">
        <w:rPr>
          <w:rFonts w:ascii="Times New Roman" w:eastAsia="Times New Roman" w:hAnsi="Times New Roman" w:cs="Times New Roman"/>
          <w:color w:val="000000" w:themeColor="text1"/>
          <w:sz w:val="24"/>
          <w:szCs w:val="24"/>
          <w:lang w:eastAsia="en-GB"/>
        </w:rPr>
        <w:t xml:space="preserve">looking at the current policy juncture in terms of steps or otherwise towards basic income allows us to look at societal changes induced by global pressures as the basis for a demand from within society for changes in the state. </w:t>
      </w:r>
      <w:r w:rsidRPr="00CA1391">
        <w:rPr>
          <w:rFonts w:ascii="Times New Roman" w:hAnsi="Times New Roman" w:cs="Times New Roman"/>
          <w:color w:val="000000" w:themeColor="text1"/>
          <w:sz w:val="24"/>
          <w:szCs w:val="24"/>
        </w:rPr>
        <w:t>Second, relatedly, looking at political and public sector conditions for basic income offers a window into state capacity to respond.</w:t>
      </w:r>
    </w:p>
    <w:p w14:paraId="611D84CF" w14:textId="77777777" w:rsidR="000006F6" w:rsidRPr="00CA1391" w:rsidRDefault="000006F6" w:rsidP="00472A99">
      <w:pPr>
        <w:shd w:val="clear" w:color="auto" w:fill="FFFFFF"/>
        <w:jc w:val="both"/>
        <w:rPr>
          <w:color w:val="000000" w:themeColor="text1"/>
        </w:rPr>
      </w:pPr>
    </w:p>
    <w:p w14:paraId="20E6D70E" w14:textId="2C394946" w:rsidR="00B62F2C" w:rsidRPr="00CA1391" w:rsidRDefault="00B10CBD" w:rsidP="00472A99">
      <w:pPr>
        <w:shd w:val="clear" w:color="auto" w:fill="FFFFFF"/>
        <w:jc w:val="both"/>
        <w:rPr>
          <w:color w:val="000000" w:themeColor="text1"/>
        </w:rPr>
      </w:pPr>
      <w:r w:rsidRPr="00CA1391">
        <w:rPr>
          <w:color w:val="000000" w:themeColor="text1"/>
        </w:rPr>
        <w:lastRenderedPageBreak/>
        <w:t>T</w:t>
      </w:r>
      <w:r w:rsidR="000006F6" w:rsidRPr="00CA1391">
        <w:rPr>
          <w:color w:val="000000" w:themeColor="text1"/>
        </w:rPr>
        <w:t xml:space="preserve">he case of income security reform encapsulates the intersection of three forms of inclusion crisis, of employment, of public finance, and of incorporation through benefit systems designed to ensure citizens and society as a whole against risks. </w:t>
      </w:r>
      <w:r w:rsidR="008126B8" w:rsidRPr="00CA1391">
        <w:rPr>
          <w:color w:val="000000" w:themeColor="text1"/>
        </w:rPr>
        <w:t>To varying degrees OEC</w:t>
      </w:r>
      <w:r w:rsidR="00E23BB3" w:rsidRPr="00CA1391">
        <w:rPr>
          <w:color w:val="000000" w:themeColor="text1"/>
        </w:rPr>
        <w:t>D states have seen the share of wages in GDP fall steadily over the last four decades. According to the IMF, the share of labour income in national income fell from around 55 per cent in 1970 to 39 per cent in 2015 (IMF 2017)</w:t>
      </w:r>
      <w:r w:rsidR="000565DF" w:rsidRPr="00CA1391">
        <w:rPr>
          <w:color w:val="000000" w:themeColor="text1"/>
        </w:rPr>
        <w:t>. Moreover, this general trend hides growing fragmentation within</w:t>
      </w:r>
      <w:r w:rsidR="008126B8" w:rsidRPr="00CA1391">
        <w:rPr>
          <w:color w:val="000000" w:themeColor="text1"/>
        </w:rPr>
        <w:t xml:space="preserve"> the labour share of income</w:t>
      </w:r>
      <w:r w:rsidR="000565DF" w:rsidRPr="00CA1391">
        <w:rPr>
          <w:color w:val="000000" w:themeColor="text1"/>
        </w:rPr>
        <w:t>.</w:t>
      </w:r>
      <w:r w:rsidR="008126B8" w:rsidRPr="00CA1391">
        <w:rPr>
          <w:color w:val="000000" w:themeColor="text1"/>
        </w:rPr>
        <w:t xml:space="preserve"> Despite the greater demand this creates for public support, states have raised the barriers to income benefit access, and scaled back the value of benefits, generating an incipient crisis of incorporation and a genuine policy </w:t>
      </w:r>
      <w:r w:rsidR="009F684F" w:rsidRPr="00CA1391">
        <w:rPr>
          <w:color w:val="000000" w:themeColor="text1"/>
        </w:rPr>
        <w:t>vacu</w:t>
      </w:r>
      <w:r w:rsidR="008D2DBB" w:rsidRPr="00CA1391">
        <w:rPr>
          <w:color w:val="000000" w:themeColor="text1"/>
        </w:rPr>
        <w:t>u</w:t>
      </w:r>
      <w:r w:rsidR="008126B8" w:rsidRPr="00CA1391">
        <w:rPr>
          <w:color w:val="000000" w:themeColor="text1"/>
        </w:rPr>
        <w:t xml:space="preserve">m. </w:t>
      </w:r>
    </w:p>
    <w:p w14:paraId="5520B3FA" w14:textId="7B9BEB53" w:rsidR="00D133E8" w:rsidRPr="00CA1391" w:rsidRDefault="00D133E8" w:rsidP="00472A9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4"/>
          <w:szCs w:val="24"/>
        </w:rPr>
      </w:pPr>
    </w:p>
    <w:p w14:paraId="2AEDC37F" w14:textId="13DC992B" w:rsidR="00311C65" w:rsidRPr="00CA1391" w:rsidRDefault="00311C65" w:rsidP="00472A9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4"/>
          <w:szCs w:val="24"/>
        </w:rPr>
      </w:pPr>
      <w:r w:rsidRPr="00CA1391">
        <w:rPr>
          <w:rFonts w:ascii="Times New Roman" w:hAnsi="Times New Roman" w:cs="Times New Roman"/>
          <w:color w:val="000000" w:themeColor="text1"/>
          <w:sz w:val="24"/>
          <w:szCs w:val="24"/>
        </w:rPr>
        <w:t>The signs society is fragmenting are ubiquitous across Europe, from electoral defection from the mainstream, to growing inequality in the fisca</w:t>
      </w:r>
      <w:r w:rsidR="00472A99" w:rsidRPr="00CA1391">
        <w:rPr>
          <w:rFonts w:ascii="Times New Roman" w:hAnsi="Times New Roman" w:cs="Times New Roman"/>
          <w:color w:val="000000" w:themeColor="text1"/>
          <w:sz w:val="24"/>
          <w:szCs w:val="24"/>
        </w:rPr>
        <w:t xml:space="preserve">l capacity of local government </w:t>
      </w:r>
      <w:r w:rsidRPr="00CA1391">
        <w:rPr>
          <w:rFonts w:ascii="Times New Roman" w:hAnsi="Times New Roman" w:cs="Times New Roman"/>
          <w:color w:val="000000" w:themeColor="text1"/>
          <w:sz w:val="24"/>
          <w:szCs w:val="24"/>
        </w:rPr>
        <w:t xml:space="preserve">with growing responsibility for welfare services. </w:t>
      </w:r>
      <w:r w:rsidR="000006F6" w:rsidRPr="00CA1391">
        <w:rPr>
          <w:rFonts w:ascii="Times New Roman" w:hAnsi="Times New Roman" w:cs="Times New Roman"/>
          <w:color w:val="000000" w:themeColor="text1"/>
          <w:sz w:val="24"/>
          <w:szCs w:val="24"/>
        </w:rPr>
        <w:t>The ultimate manifestation of governance failure and democratic crisis are sanctions policies which push the most vulnerable sectors in the labour market outside the frame of public protection.</w:t>
      </w:r>
      <w:r w:rsidR="00F35611" w:rsidRPr="00CA1391">
        <w:rPr>
          <w:rFonts w:ascii="Times New Roman" w:hAnsi="Times New Roman" w:cs="Times New Roman"/>
          <w:color w:val="000000" w:themeColor="text1"/>
          <w:sz w:val="24"/>
          <w:szCs w:val="24"/>
        </w:rPr>
        <w:t xml:space="preserve"> </w:t>
      </w:r>
      <w:r w:rsidR="00AD18FD" w:rsidRPr="00CA1391">
        <w:rPr>
          <w:rFonts w:ascii="Times New Roman" w:hAnsi="Times New Roman" w:cs="Times New Roman"/>
          <w:color w:val="000000" w:themeColor="text1"/>
          <w:sz w:val="24"/>
          <w:szCs w:val="24"/>
        </w:rPr>
        <w:t xml:space="preserve">In a recent indictment on the present income security systems, only </w:t>
      </w:r>
      <w:r w:rsidR="00AD18FD" w:rsidRPr="00CA1391">
        <w:rPr>
          <w:rFonts w:ascii="Times New Roman" w:eastAsia="Calibri" w:hAnsi="Times New Roman" w:cs="Times New Roman"/>
          <w:color w:val="000000" w:themeColor="text1"/>
          <w:sz w:val="24"/>
          <w:szCs w:val="24"/>
        </w:rPr>
        <w:t xml:space="preserve">only 19 per cent of respondents to a survey by the Royal Society of Arts in Britain (RSA 2018), felt the existing system of income security functioned well and no changes were needed. </w:t>
      </w:r>
      <w:r w:rsidRPr="00CA1391">
        <w:rPr>
          <w:rFonts w:ascii="Times New Roman" w:hAnsi="Times New Roman" w:cs="Times New Roman"/>
          <w:color w:val="000000" w:themeColor="text1"/>
          <w:sz w:val="24"/>
          <w:szCs w:val="24"/>
        </w:rPr>
        <w:t>A number of recent studies</w:t>
      </w:r>
      <w:r w:rsidR="00674213" w:rsidRPr="00CA1391">
        <w:rPr>
          <w:rFonts w:ascii="Times New Roman" w:hAnsi="Times New Roman" w:cs="Times New Roman"/>
          <w:color w:val="000000" w:themeColor="text1"/>
          <w:sz w:val="24"/>
          <w:szCs w:val="24"/>
        </w:rPr>
        <w:t xml:space="preserve"> </w:t>
      </w:r>
      <w:r w:rsidRPr="00CA1391">
        <w:rPr>
          <w:rFonts w:ascii="Times New Roman" w:hAnsi="Times New Roman" w:cs="Times New Roman"/>
          <w:color w:val="000000" w:themeColor="text1"/>
          <w:sz w:val="24"/>
          <w:szCs w:val="24"/>
        </w:rPr>
        <w:t>have shown the direct connection between protest votes and austerity, and economic globalisation and nationalism, as poor communities tend to be harder squeezed by labour market precarity and welfare cuts</w:t>
      </w:r>
      <w:r w:rsidR="00674213" w:rsidRPr="00CA1391">
        <w:rPr>
          <w:rFonts w:ascii="Times New Roman" w:hAnsi="Times New Roman" w:cs="Times New Roman"/>
          <w:color w:val="000000" w:themeColor="text1"/>
          <w:sz w:val="24"/>
          <w:szCs w:val="24"/>
        </w:rPr>
        <w:t xml:space="preserve"> (Fetzer 2018)</w:t>
      </w:r>
      <w:r w:rsidRPr="00CA1391">
        <w:rPr>
          <w:rFonts w:ascii="Times New Roman" w:hAnsi="Times New Roman" w:cs="Times New Roman"/>
          <w:color w:val="000000" w:themeColor="text1"/>
          <w:sz w:val="24"/>
          <w:szCs w:val="24"/>
        </w:rPr>
        <w:t xml:space="preserve">. </w:t>
      </w:r>
    </w:p>
    <w:p w14:paraId="16258998" w14:textId="77777777" w:rsidR="00674213" w:rsidRPr="00CA1391" w:rsidRDefault="00674213" w:rsidP="00472A9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000000" w:themeColor="text1"/>
          <w:sz w:val="24"/>
          <w:szCs w:val="24"/>
          <w:lang w:eastAsia="en-GB"/>
        </w:rPr>
      </w:pPr>
    </w:p>
    <w:p w14:paraId="5AE89B68" w14:textId="471AF243" w:rsidR="00EF7E72" w:rsidRPr="00CA1391" w:rsidRDefault="003133C6" w:rsidP="00472A9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000000" w:themeColor="text1"/>
          <w:sz w:val="24"/>
          <w:szCs w:val="24"/>
          <w:lang w:eastAsia="en-GB"/>
        </w:rPr>
      </w:pPr>
      <w:r w:rsidRPr="00CA1391">
        <w:rPr>
          <w:rFonts w:ascii="Times New Roman" w:eastAsia="Calibri" w:hAnsi="Times New Roman" w:cs="Times New Roman"/>
          <w:color w:val="000000" w:themeColor="text1"/>
          <w:sz w:val="24"/>
          <w:szCs w:val="24"/>
        </w:rPr>
        <w:t>In all, the basic income debate shows up not only the moral defectiveness of modern government, but the much deeper challenges linked with public governance capacity (Haagh 2019b).</w:t>
      </w:r>
      <w:r w:rsidR="00674213" w:rsidRPr="00CA1391">
        <w:rPr>
          <w:rFonts w:ascii="Times New Roman" w:eastAsia="Times New Roman" w:hAnsi="Times New Roman" w:cs="Times New Roman"/>
          <w:color w:val="000000" w:themeColor="text1"/>
          <w:sz w:val="24"/>
          <w:szCs w:val="24"/>
          <w:lang w:eastAsia="en-GB"/>
        </w:rPr>
        <w:t xml:space="preserve"> </w:t>
      </w:r>
      <w:r w:rsidR="00311C65" w:rsidRPr="00CA1391">
        <w:rPr>
          <w:rFonts w:ascii="Times New Roman" w:eastAsia="Times New Roman" w:hAnsi="Times New Roman" w:cs="Times New Roman"/>
          <w:color w:val="000000" w:themeColor="text1"/>
          <w:sz w:val="24"/>
          <w:szCs w:val="24"/>
          <w:lang w:eastAsia="en-GB"/>
        </w:rPr>
        <w:t xml:space="preserve">In this context, the attractiveness of basic income – or at least many of its elements – to public administrators today lie not in ideals but necessity. Yet, the public sector may not be positioned in a way basic income is feasible, generating an interesting tension between demand and supply within </w:t>
      </w:r>
      <w:r w:rsidR="00674213" w:rsidRPr="00CA1391">
        <w:rPr>
          <w:rFonts w:ascii="Times New Roman" w:eastAsia="Times New Roman" w:hAnsi="Times New Roman" w:cs="Times New Roman"/>
          <w:color w:val="000000" w:themeColor="text1"/>
          <w:sz w:val="24"/>
          <w:szCs w:val="24"/>
          <w:lang w:eastAsia="en-GB"/>
        </w:rPr>
        <w:t>the state and policy establishment</w:t>
      </w:r>
      <w:r w:rsidR="00311C65" w:rsidRPr="00CA1391">
        <w:rPr>
          <w:rFonts w:ascii="Times New Roman" w:eastAsia="Times New Roman" w:hAnsi="Times New Roman" w:cs="Times New Roman"/>
          <w:color w:val="000000" w:themeColor="text1"/>
          <w:sz w:val="24"/>
          <w:szCs w:val="24"/>
          <w:lang w:eastAsia="en-GB"/>
        </w:rPr>
        <w:t>.</w:t>
      </w:r>
    </w:p>
    <w:p w14:paraId="2290BB94" w14:textId="77777777" w:rsidR="00472A99" w:rsidRPr="00CA1391" w:rsidRDefault="00472A99" w:rsidP="00472A99">
      <w:pPr>
        <w:pStyle w:val="BodyA"/>
        <w:jc w:val="both"/>
        <w:rPr>
          <w:rFonts w:ascii="Times New Roman" w:eastAsia="Times New Roman" w:hAnsi="Times New Roman" w:cs="Times New Roman"/>
          <w:color w:val="000000" w:themeColor="text1"/>
          <w:sz w:val="24"/>
          <w:szCs w:val="24"/>
          <w:lang w:eastAsia="en-GB"/>
        </w:rPr>
      </w:pPr>
    </w:p>
    <w:p w14:paraId="50F11D6C" w14:textId="6F5CB9B4" w:rsidR="002E5749" w:rsidRPr="00CA1391" w:rsidRDefault="002E5749" w:rsidP="00674213">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4"/>
          <w:szCs w:val="24"/>
        </w:rPr>
      </w:pPr>
      <w:r w:rsidRPr="00CA1391">
        <w:rPr>
          <w:rFonts w:ascii="Times New Roman" w:hAnsi="Times New Roman" w:cs="Times New Roman"/>
          <w:color w:val="000000" w:themeColor="text1"/>
          <w:sz w:val="24"/>
          <w:szCs w:val="24"/>
        </w:rPr>
        <w:t>As Figure 1 illustrates</w:t>
      </w:r>
      <w:r w:rsidR="00B10CBD" w:rsidRPr="00CA1391">
        <w:rPr>
          <w:rFonts w:ascii="Times New Roman" w:hAnsi="Times New Roman" w:cs="Times New Roman"/>
          <w:color w:val="000000" w:themeColor="text1"/>
          <w:sz w:val="24"/>
          <w:szCs w:val="24"/>
        </w:rPr>
        <w:t xml:space="preserve"> schematically</w:t>
      </w:r>
      <w:r w:rsidR="00B2715D" w:rsidRPr="00CA1391">
        <w:rPr>
          <w:rFonts w:ascii="Times New Roman" w:hAnsi="Times New Roman" w:cs="Times New Roman"/>
          <w:color w:val="000000" w:themeColor="text1"/>
          <w:sz w:val="24"/>
          <w:szCs w:val="24"/>
        </w:rPr>
        <w:t>,</w:t>
      </w:r>
      <w:r w:rsidRPr="00CA1391">
        <w:rPr>
          <w:rFonts w:ascii="Times New Roman" w:hAnsi="Times New Roman" w:cs="Times New Roman"/>
          <w:color w:val="000000" w:themeColor="text1"/>
          <w:sz w:val="24"/>
          <w:szCs w:val="24"/>
        </w:rPr>
        <w:t xml:space="preserve"> the successive processes of marketization and public austerity</w:t>
      </w:r>
      <w:r w:rsidR="00710070" w:rsidRPr="00CA1391">
        <w:rPr>
          <w:rFonts w:ascii="Times New Roman" w:hAnsi="Times New Roman" w:cs="Times New Roman"/>
          <w:color w:val="000000" w:themeColor="text1"/>
          <w:sz w:val="24"/>
          <w:szCs w:val="24"/>
        </w:rPr>
        <w:t xml:space="preserve"> </w:t>
      </w:r>
      <w:r w:rsidRPr="00CA1391">
        <w:rPr>
          <w:rFonts w:ascii="Times New Roman" w:hAnsi="Times New Roman" w:cs="Times New Roman"/>
          <w:color w:val="000000" w:themeColor="text1"/>
          <w:sz w:val="24"/>
          <w:szCs w:val="24"/>
        </w:rPr>
        <w:t>act to undermine the sources of effective incorporation and governance capacity. At the level of direct effect, marketization generates employment and income insecurity, whereas austerity impacts state capacity to supplement income. However, there are also two mor</w:t>
      </w:r>
      <w:r w:rsidR="00B2715D" w:rsidRPr="00CA1391">
        <w:rPr>
          <w:rFonts w:ascii="Times New Roman" w:hAnsi="Times New Roman" w:cs="Times New Roman"/>
          <w:color w:val="000000" w:themeColor="text1"/>
          <w:sz w:val="24"/>
          <w:szCs w:val="24"/>
        </w:rPr>
        <w:t>e indirect effects</w:t>
      </w:r>
      <w:r w:rsidR="00994FF3">
        <w:rPr>
          <w:rFonts w:ascii="Times New Roman" w:hAnsi="Times New Roman" w:cs="Times New Roman"/>
          <w:color w:val="000000" w:themeColor="text1"/>
          <w:sz w:val="24"/>
          <w:szCs w:val="24"/>
        </w:rPr>
        <w:t xml:space="preserve">, </w:t>
      </w:r>
      <w:r w:rsidR="00B10CBD" w:rsidRPr="00CA1391">
        <w:rPr>
          <w:rFonts w:ascii="Times New Roman" w:hAnsi="Times New Roman" w:cs="Times New Roman"/>
          <w:color w:val="000000" w:themeColor="text1"/>
          <w:sz w:val="24"/>
          <w:szCs w:val="24"/>
        </w:rPr>
        <w:t xml:space="preserve">as </w:t>
      </w:r>
      <w:r w:rsidR="00F35611" w:rsidRPr="00CA1391">
        <w:rPr>
          <w:rFonts w:ascii="Times New Roman" w:hAnsi="Times New Roman" w:cs="Times New Roman"/>
          <w:color w:val="000000" w:themeColor="text1"/>
          <w:sz w:val="24"/>
          <w:szCs w:val="24"/>
        </w:rPr>
        <w:t>illust</w:t>
      </w:r>
      <w:r w:rsidR="00B10CBD" w:rsidRPr="00CA1391">
        <w:rPr>
          <w:rFonts w:ascii="Times New Roman" w:hAnsi="Times New Roman" w:cs="Times New Roman"/>
          <w:color w:val="000000" w:themeColor="text1"/>
          <w:sz w:val="24"/>
          <w:szCs w:val="24"/>
        </w:rPr>
        <w:t>rat</w:t>
      </w:r>
      <w:r w:rsidR="00F35611" w:rsidRPr="00CA1391">
        <w:rPr>
          <w:rFonts w:ascii="Times New Roman" w:hAnsi="Times New Roman" w:cs="Times New Roman"/>
          <w:color w:val="000000" w:themeColor="text1"/>
          <w:sz w:val="24"/>
          <w:szCs w:val="24"/>
        </w:rPr>
        <w:t xml:space="preserve">ed at the bottom of the figure. </w:t>
      </w:r>
      <w:r w:rsidR="00B2715D" w:rsidRPr="00CA1391">
        <w:rPr>
          <w:rFonts w:ascii="Times New Roman" w:hAnsi="Times New Roman" w:cs="Times New Roman"/>
          <w:color w:val="000000" w:themeColor="text1"/>
          <w:sz w:val="24"/>
          <w:szCs w:val="24"/>
        </w:rPr>
        <w:t xml:space="preserve"> Longer-term</w:t>
      </w:r>
      <w:r w:rsidRPr="00CA1391">
        <w:rPr>
          <w:rFonts w:ascii="Times New Roman" w:hAnsi="Times New Roman" w:cs="Times New Roman"/>
          <w:color w:val="000000" w:themeColor="text1"/>
          <w:sz w:val="24"/>
          <w:szCs w:val="24"/>
        </w:rPr>
        <w:t xml:space="preserve"> exhaustion of state capacity is </w:t>
      </w:r>
      <w:r w:rsidRPr="00CA1391">
        <w:rPr>
          <w:rFonts w:ascii="Times New Roman" w:hAnsi="Times New Roman" w:cs="Times New Roman"/>
          <w:color w:val="000000" w:themeColor="text1"/>
          <w:sz w:val="24"/>
          <w:szCs w:val="24"/>
        </w:rPr>
        <w:lastRenderedPageBreak/>
        <w:t>linked with public sector restructuring, which ultimately undermine</w:t>
      </w:r>
      <w:r w:rsidR="00B2715D" w:rsidRPr="00CA1391">
        <w:rPr>
          <w:rFonts w:ascii="Times New Roman" w:hAnsi="Times New Roman" w:cs="Times New Roman"/>
          <w:color w:val="000000" w:themeColor="text1"/>
          <w:sz w:val="24"/>
          <w:szCs w:val="24"/>
        </w:rPr>
        <w:t>s</w:t>
      </w:r>
      <w:r w:rsidRPr="00CA1391">
        <w:rPr>
          <w:rFonts w:ascii="Times New Roman" w:hAnsi="Times New Roman" w:cs="Times New Roman"/>
          <w:color w:val="000000" w:themeColor="text1"/>
          <w:sz w:val="24"/>
          <w:szCs w:val="24"/>
        </w:rPr>
        <w:t xml:space="preserve"> universalism by fragmenting services and generating pressu</w:t>
      </w:r>
      <w:r w:rsidR="00B2715D" w:rsidRPr="00CA1391">
        <w:rPr>
          <w:rFonts w:ascii="Times New Roman" w:hAnsi="Times New Roman" w:cs="Times New Roman"/>
          <w:color w:val="000000" w:themeColor="text1"/>
          <w:sz w:val="24"/>
          <w:szCs w:val="24"/>
        </w:rPr>
        <w:t xml:space="preserve">res to streamline income security provision. </w:t>
      </w:r>
      <w:r w:rsidRPr="00CA1391">
        <w:rPr>
          <w:rFonts w:ascii="Times New Roman" w:hAnsi="Times New Roman" w:cs="Times New Roman"/>
          <w:color w:val="000000" w:themeColor="text1"/>
          <w:sz w:val="24"/>
          <w:szCs w:val="24"/>
        </w:rPr>
        <w:t>On the other hand, weakening of employment regulation not only generates more insecure employment but also corrodes</w:t>
      </w:r>
      <w:r w:rsidR="00B2715D" w:rsidRPr="00CA1391">
        <w:rPr>
          <w:rFonts w:ascii="Times New Roman" w:hAnsi="Times New Roman" w:cs="Times New Roman"/>
          <w:color w:val="000000" w:themeColor="text1"/>
          <w:sz w:val="24"/>
          <w:szCs w:val="24"/>
        </w:rPr>
        <w:t xml:space="preserve"> regulatory capacity</w:t>
      </w:r>
      <w:r w:rsidR="00EF7E72" w:rsidRPr="00CA1391">
        <w:rPr>
          <w:rFonts w:ascii="Times New Roman" w:hAnsi="Times New Roman" w:cs="Times New Roman"/>
          <w:color w:val="000000" w:themeColor="text1"/>
          <w:sz w:val="24"/>
          <w:szCs w:val="24"/>
        </w:rPr>
        <w:t>.</w:t>
      </w:r>
    </w:p>
    <w:p w14:paraId="2ACEF060" w14:textId="77777777" w:rsidR="00EF7E72" w:rsidRPr="00CA1391" w:rsidRDefault="00EF7E72" w:rsidP="00674213">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i/>
          <w:color w:val="000000" w:themeColor="text1"/>
          <w:sz w:val="24"/>
          <w:szCs w:val="24"/>
        </w:rPr>
      </w:pPr>
    </w:p>
    <w:p w14:paraId="12043F43" w14:textId="77777777" w:rsidR="00921B77" w:rsidRPr="00CA1391" w:rsidRDefault="00921B77" w:rsidP="00921B77">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4"/>
          <w:szCs w:val="24"/>
        </w:rPr>
      </w:pPr>
    </w:p>
    <w:p w14:paraId="2B903FC8" w14:textId="77777777" w:rsidR="00473F36" w:rsidRPr="00CA1391" w:rsidRDefault="00473F36" w:rsidP="0077790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4"/>
          <w:szCs w:val="24"/>
        </w:rPr>
      </w:pPr>
    </w:p>
    <w:p w14:paraId="1F5DB99E" w14:textId="4DB44DD3" w:rsidR="00473F36" w:rsidRPr="00CA1391" w:rsidRDefault="00473F36" w:rsidP="0077790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4"/>
          <w:szCs w:val="24"/>
        </w:rPr>
      </w:pPr>
      <w:r w:rsidRPr="00CA1391">
        <w:rPr>
          <w:rFonts w:ascii="Times New Roman" w:hAnsi="Times New Roman" w:cs="Times New Roman"/>
          <w:noProof/>
          <w:color w:val="000000" w:themeColor="text1"/>
          <w:sz w:val="24"/>
          <w:szCs w:val="24"/>
          <w:lang w:val="en-GB" w:eastAsia="en-GB"/>
        </w:rPr>
        <w:drawing>
          <wp:inline distT="0" distB="0" distL="0" distR="0" wp14:anchorId="191A8101" wp14:editId="6BDC00DC">
            <wp:extent cx="5667375" cy="2809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1714" cy="2812026"/>
                    </a:xfrm>
                    <a:prstGeom prst="rect">
                      <a:avLst/>
                    </a:prstGeom>
                  </pic:spPr>
                </pic:pic>
              </a:graphicData>
            </a:graphic>
          </wp:inline>
        </w:drawing>
      </w:r>
    </w:p>
    <w:p w14:paraId="510DB31D" w14:textId="77777777" w:rsidR="00473F36" w:rsidRPr="00CA1391" w:rsidRDefault="00473F36" w:rsidP="0077790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4"/>
          <w:szCs w:val="24"/>
        </w:rPr>
      </w:pPr>
    </w:p>
    <w:p w14:paraId="3F71615A" w14:textId="77777777" w:rsidR="00473F36" w:rsidRPr="00CA1391" w:rsidRDefault="00473F36" w:rsidP="0077790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4"/>
          <w:szCs w:val="24"/>
        </w:rPr>
      </w:pPr>
    </w:p>
    <w:p w14:paraId="43051641" w14:textId="77777777" w:rsidR="00473F36" w:rsidRPr="00CA1391" w:rsidRDefault="00473F36" w:rsidP="0077790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4"/>
          <w:szCs w:val="24"/>
        </w:rPr>
      </w:pPr>
    </w:p>
    <w:p w14:paraId="36E91D1A" w14:textId="77777777" w:rsidR="00473F36" w:rsidRPr="00CA1391" w:rsidRDefault="00473F36" w:rsidP="0077790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4"/>
          <w:szCs w:val="24"/>
        </w:rPr>
      </w:pPr>
    </w:p>
    <w:p w14:paraId="774B4091" w14:textId="20D663D3" w:rsidR="00777909" w:rsidRPr="00CA1391" w:rsidRDefault="00777909" w:rsidP="0077790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4"/>
          <w:szCs w:val="24"/>
        </w:rPr>
      </w:pPr>
    </w:p>
    <w:p w14:paraId="6A8AF53E" w14:textId="2297674C" w:rsidR="00473F36" w:rsidRPr="00CA1391" w:rsidRDefault="00473F36" w:rsidP="00473F36">
      <w:pPr>
        <w:shd w:val="clear" w:color="auto" w:fill="FFFFFF"/>
        <w:jc w:val="both"/>
        <w:rPr>
          <w:color w:val="000000" w:themeColor="text1"/>
        </w:rPr>
      </w:pPr>
      <w:r w:rsidRPr="00CA1391">
        <w:rPr>
          <w:rFonts w:eastAsia="Times New Roman"/>
          <w:color w:val="000000" w:themeColor="text1"/>
          <w:lang w:eastAsia="en-GB"/>
        </w:rPr>
        <w:t xml:space="preserve">In this context we can expect a disjuncture between the moral and feasible case for basic income reform. If globalisation has generated a new need, it has also weakened the state’s capacity to respond to it. </w:t>
      </w:r>
      <w:r w:rsidRPr="00CA1391">
        <w:rPr>
          <w:color w:val="000000" w:themeColor="text1"/>
        </w:rPr>
        <w:t>In turn this points to a self-fulfilling aspect of exhaustion of state capacity: undermining of state capacity tends to coincide with expansion of social needs, which then over time deepens the policy vacuum in income security,</w:t>
      </w:r>
      <w:r w:rsidRPr="00CA1391">
        <w:rPr>
          <w:i/>
          <w:color w:val="000000" w:themeColor="text1"/>
        </w:rPr>
        <w:t xml:space="preserve"> and</w:t>
      </w:r>
      <w:r w:rsidRPr="00CA1391">
        <w:rPr>
          <w:color w:val="000000" w:themeColor="text1"/>
        </w:rPr>
        <w:t xml:space="preserve"> the corrosion of mechanisms to avert it.  At the same time, the extent to and way in w</w:t>
      </w:r>
      <w:r w:rsidR="00F35611" w:rsidRPr="00CA1391">
        <w:rPr>
          <w:color w:val="000000" w:themeColor="text1"/>
        </w:rPr>
        <w:t>hich this is true varies greatly</w:t>
      </w:r>
      <w:r w:rsidRPr="00CA1391">
        <w:rPr>
          <w:color w:val="000000" w:themeColor="text1"/>
        </w:rPr>
        <w:t>, as the papers i</w:t>
      </w:r>
      <w:r w:rsidR="00F35611" w:rsidRPr="00CA1391">
        <w:rPr>
          <w:color w:val="000000" w:themeColor="text1"/>
        </w:rPr>
        <w:t>n this themed section indicate</w:t>
      </w:r>
      <w:r w:rsidRPr="00CA1391">
        <w:rPr>
          <w:color w:val="000000" w:themeColor="text1"/>
        </w:rPr>
        <w:t>. Specifically, I argue identification, recognition, and response to the challenge presented by the growing vacuum in social security is strongly related with capacity to meet it. Hence, the self-fulfilling process that can be linked with exhaustion of state capacity is not inexorable.</w:t>
      </w:r>
      <w:r w:rsidR="00F35611" w:rsidRPr="00CA1391">
        <w:rPr>
          <w:rStyle w:val="FootnoteReference"/>
          <w:rFonts w:eastAsia="Calibri"/>
          <w:color w:val="000000" w:themeColor="text1"/>
        </w:rPr>
        <w:t xml:space="preserve"> </w:t>
      </w:r>
      <w:r w:rsidRPr="00CA1391">
        <w:rPr>
          <w:rFonts w:eastAsia="Calibri"/>
          <w:color w:val="000000" w:themeColor="text1"/>
        </w:rPr>
        <w:t xml:space="preserve">The way thus the case of income security reform draws out the intersection </w:t>
      </w:r>
      <w:r w:rsidRPr="00CA1391">
        <w:rPr>
          <w:rFonts w:eastAsia="Calibri"/>
          <w:color w:val="000000" w:themeColor="text1"/>
        </w:rPr>
        <w:lastRenderedPageBreak/>
        <w:t>between contemporary crisis and governance capacity, it begs and propels a change in the study of institutional change, as I examine next.</w:t>
      </w:r>
    </w:p>
    <w:p w14:paraId="1CCB2F56" w14:textId="599C7275" w:rsidR="00956B47" w:rsidRPr="00CA1391" w:rsidRDefault="00956B47" w:rsidP="00921B77">
      <w:pPr>
        <w:pStyle w:val="BodyA"/>
        <w:jc w:val="both"/>
        <w:rPr>
          <w:rFonts w:ascii="Times New Roman" w:eastAsia="Calibri" w:hAnsi="Times New Roman" w:cs="Times New Roman"/>
          <w:color w:val="000000" w:themeColor="text1"/>
          <w:sz w:val="24"/>
          <w:szCs w:val="24"/>
        </w:rPr>
      </w:pPr>
    </w:p>
    <w:p w14:paraId="6EBD35A3" w14:textId="1754C843" w:rsidR="00956B47" w:rsidRPr="00CA1391" w:rsidRDefault="00956B47" w:rsidP="00921B77">
      <w:pPr>
        <w:pStyle w:val="BodyA"/>
        <w:jc w:val="both"/>
        <w:rPr>
          <w:rFonts w:ascii="Times New Roman" w:eastAsia="Calibri" w:hAnsi="Times New Roman" w:cs="Times New Roman"/>
          <w:color w:val="000000" w:themeColor="text1"/>
          <w:sz w:val="24"/>
          <w:szCs w:val="24"/>
        </w:rPr>
      </w:pPr>
    </w:p>
    <w:p w14:paraId="2A937747" w14:textId="7AD031D5" w:rsidR="00F35611" w:rsidRPr="00CA1391" w:rsidRDefault="00F35611" w:rsidP="00921B77">
      <w:pPr>
        <w:pStyle w:val="BodyA"/>
        <w:jc w:val="both"/>
        <w:rPr>
          <w:rFonts w:ascii="Times New Roman" w:eastAsia="Calibri"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Public Governance Capacity in Varieties of Capitalism and Welfare State</w:t>
      </w:r>
    </w:p>
    <w:p w14:paraId="52516321" w14:textId="77777777" w:rsidR="00F35611" w:rsidRPr="00CA1391" w:rsidRDefault="00F35611" w:rsidP="00921B77">
      <w:pPr>
        <w:pStyle w:val="BodyA"/>
        <w:jc w:val="both"/>
        <w:rPr>
          <w:rFonts w:ascii="Times New Roman" w:eastAsia="Calibri" w:hAnsi="Times New Roman" w:cs="Times New Roman"/>
          <w:color w:val="000000" w:themeColor="text1"/>
          <w:sz w:val="24"/>
          <w:szCs w:val="24"/>
        </w:rPr>
      </w:pPr>
    </w:p>
    <w:p w14:paraId="2F822E55" w14:textId="3EC16F0D" w:rsidR="00C142DD" w:rsidRPr="00CA1391" w:rsidRDefault="00C142DD" w:rsidP="00F35611">
      <w:pPr>
        <w:pStyle w:val="BodyA"/>
        <w:jc w:val="both"/>
        <w:rPr>
          <w:rFonts w:ascii="Times New Roman" w:eastAsia="Calibri"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T</w:t>
      </w:r>
      <w:r w:rsidR="0066400C" w:rsidRPr="00CA1391">
        <w:rPr>
          <w:rFonts w:ascii="Times New Roman" w:eastAsia="Calibri" w:hAnsi="Times New Roman" w:cs="Times New Roman"/>
          <w:color w:val="000000" w:themeColor="text1"/>
          <w:sz w:val="24"/>
          <w:szCs w:val="24"/>
        </w:rPr>
        <w:t xml:space="preserve">he study of BI can unearth insights from the comparative literature on incremental change, but also can help drive this literature forward by drawing attention to the key role of public governance capacity – and factors that shape it. </w:t>
      </w:r>
      <w:r w:rsidR="00F35611" w:rsidRPr="00CA1391">
        <w:rPr>
          <w:rFonts w:ascii="Times New Roman" w:eastAsia="Calibri" w:hAnsi="Times New Roman" w:cs="Times New Roman"/>
          <w:color w:val="000000" w:themeColor="text1"/>
          <w:sz w:val="24"/>
          <w:szCs w:val="24"/>
        </w:rPr>
        <w:t xml:space="preserve"> </w:t>
      </w:r>
      <w:r w:rsidR="000276EE" w:rsidRPr="00CA1391">
        <w:rPr>
          <w:rFonts w:ascii="Times New Roman" w:eastAsia="Calibri" w:hAnsi="Times New Roman" w:cs="Times New Roman"/>
          <w:color w:val="000000" w:themeColor="text1"/>
          <w:sz w:val="24"/>
          <w:szCs w:val="24"/>
        </w:rPr>
        <w:t>The cases in this themed section illustrate in various ways how prior adaptations of income security systems</w:t>
      </w:r>
      <w:r w:rsidR="005161DB" w:rsidRPr="00CA1391">
        <w:rPr>
          <w:rFonts w:ascii="Times New Roman" w:eastAsia="Calibri" w:hAnsi="Times New Roman" w:cs="Times New Roman"/>
          <w:color w:val="000000" w:themeColor="text1"/>
          <w:sz w:val="24"/>
          <w:szCs w:val="24"/>
        </w:rPr>
        <w:t xml:space="preserve">- including such as the emergence of tax credits and employment subsidies - are at work in </w:t>
      </w:r>
      <w:r w:rsidR="00473F36" w:rsidRPr="00CA1391">
        <w:rPr>
          <w:rFonts w:ascii="Times New Roman" w:eastAsia="Calibri" w:hAnsi="Times New Roman" w:cs="Times New Roman"/>
          <w:color w:val="000000" w:themeColor="text1"/>
          <w:sz w:val="24"/>
          <w:szCs w:val="24"/>
        </w:rPr>
        <w:t xml:space="preserve">shaping </w:t>
      </w:r>
      <w:r w:rsidR="005161DB" w:rsidRPr="00CA1391">
        <w:rPr>
          <w:rFonts w:ascii="Times New Roman" w:eastAsia="Calibri" w:hAnsi="Times New Roman" w:cs="Times New Roman"/>
          <w:color w:val="000000" w:themeColor="text1"/>
          <w:sz w:val="24"/>
          <w:szCs w:val="24"/>
        </w:rPr>
        <w:t>small steps towards basic income reform</w:t>
      </w:r>
      <w:r w:rsidR="00F35611" w:rsidRPr="00CA1391">
        <w:rPr>
          <w:rFonts w:ascii="Times New Roman" w:eastAsia="Calibri" w:hAnsi="Times New Roman" w:cs="Times New Roman"/>
          <w:color w:val="000000" w:themeColor="text1"/>
          <w:sz w:val="24"/>
          <w:szCs w:val="24"/>
        </w:rPr>
        <w:t xml:space="preserve"> </w:t>
      </w:r>
      <w:r w:rsidR="000276EE" w:rsidRPr="00CA1391">
        <w:rPr>
          <w:rFonts w:ascii="Times New Roman" w:eastAsia="Calibri" w:hAnsi="Times New Roman" w:cs="Times New Roman"/>
          <w:color w:val="000000" w:themeColor="text1"/>
          <w:sz w:val="24"/>
          <w:szCs w:val="24"/>
        </w:rPr>
        <w:t>(Haagh 2019).</w:t>
      </w:r>
      <w:r w:rsidR="00F35611" w:rsidRPr="00CA1391">
        <w:rPr>
          <w:rFonts w:ascii="Times New Roman" w:eastAsia="Calibri" w:hAnsi="Times New Roman" w:cs="Times New Roman"/>
          <w:color w:val="000000" w:themeColor="text1"/>
          <w:sz w:val="24"/>
          <w:szCs w:val="24"/>
        </w:rPr>
        <w:t xml:space="preserve"> </w:t>
      </w:r>
      <w:r w:rsidRPr="00CA1391">
        <w:rPr>
          <w:rFonts w:ascii="Times New Roman" w:eastAsia="Calibri" w:hAnsi="Times New Roman" w:cs="Times New Roman"/>
          <w:color w:val="000000" w:themeColor="text1"/>
          <w:sz w:val="24"/>
          <w:szCs w:val="24"/>
        </w:rPr>
        <w:t xml:space="preserve">Using the terms of the incremental change literature, basic income experimentation has </w:t>
      </w:r>
      <w:r w:rsidR="00F35611" w:rsidRPr="00CA1391">
        <w:rPr>
          <w:rFonts w:ascii="Times New Roman" w:eastAsia="Calibri" w:hAnsi="Times New Roman" w:cs="Times New Roman"/>
          <w:color w:val="000000" w:themeColor="text1"/>
          <w:sz w:val="24"/>
          <w:szCs w:val="24"/>
        </w:rPr>
        <w:t>e</w:t>
      </w:r>
      <w:r w:rsidRPr="00CA1391">
        <w:rPr>
          <w:rFonts w:ascii="Times New Roman" w:eastAsia="Calibri" w:hAnsi="Times New Roman" w:cs="Times New Roman"/>
          <w:color w:val="000000" w:themeColor="text1"/>
          <w:sz w:val="24"/>
          <w:szCs w:val="24"/>
        </w:rPr>
        <w:t>mer</w:t>
      </w:r>
      <w:r w:rsidR="00994FF3">
        <w:rPr>
          <w:rFonts w:ascii="Times New Roman" w:eastAsia="Calibri" w:hAnsi="Times New Roman" w:cs="Times New Roman"/>
          <w:color w:val="000000" w:themeColor="text1"/>
          <w:sz w:val="24"/>
          <w:szCs w:val="24"/>
        </w:rPr>
        <w:t>ged through a form of layering</w:t>
      </w:r>
      <w:r w:rsidR="005161DB" w:rsidRPr="00CA1391">
        <w:rPr>
          <w:rFonts w:ascii="Times New Roman" w:eastAsia="Calibri" w:hAnsi="Times New Roman" w:cs="Times New Roman"/>
          <w:color w:val="000000" w:themeColor="text1"/>
          <w:sz w:val="24"/>
          <w:szCs w:val="24"/>
        </w:rPr>
        <w:t>,</w:t>
      </w:r>
      <w:r w:rsidR="00994FF3">
        <w:rPr>
          <w:rFonts w:ascii="Times New Roman" w:eastAsia="Calibri" w:hAnsi="Times New Roman" w:cs="Times New Roman"/>
          <w:color w:val="000000" w:themeColor="text1"/>
          <w:sz w:val="24"/>
          <w:szCs w:val="24"/>
        </w:rPr>
        <w:t xml:space="preserve"> </w:t>
      </w:r>
      <w:r w:rsidRPr="00CA1391">
        <w:rPr>
          <w:rFonts w:ascii="Times New Roman" w:eastAsia="Calibri" w:hAnsi="Times New Roman" w:cs="Times New Roman"/>
          <w:color w:val="000000" w:themeColor="text1"/>
          <w:sz w:val="24"/>
          <w:szCs w:val="24"/>
        </w:rPr>
        <w:t xml:space="preserve">a process through which “specific institutions develop through an accumulation of innovations inspired by competing motives, which engenders a tense layering of new arrangements on top of pre-existing </w:t>
      </w:r>
      <w:r w:rsidR="00994FF3">
        <w:rPr>
          <w:rFonts w:ascii="Times New Roman" w:eastAsia="Calibri" w:hAnsi="Times New Roman" w:cs="Times New Roman"/>
          <w:color w:val="000000" w:themeColor="text1"/>
          <w:sz w:val="24"/>
          <w:szCs w:val="24"/>
        </w:rPr>
        <w:t>structures</w:t>
      </w:r>
      <w:r w:rsidRPr="00CA1391">
        <w:rPr>
          <w:rFonts w:ascii="Times New Roman" w:eastAsia="Calibri" w:hAnsi="Times New Roman" w:cs="Times New Roman"/>
          <w:color w:val="000000" w:themeColor="text1"/>
          <w:sz w:val="24"/>
          <w:szCs w:val="24"/>
        </w:rPr>
        <w:t>”</w:t>
      </w:r>
      <w:r w:rsidR="005161DB" w:rsidRPr="00CA1391">
        <w:rPr>
          <w:rFonts w:ascii="Times New Roman" w:eastAsia="Calibri" w:hAnsi="Times New Roman" w:cs="Times New Roman"/>
          <w:color w:val="000000" w:themeColor="text1"/>
          <w:sz w:val="24"/>
          <w:szCs w:val="24"/>
        </w:rPr>
        <w:t xml:space="preserve"> (Schickler 2001, 15)</w:t>
      </w:r>
      <w:r w:rsidR="00994FF3">
        <w:rPr>
          <w:rFonts w:ascii="Times New Roman" w:eastAsia="Calibri" w:hAnsi="Times New Roman" w:cs="Times New Roman"/>
          <w:color w:val="000000" w:themeColor="text1"/>
          <w:sz w:val="24"/>
          <w:szCs w:val="24"/>
        </w:rPr>
        <w:t>.</w:t>
      </w:r>
      <w:r w:rsidR="005161DB" w:rsidRPr="00CA1391">
        <w:rPr>
          <w:rFonts w:ascii="Times New Roman" w:eastAsia="Calibri" w:hAnsi="Times New Roman" w:cs="Times New Roman"/>
          <w:color w:val="000000" w:themeColor="text1"/>
          <w:sz w:val="24"/>
          <w:szCs w:val="24"/>
        </w:rPr>
        <w:t xml:space="preserve"> </w:t>
      </w:r>
      <w:r w:rsidRPr="00CA1391">
        <w:rPr>
          <w:rFonts w:ascii="Times New Roman" w:eastAsia="Calibri" w:hAnsi="Times New Roman" w:cs="Times New Roman"/>
          <w:color w:val="000000" w:themeColor="text1"/>
          <w:sz w:val="24"/>
          <w:szCs w:val="24"/>
        </w:rPr>
        <w:t>However</w:t>
      </w:r>
      <w:r w:rsidR="00994FF3">
        <w:rPr>
          <w:rFonts w:ascii="Times New Roman" w:eastAsia="Calibri" w:hAnsi="Times New Roman" w:cs="Times New Roman"/>
          <w:color w:val="000000" w:themeColor="text1"/>
          <w:sz w:val="24"/>
          <w:szCs w:val="24"/>
        </w:rPr>
        <w:t>,</w:t>
      </w:r>
      <w:r w:rsidRPr="00CA1391">
        <w:rPr>
          <w:rFonts w:ascii="Times New Roman" w:eastAsia="Calibri" w:hAnsi="Times New Roman" w:cs="Times New Roman"/>
          <w:color w:val="000000" w:themeColor="text1"/>
          <w:sz w:val="24"/>
          <w:szCs w:val="24"/>
        </w:rPr>
        <w:t xml:space="preserve"> whi</w:t>
      </w:r>
      <w:r w:rsidR="00473F36" w:rsidRPr="00CA1391">
        <w:rPr>
          <w:rFonts w:ascii="Times New Roman" w:eastAsia="Calibri" w:hAnsi="Times New Roman" w:cs="Times New Roman"/>
          <w:color w:val="000000" w:themeColor="text1"/>
          <w:sz w:val="24"/>
          <w:szCs w:val="24"/>
        </w:rPr>
        <w:t>lst</w:t>
      </w:r>
      <w:r w:rsidRPr="00CA1391">
        <w:rPr>
          <w:rFonts w:ascii="Times New Roman" w:eastAsia="Calibri" w:hAnsi="Times New Roman" w:cs="Times New Roman"/>
          <w:color w:val="000000" w:themeColor="text1"/>
          <w:sz w:val="24"/>
          <w:szCs w:val="24"/>
        </w:rPr>
        <w:t xml:space="preserve"> describing change this way helps depict its continuous nature, the description remains exactly that – more of a snap-shot than an explanation of variation and the content of change.</w:t>
      </w:r>
      <w:r w:rsidR="005161DB" w:rsidRPr="00CA1391">
        <w:rPr>
          <w:rFonts w:ascii="Times New Roman" w:eastAsia="Calibri" w:hAnsi="Times New Roman" w:cs="Times New Roman"/>
          <w:color w:val="000000" w:themeColor="text1"/>
          <w:sz w:val="24"/>
          <w:szCs w:val="24"/>
        </w:rPr>
        <w:t xml:space="preserve"> </w:t>
      </w:r>
      <w:r w:rsidR="00772F1D" w:rsidRPr="00CA1391">
        <w:rPr>
          <w:rFonts w:ascii="Times New Roman" w:eastAsia="Calibri" w:hAnsi="Times New Roman" w:cs="Times New Roman"/>
          <w:color w:val="000000" w:themeColor="text1"/>
          <w:sz w:val="24"/>
          <w:szCs w:val="24"/>
        </w:rPr>
        <w:t>Hence</w:t>
      </w:r>
      <w:r w:rsidRPr="00CA1391">
        <w:rPr>
          <w:rFonts w:ascii="Times New Roman" w:eastAsia="Calibri" w:hAnsi="Times New Roman" w:cs="Times New Roman"/>
          <w:color w:val="000000" w:themeColor="text1"/>
          <w:sz w:val="24"/>
          <w:szCs w:val="24"/>
        </w:rPr>
        <w:t>, I argue a framework that looks more explicitly at public governance systems is needed.</w:t>
      </w:r>
    </w:p>
    <w:p w14:paraId="124DEDC9" w14:textId="77777777" w:rsidR="005161DB" w:rsidRPr="00CA1391" w:rsidRDefault="005161DB" w:rsidP="00F3561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Calibri" w:hAnsi="Times New Roman" w:cs="Times New Roman"/>
          <w:color w:val="000000" w:themeColor="text1"/>
          <w:sz w:val="24"/>
          <w:szCs w:val="24"/>
        </w:rPr>
      </w:pPr>
    </w:p>
    <w:p w14:paraId="5FFAD202" w14:textId="029F7643" w:rsidR="009D7442" w:rsidRPr="00CA1391" w:rsidRDefault="00F622B8" w:rsidP="00F3561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Calibri"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 xml:space="preserve">Two intersecting schools within comparative political economy focus on institutional comparison around types of capitalism and welfare state, on the one hand, and mechanisms of change, </w:t>
      </w:r>
      <w:r w:rsidR="00CE786C" w:rsidRPr="00CA1391">
        <w:rPr>
          <w:rFonts w:ascii="Times New Roman" w:eastAsia="Calibri" w:hAnsi="Times New Roman" w:cs="Times New Roman"/>
          <w:color w:val="000000" w:themeColor="text1"/>
          <w:sz w:val="24"/>
          <w:szCs w:val="24"/>
        </w:rPr>
        <w:t xml:space="preserve">on the other hand. </w:t>
      </w:r>
      <w:r w:rsidR="006A086E" w:rsidRPr="00CA1391">
        <w:rPr>
          <w:rFonts w:ascii="Times New Roman" w:eastAsia="Calibri" w:hAnsi="Times New Roman" w:cs="Times New Roman"/>
          <w:color w:val="000000" w:themeColor="text1"/>
          <w:sz w:val="24"/>
          <w:szCs w:val="24"/>
        </w:rPr>
        <w:t xml:space="preserve">In the comparative literature on capitalism and labour regimes, the national inclusiveness of skills systems explains economic performance and investment (Hall and Soskice, 2001), and drives a shared commitment to income security and welfare </w:t>
      </w:r>
      <w:r w:rsidR="006A086E" w:rsidRPr="00CA1391">
        <w:rPr>
          <w:rFonts w:ascii="Times New Roman" w:eastAsia="Calibri" w:hAnsi="Times New Roman" w:cs="Times New Roman"/>
          <w:bCs/>
          <w:color w:val="000000" w:themeColor="text1"/>
          <w:sz w:val="24"/>
          <w:szCs w:val="24"/>
        </w:rPr>
        <w:t>(Pagano,</w:t>
      </w:r>
      <w:r w:rsidR="000B59ED" w:rsidRPr="00CA1391">
        <w:rPr>
          <w:rFonts w:ascii="Times New Roman" w:eastAsia="Calibri" w:hAnsi="Times New Roman" w:cs="Times New Roman"/>
          <w:bCs/>
          <w:color w:val="000000" w:themeColor="text1"/>
          <w:sz w:val="24"/>
          <w:szCs w:val="24"/>
        </w:rPr>
        <w:t xml:space="preserve"> 1999;</w:t>
      </w:r>
      <w:r w:rsidR="006A086E" w:rsidRPr="00CA1391">
        <w:rPr>
          <w:rFonts w:ascii="Times New Roman" w:eastAsia="Calibri" w:hAnsi="Times New Roman" w:cs="Times New Roman"/>
          <w:bCs/>
          <w:color w:val="000000" w:themeColor="text1"/>
          <w:sz w:val="24"/>
          <w:szCs w:val="24"/>
        </w:rPr>
        <w:t xml:space="preserve"> Haagh</w:t>
      </w:r>
      <w:r w:rsidR="000B59ED" w:rsidRPr="00CA1391">
        <w:rPr>
          <w:rFonts w:ascii="Times New Roman" w:eastAsia="Calibri" w:hAnsi="Times New Roman" w:cs="Times New Roman"/>
          <w:bCs/>
          <w:color w:val="000000" w:themeColor="text1"/>
          <w:sz w:val="24"/>
          <w:szCs w:val="24"/>
        </w:rPr>
        <w:t xml:space="preserve"> 2012</w:t>
      </w:r>
      <w:r w:rsidR="006A086E" w:rsidRPr="00CA1391">
        <w:rPr>
          <w:rFonts w:ascii="Times New Roman" w:eastAsia="Calibri" w:hAnsi="Times New Roman" w:cs="Times New Roman"/>
          <w:bCs/>
          <w:color w:val="000000" w:themeColor="text1"/>
          <w:sz w:val="24"/>
          <w:szCs w:val="24"/>
        </w:rPr>
        <w:t>,</w:t>
      </w:r>
      <w:r w:rsidR="000B59ED" w:rsidRPr="00CA1391">
        <w:rPr>
          <w:rFonts w:ascii="Times New Roman" w:eastAsia="Calibri" w:hAnsi="Times New Roman" w:cs="Times New Roman"/>
          <w:bCs/>
          <w:color w:val="000000" w:themeColor="text1"/>
          <w:sz w:val="24"/>
          <w:szCs w:val="24"/>
        </w:rPr>
        <w:t xml:space="preserve"> 2015;</w:t>
      </w:r>
      <w:r w:rsidR="006A086E" w:rsidRPr="00CA1391">
        <w:rPr>
          <w:rFonts w:ascii="Times New Roman" w:eastAsia="Calibri" w:hAnsi="Times New Roman" w:cs="Times New Roman"/>
          <w:bCs/>
          <w:color w:val="000000" w:themeColor="text1"/>
          <w:sz w:val="24"/>
          <w:szCs w:val="24"/>
        </w:rPr>
        <w:t xml:space="preserve"> Thelen</w:t>
      </w:r>
      <w:r w:rsidR="000B59ED" w:rsidRPr="00CA1391">
        <w:rPr>
          <w:rFonts w:ascii="Times New Roman" w:eastAsia="Calibri" w:hAnsi="Times New Roman" w:cs="Times New Roman"/>
          <w:bCs/>
          <w:color w:val="000000" w:themeColor="text1"/>
          <w:sz w:val="24"/>
          <w:szCs w:val="24"/>
        </w:rPr>
        <w:t xml:space="preserve"> 2004</w:t>
      </w:r>
      <w:r w:rsidR="006A086E" w:rsidRPr="00CA1391">
        <w:rPr>
          <w:rFonts w:ascii="Times New Roman" w:eastAsia="Calibri" w:hAnsi="Times New Roman" w:cs="Times New Roman"/>
          <w:bCs/>
          <w:color w:val="000000" w:themeColor="text1"/>
          <w:sz w:val="24"/>
          <w:szCs w:val="24"/>
        </w:rPr>
        <w:t>)</w:t>
      </w:r>
      <w:r w:rsidR="006A086E" w:rsidRPr="00CA1391">
        <w:rPr>
          <w:rFonts w:ascii="Times New Roman" w:eastAsia="Calibri" w:hAnsi="Times New Roman" w:cs="Times New Roman"/>
          <w:color w:val="000000" w:themeColor="text1"/>
          <w:sz w:val="24"/>
          <w:szCs w:val="24"/>
        </w:rPr>
        <w:t>. The welfare state typology literature pioneered by Gøsta Esping-Andersen (1990, 1999) sets out regime types that broadly track differences delineated in the comparative capitalism literature. Both the welfare state and comparative capitalism perspectives arrive at the same broad regime agglomerations, which suggests that social insurance institutions and skills regimes reinfor</w:t>
      </w:r>
      <w:r w:rsidRPr="00CA1391">
        <w:rPr>
          <w:rFonts w:ascii="Times New Roman" w:eastAsia="Calibri" w:hAnsi="Times New Roman" w:cs="Times New Roman"/>
          <w:color w:val="000000" w:themeColor="text1"/>
          <w:sz w:val="24"/>
          <w:szCs w:val="24"/>
        </w:rPr>
        <w:t>ce each other over time. On the other hand</w:t>
      </w:r>
      <w:r w:rsidR="006A086E" w:rsidRPr="00CA1391">
        <w:rPr>
          <w:rFonts w:ascii="Times New Roman" w:eastAsia="Calibri" w:hAnsi="Times New Roman" w:cs="Times New Roman"/>
          <w:color w:val="000000" w:themeColor="text1"/>
          <w:sz w:val="24"/>
          <w:szCs w:val="24"/>
        </w:rPr>
        <w:t>, both perspectives have been accused of not being sufficiently attentive to change and the mechanisms through which change happens in an ongoing way</w:t>
      </w:r>
      <w:r w:rsidR="00473F36" w:rsidRPr="00CA1391">
        <w:rPr>
          <w:rFonts w:ascii="Times New Roman" w:eastAsia="Calibri" w:hAnsi="Times New Roman" w:cs="Times New Roman"/>
          <w:color w:val="000000" w:themeColor="text1"/>
          <w:sz w:val="24"/>
          <w:szCs w:val="24"/>
        </w:rPr>
        <w:t xml:space="preserve"> (Bronk, 2009)</w:t>
      </w:r>
      <w:r w:rsidR="00530B78" w:rsidRPr="00CA1391">
        <w:rPr>
          <w:rFonts w:ascii="Times New Roman" w:eastAsia="Calibri" w:hAnsi="Times New Roman" w:cs="Times New Roman"/>
          <w:color w:val="000000" w:themeColor="text1"/>
          <w:sz w:val="24"/>
          <w:szCs w:val="24"/>
        </w:rPr>
        <w:t xml:space="preserve"> L</w:t>
      </w:r>
      <w:r w:rsidR="006A086E" w:rsidRPr="00CA1391">
        <w:rPr>
          <w:rFonts w:ascii="Times New Roman" w:eastAsia="Calibri" w:hAnsi="Times New Roman" w:cs="Times New Roman"/>
          <w:color w:val="000000" w:themeColor="text1"/>
          <w:sz w:val="24"/>
          <w:szCs w:val="24"/>
        </w:rPr>
        <w:t>ong-run change can be explained in a dynamic way by contributing a “trajectory” perspective within the regime typology</w:t>
      </w:r>
      <w:r w:rsidR="00A10E5E" w:rsidRPr="00CA1391">
        <w:rPr>
          <w:rFonts w:ascii="Times New Roman" w:eastAsia="Calibri" w:hAnsi="Times New Roman" w:cs="Times New Roman"/>
          <w:color w:val="000000" w:themeColor="text1"/>
          <w:sz w:val="24"/>
          <w:szCs w:val="24"/>
        </w:rPr>
        <w:t xml:space="preserve"> </w:t>
      </w:r>
      <w:r w:rsidR="00956B47" w:rsidRPr="00CA1391">
        <w:rPr>
          <w:rFonts w:ascii="Times New Roman" w:eastAsia="Calibri" w:hAnsi="Times New Roman" w:cs="Times New Roman"/>
          <w:color w:val="000000" w:themeColor="text1"/>
          <w:sz w:val="24"/>
          <w:szCs w:val="24"/>
        </w:rPr>
        <w:lastRenderedPageBreak/>
        <w:t>Yet</w:t>
      </w:r>
      <w:r w:rsidR="00CE786C" w:rsidRPr="00CA1391">
        <w:rPr>
          <w:rFonts w:ascii="Times New Roman" w:eastAsia="Calibri" w:hAnsi="Times New Roman" w:cs="Times New Roman"/>
          <w:color w:val="000000" w:themeColor="text1"/>
          <w:sz w:val="24"/>
          <w:szCs w:val="24"/>
        </w:rPr>
        <w:t xml:space="preserve">, </w:t>
      </w:r>
      <w:r w:rsidR="006A086E" w:rsidRPr="00CA1391">
        <w:rPr>
          <w:rFonts w:ascii="Times New Roman" w:eastAsia="Calibri" w:hAnsi="Times New Roman" w:cs="Times New Roman"/>
          <w:color w:val="000000" w:themeColor="text1"/>
          <w:sz w:val="24"/>
          <w:szCs w:val="24"/>
        </w:rPr>
        <w:t>this literature is based on a loose comparison — that is, an understanding different cases require different explanatory variables</w:t>
      </w:r>
      <w:r w:rsidR="00473F36" w:rsidRPr="00CA1391">
        <w:rPr>
          <w:rFonts w:ascii="Times New Roman" w:eastAsia="Calibri" w:hAnsi="Times New Roman" w:cs="Times New Roman"/>
          <w:color w:val="000000" w:themeColor="text1"/>
          <w:sz w:val="24"/>
          <w:szCs w:val="24"/>
        </w:rPr>
        <w:t xml:space="preserve"> (Steinmo 2010).</w:t>
      </w:r>
      <w:r w:rsidR="006A086E" w:rsidRPr="00CA1391">
        <w:rPr>
          <w:rFonts w:ascii="Times New Roman" w:eastAsia="Calibri" w:hAnsi="Times New Roman" w:cs="Times New Roman"/>
          <w:color w:val="000000" w:themeColor="text1"/>
          <w:sz w:val="24"/>
          <w:szCs w:val="24"/>
        </w:rPr>
        <w:t xml:space="preserve"> </w:t>
      </w:r>
    </w:p>
    <w:p w14:paraId="5B1FAFB0" w14:textId="221CD061" w:rsidR="00CE786C" w:rsidRPr="00CA1391" w:rsidRDefault="00CE786C" w:rsidP="009D7442">
      <w:pPr>
        <w:pStyle w:val="BodyA"/>
        <w:jc w:val="both"/>
        <w:rPr>
          <w:rFonts w:ascii="Times New Roman" w:eastAsia="Calibri" w:hAnsi="Times New Roman" w:cs="Times New Roman"/>
          <w:color w:val="000000" w:themeColor="text1"/>
          <w:sz w:val="24"/>
          <w:szCs w:val="24"/>
        </w:rPr>
      </w:pPr>
    </w:p>
    <w:p w14:paraId="299D0FE4" w14:textId="2EEA03C8" w:rsidR="003C3FC1" w:rsidRPr="00CA1391" w:rsidRDefault="00CE786C" w:rsidP="003D434E">
      <w:pPr>
        <w:pStyle w:val="BodyA"/>
        <w:jc w:val="both"/>
        <w:rPr>
          <w:rFonts w:ascii="Times New Roman" w:eastAsia="Calibri"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 xml:space="preserve">In this context, using a multi-level perspective on change can help integrate “structure” and “change” approaches in the institutional literature in a more systematic manner. </w:t>
      </w:r>
      <w:r w:rsidR="00074CA1" w:rsidRPr="00CA1391">
        <w:rPr>
          <w:rFonts w:ascii="Times New Roman" w:eastAsia="Calibri" w:hAnsi="Times New Roman" w:cs="Times New Roman"/>
          <w:color w:val="000000" w:themeColor="text1"/>
          <w:sz w:val="24"/>
          <w:szCs w:val="24"/>
        </w:rPr>
        <w:t xml:space="preserve"> </w:t>
      </w:r>
      <w:r w:rsidR="0066400C" w:rsidRPr="00CA1391">
        <w:rPr>
          <w:rFonts w:ascii="Times New Roman" w:eastAsia="Calibri" w:hAnsi="Times New Roman" w:cs="Times New Roman"/>
          <w:color w:val="000000" w:themeColor="text1"/>
          <w:sz w:val="24"/>
          <w:szCs w:val="24"/>
        </w:rPr>
        <w:t>Fledging out the model in Figure 1, p</w:t>
      </w:r>
      <w:r w:rsidR="00C94CF8" w:rsidRPr="00CA1391">
        <w:rPr>
          <w:rFonts w:ascii="Times New Roman" w:eastAsia="Calibri" w:hAnsi="Times New Roman" w:cs="Times New Roman"/>
          <w:color w:val="000000" w:themeColor="text1"/>
          <w:sz w:val="24"/>
          <w:szCs w:val="24"/>
        </w:rPr>
        <w:t>ublic governance systems can be broadly defined as the political economy that shapes the rights and obligations of citizens through institutions governing public finance, education, employment, economic security structures and welfare services. Assuming these interact strongly, taking a part of the system gives a window into the logic that characterizes the rule premises, operation and sources of change in the system as a whole.</w:t>
      </w:r>
      <w:r w:rsidR="00F35611" w:rsidRPr="00CA1391">
        <w:rPr>
          <w:rFonts w:ascii="Times New Roman" w:eastAsia="Calibri" w:hAnsi="Times New Roman" w:cs="Times New Roman"/>
          <w:color w:val="000000" w:themeColor="text1"/>
          <w:sz w:val="24"/>
          <w:szCs w:val="24"/>
        </w:rPr>
        <w:t xml:space="preserve"> </w:t>
      </w:r>
      <w:r w:rsidR="003C3FC1" w:rsidRPr="00CA1391">
        <w:rPr>
          <w:rFonts w:ascii="Times New Roman" w:eastAsia="Calibri" w:hAnsi="Times New Roman" w:cs="Times New Roman"/>
          <w:color w:val="000000" w:themeColor="text1"/>
          <w:sz w:val="24"/>
          <w:szCs w:val="24"/>
        </w:rPr>
        <w:t>A model that in line with this kind of variation sets</w:t>
      </w:r>
      <w:r w:rsidR="00F05962" w:rsidRPr="00CA1391">
        <w:rPr>
          <w:rFonts w:ascii="Times New Roman" w:eastAsia="Calibri" w:hAnsi="Times New Roman" w:cs="Times New Roman"/>
          <w:color w:val="000000" w:themeColor="text1"/>
          <w:sz w:val="24"/>
          <w:szCs w:val="24"/>
        </w:rPr>
        <w:t xml:space="preserve"> the treatment of policy problems in the context of varying public governance capacity, and factors which shape it, addresses three flaws in the comparative institutional literature.</w:t>
      </w:r>
    </w:p>
    <w:p w14:paraId="0C346769" w14:textId="09CCA347" w:rsidR="00957894" w:rsidRPr="00CA1391" w:rsidRDefault="00957894" w:rsidP="003D434E">
      <w:pPr>
        <w:pStyle w:val="BodyA"/>
        <w:jc w:val="both"/>
        <w:rPr>
          <w:rFonts w:ascii="Times New Roman" w:eastAsia="Calibri" w:hAnsi="Times New Roman" w:cs="Times New Roman"/>
          <w:color w:val="000000" w:themeColor="text1"/>
          <w:sz w:val="24"/>
          <w:szCs w:val="24"/>
        </w:rPr>
      </w:pPr>
    </w:p>
    <w:p w14:paraId="3CFCC5E3" w14:textId="1D37B10C" w:rsidR="00A516E2" w:rsidRPr="00CA1391" w:rsidRDefault="00994FF3" w:rsidP="00A516E2">
      <w:pPr>
        <w:pStyle w:val="BodyA"/>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First, </w:t>
      </w:r>
      <w:r w:rsidR="00F05962" w:rsidRPr="00CA1391">
        <w:rPr>
          <w:rFonts w:ascii="Times New Roman" w:eastAsia="Calibri" w:hAnsi="Times New Roman" w:cs="Times New Roman"/>
          <w:color w:val="000000" w:themeColor="text1"/>
          <w:sz w:val="24"/>
          <w:szCs w:val="24"/>
        </w:rPr>
        <w:t xml:space="preserve">it helps address </w:t>
      </w:r>
      <w:r w:rsidR="00CE4296" w:rsidRPr="00CA1391">
        <w:rPr>
          <w:rFonts w:ascii="Times New Roman" w:eastAsia="Calibri" w:hAnsi="Times New Roman" w:cs="Times New Roman"/>
          <w:color w:val="000000" w:themeColor="text1"/>
          <w:sz w:val="24"/>
          <w:szCs w:val="24"/>
        </w:rPr>
        <w:t>a contradiction at the heart of the comparative literature</w:t>
      </w:r>
      <w:r w:rsidR="00F35611" w:rsidRPr="00CA1391">
        <w:rPr>
          <w:rFonts w:ascii="Times New Roman" w:eastAsia="Calibri" w:hAnsi="Times New Roman" w:cs="Times New Roman"/>
          <w:color w:val="000000" w:themeColor="text1"/>
          <w:sz w:val="24"/>
          <w:szCs w:val="24"/>
        </w:rPr>
        <w:t>s</w:t>
      </w:r>
      <w:r w:rsidR="00CE4296" w:rsidRPr="00CA1391">
        <w:rPr>
          <w:rFonts w:ascii="Times New Roman" w:eastAsia="Calibri" w:hAnsi="Times New Roman" w:cs="Times New Roman"/>
          <w:color w:val="000000" w:themeColor="text1"/>
          <w:sz w:val="24"/>
          <w:szCs w:val="24"/>
        </w:rPr>
        <w:t xml:space="preserve"> on capitalism and institut</w:t>
      </w:r>
      <w:r w:rsidR="00F35611" w:rsidRPr="00CA1391">
        <w:rPr>
          <w:rFonts w:ascii="Times New Roman" w:eastAsia="Calibri" w:hAnsi="Times New Roman" w:cs="Times New Roman"/>
          <w:color w:val="000000" w:themeColor="text1"/>
          <w:sz w:val="24"/>
          <w:szCs w:val="24"/>
        </w:rPr>
        <w:t xml:space="preserve">ional change which hangs on their </w:t>
      </w:r>
      <w:r w:rsidR="00CE4296" w:rsidRPr="00CA1391">
        <w:rPr>
          <w:rFonts w:ascii="Times New Roman" w:eastAsia="Calibri" w:hAnsi="Times New Roman" w:cs="Times New Roman"/>
          <w:color w:val="000000" w:themeColor="text1"/>
          <w:sz w:val="24"/>
          <w:szCs w:val="24"/>
        </w:rPr>
        <w:t>commitment to</w:t>
      </w:r>
      <w:r w:rsidR="0032413C" w:rsidRPr="00CA1391">
        <w:rPr>
          <w:rFonts w:ascii="Times New Roman" w:eastAsia="Calibri" w:hAnsi="Times New Roman" w:cs="Times New Roman"/>
          <w:color w:val="000000" w:themeColor="text1"/>
          <w:sz w:val="24"/>
          <w:szCs w:val="24"/>
        </w:rPr>
        <w:t xml:space="preserve"> neutrality: on </w:t>
      </w:r>
      <w:r w:rsidR="00F35611" w:rsidRPr="00CA1391">
        <w:rPr>
          <w:rFonts w:ascii="Times New Roman" w:eastAsia="Calibri" w:hAnsi="Times New Roman" w:cs="Times New Roman"/>
          <w:color w:val="000000" w:themeColor="text1"/>
          <w:sz w:val="24"/>
          <w:szCs w:val="24"/>
        </w:rPr>
        <w:t>the one hand, this literature</w:t>
      </w:r>
      <w:r w:rsidR="00CE4296" w:rsidRPr="00CA1391">
        <w:rPr>
          <w:rFonts w:ascii="Times New Roman" w:eastAsia="Calibri" w:hAnsi="Times New Roman" w:cs="Times New Roman"/>
          <w:color w:val="000000" w:themeColor="text1"/>
          <w:sz w:val="24"/>
          <w:szCs w:val="24"/>
        </w:rPr>
        <w:t xml:space="preserve"> clearly demonstrates that performance in relation to certain outcomes (skills investment, enjoyment of occupational rights and security) are a product of coordinated development</w:t>
      </w:r>
      <w:r w:rsidR="00F35611" w:rsidRPr="00CA1391">
        <w:rPr>
          <w:rFonts w:ascii="Times New Roman" w:eastAsia="Calibri" w:hAnsi="Times New Roman" w:cs="Times New Roman"/>
          <w:color w:val="000000" w:themeColor="text1"/>
          <w:sz w:val="24"/>
          <w:szCs w:val="24"/>
        </w:rPr>
        <w:t xml:space="preserve"> (Hall and Soskice, 2001, Thelen 2004). </w:t>
      </w:r>
      <w:r w:rsidR="00CE4296" w:rsidRPr="00CA1391">
        <w:rPr>
          <w:rFonts w:ascii="Times New Roman" w:eastAsia="Calibri" w:hAnsi="Times New Roman" w:cs="Times New Roman"/>
          <w:color w:val="000000" w:themeColor="text1"/>
          <w:sz w:val="24"/>
          <w:szCs w:val="24"/>
        </w:rPr>
        <w:t>Yet</w:t>
      </w:r>
      <w:r w:rsidR="0032413C" w:rsidRPr="00CA1391">
        <w:rPr>
          <w:rFonts w:ascii="Times New Roman" w:eastAsia="Calibri" w:hAnsi="Times New Roman" w:cs="Times New Roman"/>
          <w:color w:val="000000" w:themeColor="text1"/>
          <w:sz w:val="24"/>
          <w:szCs w:val="24"/>
        </w:rPr>
        <w:t>,</w:t>
      </w:r>
      <w:r w:rsidR="00CE4296" w:rsidRPr="00CA1391">
        <w:rPr>
          <w:rFonts w:ascii="Times New Roman" w:eastAsia="Calibri" w:hAnsi="Times New Roman" w:cs="Times New Roman"/>
          <w:color w:val="000000" w:themeColor="text1"/>
          <w:sz w:val="24"/>
          <w:szCs w:val="24"/>
        </w:rPr>
        <w:t xml:space="preserve"> the school</w:t>
      </w:r>
      <w:r w:rsidR="00F35611" w:rsidRPr="00CA1391">
        <w:rPr>
          <w:rFonts w:ascii="Times New Roman" w:eastAsia="Calibri" w:hAnsi="Times New Roman" w:cs="Times New Roman"/>
          <w:color w:val="000000" w:themeColor="text1"/>
          <w:sz w:val="24"/>
          <w:szCs w:val="24"/>
        </w:rPr>
        <w:t xml:space="preserve"> </w:t>
      </w:r>
      <w:r w:rsidR="00CE4296" w:rsidRPr="00CA1391">
        <w:rPr>
          <w:rFonts w:ascii="Times New Roman" w:eastAsia="Calibri" w:hAnsi="Times New Roman" w:cs="Times New Roman"/>
          <w:color w:val="000000" w:themeColor="text1"/>
          <w:sz w:val="24"/>
          <w:szCs w:val="24"/>
        </w:rPr>
        <w:t xml:space="preserve">cannot own or develop this because it is </w:t>
      </w:r>
      <w:r w:rsidR="00F05962" w:rsidRPr="00CA1391">
        <w:rPr>
          <w:rFonts w:ascii="Times New Roman" w:eastAsia="Calibri" w:hAnsi="Times New Roman" w:cs="Times New Roman"/>
          <w:color w:val="000000" w:themeColor="text1"/>
          <w:sz w:val="24"/>
          <w:szCs w:val="24"/>
        </w:rPr>
        <w:t xml:space="preserve">also </w:t>
      </w:r>
      <w:r w:rsidR="00CE4296" w:rsidRPr="00CA1391">
        <w:rPr>
          <w:rFonts w:ascii="Times New Roman" w:eastAsia="Calibri" w:hAnsi="Times New Roman" w:cs="Times New Roman"/>
          <w:color w:val="000000" w:themeColor="text1"/>
          <w:sz w:val="24"/>
          <w:szCs w:val="24"/>
        </w:rPr>
        <w:t>wedded to a c</w:t>
      </w:r>
      <w:r w:rsidR="0033416E" w:rsidRPr="00CA1391">
        <w:rPr>
          <w:rFonts w:ascii="Times New Roman" w:eastAsia="Calibri" w:hAnsi="Times New Roman" w:cs="Times New Roman"/>
          <w:color w:val="000000" w:themeColor="text1"/>
          <w:sz w:val="24"/>
          <w:szCs w:val="24"/>
        </w:rPr>
        <w:t>omparative neutrality framework.</w:t>
      </w:r>
      <w:r w:rsidR="0033416E" w:rsidRPr="00CA1391">
        <w:rPr>
          <w:rStyle w:val="FootnoteReference"/>
          <w:rFonts w:ascii="Times New Roman" w:eastAsia="Calibri" w:hAnsi="Times New Roman" w:cs="Times New Roman"/>
          <w:color w:val="000000" w:themeColor="text1"/>
          <w:sz w:val="24"/>
          <w:szCs w:val="24"/>
        </w:rPr>
        <w:footnoteReference w:id="2"/>
      </w:r>
      <w:r w:rsidR="00772F1D" w:rsidRPr="00CA1391">
        <w:rPr>
          <w:rFonts w:ascii="Times New Roman" w:eastAsia="Calibri" w:hAnsi="Times New Roman" w:cs="Times New Roman"/>
          <w:color w:val="000000" w:themeColor="text1"/>
          <w:sz w:val="24"/>
          <w:szCs w:val="24"/>
        </w:rPr>
        <w:t xml:space="preserve"> </w:t>
      </w:r>
      <w:r w:rsidR="00A516E2" w:rsidRPr="00CA1391">
        <w:rPr>
          <w:rFonts w:ascii="Times New Roman" w:eastAsia="Calibri" w:hAnsi="Times New Roman" w:cs="Times New Roman"/>
          <w:color w:val="000000" w:themeColor="text1"/>
          <w:sz w:val="24"/>
          <w:szCs w:val="24"/>
        </w:rPr>
        <w:t xml:space="preserve">Specifically, the incremental change literature can be said to lack explanations for </w:t>
      </w:r>
      <w:r w:rsidR="00A516E2" w:rsidRPr="00CA1391">
        <w:rPr>
          <w:rFonts w:ascii="Times New Roman" w:eastAsia="Calibri" w:hAnsi="Times New Roman" w:cs="Times New Roman"/>
          <w:i/>
          <w:iCs/>
          <w:color w:val="000000" w:themeColor="text1"/>
          <w:sz w:val="24"/>
          <w:szCs w:val="24"/>
        </w:rPr>
        <w:t xml:space="preserve">when </w:t>
      </w:r>
      <w:r w:rsidR="00A516E2" w:rsidRPr="00CA1391">
        <w:rPr>
          <w:rFonts w:ascii="Times New Roman" w:eastAsia="Calibri" w:hAnsi="Times New Roman" w:cs="Times New Roman"/>
          <w:color w:val="000000" w:themeColor="text1"/>
          <w:sz w:val="24"/>
          <w:szCs w:val="24"/>
        </w:rPr>
        <w:t xml:space="preserve">certain patterns of change occur, and </w:t>
      </w:r>
      <w:r w:rsidR="00A516E2" w:rsidRPr="00CA1391">
        <w:rPr>
          <w:rFonts w:ascii="Times New Roman" w:eastAsia="Calibri" w:hAnsi="Times New Roman" w:cs="Times New Roman"/>
          <w:i/>
          <w:iCs/>
          <w:color w:val="000000" w:themeColor="text1"/>
          <w:sz w:val="24"/>
          <w:szCs w:val="24"/>
        </w:rPr>
        <w:t xml:space="preserve">what grounds </w:t>
      </w:r>
      <w:r w:rsidR="00A516E2" w:rsidRPr="00CA1391">
        <w:rPr>
          <w:rFonts w:ascii="Times New Roman" w:eastAsia="Calibri" w:hAnsi="Times New Roman" w:cs="Times New Roman"/>
          <w:color w:val="000000" w:themeColor="text1"/>
          <w:sz w:val="24"/>
          <w:szCs w:val="24"/>
        </w:rPr>
        <w:t>differen</w:t>
      </w:r>
      <w:r w:rsidR="0033416E" w:rsidRPr="00CA1391">
        <w:rPr>
          <w:rFonts w:ascii="Times New Roman" w:eastAsia="Calibri" w:hAnsi="Times New Roman" w:cs="Times New Roman"/>
          <w:color w:val="000000" w:themeColor="text1"/>
          <w:sz w:val="24"/>
          <w:szCs w:val="24"/>
        </w:rPr>
        <w:t>ces among cases (Haagh 2019b).</w:t>
      </w:r>
    </w:p>
    <w:p w14:paraId="353B3A48" w14:textId="77777777" w:rsidR="00772F1D" w:rsidRPr="00CA1391" w:rsidRDefault="00772F1D" w:rsidP="00A516E2">
      <w:pPr>
        <w:pStyle w:val="BodyA"/>
        <w:jc w:val="both"/>
        <w:rPr>
          <w:rFonts w:ascii="Times New Roman" w:eastAsia="Calibri" w:hAnsi="Times New Roman" w:cs="Times New Roman"/>
          <w:color w:val="000000" w:themeColor="text1"/>
          <w:sz w:val="24"/>
          <w:szCs w:val="24"/>
        </w:rPr>
      </w:pPr>
    </w:p>
    <w:p w14:paraId="4A74C74D" w14:textId="596556C0" w:rsidR="00DE2543" w:rsidRPr="00CA1391" w:rsidRDefault="00CC42AB" w:rsidP="00772F1D">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Calibri"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A way to own VOC’s insights concerning</w:t>
      </w:r>
      <w:r w:rsidR="004D27CA" w:rsidRPr="00CA1391">
        <w:rPr>
          <w:rFonts w:ascii="Times New Roman" w:eastAsia="Calibri" w:hAnsi="Times New Roman" w:cs="Times New Roman"/>
          <w:color w:val="000000" w:themeColor="text1"/>
          <w:sz w:val="24"/>
          <w:szCs w:val="24"/>
        </w:rPr>
        <w:t xml:space="preserve"> </w:t>
      </w:r>
      <w:r w:rsidRPr="00CA1391">
        <w:rPr>
          <w:rFonts w:ascii="Times New Roman" w:eastAsia="Calibri" w:hAnsi="Times New Roman" w:cs="Times New Roman"/>
          <w:color w:val="000000" w:themeColor="text1"/>
          <w:sz w:val="24"/>
          <w:szCs w:val="24"/>
        </w:rPr>
        <w:t xml:space="preserve">variance in coordinated </w:t>
      </w:r>
      <w:r w:rsidR="004D27CA" w:rsidRPr="00CA1391">
        <w:rPr>
          <w:rFonts w:ascii="Times New Roman" w:eastAsia="Calibri" w:hAnsi="Times New Roman" w:cs="Times New Roman"/>
          <w:color w:val="000000" w:themeColor="text1"/>
          <w:sz w:val="24"/>
          <w:szCs w:val="24"/>
        </w:rPr>
        <w:t xml:space="preserve">skills </w:t>
      </w:r>
      <w:r w:rsidR="00F622B8" w:rsidRPr="00CA1391">
        <w:rPr>
          <w:rFonts w:ascii="Times New Roman" w:eastAsia="Calibri" w:hAnsi="Times New Roman" w:cs="Times New Roman"/>
          <w:color w:val="000000" w:themeColor="text1"/>
          <w:sz w:val="24"/>
          <w:szCs w:val="24"/>
        </w:rPr>
        <w:t>development is t</w:t>
      </w:r>
      <w:r w:rsidRPr="00CA1391">
        <w:rPr>
          <w:rFonts w:ascii="Times New Roman" w:eastAsia="Calibri" w:hAnsi="Times New Roman" w:cs="Times New Roman"/>
          <w:color w:val="000000" w:themeColor="text1"/>
          <w:sz w:val="24"/>
          <w:szCs w:val="24"/>
        </w:rPr>
        <w:t xml:space="preserve">o further </w:t>
      </w:r>
      <w:r w:rsidR="00772F1D" w:rsidRPr="00CA1391">
        <w:rPr>
          <w:rFonts w:ascii="Times New Roman" w:eastAsia="Calibri" w:hAnsi="Times New Roman" w:cs="Times New Roman"/>
          <w:color w:val="000000" w:themeColor="text1"/>
          <w:sz w:val="24"/>
          <w:szCs w:val="24"/>
        </w:rPr>
        <w:t>explore</w:t>
      </w:r>
      <w:r w:rsidR="00F622B8" w:rsidRPr="00CA1391">
        <w:rPr>
          <w:rFonts w:ascii="Times New Roman" w:eastAsia="Calibri" w:hAnsi="Times New Roman" w:cs="Times New Roman"/>
          <w:color w:val="000000" w:themeColor="text1"/>
          <w:sz w:val="24"/>
          <w:szCs w:val="24"/>
        </w:rPr>
        <w:t xml:space="preserve"> </w:t>
      </w:r>
      <w:r w:rsidRPr="00CA1391">
        <w:rPr>
          <w:rFonts w:ascii="Times New Roman" w:eastAsia="Calibri" w:hAnsi="Times New Roman" w:cs="Times New Roman"/>
          <w:color w:val="000000" w:themeColor="text1"/>
          <w:sz w:val="24"/>
          <w:szCs w:val="24"/>
        </w:rPr>
        <w:t>the connection this has with public governance capacity</w:t>
      </w:r>
      <w:r w:rsidR="004D27CA" w:rsidRPr="00CA1391">
        <w:rPr>
          <w:rFonts w:ascii="Times New Roman" w:eastAsia="Calibri" w:hAnsi="Times New Roman" w:cs="Times New Roman"/>
          <w:color w:val="000000" w:themeColor="text1"/>
          <w:sz w:val="24"/>
          <w:szCs w:val="24"/>
        </w:rPr>
        <w:t>. E</w:t>
      </w:r>
      <w:r w:rsidRPr="00CA1391">
        <w:rPr>
          <w:rFonts w:ascii="Times New Roman" w:eastAsia="Calibri" w:hAnsi="Times New Roman" w:cs="Times New Roman"/>
          <w:color w:val="000000" w:themeColor="text1"/>
          <w:sz w:val="24"/>
          <w:szCs w:val="24"/>
        </w:rPr>
        <w:t xml:space="preserve">.g. skills coordinating institutions is in this frame a form of development of hybrid property which generates </w:t>
      </w:r>
      <w:r w:rsidR="0066400C" w:rsidRPr="00CA1391">
        <w:rPr>
          <w:rFonts w:ascii="Times New Roman" w:eastAsia="Calibri" w:hAnsi="Times New Roman" w:cs="Times New Roman"/>
          <w:color w:val="000000" w:themeColor="text1"/>
          <w:sz w:val="24"/>
          <w:szCs w:val="24"/>
        </w:rPr>
        <w:t xml:space="preserve"> </w:t>
      </w:r>
      <w:r w:rsidRPr="00CA1391">
        <w:rPr>
          <w:rFonts w:ascii="Times New Roman" w:eastAsia="Calibri" w:hAnsi="Times New Roman" w:cs="Times New Roman"/>
          <w:color w:val="000000" w:themeColor="text1"/>
          <w:sz w:val="24"/>
          <w:szCs w:val="24"/>
        </w:rPr>
        <w:t>governance capacit</w:t>
      </w:r>
      <w:r w:rsidR="0066400C" w:rsidRPr="00CA1391">
        <w:rPr>
          <w:rFonts w:ascii="Times New Roman" w:eastAsia="Calibri" w:hAnsi="Times New Roman" w:cs="Times New Roman"/>
          <w:color w:val="000000" w:themeColor="text1"/>
          <w:sz w:val="24"/>
          <w:szCs w:val="24"/>
        </w:rPr>
        <w:t xml:space="preserve">y as </w:t>
      </w:r>
      <w:r w:rsidR="004D27CA" w:rsidRPr="00CA1391">
        <w:rPr>
          <w:rFonts w:ascii="Times New Roman" w:eastAsia="Calibri" w:hAnsi="Times New Roman" w:cs="Times New Roman"/>
          <w:color w:val="000000" w:themeColor="text1"/>
          <w:sz w:val="24"/>
          <w:szCs w:val="24"/>
        </w:rPr>
        <w:t>incorporating mechanisms strengthen civil society as a basis for the ongoing contestation and d</w:t>
      </w:r>
      <w:r w:rsidR="0033416E" w:rsidRPr="00CA1391">
        <w:rPr>
          <w:rFonts w:ascii="Times New Roman" w:eastAsia="Calibri" w:hAnsi="Times New Roman" w:cs="Times New Roman"/>
          <w:color w:val="000000" w:themeColor="text1"/>
          <w:sz w:val="24"/>
          <w:szCs w:val="24"/>
        </w:rPr>
        <w:t>evelopment of citizens’ rights</w:t>
      </w:r>
      <w:r w:rsidR="00DE2543" w:rsidRPr="00CA1391">
        <w:rPr>
          <w:rFonts w:ascii="Times New Roman" w:eastAsia="Calibri" w:hAnsi="Times New Roman" w:cs="Times New Roman"/>
          <w:color w:val="000000" w:themeColor="text1"/>
          <w:sz w:val="24"/>
          <w:szCs w:val="24"/>
        </w:rPr>
        <w:t xml:space="preserve"> (Haagh 2019a)</w:t>
      </w:r>
      <w:r w:rsidR="0033416E" w:rsidRPr="00CA1391">
        <w:rPr>
          <w:rFonts w:ascii="Times New Roman" w:eastAsia="Calibri" w:hAnsi="Times New Roman" w:cs="Times New Roman"/>
          <w:color w:val="000000" w:themeColor="text1"/>
          <w:sz w:val="24"/>
          <w:szCs w:val="24"/>
        </w:rPr>
        <w:t>.</w:t>
      </w:r>
      <w:r w:rsidRPr="00CA1391">
        <w:rPr>
          <w:rFonts w:ascii="Times New Roman" w:eastAsia="Calibri" w:hAnsi="Times New Roman" w:cs="Times New Roman"/>
          <w:color w:val="000000" w:themeColor="text1"/>
          <w:sz w:val="24"/>
          <w:szCs w:val="24"/>
        </w:rPr>
        <w:t xml:space="preserve"> </w:t>
      </w:r>
      <w:r w:rsidR="00DE2543" w:rsidRPr="00CA1391">
        <w:rPr>
          <w:rFonts w:ascii="Times New Roman" w:eastAsia="Calibri" w:hAnsi="Times New Roman" w:cs="Times New Roman"/>
          <w:color w:val="000000" w:themeColor="text1"/>
          <w:sz w:val="24"/>
          <w:szCs w:val="24"/>
        </w:rPr>
        <w:t xml:space="preserve"> </w:t>
      </w:r>
      <w:r w:rsidR="00772F1D" w:rsidRPr="00CA1391">
        <w:rPr>
          <w:rFonts w:ascii="Times New Roman" w:eastAsia="Calibri" w:hAnsi="Times New Roman" w:cs="Times New Roman"/>
          <w:color w:val="000000" w:themeColor="text1"/>
          <w:sz w:val="24"/>
          <w:szCs w:val="24"/>
        </w:rPr>
        <w:t xml:space="preserve">In turn this approach </w:t>
      </w:r>
      <w:r w:rsidR="00750168" w:rsidRPr="00CA1391">
        <w:rPr>
          <w:rFonts w:ascii="Times New Roman" w:eastAsia="Calibri" w:hAnsi="Times New Roman" w:cs="Times New Roman"/>
          <w:color w:val="000000" w:themeColor="text1"/>
          <w:sz w:val="24"/>
          <w:szCs w:val="24"/>
        </w:rPr>
        <w:t xml:space="preserve">addresses </w:t>
      </w:r>
      <w:r w:rsidR="00750168" w:rsidRPr="00CA1391">
        <w:rPr>
          <w:rFonts w:ascii="Times New Roman" w:eastAsia="Calibri" w:hAnsi="Times New Roman" w:cs="Times New Roman"/>
          <w:color w:val="000000" w:themeColor="text1"/>
          <w:sz w:val="24"/>
          <w:szCs w:val="24"/>
        </w:rPr>
        <w:lastRenderedPageBreak/>
        <w:t xml:space="preserve">a second problem in the </w:t>
      </w:r>
      <w:r w:rsidR="00772F1D" w:rsidRPr="00CA1391">
        <w:rPr>
          <w:rFonts w:ascii="Times New Roman" w:eastAsia="Calibri" w:hAnsi="Times New Roman" w:cs="Times New Roman"/>
          <w:color w:val="000000" w:themeColor="text1"/>
          <w:sz w:val="24"/>
          <w:szCs w:val="24"/>
        </w:rPr>
        <w:t>institutional change</w:t>
      </w:r>
      <w:r w:rsidR="00CE4296" w:rsidRPr="00CA1391">
        <w:rPr>
          <w:rFonts w:ascii="Times New Roman" w:eastAsia="Calibri" w:hAnsi="Times New Roman" w:cs="Times New Roman"/>
          <w:color w:val="000000" w:themeColor="text1"/>
          <w:sz w:val="24"/>
          <w:szCs w:val="24"/>
        </w:rPr>
        <w:t xml:space="preserve"> literature</w:t>
      </w:r>
      <w:r w:rsidR="00772F1D" w:rsidRPr="00CA1391">
        <w:rPr>
          <w:rFonts w:ascii="Times New Roman" w:eastAsia="Calibri" w:hAnsi="Times New Roman" w:cs="Times New Roman"/>
          <w:color w:val="000000" w:themeColor="text1"/>
          <w:sz w:val="24"/>
          <w:szCs w:val="24"/>
        </w:rPr>
        <w:t xml:space="preserve"> </w:t>
      </w:r>
      <w:r w:rsidR="00CE4296" w:rsidRPr="00CA1391">
        <w:rPr>
          <w:rFonts w:ascii="Times New Roman" w:eastAsia="Calibri" w:hAnsi="Times New Roman" w:cs="Times New Roman"/>
          <w:color w:val="000000" w:themeColor="text1"/>
          <w:sz w:val="24"/>
          <w:szCs w:val="24"/>
        </w:rPr>
        <w:t xml:space="preserve">which is again a form of ex ante commitment, in this case to say </w:t>
      </w:r>
      <w:r w:rsidR="00772F1D" w:rsidRPr="00CA1391">
        <w:rPr>
          <w:rFonts w:ascii="Times New Roman" w:eastAsia="Calibri" w:hAnsi="Times New Roman" w:cs="Times New Roman"/>
          <w:color w:val="000000" w:themeColor="text1"/>
          <w:sz w:val="24"/>
          <w:szCs w:val="24"/>
        </w:rPr>
        <w:t>that system formation and</w:t>
      </w:r>
      <w:r w:rsidR="00B66D52" w:rsidRPr="00CA1391">
        <w:rPr>
          <w:rFonts w:ascii="Times New Roman" w:eastAsia="Calibri" w:hAnsi="Times New Roman" w:cs="Times New Roman"/>
          <w:color w:val="000000" w:themeColor="text1"/>
          <w:sz w:val="24"/>
          <w:szCs w:val="24"/>
        </w:rPr>
        <w:t xml:space="preserve"> </w:t>
      </w:r>
      <w:r w:rsidR="00CE4296" w:rsidRPr="00CA1391">
        <w:rPr>
          <w:rFonts w:ascii="Times New Roman" w:eastAsia="Calibri" w:hAnsi="Times New Roman" w:cs="Times New Roman"/>
          <w:color w:val="000000" w:themeColor="text1"/>
          <w:sz w:val="24"/>
          <w:szCs w:val="24"/>
        </w:rPr>
        <w:t xml:space="preserve">change is governed through agents or actors, </w:t>
      </w:r>
      <w:r w:rsidR="006C3961" w:rsidRPr="00CA1391">
        <w:rPr>
          <w:rFonts w:ascii="Times New Roman" w:eastAsia="Calibri" w:hAnsi="Times New Roman" w:cs="Times New Roman"/>
          <w:color w:val="000000" w:themeColor="text1"/>
          <w:sz w:val="24"/>
          <w:szCs w:val="24"/>
        </w:rPr>
        <w:t>their</w:t>
      </w:r>
      <w:r w:rsidR="00CE4296" w:rsidRPr="00CA1391">
        <w:rPr>
          <w:rFonts w:ascii="Times New Roman" w:eastAsia="Calibri" w:hAnsi="Times New Roman" w:cs="Times New Roman"/>
          <w:color w:val="000000" w:themeColor="text1"/>
          <w:sz w:val="24"/>
          <w:szCs w:val="24"/>
        </w:rPr>
        <w:t xml:space="preserve"> coalitions</w:t>
      </w:r>
      <w:r w:rsidR="006C3961" w:rsidRPr="00CA1391">
        <w:rPr>
          <w:rFonts w:ascii="Times New Roman" w:eastAsia="Calibri" w:hAnsi="Times New Roman" w:cs="Times New Roman"/>
          <w:color w:val="000000" w:themeColor="text1"/>
          <w:sz w:val="24"/>
          <w:szCs w:val="24"/>
        </w:rPr>
        <w:t>, institutions and conflicts</w:t>
      </w:r>
      <w:r w:rsidR="009A04A8" w:rsidRPr="00CA1391">
        <w:rPr>
          <w:rFonts w:ascii="Times New Roman" w:eastAsia="Calibri" w:hAnsi="Times New Roman" w:cs="Times New Roman"/>
          <w:color w:val="000000" w:themeColor="text1"/>
          <w:sz w:val="24"/>
          <w:szCs w:val="24"/>
        </w:rPr>
        <w:t>.</w:t>
      </w:r>
    </w:p>
    <w:p w14:paraId="24899702" w14:textId="77777777" w:rsidR="005161DB" w:rsidRPr="00CA1391" w:rsidRDefault="005161DB" w:rsidP="00772F1D">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Calibri" w:hAnsi="Times New Roman" w:cs="Times New Roman"/>
          <w:color w:val="000000" w:themeColor="text1"/>
          <w:sz w:val="24"/>
          <w:szCs w:val="24"/>
        </w:rPr>
      </w:pPr>
    </w:p>
    <w:p w14:paraId="27C8101B" w14:textId="6282FF73" w:rsidR="005161DB" w:rsidRPr="00CA1391" w:rsidRDefault="005161DB" w:rsidP="00772F1D">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Calibri" w:hAnsi="Times New Roman" w:cs="Times New Roman"/>
          <w:color w:val="000000" w:themeColor="text1"/>
          <w:sz w:val="24"/>
          <w:szCs w:val="24"/>
          <w:shd w:val="clear" w:color="auto" w:fill="FFFFFF"/>
        </w:rPr>
      </w:pPr>
      <w:r w:rsidRPr="00CA1391">
        <w:rPr>
          <w:rFonts w:ascii="Times New Roman" w:eastAsia="Calibri" w:hAnsi="Times New Roman" w:cs="Times New Roman"/>
          <w:color w:val="000000" w:themeColor="text1"/>
          <w:sz w:val="24"/>
          <w:szCs w:val="24"/>
        </w:rPr>
        <w:t>For example</w:t>
      </w:r>
      <w:r w:rsidR="00772F1D" w:rsidRPr="00CA1391">
        <w:rPr>
          <w:rFonts w:ascii="Times New Roman" w:eastAsia="Calibri" w:hAnsi="Times New Roman" w:cs="Times New Roman"/>
          <w:color w:val="000000" w:themeColor="text1"/>
          <w:sz w:val="24"/>
          <w:szCs w:val="24"/>
        </w:rPr>
        <w:t>,</w:t>
      </w:r>
      <w:r w:rsidRPr="00CA1391">
        <w:rPr>
          <w:rFonts w:ascii="Times New Roman" w:eastAsia="Calibri" w:hAnsi="Times New Roman" w:cs="Times New Roman"/>
          <w:color w:val="000000" w:themeColor="text1"/>
          <w:sz w:val="24"/>
          <w:szCs w:val="24"/>
        </w:rPr>
        <w:t xml:space="preserve"> in Hacker et al’s (2015) description of the mechanisms of “drift” and “</w:t>
      </w:r>
      <w:r w:rsidRPr="00CA1391">
        <w:rPr>
          <w:rFonts w:ascii="Times New Roman" w:eastAsia="Calibri" w:hAnsi="Times New Roman" w:cs="Times New Roman"/>
          <w:color w:val="000000" w:themeColor="text1"/>
          <w:sz w:val="24"/>
          <w:szCs w:val="24"/>
          <w:lang w:val="it-IT"/>
        </w:rPr>
        <w:t>conversion”</w:t>
      </w:r>
      <w:r w:rsidRPr="00CA1391">
        <w:rPr>
          <w:rFonts w:ascii="Times New Roman" w:eastAsia="Calibri" w:hAnsi="Times New Roman" w:cs="Times New Roman"/>
          <w:color w:val="000000" w:themeColor="text1"/>
          <w:sz w:val="24"/>
          <w:szCs w:val="24"/>
        </w:rPr>
        <w:t xml:space="preserve"> actors’ intentions appear paramount in affecting change. Drift takes place when </w:t>
      </w:r>
      <w:r w:rsidRPr="00CA1391">
        <w:rPr>
          <w:rFonts w:ascii="Times New Roman" w:eastAsia="Calibri" w:hAnsi="Times New Roman" w:cs="Times New Roman"/>
          <w:color w:val="000000" w:themeColor="text1"/>
          <w:sz w:val="24"/>
          <w:szCs w:val="24"/>
          <w:shd w:val="clear" w:color="auto" w:fill="FFFFFF"/>
        </w:rPr>
        <w:t xml:space="preserve">“formal rules are </w:t>
      </w:r>
      <w:r w:rsidRPr="00CA1391">
        <w:rPr>
          <w:rFonts w:ascii="Times New Roman" w:eastAsia="Calibri" w:hAnsi="Times New Roman" w:cs="Times New Roman"/>
          <w:i/>
          <w:iCs/>
          <w:color w:val="000000" w:themeColor="text1"/>
          <w:sz w:val="24"/>
          <w:szCs w:val="24"/>
          <w:shd w:val="clear" w:color="auto" w:fill="FFFFFF"/>
        </w:rPr>
        <w:t>deliberately</w:t>
      </w:r>
      <w:r w:rsidRPr="00CA1391">
        <w:rPr>
          <w:rFonts w:ascii="Times New Roman" w:eastAsia="Calibri" w:hAnsi="Times New Roman" w:cs="Times New Roman"/>
          <w:color w:val="000000" w:themeColor="text1"/>
          <w:sz w:val="24"/>
          <w:szCs w:val="24"/>
          <w:shd w:val="clear" w:color="auto" w:fill="FFFFFF"/>
        </w:rPr>
        <w:t xml:space="preserve"> held constant in the face of major environmental shifts, causing their outcomes to change”, whereas conversion occurs “when </w:t>
      </w:r>
      <w:r w:rsidRPr="00CA1391">
        <w:rPr>
          <w:rFonts w:ascii="Times New Roman" w:eastAsia="Calibri" w:hAnsi="Times New Roman" w:cs="Times New Roman"/>
          <w:i/>
          <w:iCs/>
          <w:color w:val="000000" w:themeColor="text1"/>
          <w:sz w:val="24"/>
          <w:szCs w:val="24"/>
          <w:shd w:val="clear" w:color="auto" w:fill="FFFFFF"/>
        </w:rPr>
        <w:t>political actors</w:t>
      </w:r>
      <w:r w:rsidRPr="00CA1391">
        <w:rPr>
          <w:rFonts w:ascii="Times New Roman" w:eastAsia="Calibri" w:hAnsi="Times New Roman" w:cs="Times New Roman"/>
          <w:color w:val="000000" w:themeColor="text1"/>
          <w:sz w:val="24"/>
          <w:szCs w:val="24"/>
          <w:shd w:val="clear" w:color="auto" w:fill="FFFFFF"/>
        </w:rPr>
        <w:t xml:space="preserve"> reinterpret ambiguous rules or </w:t>
      </w:r>
      <w:r w:rsidRPr="00CA1391">
        <w:rPr>
          <w:rFonts w:ascii="Times New Roman" w:eastAsia="Calibri" w:hAnsi="Times New Roman" w:cs="Times New Roman"/>
          <w:i/>
          <w:iCs/>
          <w:color w:val="000000" w:themeColor="text1"/>
          <w:sz w:val="24"/>
          <w:szCs w:val="24"/>
          <w:shd w:val="clear" w:color="auto" w:fill="FFFFFF"/>
        </w:rPr>
        <w:t>use the discretion</w:t>
      </w:r>
      <w:r w:rsidRPr="00CA1391">
        <w:rPr>
          <w:rFonts w:ascii="Times New Roman" w:eastAsia="Calibri" w:hAnsi="Times New Roman" w:cs="Times New Roman"/>
          <w:color w:val="000000" w:themeColor="text1"/>
          <w:sz w:val="24"/>
          <w:szCs w:val="24"/>
          <w:shd w:val="clear" w:color="auto" w:fill="FFFFFF"/>
        </w:rPr>
        <w:t xml:space="preserve"> inherent in them to redirect them toward new purposes” (</w:t>
      </w:r>
      <w:r w:rsidRPr="00CA1391">
        <w:rPr>
          <w:rFonts w:ascii="Times New Roman" w:eastAsia="Calibri" w:hAnsi="Times New Roman" w:cs="Times New Roman"/>
          <w:color w:val="000000" w:themeColor="text1"/>
          <w:sz w:val="24"/>
          <w:szCs w:val="24"/>
        </w:rPr>
        <w:t xml:space="preserve">Hacker </w:t>
      </w:r>
      <w:r w:rsidRPr="00CA1391">
        <w:rPr>
          <w:rFonts w:ascii="Times New Roman" w:eastAsia="Calibri" w:hAnsi="Times New Roman" w:cs="Times New Roman"/>
          <w:i/>
          <w:iCs/>
          <w:color w:val="000000" w:themeColor="text1"/>
          <w:sz w:val="24"/>
          <w:szCs w:val="24"/>
        </w:rPr>
        <w:t>et al</w:t>
      </w:r>
      <w:r w:rsidR="00772F1D" w:rsidRPr="00CA1391">
        <w:rPr>
          <w:rFonts w:ascii="Times New Roman" w:eastAsia="Calibri" w:hAnsi="Times New Roman" w:cs="Times New Roman"/>
          <w:color w:val="000000" w:themeColor="text1"/>
          <w:sz w:val="24"/>
          <w:szCs w:val="24"/>
        </w:rPr>
        <w:t>, 2015,</w:t>
      </w:r>
      <w:r w:rsidRPr="00CA1391">
        <w:rPr>
          <w:rFonts w:ascii="Times New Roman" w:eastAsia="Calibri" w:hAnsi="Times New Roman" w:cs="Times New Roman"/>
          <w:color w:val="000000" w:themeColor="text1"/>
          <w:sz w:val="24"/>
          <w:szCs w:val="24"/>
        </w:rPr>
        <w:t xml:space="preserve"> </w:t>
      </w:r>
      <w:r w:rsidRPr="00CA1391">
        <w:rPr>
          <w:rFonts w:ascii="Times New Roman" w:eastAsia="Calibri" w:hAnsi="Times New Roman" w:cs="Times New Roman"/>
          <w:bCs/>
          <w:color w:val="000000" w:themeColor="text1"/>
          <w:sz w:val="24"/>
          <w:szCs w:val="24"/>
        </w:rPr>
        <w:t>180</w:t>
      </w:r>
      <w:r w:rsidRPr="00CA1391">
        <w:rPr>
          <w:rFonts w:ascii="Times New Roman" w:eastAsia="Calibri" w:hAnsi="Times New Roman" w:cs="Times New Roman"/>
          <w:color w:val="000000" w:themeColor="text1"/>
          <w:sz w:val="24"/>
          <w:szCs w:val="24"/>
        </w:rPr>
        <w:t>)</w:t>
      </w:r>
      <w:r w:rsidRPr="00CA1391">
        <w:rPr>
          <w:rFonts w:ascii="Times New Roman" w:eastAsia="Calibri" w:hAnsi="Times New Roman" w:cs="Times New Roman"/>
          <w:color w:val="000000" w:themeColor="text1"/>
          <w:sz w:val="24"/>
          <w:szCs w:val="24"/>
          <w:shd w:val="clear" w:color="auto" w:fill="FFFFFF"/>
        </w:rPr>
        <w:t>.</w:t>
      </w:r>
    </w:p>
    <w:p w14:paraId="35A300E9" w14:textId="47FD192C" w:rsidR="005161DB" w:rsidRPr="00CA1391" w:rsidRDefault="005161DB" w:rsidP="00393E3F">
      <w:pPr>
        <w:pStyle w:val="BodyA"/>
        <w:jc w:val="both"/>
        <w:rPr>
          <w:rFonts w:ascii="Times New Roman" w:eastAsia="Calibri" w:hAnsi="Times New Roman" w:cs="Times New Roman"/>
          <w:color w:val="000000" w:themeColor="text1"/>
          <w:sz w:val="24"/>
          <w:szCs w:val="24"/>
        </w:rPr>
      </w:pPr>
    </w:p>
    <w:p w14:paraId="5F6E83E2" w14:textId="7AE1DA7B" w:rsidR="004D27CA" w:rsidRPr="00994FF3" w:rsidRDefault="005161DB" w:rsidP="00393E3F">
      <w:pPr>
        <w:pStyle w:val="BodyA"/>
        <w:jc w:val="both"/>
        <w:rPr>
          <w:rFonts w:ascii="Times New Roman" w:eastAsia="Calibri"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In another</w:t>
      </w:r>
      <w:r w:rsidR="0032413C" w:rsidRPr="00CA1391">
        <w:rPr>
          <w:rFonts w:ascii="Times New Roman" w:eastAsia="Calibri" w:hAnsi="Times New Roman" w:cs="Times New Roman"/>
          <w:color w:val="000000" w:themeColor="text1"/>
          <w:sz w:val="24"/>
          <w:szCs w:val="24"/>
        </w:rPr>
        <w:t xml:space="preserve"> example,</w:t>
      </w:r>
      <w:r w:rsidR="006E4262" w:rsidRPr="00CA1391">
        <w:rPr>
          <w:rFonts w:ascii="Times New Roman" w:eastAsia="Calibri" w:hAnsi="Times New Roman" w:cs="Times New Roman"/>
          <w:color w:val="000000" w:themeColor="text1"/>
          <w:sz w:val="24"/>
          <w:szCs w:val="24"/>
        </w:rPr>
        <w:t xml:space="preserve"> </w:t>
      </w:r>
      <w:r w:rsidR="00D14073" w:rsidRPr="00CA1391">
        <w:rPr>
          <w:rFonts w:ascii="Times New Roman" w:eastAsia="Calibri" w:hAnsi="Times New Roman" w:cs="Times New Roman"/>
          <w:color w:val="000000" w:themeColor="text1"/>
          <w:sz w:val="24"/>
          <w:szCs w:val="24"/>
        </w:rPr>
        <w:t xml:space="preserve">Thelen’s </w:t>
      </w:r>
      <w:r w:rsidR="006E4262" w:rsidRPr="00CA1391">
        <w:rPr>
          <w:rFonts w:ascii="Times New Roman" w:eastAsia="Calibri" w:hAnsi="Times New Roman" w:cs="Times New Roman"/>
          <w:color w:val="000000" w:themeColor="text1"/>
          <w:sz w:val="24"/>
          <w:szCs w:val="24"/>
        </w:rPr>
        <w:t xml:space="preserve">argument </w:t>
      </w:r>
      <w:r w:rsidR="00DE2543" w:rsidRPr="00CA1391">
        <w:rPr>
          <w:rFonts w:ascii="Times New Roman" w:eastAsia="Calibri" w:hAnsi="Times New Roman" w:cs="Times New Roman"/>
          <w:color w:val="000000" w:themeColor="text1"/>
          <w:sz w:val="24"/>
          <w:szCs w:val="24"/>
        </w:rPr>
        <w:t xml:space="preserve">(2014, 65-66) </w:t>
      </w:r>
      <w:r w:rsidR="006E4262" w:rsidRPr="00CA1391">
        <w:rPr>
          <w:rFonts w:ascii="Times New Roman" w:eastAsia="Calibri" w:hAnsi="Times New Roman" w:cs="Times New Roman"/>
          <w:color w:val="000000" w:themeColor="text1"/>
          <w:sz w:val="24"/>
          <w:szCs w:val="24"/>
        </w:rPr>
        <w:t xml:space="preserve">that </w:t>
      </w:r>
      <w:r w:rsidR="00D14073" w:rsidRPr="00CA1391">
        <w:rPr>
          <w:rFonts w:ascii="Times New Roman" w:eastAsia="Calibri" w:hAnsi="Times New Roman" w:cs="Times New Roman"/>
          <w:color w:val="000000" w:themeColor="text1"/>
          <w:sz w:val="24"/>
          <w:szCs w:val="24"/>
        </w:rPr>
        <w:t xml:space="preserve">liberalization </w:t>
      </w:r>
      <w:r w:rsidR="006E4262" w:rsidRPr="00CA1391">
        <w:rPr>
          <w:rFonts w:ascii="Times New Roman" w:eastAsia="Calibri" w:hAnsi="Times New Roman" w:cs="Times New Roman"/>
          <w:color w:val="000000" w:themeColor="text1"/>
          <w:sz w:val="24"/>
          <w:szCs w:val="24"/>
        </w:rPr>
        <w:t xml:space="preserve">in Denmark </w:t>
      </w:r>
      <w:r w:rsidR="00F05962" w:rsidRPr="00CA1391">
        <w:rPr>
          <w:rFonts w:ascii="Times New Roman" w:eastAsia="Calibri" w:hAnsi="Times New Roman" w:cs="Times New Roman"/>
          <w:color w:val="000000" w:themeColor="text1"/>
          <w:sz w:val="24"/>
          <w:szCs w:val="24"/>
        </w:rPr>
        <w:t xml:space="preserve">since the 1990s </w:t>
      </w:r>
      <w:r w:rsidR="006E4262" w:rsidRPr="00994FF3">
        <w:rPr>
          <w:rFonts w:ascii="Times New Roman" w:eastAsia="Calibri" w:hAnsi="Times New Roman" w:cs="Times New Roman"/>
          <w:color w:val="000000" w:themeColor="text1"/>
          <w:sz w:val="24"/>
          <w:szCs w:val="24"/>
        </w:rPr>
        <w:t xml:space="preserve">was </w:t>
      </w:r>
      <w:r w:rsidR="00772F1D" w:rsidRPr="00994FF3">
        <w:rPr>
          <w:rFonts w:ascii="Times New Roman" w:eastAsia="Calibri" w:hAnsi="Times New Roman" w:cs="Times New Roman"/>
          <w:color w:val="000000" w:themeColor="text1"/>
          <w:sz w:val="24"/>
          <w:szCs w:val="24"/>
        </w:rPr>
        <w:t>more s</w:t>
      </w:r>
      <w:r w:rsidR="00D95E55" w:rsidRPr="00994FF3">
        <w:rPr>
          <w:rFonts w:ascii="Times New Roman" w:eastAsia="Calibri" w:hAnsi="Times New Roman" w:cs="Times New Roman"/>
          <w:color w:val="000000" w:themeColor="text1"/>
          <w:sz w:val="24"/>
          <w:szCs w:val="24"/>
        </w:rPr>
        <w:t>ecure</w:t>
      </w:r>
      <w:r w:rsidR="00772F1D" w:rsidRPr="00994FF3">
        <w:rPr>
          <w:rFonts w:ascii="Times New Roman" w:eastAsia="Calibri" w:hAnsi="Times New Roman" w:cs="Times New Roman"/>
          <w:color w:val="000000" w:themeColor="text1"/>
          <w:sz w:val="24"/>
          <w:szCs w:val="24"/>
        </w:rPr>
        <w:t xml:space="preserve"> due to a focus on education and social protection</w:t>
      </w:r>
      <w:r w:rsidR="0032413C" w:rsidRPr="00994FF3">
        <w:rPr>
          <w:rFonts w:ascii="Times New Roman" w:eastAsia="Calibri" w:hAnsi="Times New Roman" w:cs="Times New Roman"/>
          <w:color w:val="000000" w:themeColor="text1"/>
          <w:sz w:val="24"/>
          <w:szCs w:val="24"/>
        </w:rPr>
        <w:t>, hones in</w:t>
      </w:r>
      <w:r w:rsidR="00D14073" w:rsidRPr="00994FF3">
        <w:rPr>
          <w:rFonts w:ascii="Times New Roman" w:eastAsia="Calibri" w:hAnsi="Times New Roman" w:cs="Times New Roman"/>
          <w:color w:val="000000" w:themeColor="text1"/>
          <w:sz w:val="24"/>
          <w:szCs w:val="24"/>
        </w:rPr>
        <w:t xml:space="preserve"> on </w:t>
      </w:r>
      <w:r w:rsidR="006E4262" w:rsidRPr="00994FF3">
        <w:rPr>
          <w:rFonts w:ascii="Times New Roman" w:eastAsia="Calibri" w:hAnsi="Times New Roman" w:cs="Times New Roman"/>
          <w:color w:val="000000" w:themeColor="text1"/>
          <w:sz w:val="24"/>
          <w:szCs w:val="24"/>
        </w:rPr>
        <w:t>the key role of social accords</w:t>
      </w:r>
      <w:r w:rsidR="0066400C" w:rsidRPr="00994FF3">
        <w:rPr>
          <w:rFonts w:ascii="Times New Roman" w:eastAsia="Calibri" w:hAnsi="Times New Roman" w:cs="Times New Roman"/>
          <w:color w:val="000000" w:themeColor="text1"/>
          <w:sz w:val="24"/>
          <w:szCs w:val="24"/>
        </w:rPr>
        <w:t xml:space="preserve">. </w:t>
      </w:r>
      <w:r w:rsidR="00DE2543" w:rsidRPr="00994FF3">
        <w:rPr>
          <w:rFonts w:ascii="Times New Roman" w:eastAsia="Calibri" w:hAnsi="Times New Roman" w:cs="Times New Roman"/>
          <w:color w:val="000000" w:themeColor="text1"/>
          <w:sz w:val="24"/>
          <w:szCs w:val="24"/>
        </w:rPr>
        <w:t>Using the VOC framework, Thel</w:t>
      </w:r>
      <w:r w:rsidR="00772F1D" w:rsidRPr="00994FF3">
        <w:rPr>
          <w:rFonts w:ascii="Times New Roman" w:eastAsia="Calibri" w:hAnsi="Times New Roman" w:cs="Times New Roman"/>
          <w:color w:val="000000" w:themeColor="text1"/>
          <w:sz w:val="24"/>
          <w:szCs w:val="24"/>
        </w:rPr>
        <w:t>en (2014, 24) makes the case</w:t>
      </w:r>
      <w:r w:rsidR="00DE2543" w:rsidRPr="00994FF3">
        <w:rPr>
          <w:rFonts w:ascii="Times New Roman" w:eastAsia="Calibri" w:hAnsi="Times New Roman" w:cs="Times New Roman"/>
          <w:color w:val="000000" w:themeColor="text1"/>
          <w:sz w:val="24"/>
          <w:szCs w:val="24"/>
        </w:rPr>
        <w:t xml:space="preserve"> that more encompassing labour a</w:t>
      </w:r>
      <w:r w:rsidR="00772F1D" w:rsidRPr="00994FF3">
        <w:rPr>
          <w:rFonts w:ascii="Times New Roman" w:eastAsia="Calibri" w:hAnsi="Times New Roman" w:cs="Times New Roman"/>
          <w:color w:val="000000" w:themeColor="text1"/>
          <w:sz w:val="24"/>
          <w:szCs w:val="24"/>
        </w:rPr>
        <w:t xml:space="preserve">ssociations in Denmark against </w:t>
      </w:r>
      <w:r w:rsidR="00DE2543" w:rsidRPr="00994FF3">
        <w:rPr>
          <w:rFonts w:ascii="Times New Roman" w:eastAsia="Calibri" w:hAnsi="Times New Roman" w:cs="Times New Roman"/>
          <w:color w:val="000000" w:themeColor="text1"/>
          <w:sz w:val="24"/>
          <w:szCs w:val="24"/>
        </w:rPr>
        <w:t>Sweden, for instance (Thelen 2014, 24) generates a wider set of public policy tools at the state’s disposal.</w:t>
      </w:r>
      <w:r w:rsidR="00772F1D" w:rsidRPr="00994FF3">
        <w:rPr>
          <w:rFonts w:ascii="Times New Roman" w:eastAsia="Calibri" w:hAnsi="Times New Roman" w:cs="Times New Roman"/>
          <w:color w:val="000000" w:themeColor="text1"/>
          <w:sz w:val="24"/>
          <w:szCs w:val="24"/>
        </w:rPr>
        <w:t xml:space="preserve"> </w:t>
      </w:r>
      <w:r w:rsidR="0066400C" w:rsidRPr="00994FF3">
        <w:rPr>
          <w:rFonts w:ascii="Times New Roman" w:eastAsia="Calibri" w:hAnsi="Times New Roman" w:cs="Times New Roman"/>
          <w:color w:val="000000" w:themeColor="text1"/>
          <w:sz w:val="24"/>
          <w:szCs w:val="24"/>
        </w:rPr>
        <w:t xml:space="preserve">However, </w:t>
      </w:r>
      <w:r w:rsidR="00772F1D" w:rsidRPr="00994FF3">
        <w:rPr>
          <w:rFonts w:ascii="Times New Roman" w:eastAsia="Calibri" w:hAnsi="Times New Roman" w:cs="Times New Roman"/>
          <w:color w:val="000000" w:themeColor="text1"/>
          <w:sz w:val="24"/>
          <w:szCs w:val="24"/>
        </w:rPr>
        <w:t>i</w:t>
      </w:r>
      <w:r w:rsidR="00D95E55" w:rsidRPr="00994FF3">
        <w:rPr>
          <w:rFonts w:ascii="Times New Roman" w:eastAsia="Calibri" w:hAnsi="Times New Roman" w:cs="Times New Roman"/>
          <w:color w:val="000000" w:themeColor="text1"/>
          <w:sz w:val="24"/>
          <w:szCs w:val="24"/>
        </w:rPr>
        <w:t xml:space="preserve">n the 1990s, labour </w:t>
      </w:r>
      <w:r w:rsidR="00772F1D" w:rsidRPr="00994FF3">
        <w:rPr>
          <w:rFonts w:ascii="Times New Roman" w:eastAsia="Calibri" w:hAnsi="Times New Roman" w:cs="Times New Roman"/>
          <w:color w:val="000000" w:themeColor="text1"/>
          <w:sz w:val="24"/>
          <w:szCs w:val="24"/>
        </w:rPr>
        <w:t>in Denmark was weakening whereas s</w:t>
      </w:r>
      <w:r w:rsidR="00D95E55" w:rsidRPr="00994FF3">
        <w:rPr>
          <w:rFonts w:ascii="Times New Roman" w:eastAsia="Calibri" w:hAnsi="Times New Roman" w:cs="Times New Roman"/>
          <w:color w:val="000000" w:themeColor="text1"/>
          <w:sz w:val="24"/>
          <w:szCs w:val="24"/>
        </w:rPr>
        <w:t>ustained investment in skills in thi</w:t>
      </w:r>
      <w:r w:rsidR="00772F1D" w:rsidRPr="00994FF3">
        <w:rPr>
          <w:rFonts w:ascii="Times New Roman" w:eastAsia="Calibri" w:hAnsi="Times New Roman" w:cs="Times New Roman"/>
          <w:color w:val="000000" w:themeColor="text1"/>
          <w:sz w:val="24"/>
          <w:szCs w:val="24"/>
        </w:rPr>
        <w:t xml:space="preserve">s period can be </w:t>
      </w:r>
      <w:r w:rsidR="00D95E55" w:rsidRPr="00994FF3">
        <w:rPr>
          <w:rFonts w:ascii="Times New Roman" w:eastAsia="Calibri" w:hAnsi="Times New Roman" w:cs="Times New Roman"/>
          <w:color w:val="000000" w:themeColor="text1"/>
          <w:sz w:val="24"/>
          <w:szCs w:val="24"/>
        </w:rPr>
        <w:t xml:space="preserve">linked with </w:t>
      </w:r>
      <w:r w:rsidR="00F05962" w:rsidRPr="00994FF3">
        <w:rPr>
          <w:rFonts w:ascii="Times New Roman" w:eastAsia="Calibri" w:hAnsi="Times New Roman" w:cs="Times New Roman"/>
          <w:color w:val="000000" w:themeColor="text1"/>
          <w:sz w:val="24"/>
          <w:szCs w:val="24"/>
        </w:rPr>
        <w:t>the deep embedding of high education investment across public institutions historically</w:t>
      </w:r>
      <w:r w:rsidR="00DE2543" w:rsidRPr="00994FF3">
        <w:rPr>
          <w:rFonts w:ascii="Times New Roman" w:eastAsia="Calibri" w:hAnsi="Times New Roman" w:cs="Times New Roman"/>
          <w:color w:val="000000" w:themeColor="text1"/>
          <w:sz w:val="24"/>
          <w:szCs w:val="24"/>
        </w:rPr>
        <w:t xml:space="preserve"> (Haagh 2015, 2019a)</w:t>
      </w:r>
      <w:r w:rsidR="00F05962" w:rsidRPr="00994FF3">
        <w:rPr>
          <w:rFonts w:ascii="Times New Roman" w:eastAsia="Calibri" w:hAnsi="Times New Roman" w:cs="Times New Roman"/>
          <w:color w:val="000000" w:themeColor="text1"/>
          <w:sz w:val="24"/>
          <w:szCs w:val="24"/>
        </w:rPr>
        <w:t>.</w:t>
      </w:r>
      <w:r w:rsidR="00D95E55" w:rsidRPr="00994FF3">
        <w:rPr>
          <w:rFonts w:ascii="Times New Roman" w:eastAsia="Calibri" w:hAnsi="Times New Roman" w:cs="Times New Roman"/>
          <w:color w:val="000000" w:themeColor="text1"/>
          <w:sz w:val="24"/>
          <w:szCs w:val="24"/>
        </w:rPr>
        <w:t xml:space="preserve"> </w:t>
      </w:r>
      <w:r w:rsidR="00F05962" w:rsidRPr="00994FF3">
        <w:rPr>
          <w:rFonts w:ascii="Times New Roman" w:eastAsia="Calibri" w:hAnsi="Times New Roman" w:cs="Times New Roman"/>
          <w:color w:val="000000" w:themeColor="text1"/>
          <w:sz w:val="24"/>
          <w:szCs w:val="24"/>
        </w:rPr>
        <w:t>This tradition was relatively more insulated from the business cycle in a way</w:t>
      </w:r>
      <w:r w:rsidR="00D95E55" w:rsidRPr="00994FF3">
        <w:rPr>
          <w:rFonts w:ascii="Times New Roman" w:eastAsia="Calibri" w:hAnsi="Times New Roman" w:cs="Times New Roman"/>
          <w:color w:val="000000" w:themeColor="text1"/>
          <w:sz w:val="24"/>
          <w:szCs w:val="24"/>
        </w:rPr>
        <w:t xml:space="preserve"> and degree</w:t>
      </w:r>
      <w:r w:rsidR="00F05962" w:rsidRPr="00994FF3">
        <w:rPr>
          <w:rFonts w:ascii="Times New Roman" w:eastAsia="Calibri" w:hAnsi="Times New Roman" w:cs="Times New Roman"/>
          <w:color w:val="000000" w:themeColor="text1"/>
          <w:sz w:val="24"/>
          <w:szCs w:val="24"/>
        </w:rPr>
        <w:t xml:space="preserve"> labour’</w:t>
      </w:r>
      <w:r w:rsidR="00D95E55" w:rsidRPr="00994FF3">
        <w:rPr>
          <w:rFonts w:ascii="Times New Roman" w:eastAsia="Calibri" w:hAnsi="Times New Roman" w:cs="Times New Roman"/>
          <w:color w:val="000000" w:themeColor="text1"/>
          <w:sz w:val="24"/>
          <w:szCs w:val="24"/>
        </w:rPr>
        <w:t>s terms and conditions we</w:t>
      </w:r>
      <w:r w:rsidR="00F05962" w:rsidRPr="00994FF3">
        <w:rPr>
          <w:rFonts w:ascii="Times New Roman" w:eastAsia="Calibri" w:hAnsi="Times New Roman" w:cs="Times New Roman"/>
          <w:color w:val="000000" w:themeColor="text1"/>
          <w:sz w:val="24"/>
          <w:szCs w:val="24"/>
        </w:rPr>
        <w:t>re not</w:t>
      </w:r>
      <w:r w:rsidR="00D95E55" w:rsidRPr="00994FF3">
        <w:rPr>
          <w:rFonts w:ascii="Times New Roman" w:eastAsia="Calibri" w:hAnsi="Times New Roman" w:cs="Times New Roman"/>
          <w:color w:val="000000" w:themeColor="text1"/>
          <w:sz w:val="24"/>
          <w:szCs w:val="24"/>
        </w:rPr>
        <w:t>.</w:t>
      </w:r>
      <w:r w:rsidR="00F05962" w:rsidRPr="00994FF3">
        <w:rPr>
          <w:rFonts w:ascii="Times New Roman" w:eastAsia="Calibri" w:hAnsi="Times New Roman" w:cs="Times New Roman"/>
          <w:color w:val="000000" w:themeColor="text1"/>
          <w:sz w:val="24"/>
          <w:szCs w:val="24"/>
        </w:rPr>
        <w:t xml:space="preserve"> </w:t>
      </w:r>
      <w:r w:rsidR="00A516E2" w:rsidRPr="00994FF3">
        <w:rPr>
          <w:rFonts w:ascii="Times New Roman" w:eastAsia="Calibri" w:hAnsi="Times New Roman" w:cs="Times New Roman"/>
          <w:color w:val="000000" w:themeColor="text1"/>
          <w:sz w:val="24"/>
          <w:szCs w:val="24"/>
        </w:rPr>
        <w:t xml:space="preserve"> </w:t>
      </w:r>
      <w:r w:rsidR="004D27CA" w:rsidRPr="00994FF3">
        <w:rPr>
          <w:rFonts w:ascii="Times New Roman" w:eastAsia="Calibri" w:hAnsi="Times New Roman" w:cs="Times New Roman"/>
          <w:color w:val="000000" w:themeColor="text1"/>
          <w:sz w:val="24"/>
          <w:szCs w:val="24"/>
        </w:rPr>
        <w:t xml:space="preserve">It </w:t>
      </w:r>
      <w:r w:rsidR="00DE2543" w:rsidRPr="00994FF3">
        <w:rPr>
          <w:rFonts w:ascii="Times New Roman" w:eastAsia="Calibri" w:hAnsi="Times New Roman" w:cs="Times New Roman"/>
          <w:color w:val="000000" w:themeColor="text1"/>
          <w:sz w:val="24"/>
          <w:szCs w:val="24"/>
        </w:rPr>
        <w:t xml:space="preserve">is therefore arguably long-run capacity </w:t>
      </w:r>
      <w:r w:rsidR="004D27CA" w:rsidRPr="00994FF3">
        <w:rPr>
          <w:rFonts w:ascii="Times New Roman" w:eastAsia="Calibri" w:hAnsi="Times New Roman" w:cs="Times New Roman"/>
          <w:color w:val="000000" w:themeColor="text1"/>
          <w:sz w:val="24"/>
          <w:szCs w:val="24"/>
        </w:rPr>
        <w:t>rather than directly actors’ accords which explains continued high education</w:t>
      </w:r>
      <w:r w:rsidR="0066400C" w:rsidRPr="00994FF3">
        <w:rPr>
          <w:rFonts w:ascii="Times New Roman" w:eastAsia="Calibri" w:hAnsi="Times New Roman" w:cs="Times New Roman"/>
          <w:color w:val="000000" w:themeColor="text1"/>
          <w:sz w:val="24"/>
          <w:szCs w:val="24"/>
        </w:rPr>
        <w:t xml:space="preserve"> and training spend in Denmark.</w:t>
      </w:r>
    </w:p>
    <w:p w14:paraId="05A00FFA" w14:textId="6A908582" w:rsidR="006828A2" w:rsidRPr="00994FF3" w:rsidRDefault="006828A2" w:rsidP="00CE4296">
      <w:pPr>
        <w:pStyle w:val="BodyA"/>
        <w:jc w:val="both"/>
        <w:rPr>
          <w:rFonts w:ascii="Times New Roman" w:eastAsia="Calibri" w:hAnsi="Times New Roman" w:cs="Times New Roman"/>
          <w:color w:val="000000" w:themeColor="text1"/>
          <w:sz w:val="24"/>
          <w:szCs w:val="24"/>
        </w:rPr>
      </w:pPr>
    </w:p>
    <w:p w14:paraId="1FA08A15" w14:textId="5F8E4A7E" w:rsidR="001C6578" w:rsidRPr="00994FF3" w:rsidRDefault="006E4262" w:rsidP="00CE4296">
      <w:pPr>
        <w:pStyle w:val="BodyA"/>
        <w:jc w:val="both"/>
        <w:rPr>
          <w:rFonts w:ascii="Times New Roman" w:eastAsia="Calibri" w:hAnsi="Times New Roman" w:cs="Times New Roman"/>
          <w:color w:val="000000" w:themeColor="text1"/>
          <w:sz w:val="24"/>
          <w:szCs w:val="24"/>
        </w:rPr>
      </w:pPr>
      <w:r w:rsidRPr="00994FF3">
        <w:rPr>
          <w:rFonts w:ascii="Times New Roman" w:eastAsia="Calibri" w:hAnsi="Times New Roman" w:cs="Times New Roman"/>
          <w:color w:val="000000" w:themeColor="text1"/>
          <w:sz w:val="24"/>
          <w:szCs w:val="24"/>
        </w:rPr>
        <w:t>This example illuminates a broader point</w:t>
      </w:r>
      <w:r w:rsidR="001C6578" w:rsidRPr="00994FF3">
        <w:rPr>
          <w:rFonts w:ascii="Times New Roman" w:eastAsia="Calibri" w:hAnsi="Times New Roman" w:cs="Times New Roman"/>
          <w:color w:val="000000" w:themeColor="text1"/>
          <w:sz w:val="24"/>
          <w:szCs w:val="24"/>
        </w:rPr>
        <w:t>, which is how a material change in the form of politics and institutional change has occurred as a consequence of liberalization</w:t>
      </w:r>
      <w:r w:rsidR="00955FC0" w:rsidRPr="00994FF3">
        <w:rPr>
          <w:rFonts w:ascii="Times New Roman" w:eastAsia="Calibri" w:hAnsi="Times New Roman" w:cs="Times New Roman"/>
          <w:color w:val="000000" w:themeColor="text1"/>
          <w:sz w:val="24"/>
          <w:szCs w:val="24"/>
        </w:rPr>
        <w:t>.  In a previous work,</w:t>
      </w:r>
      <w:r w:rsidR="001C6578" w:rsidRPr="00994FF3">
        <w:rPr>
          <w:rFonts w:ascii="Times New Roman" w:eastAsia="Calibri" w:hAnsi="Times New Roman" w:cs="Times New Roman"/>
          <w:color w:val="000000" w:themeColor="text1"/>
          <w:sz w:val="24"/>
          <w:szCs w:val="24"/>
        </w:rPr>
        <w:t xml:space="preserve"> Streeck and Thelen</w:t>
      </w:r>
      <w:r w:rsidR="00256556" w:rsidRPr="00994FF3">
        <w:rPr>
          <w:rFonts w:ascii="Times New Roman" w:eastAsia="Calibri" w:hAnsi="Times New Roman" w:cs="Times New Roman"/>
          <w:color w:val="000000" w:themeColor="text1"/>
          <w:sz w:val="24"/>
          <w:szCs w:val="24"/>
        </w:rPr>
        <w:t xml:space="preserve"> </w:t>
      </w:r>
      <w:r w:rsidR="0066400C" w:rsidRPr="00994FF3">
        <w:rPr>
          <w:rFonts w:ascii="Times New Roman" w:eastAsia="Calibri" w:hAnsi="Times New Roman" w:cs="Times New Roman"/>
          <w:color w:val="000000" w:themeColor="text1"/>
          <w:sz w:val="24"/>
          <w:szCs w:val="24"/>
        </w:rPr>
        <w:t>(2005</w:t>
      </w:r>
      <w:r w:rsidR="00DE2543" w:rsidRPr="00994FF3">
        <w:rPr>
          <w:rFonts w:ascii="Times New Roman" w:eastAsia="Calibri" w:hAnsi="Times New Roman" w:cs="Times New Roman"/>
          <w:color w:val="000000" w:themeColor="text1"/>
          <w:sz w:val="24"/>
          <w:szCs w:val="24"/>
        </w:rPr>
        <w:t>, 33</w:t>
      </w:r>
      <w:r w:rsidR="0066400C" w:rsidRPr="00994FF3">
        <w:rPr>
          <w:rFonts w:ascii="Times New Roman" w:eastAsia="Calibri" w:hAnsi="Times New Roman" w:cs="Times New Roman"/>
          <w:color w:val="000000" w:themeColor="text1"/>
          <w:sz w:val="24"/>
          <w:szCs w:val="24"/>
        </w:rPr>
        <w:t xml:space="preserve">) </w:t>
      </w:r>
      <w:r w:rsidR="00955FC0" w:rsidRPr="00994FF3">
        <w:rPr>
          <w:rFonts w:ascii="Times New Roman" w:eastAsia="Calibri" w:hAnsi="Times New Roman" w:cs="Times New Roman"/>
          <w:color w:val="000000" w:themeColor="text1"/>
          <w:sz w:val="24"/>
          <w:szCs w:val="24"/>
        </w:rPr>
        <w:t>make the first point in an illuminating way in observing</w:t>
      </w:r>
      <w:r w:rsidR="001C6578" w:rsidRPr="00994FF3">
        <w:rPr>
          <w:rFonts w:ascii="Times New Roman" w:eastAsia="Calibri" w:hAnsi="Times New Roman" w:cs="Times New Roman"/>
          <w:color w:val="000000" w:themeColor="text1"/>
          <w:sz w:val="24"/>
          <w:szCs w:val="24"/>
        </w:rPr>
        <w:t xml:space="preserve"> that the logic of politics within institutional change has altered over time, from key events playing a significant role, to incremental and embedded change mechanisms now being more important. </w:t>
      </w:r>
      <w:r w:rsidR="00955FC0" w:rsidRPr="00994FF3">
        <w:rPr>
          <w:rFonts w:ascii="Times New Roman" w:eastAsia="Calibri" w:hAnsi="Times New Roman" w:cs="Times New Roman"/>
          <w:color w:val="000000" w:themeColor="text1"/>
          <w:sz w:val="24"/>
          <w:szCs w:val="24"/>
        </w:rPr>
        <w:t xml:space="preserve"> </w:t>
      </w:r>
    </w:p>
    <w:p w14:paraId="17F498D7" w14:textId="77777777" w:rsidR="00973F1E" w:rsidRPr="00994FF3" w:rsidRDefault="00973F1E" w:rsidP="00973F1E">
      <w:pPr>
        <w:pStyle w:val="BodyA"/>
        <w:jc w:val="both"/>
        <w:rPr>
          <w:rFonts w:ascii="Times New Roman" w:eastAsia="Calibri" w:hAnsi="Times New Roman" w:cs="Times New Roman"/>
          <w:color w:val="000000" w:themeColor="text1"/>
          <w:sz w:val="24"/>
          <w:szCs w:val="24"/>
        </w:rPr>
      </w:pPr>
    </w:p>
    <w:p w14:paraId="1D983A70" w14:textId="521520D1" w:rsidR="00973F1E" w:rsidRPr="00994FF3" w:rsidRDefault="008A11F0" w:rsidP="00973F1E">
      <w:pPr>
        <w:pStyle w:val="BodyA"/>
        <w:jc w:val="both"/>
        <w:rPr>
          <w:rFonts w:ascii="Times New Roman" w:eastAsia="Calibri" w:hAnsi="Times New Roman" w:cs="Times New Roman"/>
          <w:color w:val="000000" w:themeColor="text1"/>
          <w:sz w:val="24"/>
          <w:szCs w:val="24"/>
        </w:rPr>
      </w:pPr>
      <w:r w:rsidRPr="00994FF3">
        <w:rPr>
          <w:rFonts w:ascii="Times New Roman" w:eastAsia="Calibri" w:hAnsi="Times New Roman" w:cs="Times New Roman"/>
          <w:color w:val="000000" w:themeColor="text1"/>
          <w:sz w:val="24"/>
          <w:szCs w:val="24"/>
        </w:rPr>
        <w:t>As they suggest, “</w:t>
      </w:r>
      <w:r w:rsidR="00973F1E" w:rsidRPr="00994FF3">
        <w:rPr>
          <w:rFonts w:ascii="Times New Roman" w:eastAsia="Calibri" w:hAnsi="Times New Roman" w:cs="Times New Roman"/>
          <w:color w:val="000000" w:themeColor="text1"/>
          <w:sz w:val="24"/>
          <w:szCs w:val="24"/>
        </w:rPr>
        <w:t xml:space="preserve">liberalization within capitalism may face far fewer collective action problems than the organization of capitalism, and much more than the latter, it may be achievable by default: by letting things happen that are happening anyway.” And they continue, “all that may be needed for liberalization to progress.. would be to give people a market alternative to an </w:t>
      </w:r>
      <w:r w:rsidR="00973F1E" w:rsidRPr="00994FF3">
        <w:rPr>
          <w:rFonts w:ascii="Times New Roman" w:eastAsia="Calibri" w:hAnsi="Times New Roman" w:cs="Times New Roman"/>
          <w:color w:val="000000" w:themeColor="text1"/>
          <w:sz w:val="24"/>
          <w:szCs w:val="24"/>
        </w:rPr>
        <w:lastRenderedPageBreak/>
        <w:t>existing system based on collective solidarity, and then give free reign to the private insurance companies and their sales forces.”</w:t>
      </w:r>
    </w:p>
    <w:p w14:paraId="692D6855" w14:textId="77777777" w:rsidR="00973F1E" w:rsidRPr="00994FF3" w:rsidRDefault="00973F1E" w:rsidP="00973F1E">
      <w:pPr>
        <w:pStyle w:val="BodyA"/>
        <w:jc w:val="both"/>
        <w:rPr>
          <w:rFonts w:ascii="Times New Roman" w:eastAsia="Calibri" w:hAnsi="Times New Roman" w:cs="Times New Roman"/>
          <w:color w:val="000000" w:themeColor="text1"/>
          <w:sz w:val="24"/>
          <w:szCs w:val="24"/>
        </w:rPr>
      </w:pPr>
    </w:p>
    <w:p w14:paraId="798A429F" w14:textId="431A35C9" w:rsidR="00973F1E" w:rsidRPr="00994FF3" w:rsidRDefault="00973F1E" w:rsidP="00256556">
      <w:pPr>
        <w:pStyle w:val="BodyA"/>
        <w:jc w:val="both"/>
        <w:rPr>
          <w:rFonts w:ascii="Times New Roman" w:eastAsia="Calibri" w:hAnsi="Times New Roman" w:cs="Times New Roman"/>
          <w:color w:val="000000" w:themeColor="text1"/>
          <w:sz w:val="24"/>
          <w:szCs w:val="24"/>
        </w:rPr>
      </w:pPr>
      <w:r w:rsidRPr="00994FF3">
        <w:rPr>
          <w:rFonts w:ascii="Times New Roman" w:eastAsia="Calibri" w:hAnsi="Times New Roman" w:cs="Times New Roman"/>
          <w:color w:val="000000" w:themeColor="text1"/>
          <w:sz w:val="24"/>
          <w:szCs w:val="24"/>
        </w:rPr>
        <w:t>S</w:t>
      </w:r>
      <w:r w:rsidR="00955FC0" w:rsidRPr="00994FF3">
        <w:rPr>
          <w:rFonts w:ascii="Times New Roman" w:eastAsia="Calibri" w:hAnsi="Times New Roman" w:cs="Times New Roman"/>
          <w:color w:val="000000" w:themeColor="text1"/>
          <w:sz w:val="24"/>
          <w:szCs w:val="24"/>
        </w:rPr>
        <w:t>treeck</w:t>
      </w:r>
      <w:r w:rsidRPr="00994FF3">
        <w:rPr>
          <w:rFonts w:ascii="Times New Roman" w:eastAsia="Calibri" w:hAnsi="Times New Roman" w:cs="Times New Roman"/>
          <w:color w:val="000000" w:themeColor="text1"/>
          <w:sz w:val="24"/>
          <w:szCs w:val="24"/>
        </w:rPr>
        <w:t xml:space="preserve"> and T</w:t>
      </w:r>
      <w:r w:rsidR="00955FC0" w:rsidRPr="00994FF3">
        <w:rPr>
          <w:rFonts w:ascii="Times New Roman" w:eastAsia="Calibri" w:hAnsi="Times New Roman" w:cs="Times New Roman"/>
          <w:color w:val="000000" w:themeColor="text1"/>
          <w:sz w:val="24"/>
          <w:szCs w:val="24"/>
        </w:rPr>
        <w:t>helen</w:t>
      </w:r>
      <w:r w:rsidRPr="00994FF3">
        <w:rPr>
          <w:rFonts w:ascii="Times New Roman" w:eastAsia="Calibri" w:hAnsi="Times New Roman" w:cs="Times New Roman"/>
          <w:color w:val="000000" w:themeColor="text1"/>
          <w:sz w:val="24"/>
          <w:szCs w:val="24"/>
        </w:rPr>
        <w:t xml:space="preserve"> make a crucial suggestion here, which is that liberalisation processes are not necessarily controlled by anyone.  They ‘happen’. Their outcomes are thus often unforeseen.</w:t>
      </w:r>
      <w:r w:rsidR="00955FC0" w:rsidRPr="00994FF3">
        <w:rPr>
          <w:rFonts w:ascii="Times New Roman" w:eastAsia="Calibri" w:hAnsi="Times New Roman" w:cs="Times New Roman"/>
          <w:color w:val="000000" w:themeColor="text1"/>
          <w:sz w:val="24"/>
          <w:szCs w:val="24"/>
        </w:rPr>
        <w:t xml:space="preserve"> </w:t>
      </w:r>
      <w:r w:rsidR="00256556" w:rsidRPr="00994FF3">
        <w:rPr>
          <w:rFonts w:ascii="Times New Roman" w:eastAsia="Calibri" w:hAnsi="Times New Roman" w:cs="Times New Roman"/>
          <w:color w:val="000000" w:themeColor="text1"/>
          <w:sz w:val="24"/>
          <w:szCs w:val="24"/>
        </w:rPr>
        <w:t>However</w:t>
      </w:r>
      <w:r w:rsidR="00955FC0" w:rsidRPr="00994FF3">
        <w:rPr>
          <w:rFonts w:ascii="Times New Roman" w:eastAsia="Calibri" w:hAnsi="Times New Roman" w:cs="Times New Roman"/>
          <w:color w:val="000000" w:themeColor="text1"/>
          <w:sz w:val="24"/>
          <w:szCs w:val="24"/>
        </w:rPr>
        <w:t>,</w:t>
      </w:r>
      <w:r w:rsidR="00256556" w:rsidRPr="00994FF3">
        <w:rPr>
          <w:rFonts w:ascii="Times New Roman" w:eastAsia="Calibri" w:hAnsi="Times New Roman" w:cs="Times New Roman"/>
          <w:color w:val="000000" w:themeColor="text1"/>
          <w:sz w:val="24"/>
          <w:szCs w:val="24"/>
        </w:rPr>
        <w:t xml:space="preserve"> they merely hint at the idea that the mechanisms of change they highlight as ways to understand continuous change are in fact linked with </w:t>
      </w:r>
      <w:r w:rsidRPr="00994FF3">
        <w:rPr>
          <w:rFonts w:ascii="Times New Roman" w:eastAsia="Calibri" w:hAnsi="Times New Roman" w:cs="Times New Roman"/>
          <w:color w:val="000000" w:themeColor="text1"/>
          <w:sz w:val="24"/>
          <w:szCs w:val="24"/>
        </w:rPr>
        <w:t>liberalization [and marketisation] as [respectively a new process of change in and mode of governance.</w:t>
      </w:r>
      <w:r w:rsidR="00640A8C" w:rsidRPr="00994FF3">
        <w:rPr>
          <w:rFonts w:ascii="Times New Roman" w:eastAsia="Calibri" w:hAnsi="Times New Roman" w:cs="Times New Roman"/>
          <w:color w:val="000000" w:themeColor="text1"/>
          <w:sz w:val="24"/>
          <w:szCs w:val="24"/>
        </w:rPr>
        <w:t xml:space="preserve"> </w:t>
      </w:r>
    </w:p>
    <w:p w14:paraId="6A1CC8F0" w14:textId="357260BC" w:rsidR="000B4B40" w:rsidRPr="00994FF3" w:rsidRDefault="000B4B40" w:rsidP="000B4B40">
      <w:pPr>
        <w:pStyle w:val="BodyA"/>
        <w:jc w:val="both"/>
        <w:rPr>
          <w:rFonts w:ascii="Times New Roman" w:eastAsia="Calibri" w:hAnsi="Times New Roman" w:cs="Times New Roman"/>
          <w:color w:val="000000" w:themeColor="text1"/>
          <w:sz w:val="24"/>
          <w:szCs w:val="24"/>
          <w:highlight w:val="lightGray"/>
        </w:rPr>
      </w:pPr>
    </w:p>
    <w:p w14:paraId="0BB43DEF" w14:textId="3861292E" w:rsidR="000B4B40" w:rsidRPr="00994FF3" w:rsidRDefault="00640A8C" w:rsidP="000B4B40">
      <w:pPr>
        <w:pStyle w:val="BodyA"/>
        <w:jc w:val="both"/>
        <w:rPr>
          <w:rFonts w:ascii="Times New Roman" w:eastAsia="Calibri" w:hAnsi="Times New Roman" w:cs="Times New Roman"/>
          <w:color w:val="000000" w:themeColor="text1"/>
          <w:sz w:val="24"/>
          <w:szCs w:val="24"/>
        </w:rPr>
      </w:pPr>
      <w:r w:rsidRPr="00994FF3">
        <w:rPr>
          <w:rFonts w:ascii="Times New Roman" w:eastAsia="Calibri" w:hAnsi="Times New Roman" w:cs="Times New Roman"/>
          <w:color w:val="000000" w:themeColor="text1"/>
          <w:sz w:val="24"/>
          <w:szCs w:val="24"/>
        </w:rPr>
        <w:t>Hence</w:t>
      </w:r>
      <w:r w:rsidR="000B4B40" w:rsidRPr="00994FF3">
        <w:rPr>
          <w:rFonts w:ascii="Times New Roman" w:eastAsia="Calibri" w:hAnsi="Times New Roman" w:cs="Times New Roman"/>
          <w:color w:val="000000" w:themeColor="text1"/>
          <w:sz w:val="24"/>
          <w:szCs w:val="24"/>
        </w:rPr>
        <w:t>,</w:t>
      </w:r>
      <w:r w:rsidRPr="00994FF3">
        <w:rPr>
          <w:rFonts w:ascii="Times New Roman" w:eastAsia="Calibri" w:hAnsi="Times New Roman" w:cs="Times New Roman"/>
          <w:color w:val="000000" w:themeColor="text1"/>
          <w:sz w:val="24"/>
          <w:szCs w:val="24"/>
        </w:rPr>
        <w:t xml:space="preserve"> there are three</w:t>
      </w:r>
      <w:r w:rsidR="000B4B40" w:rsidRPr="00994FF3">
        <w:rPr>
          <w:rFonts w:ascii="Times New Roman" w:eastAsia="Calibri" w:hAnsi="Times New Roman" w:cs="Times New Roman"/>
          <w:color w:val="000000" w:themeColor="text1"/>
          <w:sz w:val="24"/>
          <w:szCs w:val="24"/>
        </w:rPr>
        <w:t xml:space="preserve"> problems with the new focus on mechanical ch</w:t>
      </w:r>
      <w:r w:rsidR="00E15B18" w:rsidRPr="00994FF3">
        <w:rPr>
          <w:rFonts w:ascii="Times New Roman" w:eastAsia="Calibri" w:hAnsi="Times New Roman" w:cs="Times New Roman"/>
          <w:color w:val="000000" w:themeColor="text1"/>
          <w:sz w:val="24"/>
          <w:szCs w:val="24"/>
        </w:rPr>
        <w:t>ange</w:t>
      </w:r>
      <w:r w:rsidR="00955FC0" w:rsidRPr="00994FF3">
        <w:rPr>
          <w:rFonts w:ascii="Times New Roman" w:eastAsia="Calibri" w:hAnsi="Times New Roman" w:cs="Times New Roman"/>
          <w:color w:val="000000" w:themeColor="text1"/>
          <w:sz w:val="24"/>
          <w:szCs w:val="24"/>
        </w:rPr>
        <w:t xml:space="preserve"> within liberalisation</w:t>
      </w:r>
      <w:r w:rsidR="00E15B18" w:rsidRPr="00994FF3">
        <w:rPr>
          <w:rFonts w:ascii="Times New Roman" w:eastAsia="Calibri" w:hAnsi="Times New Roman" w:cs="Times New Roman"/>
          <w:color w:val="000000" w:themeColor="text1"/>
          <w:sz w:val="24"/>
          <w:szCs w:val="24"/>
        </w:rPr>
        <w:t>, especially when focusin</w:t>
      </w:r>
      <w:r w:rsidR="000B4B40" w:rsidRPr="00994FF3">
        <w:rPr>
          <w:rFonts w:ascii="Times New Roman" w:eastAsia="Calibri" w:hAnsi="Times New Roman" w:cs="Times New Roman"/>
          <w:color w:val="000000" w:themeColor="text1"/>
          <w:sz w:val="24"/>
          <w:szCs w:val="24"/>
        </w:rPr>
        <w:t xml:space="preserve">g </w:t>
      </w:r>
      <w:r w:rsidR="00E15B18" w:rsidRPr="00994FF3">
        <w:rPr>
          <w:rFonts w:ascii="Times New Roman" w:eastAsia="Calibri" w:hAnsi="Times New Roman" w:cs="Times New Roman"/>
          <w:color w:val="000000" w:themeColor="text1"/>
          <w:sz w:val="24"/>
          <w:szCs w:val="24"/>
        </w:rPr>
        <w:t>o</w:t>
      </w:r>
      <w:r w:rsidR="000B4B40" w:rsidRPr="00994FF3">
        <w:rPr>
          <w:rFonts w:ascii="Times New Roman" w:eastAsia="Calibri" w:hAnsi="Times New Roman" w:cs="Times New Roman"/>
          <w:color w:val="000000" w:themeColor="text1"/>
          <w:sz w:val="24"/>
          <w:szCs w:val="24"/>
        </w:rPr>
        <w:t>n discrete</w:t>
      </w:r>
      <w:r w:rsidR="00955FC0" w:rsidRPr="00994FF3">
        <w:rPr>
          <w:rFonts w:ascii="Times New Roman" w:eastAsia="Calibri" w:hAnsi="Times New Roman" w:cs="Times New Roman"/>
          <w:color w:val="000000" w:themeColor="text1"/>
          <w:sz w:val="24"/>
          <w:szCs w:val="24"/>
        </w:rPr>
        <w:t xml:space="preserve"> sectors or industrial actors.</w:t>
      </w:r>
    </w:p>
    <w:p w14:paraId="7AFB44A5" w14:textId="77A49BC0" w:rsidR="005F728F" w:rsidRPr="00994FF3" w:rsidRDefault="005F728F" w:rsidP="005F728F">
      <w:pPr>
        <w:pStyle w:val="BodyA"/>
        <w:jc w:val="both"/>
        <w:rPr>
          <w:rFonts w:ascii="Times New Roman" w:eastAsia="Calibri" w:hAnsi="Times New Roman" w:cs="Times New Roman"/>
          <w:color w:val="000000" w:themeColor="text1"/>
          <w:sz w:val="24"/>
          <w:szCs w:val="24"/>
        </w:rPr>
      </w:pPr>
    </w:p>
    <w:p w14:paraId="681AEBAA" w14:textId="525911A9" w:rsidR="00A516E2" w:rsidRPr="00994FF3" w:rsidRDefault="00955FC0" w:rsidP="005F728F">
      <w:pPr>
        <w:pStyle w:val="BodyA"/>
        <w:jc w:val="both"/>
        <w:rPr>
          <w:rFonts w:ascii="Times New Roman" w:eastAsia="Calibri" w:hAnsi="Times New Roman" w:cs="Times New Roman"/>
          <w:color w:val="000000" w:themeColor="text1"/>
          <w:sz w:val="24"/>
          <w:szCs w:val="24"/>
        </w:rPr>
      </w:pPr>
      <w:r w:rsidRPr="00994FF3">
        <w:rPr>
          <w:rFonts w:ascii="Times New Roman" w:eastAsia="Calibri" w:hAnsi="Times New Roman" w:cs="Times New Roman"/>
          <w:color w:val="000000" w:themeColor="text1"/>
          <w:sz w:val="24"/>
          <w:szCs w:val="24"/>
        </w:rPr>
        <w:t>First, t</w:t>
      </w:r>
      <w:r w:rsidR="005F728F" w:rsidRPr="00994FF3">
        <w:rPr>
          <w:rFonts w:ascii="Times New Roman" w:eastAsia="Calibri" w:hAnsi="Times New Roman" w:cs="Times New Roman"/>
          <w:color w:val="000000" w:themeColor="text1"/>
          <w:sz w:val="24"/>
          <w:szCs w:val="24"/>
        </w:rPr>
        <w:t>he above quote suggests old public institutions are replaced with new private ones – e.g. liberalization in this sense ‘works’.</w:t>
      </w:r>
      <w:r w:rsidR="0066400C" w:rsidRPr="00994FF3">
        <w:rPr>
          <w:rFonts w:ascii="Times New Roman" w:eastAsia="Calibri" w:hAnsi="Times New Roman" w:cs="Times New Roman"/>
          <w:color w:val="000000" w:themeColor="text1"/>
          <w:sz w:val="24"/>
          <w:szCs w:val="24"/>
        </w:rPr>
        <w:t xml:space="preserve"> </w:t>
      </w:r>
      <w:r w:rsidRPr="00994FF3">
        <w:rPr>
          <w:rFonts w:ascii="Times New Roman" w:eastAsia="Calibri" w:hAnsi="Times New Roman" w:cs="Times New Roman"/>
          <w:color w:val="000000" w:themeColor="text1"/>
          <w:sz w:val="24"/>
          <w:szCs w:val="24"/>
        </w:rPr>
        <w:t>However</w:t>
      </w:r>
      <w:r w:rsidR="005F728F" w:rsidRPr="00994FF3">
        <w:rPr>
          <w:rFonts w:ascii="Times New Roman" w:eastAsia="Calibri" w:hAnsi="Times New Roman" w:cs="Times New Roman"/>
          <w:color w:val="000000" w:themeColor="text1"/>
          <w:sz w:val="24"/>
          <w:szCs w:val="24"/>
        </w:rPr>
        <w:t>, there is a quite a lot of evidence that loss of income security coverage is not being replaced by new forms</w:t>
      </w:r>
      <w:r w:rsidR="00400E2F" w:rsidRPr="00994FF3">
        <w:rPr>
          <w:rFonts w:ascii="Times New Roman" w:eastAsia="Calibri" w:hAnsi="Times New Roman" w:cs="Times New Roman"/>
          <w:color w:val="000000" w:themeColor="text1"/>
          <w:sz w:val="24"/>
          <w:szCs w:val="24"/>
        </w:rPr>
        <w:t xml:space="preserve"> (International Red Cross 2013)</w:t>
      </w:r>
      <w:r w:rsidR="00470334" w:rsidRPr="00994FF3">
        <w:rPr>
          <w:rFonts w:ascii="Times New Roman" w:eastAsia="Calibri" w:hAnsi="Times New Roman" w:cs="Times New Roman"/>
          <w:color w:val="000000" w:themeColor="text1"/>
          <w:sz w:val="24"/>
          <w:szCs w:val="24"/>
        </w:rPr>
        <w:t>.</w:t>
      </w:r>
      <w:r w:rsidRPr="00994FF3">
        <w:rPr>
          <w:rFonts w:ascii="Times New Roman" w:eastAsia="Calibri" w:hAnsi="Times New Roman" w:cs="Times New Roman"/>
          <w:color w:val="000000" w:themeColor="text1"/>
          <w:sz w:val="24"/>
          <w:szCs w:val="24"/>
        </w:rPr>
        <w:t xml:space="preserve"> It is not necessarily</w:t>
      </w:r>
      <w:r w:rsidR="005F728F" w:rsidRPr="00994FF3">
        <w:rPr>
          <w:rFonts w:ascii="Times New Roman" w:eastAsia="Calibri" w:hAnsi="Times New Roman" w:cs="Times New Roman"/>
          <w:color w:val="000000" w:themeColor="text1"/>
          <w:sz w:val="24"/>
          <w:szCs w:val="24"/>
        </w:rPr>
        <w:t xml:space="preserve"> the case that individuals can turn to private insurance companies for income support.</w:t>
      </w:r>
      <w:r w:rsidR="00EF4FA3" w:rsidRPr="00994FF3">
        <w:rPr>
          <w:rFonts w:ascii="Times New Roman" w:eastAsia="Calibri" w:hAnsi="Times New Roman" w:cs="Times New Roman"/>
          <w:color w:val="000000" w:themeColor="text1"/>
          <w:sz w:val="24"/>
          <w:szCs w:val="24"/>
        </w:rPr>
        <w:t xml:space="preserve"> Consumer debt has continued to rise (IMF 2017b)</w:t>
      </w:r>
      <w:r w:rsidR="00E707A1" w:rsidRPr="00994FF3">
        <w:rPr>
          <w:rFonts w:ascii="Times New Roman" w:eastAsia="Calibri" w:hAnsi="Times New Roman" w:cs="Times New Roman"/>
          <w:color w:val="000000" w:themeColor="text1"/>
          <w:sz w:val="24"/>
          <w:szCs w:val="24"/>
        </w:rPr>
        <w:t>, whilst real wages have fallen, at the lower and across the distribution (Blanchflower and Machin, 2014).</w:t>
      </w:r>
      <w:r w:rsidR="005F728F" w:rsidRPr="00994FF3">
        <w:rPr>
          <w:rFonts w:ascii="Times New Roman" w:eastAsia="Calibri" w:hAnsi="Times New Roman" w:cs="Times New Roman"/>
          <w:color w:val="000000" w:themeColor="text1"/>
          <w:sz w:val="24"/>
          <w:szCs w:val="24"/>
        </w:rPr>
        <w:t xml:space="preserve"> Public reform does not necessarily fill the gap either, or not in the same way or degree</w:t>
      </w:r>
      <w:r w:rsidR="00400E2F" w:rsidRPr="00994FF3">
        <w:rPr>
          <w:rFonts w:ascii="Times New Roman" w:eastAsia="Calibri" w:hAnsi="Times New Roman" w:cs="Times New Roman"/>
          <w:color w:val="000000" w:themeColor="text1"/>
          <w:sz w:val="24"/>
          <w:szCs w:val="24"/>
        </w:rPr>
        <w:t xml:space="preserve"> (Stovicek 2012)</w:t>
      </w:r>
      <w:r w:rsidR="005F728F" w:rsidRPr="00994FF3">
        <w:rPr>
          <w:rFonts w:ascii="Times New Roman" w:eastAsia="Calibri" w:hAnsi="Times New Roman" w:cs="Times New Roman"/>
          <w:color w:val="000000" w:themeColor="text1"/>
          <w:sz w:val="24"/>
          <w:szCs w:val="24"/>
        </w:rPr>
        <w:t xml:space="preserve">. </w:t>
      </w:r>
    </w:p>
    <w:p w14:paraId="4A1FB1B1" w14:textId="77777777" w:rsidR="00955FC0" w:rsidRPr="00994FF3" w:rsidRDefault="00955FC0" w:rsidP="00955FC0">
      <w:pPr>
        <w:pStyle w:val="BodyA"/>
        <w:jc w:val="both"/>
        <w:rPr>
          <w:rFonts w:ascii="Times New Roman" w:eastAsia="Calibri" w:hAnsi="Times New Roman" w:cs="Times New Roman"/>
          <w:color w:val="000000" w:themeColor="text1"/>
          <w:sz w:val="24"/>
          <w:szCs w:val="24"/>
        </w:rPr>
      </w:pPr>
    </w:p>
    <w:p w14:paraId="56D31902" w14:textId="03F73BF3" w:rsidR="003515AE" w:rsidRPr="00994FF3" w:rsidRDefault="00955FC0" w:rsidP="00BC17F9">
      <w:pPr>
        <w:pStyle w:val="BodyA"/>
        <w:jc w:val="both"/>
        <w:rPr>
          <w:rFonts w:ascii="Times New Roman" w:eastAsia="Calibri" w:hAnsi="Times New Roman" w:cs="Times New Roman"/>
          <w:color w:val="000000" w:themeColor="text1"/>
          <w:sz w:val="24"/>
          <w:szCs w:val="24"/>
        </w:rPr>
      </w:pPr>
      <w:r w:rsidRPr="00994FF3">
        <w:rPr>
          <w:rFonts w:ascii="Times New Roman" w:eastAsia="Calibri" w:hAnsi="Times New Roman" w:cs="Times New Roman"/>
          <w:color w:val="000000" w:themeColor="text1"/>
          <w:sz w:val="24"/>
          <w:szCs w:val="24"/>
        </w:rPr>
        <w:t>In this context, second, what needs to be clarified is that liberalization is not just a process which affects particular institutions in a dynamic way. It also affects governance itself. Inability to respond to rising need is a form of exhaustion of governance capacity.</w:t>
      </w:r>
      <w:r w:rsidR="00BC17F9" w:rsidRPr="00994FF3">
        <w:rPr>
          <w:rFonts w:ascii="Times New Roman" w:eastAsia="Calibri" w:hAnsi="Times New Roman" w:cs="Times New Roman"/>
          <w:color w:val="000000" w:themeColor="text1"/>
          <w:sz w:val="24"/>
          <w:szCs w:val="24"/>
        </w:rPr>
        <w:t xml:space="preserve"> </w:t>
      </w:r>
      <w:r w:rsidR="003515AE" w:rsidRPr="00994FF3">
        <w:rPr>
          <w:rFonts w:ascii="Times New Roman" w:eastAsia="Calibri" w:hAnsi="Times New Roman" w:cs="Times New Roman"/>
          <w:color w:val="000000" w:themeColor="text1"/>
          <w:sz w:val="24"/>
          <w:szCs w:val="24"/>
        </w:rPr>
        <w:t>S</w:t>
      </w:r>
      <w:r w:rsidR="00BC17F9" w:rsidRPr="00994FF3">
        <w:rPr>
          <w:rFonts w:ascii="Times New Roman" w:eastAsia="Calibri" w:hAnsi="Times New Roman" w:cs="Times New Roman"/>
          <w:color w:val="000000" w:themeColor="text1"/>
          <w:sz w:val="24"/>
          <w:szCs w:val="24"/>
        </w:rPr>
        <w:t>treeck</w:t>
      </w:r>
      <w:r w:rsidR="003515AE" w:rsidRPr="00994FF3">
        <w:rPr>
          <w:rFonts w:ascii="Times New Roman" w:eastAsia="Calibri" w:hAnsi="Times New Roman" w:cs="Times New Roman"/>
          <w:color w:val="000000" w:themeColor="text1"/>
          <w:sz w:val="24"/>
          <w:szCs w:val="24"/>
        </w:rPr>
        <w:t xml:space="preserve"> and T</w:t>
      </w:r>
      <w:r w:rsidR="00BC17F9" w:rsidRPr="00994FF3">
        <w:rPr>
          <w:rFonts w:ascii="Times New Roman" w:eastAsia="Calibri" w:hAnsi="Times New Roman" w:cs="Times New Roman"/>
          <w:color w:val="000000" w:themeColor="text1"/>
          <w:sz w:val="24"/>
          <w:szCs w:val="24"/>
        </w:rPr>
        <w:t>helen (2005)</w:t>
      </w:r>
      <w:r w:rsidR="003515AE" w:rsidRPr="00994FF3">
        <w:rPr>
          <w:rFonts w:ascii="Times New Roman" w:eastAsia="Calibri" w:hAnsi="Times New Roman" w:cs="Times New Roman"/>
          <w:color w:val="000000" w:themeColor="text1"/>
          <w:sz w:val="24"/>
          <w:szCs w:val="24"/>
        </w:rPr>
        <w:t xml:space="preserve"> describe exhaustion </w:t>
      </w:r>
      <w:r w:rsidR="008601A4" w:rsidRPr="00994FF3">
        <w:rPr>
          <w:rFonts w:ascii="Times New Roman" w:eastAsia="Calibri" w:hAnsi="Times New Roman" w:cs="Times New Roman"/>
          <w:color w:val="000000" w:themeColor="text1"/>
          <w:sz w:val="24"/>
          <w:szCs w:val="24"/>
        </w:rPr>
        <w:t xml:space="preserve">of an institution </w:t>
      </w:r>
      <w:r w:rsidR="003515AE" w:rsidRPr="00994FF3">
        <w:rPr>
          <w:rFonts w:ascii="Times New Roman" w:eastAsia="Calibri" w:hAnsi="Times New Roman" w:cs="Times New Roman"/>
          <w:color w:val="000000" w:themeColor="text1"/>
          <w:sz w:val="24"/>
          <w:szCs w:val="24"/>
        </w:rPr>
        <w:t>as, “the normal working of an institution undermine</w:t>
      </w:r>
      <w:r w:rsidR="00470334" w:rsidRPr="00994FF3">
        <w:rPr>
          <w:rFonts w:ascii="Times New Roman" w:eastAsia="Calibri" w:hAnsi="Times New Roman" w:cs="Times New Roman"/>
          <w:color w:val="000000" w:themeColor="text1"/>
          <w:sz w:val="24"/>
          <w:szCs w:val="24"/>
        </w:rPr>
        <w:t>s its external preconditions”. I argue a</w:t>
      </w:r>
      <w:r w:rsidR="003515AE" w:rsidRPr="00994FF3">
        <w:rPr>
          <w:rFonts w:ascii="Times New Roman" w:eastAsia="Calibri" w:hAnsi="Times New Roman" w:cs="Times New Roman"/>
          <w:color w:val="000000" w:themeColor="text1"/>
          <w:sz w:val="24"/>
          <w:szCs w:val="24"/>
        </w:rPr>
        <w:t>t the level of governance</w:t>
      </w:r>
      <w:r w:rsidR="00470334" w:rsidRPr="00994FF3">
        <w:rPr>
          <w:rFonts w:ascii="Times New Roman" w:eastAsia="Calibri" w:hAnsi="Times New Roman" w:cs="Times New Roman"/>
          <w:color w:val="000000" w:themeColor="text1"/>
          <w:sz w:val="24"/>
          <w:szCs w:val="24"/>
        </w:rPr>
        <w:t xml:space="preserve">. the normal working of the </w:t>
      </w:r>
      <w:r w:rsidR="003515AE" w:rsidRPr="00994FF3">
        <w:rPr>
          <w:rFonts w:ascii="Times New Roman" w:eastAsia="Calibri" w:hAnsi="Times New Roman" w:cs="Times New Roman"/>
          <w:color w:val="000000" w:themeColor="text1"/>
          <w:sz w:val="24"/>
          <w:szCs w:val="24"/>
        </w:rPr>
        <w:t xml:space="preserve">system undermines its internal </w:t>
      </w:r>
      <w:r w:rsidR="00B12335" w:rsidRPr="00994FF3">
        <w:rPr>
          <w:rFonts w:ascii="Times New Roman" w:eastAsia="Calibri" w:hAnsi="Times New Roman" w:cs="Times New Roman"/>
          <w:color w:val="000000" w:themeColor="text1"/>
          <w:sz w:val="24"/>
          <w:szCs w:val="24"/>
        </w:rPr>
        <w:t>preconditions</w:t>
      </w:r>
      <w:r w:rsidR="005161DB" w:rsidRPr="00994FF3">
        <w:rPr>
          <w:rFonts w:ascii="Times New Roman" w:eastAsia="Calibri" w:hAnsi="Times New Roman" w:cs="Times New Roman"/>
          <w:color w:val="000000" w:themeColor="text1"/>
          <w:sz w:val="24"/>
          <w:szCs w:val="24"/>
        </w:rPr>
        <w:t>.</w:t>
      </w:r>
      <w:r w:rsidRPr="00994FF3">
        <w:rPr>
          <w:rFonts w:ascii="Times New Roman" w:eastAsia="Calibri" w:hAnsi="Times New Roman" w:cs="Times New Roman"/>
          <w:color w:val="000000" w:themeColor="text1"/>
          <w:sz w:val="24"/>
          <w:szCs w:val="24"/>
        </w:rPr>
        <w:t xml:space="preserve"> The resulting mode of governing is thus self-destructive. This is similar to what S and T refer to as self-consumption to describe institutions that decay, except at stake is not just an individua institution but civilization itself – the frame that makes individual institutions possible.</w:t>
      </w:r>
    </w:p>
    <w:p w14:paraId="2AEE5FBF" w14:textId="77777777" w:rsidR="00B12335" w:rsidRPr="00994FF3" w:rsidRDefault="00B12335" w:rsidP="008601A4">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Calibri" w:hAnsi="Times New Roman" w:cs="Times New Roman"/>
          <w:color w:val="000000" w:themeColor="text1"/>
          <w:sz w:val="24"/>
          <w:szCs w:val="24"/>
        </w:rPr>
      </w:pPr>
    </w:p>
    <w:p w14:paraId="4DE56DA7" w14:textId="529DB574" w:rsidR="00BC17F9" w:rsidRPr="00CA1391" w:rsidRDefault="0066400C" w:rsidP="00BC17F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Calibri" w:hAnsi="Times New Roman" w:cs="Times New Roman"/>
          <w:i/>
          <w:color w:val="000000" w:themeColor="text1"/>
          <w:sz w:val="24"/>
          <w:szCs w:val="24"/>
        </w:rPr>
      </w:pPr>
      <w:r w:rsidRPr="00994FF3">
        <w:rPr>
          <w:rFonts w:ascii="Times New Roman" w:eastAsia="Calibri" w:hAnsi="Times New Roman" w:cs="Times New Roman"/>
          <w:color w:val="000000" w:themeColor="text1"/>
          <w:sz w:val="24"/>
          <w:szCs w:val="24"/>
        </w:rPr>
        <w:t>Hence, third,</w:t>
      </w:r>
      <w:r w:rsidR="00745833" w:rsidRPr="00994FF3">
        <w:rPr>
          <w:rFonts w:ascii="Times New Roman" w:eastAsia="Calibri" w:hAnsi="Times New Roman" w:cs="Times New Roman"/>
          <w:color w:val="000000" w:themeColor="text1"/>
          <w:sz w:val="24"/>
          <w:szCs w:val="24"/>
        </w:rPr>
        <w:t xml:space="preserve"> </w:t>
      </w:r>
      <w:r w:rsidRPr="00994FF3">
        <w:rPr>
          <w:rFonts w:ascii="Times New Roman" w:eastAsia="Calibri" w:hAnsi="Times New Roman" w:cs="Times New Roman"/>
          <w:color w:val="000000" w:themeColor="text1"/>
          <w:sz w:val="24"/>
          <w:szCs w:val="24"/>
        </w:rPr>
        <w:t xml:space="preserve">it is important to underscore how the degree of liberalization </w:t>
      </w:r>
      <w:r w:rsidR="00B12335" w:rsidRPr="00994FF3">
        <w:rPr>
          <w:rFonts w:ascii="Times New Roman" w:eastAsia="Calibri" w:hAnsi="Times New Roman" w:cs="Times New Roman"/>
          <w:color w:val="000000" w:themeColor="text1"/>
          <w:sz w:val="24"/>
          <w:szCs w:val="24"/>
        </w:rPr>
        <w:t xml:space="preserve">– and the way it is contained - </w:t>
      </w:r>
      <w:r w:rsidR="00745833" w:rsidRPr="00994FF3">
        <w:rPr>
          <w:rFonts w:ascii="Times New Roman" w:eastAsia="Calibri" w:hAnsi="Times New Roman" w:cs="Times New Roman"/>
          <w:color w:val="000000" w:themeColor="text1"/>
          <w:sz w:val="24"/>
          <w:szCs w:val="24"/>
        </w:rPr>
        <w:t>intercedes in change dynamics.</w:t>
      </w:r>
      <w:r w:rsidR="00470334" w:rsidRPr="00994FF3">
        <w:rPr>
          <w:rFonts w:ascii="Times New Roman" w:eastAsia="Calibri" w:hAnsi="Times New Roman" w:cs="Times New Roman"/>
          <w:color w:val="000000" w:themeColor="text1"/>
          <w:sz w:val="24"/>
          <w:szCs w:val="24"/>
        </w:rPr>
        <w:t xml:space="preserve"> A</w:t>
      </w:r>
      <w:r w:rsidR="008601A4" w:rsidRPr="00994FF3">
        <w:rPr>
          <w:rFonts w:ascii="Times New Roman" w:eastAsia="Calibri" w:hAnsi="Times New Roman" w:cs="Times New Roman"/>
          <w:color w:val="000000" w:themeColor="text1"/>
          <w:sz w:val="24"/>
          <w:szCs w:val="24"/>
        </w:rPr>
        <w:t xml:space="preserve"> way to identify when change under general conditions of liberalization extend the  process or contest it, is</w:t>
      </w:r>
      <w:r w:rsidR="008601A4" w:rsidRPr="00CA1391">
        <w:rPr>
          <w:rFonts w:ascii="Times New Roman" w:eastAsia="Calibri" w:hAnsi="Times New Roman" w:cs="Times New Roman"/>
          <w:color w:val="000000" w:themeColor="text1"/>
          <w:sz w:val="24"/>
          <w:szCs w:val="24"/>
        </w:rPr>
        <w:t xml:space="preserve"> needed, and the role of underlying </w:t>
      </w:r>
      <w:r w:rsidR="008601A4" w:rsidRPr="00CA1391">
        <w:rPr>
          <w:rFonts w:ascii="Times New Roman" w:eastAsia="Calibri" w:hAnsi="Times New Roman" w:cs="Times New Roman"/>
          <w:color w:val="000000" w:themeColor="text1"/>
          <w:sz w:val="24"/>
          <w:szCs w:val="24"/>
        </w:rPr>
        <w:lastRenderedPageBreak/>
        <w:t xml:space="preserve">factors in the difference. </w:t>
      </w:r>
      <w:r w:rsidR="008601A4" w:rsidRPr="00CA1391">
        <w:rPr>
          <w:rFonts w:ascii="Times New Roman" w:hAnsi="Times New Roman" w:cs="Times New Roman"/>
          <w:color w:val="000000" w:themeColor="text1"/>
          <w:sz w:val="24"/>
          <w:szCs w:val="24"/>
        </w:rPr>
        <w:t xml:space="preserve">Streeck and Thelen </w:t>
      </w:r>
      <w:r w:rsidR="00BC17F9" w:rsidRPr="00CA1391">
        <w:rPr>
          <w:rFonts w:ascii="Times New Roman" w:hAnsi="Times New Roman" w:cs="Times New Roman"/>
          <w:color w:val="000000" w:themeColor="text1"/>
          <w:sz w:val="24"/>
          <w:szCs w:val="24"/>
        </w:rPr>
        <w:t xml:space="preserve">(2005) </w:t>
      </w:r>
      <w:r w:rsidR="008601A4" w:rsidRPr="00CA1391">
        <w:rPr>
          <w:rFonts w:ascii="Times New Roman" w:hAnsi="Times New Roman" w:cs="Times New Roman"/>
          <w:color w:val="000000" w:themeColor="text1"/>
          <w:sz w:val="24"/>
          <w:szCs w:val="24"/>
        </w:rPr>
        <w:t>identify 5 modes of gradual change – displacement, layering, drift, conversion and exhaustion of institutions and their function. They also tentatively link all of them with liberalisation processes.</w:t>
      </w:r>
      <w:r w:rsidR="00470334" w:rsidRPr="00CA1391">
        <w:rPr>
          <w:rFonts w:ascii="Times New Roman" w:hAnsi="Times New Roman" w:cs="Times New Roman"/>
          <w:color w:val="000000" w:themeColor="text1"/>
          <w:sz w:val="24"/>
          <w:szCs w:val="24"/>
        </w:rPr>
        <w:t xml:space="preserve"> However, </w:t>
      </w:r>
      <w:r w:rsidR="008601A4" w:rsidRPr="00CA1391">
        <w:rPr>
          <w:rFonts w:ascii="Times New Roman" w:hAnsi="Times New Roman" w:cs="Times New Roman"/>
          <w:color w:val="000000" w:themeColor="text1"/>
          <w:sz w:val="24"/>
          <w:szCs w:val="24"/>
        </w:rPr>
        <w:t>the 5-factorial frame is not very good at identifying forms and resources o</w:t>
      </w:r>
      <w:r w:rsidR="00BC17F9" w:rsidRPr="00CA1391">
        <w:rPr>
          <w:rFonts w:ascii="Times New Roman" w:hAnsi="Times New Roman" w:cs="Times New Roman"/>
          <w:color w:val="000000" w:themeColor="text1"/>
          <w:sz w:val="24"/>
          <w:szCs w:val="24"/>
        </w:rPr>
        <w:t xml:space="preserve">f resistance to liberalization </w:t>
      </w:r>
      <w:r w:rsidR="008601A4" w:rsidRPr="00CA1391">
        <w:rPr>
          <w:rFonts w:ascii="Times New Roman" w:hAnsi="Times New Roman" w:cs="Times New Roman"/>
          <w:color w:val="000000" w:themeColor="text1"/>
          <w:sz w:val="24"/>
          <w:szCs w:val="24"/>
        </w:rPr>
        <w:t>or where different levels and effects of liberalization sit in</w:t>
      </w:r>
      <w:r w:rsidR="00BC17F9" w:rsidRPr="00CA1391">
        <w:rPr>
          <w:rFonts w:ascii="Times New Roman" w:hAnsi="Times New Roman" w:cs="Times New Roman"/>
          <w:color w:val="000000" w:themeColor="text1"/>
          <w:sz w:val="24"/>
          <w:szCs w:val="24"/>
        </w:rPr>
        <w:t xml:space="preserve"> a sequence of change.</w:t>
      </w:r>
      <w:r w:rsidR="00BC17F9" w:rsidRPr="00CA1391">
        <w:rPr>
          <w:rFonts w:ascii="Times New Roman" w:eastAsia="Calibri" w:hAnsi="Times New Roman" w:cs="Times New Roman"/>
          <w:i/>
          <w:color w:val="000000" w:themeColor="text1"/>
          <w:sz w:val="24"/>
          <w:szCs w:val="24"/>
        </w:rPr>
        <w:t xml:space="preserve"> </w:t>
      </w:r>
    </w:p>
    <w:p w14:paraId="541B5E35" w14:textId="77777777" w:rsidR="00BC17F9" w:rsidRPr="00CA1391" w:rsidRDefault="00BC17F9" w:rsidP="00BC17F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Calibri" w:hAnsi="Times New Roman" w:cs="Times New Roman"/>
          <w:i/>
          <w:color w:val="000000" w:themeColor="text1"/>
          <w:sz w:val="24"/>
          <w:szCs w:val="24"/>
        </w:rPr>
      </w:pPr>
    </w:p>
    <w:p w14:paraId="398C9EA1" w14:textId="6DF195DC" w:rsidR="008601A4" w:rsidRPr="00CA1391" w:rsidRDefault="008601A4" w:rsidP="00BC17F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Calibri" w:hAnsi="Times New Roman" w:cs="Times New Roman"/>
          <w:i/>
          <w:color w:val="000000" w:themeColor="text1"/>
          <w:sz w:val="24"/>
          <w:szCs w:val="24"/>
        </w:rPr>
      </w:pPr>
      <w:r w:rsidRPr="00CA1391">
        <w:rPr>
          <w:rFonts w:ascii="Times New Roman" w:hAnsi="Times New Roman" w:cs="Times New Roman"/>
          <w:color w:val="000000" w:themeColor="text1"/>
          <w:sz w:val="24"/>
          <w:szCs w:val="24"/>
        </w:rPr>
        <w:t>If we take liberalisation as a form of breakdown in public capacity and governance</w:t>
      </w:r>
      <w:r w:rsidR="00BC17F9" w:rsidRPr="00CA1391">
        <w:rPr>
          <w:rFonts w:ascii="Times New Roman" w:hAnsi="Times New Roman" w:cs="Times New Roman"/>
          <w:color w:val="000000" w:themeColor="text1"/>
          <w:sz w:val="24"/>
          <w:szCs w:val="24"/>
        </w:rPr>
        <w:t>, the sequence runs from drift</w:t>
      </w:r>
      <w:r w:rsidRPr="00CA1391">
        <w:rPr>
          <w:rFonts w:ascii="Times New Roman" w:hAnsi="Times New Roman" w:cs="Times New Roman"/>
          <w:color w:val="000000" w:themeColor="text1"/>
          <w:sz w:val="24"/>
          <w:szCs w:val="24"/>
        </w:rPr>
        <w:t xml:space="preserve"> (‘deliberate neglect’) through </w:t>
      </w:r>
      <w:r w:rsidR="00BC17F9" w:rsidRPr="00CA1391">
        <w:rPr>
          <w:rFonts w:ascii="Times New Roman" w:hAnsi="Times New Roman" w:cs="Times New Roman"/>
          <w:color w:val="000000" w:themeColor="text1"/>
          <w:sz w:val="24"/>
          <w:szCs w:val="24"/>
        </w:rPr>
        <w:t>lax regulation (marketization)</w:t>
      </w:r>
      <w:r w:rsidRPr="00CA1391">
        <w:rPr>
          <w:rFonts w:ascii="Times New Roman" w:hAnsi="Times New Roman" w:cs="Times New Roman"/>
          <w:color w:val="000000" w:themeColor="text1"/>
          <w:sz w:val="24"/>
          <w:szCs w:val="24"/>
        </w:rPr>
        <w:t xml:space="preserve">, followed by displacement (‘institutional incoherence’) and (through austerity) finally exhaustion (over time overall depletion of capacity). </w:t>
      </w:r>
      <w:r w:rsidR="00BC17F9" w:rsidRPr="00CA1391">
        <w:rPr>
          <w:rFonts w:ascii="Times New Roman" w:eastAsia="Calibri" w:hAnsi="Times New Roman" w:cs="Times New Roman"/>
          <w:i/>
          <w:color w:val="000000" w:themeColor="text1"/>
          <w:sz w:val="24"/>
          <w:szCs w:val="24"/>
        </w:rPr>
        <w:t xml:space="preserve"> </w:t>
      </w:r>
      <w:r w:rsidRPr="00CA1391">
        <w:rPr>
          <w:rFonts w:ascii="Times New Roman" w:hAnsi="Times New Roman" w:cs="Times New Roman"/>
          <w:color w:val="000000" w:themeColor="text1"/>
          <w:sz w:val="24"/>
          <w:szCs w:val="24"/>
        </w:rPr>
        <w:t>However, crucially, the extent to which this is happening at the level of individual institutions is affected by the extent to which it is happening at the level of governance. This in turn creates obvious sources of variance across cases.</w:t>
      </w:r>
    </w:p>
    <w:p w14:paraId="2DCA6852" w14:textId="6E5C8C10" w:rsidR="00334282" w:rsidRPr="00CA1391" w:rsidRDefault="00334282" w:rsidP="008601A4">
      <w:pPr>
        <w:pStyle w:val="BodyA"/>
        <w:jc w:val="both"/>
        <w:rPr>
          <w:rFonts w:ascii="Times New Roman" w:hAnsi="Times New Roman" w:cs="Times New Roman"/>
          <w:color w:val="000000" w:themeColor="text1"/>
          <w:sz w:val="24"/>
          <w:szCs w:val="24"/>
        </w:rPr>
      </w:pPr>
    </w:p>
    <w:p w14:paraId="240D17B5" w14:textId="3E549359" w:rsidR="00AB0528" w:rsidRPr="00CA1391" w:rsidRDefault="00AB0528" w:rsidP="00AB0528">
      <w:pPr>
        <w:pStyle w:val="BodyA"/>
        <w:jc w:val="both"/>
        <w:rPr>
          <w:rFonts w:ascii="Times New Roman" w:hAnsi="Times New Roman" w:cs="Times New Roman"/>
          <w:color w:val="000000" w:themeColor="text1"/>
          <w:sz w:val="24"/>
          <w:szCs w:val="24"/>
        </w:rPr>
      </w:pPr>
      <w:r w:rsidRPr="00CA1391">
        <w:rPr>
          <w:rFonts w:ascii="Times New Roman" w:hAnsi="Times New Roman" w:cs="Times New Roman"/>
          <w:color w:val="000000" w:themeColor="text1"/>
          <w:sz w:val="24"/>
          <w:szCs w:val="24"/>
        </w:rPr>
        <w:t xml:space="preserve">For example, comparative study of privatisation of building regulation has shown that previous deregulation interact with declining regulatory capacity to further accelerate further liberalization (in Canada in the 1980s and Australia in the 1990s (Van der Heijden, 2015). In Holland liberalization is restrained by a long-standing tussle between local and central government over regulatory control. In the Dutch case, however, a national ‘simplification’ programme also ensues in lowering public capacity at both levels (van der Heijden 2017). </w:t>
      </w:r>
    </w:p>
    <w:p w14:paraId="295F7F9A" w14:textId="2E60467A" w:rsidR="00AB0528" w:rsidRPr="00CA1391" w:rsidRDefault="00AB0528" w:rsidP="008601A4">
      <w:pPr>
        <w:pStyle w:val="BodyA"/>
        <w:jc w:val="both"/>
        <w:rPr>
          <w:rFonts w:ascii="Times New Roman" w:hAnsi="Times New Roman" w:cs="Times New Roman"/>
          <w:color w:val="000000" w:themeColor="text1"/>
          <w:sz w:val="24"/>
          <w:szCs w:val="24"/>
        </w:rPr>
      </w:pPr>
    </w:p>
    <w:p w14:paraId="70D5B256" w14:textId="77777777" w:rsidR="00AB0528" w:rsidRPr="00CA1391" w:rsidRDefault="00AB0528" w:rsidP="008601A4">
      <w:pPr>
        <w:pStyle w:val="BodyA"/>
        <w:jc w:val="both"/>
        <w:rPr>
          <w:rFonts w:ascii="Times New Roman" w:hAnsi="Times New Roman" w:cs="Times New Roman"/>
          <w:color w:val="000000" w:themeColor="text1"/>
          <w:sz w:val="24"/>
          <w:szCs w:val="24"/>
        </w:rPr>
      </w:pPr>
    </w:p>
    <w:p w14:paraId="0D57F16F" w14:textId="18F911F7" w:rsidR="008601A4" w:rsidRPr="00B56E05" w:rsidRDefault="005161DB" w:rsidP="008601A4">
      <w:pPr>
        <w:pStyle w:val="BodyA"/>
        <w:jc w:val="both"/>
        <w:rPr>
          <w:rFonts w:ascii="Times New Roman" w:eastAsia="Calibri" w:hAnsi="Times New Roman" w:cs="Times New Roman"/>
          <w:i/>
          <w:color w:val="000000" w:themeColor="text1"/>
          <w:sz w:val="24"/>
          <w:szCs w:val="24"/>
          <w:highlight w:val="yellow"/>
        </w:rPr>
      </w:pPr>
      <w:r w:rsidRPr="00CA1391">
        <w:rPr>
          <w:rFonts w:ascii="Times New Roman" w:hAnsi="Times New Roman" w:cs="Times New Roman"/>
          <w:color w:val="000000" w:themeColor="text1"/>
          <w:sz w:val="24"/>
          <w:szCs w:val="24"/>
        </w:rPr>
        <w:t>The case of recent income se</w:t>
      </w:r>
      <w:r w:rsidR="00B12335" w:rsidRPr="00CA1391">
        <w:rPr>
          <w:rFonts w:ascii="Times New Roman" w:hAnsi="Times New Roman" w:cs="Times New Roman"/>
          <w:color w:val="000000" w:themeColor="text1"/>
          <w:sz w:val="24"/>
          <w:szCs w:val="24"/>
        </w:rPr>
        <w:t>curity reform allows us to</w:t>
      </w:r>
      <w:r w:rsidR="00B65A64" w:rsidRPr="00CA1391">
        <w:rPr>
          <w:rFonts w:ascii="Times New Roman" w:hAnsi="Times New Roman" w:cs="Times New Roman"/>
          <w:color w:val="000000" w:themeColor="text1"/>
          <w:sz w:val="24"/>
          <w:szCs w:val="24"/>
        </w:rPr>
        <w:t xml:space="preserve"> </w:t>
      </w:r>
      <w:r w:rsidR="00A80C82" w:rsidRPr="00CA1391">
        <w:rPr>
          <w:rFonts w:ascii="Times New Roman" w:hAnsi="Times New Roman" w:cs="Times New Roman"/>
          <w:color w:val="000000" w:themeColor="text1"/>
          <w:sz w:val="24"/>
          <w:szCs w:val="24"/>
        </w:rPr>
        <w:t>further explore</w:t>
      </w:r>
      <w:r w:rsidRPr="00CA1391">
        <w:rPr>
          <w:rFonts w:ascii="Times New Roman" w:hAnsi="Times New Roman" w:cs="Times New Roman"/>
          <w:color w:val="000000" w:themeColor="text1"/>
          <w:sz w:val="24"/>
          <w:szCs w:val="24"/>
        </w:rPr>
        <w:t xml:space="preserve"> how governance capacity shape responses to crises, and how the responses themselves act as platforms for new directions in change. A relevant hypothesis is greater capacity, combined with the level of r</w:t>
      </w:r>
      <w:r w:rsidR="008801B8" w:rsidRPr="00CA1391">
        <w:rPr>
          <w:rFonts w:ascii="Times New Roman" w:hAnsi="Times New Roman" w:cs="Times New Roman"/>
          <w:color w:val="000000" w:themeColor="text1"/>
          <w:sz w:val="24"/>
          <w:szCs w:val="24"/>
        </w:rPr>
        <w:t>ecent liberalization, condition</w:t>
      </w:r>
      <w:r w:rsidRPr="00CA1391">
        <w:rPr>
          <w:rFonts w:ascii="Times New Roman" w:hAnsi="Times New Roman" w:cs="Times New Roman"/>
          <w:color w:val="000000" w:themeColor="text1"/>
          <w:sz w:val="24"/>
          <w:szCs w:val="24"/>
        </w:rPr>
        <w:t xml:space="preserve"> actors to consider </w:t>
      </w:r>
      <w:r w:rsidRPr="00CA1391">
        <w:rPr>
          <w:rFonts w:ascii="Times New Roman" w:hAnsi="Times New Roman" w:cs="Times New Roman"/>
          <w:i/>
          <w:color w:val="000000" w:themeColor="text1"/>
          <w:sz w:val="24"/>
          <w:szCs w:val="24"/>
        </w:rPr>
        <w:t xml:space="preserve">adaptive </w:t>
      </w:r>
      <w:r w:rsidRPr="00CA1391">
        <w:rPr>
          <w:rFonts w:ascii="Times New Roman" w:hAnsi="Times New Roman" w:cs="Times New Roman"/>
          <w:color w:val="000000" w:themeColor="text1"/>
          <w:sz w:val="24"/>
          <w:szCs w:val="24"/>
        </w:rPr>
        <w:t>forms of layering or conversion, defined as reinvention of governance capacity. Conversely, under lower capacity or more extensive liberalisation, the same mechanisms are more likely to t</w:t>
      </w:r>
      <w:r w:rsidR="0024187E" w:rsidRPr="00CA1391">
        <w:rPr>
          <w:rFonts w:ascii="Times New Roman" w:hAnsi="Times New Roman" w:cs="Times New Roman"/>
          <w:color w:val="000000" w:themeColor="text1"/>
          <w:sz w:val="24"/>
          <w:szCs w:val="24"/>
        </w:rPr>
        <w:t>end towards further displacement</w:t>
      </w:r>
      <w:r w:rsidR="00B65A64" w:rsidRPr="00CA1391">
        <w:rPr>
          <w:rFonts w:ascii="Times New Roman" w:hAnsi="Times New Roman" w:cs="Times New Roman"/>
          <w:color w:val="000000" w:themeColor="text1"/>
          <w:sz w:val="24"/>
          <w:szCs w:val="24"/>
        </w:rPr>
        <w:t xml:space="preserve"> and/or drift</w:t>
      </w:r>
      <w:r w:rsidRPr="00CA1391">
        <w:rPr>
          <w:rFonts w:ascii="Times New Roman" w:hAnsi="Times New Roman" w:cs="Times New Roman"/>
          <w:color w:val="000000" w:themeColor="text1"/>
          <w:sz w:val="24"/>
          <w:szCs w:val="24"/>
        </w:rPr>
        <w:t>.</w:t>
      </w:r>
      <w:r w:rsidR="00A80C82" w:rsidRPr="00CA1391">
        <w:rPr>
          <w:rFonts w:ascii="Times New Roman" w:hAnsi="Times New Roman" w:cs="Times New Roman"/>
          <w:color w:val="000000" w:themeColor="text1"/>
          <w:sz w:val="24"/>
          <w:szCs w:val="24"/>
        </w:rPr>
        <w:t xml:space="preserve"> On the other hand, the trade-offs linked with a to narrow focus on simplicity – a particular risk in income security debates about basic income also assert themselves, as we can see in the cases within this section.</w:t>
      </w:r>
      <w:r w:rsidR="00B56E05">
        <w:rPr>
          <w:rFonts w:ascii="Times New Roman" w:eastAsia="Calibri" w:hAnsi="Times New Roman" w:cs="Times New Roman"/>
          <w:i/>
          <w:color w:val="000000" w:themeColor="text1"/>
          <w:sz w:val="24"/>
          <w:szCs w:val="24"/>
        </w:rPr>
        <w:t xml:space="preserve"> </w:t>
      </w:r>
      <w:r w:rsidR="008601A4" w:rsidRPr="00CA1391">
        <w:rPr>
          <w:rFonts w:ascii="Times New Roman" w:hAnsi="Times New Roman" w:cs="Times New Roman"/>
          <w:color w:val="000000" w:themeColor="text1"/>
          <w:sz w:val="24"/>
          <w:szCs w:val="24"/>
        </w:rPr>
        <w:t>In sum I contend the ‘case’ of basic income begs attention to how inherited institutional capacity/stock intercedes in the contemporary tension between economic liber</w:t>
      </w:r>
      <w:r w:rsidR="00A80C82" w:rsidRPr="00CA1391">
        <w:rPr>
          <w:rFonts w:ascii="Times New Roman" w:hAnsi="Times New Roman" w:cs="Times New Roman"/>
          <w:color w:val="000000" w:themeColor="text1"/>
          <w:sz w:val="24"/>
          <w:szCs w:val="24"/>
        </w:rPr>
        <w:t xml:space="preserve">alisation and democratization, </w:t>
      </w:r>
      <w:r w:rsidR="008601A4" w:rsidRPr="00CA1391">
        <w:rPr>
          <w:rFonts w:ascii="Times New Roman" w:hAnsi="Times New Roman" w:cs="Times New Roman"/>
          <w:color w:val="000000" w:themeColor="text1"/>
          <w:sz w:val="24"/>
          <w:szCs w:val="24"/>
        </w:rPr>
        <w:t>define</w:t>
      </w:r>
      <w:r w:rsidR="00A80C82" w:rsidRPr="00CA1391">
        <w:rPr>
          <w:rFonts w:ascii="Times New Roman" w:hAnsi="Times New Roman" w:cs="Times New Roman"/>
          <w:color w:val="000000" w:themeColor="text1"/>
          <w:sz w:val="24"/>
          <w:szCs w:val="24"/>
        </w:rPr>
        <w:t>d in terms of citizen inclusion</w:t>
      </w:r>
      <w:r w:rsidR="008601A4" w:rsidRPr="00CA1391">
        <w:rPr>
          <w:rFonts w:ascii="Times New Roman" w:hAnsi="Times New Roman" w:cs="Times New Roman"/>
          <w:color w:val="000000" w:themeColor="text1"/>
          <w:sz w:val="24"/>
          <w:szCs w:val="24"/>
        </w:rPr>
        <w:t xml:space="preserve">. </w:t>
      </w:r>
    </w:p>
    <w:p w14:paraId="4BB4AB8E" w14:textId="5F58A160" w:rsidR="00EA6963" w:rsidRPr="00CA1391" w:rsidRDefault="00EA6963" w:rsidP="00EA6963">
      <w:pPr>
        <w:pStyle w:val="BodyA"/>
        <w:jc w:val="both"/>
        <w:rPr>
          <w:rFonts w:ascii="Times New Roman" w:eastAsia="Calibri" w:hAnsi="Times New Roman" w:cs="Times New Roman"/>
          <w:color w:val="000000" w:themeColor="text1"/>
          <w:sz w:val="24"/>
          <w:szCs w:val="24"/>
        </w:rPr>
      </w:pPr>
    </w:p>
    <w:p w14:paraId="1A025E15" w14:textId="07C39E6C" w:rsidR="008A1DF9" w:rsidRPr="00CA1391" w:rsidRDefault="00BC17F9" w:rsidP="008A1DF9">
      <w:pPr>
        <w:pStyle w:val="BodyA"/>
        <w:jc w:val="both"/>
        <w:rPr>
          <w:rFonts w:ascii="Times New Roman" w:hAnsi="Times New Roman" w:cs="Times New Roman"/>
          <w:color w:val="000000" w:themeColor="text1"/>
          <w:sz w:val="24"/>
          <w:szCs w:val="24"/>
        </w:rPr>
      </w:pPr>
      <w:r w:rsidRPr="00CA1391">
        <w:rPr>
          <w:rFonts w:ascii="Times New Roman" w:hAnsi="Times New Roman" w:cs="Times New Roman"/>
          <w:color w:val="000000" w:themeColor="text1"/>
          <w:sz w:val="24"/>
          <w:szCs w:val="24"/>
        </w:rPr>
        <w:lastRenderedPageBreak/>
        <w:t xml:space="preserve">We can see </w:t>
      </w:r>
      <w:r w:rsidR="00A80C82" w:rsidRPr="00CA1391">
        <w:rPr>
          <w:rFonts w:ascii="Times New Roman" w:hAnsi="Times New Roman" w:cs="Times New Roman"/>
          <w:color w:val="000000" w:themeColor="text1"/>
          <w:sz w:val="24"/>
          <w:szCs w:val="24"/>
        </w:rPr>
        <w:t>the bases for these dynamics</w:t>
      </w:r>
      <w:r w:rsidR="00EA6963" w:rsidRPr="00CA1391">
        <w:rPr>
          <w:rFonts w:ascii="Times New Roman" w:hAnsi="Times New Roman" w:cs="Times New Roman"/>
          <w:color w:val="000000" w:themeColor="text1"/>
          <w:sz w:val="24"/>
          <w:szCs w:val="24"/>
        </w:rPr>
        <w:t xml:space="preserve"> in the cases discussed in this themed section. </w:t>
      </w:r>
      <w:r w:rsidR="008A1DF9" w:rsidRPr="00CA1391">
        <w:rPr>
          <w:rFonts w:ascii="Times New Roman" w:hAnsi="Times New Roman" w:cs="Times New Roman"/>
          <w:color w:val="000000" w:themeColor="text1"/>
          <w:sz w:val="24"/>
          <w:szCs w:val="24"/>
        </w:rPr>
        <w:t>Some countries, e.g. Britain, have higher but falling capacity with extensive liberalization, whilst others, e.g. Spain has low capacity, e.g. defined in higher economic informality, and some liberalization. Social democratic cases also differ, e.g. differential forms of limited liberalization under high capacity in Finland and Denmark, and intermediate liberalisation and capacity in Holland. Liberalisation sets the direction of change, which means all cases in this section have suffered governance corrosion – defined as reduction in one or more dimensions of capacity [to incorporate]. But the pressure this exerts on policy choices and actors is shaped by inherited levels of capacity, combin</w:t>
      </w:r>
      <w:r w:rsidR="0057741A" w:rsidRPr="00CA1391">
        <w:rPr>
          <w:rFonts w:ascii="Times New Roman" w:hAnsi="Times New Roman" w:cs="Times New Roman"/>
          <w:color w:val="000000" w:themeColor="text1"/>
          <w:sz w:val="24"/>
          <w:szCs w:val="24"/>
        </w:rPr>
        <w:t>ed with the scale of liberalisa</w:t>
      </w:r>
      <w:r w:rsidR="008A1DF9" w:rsidRPr="00CA1391">
        <w:rPr>
          <w:rFonts w:ascii="Times New Roman" w:hAnsi="Times New Roman" w:cs="Times New Roman"/>
          <w:color w:val="000000" w:themeColor="text1"/>
          <w:sz w:val="24"/>
          <w:szCs w:val="24"/>
        </w:rPr>
        <w:t>t</w:t>
      </w:r>
      <w:r w:rsidR="0057741A" w:rsidRPr="00CA1391">
        <w:rPr>
          <w:rFonts w:ascii="Times New Roman" w:hAnsi="Times New Roman" w:cs="Times New Roman"/>
          <w:color w:val="000000" w:themeColor="text1"/>
          <w:sz w:val="24"/>
          <w:szCs w:val="24"/>
        </w:rPr>
        <w:t>i</w:t>
      </w:r>
      <w:r w:rsidR="008A1DF9" w:rsidRPr="00CA1391">
        <w:rPr>
          <w:rFonts w:ascii="Times New Roman" w:hAnsi="Times New Roman" w:cs="Times New Roman"/>
          <w:color w:val="000000" w:themeColor="text1"/>
          <w:sz w:val="24"/>
          <w:szCs w:val="24"/>
        </w:rPr>
        <w:t xml:space="preserve">on itself. </w:t>
      </w:r>
    </w:p>
    <w:p w14:paraId="48A1B49B" w14:textId="675D9FE4" w:rsidR="00752AB2" w:rsidRPr="00CA1391" w:rsidRDefault="00752AB2" w:rsidP="003D434E">
      <w:pPr>
        <w:pStyle w:val="BodyA"/>
        <w:jc w:val="both"/>
        <w:rPr>
          <w:rFonts w:ascii="Times New Roman" w:eastAsia="Calibri" w:hAnsi="Times New Roman" w:cs="Times New Roman"/>
          <w:color w:val="000000" w:themeColor="text1"/>
          <w:sz w:val="24"/>
          <w:szCs w:val="24"/>
        </w:rPr>
      </w:pPr>
    </w:p>
    <w:p w14:paraId="119B46CF" w14:textId="084F632E" w:rsidR="008801B8" w:rsidRPr="00CA1391" w:rsidRDefault="00B65A64" w:rsidP="003D434E">
      <w:pPr>
        <w:pStyle w:val="BodyA"/>
        <w:jc w:val="both"/>
        <w:rPr>
          <w:rFonts w:ascii="Times New Roman" w:eastAsia="Calibri"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 xml:space="preserve">In sum, </w:t>
      </w:r>
      <w:r w:rsidR="000051F9" w:rsidRPr="00CA1391">
        <w:rPr>
          <w:rFonts w:ascii="Times New Roman" w:eastAsia="Calibri" w:hAnsi="Times New Roman" w:cs="Times New Roman"/>
          <w:color w:val="000000" w:themeColor="text1"/>
          <w:sz w:val="24"/>
          <w:szCs w:val="24"/>
        </w:rPr>
        <w:t>focusing o</w:t>
      </w:r>
      <w:r w:rsidRPr="00CA1391">
        <w:rPr>
          <w:rFonts w:ascii="Times New Roman" w:eastAsia="Calibri" w:hAnsi="Times New Roman" w:cs="Times New Roman"/>
          <w:color w:val="000000" w:themeColor="text1"/>
          <w:sz w:val="24"/>
          <w:szCs w:val="24"/>
        </w:rPr>
        <w:t>n</w:t>
      </w:r>
      <w:r w:rsidR="000051F9" w:rsidRPr="00CA1391">
        <w:rPr>
          <w:rFonts w:ascii="Times New Roman" w:eastAsia="Calibri" w:hAnsi="Times New Roman" w:cs="Times New Roman"/>
          <w:color w:val="000000" w:themeColor="text1"/>
          <w:sz w:val="24"/>
          <w:szCs w:val="24"/>
        </w:rPr>
        <w:t xml:space="preserve"> change mechanisms like layering and conversion </w:t>
      </w:r>
      <w:r w:rsidRPr="00CA1391">
        <w:rPr>
          <w:rFonts w:ascii="Times New Roman" w:eastAsia="Calibri" w:hAnsi="Times New Roman" w:cs="Times New Roman"/>
          <w:color w:val="000000" w:themeColor="text1"/>
          <w:sz w:val="24"/>
          <w:szCs w:val="24"/>
        </w:rPr>
        <w:t xml:space="preserve">without a wider reference </w:t>
      </w:r>
      <w:r w:rsidR="00A80C82" w:rsidRPr="00CA1391">
        <w:rPr>
          <w:rFonts w:ascii="Times New Roman" w:eastAsia="Calibri" w:hAnsi="Times New Roman" w:cs="Times New Roman"/>
          <w:color w:val="000000" w:themeColor="text1"/>
          <w:sz w:val="24"/>
          <w:szCs w:val="24"/>
        </w:rPr>
        <w:t>t</w:t>
      </w:r>
      <w:r w:rsidRPr="00CA1391">
        <w:rPr>
          <w:rFonts w:ascii="Times New Roman" w:eastAsia="Calibri" w:hAnsi="Times New Roman" w:cs="Times New Roman"/>
          <w:color w:val="000000" w:themeColor="text1"/>
          <w:sz w:val="24"/>
          <w:szCs w:val="24"/>
        </w:rPr>
        <w:t>o</w:t>
      </w:r>
      <w:r w:rsidR="00A80C82" w:rsidRPr="00CA1391">
        <w:rPr>
          <w:rFonts w:ascii="Times New Roman" w:eastAsia="Calibri" w:hAnsi="Times New Roman" w:cs="Times New Roman"/>
          <w:color w:val="000000" w:themeColor="text1"/>
          <w:sz w:val="24"/>
          <w:szCs w:val="24"/>
        </w:rPr>
        <w:t xml:space="preserve"> governance capacity as a whole </w:t>
      </w:r>
      <w:r w:rsidR="000051F9" w:rsidRPr="00CA1391">
        <w:rPr>
          <w:rFonts w:ascii="Times New Roman" w:eastAsia="Calibri" w:hAnsi="Times New Roman" w:cs="Times New Roman"/>
          <w:color w:val="000000" w:themeColor="text1"/>
          <w:sz w:val="24"/>
          <w:szCs w:val="24"/>
        </w:rPr>
        <w:t>does not tell us that</w:t>
      </w:r>
      <w:r w:rsidRPr="00CA1391">
        <w:rPr>
          <w:rFonts w:ascii="Times New Roman" w:eastAsia="Calibri" w:hAnsi="Times New Roman" w:cs="Times New Roman"/>
          <w:color w:val="000000" w:themeColor="text1"/>
          <w:sz w:val="24"/>
          <w:szCs w:val="24"/>
        </w:rPr>
        <w:t xml:space="preserve"> much about the form or extent</w:t>
      </w:r>
      <w:r w:rsidR="000051F9" w:rsidRPr="00CA1391">
        <w:rPr>
          <w:rFonts w:ascii="Times New Roman" w:eastAsia="Calibri" w:hAnsi="Times New Roman" w:cs="Times New Roman"/>
          <w:color w:val="000000" w:themeColor="text1"/>
          <w:sz w:val="24"/>
          <w:szCs w:val="24"/>
        </w:rPr>
        <w:t xml:space="preserve"> of change.</w:t>
      </w:r>
      <w:r w:rsidR="00A80C82" w:rsidRPr="00CA1391">
        <w:rPr>
          <w:rFonts w:ascii="Times New Roman" w:eastAsia="Calibri" w:hAnsi="Times New Roman" w:cs="Times New Roman"/>
          <w:color w:val="000000" w:themeColor="text1"/>
          <w:sz w:val="24"/>
          <w:szCs w:val="24"/>
        </w:rPr>
        <w:t xml:space="preserve"> Even if as St</w:t>
      </w:r>
      <w:r w:rsidRPr="00CA1391">
        <w:rPr>
          <w:rFonts w:ascii="Times New Roman" w:eastAsia="Calibri" w:hAnsi="Times New Roman" w:cs="Times New Roman"/>
          <w:color w:val="000000" w:themeColor="text1"/>
          <w:sz w:val="24"/>
          <w:szCs w:val="24"/>
        </w:rPr>
        <w:t>ree</w:t>
      </w:r>
      <w:r w:rsidR="00A80C82" w:rsidRPr="00CA1391">
        <w:rPr>
          <w:rFonts w:ascii="Times New Roman" w:eastAsia="Calibri" w:hAnsi="Times New Roman" w:cs="Times New Roman"/>
          <w:color w:val="000000" w:themeColor="text1"/>
          <w:sz w:val="24"/>
          <w:szCs w:val="24"/>
        </w:rPr>
        <w:t>ck and Thelen suggest liberalization is inherently change by default down the line, to what extent and when can we talk about managed change or unravelling of capacity? E.g. it is conceivable that even if government is very active, it may still unravel capacity, and conversely government that is relatively passive may retain capacity. What matter is not activity per se, but how it relates to capacity. As already noted, the focus on mechanical change suggests liberalization is large a passive process of re-adaptation/embedding, where I argue the process may not be passive, and may not entail re-embedding</w:t>
      </w:r>
      <w:r w:rsidR="008801B8" w:rsidRPr="00CA1391">
        <w:rPr>
          <w:rFonts w:ascii="Times New Roman" w:eastAsia="Calibri" w:hAnsi="Times New Roman" w:cs="Times New Roman"/>
          <w:color w:val="000000" w:themeColor="text1"/>
          <w:sz w:val="24"/>
          <w:szCs w:val="24"/>
        </w:rPr>
        <w:t>, because the tendency in liberali</w:t>
      </w:r>
      <w:r w:rsidRPr="00CA1391">
        <w:rPr>
          <w:rFonts w:ascii="Times New Roman" w:eastAsia="Calibri" w:hAnsi="Times New Roman" w:cs="Times New Roman"/>
          <w:color w:val="000000" w:themeColor="text1"/>
          <w:sz w:val="24"/>
          <w:szCs w:val="24"/>
        </w:rPr>
        <w:t xml:space="preserve">sation is to curtail capacity. </w:t>
      </w:r>
      <w:r w:rsidR="008801B8" w:rsidRPr="00CA1391">
        <w:rPr>
          <w:rFonts w:ascii="Times New Roman" w:eastAsia="Calibri" w:hAnsi="Times New Roman" w:cs="Times New Roman"/>
          <w:color w:val="000000" w:themeColor="text1"/>
          <w:sz w:val="24"/>
          <w:szCs w:val="24"/>
        </w:rPr>
        <w:t>He</w:t>
      </w:r>
      <w:r w:rsidRPr="00CA1391">
        <w:rPr>
          <w:rFonts w:ascii="Times New Roman" w:eastAsia="Calibri" w:hAnsi="Times New Roman" w:cs="Times New Roman"/>
          <w:color w:val="000000" w:themeColor="text1"/>
          <w:sz w:val="24"/>
          <w:szCs w:val="24"/>
        </w:rPr>
        <w:t>nce,</w:t>
      </w:r>
      <w:r w:rsidR="008801B8" w:rsidRPr="00CA1391">
        <w:rPr>
          <w:rFonts w:ascii="Times New Roman" w:eastAsia="Calibri" w:hAnsi="Times New Roman" w:cs="Times New Roman"/>
          <w:color w:val="000000" w:themeColor="text1"/>
          <w:sz w:val="24"/>
          <w:szCs w:val="24"/>
        </w:rPr>
        <w:t xml:space="preserve"> i</w:t>
      </w:r>
      <w:r w:rsidR="00A80C82" w:rsidRPr="00CA1391">
        <w:rPr>
          <w:rFonts w:ascii="Times New Roman" w:eastAsia="Calibri" w:hAnsi="Times New Roman" w:cs="Times New Roman"/>
          <w:color w:val="000000" w:themeColor="text1"/>
          <w:sz w:val="24"/>
          <w:szCs w:val="24"/>
        </w:rPr>
        <w:t xml:space="preserve">t is conceivable that previous active commitments to radical liberalization leads to ignorance of re-embedding failing, e.g. as in the case of the persistence of Universal Credit in the UK (Martinelli </w:t>
      </w:r>
      <w:r w:rsidRPr="00CA1391">
        <w:rPr>
          <w:rFonts w:ascii="Times New Roman" w:eastAsia="Calibri" w:hAnsi="Times New Roman" w:cs="Times New Roman"/>
          <w:color w:val="000000" w:themeColor="text1"/>
          <w:sz w:val="24"/>
          <w:szCs w:val="24"/>
        </w:rPr>
        <w:t>2008</w:t>
      </w:r>
      <w:r w:rsidR="00A80C82" w:rsidRPr="00CA1391">
        <w:rPr>
          <w:rFonts w:ascii="Times New Roman" w:eastAsia="Calibri" w:hAnsi="Times New Roman" w:cs="Times New Roman"/>
          <w:color w:val="000000" w:themeColor="text1"/>
          <w:sz w:val="24"/>
          <w:szCs w:val="24"/>
        </w:rPr>
        <w:t>) despite a number of serious shortcomings identified by national and inte</w:t>
      </w:r>
      <w:r w:rsidRPr="00CA1391">
        <w:rPr>
          <w:rFonts w:ascii="Times New Roman" w:eastAsia="Calibri" w:hAnsi="Times New Roman" w:cs="Times New Roman"/>
          <w:color w:val="000000" w:themeColor="text1"/>
          <w:sz w:val="24"/>
          <w:szCs w:val="24"/>
        </w:rPr>
        <w:t>rnational agencies (ibid., Haagh 2019a)</w:t>
      </w:r>
      <w:r w:rsidR="00A80C82" w:rsidRPr="00CA1391">
        <w:rPr>
          <w:rFonts w:ascii="Times New Roman" w:eastAsia="Calibri" w:hAnsi="Times New Roman" w:cs="Times New Roman"/>
          <w:color w:val="000000" w:themeColor="text1"/>
          <w:sz w:val="24"/>
          <w:szCs w:val="24"/>
        </w:rPr>
        <w:t>.</w:t>
      </w:r>
      <w:r w:rsidRPr="00CA1391">
        <w:rPr>
          <w:rFonts w:ascii="Times New Roman" w:eastAsia="Calibri" w:hAnsi="Times New Roman" w:cs="Times New Roman"/>
          <w:color w:val="000000" w:themeColor="text1"/>
          <w:sz w:val="24"/>
          <w:szCs w:val="24"/>
        </w:rPr>
        <w:t xml:space="preserve"> </w:t>
      </w:r>
      <w:r w:rsidR="004321E9" w:rsidRPr="00CA1391">
        <w:rPr>
          <w:rFonts w:ascii="Times New Roman" w:eastAsia="Calibri" w:hAnsi="Times New Roman" w:cs="Times New Roman"/>
          <w:color w:val="000000" w:themeColor="text1"/>
          <w:sz w:val="24"/>
          <w:szCs w:val="24"/>
        </w:rPr>
        <w:t>So, for example,</w:t>
      </w:r>
      <w:r w:rsidR="00C66281" w:rsidRPr="00CA1391">
        <w:rPr>
          <w:rFonts w:ascii="Times New Roman" w:eastAsia="Calibri" w:hAnsi="Times New Roman" w:cs="Times New Roman"/>
          <w:color w:val="000000" w:themeColor="text1"/>
          <w:sz w:val="24"/>
          <w:szCs w:val="24"/>
        </w:rPr>
        <w:t xml:space="preserve"> the UK in enacting Universal Credit – a major undertaking – has </w:t>
      </w:r>
      <w:r w:rsidR="00DD2D02" w:rsidRPr="00CA1391">
        <w:rPr>
          <w:rFonts w:ascii="Times New Roman" w:eastAsia="Calibri" w:hAnsi="Times New Roman" w:cs="Times New Roman"/>
          <w:color w:val="000000" w:themeColor="text1"/>
          <w:sz w:val="24"/>
          <w:szCs w:val="24"/>
        </w:rPr>
        <w:t>been proactive in effecting a</w:t>
      </w:r>
      <w:r w:rsidR="00B56E05">
        <w:rPr>
          <w:rFonts w:ascii="Times New Roman" w:eastAsia="Calibri" w:hAnsi="Times New Roman" w:cs="Times New Roman"/>
          <w:color w:val="000000" w:themeColor="text1"/>
          <w:sz w:val="24"/>
          <w:szCs w:val="24"/>
        </w:rPr>
        <w:t xml:space="preserve"> </w:t>
      </w:r>
      <w:r w:rsidR="00C66281" w:rsidRPr="00CA1391">
        <w:rPr>
          <w:rFonts w:ascii="Times New Roman" w:eastAsia="Calibri" w:hAnsi="Times New Roman" w:cs="Times New Roman"/>
          <w:color w:val="000000" w:themeColor="text1"/>
          <w:sz w:val="24"/>
          <w:szCs w:val="24"/>
        </w:rPr>
        <w:t>form</w:t>
      </w:r>
      <w:r w:rsidR="00B56E05">
        <w:rPr>
          <w:rFonts w:ascii="Times New Roman" w:eastAsia="Calibri" w:hAnsi="Times New Roman" w:cs="Times New Roman"/>
          <w:color w:val="000000" w:themeColor="text1"/>
          <w:sz w:val="24"/>
          <w:szCs w:val="24"/>
        </w:rPr>
        <w:t xml:space="preserve"> </w:t>
      </w:r>
      <w:r w:rsidRPr="00CA1391">
        <w:rPr>
          <w:rFonts w:ascii="Times New Roman" w:eastAsia="Calibri" w:hAnsi="Times New Roman" w:cs="Times New Roman"/>
          <w:color w:val="000000" w:themeColor="text1"/>
          <w:sz w:val="24"/>
          <w:szCs w:val="24"/>
        </w:rPr>
        <w:t xml:space="preserve">of ‘conversion’ </w:t>
      </w:r>
      <w:r w:rsidR="00C66281" w:rsidRPr="00CA1391">
        <w:rPr>
          <w:rFonts w:ascii="Times New Roman" w:eastAsia="Calibri" w:hAnsi="Times New Roman" w:cs="Times New Roman"/>
          <w:color w:val="000000" w:themeColor="text1"/>
          <w:sz w:val="24"/>
          <w:szCs w:val="24"/>
        </w:rPr>
        <w:t xml:space="preserve">and ‘layering’ of the existing systems. The trouble is, so has countries like Denmark and Holland, albeit through different mechanisms, both compared with Britain and with each other: e.g. in </w:t>
      </w:r>
      <w:r w:rsidR="00B3255D" w:rsidRPr="00CA1391">
        <w:rPr>
          <w:rFonts w:ascii="Times New Roman" w:eastAsia="Calibri" w:hAnsi="Times New Roman" w:cs="Times New Roman"/>
          <w:color w:val="000000" w:themeColor="text1"/>
          <w:sz w:val="24"/>
          <w:szCs w:val="24"/>
        </w:rPr>
        <w:t>the Netherlands experiments vis</w:t>
      </w:r>
      <w:r w:rsidR="00C66281" w:rsidRPr="00CA1391">
        <w:rPr>
          <w:rFonts w:ascii="Times New Roman" w:eastAsia="Calibri" w:hAnsi="Times New Roman" w:cs="Times New Roman"/>
          <w:color w:val="000000" w:themeColor="text1"/>
          <w:sz w:val="24"/>
          <w:szCs w:val="24"/>
        </w:rPr>
        <w:t>-a</w:t>
      </w:r>
      <w:r w:rsidR="00B3255D" w:rsidRPr="00CA1391">
        <w:rPr>
          <w:rFonts w:ascii="Times New Roman" w:eastAsia="Calibri" w:hAnsi="Times New Roman" w:cs="Times New Roman"/>
          <w:color w:val="000000" w:themeColor="text1"/>
          <w:sz w:val="24"/>
          <w:szCs w:val="24"/>
        </w:rPr>
        <w:t>-</w:t>
      </w:r>
      <w:r w:rsidR="00C66281" w:rsidRPr="00CA1391">
        <w:rPr>
          <w:rFonts w:ascii="Times New Roman" w:eastAsia="Calibri" w:hAnsi="Times New Roman" w:cs="Times New Roman"/>
          <w:color w:val="000000" w:themeColor="text1"/>
          <w:sz w:val="24"/>
          <w:szCs w:val="24"/>
        </w:rPr>
        <w:t>vis the unemployed have been more structured to test behavior</w:t>
      </w:r>
      <w:r w:rsidR="00B3255D" w:rsidRPr="00CA1391">
        <w:rPr>
          <w:rFonts w:ascii="Times New Roman" w:eastAsia="Calibri" w:hAnsi="Times New Roman" w:cs="Times New Roman"/>
          <w:color w:val="000000" w:themeColor="text1"/>
          <w:sz w:val="24"/>
          <w:szCs w:val="24"/>
        </w:rPr>
        <w:t xml:space="preserve"> to support motivation</w:t>
      </w:r>
      <w:r w:rsidR="00C66281" w:rsidRPr="00CA1391">
        <w:rPr>
          <w:rFonts w:ascii="Times New Roman" w:eastAsia="Calibri" w:hAnsi="Times New Roman" w:cs="Times New Roman"/>
          <w:color w:val="000000" w:themeColor="text1"/>
          <w:sz w:val="24"/>
          <w:szCs w:val="24"/>
        </w:rPr>
        <w:t>, whereas in Denmark they have been more orientated to test trust, and in Finland promote work incentives through b</w:t>
      </w:r>
      <w:r w:rsidR="00B56E05">
        <w:rPr>
          <w:rFonts w:ascii="Times New Roman" w:eastAsia="Calibri" w:hAnsi="Times New Roman" w:cs="Times New Roman"/>
          <w:color w:val="000000" w:themeColor="text1"/>
          <w:sz w:val="24"/>
          <w:szCs w:val="24"/>
        </w:rPr>
        <w:t>oth voluntarism and the market.</w:t>
      </w:r>
      <w:r w:rsidR="00930785" w:rsidRPr="00CA1391">
        <w:rPr>
          <w:rFonts w:ascii="Times New Roman" w:eastAsia="Calibri" w:hAnsi="Times New Roman" w:cs="Times New Roman"/>
          <w:color w:val="000000" w:themeColor="text1"/>
          <w:sz w:val="24"/>
          <w:szCs w:val="24"/>
        </w:rPr>
        <w:t xml:space="preserve"> In t</w:t>
      </w:r>
      <w:r w:rsidR="004847FC" w:rsidRPr="00CA1391">
        <w:rPr>
          <w:rFonts w:ascii="Times New Roman" w:eastAsia="Calibri" w:hAnsi="Times New Roman" w:cs="Times New Roman"/>
          <w:color w:val="000000" w:themeColor="text1"/>
          <w:sz w:val="24"/>
          <w:szCs w:val="24"/>
        </w:rPr>
        <w:t>h</w:t>
      </w:r>
      <w:r w:rsidR="00930785" w:rsidRPr="00CA1391">
        <w:rPr>
          <w:rFonts w:ascii="Times New Roman" w:eastAsia="Calibri" w:hAnsi="Times New Roman" w:cs="Times New Roman"/>
          <w:color w:val="000000" w:themeColor="text1"/>
          <w:sz w:val="24"/>
          <w:szCs w:val="24"/>
        </w:rPr>
        <w:t>ese case</w:t>
      </w:r>
      <w:r w:rsidR="004847FC" w:rsidRPr="00CA1391">
        <w:rPr>
          <w:rFonts w:ascii="Times New Roman" w:eastAsia="Calibri" w:hAnsi="Times New Roman" w:cs="Times New Roman"/>
          <w:color w:val="000000" w:themeColor="text1"/>
          <w:sz w:val="24"/>
          <w:szCs w:val="24"/>
        </w:rPr>
        <w:t>s</w:t>
      </w:r>
      <w:r w:rsidR="00930785" w:rsidRPr="00CA1391">
        <w:rPr>
          <w:rFonts w:ascii="Times New Roman" w:eastAsia="Calibri" w:hAnsi="Times New Roman" w:cs="Times New Roman"/>
          <w:color w:val="000000" w:themeColor="text1"/>
          <w:sz w:val="24"/>
          <w:szCs w:val="24"/>
        </w:rPr>
        <w:t xml:space="preserve"> - </w:t>
      </w:r>
      <w:r w:rsidR="004847FC" w:rsidRPr="00CA1391">
        <w:rPr>
          <w:rFonts w:ascii="Times New Roman" w:eastAsia="Calibri" w:hAnsi="Times New Roman" w:cs="Times New Roman"/>
          <w:color w:val="000000" w:themeColor="text1"/>
          <w:sz w:val="24"/>
          <w:szCs w:val="24"/>
        </w:rPr>
        <w:t>especially Holland and D</w:t>
      </w:r>
      <w:r w:rsidR="00930785" w:rsidRPr="00CA1391">
        <w:rPr>
          <w:rFonts w:ascii="Times New Roman" w:eastAsia="Calibri" w:hAnsi="Times New Roman" w:cs="Times New Roman"/>
          <w:color w:val="000000" w:themeColor="text1"/>
          <w:sz w:val="24"/>
          <w:szCs w:val="24"/>
        </w:rPr>
        <w:t xml:space="preserve">enmark - </w:t>
      </w:r>
      <w:r w:rsidR="00B56E05">
        <w:rPr>
          <w:rFonts w:ascii="Times New Roman" w:eastAsia="Calibri" w:hAnsi="Times New Roman" w:cs="Times New Roman"/>
          <w:color w:val="000000" w:themeColor="text1"/>
          <w:sz w:val="24"/>
          <w:szCs w:val="24"/>
        </w:rPr>
        <w:t xml:space="preserve"> reincorporation has be</w:t>
      </w:r>
      <w:r w:rsidR="004847FC" w:rsidRPr="00CA1391">
        <w:rPr>
          <w:rFonts w:ascii="Times New Roman" w:eastAsia="Calibri" w:hAnsi="Times New Roman" w:cs="Times New Roman"/>
          <w:color w:val="000000" w:themeColor="text1"/>
          <w:sz w:val="24"/>
          <w:szCs w:val="24"/>
        </w:rPr>
        <w:t>e</w:t>
      </w:r>
      <w:r w:rsidR="00B56E05">
        <w:rPr>
          <w:rFonts w:ascii="Times New Roman" w:eastAsia="Calibri" w:hAnsi="Times New Roman" w:cs="Times New Roman"/>
          <w:color w:val="000000" w:themeColor="text1"/>
          <w:sz w:val="24"/>
          <w:szCs w:val="24"/>
        </w:rPr>
        <w:t>n a</w:t>
      </w:r>
      <w:r w:rsidR="004847FC" w:rsidRPr="00CA1391">
        <w:rPr>
          <w:rFonts w:ascii="Times New Roman" w:eastAsia="Calibri" w:hAnsi="Times New Roman" w:cs="Times New Roman"/>
          <w:color w:val="000000" w:themeColor="text1"/>
          <w:sz w:val="24"/>
          <w:szCs w:val="24"/>
        </w:rPr>
        <w:t xml:space="preserve"> more explicit objective. </w:t>
      </w:r>
      <w:r w:rsidR="00B3255D" w:rsidRPr="00CA1391">
        <w:rPr>
          <w:rFonts w:ascii="Times New Roman" w:eastAsia="Calibri" w:hAnsi="Times New Roman" w:cs="Times New Roman"/>
          <w:color w:val="000000" w:themeColor="text1"/>
          <w:sz w:val="24"/>
          <w:szCs w:val="24"/>
        </w:rPr>
        <w:t xml:space="preserve"> In all these cases there was/is some conversion </w:t>
      </w:r>
      <w:r w:rsidRPr="00CA1391">
        <w:rPr>
          <w:rFonts w:ascii="Times New Roman" w:eastAsia="Calibri" w:hAnsi="Times New Roman" w:cs="Times New Roman"/>
          <w:color w:val="000000" w:themeColor="text1"/>
          <w:sz w:val="24"/>
          <w:szCs w:val="24"/>
        </w:rPr>
        <w:t>(redeployment of old structures</w:t>
      </w:r>
      <w:r w:rsidR="00B3255D" w:rsidRPr="00CA1391">
        <w:rPr>
          <w:rFonts w:ascii="Times New Roman" w:eastAsia="Calibri" w:hAnsi="Times New Roman" w:cs="Times New Roman"/>
          <w:color w:val="000000" w:themeColor="text1"/>
          <w:sz w:val="24"/>
          <w:szCs w:val="24"/>
        </w:rPr>
        <w:t xml:space="preserve"> as well as layering (defeat of the old) at stake. At the same time arguably, change is slower and more measured in these c</w:t>
      </w:r>
      <w:r w:rsidR="008801B8" w:rsidRPr="00CA1391">
        <w:rPr>
          <w:rFonts w:ascii="Times New Roman" w:eastAsia="Calibri" w:hAnsi="Times New Roman" w:cs="Times New Roman"/>
          <w:color w:val="000000" w:themeColor="text1"/>
          <w:sz w:val="24"/>
          <w:szCs w:val="24"/>
        </w:rPr>
        <w:t>ases of greater capacity. This suggests</w:t>
      </w:r>
      <w:r w:rsidR="00B3255D" w:rsidRPr="00CA1391">
        <w:rPr>
          <w:rFonts w:ascii="Times New Roman" w:eastAsia="Calibri" w:hAnsi="Times New Roman" w:cs="Times New Roman"/>
          <w:color w:val="000000" w:themeColor="text1"/>
          <w:sz w:val="24"/>
          <w:szCs w:val="24"/>
        </w:rPr>
        <w:t xml:space="preserve"> the importance </w:t>
      </w:r>
      <w:r w:rsidR="000051F9" w:rsidRPr="00CA1391">
        <w:rPr>
          <w:rFonts w:ascii="Times New Roman" w:eastAsia="Calibri" w:hAnsi="Times New Roman" w:cs="Times New Roman"/>
          <w:color w:val="000000" w:themeColor="text1"/>
          <w:sz w:val="24"/>
          <w:szCs w:val="24"/>
        </w:rPr>
        <w:t>of focusin</w:t>
      </w:r>
      <w:r w:rsidR="00B3255D" w:rsidRPr="00CA1391">
        <w:rPr>
          <w:rFonts w:ascii="Times New Roman" w:eastAsia="Calibri" w:hAnsi="Times New Roman" w:cs="Times New Roman"/>
          <w:color w:val="000000" w:themeColor="text1"/>
          <w:sz w:val="24"/>
          <w:szCs w:val="24"/>
        </w:rPr>
        <w:t xml:space="preserve">g on the interplay between the speed of changes, inherited capacity and the direction of change. </w:t>
      </w:r>
      <w:r w:rsidR="00B3255D" w:rsidRPr="00CA1391">
        <w:rPr>
          <w:rFonts w:ascii="Times New Roman" w:eastAsia="Calibri" w:hAnsi="Times New Roman" w:cs="Times New Roman"/>
          <w:color w:val="000000" w:themeColor="text1"/>
          <w:sz w:val="24"/>
          <w:szCs w:val="24"/>
        </w:rPr>
        <w:lastRenderedPageBreak/>
        <w:t>Taking incorporatio</w:t>
      </w:r>
      <w:r w:rsidR="000051F9" w:rsidRPr="00CA1391">
        <w:rPr>
          <w:rFonts w:ascii="Times New Roman" w:eastAsia="Calibri" w:hAnsi="Times New Roman" w:cs="Times New Roman"/>
          <w:color w:val="000000" w:themeColor="text1"/>
          <w:sz w:val="24"/>
          <w:szCs w:val="24"/>
        </w:rPr>
        <w:t>n as a stan</w:t>
      </w:r>
      <w:r w:rsidR="00B3255D" w:rsidRPr="00CA1391">
        <w:rPr>
          <w:rFonts w:ascii="Times New Roman" w:eastAsia="Calibri" w:hAnsi="Times New Roman" w:cs="Times New Roman"/>
          <w:color w:val="000000" w:themeColor="text1"/>
          <w:sz w:val="24"/>
          <w:szCs w:val="24"/>
        </w:rPr>
        <w:t>dard for both</w:t>
      </w:r>
      <w:r w:rsidR="000051F9" w:rsidRPr="00CA1391">
        <w:rPr>
          <w:rFonts w:ascii="Times New Roman" w:eastAsia="Calibri" w:hAnsi="Times New Roman" w:cs="Times New Roman"/>
          <w:color w:val="000000" w:themeColor="text1"/>
          <w:sz w:val="24"/>
          <w:szCs w:val="24"/>
        </w:rPr>
        <w:t xml:space="preserve"> inheri</w:t>
      </w:r>
      <w:r w:rsidR="00B3255D" w:rsidRPr="00CA1391">
        <w:rPr>
          <w:rFonts w:ascii="Times New Roman" w:eastAsia="Calibri" w:hAnsi="Times New Roman" w:cs="Times New Roman"/>
          <w:color w:val="000000" w:themeColor="text1"/>
          <w:sz w:val="24"/>
          <w:szCs w:val="24"/>
        </w:rPr>
        <w:t xml:space="preserve">ted capacity and the direction of change, what we find </w:t>
      </w:r>
      <w:r w:rsidR="00930785" w:rsidRPr="00CA1391">
        <w:rPr>
          <w:rFonts w:ascii="Times New Roman" w:eastAsia="Calibri" w:hAnsi="Times New Roman" w:cs="Times New Roman"/>
          <w:color w:val="000000" w:themeColor="text1"/>
          <w:sz w:val="24"/>
          <w:szCs w:val="24"/>
        </w:rPr>
        <w:t xml:space="preserve">in the case of income security </w:t>
      </w:r>
      <w:r w:rsidR="00B3255D" w:rsidRPr="00CA1391">
        <w:rPr>
          <w:rFonts w:ascii="Times New Roman" w:eastAsia="Calibri" w:hAnsi="Times New Roman" w:cs="Times New Roman"/>
          <w:color w:val="000000" w:themeColor="text1"/>
          <w:sz w:val="24"/>
          <w:szCs w:val="24"/>
        </w:rPr>
        <w:t>is that countries with greater capacity are more likely to preserve and slowly adapt existing structures</w:t>
      </w:r>
      <w:r w:rsidRPr="00CA1391">
        <w:rPr>
          <w:rFonts w:ascii="Times New Roman" w:eastAsia="Calibri" w:hAnsi="Times New Roman" w:cs="Times New Roman"/>
          <w:color w:val="000000" w:themeColor="text1"/>
          <w:sz w:val="24"/>
          <w:szCs w:val="24"/>
        </w:rPr>
        <w:t>.</w:t>
      </w:r>
    </w:p>
    <w:p w14:paraId="0F88D7A8" w14:textId="303EF917" w:rsidR="008801B8" w:rsidRPr="00CA1391" w:rsidRDefault="008801B8" w:rsidP="003D434E">
      <w:pPr>
        <w:pStyle w:val="BodyA"/>
        <w:jc w:val="both"/>
        <w:rPr>
          <w:rFonts w:ascii="Times New Roman" w:eastAsia="Calibri" w:hAnsi="Times New Roman" w:cs="Times New Roman"/>
          <w:color w:val="000000" w:themeColor="text1"/>
          <w:sz w:val="24"/>
          <w:szCs w:val="24"/>
        </w:rPr>
      </w:pPr>
    </w:p>
    <w:p w14:paraId="006A13F8" w14:textId="0BF5215B" w:rsidR="008801B8" w:rsidRPr="00CA1391" w:rsidRDefault="008801B8" w:rsidP="008801B8">
      <w:pPr>
        <w:pStyle w:val="BodyA"/>
        <w:jc w:val="both"/>
        <w:rPr>
          <w:rFonts w:ascii="Times New Roman" w:eastAsia="Calibri"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Conversely, ‘drift’ or intentional neglect as an attitude of policy makers or bureaucrats is more likely when capacity is low and incentives to change this are weak. So for instance states which intentionally or otherwise have reduced capacity for incorporation through - in our case – income security – e.g. Spain and the UK in our set, will be less sensitive to societal pressure or need, because weak capacity is a disincentive to do so. A good example is the Universal Credit in the UK through which the government enacted to dis-incentiviz</w:t>
      </w:r>
      <w:r w:rsidR="00B65A64" w:rsidRPr="00CA1391">
        <w:rPr>
          <w:rFonts w:ascii="Times New Roman" w:eastAsia="Calibri" w:hAnsi="Times New Roman" w:cs="Times New Roman"/>
          <w:color w:val="000000" w:themeColor="text1"/>
          <w:sz w:val="24"/>
          <w:szCs w:val="24"/>
        </w:rPr>
        <w:t xml:space="preserve">e reliance on benefits, </w:t>
      </w:r>
      <w:r w:rsidRPr="00CA1391">
        <w:rPr>
          <w:rFonts w:ascii="Times New Roman" w:eastAsia="Calibri" w:hAnsi="Times New Roman" w:cs="Times New Roman"/>
          <w:color w:val="000000" w:themeColor="text1"/>
          <w:sz w:val="24"/>
          <w:szCs w:val="24"/>
        </w:rPr>
        <w:t>coinciding with and arguably extending weak capacity to incorporate. At stake in all these cases is a form of disarticulation of collective responsibility for risk in a context of potent</w:t>
      </w:r>
      <w:r w:rsidR="00B65A64" w:rsidRPr="00CA1391">
        <w:rPr>
          <w:rFonts w:ascii="Times New Roman" w:eastAsia="Calibri" w:hAnsi="Times New Roman" w:cs="Times New Roman"/>
          <w:color w:val="000000" w:themeColor="text1"/>
          <w:sz w:val="24"/>
          <w:szCs w:val="24"/>
        </w:rPr>
        <w:t xml:space="preserve">ially radical simplification. </w:t>
      </w:r>
      <w:r w:rsidRPr="00CA1391">
        <w:rPr>
          <w:rFonts w:ascii="Times New Roman" w:eastAsia="Calibri" w:hAnsi="Times New Roman" w:cs="Times New Roman"/>
          <w:color w:val="000000" w:themeColor="text1"/>
          <w:sz w:val="24"/>
          <w:szCs w:val="24"/>
        </w:rPr>
        <w:t>It is important to un</w:t>
      </w:r>
      <w:r w:rsidR="00B65A64" w:rsidRPr="00CA1391">
        <w:rPr>
          <w:rFonts w:ascii="Times New Roman" w:eastAsia="Calibri" w:hAnsi="Times New Roman" w:cs="Times New Roman"/>
          <w:color w:val="000000" w:themeColor="text1"/>
          <w:sz w:val="24"/>
          <w:szCs w:val="24"/>
        </w:rPr>
        <w:t>derstand that a basic income refo</w:t>
      </w:r>
      <w:r w:rsidRPr="00CA1391">
        <w:rPr>
          <w:rFonts w:ascii="Times New Roman" w:eastAsia="Calibri" w:hAnsi="Times New Roman" w:cs="Times New Roman"/>
          <w:color w:val="000000" w:themeColor="text1"/>
          <w:sz w:val="24"/>
          <w:szCs w:val="24"/>
        </w:rPr>
        <w:t>r</w:t>
      </w:r>
      <w:r w:rsidR="00B65A64" w:rsidRPr="00CA1391">
        <w:rPr>
          <w:rFonts w:ascii="Times New Roman" w:eastAsia="Calibri" w:hAnsi="Times New Roman" w:cs="Times New Roman"/>
          <w:color w:val="000000" w:themeColor="text1"/>
          <w:sz w:val="24"/>
          <w:szCs w:val="24"/>
        </w:rPr>
        <w:t>m</w:t>
      </w:r>
      <w:r w:rsidRPr="00CA1391">
        <w:rPr>
          <w:rFonts w:ascii="Times New Roman" w:eastAsia="Calibri" w:hAnsi="Times New Roman" w:cs="Times New Roman"/>
          <w:color w:val="000000" w:themeColor="text1"/>
          <w:sz w:val="24"/>
          <w:szCs w:val="24"/>
        </w:rPr>
        <w:t xml:space="preserve"> in such settings would in</w:t>
      </w:r>
      <w:r w:rsidR="00B65A64" w:rsidRPr="00CA1391">
        <w:rPr>
          <w:rFonts w:ascii="Times New Roman" w:eastAsia="Calibri" w:hAnsi="Times New Roman" w:cs="Times New Roman"/>
          <w:color w:val="000000" w:themeColor="text1"/>
          <w:sz w:val="24"/>
          <w:szCs w:val="24"/>
        </w:rPr>
        <w:t xml:space="preserve"> effect consolidate said trend.</w:t>
      </w:r>
    </w:p>
    <w:p w14:paraId="4EAA9CED" w14:textId="77777777" w:rsidR="00B65A64" w:rsidRPr="00CA1391" w:rsidRDefault="00B65A64" w:rsidP="00C10666">
      <w:pPr>
        <w:pStyle w:val="BodyA"/>
        <w:jc w:val="both"/>
        <w:rPr>
          <w:rFonts w:ascii="Times New Roman" w:eastAsia="Calibri" w:hAnsi="Times New Roman" w:cs="Times New Roman"/>
          <w:color w:val="000000" w:themeColor="text1"/>
          <w:sz w:val="24"/>
          <w:szCs w:val="24"/>
        </w:rPr>
      </w:pPr>
    </w:p>
    <w:p w14:paraId="343123D1" w14:textId="37B2B7D0" w:rsidR="009A20A0" w:rsidRDefault="00C10666" w:rsidP="007B0611">
      <w:pPr>
        <w:pStyle w:val="BodyA"/>
        <w:jc w:val="both"/>
        <w:rPr>
          <w:rFonts w:ascii="Times New Roman" w:eastAsia="Calibri"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This underscores my point that incremental change is not context neutral – whether new political commitment can change this process</w:t>
      </w:r>
      <w:r w:rsidR="00B65A64" w:rsidRPr="00CA1391">
        <w:rPr>
          <w:rFonts w:ascii="Times New Roman" w:eastAsia="Calibri" w:hAnsi="Times New Roman" w:cs="Times New Roman"/>
          <w:color w:val="000000" w:themeColor="text1"/>
          <w:sz w:val="24"/>
          <w:szCs w:val="24"/>
        </w:rPr>
        <w:t xml:space="preserve">. </w:t>
      </w:r>
      <w:r w:rsidR="008801B8" w:rsidRPr="00CA1391">
        <w:rPr>
          <w:rFonts w:ascii="Times New Roman" w:eastAsia="Calibri" w:hAnsi="Times New Roman" w:cs="Times New Roman"/>
          <w:color w:val="000000" w:themeColor="text1"/>
          <w:sz w:val="24"/>
          <w:szCs w:val="24"/>
        </w:rPr>
        <w:t>The way dynamic change is shaped by past commitments and existing capacity calls for more attention to the sources of resilient capacity.</w:t>
      </w:r>
      <w:r w:rsidR="008801B8" w:rsidRPr="00CA1391">
        <w:rPr>
          <w:rFonts w:ascii="Times New Roman" w:eastAsia="Calibri" w:hAnsi="Times New Roman" w:cs="Times New Roman"/>
          <w:color w:val="000000" w:themeColor="text1"/>
          <w:sz w:val="24"/>
          <w:szCs w:val="24"/>
          <w:shd w:val="clear" w:color="auto" w:fill="FFFFFF"/>
        </w:rPr>
        <w:t xml:space="preserve"> Accordingly, and more specifically to f</w:t>
      </w:r>
      <w:r w:rsidR="008801B8" w:rsidRPr="00CA1391">
        <w:rPr>
          <w:rFonts w:ascii="Times New Roman" w:eastAsia="Calibri" w:hAnsi="Times New Roman" w:cs="Times New Roman"/>
          <w:color w:val="000000" w:themeColor="text1"/>
          <w:sz w:val="24"/>
          <w:szCs w:val="24"/>
        </w:rPr>
        <w:t>urther illuminate</w:t>
      </w:r>
      <w:r w:rsidR="006A086E" w:rsidRPr="00CA1391">
        <w:rPr>
          <w:rFonts w:ascii="Times New Roman" w:eastAsia="Calibri" w:hAnsi="Times New Roman" w:cs="Times New Roman"/>
          <w:color w:val="000000" w:themeColor="text1"/>
          <w:sz w:val="24"/>
          <w:szCs w:val="24"/>
        </w:rPr>
        <w:t xml:space="preserve"> the relation between short and long-run change as it relates to the basic income debate in Europe, this review article distinguishes between two descriptors and drivers of institutional capacity: </w:t>
      </w:r>
      <w:r w:rsidR="006A086E" w:rsidRPr="00CA1391">
        <w:rPr>
          <w:rFonts w:ascii="Times New Roman" w:eastAsia="Calibri" w:hAnsi="Times New Roman" w:cs="Times New Roman"/>
          <w:i/>
          <w:iCs/>
          <w:color w:val="000000" w:themeColor="text1"/>
          <w:sz w:val="24"/>
          <w:szCs w:val="24"/>
        </w:rPr>
        <w:t>developmentalism</w:t>
      </w:r>
      <w:r w:rsidR="006A086E" w:rsidRPr="00CA1391">
        <w:rPr>
          <w:rFonts w:ascii="Times New Roman" w:eastAsia="Calibri" w:hAnsi="Times New Roman" w:cs="Times New Roman"/>
          <w:color w:val="000000" w:themeColor="text1"/>
          <w:sz w:val="24"/>
          <w:szCs w:val="24"/>
        </w:rPr>
        <w:t xml:space="preserve"> and </w:t>
      </w:r>
      <w:r w:rsidR="006A086E" w:rsidRPr="00CA1391">
        <w:rPr>
          <w:rFonts w:ascii="Times New Roman" w:eastAsia="Calibri" w:hAnsi="Times New Roman" w:cs="Times New Roman"/>
          <w:i/>
          <w:iCs/>
          <w:color w:val="000000" w:themeColor="text1"/>
          <w:sz w:val="24"/>
          <w:szCs w:val="24"/>
          <w:lang w:val="it-IT"/>
        </w:rPr>
        <w:t>universalism</w:t>
      </w:r>
      <w:r w:rsidR="006A086E" w:rsidRPr="00CA1391">
        <w:rPr>
          <w:rFonts w:ascii="Times New Roman" w:eastAsia="Calibri" w:hAnsi="Times New Roman" w:cs="Times New Roman"/>
          <w:color w:val="000000" w:themeColor="text1"/>
          <w:sz w:val="24"/>
          <w:szCs w:val="24"/>
        </w:rPr>
        <w:t xml:space="preserve">. As explored in more detail in the paper by Haagh, developmentalism involves intentional development of coordinated skills investment and institutions. Universalism involves inclusive public services and income transfer mechanisms. In the long-run, developmentalism drives labour integration, but where it is not complemented with universal inclusion mechanisms this affects the coverage and terms of income security institutions, whilst also impacting on the structure and level of public finance. In turn, these outcomes affect  the conditions for basic income and inform the direction of change. Simply put, developmentalism generates </w:t>
      </w:r>
      <w:r w:rsidR="006A086E" w:rsidRPr="00CA1391">
        <w:rPr>
          <w:rFonts w:ascii="Times New Roman" w:eastAsia="Calibri" w:hAnsi="Times New Roman" w:cs="Times New Roman"/>
          <w:i/>
          <w:iCs/>
          <w:color w:val="000000" w:themeColor="text1"/>
          <w:sz w:val="24"/>
          <w:szCs w:val="24"/>
        </w:rPr>
        <w:t>depth</w:t>
      </w:r>
      <w:r w:rsidR="006A086E" w:rsidRPr="00CA1391">
        <w:rPr>
          <w:rFonts w:ascii="Times New Roman" w:eastAsia="Calibri" w:hAnsi="Times New Roman" w:cs="Times New Roman"/>
          <w:color w:val="000000" w:themeColor="text1"/>
          <w:sz w:val="24"/>
          <w:szCs w:val="24"/>
        </w:rPr>
        <w:t xml:space="preserve">, and universalism </w:t>
      </w:r>
      <w:r w:rsidR="006A086E" w:rsidRPr="00CA1391">
        <w:rPr>
          <w:rFonts w:ascii="Times New Roman" w:eastAsia="Calibri" w:hAnsi="Times New Roman" w:cs="Times New Roman"/>
          <w:i/>
          <w:iCs/>
          <w:color w:val="000000" w:themeColor="text1"/>
          <w:sz w:val="24"/>
          <w:szCs w:val="24"/>
        </w:rPr>
        <w:t>breadth</w:t>
      </w:r>
      <w:r w:rsidR="006A086E" w:rsidRPr="00CA1391">
        <w:rPr>
          <w:rFonts w:ascii="Times New Roman" w:eastAsia="Calibri" w:hAnsi="Times New Roman" w:cs="Times New Roman"/>
          <w:color w:val="000000" w:themeColor="text1"/>
          <w:sz w:val="24"/>
          <w:szCs w:val="24"/>
        </w:rPr>
        <w:t xml:space="preserve"> in relation to public finance and income security coverage. </w:t>
      </w:r>
    </w:p>
    <w:p w14:paraId="5E4265BA" w14:textId="77777777" w:rsidR="00B56E05" w:rsidRPr="00CA1391" w:rsidRDefault="00B56E05" w:rsidP="007B0611">
      <w:pPr>
        <w:pStyle w:val="BodyA"/>
        <w:jc w:val="both"/>
        <w:rPr>
          <w:rFonts w:ascii="Times New Roman" w:eastAsia="Calibri" w:hAnsi="Times New Roman" w:cs="Times New Roman"/>
          <w:color w:val="000000" w:themeColor="text1"/>
          <w:sz w:val="24"/>
          <w:szCs w:val="24"/>
        </w:rPr>
      </w:pPr>
    </w:p>
    <w:p w14:paraId="5C37CE75" w14:textId="1CAF438E" w:rsidR="009A20A0" w:rsidRDefault="006A086E" w:rsidP="007B0611">
      <w:pPr>
        <w:pStyle w:val="BodyA"/>
        <w:jc w:val="both"/>
        <w:rPr>
          <w:rFonts w:ascii="Times New Roman" w:eastAsia="Calibri"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ab/>
        <w:t xml:space="preserve">To give two quick examples, developmentalism builds occupational regimes, which then promote employment inclusion and (typically) several tiers of and more generous income security. On the other hand, universalism generates inclusion through coverage across groups. </w:t>
      </w:r>
      <w:r w:rsidRPr="00CA1391">
        <w:rPr>
          <w:rFonts w:ascii="Times New Roman" w:eastAsia="Calibri" w:hAnsi="Times New Roman" w:cs="Times New Roman"/>
          <w:color w:val="000000" w:themeColor="text1"/>
          <w:sz w:val="24"/>
          <w:szCs w:val="24"/>
        </w:rPr>
        <w:lastRenderedPageBreak/>
        <w:t xml:space="preserve">What Haagh </w:t>
      </w:r>
      <w:r w:rsidR="00A10E5E" w:rsidRPr="00CA1391">
        <w:rPr>
          <w:rFonts w:ascii="Times New Roman" w:eastAsia="Calibri" w:hAnsi="Times New Roman" w:cs="Times New Roman"/>
          <w:color w:val="000000" w:themeColor="text1"/>
          <w:sz w:val="24"/>
          <w:szCs w:val="24"/>
        </w:rPr>
        <w:t xml:space="preserve">(this volume) </w:t>
      </w:r>
      <w:r w:rsidRPr="00CA1391">
        <w:rPr>
          <w:rFonts w:ascii="Times New Roman" w:eastAsia="Calibri" w:hAnsi="Times New Roman" w:cs="Times New Roman"/>
          <w:color w:val="000000" w:themeColor="text1"/>
          <w:sz w:val="24"/>
          <w:szCs w:val="24"/>
        </w:rPr>
        <w:t>describes as cooperative public finance in Nordic states is a consequence of the coincidence of both factors: there is high rates of tax across income groups, but also – given the occupational structure- capacity and legitimacy around a universally high tax regime. Similarly, there is also legitimacy around generous two-tier income security: both the lowest level of income assistance and contributory regimes are more generous in comparative terms (</w:t>
      </w:r>
      <w:r w:rsidR="00AE6F83" w:rsidRPr="00CA1391">
        <w:rPr>
          <w:rFonts w:ascii="Times New Roman" w:eastAsia="Calibri" w:hAnsi="Times New Roman" w:cs="Times New Roman"/>
          <w:color w:val="000000" w:themeColor="text1"/>
          <w:sz w:val="24"/>
          <w:szCs w:val="24"/>
        </w:rPr>
        <w:t xml:space="preserve">Haagh 2012, </w:t>
      </w:r>
      <w:r w:rsidRPr="00CA1391">
        <w:rPr>
          <w:rFonts w:ascii="Times New Roman" w:eastAsia="Calibri" w:hAnsi="Times New Roman" w:cs="Times New Roman"/>
          <w:color w:val="000000" w:themeColor="text1"/>
          <w:sz w:val="24"/>
          <w:szCs w:val="24"/>
        </w:rPr>
        <w:t>2019</w:t>
      </w:r>
      <w:r w:rsidR="00AE6F83" w:rsidRPr="00CA1391">
        <w:rPr>
          <w:rFonts w:ascii="Times New Roman" w:eastAsia="Calibri" w:hAnsi="Times New Roman" w:cs="Times New Roman"/>
          <w:color w:val="000000" w:themeColor="text1"/>
          <w:sz w:val="24"/>
          <w:szCs w:val="24"/>
        </w:rPr>
        <w:t>b</w:t>
      </w:r>
      <w:r w:rsidRPr="00CA1391">
        <w:rPr>
          <w:rFonts w:ascii="Times New Roman" w:eastAsia="Calibri" w:hAnsi="Times New Roman" w:cs="Times New Roman"/>
          <w:color w:val="000000" w:themeColor="text1"/>
          <w:sz w:val="24"/>
          <w:szCs w:val="24"/>
        </w:rPr>
        <w:t xml:space="preserve">). As Columbino  (2010) has argued it is formal inclusion, specifically of women within employment that has generated fiscal capability for basic income in state like Denmark. On the other hand, partial developmentalism, as in dual labour regimes characterised by occupational insiders and outsiders (Rueda, 2007) prevalent in South European welfare regimes, generates either less depth or less breadth (or both) in income security. Finally, in liberal regimes such as the UK, developmentalism is generally weak and income security is relatively flat and punitive. Hence, where developmentalism is not supported historically by universalism (or </w:t>
      </w:r>
      <w:r w:rsidRPr="00CA1391">
        <w:rPr>
          <w:rFonts w:ascii="Times New Roman" w:eastAsia="Calibri" w:hAnsi="Times New Roman" w:cs="Times New Roman"/>
          <w:i/>
          <w:iCs/>
          <w:color w:val="000000" w:themeColor="text1"/>
          <w:sz w:val="24"/>
          <w:szCs w:val="24"/>
          <w:lang w:val="it-IT"/>
        </w:rPr>
        <w:t>vice versa</w:t>
      </w:r>
      <w:r w:rsidRPr="00CA1391">
        <w:rPr>
          <w:rFonts w:ascii="Times New Roman" w:eastAsia="Calibri" w:hAnsi="Times New Roman" w:cs="Times New Roman"/>
          <w:color w:val="000000" w:themeColor="text1"/>
          <w:sz w:val="24"/>
          <w:szCs w:val="24"/>
        </w:rPr>
        <w:t>), as is characteristic for countries with initially high inequality, high levels of formalisation and tax are compromised. Such countries rapidly get stuck in the partial development of income security, affecting either coverage or breadth (Spain) or level or depth (UK).</w:t>
      </w:r>
      <w:r w:rsidR="00967D8A" w:rsidRPr="00CA1391">
        <w:rPr>
          <w:rFonts w:ascii="Times New Roman" w:eastAsia="Calibri" w:hAnsi="Times New Roman" w:cs="Times New Roman"/>
          <w:color w:val="000000" w:themeColor="text1"/>
          <w:sz w:val="24"/>
          <w:szCs w:val="24"/>
        </w:rPr>
        <w:t xml:space="preserve"> </w:t>
      </w:r>
      <w:r w:rsidR="00B442AC" w:rsidRPr="00CA1391">
        <w:rPr>
          <w:rFonts w:ascii="Times New Roman" w:eastAsia="Calibri" w:hAnsi="Times New Roman" w:cs="Times New Roman"/>
          <w:color w:val="000000" w:themeColor="text1"/>
          <w:sz w:val="24"/>
          <w:szCs w:val="24"/>
        </w:rPr>
        <w:t xml:space="preserve">This generates an equality paradox (Haagh in this volume), as the need for basic income is greater in countries with high inequality and poverty, and consequently greater insecurity, which however are </w:t>
      </w:r>
      <w:r w:rsidR="00967D8A" w:rsidRPr="00CA1391">
        <w:rPr>
          <w:rFonts w:ascii="Times New Roman" w:eastAsia="Calibri" w:hAnsi="Times New Roman" w:cs="Times New Roman"/>
          <w:color w:val="000000" w:themeColor="text1"/>
          <w:sz w:val="24"/>
          <w:szCs w:val="24"/>
        </w:rPr>
        <w:t xml:space="preserve">also </w:t>
      </w:r>
      <w:r w:rsidR="00B442AC" w:rsidRPr="00CA1391">
        <w:rPr>
          <w:rFonts w:ascii="Times New Roman" w:eastAsia="Calibri" w:hAnsi="Times New Roman" w:cs="Times New Roman"/>
          <w:color w:val="000000" w:themeColor="text1"/>
          <w:sz w:val="24"/>
          <w:szCs w:val="24"/>
        </w:rPr>
        <w:t>less likely to have the capacity or political support to undertake basic income reform.</w:t>
      </w:r>
      <w:r w:rsidR="00B97D99" w:rsidRPr="00CA1391">
        <w:rPr>
          <w:rFonts w:ascii="Times New Roman" w:eastAsia="Calibri" w:hAnsi="Times New Roman" w:cs="Times New Roman"/>
          <w:color w:val="000000" w:themeColor="text1"/>
          <w:sz w:val="24"/>
          <w:szCs w:val="24"/>
        </w:rPr>
        <w:t xml:space="preserve"> On the other hand, </w:t>
      </w:r>
      <w:r w:rsidR="00967D8A" w:rsidRPr="00CA1391">
        <w:rPr>
          <w:rFonts w:ascii="Times New Roman" w:eastAsia="Calibri" w:hAnsi="Times New Roman" w:cs="Times New Roman"/>
          <w:color w:val="000000" w:themeColor="text1"/>
          <w:sz w:val="24"/>
          <w:szCs w:val="24"/>
        </w:rPr>
        <w:t xml:space="preserve">in recent decades, </w:t>
      </w:r>
      <w:r w:rsidR="00B97D99" w:rsidRPr="00CA1391">
        <w:rPr>
          <w:rFonts w:ascii="Times New Roman" w:eastAsia="Calibri" w:hAnsi="Times New Roman" w:cs="Times New Roman"/>
          <w:color w:val="000000" w:themeColor="text1"/>
          <w:sz w:val="24"/>
          <w:szCs w:val="24"/>
        </w:rPr>
        <w:t xml:space="preserve">high equality countries have </w:t>
      </w:r>
      <w:r w:rsidR="00967D8A" w:rsidRPr="00CA1391">
        <w:rPr>
          <w:rFonts w:ascii="Times New Roman" w:eastAsia="Calibri" w:hAnsi="Times New Roman" w:cs="Times New Roman"/>
          <w:color w:val="000000" w:themeColor="text1"/>
          <w:sz w:val="24"/>
          <w:szCs w:val="24"/>
        </w:rPr>
        <w:t xml:space="preserve">also </w:t>
      </w:r>
      <w:r w:rsidR="00B97D99" w:rsidRPr="00CA1391">
        <w:rPr>
          <w:rFonts w:ascii="Times New Roman" w:eastAsia="Calibri" w:hAnsi="Times New Roman" w:cs="Times New Roman"/>
          <w:color w:val="000000" w:themeColor="text1"/>
          <w:sz w:val="24"/>
          <w:szCs w:val="24"/>
        </w:rPr>
        <w:t>seen a corrosion of developmental policies that construct social integration, which explains why</w:t>
      </w:r>
      <w:r w:rsidR="00967D8A" w:rsidRPr="00CA1391">
        <w:rPr>
          <w:rFonts w:ascii="Times New Roman" w:eastAsia="Calibri" w:hAnsi="Times New Roman" w:cs="Times New Roman"/>
          <w:color w:val="000000" w:themeColor="text1"/>
          <w:sz w:val="24"/>
          <w:szCs w:val="24"/>
        </w:rPr>
        <w:t xml:space="preserve"> basic income which many see as an extension of marketization remains controversial. </w:t>
      </w:r>
    </w:p>
    <w:p w14:paraId="0ABF65D9" w14:textId="77777777" w:rsidR="00B56E05" w:rsidRPr="00CA1391" w:rsidRDefault="00B56E05" w:rsidP="007B0611">
      <w:pPr>
        <w:pStyle w:val="BodyA"/>
        <w:jc w:val="both"/>
        <w:rPr>
          <w:rFonts w:ascii="Times New Roman" w:eastAsia="Calibri" w:hAnsi="Times New Roman" w:cs="Times New Roman"/>
          <w:color w:val="000000" w:themeColor="text1"/>
          <w:sz w:val="24"/>
          <w:szCs w:val="24"/>
        </w:rPr>
      </w:pPr>
    </w:p>
    <w:p w14:paraId="63F84DEC" w14:textId="2F581EEA" w:rsidR="009A20A0" w:rsidRDefault="006A086E" w:rsidP="007B0611">
      <w:pPr>
        <w:pStyle w:val="BodyA"/>
        <w:jc w:val="both"/>
        <w:rPr>
          <w:rFonts w:ascii="Times New Roman" w:eastAsia="Calibri"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ab/>
        <w:t xml:space="preserve">Across the cases considered in this themed section, we find weak universalism in the liberal regime of the UK and strong universalism in the Nordic welfare regimes of Denmark and Finland, which is in turn historically driven by weak and strong developmentalism, respectively. In the cases in the middle of the range, notably in Spain, developmentalism is partial and therefore income security remains more fragmented. This typology around developmentalism and universalism is useful when prospects for basic income reform because institutional capacity inevitably </w:t>
      </w:r>
      <w:r w:rsidRPr="00CA1391">
        <w:rPr>
          <w:rFonts w:ascii="Times New Roman" w:eastAsia="Calibri" w:hAnsi="Times New Roman" w:cs="Times New Roman"/>
          <w:color w:val="000000" w:themeColor="text1"/>
          <w:sz w:val="24"/>
          <w:szCs w:val="24"/>
          <w:lang w:val="fr-FR"/>
        </w:rPr>
        <w:t xml:space="preserve">constrains </w:t>
      </w:r>
      <w:r w:rsidRPr="00CA1391">
        <w:rPr>
          <w:rFonts w:ascii="Times New Roman" w:eastAsia="Calibri" w:hAnsi="Times New Roman" w:cs="Times New Roman"/>
          <w:color w:val="000000" w:themeColor="text1"/>
          <w:sz w:val="24"/>
          <w:szCs w:val="24"/>
        </w:rPr>
        <w:t>political choices, which helps explain the relative incidence of basic income policy debates and moves towards trialling basic income pilots or experiments</w:t>
      </w:r>
      <w:r w:rsidR="00752773" w:rsidRPr="00CA1391">
        <w:rPr>
          <w:rFonts w:ascii="Times New Roman" w:eastAsia="Calibri" w:hAnsi="Times New Roman" w:cs="Times New Roman"/>
          <w:color w:val="000000" w:themeColor="text1"/>
          <w:sz w:val="24"/>
          <w:szCs w:val="24"/>
        </w:rPr>
        <w:t>, as well as the form these take</w:t>
      </w:r>
      <w:r w:rsidRPr="00CA1391">
        <w:rPr>
          <w:rFonts w:ascii="Times New Roman" w:eastAsia="Calibri" w:hAnsi="Times New Roman" w:cs="Times New Roman"/>
          <w:color w:val="000000" w:themeColor="text1"/>
          <w:sz w:val="24"/>
          <w:szCs w:val="24"/>
        </w:rPr>
        <w:t>.</w:t>
      </w:r>
    </w:p>
    <w:p w14:paraId="62A6BAAB" w14:textId="77777777" w:rsidR="00B56E05" w:rsidRPr="00CA1391" w:rsidRDefault="00B56E05" w:rsidP="007B0611">
      <w:pPr>
        <w:pStyle w:val="BodyA"/>
        <w:jc w:val="both"/>
        <w:rPr>
          <w:rFonts w:ascii="Times New Roman" w:eastAsia="Calibri" w:hAnsi="Times New Roman" w:cs="Times New Roman"/>
          <w:color w:val="000000" w:themeColor="text1"/>
          <w:sz w:val="24"/>
          <w:szCs w:val="24"/>
        </w:rPr>
      </w:pPr>
    </w:p>
    <w:p w14:paraId="47D23465" w14:textId="7B082E34" w:rsidR="009A20A0" w:rsidRPr="00CA1391" w:rsidRDefault="006A086E" w:rsidP="007B0611">
      <w:pPr>
        <w:pStyle w:val="BodyA"/>
        <w:jc w:val="both"/>
        <w:rPr>
          <w:rFonts w:ascii="Times New Roman" w:eastAsia="Calibri"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lastRenderedPageBreak/>
        <w:tab/>
        <w:t xml:space="preserve">In recent years, in all European welfare states both developmentalism and universalism have come under pressure by, respectively, marketisation and austerity. It is important to understand this dynamic development in relation to long-run trends: whilst long-run trends explain developments that have led to calls for piloting basic income in high tax countries (Finland, Denmark, Netherlands), recent dynamic trends partly explain the highly partial forms basic income reform has taken, and the still narrower choice set that exists in cases like the UK and Spain. In Spain, historically, partial developmentalism and universalism leading to stratified labour markets and weak public finance capacity narrows the menu of policy choices. </w:t>
      </w:r>
      <w:r w:rsidR="00752773" w:rsidRPr="00CA1391">
        <w:rPr>
          <w:rFonts w:ascii="Times New Roman" w:eastAsia="Calibri" w:hAnsi="Times New Roman" w:cs="Times New Roman"/>
          <w:color w:val="000000" w:themeColor="text1"/>
          <w:sz w:val="24"/>
          <w:szCs w:val="24"/>
        </w:rPr>
        <w:t xml:space="preserve">This then is an important factor in explaining the u-turn on basic income by key parties (e.g. Podemos, above). </w:t>
      </w:r>
      <w:r w:rsidRPr="00CA1391">
        <w:rPr>
          <w:rFonts w:ascii="Times New Roman" w:eastAsia="Calibri" w:hAnsi="Times New Roman" w:cs="Times New Roman"/>
          <w:color w:val="000000" w:themeColor="text1"/>
          <w:sz w:val="24"/>
          <w:szCs w:val="24"/>
        </w:rPr>
        <w:t>In Britain, a general rise in precarious work and hollowing out of income security provision since the 1980s — through deep public sector restructuring and cuts, indicating the reproduction of a low level of developmentalism and universalism — narrows policy choices through a different mechanism. In Denmark at the other end of the spectrum, a high level of both developmentalism and universalism leads to a more developmental sanctions regime, and a push to overturn it by pursuing a more unconditional form of developmental policy</w:t>
      </w:r>
      <w:r w:rsidR="00752773" w:rsidRPr="00CA1391">
        <w:rPr>
          <w:rFonts w:ascii="Times New Roman" w:eastAsia="Calibri" w:hAnsi="Times New Roman" w:cs="Times New Roman"/>
          <w:color w:val="000000" w:themeColor="text1"/>
          <w:sz w:val="24"/>
          <w:szCs w:val="24"/>
        </w:rPr>
        <w:t xml:space="preserve"> (Haagh 2019a)</w:t>
      </w:r>
      <w:r w:rsidRPr="00CA1391">
        <w:rPr>
          <w:rFonts w:ascii="Times New Roman" w:eastAsia="Calibri" w:hAnsi="Times New Roman" w:cs="Times New Roman"/>
          <w:color w:val="000000" w:themeColor="text1"/>
          <w:sz w:val="24"/>
          <w:szCs w:val="24"/>
        </w:rPr>
        <w:t>. A trend towards streamlining of income security provision in Finland, and experimentation with different behavioural incentive models within benefit policy in Holland also can be said to reflect different dimensions of universalism and developmentalism in each case, as the next section explores.</w:t>
      </w:r>
    </w:p>
    <w:p w14:paraId="6630E27A" w14:textId="56825D42" w:rsidR="009A20A0" w:rsidRPr="00CA1391" w:rsidRDefault="009A20A0" w:rsidP="007B0611">
      <w:pPr>
        <w:pStyle w:val="BodyA"/>
        <w:jc w:val="both"/>
        <w:rPr>
          <w:rFonts w:ascii="Times New Roman" w:eastAsia="Calibri" w:hAnsi="Times New Roman" w:cs="Times New Roman"/>
          <w:bCs/>
          <w:color w:val="000000" w:themeColor="text1"/>
          <w:sz w:val="24"/>
          <w:szCs w:val="24"/>
        </w:rPr>
      </w:pPr>
    </w:p>
    <w:p w14:paraId="624094E6" w14:textId="77777777" w:rsidR="00B65A64" w:rsidRPr="00CA1391" w:rsidRDefault="00B65A64" w:rsidP="007B0611">
      <w:pPr>
        <w:pStyle w:val="BodyA"/>
        <w:jc w:val="both"/>
        <w:rPr>
          <w:rFonts w:ascii="Times New Roman" w:eastAsia="Calibri" w:hAnsi="Times New Roman" w:cs="Times New Roman"/>
          <w:bCs/>
          <w:color w:val="000000" w:themeColor="text1"/>
          <w:sz w:val="24"/>
          <w:szCs w:val="24"/>
        </w:rPr>
      </w:pPr>
    </w:p>
    <w:p w14:paraId="7C6D4FB6" w14:textId="77777777" w:rsidR="009A20A0" w:rsidRPr="00CA1391" w:rsidRDefault="006A086E" w:rsidP="007B0611">
      <w:pPr>
        <w:pStyle w:val="BodyA"/>
        <w:jc w:val="both"/>
        <w:rPr>
          <w:rFonts w:ascii="Times New Roman" w:eastAsia="Calibri" w:hAnsi="Times New Roman" w:cs="Times New Roman"/>
          <w:bCs/>
          <w:color w:val="000000" w:themeColor="text1"/>
          <w:sz w:val="24"/>
          <w:szCs w:val="24"/>
        </w:rPr>
      </w:pPr>
      <w:r w:rsidRPr="00CA1391">
        <w:rPr>
          <w:rFonts w:ascii="Times New Roman" w:hAnsi="Times New Roman" w:cs="Times New Roman"/>
          <w:bCs/>
          <w:color w:val="000000" w:themeColor="text1"/>
          <w:sz w:val="24"/>
          <w:szCs w:val="24"/>
        </w:rPr>
        <w:t xml:space="preserve">Basic Income </w:t>
      </w:r>
      <w:r w:rsidRPr="00CA1391">
        <w:rPr>
          <w:rFonts w:ascii="Times New Roman" w:eastAsia="Calibri" w:hAnsi="Times New Roman" w:cs="Times New Roman"/>
          <w:bCs/>
          <w:color w:val="000000" w:themeColor="text1"/>
          <w:sz w:val="24"/>
          <w:szCs w:val="24"/>
        </w:rPr>
        <w:t>Trajectories</w:t>
      </w:r>
    </w:p>
    <w:p w14:paraId="5181A5FB" w14:textId="359B2F40" w:rsidR="00E92C4C" w:rsidRPr="00CA1391" w:rsidRDefault="00E92C4C" w:rsidP="007B0611">
      <w:pPr>
        <w:pStyle w:val="BodyA"/>
        <w:jc w:val="both"/>
        <w:rPr>
          <w:rFonts w:ascii="Times New Roman" w:eastAsia="Calibri" w:hAnsi="Times New Roman" w:cs="Times New Roman"/>
          <w:color w:val="000000" w:themeColor="text1"/>
          <w:sz w:val="24"/>
          <w:szCs w:val="24"/>
        </w:rPr>
      </w:pPr>
    </w:p>
    <w:p w14:paraId="671749D1" w14:textId="41358D95" w:rsidR="009A20A0" w:rsidRPr="00CA1391" w:rsidRDefault="006A086E" w:rsidP="007B0611">
      <w:pPr>
        <w:pStyle w:val="Default"/>
        <w:suppressAutoHyphens/>
        <w:jc w:val="both"/>
        <w:rPr>
          <w:rFonts w:ascii="Times New Roman" w:eastAsia="Calibri"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ab/>
        <w:t xml:space="preserve">In the case of Denmark, the way developmentalism and universalism are embedded in the structure of income security arguably explains the emphasis on developmental approaches in partial basic income trials. In Denmark, during austerity, spending on training was reinforced whereas in the Netherlands it was sharply reduced. This reflects two different approaches to flexicurity, with fast case load reduction a core objective in the Low Countries. Spain increased public spending on training but against a background of greater labour market stratification and lower levels of public finance in GDP. The problems generated by stratification in terms of lower levels of income security coverage helps explain the public interest in versions of basic income in Spain among parties on the Left, whilst actual steps towards basic income are judged to be premature, pending build-up through means-testing of a broader system of income security for those not in the occupational system. Hence in Spain, the partial nature of both </w:t>
      </w:r>
      <w:r w:rsidRPr="00CA1391">
        <w:rPr>
          <w:rFonts w:ascii="Times New Roman" w:eastAsia="Calibri" w:hAnsi="Times New Roman" w:cs="Times New Roman"/>
          <w:color w:val="000000" w:themeColor="text1"/>
          <w:sz w:val="24"/>
          <w:szCs w:val="24"/>
        </w:rPr>
        <w:lastRenderedPageBreak/>
        <w:t>developmentalism and universalism entails a strong bias towards proceeding through building up means-tested schemes, as argued by Noguera</w:t>
      </w:r>
      <w:r w:rsidR="00503594" w:rsidRPr="00CA1391">
        <w:rPr>
          <w:rFonts w:ascii="Times New Roman" w:eastAsia="Calibri" w:hAnsi="Times New Roman" w:cs="Times New Roman"/>
          <w:color w:val="000000" w:themeColor="text1"/>
          <w:sz w:val="24"/>
          <w:szCs w:val="24"/>
        </w:rPr>
        <w:t xml:space="preserve"> in this special issue</w:t>
      </w:r>
      <w:r w:rsidRPr="00CA1391">
        <w:rPr>
          <w:rFonts w:ascii="Times New Roman" w:eastAsia="Calibri" w:hAnsi="Times New Roman" w:cs="Times New Roman"/>
          <w:color w:val="000000" w:themeColor="text1"/>
          <w:sz w:val="24"/>
          <w:szCs w:val="24"/>
        </w:rPr>
        <w:t>. In the UK, persistent hollowing out of universalism and developmentalism generates a conservative approach to income security reform, through a continuation of a trend towards a flattening of income security system (Clasen and Clegg, 2012</w:t>
      </w:r>
      <w:r w:rsidR="00B70874" w:rsidRPr="00CA1391">
        <w:rPr>
          <w:rFonts w:ascii="Times New Roman" w:eastAsia="Calibri" w:hAnsi="Times New Roman" w:cs="Times New Roman"/>
          <w:color w:val="000000" w:themeColor="text1"/>
          <w:sz w:val="24"/>
          <w:szCs w:val="24"/>
        </w:rPr>
        <w:t>; Haagh 2012</w:t>
      </w:r>
      <w:r w:rsidRPr="00CA1391">
        <w:rPr>
          <w:rFonts w:ascii="Times New Roman" w:eastAsia="Calibri" w:hAnsi="Times New Roman" w:cs="Times New Roman"/>
          <w:color w:val="000000" w:themeColor="text1"/>
          <w:sz w:val="24"/>
          <w:szCs w:val="24"/>
        </w:rPr>
        <w:t>). The direction of change in this case can be considered to emerge on the back of weak occupational systems (</w:t>
      </w:r>
      <w:r w:rsidR="007B5D52" w:rsidRPr="00CA1391">
        <w:rPr>
          <w:rFonts w:ascii="Times New Roman" w:eastAsia="Palatino Linotype" w:hAnsi="Times New Roman" w:cs="Times New Roman"/>
          <w:color w:val="000000" w:themeColor="text1"/>
          <w:sz w:val="24"/>
          <w:szCs w:val="24"/>
        </w:rPr>
        <w:t>Finegold and Soskice, 1988</w:t>
      </w:r>
      <w:r w:rsidRPr="00CA1391">
        <w:rPr>
          <w:rFonts w:ascii="Times New Roman" w:eastAsia="Calibri" w:hAnsi="Times New Roman" w:cs="Times New Roman"/>
          <w:color w:val="000000" w:themeColor="text1"/>
          <w:sz w:val="24"/>
          <w:szCs w:val="24"/>
        </w:rPr>
        <w:t xml:space="preserve">) and a steady dilution of coverage of income security benefit systems, starting in the 1980s with the effective abandonment of wage-linked unemployment insurance (Clasen, </w:t>
      </w:r>
      <w:r w:rsidR="00B70874" w:rsidRPr="00CA1391">
        <w:rPr>
          <w:rFonts w:ascii="Times New Roman" w:eastAsia="Calibri" w:hAnsi="Times New Roman" w:cs="Times New Roman"/>
          <w:color w:val="000000" w:themeColor="text1"/>
          <w:sz w:val="24"/>
          <w:szCs w:val="24"/>
        </w:rPr>
        <w:t>2001</w:t>
      </w:r>
      <w:r w:rsidRPr="00CA1391">
        <w:rPr>
          <w:rFonts w:ascii="Times New Roman" w:eastAsia="Calibri" w:hAnsi="Times New Roman" w:cs="Times New Roman"/>
          <w:color w:val="000000" w:themeColor="text1"/>
          <w:sz w:val="24"/>
          <w:szCs w:val="24"/>
        </w:rPr>
        <w:t xml:space="preserve">). </w:t>
      </w:r>
    </w:p>
    <w:p w14:paraId="53FFFC6B" w14:textId="423588EF" w:rsidR="00072491" w:rsidRPr="00CA1391" w:rsidRDefault="00072491" w:rsidP="007B0611">
      <w:pPr>
        <w:pStyle w:val="BodyA"/>
        <w:jc w:val="both"/>
        <w:rPr>
          <w:rFonts w:ascii="Times New Roman" w:eastAsia="Calibri" w:hAnsi="Times New Roman" w:cs="Times New Roman"/>
          <w:color w:val="000000" w:themeColor="text1"/>
          <w:sz w:val="24"/>
          <w:szCs w:val="24"/>
        </w:rPr>
      </w:pPr>
    </w:p>
    <w:p w14:paraId="0377D7CE" w14:textId="33118829" w:rsidR="009A20A0" w:rsidRPr="00CA1391" w:rsidRDefault="006A086E" w:rsidP="007B0611">
      <w:pPr>
        <w:pStyle w:val="BodyA"/>
        <w:jc w:val="both"/>
        <w:rPr>
          <w:rFonts w:ascii="Times New Roman" w:eastAsia="Calibri"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ab/>
        <w:t>In short, ongoing basic income debate as well as recent initiatives to pilot limited partial basic income schemes in select European welfare states reflect state adaptation to changing labour market and fiscal conditions filtered through firmly entrenched institutions. On the other hand, the impetus for basic income experimentation comes on the back of incremental changes to streamline income security (Finland), public sector audits of sanctions policies (Denmark), and concern with motivational disincentives built into existing systems (Holland). The way this has occurred has not simply or even mainly been the outcome of political bargaining, as class-coalitional models linked with the comparative welfare state literature might lead one to expect. The UK can be considered as a relevant counterfactual: in Britain there has been a broadly negative reception to basic income within the policy establishment. The effect of deep political bias against unconditional working age welfare along with deep fiscal constraints entail highly conservative projections about basic income levels, funding and prospects (</w:t>
      </w:r>
      <w:r w:rsidR="00B65A64" w:rsidRPr="00CA1391">
        <w:rPr>
          <w:rFonts w:ascii="Times New Roman" w:eastAsia="Calibri" w:hAnsi="Times New Roman" w:cs="Times New Roman"/>
          <w:color w:val="000000" w:themeColor="text1"/>
          <w:sz w:val="24"/>
          <w:szCs w:val="24"/>
        </w:rPr>
        <w:t xml:space="preserve">Haagh 2019a; </w:t>
      </w:r>
      <w:r w:rsidRPr="00CA1391">
        <w:rPr>
          <w:rFonts w:ascii="Times New Roman" w:eastAsia="Calibri" w:hAnsi="Times New Roman" w:cs="Times New Roman"/>
          <w:color w:val="000000" w:themeColor="text1"/>
          <w:sz w:val="24"/>
          <w:szCs w:val="24"/>
        </w:rPr>
        <w:t>Martinelli, forthcoming).</w:t>
      </w:r>
    </w:p>
    <w:p w14:paraId="0C41C342" w14:textId="484997FE" w:rsidR="00B12335" w:rsidRPr="00CA1391" w:rsidRDefault="00B12335" w:rsidP="007B0611">
      <w:pPr>
        <w:pStyle w:val="BodyA"/>
        <w:jc w:val="both"/>
        <w:rPr>
          <w:rFonts w:ascii="Times New Roman" w:eastAsia="Calibri" w:hAnsi="Times New Roman" w:cs="Times New Roman"/>
          <w:color w:val="000000" w:themeColor="text1"/>
          <w:sz w:val="24"/>
          <w:szCs w:val="24"/>
        </w:rPr>
      </w:pPr>
    </w:p>
    <w:p w14:paraId="78E2F804" w14:textId="0E1C7FF1" w:rsidR="008D62D0" w:rsidRPr="00CA1391" w:rsidRDefault="00752773" w:rsidP="00F403A8">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Calibri"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The cases at hand also help show how political dynamics linked with liberalisation processes change over time as well as how changes in the whole system of governing is involved.</w:t>
      </w:r>
      <w:r w:rsidR="008D62D0" w:rsidRPr="00CA1391">
        <w:rPr>
          <w:rFonts w:ascii="Times New Roman" w:eastAsia="Calibri" w:hAnsi="Times New Roman" w:cs="Times New Roman"/>
          <w:color w:val="000000" w:themeColor="text1"/>
          <w:sz w:val="24"/>
          <w:szCs w:val="24"/>
        </w:rPr>
        <w:t xml:space="preserve"> </w:t>
      </w:r>
      <w:r w:rsidR="00B65A64" w:rsidRPr="00CA1391">
        <w:rPr>
          <w:rFonts w:ascii="Times New Roman" w:eastAsia="Calibri" w:hAnsi="Times New Roman" w:cs="Times New Roman"/>
          <w:color w:val="000000" w:themeColor="text1"/>
          <w:sz w:val="24"/>
          <w:szCs w:val="24"/>
        </w:rPr>
        <w:t>What Streeck and Thelen (2005) identify as ‘slow conversion of existing institutions’ of income security  arguably is more likely in countries with greater capacity and lower inequality, whereas ‘tolerated drift of institutions away from social reality’ is more likely under low capacity and high inequality.</w:t>
      </w:r>
    </w:p>
    <w:p w14:paraId="60EF9304" w14:textId="7A03A522" w:rsidR="00B65A64" w:rsidRPr="00CA1391" w:rsidRDefault="00B65A64" w:rsidP="00F403A8">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Calibri"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 xml:space="preserve"> </w:t>
      </w:r>
    </w:p>
    <w:p w14:paraId="37D57EAD" w14:textId="05A10949" w:rsidR="00B12335" w:rsidRPr="00CA1391" w:rsidRDefault="008D62D0" w:rsidP="00F403A8">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Calibri"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 xml:space="preserve">At the same time, changes in income security cannot be isolated from patterns of change in and levels of governance capacity as a whole. </w:t>
      </w:r>
      <w:r w:rsidR="00B12335" w:rsidRPr="00CA1391">
        <w:rPr>
          <w:rFonts w:ascii="Times New Roman" w:eastAsia="Calibri" w:hAnsi="Times New Roman" w:cs="Times New Roman"/>
          <w:color w:val="000000" w:themeColor="text1"/>
          <w:sz w:val="24"/>
          <w:szCs w:val="24"/>
        </w:rPr>
        <w:t>E.g. in Britain, the ‘soci</w:t>
      </w:r>
      <w:r w:rsidR="00B65A64" w:rsidRPr="00CA1391">
        <w:rPr>
          <w:rFonts w:ascii="Times New Roman" w:eastAsia="Calibri" w:hAnsi="Times New Roman" w:cs="Times New Roman"/>
          <w:color w:val="000000" w:themeColor="text1"/>
          <w:sz w:val="24"/>
          <w:szCs w:val="24"/>
        </w:rPr>
        <w:t>al reality’ that cannot be met in the case of income security</w:t>
      </w:r>
      <w:r w:rsidR="00B12335" w:rsidRPr="00CA1391">
        <w:rPr>
          <w:rFonts w:ascii="Times New Roman" w:eastAsia="Calibri" w:hAnsi="Times New Roman" w:cs="Times New Roman"/>
          <w:color w:val="000000" w:themeColor="text1"/>
          <w:sz w:val="24"/>
          <w:szCs w:val="24"/>
        </w:rPr>
        <w:t xml:space="preserve"> is connected with a high level of wage erosion and precarity which in the end generat</w:t>
      </w:r>
      <w:r w:rsidR="00752773" w:rsidRPr="00CA1391">
        <w:rPr>
          <w:rFonts w:ascii="Times New Roman" w:eastAsia="Calibri" w:hAnsi="Times New Roman" w:cs="Times New Roman"/>
          <w:color w:val="000000" w:themeColor="text1"/>
          <w:sz w:val="24"/>
          <w:szCs w:val="24"/>
        </w:rPr>
        <w:t>e needs and pressures that exis</w:t>
      </w:r>
      <w:r w:rsidR="00B12335" w:rsidRPr="00CA1391">
        <w:rPr>
          <w:rFonts w:ascii="Times New Roman" w:eastAsia="Calibri" w:hAnsi="Times New Roman" w:cs="Times New Roman"/>
          <w:color w:val="000000" w:themeColor="text1"/>
          <w:sz w:val="24"/>
          <w:szCs w:val="24"/>
        </w:rPr>
        <w:t xml:space="preserve">ting public support systems cannot easily </w:t>
      </w:r>
      <w:r w:rsidR="00B12335" w:rsidRPr="00CA1391">
        <w:rPr>
          <w:rFonts w:ascii="Times New Roman" w:eastAsia="Calibri" w:hAnsi="Times New Roman" w:cs="Times New Roman"/>
          <w:color w:val="000000" w:themeColor="text1"/>
          <w:sz w:val="24"/>
          <w:szCs w:val="24"/>
        </w:rPr>
        <w:lastRenderedPageBreak/>
        <w:t>meet. In a constrained environment, rather than adapt the syste</w:t>
      </w:r>
      <w:r w:rsidR="00072491" w:rsidRPr="00CA1391">
        <w:rPr>
          <w:rFonts w:ascii="Times New Roman" w:eastAsia="Calibri" w:hAnsi="Times New Roman" w:cs="Times New Roman"/>
          <w:color w:val="000000" w:themeColor="text1"/>
          <w:sz w:val="24"/>
          <w:szCs w:val="24"/>
        </w:rPr>
        <w:t>m to needs, the state constrain</w:t>
      </w:r>
      <w:r w:rsidR="00B12335" w:rsidRPr="00CA1391">
        <w:rPr>
          <w:rFonts w:ascii="Times New Roman" w:eastAsia="Calibri" w:hAnsi="Times New Roman" w:cs="Times New Roman"/>
          <w:color w:val="000000" w:themeColor="text1"/>
          <w:sz w:val="24"/>
          <w:szCs w:val="24"/>
        </w:rPr>
        <w:t>s access as a mode of adju</w:t>
      </w:r>
      <w:r w:rsidR="00072491" w:rsidRPr="00CA1391">
        <w:rPr>
          <w:rFonts w:ascii="Times New Roman" w:eastAsia="Calibri" w:hAnsi="Times New Roman" w:cs="Times New Roman"/>
          <w:color w:val="000000" w:themeColor="text1"/>
          <w:sz w:val="24"/>
          <w:szCs w:val="24"/>
        </w:rPr>
        <w:t>stment. In this case, then,</w:t>
      </w:r>
      <w:r w:rsidR="00B12335" w:rsidRPr="00CA1391">
        <w:rPr>
          <w:rFonts w:ascii="Times New Roman" w:eastAsia="Calibri" w:hAnsi="Times New Roman" w:cs="Times New Roman"/>
          <w:color w:val="000000" w:themeColor="text1"/>
          <w:sz w:val="24"/>
          <w:szCs w:val="24"/>
        </w:rPr>
        <w:t xml:space="preserve"> low capacity leads to active drift, reinforcing or extending low capacity. The mechanisms of public sector exhaustion inherent in liberalization manifest more strongly – e.g. whereby the scale of unmanageable social challenges generates decreasing returns in a</w:t>
      </w:r>
      <w:r w:rsidR="00072491" w:rsidRPr="00CA1391">
        <w:rPr>
          <w:rFonts w:ascii="Times New Roman" w:eastAsia="Calibri" w:hAnsi="Times New Roman" w:cs="Times New Roman"/>
          <w:color w:val="000000" w:themeColor="text1"/>
          <w:sz w:val="24"/>
          <w:szCs w:val="24"/>
        </w:rPr>
        <w:t>ttempting to tackle them fully</w:t>
      </w:r>
      <w:r w:rsidR="00B12335" w:rsidRPr="00CA1391">
        <w:rPr>
          <w:rFonts w:ascii="Times New Roman" w:eastAsia="Calibri" w:hAnsi="Times New Roman" w:cs="Times New Roman"/>
          <w:color w:val="000000" w:themeColor="text1"/>
          <w:sz w:val="24"/>
          <w:szCs w:val="24"/>
        </w:rPr>
        <w:t>.</w:t>
      </w:r>
    </w:p>
    <w:p w14:paraId="1BB766F4" w14:textId="2C662418" w:rsidR="00B12335" w:rsidRPr="00CA1391" w:rsidRDefault="00B12335" w:rsidP="007B0611">
      <w:pPr>
        <w:pStyle w:val="BodyA"/>
        <w:jc w:val="both"/>
        <w:rPr>
          <w:rFonts w:ascii="Times New Roman" w:eastAsia="Calibri" w:hAnsi="Times New Roman" w:cs="Times New Roman"/>
          <w:color w:val="000000" w:themeColor="text1"/>
          <w:sz w:val="24"/>
          <w:szCs w:val="24"/>
        </w:rPr>
      </w:pPr>
    </w:p>
    <w:p w14:paraId="279EBD7F" w14:textId="4CF7488B" w:rsidR="009A20A0" w:rsidRPr="00CA1391" w:rsidRDefault="006A086E" w:rsidP="007B0611">
      <w:pPr>
        <w:pStyle w:val="BodyA"/>
        <w:jc w:val="both"/>
        <w:rPr>
          <w:rFonts w:ascii="Times New Roman" w:eastAsia="Times New Roman"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In sum, underlying conditions and drivers of change also shape the likely mechanisms of change. In countries where high universalism and develop</w:t>
      </w:r>
      <w:r w:rsidR="008D62D0" w:rsidRPr="00CA1391">
        <w:rPr>
          <w:rFonts w:ascii="Times New Roman" w:eastAsia="Calibri" w:hAnsi="Times New Roman" w:cs="Times New Roman"/>
          <w:color w:val="000000" w:themeColor="text1"/>
          <w:sz w:val="24"/>
          <w:szCs w:val="24"/>
        </w:rPr>
        <w:t>mentalism shape income security adaptation</w:t>
      </w:r>
      <w:r w:rsidR="0057741A" w:rsidRPr="00CA1391">
        <w:rPr>
          <w:rFonts w:ascii="Times New Roman" w:eastAsia="Calibri" w:hAnsi="Times New Roman" w:cs="Times New Roman"/>
          <w:color w:val="000000" w:themeColor="text1"/>
          <w:sz w:val="24"/>
          <w:szCs w:val="24"/>
        </w:rPr>
        <w:t xml:space="preserve"> </w:t>
      </w:r>
      <w:r w:rsidRPr="00CA1391">
        <w:rPr>
          <w:rFonts w:ascii="Times New Roman" w:eastAsia="Calibri" w:hAnsi="Times New Roman" w:cs="Times New Roman"/>
          <w:color w:val="000000" w:themeColor="text1"/>
          <w:sz w:val="24"/>
          <w:szCs w:val="24"/>
        </w:rPr>
        <w:t xml:space="preserve">(e.g. Denmark), institutional capacity supports a form of intentional change which is both revertive – </w:t>
      </w:r>
      <w:r w:rsidR="00072491" w:rsidRPr="00CA1391">
        <w:rPr>
          <w:rFonts w:ascii="Times New Roman" w:eastAsia="Calibri" w:hAnsi="Times New Roman" w:cs="Times New Roman"/>
          <w:color w:val="000000" w:themeColor="text1"/>
          <w:sz w:val="24"/>
          <w:szCs w:val="24"/>
        </w:rPr>
        <w:t xml:space="preserve">a </w:t>
      </w:r>
      <w:r w:rsidRPr="00CA1391">
        <w:rPr>
          <w:rFonts w:ascii="Times New Roman" w:eastAsia="Calibri" w:hAnsi="Times New Roman" w:cs="Times New Roman"/>
          <w:color w:val="000000" w:themeColor="text1"/>
          <w:sz w:val="24"/>
          <w:szCs w:val="24"/>
        </w:rPr>
        <w:t>turning back to reinforce developmental traditions against Neo-liberal trends — and potentially transformative. On the other hand, in Finland where experiments have emerged on the back of reforms to streamline income security in the context of a strong tradition of universalism but weaker developmentalism in terms of skills coordination, it is relevant to speak about a continuing form of layering. In the Netherlands, where both universalism and developmentalism are relatively more partial, a form of conversion whereby actors use existing institutions for new purposes — e.g. a new form of local behaviour experimentation — is visible. In Spain where developmentalism (</w:t>
      </w:r>
      <w:r w:rsidRPr="00CA1391">
        <w:rPr>
          <w:rFonts w:ascii="Times New Roman" w:eastAsia="Calibri" w:hAnsi="Times New Roman" w:cs="Times New Roman"/>
          <w:color w:val="000000" w:themeColor="text1"/>
          <w:sz w:val="24"/>
          <w:szCs w:val="24"/>
          <w:lang w:val="it-IT"/>
        </w:rPr>
        <w:t>occupational regimes)</w:t>
      </w:r>
      <w:r w:rsidRPr="00CA1391">
        <w:rPr>
          <w:rFonts w:ascii="Times New Roman" w:eastAsia="Calibri" w:hAnsi="Times New Roman" w:cs="Times New Roman"/>
          <w:color w:val="000000" w:themeColor="text1"/>
          <w:sz w:val="24"/>
          <w:szCs w:val="24"/>
        </w:rPr>
        <w:t xml:space="preserve"> is highly stratified — featuring a large informal sector — and universalism in income protection is weak, institutional change is less likely and necessarily gradual. In the UK with a more developed residual income protection system, gradually falling coverage interact with greater short-term constraints to present a strong barrier to change.</w:t>
      </w:r>
    </w:p>
    <w:p w14:paraId="6803D813" w14:textId="0F6812E3" w:rsidR="001A45FB" w:rsidRPr="00CA1391" w:rsidRDefault="001A45FB" w:rsidP="007B0611">
      <w:pPr>
        <w:pStyle w:val="BodyA"/>
        <w:jc w:val="both"/>
        <w:rPr>
          <w:rFonts w:ascii="Times New Roman" w:eastAsia="Calibri" w:hAnsi="Times New Roman" w:cs="Times New Roman"/>
          <w:bCs/>
          <w:color w:val="000000" w:themeColor="text1"/>
          <w:sz w:val="24"/>
          <w:szCs w:val="24"/>
        </w:rPr>
      </w:pPr>
    </w:p>
    <w:p w14:paraId="3FBAFE01" w14:textId="3638277A" w:rsidR="001A1E66" w:rsidRPr="00CA1391" w:rsidRDefault="00A16EAC" w:rsidP="007B0611">
      <w:pPr>
        <w:pStyle w:val="BodyA"/>
        <w:jc w:val="both"/>
        <w:rPr>
          <w:rFonts w:ascii="Times New Roman" w:eastAsia="Calibri" w:hAnsi="Times New Roman" w:cs="Times New Roman"/>
          <w:bCs/>
          <w:color w:val="000000" w:themeColor="text1"/>
          <w:sz w:val="24"/>
          <w:szCs w:val="24"/>
        </w:rPr>
      </w:pPr>
      <w:r w:rsidRPr="00CA1391">
        <w:rPr>
          <w:rFonts w:ascii="Times New Roman" w:eastAsia="Calibri" w:hAnsi="Times New Roman" w:cs="Times New Roman"/>
          <w:bCs/>
          <w:color w:val="000000" w:themeColor="text1"/>
          <w:sz w:val="24"/>
          <w:szCs w:val="24"/>
        </w:rPr>
        <w:t>An important factor in varying public governance capacity and policy innovatio</w:t>
      </w:r>
      <w:r w:rsidR="00072491" w:rsidRPr="00CA1391">
        <w:rPr>
          <w:rFonts w:ascii="Times New Roman" w:eastAsia="Calibri" w:hAnsi="Times New Roman" w:cs="Times New Roman"/>
          <w:bCs/>
          <w:color w:val="000000" w:themeColor="text1"/>
          <w:sz w:val="24"/>
          <w:szCs w:val="24"/>
        </w:rPr>
        <w:t>n across the cases considered is</w:t>
      </w:r>
      <w:r w:rsidRPr="00CA1391">
        <w:rPr>
          <w:rFonts w:ascii="Times New Roman" w:eastAsia="Calibri" w:hAnsi="Times New Roman" w:cs="Times New Roman"/>
          <w:bCs/>
          <w:color w:val="000000" w:themeColor="text1"/>
          <w:sz w:val="24"/>
          <w:szCs w:val="24"/>
        </w:rPr>
        <w:t xml:space="preserve"> local government.</w:t>
      </w:r>
      <w:r w:rsidR="00AA49A0" w:rsidRPr="00CA1391">
        <w:rPr>
          <w:rFonts w:ascii="Times New Roman" w:eastAsia="Calibri" w:hAnsi="Times New Roman" w:cs="Times New Roman"/>
          <w:bCs/>
          <w:color w:val="000000" w:themeColor="text1"/>
          <w:sz w:val="24"/>
          <w:szCs w:val="24"/>
        </w:rPr>
        <w:t xml:space="preserve"> </w:t>
      </w:r>
      <w:r w:rsidRPr="00CA1391">
        <w:rPr>
          <w:rFonts w:ascii="Times New Roman" w:eastAsia="Calibri" w:hAnsi="Times New Roman" w:cs="Times New Roman"/>
          <w:bCs/>
          <w:color w:val="000000" w:themeColor="text1"/>
          <w:sz w:val="24"/>
          <w:szCs w:val="24"/>
        </w:rPr>
        <w:t>The case of incorporating innovation in income security shows how bureaucrats at national and local level perform potentially key</w:t>
      </w:r>
      <w:r w:rsidR="009C2722" w:rsidRPr="00CA1391">
        <w:rPr>
          <w:rFonts w:ascii="Times New Roman" w:eastAsia="Calibri" w:hAnsi="Times New Roman" w:cs="Times New Roman"/>
          <w:bCs/>
          <w:color w:val="000000" w:themeColor="text1"/>
          <w:sz w:val="24"/>
          <w:szCs w:val="24"/>
        </w:rPr>
        <w:t xml:space="preserve"> roles in</w:t>
      </w:r>
      <w:r w:rsidR="001A45FB" w:rsidRPr="00CA1391">
        <w:rPr>
          <w:rFonts w:ascii="Times New Roman" w:eastAsia="Calibri" w:hAnsi="Times New Roman" w:cs="Times New Roman"/>
          <w:bCs/>
          <w:color w:val="000000" w:themeColor="text1"/>
          <w:sz w:val="24"/>
          <w:szCs w:val="24"/>
        </w:rPr>
        <w:t xml:space="preserve"> </w:t>
      </w:r>
      <w:r w:rsidRPr="00CA1391">
        <w:rPr>
          <w:rFonts w:ascii="Times New Roman" w:eastAsia="Calibri" w:hAnsi="Times New Roman" w:cs="Times New Roman"/>
          <w:bCs/>
          <w:color w:val="000000" w:themeColor="text1"/>
          <w:sz w:val="24"/>
          <w:szCs w:val="24"/>
        </w:rPr>
        <w:t>resistance to trend, in a context in which the importance of public governance capacity has increased, yet national government is constrained.</w:t>
      </w:r>
      <w:r w:rsidR="00AA49A0" w:rsidRPr="00CA1391">
        <w:rPr>
          <w:rFonts w:ascii="Times New Roman" w:eastAsia="Calibri" w:hAnsi="Times New Roman" w:cs="Times New Roman"/>
          <w:bCs/>
          <w:color w:val="000000" w:themeColor="text1"/>
          <w:sz w:val="24"/>
          <w:szCs w:val="24"/>
        </w:rPr>
        <w:t xml:space="preserve"> </w:t>
      </w:r>
      <w:r w:rsidRPr="00CA1391">
        <w:rPr>
          <w:rFonts w:ascii="Times New Roman" w:eastAsia="Calibri" w:hAnsi="Times New Roman" w:cs="Times New Roman"/>
          <w:bCs/>
          <w:color w:val="000000" w:themeColor="text1"/>
          <w:sz w:val="24"/>
          <w:szCs w:val="24"/>
        </w:rPr>
        <w:t>This is especially true where local government is relatively better resourced and autonomous.</w:t>
      </w:r>
      <w:r w:rsidR="00AA49A0" w:rsidRPr="00CA1391">
        <w:rPr>
          <w:rFonts w:ascii="Times New Roman" w:eastAsia="Calibri" w:hAnsi="Times New Roman" w:cs="Times New Roman"/>
          <w:bCs/>
          <w:color w:val="000000" w:themeColor="text1"/>
          <w:sz w:val="24"/>
          <w:szCs w:val="24"/>
        </w:rPr>
        <w:t xml:space="preserve"> </w:t>
      </w:r>
      <w:r w:rsidR="00E7211D" w:rsidRPr="00CA1391">
        <w:rPr>
          <w:rFonts w:ascii="Times New Roman" w:eastAsia="Calibri" w:hAnsi="Times New Roman" w:cs="Times New Roman"/>
          <w:bCs/>
          <w:color w:val="000000" w:themeColor="text1"/>
          <w:sz w:val="24"/>
          <w:szCs w:val="24"/>
        </w:rPr>
        <w:t>In particular</w:t>
      </w:r>
      <w:r w:rsidR="001A45FB" w:rsidRPr="00CA1391">
        <w:rPr>
          <w:rFonts w:ascii="Times New Roman" w:eastAsia="Calibri" w:hAnsi="Times New Roman" w:cs="Times New Roman"/>
          <w:bCs/>
          <w:color w:val="000000" w:themeColor="text1"/>
          <w:sz w:val="24"/>
          <w:szCs w:val="24"/>
        </w:rPr>
        <w:t>,</w:t>
      </w:r>
      <w:r w:rsidR="00E7211D" w:rsidRPr="00CA1391">
        <w:rPr>
          <w:rFonts w:ascii="Times New Roman" w:eastAsia="Calibri" w:hAnsi="Times New Roman" w:cs="Times New Roman"/>
          <w:bCs/>
          <w:color w:val="000000" w:themeColor="text1"/>
          <w:sz w:val="24"/>
          <w:szCs w:val="24"/>
        </w:rPr>
        <w:t xml:space="preserve"> local governments and administrators (e.g. cases of Holland and Denmark in this section) have been shown to play a key role. </w:t>
      </w:r>
      <w:r w:rsidR="001A45FB" w:rsidRPr="00CA1391">
        <w:rPr>
          <w:rFonts w:ascii="Times New Roman" w:eastAsia="Calibri" w:hAnsi="Times New Roman" w:cs="Times New Roman"/>
          <w:bCs/>
          <w:color w:val="000000" w:themeColor="text1"/>
          <w:sz w:val="24"/>
          <w:szCs w:val="24"/>
        </w:rPr>
        <w:t>Notably, in both Holland and Denmark, national policy steering is complemented with devolved governance of intersections between labour market and income security policy (Mosley 2012, 15-16).</w:t>
      </w:r>
      <w:r w:rsidR="001A45FB" w:rsidRPr="00CA1391">
        <w:rPr>
          <w:rStyle w:val="FootnoteReference"/>
          <w:rFonts w:ascii="Times New Roman" w:eastAsia="Calibri" w:hAnsi="Times New Roman" w:cs="Times New Roman"/>
          <w:bCs/>
          <w:color w:val="000000" w:themeColor="text1"/>
          <w:sz w:val="24"/>
          <w:szCs w:val="24"/>
        </w:rPr>
        <w:footnoteReference w:id="3"/>
      </w:r>
      <w:r w:rsidR="00AA49A0" w:rsidRPr="00CA1391">
        <w:rPr>
          <w:rFonts w:ascii="Times New Roman" w:eastAsia="Calibri" w:hAnsi="Times New Roman" w:cs="Times New Roman"/>
          <w:bCs/>
          <w:color w:val="000000" w:themeColor="text1"/>
          <w:sz w:val="24"/>
          <w:szCs w:val="24"/>
        </w:rPr>
        <w:t xml:space="preserve"> </w:t>
      </w:r>
    </w:p>
    <w:p w14:paraId="27C58AC9" w14:textId="77777777" w:rsidR="001A1E66" w:rsidRPr="00CA1391" w:rsidRDefault="001A1E66" w:rsidP="007B0611">
      <w:pPr>
        <w:pStyle w:val="BodyA"/>
        <w:jc w:val="both"/>
        <w:rPr>
          <w:rFonts w:ascii="Times New Roman" w:eastAsia="Calibri" w:hAnsi="Times New Roman" w:cs="Times New Roman"/>
          <w:bCs/>
          <w:color w:val="000000" w:themeColor="text1"/>
          <w:sz w:val="24"/>
          <w:szCs w:val="24"/>
        </w:rPr>
      </w:pPr>
    </w:p>
    <w:p w14:paraId="08F3F66C" w14:textId="4CBF9883" w:rsidR="00B258DE" w:rsidRPr="00CA1391" w:rsidRDefault="00C84BEB" w:rsidP="009C2722">
      <w:pPr>
        <w:pStyle w:val="BodyA"/>
        <w:jc w:val="both"/>
        <w:rPr>
          <w:rFonts w:ascii="Times New Roman" w:eastAsia="Calibri" w:hAnsi="Times New Roman" w:cs="Times New Roman"/>
          <w:bCs/>
          <w:color w:val="000000" w:themeColor="text1"/>
          <w:sz w:val="24"/>
          <w:szCs w:val="24"/>
        </w:rPr>
      </w:pPr>
      <w:r w:rsidRPr="00CA1391">
        <w:rPr>
          <w:rFonts w:ascii="Times New Roman" w:eastAsia="Calibri" w:hAnsi="Times New Roman" w:cs="Times New Roman"/>
          <w:bCs/>
          <w:color w:val="000000" w:themeColor="text1"/>
          <w:sz w:val="24"/>
          <w:szCs w:val="24"/>
        </w:rPr>
        <w:t>Whil</w:t>
      </w:r>
      <w:r w:rsidR="00DB1709" w:rsidRPr="00CA1391">
        <w:rPr>
          <w:rFonts w:ascii="Times New Roman" w:eastAsia="Calibri" w:hAnsi="Times New Roman" w:cs="Times New Roman"/>
          <w:bCs/>
          <w:color w:val="000000" w:themeColor="text1"/>
          <w:sz w:val="24"/>
          <w:szCs w:val="24"/>
        </w:rPr>
        <w:t>st devolution of managerial responsibility is a global trend, countries in which local respons</w:t>
      </w:r>
      <w:r w:rsidR="001A1E66" w:rsidRPr="00CA1391">
        <w:rPr>
          <w:rFonts w:ascii="Times New Roman" w:eastAsia="Calibri" w:hAnsi="Times New Roman" w:cs="Times New Roman"/>
          <w:bCs/>
          <w:color w:val="000000" w:themeColor="text1"/>
          <w:sz w:val="24"/>
          <w:szCs w:val="24"/>
        </w:rPr>
        <w:t xml:space="preserve">ibility translates into </w:t>
      </w:r>
      <w:r w:rsidR="00DB1709" w:rsidRPr="00CA1391">
        <w:rPr>
          <w:rFonts w:ascii="Times New Roman" w:eastAsia="Calibri" w:hAnsi="Times New Roman" w:cs="Times New Roman"/>
          <w:bCs/>
          <w:color w:val="000000" w:themeColor="text1"/>
          <w:sz w:val="24"/>
          <w:szCs w:val="24"/>
        </w:rPr>
        <w:t>legal flexibility</w:t>
      </w:r>
      <w:r w:rsidR="00AA49A0" w:rsidRPr="00CA1391">
        <w:rPr>
          <w:rFonts w:ascii="Times New Roman" w:eastAsia="Calibri" w:hAnsi="Times New Roman" w:cs="Times New Roman"/>
          <w:bCs/>
          <w:color w:val="000000" w:themeColor="text1"/>
          <w:sz w:val="24"/>
          <w:szCs w:val="24"/>
        </w:rPr>
        <w:t xml:space="preserve"> </w:t>
      </w:r>
      <w:r w:rsidRPr="00CA1391">
        <w:rPr>
          <w:rFonts w:ascii="Times New Roman" w:eastAsia="Calibri" w:hAnsi="Times New Roman" w:cs="Times New Roman"/>
          <w:bCs/>
          <w:color w:val="000000" w:themeColor="text1"/>
          <w:sz w:val="24"/>
          <w:szCs w:val="24"/>
        </w:rPr>
        <w:t>t</w:t>
      </w:r>
      <w:r w:rsidR="00DB1709" w:rsidRPr="00CA1391">
        <w:rPr>
          <w:rFonts w:ascii="Times New Roman" w:eastAsia="Calibri" w:hAnsi="Times New Roman" w:cs="Times New Roman"/>
          <w:bCs/>
          <w:color w:val="000000" w:themeColor="text1"/>
          <w:sz w:val="24"/>
          <w:szCs w:val="24"/>
        </w:rPr>
        <w:t>ypically are cases in which legacies of universalism and developme</w:t>
      </w:r>
      <w:r w:rsidR="001A45FB" w:rsidRPr="00CA1391">
        <w:rPr>
          <w:rFonts w:ascii="Times New Roman" w:eastAsia="Calibri" w:hAnsi="Times New Roman" w:cs="Times New Roman"/>
          <w:bCs/>
          <w:color w:val="000000" w:themeColor="text1"/>
          <w:sz w:val="24"/>
          <w:szCs w:val="24"/>
        </w:rPr>
        <w:t xml:space="preserve">ntalism have become more </w:t>
      </w:r>
      <w:r w:rsidR="00DB1709" w:rsidRPr="00CA1391">
        <w:rPr>
          <w:rFonts w:ascii="Times New Roman" w:eastAsia="Calibri" w:hAnsi="Times New Roman" w:cs="Times New Roman"/>
          <w:bCs/>
          <w:color w:val="000000" w:themeColor="text1"/>
          <w:sz w:val="24"/>
          <w:szCs w:val="24"/>
        </w:rPr>
        <w:t>embedded in local civil soc</w:t>
      </w:r>
      <w:r w:rsidRPr="00CA1391">
        <w:rPr>
          <w:rFonts w:ascii="Times New Roman" w:eastAsia="Calibri" w:hAnsi="Times New Roman" w:cs="Times New Roman"/>
          <w:bCs/>
          <w:color w:val="000000" w:themeColor="text1"/>
          <w:sz w:val="24"/>
          <w:szCs w:val="24"/>
        </w:rPr>
        <w:t>iety and public administration.</w:t>
      </w:r>
      <w:r w:rsidRPr="00CA1391">
        <w:rPr>
          <w:rStyle w:val="FootnoteReference"/>
          <w:rFonts w:ascii="Times New Roman" w:eastAsia="Calibri" w:hAnsi="Times New Roman" w:cs="Times New Roman"/>
          <w:bCs/>
          <w:color w:val="000000" w:themeColor="text1"/>
          <w:sz w:val="24"/>
          <w:szCs w:val="24"/>
        </w:rPr>
        <w:t xml:space="preserve"> </w:t>
      </w:r>
      <w:r w:rsidR="001A1E66" w:rsidRPr="00CA1391">
        <w:rPr>
          <w:rFonts w:ascii="Times New Roman" w:eastAsia="Calibri" w:hAnsi="Times New Roman" w:cs="Times New Roman"/>
          <w:bCs/>
          <w:color w:val="000000" w:themeColor="text1"/>
          <w:sz w:val="24"/>
          <w:szCs w:val="24"/>
        </w:rPr>
        <w:t xml:space="preserve"> </w:t>
      </w:r>
      <w:r w:rsidR="00DB1709" w:rsidRPr="00CA1391">
        <w:rPr>
          <w:rFonts w:ascii="Times New Roman" w:eastAsia="Calibri" w:hAnsi="Times New Roman" w:cs="Times New Roman"/>
          <w:bCs/>
          <w:color w:val="000000" w:themeColor="text1"/>
          <w:sz w:val="24"/>
          <w:szCs w:val="24"/>
        </w:rPr>
        <w:t xml:space="preserve">This can be for different reasons – </w:t>
      </w:r>
      <w:r w:rsidR="009C2722" w:rsidRPr="00CA1391">
        <w:rPr>
          <w:rFonts w:ascii="Times New Roman" w:eastAsia="Calibri" w:hAnsi="Times New Roman" w:cs="Times New Roman"/>
          <w:bCs/>
          <w:color w:val="000000" w:themeColor="text1"/>
          <w:sz w:val="24"/>
          <w:szCs w:val="24"/>
        </w:rPr>
        <w:t xml:space="preserve">such as </w:t>
      </w:r>
      <w:r w:rsidR="00DB1709" w:rsidRPr="00CA1391">
        <w:rPr>
          <w:rFonts w:ascii="Times New Roman" w:eastAsia="Calibri" w:hAnsi="Times New Roman" w:cs="Times New Roman"/>
          <w:bCs/>
          <w:color w:val="000000" w:themeColor="text1"/>
          <w:sz w:val="24"/>
          <w:szCs w:val="24"/>
        </w:rPr>
        <w:t xml:space="preserve">in Holland the consociational </w:t>
      </w:r>
      <w:r w:rsidR="00DA171C" w:rsidRPr="00CA1391">
        <w:rPr>
          <w:rFonts w:ascii="Times New Roman" w:eastAsia="Calibri" w:hAnsi="Times New Roman" w:cs="Times New Roman"/>
          <w:bCs/>
          <w:color w:val="000000" w:themeColor="text1"/>
          <w:sz w:val="24"/>
          <w:szCs w:val="24"/>
        </w:rPr>
        <w:t>framework</w:t>
      </w:r>
      <w:r w:rsidR="001A1E66" w:rsidRPr="00CA1391">
        <w:rPr>
          <w:rFonts w:ascii="Times New Roman" w:eastAsia="Calibri" w:hAnsi="Times New Roman" w:cs="Times New Roman"/>
          <w:bCs/>
          <w:color w:val="000000" w:themeColor="text1"/>
          <w:sz w:val="24"/>
          <w:szCs w:val="24"/>
        </w:rPr>
        <w:t xml:space="preserve"> (Skelcher et al 2011)</w:t>
      </w:r>
      <w:r w:rsidR="00DA171C" w:rsidRPr="00CA1391">
        <w:rPr>
          <w:rFonts w:ascii="Times New Roman" w:eastAsia="Calibri" w:hAnsi="Times New Roman" w:cs="Times New Roman"/>
          <w:bCs/>
          <w:color w:val="000000" w:themeColor="text1"/>
          <w:sz w:val="24"/>
          <w:szCs w:val="24"/>
        </w:rPr>
        <w:t xml:space="preserve">, </w:t>
      </w:r>
      <w:r w:rsidR="00DB1709" w:rsidRPr="00CA1391">
        <w:rPr>
          <w:rFonts w:ascii="Times New Roman" w:eastAsia="Calibri" w:hAnsi="Times New Roman" w:cs="Times New Roman"/>
          <w:bCs/>
          <w:color w:val="000000" w:themeColor="text1"/>
          <w:sz w:val="24"/>
          <w:szCs w:val="24"/>
        </w:rPr>
        <w:t xml:space="preserve">and in Denmark a tradition of </w:t>
      </w:r>
      <w:r w:rsidR="009C2722" w:rsidRPr="00CA1391">
        <w:rPr>
          <w:rFonts w:ascii="Times New Roman" w:eastAsia="Calibri" w:hAnsi="Times New Roman" w:cs="Times New Roman"/>
          <w:bCs/>
          <w:color w:val="000000" w:themeColor="text1"/>
          <w:sz w:val="24"/>
          <w:szCs w:val="24"/>
        </w:rPr>
        <w:t xml:space="preserve">state-delegated </w:t>
      </w:r>
      <w:r w:rsidR="00DB1709" w:rsidRPr="00CA1391">
        <w:rPr>
          <w:rFonts w:ascii="Times New Roman" w:eastAsia="Calibri" w:hAnsi="Times New Roman" w:cs="Times New Roman"/>
          <w:bCs/>
          <w:color w:val="000000" w:themeColor="text1"/>
          <w:sz w:val="24"/>
          <w:szCs w:val="24"/>
        </w:rPr>
        <w:t>local administrative powers</w:t>
      </w:r>
      <w:r w:rsidR="009C2722" w:rsidRPr="00CA1391">
        <w:rPr>
          <w:rFonts w:ascii="Times New Roman" w:eastAsia="Calibri" w:hAnsi="Times New Roman" w:cs="Times New Roman"/>
          <w:bCs/>
          <w:color w:val="000000" w:themeColor="text1"/>
          <w:sz w:val="24"/>
          <w:szCs w:val="24"/>
        </w:rPr>
        <w:t xml:space="preserve"> within a public governance model with strong accent on universalist education and interventionist labour market policies</w:t>
      </w:r>
      <w:r w:rsidR="001A1E66" w:rsidRPr="00CA1391">
        <w:rPr>
          <w:rFonts w:ascii="Times New Roman" w:eastAsia="Calibri" w:hAnsi="Times New Roman" w:cs="Times New Roman"/>
          <w:bCs/>
          <w:color w:val="000000" w:themeColor="text1"/>
          <w:sz w:val="24"/>
          <w:szCs w:val="24"/>
        </w:rPr>
        <w:t xml:space="preserve"> (Kongsøj-Madsen 2003)</w:t>
      </w:r>
      <w:r w:rsidR="009C2722" w:rsidRPr="00CA1391">
        <w:rPr>
          <w:rFonts w:ascii="Times New Roman" w:eastAsia="Calibri" w:hAnsi="Times New Roman" w:cs="Times New Roman"/>
          <w:bCs/>
          <w:color w:val="000000" w:themeColor="text1"/>
          <w:sz w:val="24"/>
          <w:szCs w:val="24"/>
        </w:rPr>
        <w:t>.</w:t>
      </w:r>
      <w:r w:rsidR="001A1E66" w:rsidRPr="00CA1391">
        <w:rPr>
          <w:rFonts w:ascii="Times New Roman" w:eastAsia="Calibri" w:hAnsi="Times New Roman" w:cs="Times New Roman"/>
          <w:bCs/>
          <w:color w:val="000000" w:themeColor="text1"/>
          <w:sz w:val="24"/>
          <w:szCs w:val="24"/>
        </w:rPr>
        <w:t xml:space="preserve"> </w:t>
      </w:r>
      <w:r w:rsidR="004D38C5" w:rsidRPr="00CA1391">
        <w:rPr>
          <w:rFonts w:ascii="Times New Roman" w:eastAsia="Calibri" w:hAnsi="Times New Roman" w:cs="Times New Roman"/>
          <w:bCs/>
          <w:color w:val="000000" w:themeColor="text1"/>
          <w:sz w:val="24"/>
          <w:szCs w:val="24"/>
        </w:rPr>
        <w:t>However, in both cases</w:t>
      </w:r>
      <w:r w:rsidR="001A45FB" w:rsidRPr="00CA1391">
        <w:rPr>
          <w:rFonts w:ascii="Times New Roman" w:eastAsia="Calibri" w:hAnsi="Times New Roman" w:cs="Times New Roman"/>
          <w:bCs/>
          <w:color w:val="000000" w:themeColor="text1"/>
          <w:sz w:val="24"/>
          <w:szCs w:val="24"/>
        </w:rPr>
        <w:t>,</w:t>
      </w:r>
      <w:r w:rsidR="009C2722" w:rsidRPr="00CA1391">
        <w:rPr>
          <w:rFonts w:ascii="Times New Roman" w:eastAsia="Calibri" w:hAnsi="Times New Roman" w:cs="Times New Roman"/>
          <w:bCs/>
          <w:color w:val="000000" w:themeColor="text1"/>
          <w:sz w:val="24"/>
          <w:szCs w:val="24"/>
        </w:rPr>
        <w:t xml:space="preserve"> practical ties with labour market partners </w:t>
      </w:r>
      <w:r w:rsidR="004D38C5" w:rsidRPr="00CA1391">
        <w:rPr>
          <w:rFonts w:ascii="Times New Roman" w:eastAsia="Calibri" w:hAnsi="Times New Roman" w:cs="Times New Roman"/>
          <w:bCs/>
          <w:color w:val="000000" w:themeColor="text1"/>
          <w:sz w:val="24"/>
          <w:szCs w:val="24"/>
        </w:rPr>
        <w:t xml:space="preserve">or/ </w:t>
      </w:r>
      <w:r w:rsidR="009C2722" w:rsidRPr="00CA1391">
        <w:rPr>
          <w:rFonts w:ascii="Times New Roman" w:eastAsia="Calibri" w:hAnsi="Times New Roman" w:cs="Times New Roman"/>
          <w:bCs/>
          <w:color w:val="000000" w:themeColor="text1"/>
          <w:sz w:val="24"/>
          <w:szCs w:val="24"/>
        </w:rPr>
        <w:t xml:space="preserve">and execution of areas of employment or education </w:t>
      </w:r>
      <w:r w:rsidR="004D38C5" w:rsidRPr="00CA1391">
        <w:rPr>
          <w:rFonts w:ascii="Times New Roman" w:eastAsia="Calibri" w:hAnsi="Times New Roman" w:cs="Times New Roman"/>
          <w:bCs/>
          <w:color w:val="000000" w:themeColor="text1"/>
          <w:sz w:val="24"/>
          <w:szCs w:val="24"/>
        </w:rPr>
        <w:t xml:space="preserve">policy assert themselves. Embeddedness of governance capacity, albeit more circumscribed in Holland, as this themed section suggests, has been a conduit for innovation in income security. </w:t>
      </w:r>
      <w:r w:rsidR="001A1E66" w:rsidRPr="00CA1391">
        <w:rPr>
          <w:rFonts w:ascii="Times New Roman" w:eastAsia="Calibri" w:hAnsi="Times New Roman" w:cs="Times New Roman"/>
          <w:bCs/>
          <w:color w:val="000000" w:themeColor="text1"/>
          <w:sz w:val="24"/>
          <w:szCs w:val="24"/>
        </w:rPr>
        <w:t xml:space="preserve"> </w:t>
      </w:r>
      <w:r w:rsidR="00DA171C" w:rsidRPr="00CA1391">
        <w:rPr>
          <w:rFonts w:ascii="Times New Roman" w:eastAsia="Calibri" w:hAnsi="Times New Roman" w:cs="Times New Roman"/>
          <w:bCs/>
          <w:color w:val="000000" w:themeColor="text1"/>
          <w:sz w:val="24"/>
          <w:szCs w:val="24"/>
        </w:rPr>
        <w:t xml:space="preserve">In this instance, </w:t>
      </w:r>
      <w:r w:rsidR="001A45FB" w:rsidRPr="00CA1391">
        <w:rPr>
          <w:rFonts w:ascii="Times New Roman" w:eastAsia="Calibri" w:hAnsi="Times New Roman" w:cs="Times New Roman"/>
          <w:bCs/>
          <w:color w:val="000000" w:themeColor="text1"/>
          <w:sz w:val="24"/>
          <w:szCs w:val="24"/>
        </w:rPr>
        <w:t>t</w:t>
      </w:r>
      <w:r w:rsidR="00B258DE" w:rsidRPr="00CA1391">
        <w:rPr>
          <w:rFonts w:ascii="Times New Roman" w:eastAsia="Calibri" w:hAnsi="Times New Roman" w:cs="Times New Roman"/>
          <w:bCs/>
          <w:color w:val="000000" w:themeColor="text1"/>
          <w:sz w:val="24"/>
          <w:szCs w:val="24"/>
        </w:rPr>
        <w:t>he case of Finland can be taken as a counterfactual which de</w:t>
      </w:r>
      <w:r w:rsidR="00DA171C" w:rsidRPr="00CA1391">
        <w:rPr>
          <w:rFonts w:ascii="Times New Roman" w:eastAsia="Calibri" w:hAnsi="Times New Roman" w:cs="Times New Roman"/>
          <w:bCs/>
          <w:color w:val="000000" w:themeColor="text1"/>
          <w:sz w:val="24"/>
          <w:szCs w:val="24"/>
        </w:rPr>
        <w:t>mo</w:t>
      </w:r>
      <w:r w:rsidR="00B258DE" w:rsidRPr="00CA1391">
        <w:rPr>
          <w:rFonts w:ascii="Times New Roman" w:eastAsia="Calibri" w:hAnsi="Times New Roman" w:cs="Times New Roman"/>
          <w:bCs/>
          <w:color w:val="000000" w:themeColor="text1"/>
          <w:sz w:val="24"/>
          <w:szCs w:val="24"/>
        </w:rPr>
        <w:t>nstrates the significance of local government</w:t>
      </w:r>
      <w:r w:rsidR="001A45FB" w:rsidRPr="00CA1391">
        <w:rPr>
          <w:rFonts w:ascii="Times New Roman" w:eastAsia="Calibri" w:hAnsi="Times New Roman" w:cs="Times New Roman"/>
          <w:bCs/>
          <w:color w:val="000000" w:themeColor="text1"/>
          <w:sz w:val="24"/>
          <w:szCs w:val="24"/>
        </w:rPr>
        <w:t xml:space="preserve"> in asserting public governance capacity</w:t>
      </w:r>
      <w:r w:rsidR="00B258DE" w:rsidRPr="00CA1391">
        <w:rPr>
          <w:rFonts w:ascii="Times New Roman" w:eastAsia="Calibri" w:hAnsi="Times New Roman" w:cs="Times New Roman"/>
          <w:bCs/>
          <w:color w:val="000000" w:themeColor="text1"/>
          <w:sz w:val="24"/>
          <w:szCs w:val="24"/>
        </w:rPr>
        <w:t>. Although legacies of develo</w:t>
      </w:r>
      <w:r w:rsidR="00DA171C" w:rsidRPr="00CA1391">
        <w:rPr>
          <w:rFonts w:ascii="Times New Roman" w:eastAsia="Calibri" w:hAnsi="Times New Roman" w:cs="Times New Roman"/>
          <w:bCs/>
          <w:color w:val="000000" w:themeColor="text1"/>
          <w:sz w:val="24"/>
          <w:szCs w:val="24"/>
        </w:rPr>
        <w:t>pmentalism and universalism are in some ways stronger</w:t>
      </w:r>
      <w:r w:rsidR="00B258DE" w:rsidRPr="00CA1391">
        <w:rPr>
          <w:rFonts w:ascii="Times New Roman" w:eastAsia="Calibri" w:hAnsi="Times New Roman" w:cs="Times New Roman"/>
          <w:bCs/>
          <w:color w:val="000000" w:themeColor="text1"/>
          <w:sz w:val="24"/>
          <w:szCs w:val="24"/>
        </w:rPr>
        <w:t xml:space="preserve"> compared with Holland, in Finland </w:t>
      </w:r>
      <w:r w:rsidR="00DA171C" w:rsidRPr="00CA1391">
        <w:rPr>
          <w:rFonts w:ascii="Times New Roman" w:eastAsia="Calibri" w:hAnsi="Times New Roman" w:cs="Times New Roman"/>
          <w:bCs/>
          <w:color w:val="000000" w:themeColor="text1"/>
          <w:sz w:val="24"/>
          <w:szCs w:val="24"/>
        </w:rPr>
        <w:t>contention aroun</w:t>
      </w:r>
      <w:r w:rsidR="00B258DE" w:rsidRPr="00CA1391">
        <w:rPr>
          <w:rFonts w:ascii="Times New Roman" w:eastAsia="Calibri" w:hAnsi="Times New Roman" w:cs="Times New Roman"/>
          <w:bCs/>
          <w:color w:val="000000" w:themeColor="text1"/>
          <w:sz w:val="24"/>
          <w:szCs w:val="24"/>
        </w:rPr>
        <w:t xml:space="preserve">d </w:t>
      </w:r>
      <w:r w:rsidR="00DA171C" w:rsidRPr="00CA1391">
        <w:rPr>
          <w:rFonts w:ascii="Times New Roman" w:eastAsia="Calibri" w:hAnsi="Times New Roman" w:cs="Times New Roman"/>
          <w:bCs/>
          <w:color w:val="000000" w:themeColor="text1"/>
          <w:sz w:val="24"/>
          <w:szCs w:val="24"/>
        </w:rPr>
        <w:t>the much touted national experiment in features of basic income entailed an early set-back, as set against slow-burning but persistent experimentation in Holland and Denmark and – at local level – Spain.</w:t>
      </w:r>
      <w:r w:rsidR="001A45FB" w:rsidRPr="00CA1391">
        <w:rPr>
          <w:rStyle w:val="FootnoteReference"/>
          <w:rFonts w:ascii="Times New Roman" w:eastAsia="Calibri" w:hAnsi="Times New Roman" w:cs="Times New Roman"/>
          <w:bCs/>
          <w:color w:val="000000" w:themeColor="text1"/>
          <w:sz w:val="24"/>
          <w:szCs w:val="24"/>
        </w:rPr>
        <w:t xml:space="preserve"> </w:t>
      </w:r>
      <w:r w:rsidR="001A45FB" w:rsidRPr="00CA1391">
        <w:rPr>
          <w:rStyle w:val="FootnoteReference"/>
          <w:rFonts w:ascii="Times New Roman" w:eastAsia="Calibri" w:hAnsi="Times New Roman" w:cs="Times New Roman"/>
          <w:bCs/>
          <w:color w:val="000000" w:themeColor="text1"/>
          <w:sz w:val="24"/>
          <w:szCs w:val="24"/>
        </w:rPr>
        <w:footnoteReference w:id="4"/>
      </w:r>
      <w:r w:rsidR="001A45FB" w:rsidRPr="00CA1391">
        <w:rPr>
          <w:rFonts w:ascii="Times New Roman" w:eastAsia="Calibri" w:hAnsi="Times New Roman" w:cs="Times New Roman"/>
          <w:bCs/>
          <w:color w:val="000000" w:themeColor="text1"/>
          <w:sz w:val="24"/>
          <w:szCs w:val="24"/>
        </w:rPr>
        <w:t xml:space="preserve"> </w:t>
      </w:r>
      <w:r w:rsidR="00DA171C" w:rsidRPr="00CA1391">
        <w:rPr>
          <w:rFonts w:ascii="Times New Roman" w:eastAsia="Calibri" w:hAnsi="Times New Roman" w:cs="Times New Roman"/>
          <w:bCs/>
          <w:color w:val="000000" w:themeColor="text1"/>
          <w:sz w:val="24"/>
          <w:szCs w:val="24"/>
        </w:rPr>
        <w:t xml:space="preserve"> The UK is also a relevant comparative contrast, in this case as relatively more unbridged regional inequalities and public austerity combine to weaken local government capacity</w:t>
      </w:r>
      <w:r w:rsidR="001A45FB" w:rsidRPr="00CA1391">
        <w:rPr>
          <w:rFonts w:ascii="Times New Roman" w:eastAsia="Calibri" w:hAnsi="Times New Roman" w:cs="Times New Roman"/>
          <w:bCs/>
          <w:color w:val="000000" w:themeColor="text1"/>
          <w:sz w:val="24"/>
          <w:szCs w:val="24"/>
        </w:rPr>
        <w:t xml:space="preserve"> </w:t>
      </w:r>
      <w:r w:rsidR="00DA171C" w:rsidRPr="00CA1391">
        <w:rPr>
          <w:rFonts w:ascii="Times New Roman" w:eastAsia="Calibri" w:hAnsi="Times New Roman" w:cs="Times New Roman"/>
          <w:bCs/>
          <w:color w:val="000000" w:themeColor="text1"/>
          <w:sz w:val="24"/>
          <w:szCs w:val="24"/>
        </w:rPr>
        <w:t>despite devolved responsibility.</w:t>
      </w:r>
      <w:r w:rsidR="001A45FB" w:rsidRPr="00CA1391">
        <w:rPr>
          <w:rFonts w:ascii="Times New Roman" w:eastAsia="Calibri" w:hAnsi="Times New Roman" w:cs="Times New Roman"/>
          <w:bCs/>
          <w:color w:val="000000" w:themeColor="text1"/>
          <w:sz w:val="24"/>
          <w:szCs w:val="24"/>
        </w:rPr>
        <w:t xml:space="preserve"> </w:t>
      </w:r>
      <w:r w:rsidR="001A45FB" w:rsidRPr="00CA1391">
        <w:rPr>
          <w:rStyle w:val="FootnoteReference"/>
          <w:rFonts w:ascii="Times New Roman" w:eastAsia="Calibri" w:hAnsi="Times New Roman" w:cs="Times New Roman"/>
          <w:bCs/>
          <w:color w:val="000000" w:themeColor="text1"/>
          <w:sz w:val="24"/>
          <w:szCs w:val="24"/>
        </w:rPr>
        <w:footnoteReference w:id="5"/>
      </w:r>
    </w:p>
    <w:p w14:paraId="21B74363" w14:textId="358A1BFA" w:rsidR="00A50828" w:rsidRPr="00CA1391" w:rsidRDefault="00F55CCE" w:rsidP="00A50828">
      <w:pPr>
        <w:pStyle w:val="BodyA"/>
        <w:jc w:val="both"/>
        <w:rPr>
          <w:rFonts w:ascii="Times New Roman" w:eastAsia="Calibri" w:hAnsi="Times New Roman" w:cs="Times New Roman"/>
          <w:bCs/>
          <w:color w:val="000000" w:themeColor="text1"/>
          <w:sz w:val="24"/>
          <w:szCs w:val="24"/>
        </w:rPr>
      </w:pPr>
      <w:r w:rsidRPr="00CA1391">
        <w:rPr>
          <w:rFonts w:ascii="Times New Roman" w:eastAsia="Calibri" w:hAnsi="Times New Roman" w:cs="Times New Roman"/>
          <w:bCs/>
          <w:color w:val="000000" w:themeColor="text1"/>
          <w:sz w:val="24"/>
          <w:szCs w:val="24"/>
        </w:rPr>
        <w:t xml:space="preserve">    </w:t>
      </w:r>
      <w:r w:rsidR="00A50828" w:rsidRPr="00CA1391">
        <w:rPr>
          <w:rFonts w:ascii="Times New Roman" w:eastAsia="Calibri" w:hAnsi="Times New Roman" w:cs="Times New Roman"/>
          <w:bCs/>
          <w:color w:val="000000" w:themeColor="text1"/>
          <w:sz w:val="24"/>
          <w:szCs w:val="24"/>
        </w:rPr>
        <w:t xml:space="preserve">    </w:t>
      </w:r>
    </w:p>
    <w:p w14:paraId="0EA0E444" w14:textId="77777777" w:rsidR="00A50828" w:rsidRPr="00CA1391" w:rsidRDefault="00A50828" w:rsidP="00A50828">
      <w:pPr>
        <w:pStyle w:val="BodyA"/>
        <w:jc w:val="both"/>
        <w:rPr>
          <w:rFonts w:ascii="Times New Roman" w:eastAsia="Calibri" w:hAnsi="Times New Roman" w:cs="Times New Roman"/>
          <w:bCs/>
          <w:color w:val="000000" w:themeColor="text1"/>
          <w:sz w:val="24"/>
          <w:szCs w:val="24"/>
        </w:rPr>
      </w:pPr>
    </w:p>
    <w:p w14:paraId="4D61BA20" w14:textId="77777777" w:rsidR="00A50828" w:rsidRPr="00CA1391" w:rsidRDefault="00A50828" w:rsidP="00A50828">
      <w:pPr>
        <w:pStyle w:val="BodyA"/>
        <w:jc w:val="both"/>
        <w:rPr>
          <w:rFonts w:ascii="Times New Roman" w:eastAsia="Calibri" w:hAnsi="Times New Roman" w:cs="Times New Roman"/>
          <w:bCs/>
          <w:color w:val="000000" w:themeColor="text1"/>
          <w:sz w:val="24"/>
          <w:szCs w:val="24"/>
        </w:rPr>
      </w:pPr>
      <w:r w:rsidRPr="00CA1391">
        <w:rPr>
          <w:rFonts w:ascii="Times New Roman" w:eastAsia="Calibri" w:hAnsi="Times New Roman" w:cs="Times New Roman"/>
          <w:bCs/>
          <w:color w:val="000000" w:themeColor="text1"/>
          <w:sz w:val="24"/>
          <w:szCs w:val="24"/>
        </w:rPr>
        <w:t>Unpacking Political Support for Basic Income</w:t>
      </w:r>
    </w:p>
    <w:p w14:paraId="392E4B05" w14:textId="77777777" w:rsidR="00A50828" w:rsidRPr="00CA1391" w:rsidRDefault="00A50828" w:rsidP="00A50828">
      <w:pPr>
        <w:pStyle w:val="BodyA"/>
        <w:jc w:val="both"/>
        <w:rPr>
          <w:rFonts w:ascii="Times New Roman" w:eastAsia="Calibri" w:hAnsi="Times New Roman" w:cs="Times New Roman"/>
          <w:color w:val="000000" w:themeColor="text1"/>
          <w:sz w:val="24"/>
          <w:szCs w:val="24"/>
        </w:rPr>
      </w:pPr>
    </w:p>
    <w:p w14:paraId="4000E026" w14:textId="77777777" w:rsidR="00A50828" w:rsidRPr="00CA1391" w:rsidRDefault="00A50828" w:rsidP="00A50828">
      <w:pPr>
        <w:pStyle w:val="BodyA"/>
        <w:jc w:val="both"/>
        <w:rPr>
          <w:rFonts w:ascii="Times New Roman" w:eastAsia="Calibri"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 xml:space="preserve">In this context, what shapes political support for basic income reform, and to what extent does support for basic income drive change? An implicit assumption in both the comparative capitalism and welfare state literature is that class coalitions or/and specific social accords express political support for welfare and drive policy change. However, looking at recent partial basic income trials in Europe it is clear that the question of political support for social policy change </w:t>
      </w:r>
      <w:r w:rsidRPr="00CA1391">
        <w:rPr>
          <w:rFonts w:ascii="Times New Roman" w:eastAsia="Calibri" w:hAnsi="Times New Roman" w:cs="Times New Roman"/>
          <w:color w:val="000000" w:themeColor="text1"/>
          <w:sz w:val="24"/>
          <w:szCs w:val="24"/>
        </w:rPr>
        <w:lastRenderedPageBreak/>
        <w:t>is far more nuanced. Support among elites and electorates may be informed by different concerns. Support by public sector (institutional) actors, e.g. senior public bureaucrats and administrators of social assistance offices in local councils represent key but not necessarily politically visible agents in change. Their agency may turn out to be more important for partial steps towards basic income than commonly assumed (as the papers on Denmark,</w:t>
      </w:r>
      <w:r w:rsidRPr="00CA1391">
        <w:rPr>
          <w:rFonts w:ascii="Times New Roman" w:eastAsia="Calibri" w:hAnsi="Times New Roman" w:cs="Times New Roman"/>
          <w:color w:val="000000" w:themeColor="text1"/>
          <w:sz w:val="24"/>
          <w:szCs w:val="24"/>
          <w:lang w:val="nl-NL"/>
        </w:rPr>
        <w:t xml:space="preserve"> Finland </w:t>
      </w:r>
      <w:r w:rsidRPr="00CA1391">
        <w:rPr>
          <w:rFonts w:ascii="Times New Roman" w:eastAsia="Calibri" w:hAnsi="Times New Roman" w:cs="Times New Roman"/>
          <w:color w:val="000000" w:themeColor="text1"/>
          <w:sz w:val="24"/>
          <w:szCs w:val="24"/>
        </w:rPr>
        <w:t>and the Netherlands suggest).</w:t>
      </w:r>
    </w:p>
    <w:p w14:paraId="7CA3E9C4" w14:textId="77777777" w:rsidR="00A50828" w:rsidRPr="00CA1391" w:rsidRDefault="00A50828" w:rsidP="00A50828">
      <w:pPr>
        <w:pStyle w:val="BodyA"/>
        <w:jc w:val="both"/>
        <w:rPr>
          <w:rFonts w:ascii="Times New Roman" w:eastAsia="Calibri"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ab/>
      </w:r>
    </w:p>
    <w:p w14:paraId="374C0DD9" w14:textId="77777777" w:rsidR="00A50828" w:rsidRPr="00CA1391" w:rsidRDefault="00A50828" w:rsidP="00A50828">
      <w:pPr>
        <w:pStyle w:val="BodyA"/>
        <w:jc w:val="both"/>
        <w:rPr>
          <w:rFonts w:ascii="Times New Roman" w:eastAsia="Calibri"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Hence, whilst the potential for basic income to reverse the trend towards policy fragmentation, by improving complementarity between income security and other social programmes (Haagh 2017) is recognized by many actors (Haagh 2019a,b), this does not necessarily amount to a funding base for full basic income reform, a durable social coalition, or a popular electoral strategy.</w:t>
      </w:r>
    </w:p>
    <w:p w14:paraId="7BBC0B3B" w14:textId="77777777" w:rsidR="00A50828" w:rsidRPr="00CA1391" w:rsidRDefault="00A50828" w:rsidP="00A50828">
      <w:pPr>
        <w:pStyle w:val="BodyA"/>
        <w:jc w:val="both"/>
        <w:rPr>
          <w:rFonts w:ascii="Times New Roman" w:eastAsia="Calibri" w:hAnsi="Times New Roman" w:cs="Times New Roman"/>
          <w:color w:val="000000" w:themeColor="text1"/>
          <w:sz w:val="24"/>
          <w:szCs w:val="24"/>
        </w:rPr>
      </w:pPr>
    </w:p>
    <w:p w14:paraId="7807C89F" w14:textId="77777777" w:rsidR="00A50828" w:rsidRPr="00CA1391" w:rsidRDefault="00A50828" w:rsidP="00A50828">
      <w:pPr>
        <w:pStyle w:val="BodyA"/>
        <w:jc w:val="both"/>
        <w:rPr>
          <w:rFonts w:ascii="Times New Roman" w:eastAsia="Calibri"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Looking at the cases in this themed section a disconnect between popular support for basic income, such as visible in opinion polls, and support by policy elites is apparent. Surprisingly, support among peak social actors is more reserved and conditional in welfare states with greater capacity to implement basic income reform (Haagh 2019a). I maintain these differences and apparent paradoxes can be explained in a macro-configurational analysis, which takes account of the impact of both the long-run evolution of welfare state structures, and the influence of recent trends.</w:t>
      </w:r>
    </w:p>
    <w:p w14:paraId="5DA87512" w14:textId="77777777" w:rsidR="00A50828" w:rsidRPr="00CA1391" w:rsidRDefault="00A50828" w:rsidP="00A50828">
      <w:pPr>
        <w:pStyle w:val="BodyA"/>
        <w:jc w:val="both"/>
        <w:rPr>
          <w:rFonts w:ascii="Times New Roman" w:eastAsia="Calibri" w:hAnsi="Times New Roman" w:cs="Times New Roman"/>
          <w:color w:val="000000" w:themeColor="text1"/>
          <w:sz w:val="24"/>
          <w:szCs w:val="24"/>
        </w:rPr>
      </w:pPr>
    </w:p>
    <w:p w14:paraId="22A01061" w14:textId="77777777" w:rsidR="00A50828" w:rsidRPr="00CA1391" w:rsidRDefault="00A50828" w:rsidP="00A50828">
      <w:pPr>
        <w:pStyle w:val="BodyA"/>
        <w:jc w:val="both"/>
        <w:rPr>
          <w:rFonts w:ascii="Times New Roman" w:eastAsia="Calibri"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ab/>
        <w:t>First, with regards to popular support, the European Social Survey suggests a paradoxical disconnect between popular support for basic income and social democracy (e.g. support is lower in Sweden and Norway). One explanation, conforming to the stylised model introduced above, suggests that demand for basic income is lower where welfare states offer better — more generous and easier accessible — social security (Lee, 2018).</w:t>
      </w:r>
      <w:r w:rsidRPr="00CA1391">
        <w:rPr>
          <w:rFonts w:ascii="Times New Roman" w:eastAsia="Calibri" w:hAnsi="Times New Roman" w:cs="Times New Roman"/>
          <w:color w:val="000000" w:themeColor="text1"/>
          <w:sz w:val="24"/>
          <w:szCs w:val="24"/>
          <w:vertAlign w:val="superscript"/>
        </w:rPr>
        <w:footnoteReference w:id="6"/>
      </w:r>
      <w:r w:rsidRPr="00CA1391">
        <w:rPr>
          <w:rFonts w:ascii="Times New Roman" w:eastAsia="Calibri" w:hAnsi="Times New Roman" w:cs="Times New Roman"/>
          <w:color w:val="000000" w:themeColor="text1"/>
          <w:sz w:val="24"/>
          <w:szCs w:val="24"/>
        </w:rPr>
        <w:t xml:space="preserve"> Perhaps unsurprisingly, support for basic income is higher in countries that are trialling a basic income (or cognate), such as Finland and the Netherlands. Unpacking popular support further reveals that high aggregate levels of basic income support may not translate into a robust basic income coalition, as austerity tends to generate strong policy trade-offs (Haagh 2019a), and introducing details about taxation or choice of policies to replace rather than complement drastically splits support (Haagh </w:t>
      </w:r>
      <w:r w:rsidRPr="00CA1391">
        <w:rPr>
          <w:rFonts w:ascii="Times New Roman" w:eastAsia="Calibri" w:hAnsi="Times New Roman" w:cs="Times New Roman"/>
          <w:color w:val="000000" w:themeColor="text1"/>
          <w:sz w:val="24"/>
          <w:szCs w:val="24"/>
        </w:rPr>
        <w:lastRenderedPageBreak/>
        <w:t xml:space="preserve">2018, Pulkka, 2018). This is consistent with the idea that high levels of basic income support depend on a “veil of vagueness” that obscures design details (De Wispelaere, 2016b). However, skepticism about basic income is not entirely without reason. In a context of corroding governance capacity, political actors are concerned about the trade-offs potentially set out between basic income and other welfare spend (Haagh 2018). </w:t>
      </w:r>
    </w:p>
    <w:p w14:paraId="71A10EBC" w14:textId="77777777" w:rsidR="00A50828" w:rsidRPr="00CA1391" w:rsidRDefault="00A50828" w:rsidP="00A50828">
      <w:pPr>
        <w:pStyle w:val="BodyA"/>
        <w:jc w:val="both"/>
        <w:rPr>
          <w:rFonts w:ascii="Times New Roman" w:eastAsia="Calibri" w:hAnsi="Times New Roman" w:cs="Times New Roman"/>
          <w:color w:val="000000" w:themeColor="text1"/>
          <w:sz w:val="24"/>
          <w:szCs w:val="24"/>
        </w:rPr>
      </w:pPr>
    </w:p>
    <w:p w14:paraId="4ABF36A9" w14:textId="77777777" w:rsidR="00A50828" w:rsidRPr="00CA1391" w:rsidRDefault="00A50828" w:rsidP="00A50828">
      <w:pPr>
        <w:pStyle w:val="BodyA"/>
        <w:jc w:val="both"/>
        <w:rPr>
          <w:rFonts w:ascii="Times New Roman" w:eastAsia="Calibri"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 xml:space="preserve">The papers in this themed section suggest welfare state structure plays a role in the form of scepticism about basic income reform among peak social and political actors, e.g. the connection between welfare state structure and political support is not direct, but mediated by wider considerations. In Denmark and the Netherlands, there is a clear disjuncture between local experimentation in partial basic income trials, and support among peak actors at national level. In the Danish case, concern focusses on the dangers represented by Neo-Liberalism, whereas in the UK debate reflects fiscal policy trade-offs and an intention to preserve the outcomes of anti-poverty targeting. In the case of Spain, the dual nature of the labour market combined with high inequality and poverty and even greater fiscal constraints lead to a more determined emphasis to first develop effective means-tested income security. </w:t>
      </w:r>
      <w:r w:rsidRPr="00CA1391">
        <w:rPr>
          <w:rStyle w:val="FootnoteReference"/>
          <w:rFonts w:ascii="Times New Roman" w:eastAsia="Calibri" w:hAnsi="Times New Roman" w:cs="Times New Roman"/>
          <w:color w:val="000000" w:themeColor="text1"/>
          <w:sz w:val="24"/>
          <w:szCs w:val="24"/>
        </w:rPr>
        <w:footnoteReference w:id="7"/>
      </w:r>
      <w:r w:rsidRPr="00CA1391">
        <w:rPr>
          <w:rFonts w:ascii="Times New Roman" w:eastAsia="Calibri" w:hAnsi="Times New Roman" w:cs="Times New Roman"/>
          <w:color w:val="000000" w:themeColor="text1"/>
          <w:sz w:val="24"/>
          <w:szCs w:val="24"/>
        </w:rPr>
        <w:t>In sum, whilst the basic income discussion generates polemical responses in all cases, in the fiscally stronger welfare states, elements of basic income are ruled in, albeit with strong caveats in all cases, whereas in both Britain and Spain, greater ideological polarisation around basic income as an idea has ruled basic income out from serious policy discussion, at least for now.</w:t>
      </w:r>
    </w:p>
    <w:p w14:paraId="24A0CEAF" w14:textId="77777777" w:rsidR="00A50828" w:rsidRPr="00CA1391" w:rsidRDefault="00A50828" w:rsidP="00A50828">
      <w:pPr>
        <w:pStyle w:val="BodyA"/>
        <w:jc w:val="both"/>
        <w:rPr>
          <w:rFonts w:ascii="Times New Roman" w:eastAsia="Calibri" w:hAnsi="Times New Roman" w:cs="Times New Roman"/>
          <w:color w:val="000000" w:themeColor="text1"/>
          <w:sz w:val="24"/>
          <w:szCs w:val="24"/>
        </w:rPr>
      </w:pPr>
    </w:p>
    <w:p w14:paraId="4825C885" w14:textId="77777777" w:rsidR="00A50828" w:rsidRPr="00CA1391" w:rsidRDefault="00A50828" w:rsidP="00A50828">
      <w:pPr>
        <w:pStyle w:val="BodyA"/>
        <w:jc w:val="both"/>
        <w:rPr>
          <w:rFonts w:ascii="Times New Roman" w:hAnsi="Times New Roman" w:cs="Times New Roman"/>
          <w:color w:val="000000" w:themeColor="text1"/>
          <w:sz w:val="24"/>
          <w:szCs w:val="24"/>
        </w:rPr>
      </w:pPr>
      <w:r w:rsidRPr="00CA1391">
        <w:rPr>
          <w:rFonts w:ascii="Times New Roman" w:hAnsi="Times New Roman" w:cs="Times New Roman"/>
          <w:color w:val="000000" w:themeColor="text1"/>
          <w:sz w:val="24"/>
          <w:szCs w:val="24"/>
        </w:rPr>
        <w:t xml:space="preserve">A new movement for basic income among sectors directly hit by austerity and sanctions policies have emerged in Europe, comprising a number of groups, many but not all of them directly connected with one another. This movement is behind the Swiss Referendum in 2016, and the EU Campaign to force a vote in the European Parliament in the same year. It comprises young activists in Germany crowd-funding to fund a cash grants with features of a basic income, through to new local and regional affiliates of the recognized network fostering basic income debate (the Basic income Earth Network, formed in 1986). Moreover, groups most directly affected by income security changes, including unemployed facing sanctions, have become activists for basic income in a number of countries. The way this has occurred reflects the legacies </w:t>
      </w:r>
      <w:r w:rsidRPr="00CA1391">
        <w:rPr>
          <w:rFonts w:ascii="Times New Roman" w:hAnsi="Times New Roman" w:cs="Times New Roman"/>
          <w:color w:val="000000" w:themeColor="text1"/>
          <w:sz w:val="24"/>
          <w:szCs w:val="24"/>
        </w:rPr>
        <w:lastRenderedPageBreak/>
        <w:t>of developmentalism and universalism, but the changed context presented by liberalization and austerity generates a new set of trade-offs and challenges. It seems no accident that the couching of opposition to sanctions in terms of freedoms of the people and a rights-based state has prominence in Nordic countries where universalism and developmentalism have combined to generate a culture of so-called ‘statist individualism’.  On the other hand, a growing divide between the new basic income movement and the organized working class presents a disconnect of the new form of protest with broader social forces and institutions arguably needed to support it (Haagh 2018).</w:t>
      </w:r>
    </w:p>
    <w:p w14:paraId="6C8A71F4" w14:textId="77777777" w:rsidR="00A50828" w:rsidRPr="00CA1391" w:rsidRDefault="00A50828" w:rsidP="00A50828">
      <w:pPr>
        <w:pStyle w:val="BodyA"/>
        <w:jc w:val="both"/>
        <w:rPr>
          <w:rFonts w:ascii="Times New Roman" w:hAnsi="Times New Roman" w:cs="Times New Roman"/>
          <w:color w:val="000000" w:themeColor="text1"/>
          <w:sz w:val="24"/>
          <w:szCs w:val="24"/>
        </w:rPr>
      </w:pPr>
    </w:p>
    <w:p w14:paraId="16427D1A" w14:textId="77777777" w:rsidR="00A50828" w:rsidRPr="00CA1391" w:rsidRDefault="00A50828" w:rsidP="00A50828">
      <w:pPr>
        <w:pStyle w:val="BodyA"/>
        <w:jc w:val="both"/>
        <w:rPr>
          <w:rFonts w:ascii="Times New Roman" w:hAnsi="Times New Roman" w:cs="Times New Roman"/>
          <w:color w:val="000000" w:themeColor="text1"/>
          <w:sz w:val="24"/>
          <w:szCs w:val="24"/>
        </w:rPr>
      </w:pPr>
      <w:r w:rsidRPr="00CA1391">
        <w:rPr>
          <w:rFonts w:ascii="Times New Roman" w:hAnsi="Times New Roman" w:cs="Times New Roman"/>
          <w:color w:val="000000" w:themeColor="text1"/>
          <w:sz w:val="24"/>
          <w:szCs w:val="24"/>
        </w:rPr>
        <w:t xml:space="preserve">In all, the discussion of basic income in a context of austerity and the new populism in Europe linked with anti-poverty protest against it generates a range of difficult questions and trade-offs. The surge in anti-poverty protest I Europe is populist not only in the sense that it represents a new groundswell of reaction to seeping grievances, but in that focus on immediate relief and solutions generates contradictory sets of demands. In the case of the yellow-jackets protests in France in December 2018, activists demand both low taxes and better services (Guardian 2018). </w:t>
      </w:r>
    </w:p>
    <w:p w14:paraId="0FC611CF" w14:textId="77777777" w:rsidR="00A50828" w:rsidRPr="00CA1391" w:rsidRDefault="00A50828" w:rsidP="00A50828">
      <w:pPr>
        <w:pStyle w:val="BodyA"/>
        <w:jc w:val="both"/>
        <w:rPr>
          <w:rFonts w:ascii="Times New Roman" w:hAnsi="Times New Roman" w:cs="Times New Roman"/>
          <w:color w:val="000000" w:themeColor="text1"/>
          <w:sz w:val="24"/>
          <w:szCs w:val="24"/>
        </w:rPr>
      </w:pPr>
    </w:p>
    <w:p w14:paraId="3CA5F0FD" w14:textId="77777777" w:rsidR="00A50828" w:rsidRPr="00CA1391" w:rsidRDefault="00A50828" w:rsidP="00A50828">
      <w:pPr>
        <w:pStyle w:val="BodyA"/>
        <w:jc w:val="both"/>
        <w:rPr>
          <w:rFonts w:ascii="Times New Roman" w:hAnsi="Times New Roman" w:cs="Times New Roman"/>
          <w:color w:val="000000" w:themeColor="text1"/>
          <w:sz w:val="24"/>
          <w:szCs w:val="24"/>
        </w:rPr>
      </w:pPr>
      <w:r w:rsidRPr="00CA1391">
        <w:rPr>
          <w:rFonts w:ascii="Times New Roman" w:hAnsi="Times New Roman" w:cs="Times New Roman"/>
          <w:color w:val="000000" w:themeColor="text1"/>
          <w:sz w:val="24"/>
          <w:szCs w:val="24"/>
        </w:rPr>
        <w:t>The new political scenario highlights a wider problem which is how in a dynamic economy, durable solidarity politics rests on a complex bargain. In the context of a broader politics of regulatory simplicity, the basic income proposal and activism around it risk becoming caught up in the process of governance erosion. Who might seem an ally today may not turn out to be a friend tomorrow. Conversely, immediate competitors may actually be long-term supporters. ‘Outsiders’ to the labour market want a right to income today without harsh conditions, but they may also want a right to stable employment tomorrow. Those defending strong rights to income and to occupation have more in common than meets the eye. In this context, greater political contestation about basic income in Nordic countries may be seen as a manifestation of governance capacity: open political debate and disagreement between labour union representatives, basic income activists, and other sectors – e.g. employers and political party leaders, is a sign that the kind of civil society needed to support universal rights is alive and kicking, even – and perhaps especially - when it does not support basic income on any terms. Organised social groups may not support basic income, but they represent political capacity, and the possibility of the formation of a public discourse.</w:t>
      </w:r>
    </w:p>
    <w:p w14:paraId="451AFBFE" w14:textId="77777777" w:rsidR="00A50828" w:rsidRPr="00CA1391" w:rsidRDefault="00A50828" w:rsidP="00A50828">
      <w:pPr>
        <w:pStyle w:val="BodyA"/>
        <w:jc w:val="both"/>
        <w:rPr>
          <w:rFonts w:ascii="Times New Roman" w:hAnsi="Times New Roman" w:cs="Times New Roman"/>
          <w:color w:val="000000" w:themeColor="text1"/>
          <w:sz w:val="24"/>
          <w:szCs w:val="24"/>
        </w:rPr>
      </w:pPr>
    </w:p>
    <w:p w14:paraId="37421032" w14:textId="77777777" w:rsidR="00A50828" w:rsidRPr="00CA1391" w:rsidRDefault="00A50828" w:rsidP="00A50828">
      <w:pPr>
        <w:pStyle w:val="BodyA"/>
        <w:jc w:val="both"/>
        <w:rPr>
          <w:rFonts w:ascii="Times New Roman" w:hAnsi="Times New Roman" w:cs="Times New Roman"/>
          <w:color w:val="000000" w:themeColor="text1"/>
          <w:sz w:val="24"/>
          <w:szCs w:val="24"/>
        </w:rPr>
      </w:pPr>
      <w:r w:rsidRPr="00CA1391">
        <w:rPr>
          <w:rFonts w:ascii="Times New Roman" w:hAnsi="Times New Roman" w:cs="Times New Roman"/>
          <w:color w:val="000000" w:themeColor="text1"/>
          <w:sz w:val="24"/>
          <w:szCs w:val="24"/>
        </w:rPr>
        <w:lastRenderedPageBreak/>
        <w:t xml:space="preserve">The fact is that rising insecurity </w:t>
      </w:r>
      <w:r w:rsidRPr="00CA1391">
        <w:rPr>
          <w:rFonts w:ascii="Times New Roman" w:hAnsi="Times New Roman" w:cs="Times New Roman"/>
          <w:i/>
          <w:color w:val="000000" w:themeColor="text1"/>
          <w:sz w:val="24"/>
          <w:szCs w:val="24"/>
        </w:rPr>
        <w:t xml:space="preserve">across </w:t>
      </w:r>
      <w:r w:rsidRPr="00CA1391">
        <w:rPr>
          <w:rFonts w:ascii="Times New Roman" w:hAnsi="Times New Roman" w:cs="Times New Roman"/>
          <w:color w:val="000000" w:themeColor="text1"/>
          <w:sz w:val="24"/>
          <w:szCs w:val="24"/>
        </w:rPr>
        <w:t xml:space="preserve">groups does not generate social solidarity or a solid coalition for institutional changes like a basic income reform, because the new politics of insecurity is characterized by political and social fragmentation. The old duality of the welfare state which van Parijs (1996) famously (and rightly) pointed out begged a new common income security platform to soften the divide between labour market insiders and outside was based on a more stable form of social incorporation.  Although it generated status divides, said divides were contestable through institutional channels which generated the possibility of a progressive, reformist politics. As austerity in Europe has pushed up inequality and poverty everywhere both advocates and policy-makers are caught between the politics of populism and slow-changing institutional adjustment. One of the most difficult aspects of the apparent policy window for basic income is pressures it generates for finding money for a quick transition. Finding a ‘coalition’ for basic income that avoids the simplicity and short-termism of populist electoral politics is going to be difficult. The constrained fiscal and political scenario generates a series of devil’s deals, defined as trading basic income for previous institutional gains. In the case of basic income reform today we see how actors sometimes subvert long-term drivers of public capacity to achieve short-term goals, e.g. the proposal to trade subsidy of unemployment insurance for funding basic income in Nordic states (Haagh 2019a). Whilst ostensibly this strips privileges from privileged employment sectors, this move can also be seen as ushering in a new low. As argued above, income security reform shows a Polanyian process of re-embedding security has not taken place in Europe. Hence, liberalization is a threat to incorporation which demands a concerned response. Therefore, ushering in basic income on a premise of finally ending stable employment and opportunities and privileges that come with it, may turn out to be short-sighted. </w:t>
      </w:r>
      <w:r w:rsidRPr="00CA1391">
        <w:rPr>
          <w:rFonts w:ascii="Times New Roman" w:eastAsia="Calibri" w:hAnsi="Times New Roman" w:cs="Times New Roman"/>
          <w:color w:val="000000" w:themeColor="text1"/>
          <w:sz w:val="24"/>
          <w:szCs w:val="24"/>
        </w:rPr>
        <w:t xml:space="preserve">The fate of basic income across Europe may depend on establishing a wider society-constitutive case (Haagh 2019). </w:t>
      </w:r>
      <w:r w:rsidRPr="00CA1391">
        <w:rPr>
          <w:rFonts w:ascii="Times New Roman" w:hAnsi="Times New Roman" w:cs="Times New Roman"/>
          <w:color w:val="000000" w:themeColor="text1"/>
          <w:sz w:val="24"/>
          <w:szCs w:val="24"/>
        </w:rPr>
        <w:t>If actors cannot shift the tetonic plates – such as bigger forces driving austerity - directly, they can make more or less judicious choices: Whether and how to evade the temptation to destroy old institutions of social security to pave the way for basic income under immediate fiscal constraints may be the most important choice facing actors today.</w:t>
      </w:r>
    </w:p>
    <w:p w14:paraId="7C742E98" w14:textId="77777777" w:rsidR="00A50828" w:rsidRPr="00CA1391" w:rsidRDefault="00A50828" w:rsidP="00A50828">
      <w:pPr>
        <w:pStyle w:val="BodyA"/>
        <w:jc w:val="both"/>
        <w:rPr>
          <w:rFonts w:ascii="Times New Roman" w:eastAsia="Calibri" w:hAnsi="Times New Roman" w:cs="Times New Roman"/>
          <w:bCs/>
          <w:color w:val="000000" w:themeColor="text1"/>
          <w:sz w:val="24"/>
          <w:szCs w:val="24"/>
        </w:rPr>
      </w:pPr>
    </w:p>
    <w:p w14:paraId="50FD8D30" w14:textId="3BF8B76B" w:rsidR="00CA1391" w:rsidRPr="00CA1391" w:rsidRDefault="00CA1391" w:rsidP="00CA1391">
      <w:pPr>
        <w:pStyle w:val="BodyA"/>
        <w:jc w:val="both"/>
        <w:rPr>
          <w:rFonts w:ascii="Times New Roman" w:eastAsia="Calibri" w:hAnsi="Times New Roman" w:cs="Times New Roman"/>
          <w:bCs/>
          <w:color w:val="000000" w:themeColor="text1"/>
          <w:sz w:val="24"/>
          <w:szCs w:val="24"/>
        </w:rPr>
      </w:pPr>
    </w:p>
    <w:p w14:paraId="2A1E4BD9" w14:textId="77777777" w:rsidR="00CA1391" w:rsidRPr="00CA1391" w:rsidRDefault="00CA1391" w:rsidP="00CA1391">
      <w:pPr>
        <w:pStyle w:val="BodyA"/>
        <w:jc w:val="both"/>
        <w:rPr>
          <w:rFonts w:ascii="Times New Roman" w:eastAsia="Calibri" w:hAnsi="Times New Roman" w:cs="Times New Roman"/>
          <w:bCs/>
          <w:color w:val="000000" w:themeColor="text1"/>
          <w:sz w:val="24"/>
          <w:szCs w:val="24"/>
          <w:lang w:val="it-IT"/>
        </w:rPr>
      </w:pPr>
      <w:r w:rsidRPr="00CA1391">
        <w:rPr>
          <w:rFonts w:ascii="Times New Roman" w:eastAsia="Calibri" w:hAnsi="Times New Roman" w:cs="Times New Roman"/>
          <w:bCs/>
          <w:color w:val="000000" w:themeColor="text1"/>
          <w:sz w:val="24"/>
          <w:szCs w:val="24"/>
          <w:lang w:val="it-IT"/>
        </w:rPr>
        <w:t>Conclusion</w:t>
      </w:r>
      <w:r w:rsidRPr="00CA1391">
        <w:rPr>
          <w:rFonts w:ascii="Times New Roman" w:hAnsi="Times New Roman" w:cs="Times New Roman"/>
          <w:color w:val="000000" w:themeColor="text1"/>
          <w:sz w:val="24"/>
          <w:szCs w:val="24"/>
        </w:rPr>
        <w:t xml:space="preserve"> </w:t>
      </w:r>
    </w:p>
    <w:p w14:paraId="15C15A94" w14:textId="7A890170" w:rsidR="00CA1391" w:rsidRPr="00CA1391" w:rsidRDefault="00CA1391" w:rsidP="00CA1391">
      <w:pPr>
        <w:pStyle w:val="FootnoteText"/>
        <w:rPr>
          <w:rFonts w:ascii="Times New Roman" w:hAnsi="Times New Roman" w:cs="Times New Roman"/>
          <w:color w:val="000000" w:themeColor="text1"/>
          <w:sz w:val="24"/>
          <w:szCs w:val="24"/>
        </w:rPr>
      </w:pPr>
    </w:p>
    <w:p w14:paraId="35BCAD78" w14:textId="77777777" w:rsidR="00CA1391" w:rsidRPr="00CA1391" w:rsidRDefault="00CA1391" w:rsidP="00CA1391">
      <w:pPr>
        <w:pStyle w:val="FootnoteText"/>
        <w:jc w:val="both"/>
        <w:rPr>
          <w:rFonts w:ascii="Times New Roman" w:hAnsi="Times New Roman" w:cs="Times New Roman"/>
          <w:color w:val="000000" w:themeColor="text1"/>
          <w:sz w:val="24"/>
          <w:szCs w:val="24"/>
        </w:rPr>
      </w:pPr>
      <w:r w:rsidRPr="00CA1391">
        <w:rPr>
          <w:rFonts w:ascii="Times New Roman" w:hAnsi="Times New Roman" w:cs="Times New Roman"/>
          <w:color w:val="000000" w:themeColor="text1"/>
          <w:sz w:val="24"/>
          <w:szCs w:val="24"/>
        </w:rPr>
        <w:lastRenderedPageBreak/>
        <w:t xml:space="preserve">This article has taken the basic income discussion and policy experiments linked with it as a window into understanding contemporary patterns of institutional change, and their underlying conditions and drivers. </w:t>
      </w:r>
    </w:p>
    <w:p w14:paraId="225795EF" w14:textId="77777777" w:rsidR="00CA1391" w:rsidRPr="00CA1391" w:rsidRDefault="00CA1391" w:rsidP="00CA1391">
      <w:pPr>
        <w:pStyle w:val="FootnoteText"/>
        <w:jc w:val="both"/>
        <w:rPr>
          <w:rFonts w:ascii="Times New Roman" w:hAnsi="Times New Roman" w:cs="Times New Roman"/>
          <w:color w:val="000000" w:themeColor="text1"/>
          <w:sz w:val="24"/>
          <w:szCs w:val="24"/>
        </w:rPr>
      </w:pPr>
    </w:p>
    <w:p w14:paraId="151FB44A" w14:textId="77777777" w:rsidR="00CA1391" w:rsidRPr="00CA1391" w:rsidRDefault="00CA1391" w:rsidP="00CA1391">
      <w:pPr>
        <w:pStyle w:val="FootnoteText"/>
        <w:jc w:val="both"/>
        <w:rPr>
          <w:rFonts w:ascii="Times New Roman" w:hAnsi="Times New Roman" w:cs="Times New Roman"/>
          <w:color w:val="000000" w:themeColor="text1"/>
          <w:sz w:val="24"/>
          <w:szCs w:val="24"/>
        </w:rPr>
      </w:pPr>
      <w:r w:rsidRPr="00CA1391">
        <w:rPr>
          <w:rFonts w:ascii="Times New Roman" w:hAnsi="Times New Roman" w:cs="Times New Roman"/>
          <w:color w:val="000000" w:themeColor="text1"/>
          <w:sz w:val="24"/>
          <w:szCs w:val="24"/>
        </w:rPr>
        <w:t>The study of basic income as a policy problem in European welfare states shows the emergence of new forms of state with weaker roots in society, although the extent to which this is true varies significantly between different countries, with notable consequences for basic income debate and policy choices.  A key message is that what actors can do is limited. This being so making the right choices is critical</w:t>
      </w:r>
    </w:p>
    <w:p w14:paraId="452CE977" w14:textId="32AE9A9B" w:rsidR="00CA1391" w:rsidRPr="00CA1391" w:rsidRDefault="00CA1391" w:rsidP="00CA139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Calibri" w:hAnsi="Times New Roman" w:cs="Times New Roman"/>
          <w:bCs/>
          <w:color w:val="000000" w:themeColor="text1"/>
          <w:sz w:val="24"/>
          <w:szCs w:val="24"/>
        </w:rPr>
      </w:pPr>
    </w:p>
    <w:p w14:paraId="670546BB" w14:textId="77777777" w:rsidR="00CA1391" w:rsidRPr="00CA1391" w:rsidRDefault="00CA1391" w:rsidP="00CA139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4"/>
          <w:szCs w:val="24"/>
        </w:rPr>
      </w:pPr>
      <w:r w:rsidRPr="00CA1391">
        <w:rPr>
          <w:rFonts w:ascii="Times New Roman" w:hAnsi="Times New Roman" w:cs="Times New Roman"/>
          <w:color w:val="000000" w:themeColor="text1"/>
          <w:sz w:val="24"/>
          <w:szCs w:val="24"/>
          <w:bdr w:val="none" w:sz="0" w:space="0" w:color="auto"/>
        </w:rPr>
        <w:t>Whether for reasons of fiscal capacity (Spain in this volume) or constraint (Britain and Holland), or trade-offs in the welfare state (Denmark and Finland), realizing basic income reform in the short-term seems unlikely. Therefore, sustainable steps towards basic income today involve a battle on two fronts with two different time-horizons: In the short-term,</w:t>
      </w:r>
      <w:r w:rsidRPr="00B56E05">
        <w:rPr>
          <w:rFonts w:ascii="Times New Roman" w:hAnsi="Times New Roman" w:cs="Times New Roman"/>
          <w:color w:val="000000" w:themeColor="text1"/>
          <w:sz w:val="24"/>
          <w:szCs w:val="24"/>
          <w:bdr w:val="none" w:sz="0" w:space="0" w:color="auto"/>
        </w:rPr>
        <w:t xml:space="preserve"> </w:t>
      </w:r>
      <w:r w:rsidRPr="00CA1391">
        <w:rPr>
          <w:rFonts w:ascii="Times New Roman" w:hAnsi="Times New Roman" w:cs="Times New Roman"/>
          <w:color w:val="000000" w:themeColor="text1"/>
          <w:sz w:val="24"/>
          <w:szCs w:val="24"/>
          <w:bdr w:val="none" w:sz="0" w:space="0" w:color="auto"/>
        </w:rPr>
        <w:t>focusing on benefit reform moving in the direction of unconditionality and universality, and – in the medium and longer term securing wider conditions for public funding and governance</w:t>
      </w:r>
      <w:r w:rsidRPr="00CA1391">
        <w:rPr>
          <w:rFonts w:ascii="Times New Roman" w:hAnsi="Times New Roman" w:cs="Times New Roman"/>
          <w:color w:val="000000" w:themeColor="text1"/>
          <w:sz w:val="24"/>
          <w:szCs w:val="24"/>
        </w:rPr>
        <w:t>.</w:t>
      </w:r>
    </w:p>
    <w:p w14:paraId="50775F3B" w14:textId="77777777" w:rsidR="00CA1391" w:rsidRPr="00CA1391" w:rsidRDefault="00CA1391" w:rsidP="00CA139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Calibri" w:hAnsi="Times New Roman" w:cs="Times New Roman"/>
          <w:color w:val="000000" w:themeColor="text1"/>
          <w:sz w:val="24"/>
          <w:szCs w:val="24"/>
        </w:rPr>
      </w:pPr>
    </w:p>
    <w:p w14:paraId="0E8D3879" w14:textId="77777777" w:rsidR="00CA1391" w:rsidRPr="00CA1391" w:rsidRDefault="00CA1391" w:rsidP="00CA139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Calibri"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 xml:space="preserve">Global trends linked with flexibilisation of work and austerity have narrowed policy choices within the domain of income security reform in European countries, even as the very same trends beg the case for basic income reform. The country studies discussed in this section all exemplify this constrained set of circumstances, whilst at the same time focus on factors in welfare state evolution help illuminate how cumulative institutional capacity filters domestic responses.  </w:t>
      </w:r>
    </w:p>
    <w:p w14:paraId="5ABC2BDC" w14:textId="77777777" w:rsidR="00CA1391" w:rsidRPr="00CA1391" w:rsidRDefault="00CA1391" w:rsidP="00CA139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Calibri" w:hAnsi="Times New Roman" w:cs="Times New Roman"/>
          <w:color w:val="000000" w:themeColor="text1"/>
          <w:sz w:val="24"/>
          <w:szCs w:val="24"/>
        </w:rPr>
      </w:pPr>
    </w:p>
    <w:p w14:paraId="7FEB6FB5" w14:textId="77777777" w:rsidR="00CA1391" w:rsidRPr="00CA1391" w:rsidRDefault="00CA1391" w:rsidP="00CA1391">
      <w:pPr>
        <w:pStyle w:val="BodyA"/>
        <w:jc w:val="both"/>
        <w:rPr>
          <w:rFonts w:ascii="Times New Roman" w:eastAsia="Calibri"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ab/>
      </w:r>
      <w:r w:rsidRPr="00CA1391">
        <w:rPr>
          <w:rFonts w:ascii="Times New Roman" w:eastAsia="Calibri" w:hAnsi="Times New Roman" w:cs="Times New Roman"/>
          <w:color w:val="000000" w:themeColor="text1"/>
          <w:sz w:val="24"/>
          <w:szCs w:val="24"/>
          <w:shd w:val="clear" w:color="auto" w:fill="FFFFFF"/>
        </w:rPr>
        <w:t>The policy trade-offs and challenges identified in each of the papers in this themed section suggest both debate about and steps towards elements of basic income in European welfare states have evolved incrementally. However, the depth and direction of transformation, and the way layering conditions and is sequenced with other mechanisms of institutional change, are informed by features of public sector capacity. Underpinning country responses are long-run patterns of evolution in institutional capacity. Specifically, the combination and level of developmentalism and universalism in the structuring of labour and income security institutions intercede, by affecting, respectively, the depth and breadth of formal inclusion</w:t>
      </w:r>
      <w:r w:rsidRPr="00CA1391">
        <w:rPr>
          <w:rFonts w:ascii="Times New Roman" w:eastAsia="Calibri" w:hAnsi="Times New Roman" w:cs="Times New Roman"/>
          <w:color w:val="000000" w:themeColor="text1"/>
          <w:sz w:val="24"/>
          <w:szCs w:val="24"/>
        </w:rPr>
        <w:t xml:space="preserve">. </w:t>
      </w:r>
    </w:p>
    <w:p w14:paraId="06297C53" w14:textId="77777777" w:rsidR="00CA1391" w:rsidRPr="00CA1391" w:rsidRDefault="00CA1391" w:rsidP="00CA1391">
      <w:pPr>
        <w:pStyle w:val="BodyA"/>
        <w:jc w:val="both"/>
        <w:rPr>
          <w:rFonts w:ascii="Times New Roman" w:eastAsia="Calibri" w:hAnsi="Times New Roman" w:cs="Times New Roman"/>
          <w:color w:val="000000" w:themeColor="text1"/>
          <w:sz w:val="24"/>
          <w:szCs w:val="24"/>
        </w:rPr>
      </w:pPr>
    </w:p>
    <w:p w14:paraId="00934284" w14:textId="77777777" w:rsidR="00CA1391" w:rsidRPr="00CA1391" w:rsidRDefault="00CA1391" w:rsidP="00CA1391">
      <w:pPr>
        <w:pStyle w:val="BodyA"/>
        <w:jc w:val="both"/>
        <w:rPr>
          <w:rFonts w:ascii="Times New Roman" w:eastAsia="Calibri"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lastRenderedPageBreak/>
        <w:tab/>
        <w:t xml:space="preserve">The cases examined broadly bear out the thesis that high equality countries are more likely to experiment with steps towards basic income reform. However, said countries also face therefore more immediate </w:t>
      </w:r>
      <w:r w:rsidRPr="00CA1391">
        <w:rPr>
          <w:rFonts w:ascii="Times New Roman" w:eastAsia="Calibri" w:hAnsi="Times New Roman" w:cs="Times New Roman"/>
          <w:iCs/>
          <w:color w:val="000000" w:themeColor="text1"/>
          <w:sz w:val="24"/>
          <w:szCs w:val="24"/>
        </w:rPr>
        <w:t xml:space="preserve">political </w:t>
      </w:r>
      <w:r w:rsidRPr="00CA1391">
        <w:rPr>
          <w:rFonts w:ascii="Times New Roman" w:eastAsia="Calibri" w:hAnsi="Times New Roman" w:cs="Times New Roman"/>
          <w:color w:val="000000" w:themeColor="text1"/>
          <w:sz w:val="24"/>
          <w:szCs w:val="24"/>
        </w:rPr>
        <w:t xml:space="preserve">tensions around policy direction in the light of how in the context of recent global trends, steps towards basic income appear to threaten the cooperative basis and substance of welfare institutions already in place. On the other hand, high inequality countries face greater </w:t>
      </w:r>
      <w:r w:rsidRPr="00CA1391">
        <w:rPr>
          <w:rFonts w:ascii="Times New Roman" w:eastAsia="Calibri" w:hAnsi="Times New Roman" w:cs="Times New Roman"/>
          <w:iCs/>
          <w:color w:val="000000" w:themeColor="text1"/>
          <w:sz w:val="24"/>
          <w:szCs w:val="24"/>
          <w:lang w:val="fr-FR"/>
        </w:rPr>
        <w:t>institutional</w:t>
      </w:r>
      <w:r w:rsidRPr="00CA1391">
        <w:rPr>
          <w:rFonts w:ascii="Times New Roman" w:eastAsia="Calibri" w:hAnsi="Times New Roman" w:cs="Times New Roman"/>
          <w:color w:val="000000" w:themeColor="text1"/>
          <w:sz w:val="24"/>
          <w:szCs w:val="24"/>
        </w:rPr>
        <w:t xml:space="preserve"> barriers within policy change, which casts basic income as a fiscally and politically radical reform. The overall upshot is a conservative scenario in which in different ways European welfare states are unable to adopt basic income as standardly conceived. This recasts the ‘policy problem’ of basic income reform in terms of feasible trajectories of long-term evolution: in high equality countries how to work basic income within existing systems without losing coverage, and in low inequality countries how to build or restore institutional capacity. </w:t>
      </w:r>
    </w:p>
    <w:p w14:paraId="2C6B6492" w14:textId="77777777" w:rsidR="00CA1391" w:rsidRPr="00CA1391" w:rsidRDefault="00CA1391" w:rsidP="00CA1391">
      <w:pPr>
        <w:pStyle w:val="BodyA"/>
        <w:jc w:val="both"/>
        <w:rPr>
          <w:rFonts w:ascii="Times New Roman" w:eastAsia="Calibri" w:hAnsi="Times New Roman" w:cs="Times New Roman"/>
          <w:color w:val="000000" w:themeColor="text1"/>
          <w:sz w:val="24"/>
          <w:szCs w:val="24"/>
        </w:rPr>
      </w:pPr>
    </w:p>
    <w:p w14:paraId="2EFE0BBC" w14:textId="54A616A8" w:rsidR="00CA1391" w:rsidRPr="00CA1391" w:rsidRDefault="00CA1391" w:rsidP="00CA1391">
      <w:pPr>
        <w:pStyle w:val="FootnoteText"/>
        <w:jc w:val="both"/>
        <w:rPr>
          <w:rFonts w:ascii="Times New Roman" w:hAnsi="Times New Roman" w:cs="Times New Roman"/>
          <w:color w:val="000000" w:themeColor="text1"/>
          <w:sz w:val="24"/>
          <w:szCs w:val="24"/>
        </w:rPr>
      </w:pPr>
      <w:r w:rsidRPr="00CA1391">
        <w:rPr>
          <w:rFonts w:ascii="Times New Roman" w:hAnsi="Times New Roman" w:cs="Times New Roman"/>
          <w:color w:val="000000" w:themeColor="text1"/>
          <w:sz w:val="24"/>
          <w:szCs w:val="24"/>
        </w:rPr>
        <w:t>The case shows how governance erosion is a self-fulfilling process, when loss of capacity also entails mechanisms of readjustment become less likely: pushing governance corrosion past a certain point leads not to readjustment but a heightened risk of breakdown, as indicated where there is a growing disjuncture between policy adaptation and need. In the context of marketization processes the same mechanisms of weakening of information which famously Amartya Sen (1998  43) linked with the occurrence of famine in command economies come into play. In both cases mechanisms of policy response to challenges are weakened in the absence of a relatively independent and secure civil society.</w:t>
      </w:r>
    </w:p>
    <w:p w14:paraId="6314F057" w14:textId="77777777" w:rsidR="00CA1391" w:rsidRPr="00CA1391" w:rsidRDefault="00CA1391" w:rsidP="00CA1391">
      <w:pPr>
        <w:pStyle w:val="BodyA"/>
        <w:jc w:val="both"/>
        <w:rPr>
          <w:rFonts w:ascii="Times New Roman" w:eastAsia="Calibri" w:hAnsi="Times New Roman" w:cs="Times New Roman"/>
          <w:color w:val="000000" w:themeColor="text1"/>
          <w:sz w:val="24"/>
          <w:szCs w:val="24"/>
        </w:rPr>
      </w:pPr>
    </w:p>
    <w:p w14:paraId="35553547" w14:textId="77777777" w:rsidR="00CA1391" w:rsidRPr="00CA1391" w:rsidRDefault="00CA1391" w:rsidP="00CA1391">
      <w:pPr>
        <w:pStyle w:val="BodyA"/>
        <w:jc w:val="both"/>
        <w:rPr>
          <w:rFonts w:ascii="Times New Roman" w:eastAsia="Times New Roman" w:hAnsi="Times New Roman" w:cs="Times New Roman"/>
          <w:color w:val="000000" w:themeColor="text1"/>
          <w:sz w:val="24"/>
          <w:szCs w:val="24"/>
        </w:rPr>
      </w:pPr>
      <w:r w:rsidRPr="00CA1391">
        <w:rPr>
          <w:rFonts w:ascii="Times New Roman" w:eastAsia="Calibri" w:hAnsi="Times New Roman" w:cs="Times New Roman"/>
          <w:color w:val="000000" w:themeColor="text1"/>
          <w:sz w:val="24"/>
          <w:szCs w:val="24"/>
        </w:rPr>
        <w:tab/>
        <w:t xml:space="preserve">The study of basic income as a policy problem contributes to the literature on institutional change, including by bringing this field closer to the study of within varieties of welfare state. Whilst shifting political coalitions in the welfare state matter for how basic income is perceived, ultimately, political agents act within a set of constraints and trade-offs shaped by shifting global trends and the institutionalisation of past political choices. The study of basic income as a policy problem in European welfare states shows political actors may have less control of change than indicated in the institutional change literature, and must adapt strategically to changes both ‘from within’ and ‘from without’ to an extent and in ways also not full captured through a comparative typology lens. This review article has put forward new tools to study change from a macro-configurational and multi-level perspective. </w:t>
      </w:r>
    </w:p>
    <w:p w14:paraId="3977B77F" w14:textId="77777777" w:rsidR="009A20A0" w:rsidRDefault="009A20A0" w:rsidP="007B0611">
      <w:pPr>
        <w:pStyle w:val="BodyA"/>
        <w:jc w:val="both"/>
        <w:rPr>
          <w:rFonts w:ascii="Calibri" w:eastAsia="Calibri" w:hAnsi="Calibri" w:cs="Calibri"/>
          <w:sz w:val="24"/>
          <w:szCs w:val="24"/>
        </w:rPr>
      </w:pPr>
    </w:p>
    <w:p w14:paraId="40C7619F" w14:textId="77777777" w:rsidR="009A20A0" w:rsidRDefault="006A086E" w:rsidP="007B0611">
      <w:pPr>
        <w:pStyle w:val="BodyA"/>
        <w:jc w:val="both"/>
        <w:rPr>
          <w:rFonts w:ascii="Times New Roman" w:eastAsia="Times New Roman" w:hAnsi="Times New Roman" w:cs="Times New Roman"/>
          <w:b/>
          <w:bCs/>
          <w:sz w:val="24"/>
          <w:szCs w:val="24"/>
        </w:rPr>
      </w:pPr>
      <w:r>
        <w:rPr>
          <w:rFonts w:ascii="Calibri" w:eastAsia="Calibri" w:hAnsi="Calibri" w:cs="Calibri"/>
          <w:b/>
          <w:bCs/>
          <w:sz w:val="24"/>
          <w:szCs w:val="24"/>
        </w:rPr>
        <w:t>Bibliography</w:t>
      </w:r>
    </w:p>
    <w:p w14:paraId="3BF8EC79" w14:textId="77777777" w:rsidR="009A20A0" w:rsidRDefault="009A20A0" w:rsidP="007B0611">
      <w:pPr>
        <w:pStyle w:val="Default"/>
        <w:suppressAutoHyphens/>
        <w:ind w:hanging="567"/>
        <w:jc w:val="both"/>
        <w:rPr>
          <w:rFonts w:ascii="Times New Roman" w:eastAsia="Times New Roman" w:hAnsi="Times New Roman" w:cs="Times New Roman"/>
          <w:sz w:val="24"/>
          <w:szCs w:val="24"/>
        </w:rPr>
      </w:pPr>
    </w:p>
    <w:p w14:paraId="5794C462" w14:textId="69F576D7" w:rsidR="009A20A0" w:rsidRDefault="006A086E" w:rsidP="007B0611">
      <w:pPr>
        <w:pStyle w:val="Default"/>
        <w:ind w:hanging="567"/>
        <w:jc w:val="both"/>
        <w:rPr>
          <w:rFonts w:ascii="Times New Roman" w:hAnsi="Times New Roman"/>
          <w:sz w:val="24"/>
          <w:szCs w:val="24"/>
        </w:rPr>
      </w:pPr>
      <w:r>
        <w:rPr>
          <w:rFonts w:ascii="Times New Roman" w:hAnsi="Times New Roman"/>
          <w:sz w:val="24"/>
          <w:szCs w:val="24"/>
        </w:rPr>
        <w:t xml:space="preserve">Andersson, J.-O. and Kangas, K. (2005) ‘Universalism in the Age of Workfare. Attitudes to Basic Income in Sweden and Finland’, in N. Kildal and S. Kuhnle (eds.) </w:t>
      </w:r>
      <w:r>
        <w:rPr>
          <w:rFonts w:ascii="Times New Roman" w:hAnsi="Times New Roman"/>
          <w:i/>
          <w:iCs/>
          <w:sz w:val="24"/>
          <w:szCs w:val="24"/>
        </w:rPr>
        <w:t>Normative Foundations of the Welfare State: the Nordic Experience</w:t>
      </w:r>
      <w:r>
        <w:rPr>
          <w:rFonts w:ascii="Times New Roman" w:hAnsi="Times New Roman"/>
          <w:sz w:val="24"/>
          <w:szCs w:val="24"/>
        </w:rPr>
        <w:t>, London: Routledge.</w:t>
      </w:r>
    </w:p>
    <w:p w14:paraId="08C04881" w14:textId="18500092" w:rsidR="00E707A1" w:rsidRDefault="00E707A1" w:rsidP="00473F36">
      <w:pPr>
        <w:pStyle w:val="Default"/>
        <w:ind w:hanging="567"/>
        <w:jc w:val="both"/>
        <w:rPr>
          <w:rFonts w:ascii="Times New Roman" w:hAnsi="Times New Roman" w:cs="Times New Roman"/>
          <w:sz w:val="24"/>
          <w:szCs w:val="24"/>
        </w:rPr>
      </w:pPr>
      <w:r>
        <w:rPr>
          <w:rFonts w:ascii="Times New Roman" w:hAnsi="Times New Roman" w:cs="Times New Roman"/>
          <w:sz w:val="24"/>
          <w:szCs w:val="24"/>
        </w:rPr>
        <w:t xml:space="preserve">Blanchflower, D., and Machin, S., 2014 Falling Real Wages, Centre Piece Spring,  </w:t>
      </w:r>
      <w:r w:rsidRPr="00E707A1">
        <w:rPr>
          <w:rFonts w:ascii="Times New Roman" w:hAnsi="Times New Roman" w:cs="Times New Roman"/>
          <w:sz w:val="24"/>
          <w:szCs w:val="24"/>
        </w:rPr>
        <w:t>http://cep.lse.ac.uk/pubs/download/cp422.pdf</w:t>
      </w:r>
    </w:p>
    <w:p w14:paraId="298C8FA5" w14:textId="735115DA" w:rsidR="00473F36" w:rsidRPr="00473F36" w:rsidRDefault="00473F36" w:rsidP="00473F36">
      <w:pPr>
        <w:pStyle w:val="Default"/>
        <w:ind w:hanging="567"/>
        <w:jc w:val="both"/>
        <w:rPr>
          <w:rFonts w:ascii="Times New Roman" w:hAnsi="Times New Roman" w:cs="Times New Roman"/>
          <w:sz w:val="24"/>
          <w:szCs w:val="24"/>
        </w:rPr>
      </w:pPr>
      <w:r w:rsidRPr="00473F36">
        <w:rPr>
          <w:rFonts w:ascii="Times New Roman" w:hAnsi="Times New Roman" w:cs="Times New Roman"/>
          <w:sz w:val="24"/>
          <w:szCs w:val="24"/>
        </w:rPr>
        <w:t xml:space="preserve">Bronk, </w:t>
      </w:r>
      <w:r w:rsidR="0033416E">
        <w:rPr>
          <w:rFonts w:ascii="Times New Roman" w:hAnsi="Times New Roman" w:cs="Times New Roman"/>
          <w:sz w:val="24"/>
          <w:szCs w:val="24"/>
        </w:rPr>
        <w:t xml:space="preserve">R., </w:t>
      </w:r>
      <w:r w:rsidRPr="00473F36">
        <w:rPr>
          <w:rFonts w:ascii="Times New Roman" w:hAnsi="Times New Roman" w:cs="Times New Roman"/>
          <w:sz w:val="24"/>
          <w:szCs w:val="24"/>
        </w:rPr>
        <w:t xml:space="preserve">2009, </w:t>
      </w:r>
      <w:r w:rsidRPr="00473F36">
        <w:rPr>
          <w:rStyle w:val="a-size-large"/>
          <w:rFonts w:ascii="Times New Roman" w:hAnsi="Times New Roman" w:cs="Times New Roman"/>
          <w:color w:val="111111"/>
        </w:rPr>
        <w:t>The Romantic Economist: Imagination in Economics, Cambridge: Cambrixge University Press.</w:t>
      </w:r>
    </w:p>
    <w:p w14:paraId="013EC90F" w14:textId="77777777" w:rsidR="009A20A0" w:rsidRDefault="006A086E" w:rsidP="007B0611">
      <w:pPr>
        <w:pStyle w:val="Default"/>
        <w:suppressAutoHyphens/>
        <w:ind w:hanging="567"/>
        <w:jc w:val="both"/>
        <w:rPr>
          <w:rFonts w:ascii="Palatino Linotype" w:eastAsia="Palatino Linotype" w:hAnsi="Palatino Linotype" w:cs="Palatino Linotype"/>
          <w:sz w:val="24"/>
          <w:szCs w:val="24"/>
        </w:rPr>
      </w:pPr>
      <w:r w:rsidRPr="00473F36">
        <w:rPr>
          <w:rFonts w:ascii="Times New Roman" w:eastAsia="Palatino Linotype" w:hAnsi="Times New Roman" w:cs="Times New Roman"/>
          <w:sz w:val="24"/>
          <w:szCs w:val="24"/>
        </w:rPr>
        <w:t>Clasen, J. (2001) ‘Social</w:t>
      </w:r>
      <w:r>
        <w:rPr>
          <w:rFonts w:ascii="Palatino Linotype" w:eastAsia="Palatino Linotype" w:hAnsi="Palatino Linotype" w:cs="Palatino Linotype"/>
          <w:sz w:val="24"/>
          <w:szCs w:val="24"/>
        </w:rPr>
        <w:t xml:space="preserve"> Insurance and the Contributory Principle: A Paradox in Contemporary British Social Policy,’ </w:t>
      </w:r>
      <w:r>
        <w:rPr>
          <w:rFonts w:ascii="Palatino Linotype" w:eastAsia="Palatino Linotype" w:hAnsi="Palatino Linotype" w:cs="Palatino Linotype"/>
          <w:i/>
          <w:iCs/>
          <w:sz w:val="24"/>
          <w:szCs w:val="24"/>
        </w:rPr>
        <w:t>Social Policy and Administration</w:t>
      </w:r>
      <w:r>
        <w:rPr>
          <w:rFonts w:ascii="Palatino Linotype" w:eastAsia="Palatino Linotype" w:hAnsi="Palatino Linotype" w:cs="Palatino Linotype"/>
          <w:sz w:val="24"/>
          <w:szCs w:val="24"/>
        </w:rPr>
        <w:t>, 35, 6, 641-657.</w:t>
      </w:r>
    </w:p>
    <w:p w14:paraId="60B3F5AD" w14:textId="77777777" w:rsidR="009A20A0" w:rsidRDefault="006A086E" w:rsidP="007B0611">
      <w:pPr>
        <w:pStyle w:val="Default"/>
        <w:suppressAutoHyphens/>
        <w:ind w:hanging="567"/>
        <w:jc w:val="both"/>
        <w:rPr>
          <w:rFonts w:ascii="Palatino Linotype" w:eastAsia="Palatino Linotype" w:hAnsi="Palatino Linotype" w:cs="Palatino Linotype"/>
          <w:sz w:val="24"/>
          <w:szCs w:val="24"/>
        </w:rPr>
      </w:pPr>
      <w:r>
        <w:rPr>
          <w:rFonts w:ascii="Times New Roman" w:hAnsi="Times New Roman"/>
          <w:sz w:val="24"/>
          <w:szCs w:val="24"/>
        </w:rPr>
        <w:t xml:space="preserve">Clasen, J. and Clegg, D. (2012) ‘Adapting Labour Market Policy to a Transformed Employment Structure: The Politics of ‘Triple Integration’’, in G. Bonoli and D. Natali (eds.) </w:t>
      </w:r>
      <w:r>
        <w:rPr>
          <w:rFonts w:ascii="Times New Roman" w:hAnsi="Times New Roman"/>
          <w:i/>
          <w:iCs/>
          <w:sz w:val="24"/>
          <w:szCs w:val="24"/>
        </w:rPr>
        <w:t xml:space="preserve">The Politics of the New Welfare State. </w:t>
      </w:r>
      <w:r>
        <w:rPr>
          <w:rFonts w:ascii="Times New Roman" w:hAnsi="Times New Roman"/>
          <w:sz w:val="24"/>
          <w:szCs w:val="24"/>
        </w:rPr>
        <w:t>Oxford, Oxford University Press.</w:t>
      </w:r>
    </w:p>
    <w:p w14:paraId="72E4D4A6" w14:textId="57F293AE" w:rsidR="009A20A0" w:rsidRDefault="006A086E" w:rsidP="007B0611">
      <w:pPr>
        <w:pStyle w:val="Default"/>
        <w:suppressAutoHyphens/>
        <w:ind w:hanging="567"/>
        <w:jc w:val="both"/>
        <w:rPr>
          <w:rFonts w:ascii="Times New Roman" w:hAnsi="Times New Roman"/>
          <w:sz w:val="24"/>
          <w:szCs w:val="24"/>
        </w:rPr>
      </w:pPr>
      <w:r>
        <w:rPr>
          <w:rFonts w:ascii="Palatino Linotype" w:eastAsia="Palatino Linotype" w:hAnsi="Palatino Linotype" w:cs="Palatino Linotype"/>
          <w:sz w:val="24"/>
          <w:szCs w:val="24"/>
        </w:rPr>
        <w:t xml:space="preserve">Columbino, U., </w:t>
      </w:r>
      <w:r>
        <w:rPr>
          <w:rFonts w:ascii="Times New Roman" w:hAnsi="Times New Roman"/>
          <w:sz w:val="24"/>
          <w:szCs w:val="24"/>
        </w:rPr>
        <w:t xml:space="preserve">Locatelli, M., Narazani, E. and O’Donoghue, C. </w:t>
      </w:r>
      <w:r>
        <w:rPr>
          <w:rFonts w:ascii="Palatino Linotype" w:eastAsia="Palatino Linotype" w:hAnsi="Palatino Linotype" w:cs="Palatino Linotype"/>
          <w:sz w:val="24"/>
          <w:szCs w:val="24"/>
        </w:rPr>
        <w:t xml:space="preserve">(2010) ‘Alternative Basic Income Mechanisms: An Evaluation Exercise with a Microeconometric Model’, </w:t>
      </w:r>
      <w:r>
        <w:rPr>
          <w:rFonts w:ascii="Times New Roman" w:hAnsi="Times New Roman"/>
          <w:i/>
          <w:iCs/>
          <w:sz w:val="24"/>
          <w:szCs w:val="24"/>
        </w:rPr>
        <w:t>Basic Income Studies,</w:t>
      </w:r>
      <w:r>
        <w:rPr>
          <w:rFonts w:ascii="Times New Roman" w:hAnsi="Times New Roman"/>
          <w:sz w:val="24"/>
          <w:szCs w:val="24"/>
        </w:rPr>
        <w:t xml:space="preserve"> 5, 1, ??.</w:t>
      </w:r>
    </w:p>
    <w:p w14:paraId="1018576D" w14:textId="304FFF72" w:rsidR="003133C6" w:rsidRDefault="003133C6" w:rsidP="007B0611">
      <w:pPr>
        <w:pStyle w:val="Default"/>
        <w:suppressAutoHyphens/>
        <w:ind w:hanging="567"/>
        <w:jc w:val="both"/>
        <w:rPr>
          <w:rFonts w:ascii="Times New Roman" w:hAnsi="Times New Roman" w:cs="Times New Roman"/>
          <w:iCs/>
          <w:color w:val="000000" w:themeColor="text1"/>
          <w:shd w:val="clear" w:color="auto" w:fill="FFFFFF"/>
        </w:rPr>
      </w:pPr>
      <w:r w:rsidRPr="00622D14">
        <w:rPr>
          <w:rFonts w:ascii="Times New Roman" w:hAnsi="Times New Roman" w:cs="Times New Roman"/>
          <w:iCs/>
          <w:color w:val="000000" w:themeColor="text1"/>
          <w:shd w:val="clear" w:color="auto" w:fill="FFFFFF"/>
        </w:rPr>
        <w:t xml:space="preserve">Coyle, D., 2017, ‘How to </w:t>
      </w:r>
      <w:r>
        <w:rPr>
          <w:rFonts w:ascii="Times New Roman" w:hAnsi="Times New Roman" w:cs="Times New Roman"/>
          <w:iCs/>
          <w:color w:val="000000" w:themeColor="text1"/>
          <w:shd w:val="clear" w:color="auto" w:fill="FFFFFF"/>
        </w:rPr>
        <w:t>H</w:t>
      </w:r>
      <w:r w:rsidRPr="00622D14">
        <w:rPr>
          <w:rFonts w:ascii="Times New Roman" w:hAnsi="Times New Roman" w:cs="Times New Roman"/>
          <w:iCs/>
          <w:color w:val="000000" w:themeColor="text1"/>
          <w:shd w:val="clear" w:color="auto" w:fill="FFFFFF"/>
        </w:rPr>
        <w:t xml:space="preserve">ave a Productive Brexit’, </w:t>
      </w:r>
      <w:r w:rsidRPr="00622D14">
        <w:rPr>
          <w:rFonts w:ascii="Times New Roman" w:hAnsi="Times New Roman" w:cs="Times New Roman"/>
          <w:i/>
          <w:iCs/>
          <w:color w:val="000000" w:themeColor="text1"/>
          <w:shd w:val="clear" w:color="auto" w:fill="FFFFFF"/>
        </w:rPr>
        <w:t>Prospect Magazine</w:t>
      </w:r>
      <w:r w:rsidRPr="00622D14">
        <w:rPr>
          <w:rFonts w:ascii="Times New Roman" w:hAnsi="Times New Roman" w:cs="Times New Roman"/>
          <w:iCs/>
          <w:color w:val="000000" w:themeColor="text1"/>
          <w:shd w:val="clear" w:color="auto" w:fill="FFFFFF"/>
        </w:rPr>
        <w:t>, 13 November.</w:t>
      </w:r>
    </w:p>
    <w:p w14:paraId="08077DF4" w14:textId="6636F6F6" w:rsidR="003133C6" w:rsidRDefault="003133C6" w:rsidP="007B0611">
      <w:pPr>
        <w:pStyle w:val="Default"/>
        <w:suppressAutoHyphens/>
        <w:ind w:hanging="567"/>
        <w:jc w:val="both"/>
        <w:rPr>
          <w:rFonts w:ascii="Times New Roman" w:eastAsia="Times New Roman" w:hAnsi="Times New Roman" w:cs="Times New Roman"/>
          <w:sz w:val="24"/>
          <w:szCs w:val="24"/>
        </w:rPr>
      </w:pPr>
      <w:r w:rsidRPr="00622D14">
        <w:rPr>
          <w:rFonts w:ascii="Times New Roman" w:hAnsi="Times New Roman"/>
          <w:color w:val="000000" w:themeColor="text1"/>
        </w:rPr>
        <w:t xml:space="preserve">Cruddas, J. and Kibasi, T., 2016, ‘A Universal Basic Mistake’, </w:t>
      </w:r>
      <w:r w:rsidRPr="00622D14">
        <w:rPr>
          <w:rFonts w:ascii="Times New Roman" w:hAnsi="Times New Roman"/>
          <w:i/>
          <w:color w:val="000000" w:themeColor="text1"/>
        </w:rPr>
        <w:t>Prospect Magazine</w:t>
      </w:r>
      <w:r w:rsidRPr="00622D14">
        <w:rPr>
          <w:rFonts w:ascii="Times New Roman" w:hAnsi="Times New Roman"/>
          <w:color w:val="000000" w:themeColor="text1"/>
        </w:rPr>
        <w:t>, 16 June.</w:t>
      </w:r>
    </w:p>
    <w:p w14:paraId="4FBED1B3" w14:textId="77777777" w:rsidR="009A20A0" w:rsidRDefault="006A086E" w:rsidP="007B0611">
      <w:pPr>
        <w:pStyle w:val="Default"/>
        <w:ind w:hanging="567"/>
        <w:jc w:val="both"/>
        <w:rPr>
          <w:rFonts w:ascii="Times New Roman" w:eastAsia="Times New Roman" w:hAnsi="Times New Roman" w:cs="Times New Roman"/>
          <w:sz w:val="24"/>
          <w:szCs w:val="24"/>
        </w:rPr>
      </w:pPr>
      <w:r>
        <w:rPr>
          <w:rFonts w:ascii="Times New Roman" w:hAnsi="Times New Roman"/>
          <w:sz w:val="24"/>
          <w:szCs w:val="24"/>
        </w:rPr>
        <w:t xml:space="preserve">De Wispelaere, J. (2016a) ‘Basic Income in Our Time: Improving Political Prospects Through Policy Learning?’ </w:t>
      </w:r>
      <w:r>
        <w:rPr>
          <w:rFonts w:ascii="Times New Roman" w:hAnsi="Times New Roman"/>
          <w:i/>
          <w:iCs/>
          <w:sz w:val="24"/>
          <w:szCs w:val="24"/>
        </w:rPr>
        <w:t>Journal of Social Policy,</w:t>
      </w:r>
      <w:r>
        <w:rPr>
          <w:rFonts w:ascii="Times New Roman" w:hAnsi="Times New Roman"/>
          <w:sz w:val="24"/>
          <w:szCs w:val="24"/>
        </w:rPr>
        <w:t xml:space="preserve"> 45, 4, 617–634.</w:t>
      </w:r>
    </w:p>
    <w:p w14:paraId="667FA15B" w14:textId="77777777" w:rsidR="009A20A0" w:rsidRDefault="006A086E" w:rsidP="007B0611">
      <w:pPr>
        <w:pStyle w:val="Default"/>
        <w:ind w:hanging="567"/>
        <w:jc w:val="both"/>
        <w:rPr>
          <w:rFonts w:ascii="Times New Roman" w:eastAsia="Times New Roman" w:hAnsi="Times New Roman" w:cs="Times New Roman"/>
          <w:sz w:val="24"/>
          <w:szCs w:val="24"/>
        </w:rPr>
      </w:pPr>
      <w:r>
        <w:rPr>
          <w:rFonts w:ascii="Times New Roman" w:hAnsi="Times New Roman"/>
          <w:sz w:val="24"/>
          <w:szCs w:val="24"/>
        </w:rPr>
        <w:t xml:space="preserve">De Wispelaere, J. (2016b) ‘The Struggle for Strategy: On the Politics of the Basic Income Proposal’, </w:t>
      </w:r>
      <w:r>
        <w:rPr>
          <w:rFonts w:ascii="Times New Roman" w:hAnsi="Times New Roman"/>
          <w:i/>
          <w:iCs/>
          <w:sz w:val="24"/>
          <w:szCs w:val="24"/>
        </w:rPr>
        <w:t>Politics</w:t>
      </w:r>
      <w:r>
        <w:rPr>
          <w:rFonts w:ascii="Times New Roman" w:hAnsi="Times New Roman"/>
          <w:sz w:val="24"/>
          <w:szCs w:val="24"/>
        </w:rPr>
        <w:t>, 36, 2, 131–141.</w:t>
      </w:r>
    </w:p>
    <w:p w14:paraId="495E1E63" w14:textId="77777777" w:rsidR="009A20A0" w:rsidRDefault="006A086E" w:rsidP="007B0611">
      <w:pPr>
        <w:pStyle w:val="Default"/>
        <w:ind w:hanging="567"/>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 xml:space="preserve">De Wispelaere, J., Halmetoja, A. and Pulkka, V.-V. (2018), ‘The Rise (and Fall) of the Basic Income Experiment in Finland’, </w:t>
      </w:r>
      <w:r>
        <w:rPr>
          <w:rFonts w:ascii="Times New Roman" w:hAnsi="Times New Roman"/>
          <w:i/>
          <w:iCs/>
          <w:sz w:val="24"/>
          <w:szCs w:val="24"/>
          <w:shd w:val="clear" w:color="auto" w:fill="FFFFFF"/>
        </w:rPr>
        <w:t>CESifo Forum,</w:t>
      </w:r>
      <w:r>
        <w:rPr>
          <w:rFonts w:ascii="Times New Roman" w:hAnsi="Times New Roman"/>
          <w:sz w:val="24"/>
          <w:szCs w:val="24"/>
          <w:shd w:val="clear" w:color="auto" w:fill="FFFFFF"/>
        </w:rPr>
        <w:t xml:space="preserve"> 19, 3, 15-19.</w:t>
      </w:r>
    </w:p>
    <w:p w14:paraId="3AC09F3F" w14:textId="77777777" w:rsidR="009A20A0" w:rsidRDefault="006A086E" w:rsidP="007B0611">
      <w:pPr>
        <w:pStyle w:val="Default"/>
        <w:ind w:hanging="567"/>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De Wispelaere, J. and Martinelli, L. (2017) ‘A New Universalism? Varieties of Basic Income and Welfare State Reform’, ESPAnet Conference, Lisbon, September 14–16, 2017.</w:t>
      </w:r>
    </w:p>
    <w:p w14:paraId="0AAA0137" w14:textId="77777777" w:rsidR="009A20A0" w:rsidRDefault="006A086E" w:rsidP="007B0611">
      <w:pPr>
        <w:pStyle w:val="Default"/>
        <w:ind w:hanging="567"/>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 xml:space="preserve">De Wispelaere, J and Stirton, L. (2013) ‘The Politics of Universal Basic Income: Bringing Bureaucracy Back In’, </w:t>
      </w:r>
      <w:r>
        <w:rPr>
          <w:rFonts w:ascii="Times New Roman" w:hAnsi="Times New Roman"/>
          <w:i/>
          <w:iCs/>
          <w:sz w:val="24"/>
          <w:szCs w:val="24"/>
          <w:shd w:val="clear" w:color="auto" w:fill="FFFFFF"/>
        </w:rPr>
        <w:t xml:space="preserve">Political Studies </w:t>
      </w:r>
      <w:r>
        <w:rPr>
          <w:rFonts w:ascii="Times New Roman" w:hAnsi="Times New Roman"/>
          <w:sz w:val="24"/>
          <w:szCs w:val="24"/>
          <w:shd w:val="clear" w:color="auto" w:fill="FFFFFF"/>
        </w:rPr>
        <w:t xml:space="preserve">61(4): 915-932. </w:t>
      </w:r>
    </w:p>
    <w:p w14:paraId="36FD5FD7" w14:textId="77777777" w:rsidR="009A20A0" w:rsidRDefault="006A086E" w:rsidP="007B0611">
      <w:pPr>
        <w:pStyle w:val="Default"/>
        <w:ind w:hanging="567"/>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 xml:space="preserve">Esping-Andersen, G. (1990) </w:t>
      </w:r>
      <w:r>
        <w:rPr>
          <w:rFonts w:ascii="Times New Roman" w:hAnsi="Times New Roman"/>
          <w:i/>
          <w:iCs/>
          <w:sz w:val="24"/>
          <w:szCs w:val="24"/>
          <w:shd w:val="clear" w:color="auto" w:fill="FFFFFF"/>
        </w:rPr>
        <w:t>The Three Worlds of Welfare Capitalism,</w:t>
      </w:r>
      <w:r>
        <w:rPr>
          <w:rFonts w:ascii="Times New Roman" w:hAnsi="Times New Roman"/>
          <w:sz w:val="24"/>
          <w:szCs w:val="24"/>
          <w:shd w:val="clear" w:color="auto" w:fill="FFFFFF"/>
        </w:rPr>
        <w:t xml:space="preserve"> Princeton: Princeton University Press. </w:t>
      </w:r>
    </w:p>
    <w:p w14:paraId="3152922C" w14:textId="77777777" w:rsidR="009A20A0" w:rsidRDefault="006A086E" w:rsidP="007B0611">
      <w:pPr>
        <w:pStyle w:val="Default"/>
        <w:ind w:hanging="567"/>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 xml:space="preserve">Esping-Andersen, G. (1999) </w:t>
      </w:r>
      <w:r>
        <w:rPr>
          <w:rFonts w:ascii="Times New Roman" w:hAnsi="Times New Roman"/>
          <w:i/>
          <w:iCs/>
          <w:sz w:val="24"/>
          <w:szCs w:val="24"/>
          <w:shd w:val="clear" w:color="auto" w:fill="FFFFFF"/>
        </w:rPr>
        <w:t>Social Foundations of Postindustrial Economies,</w:t>
      </w:r>
      <w:r>
        <w:rPr>
          <w:rFonts w:ascii="Times New Roman" w:hAnsi="Times New Roman"/>
          <w:sz w:val="24"/>
          <w:szCs w:val="24"/>
          <w:shd w:val="clear" w:color="auto" w:fill="FFFFFF"/>
        </w:rPr>
        <w:t xml:space="preserve"> Oxford: Oxford University Press.</w:t>
      </w:r>
    </w:p>
    <w:p w14:paraId="47BE7E5F" w14:textId="77777777" w:rsidR="009A20A0" w:rsidRDefault="006A086E" w:rsidP="007B0611">
      <w:pPr>
        <w:pStyle w:val="Default"/>
        <w:ind w:hanging="567"/>
        <w:jc w:val="both"/>
        <w:rPr>
          <w:rFonts w:ascii="Calibri" w:eastAsia="Calibri" w:hAnsi="Calibri" w:cs="Calibri"/>
          <w:sz w:val="24"/>
          <w:szCs w:val="24"/>
          <w:shd w:val="clear" w:color="auto" w:fill="FFFFFF"/>
        </w:rPr>
      </w:pPr>
      <w:r>
        <w:rPr>
          <w:rFonts w:ascii="Calibri" w:eastAsia="Calibri" w:hAnsi="Calibri" w:cs="Calibri"/>
          <w:sz w:val="24"/>
          <w:szCs w:val="24"/>
          <w:shd w:val="clear" w:color="auto" w:fill="FFFFFF"/>
        </w:rPr>
        <w:lastRenderedPageBreak/>
        <w:t>Fetzer, T. (2018) ‘Did Austerity Cause Brexit?’, https://warwick.ac.uk/fac/soc/economics/research/workingpapers/2018/twerp_1170_fetzer.pdf</w:t>
      </w:r>
    </w:p>
    <w:p w14:paraId="7031CA0D" w14:textId="77777777" w:rsidR="007B5D52" w:rsidRPr="007B5D52" w:rsidRDefault="007B5D52" w:rsidP="007B0611">
      <w:pPr>
        <w:pStyle w:val="Default"/>
        <w:suppressAutoHyphens/>
        <w:jc w:val="both"/>
        <w:rPr>
          <w:rFonts w:ascii="Palatino Linotype" w:eastAsia="Palatino Linotype" w:hAnsi="Palatino Linotype" w:cs="Palatino Linotype"/>
          <w:color w:val="000000" w:themeColor="text1"/>
          <w:sz w:val="24"/>
          <w:szCs w:val="24"/>
        </w:rPr>
      </w:pPr>
      <w:r w:rsidRPr="007B5D52">
        <w:rPr>
          <w:rFonts w:ascii="Palatino Linotype" w:eastAsia="Palatino Linotype" w:hAnsi="Palatino Linotype" w:cs="Palatino Linotype"/>
          <w:color w:val="000000" w:themeColor="text1"/>
          <w:sz w:val="24"/>
          <w:szCs w:val="24"/>
        </w:rPr>
        <w:t>Finegold, D. and Soskice, D. 1988, ‘The Failure of Training in Britain: Analysis and</w:t>
      </w:r>
    </w:p>
    <w:p w14:paraId="29BFB654" w14:textId="18983779" w:rsidR="007B5D52" w:rsidRPr="007B5D52" w:rsidRDefault="007B5D52" w:rsidP="007B0611">
      <w:pPr>
        <w:pStyle w:val="Default"/>
        <w:suppressAutoHyphens/>
        <w:jc w:val="both"/>
        <w:rPr>
          <w:rFonts w:ascii="Times New Roman" w:eastAsia="Times New Roman" w:hAnsi="Times New Roman" w:cs="Times New Roman"/>
          <w:color w:val="000000" w:themeColor="text1"/>
          <w:sz w:val="24"/>
          <w:szCs w:val="24"/>
        </w:rPr>
      </w:pPr>
      <w:r w:rsidRPr="007B5D52">
        <w:rPr>
          <w:rFonts w:ascii="Palatino Linotype" w:eastAsia="Palatino Linotype" w:hAnsi="Palatino Linotype" w:cs="Palatino Linotype"/>
          <w:color w:val="000000" w:themeColor="text1"/>
          <w:sz w:val="24"/>
          <w:szCs w:val="24"/>
        </w:rPr>
        <w:t xml:space="preserve"> </w:t>
      </w:r>
      <w:r w:rsidRPr="007B5D52">
        <w:rPr>
          <w:rFonts w:ascii="Palatino Linotype" w:eastAsia="Palatino Linotype" w:hAnsi="Palatino Linotype" w:cs="Palatino Linotype"/>
          <w:color w:val="000000" w:themeColor="text1"/>
          <w:sz w:val="24"/>
          <w:szCs w:val="24"/>
        </w:rPr>
        <w:tab/>
        <w:t>Prescription’ in Oxford Review of Economic Policy, Vol. 4, No.3, 21-53.</w:t>
      </w:r>
    </w:p>
    <w:p w14:paraId="11171A85" w14:textId="77777777" w:rsidR="00B14B96" w:rsidRDefault="006A086E" w:rsidP="00B14B96">
      <w:pPr>
        <w:pStyle w:val="Default"/>
        <w:ind w:hanging="567"/>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 xml:space="preserve">Haagh, L. (2019a) </w:t>
      </w:r>
      <w:r>
        <w:rPr>
          <w:rFonts w:ascii="Times New Roman" w:hAnsi="Times New Roman"/>
          <w:i/>
          <w:iCs/>
          <w:sz w:val="24"/>
          <w:szCs w:val="24"/>
          <w:shd w:val="clear" w:color="auto" w:fill="FFFFFF"/>
        </w:rPr>
        <w:t>The Case for Universal Basic Income</w:t>
      </w:r>
      <w:r>
        <w:rPr>
          <w:rFonts w:ascii="Times New Roman" w:hAnsi="Times New Roman"/>
          <w:sz w:val="24"/>
          <w:szCs w:val="24"/>
          <w:shd w:val="clear" w:color="auto" w:fill="FFFFFF"/>
        </w:rPr>
        <w:t>, Cambridge: Polity Press.</w:t>
      </w:r>
    </w:p>
    <w:p w14:paraId="0AF21F36" w14:textId="77777777" w:rsidR="00B14B96" w:rsidRDefault="00B14B96" w:rsidP="00B14B96">
      <w:pPr>
        <w:pStyle w:val="Default"/>
        <w:ind w:hanging="567"/>
        <w:jc w:val="both"/>
        <w:rPr>
          <w:rFonts w:ascii="Times New Roman" w:eastAsia="Times New Roman" w:hAnsi="Times New Roman" w:cs="Times New Roman"/>
          <w:sz w:val="24"/>
          <w:szCs w:val="24"/>
          <w:shd w:val="clear" w:color="auto" w:fill="FFFFFF"/>
        </w:rPr>
      </w:pPr>
    </w:p>
    <w:p w14:paraId="2294CA97" w14:textId="2FAC958D" w:rsidR="007B5D52" w:rsidRPr="00B14B96" w:rsidRDefault="006A086E" w:rsidP="00B14B96">
      <w:pPr>
        <w:pStyle w:val="Default"/>
        <w:ind w:hanging="567"/>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Haagh, L. (2019b) ‘Public Ownership within Varieties of Capitalism: Regulatory Foundations for</w:t>
      </w:r>
    </w:p>
    <w:p w14:paraId="72959CD2" w14:textId="442895F4" w:rsidR="009A20A0" w:rsidRDefault="006A086E" w:rsidP="007B0611">
      <w:pPr>
        <w:pStyle w:val="Default"/>
        <w:ind w:firstLine="153"/>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Welfare and Freedom’, in Special Issue on Public Ownership in the Twenty-First Century, </w:t>
      </w:r>
      <w:r>
        <w:rPr>
          <w:rFonts w:ascii="Times New Roman" w:hAnsi="Times New Roman"/>
          <w:i/>
          <w:iCs/>
          <w:sz w:val="24"/>
          <w:szCs w:val="24"/>
          <w:shd w:val="clear" w:color="auto" w:fill="FFFFFF"/>
        </w:rPr>
        <w:t>International Journal of Public Policy</w:t>
      </w:r>
      <w:r>
        <w:rPr>
          <w:rFonts w:ascii="Times New Roman" w:hAnsi="Times New Roman"/>
          <w:sz w:val="24"/>
          <w:szCs w:val="24"/>
          <w:shd w:val="clear" w:color="auto" w:fill="FFFFFF"/>
        </w:rPr>
        <w:t>, in press.</w:t>
      </w:r>
    </w:p>
    <w:p w14:paraId="63B9CAF8" w14:textId="78FD1FC7" w:rsidR="007B5D52" w:rsidRDefault="00F45222" w:rsidP="007B0611">
      <w:pPr>
        <w:pStyle w:val="Default"/>
        <w:ind w:hanging="567"/>
        <w:jc w:val="both"/>
        <w:rPr>
          <w:rFonts w:ascii="Times New Roman" w:hAnsi="Times New Roman"/>
          <w:sz w:val="24"/>
          <w:szCs w:val="24"/>
          <w:shd w:val="clear" w:color="auto" w:fill="FFFFFF"/>
        </w:rPr>
      </w:pPr>
      <w:r>
        <w:rPr>
          <w:rFonts w:ascii="Times New Roman" w:hAnsi="Times New Roman"/>
          <w:sz w:val="24"/>
          <w:szCs w:val="24"/>
          <w:shd w:val="clear" w:color="auto" w:fill="FFFFFF"/>
        </w:rPr>
        <w:t>Haagh, L. (2017</w:t>
      </w:r>
      <w:r w:rsidR="007B5D52">
        <w:rPr>
          <w:rFonts w:ascii="Times New Roman" w:hAnsi="Times New Roman"/>
          <w:sz w:val="24"/>
          <w:szCs w:val="24"/>
          <w:shd w:val="clear" w:color="auto" w:fill="FFFFFF"/>
        </w:rPr>
        <w:t>) Basic Income as a Pivoting Reform, Nature – Human Behaviour, 1,1, 0125, June</w:t>
      </w:r>
    </w:p>
    <w:p w14:paraId="2486D583" w14:textId="5F1D8186" w:rsidR="007B5D52" w:rsidRDefault="000B59ED" w:rsidP="007B0611">
      <w:pPr>
        <w:pStyle w:val="Default"/>
        <w:ind w:hanging="567"/>
        <w:jc w:val="both"/>
        <w:rPr>
          <w:rFonts w:ascii="Times New Roman" w:hAnsi="Times New Roman"/>
          <w:sz w:val="24"/>
          <w:szCs w:val="24"/>
          <w:shd w:val="clear" w:color="auto" w:fill="FFFFFF"/>
        </w:rPr>
      </w:pPr>
      <w:r>
        <w:rPr>
          <w:rFonts w:ascii="Times New Roman" w:hAnsi="Times New Roman"/>
          <w:sz w:val="24"/>
          <w:szCs w:val="24"/>
          <w:shd w:val="clear" w:color="auto" w:fill="FFFFFF"/>
        </w:rPr>
        <w:t>Haagh, L. (2015)</w:t>
      </w:r>
      <w:r w:rsidR="007B5D52">
        <w:rPr>
          <w:rFonts w:ascii="Times New Roman" w:hAnsi="Times New Roman"/>
          <w:sz w:val="24"/>
          <w:szCs w:val="24"/>
          <w:shd w:val="clear" w:color="auto" w:fill="FFFFFF"/>
        </w:rPr>
        <w:t xml:space="preserve"> Alternative Social States and the Basic Income Debate: Institutions, Inequality and Human Development, Basic Income Studies, 10,1, pp.45-81, August</w:t>
      </w:r>
    </w:p>
    <w:p w14:paraId="34737F05" w14:textId="53397A81" w:rsidR="007B5D52" w:rsidRPr="00400E2F" w:rsidRDefault="000B59ED" w:rsidP="007B0611">
      <w:pPr>
        <w:pStyle w:val="Default"/>
        <w:ind w:hanging="567"/>
        <w:jc w:val="both"/>
        <w:rPr>
          <w:rFonts w:ascii="Calibri" w:hAnsi="Calibri" w:cs="Calibri"/>
          <w:sz w:val="24"/>
          <w:szCs w:val="24"/>
          <w:shd w:val="clear" w:color="auto" w:fill="FFFFFF"/>
        </w:rPr>
      </w:pPr>
      <w:r w:rsidRPr="00400E2F">
        <w:rPr>
          <w:rFonts w:ascii="Calibri" w:hAnsi="Calibri" w:cs="Calibri"/>
          <w:sz w:val="24"/>
          <w:szCs w:val="24"/>
          <w:shd w:val="clear" w:color="auto" w:fill="FFFFFF"/>
        </w:rPr>
        <w:t>Haagh, L. (2012)</w:t>
      </w:r>
      <w:r w:rsidR="007B5D52" w:rsidRPr="00400E2F">
        <w:rPr>
          <w:rFonts w:ascii="Calibri" w:hAnsi="Calibri" w:cs="Calibri"/>
          <w:sz w:val="24"/>
          <w:szCs w:val="24"/>
          <w:shd w:val="clear" w:color="auto" w:fill="FFFFFF"/>
        </w:rPr>
        <w:t xml:space="preserve"> Democracy, Public Finance, and Property Rights in Economic Stability: how more Horizontal Capitalism Upscales Freedom for All, Polity, 44, pp.542-587, October</w:t>
      </w:r>
    </w:p>
    <w:p w14:paraId="79CDEC38" w14:textId="7A5DDB7B" w:rsidR="005B61A3" w:rsidRPr="00400E2F" w:rsidRDefault="006A086E" w:rsidP="007B0611">
      <w:pPr>
        <w:pStyle w:val="Default"/>
        <w:ind w:hanging="567"/>
        <w:jc w:val="both"/>
        <w:rPr>
          <w:rFonts w:ascii="Calibri" w:eastAsia="Calibri" w:hAnsi="Calibri" w:cs="Calibri"/>
          <w:color w:val="000000" w:themeColor="text1"/>
          <w:sz w:val="24"/>
          <w:szCs w:val="24"/>
          <w:shd w:val="clear" w:color="auto" w:fill="FFFFFF"/>
        </w:rPr>
      </w:pPr>
      <w:r w:rsidRPr="00400E2F">
        <w:rPr>
          <w:rFonts w:ascii="Calibri" w:eastAsia="Calibri" w:hAnsi="Calibri" w:cs="Calibri"/>
          <w:sz w:val="24"/>
          <w:szCs w:val="24"/>
          <w:shd w:val="clear" w:color="auto" w:fill="FFFFFF"/>
        </w:rPr>
        <w:t xml:space="preserve">Hacker, J.S., Pierson, P. and Thelen, K. (2015) ‘Drift and Conversion: Hidden Faces of Institutional </w:t>
      </w:r>
      <w:r w:rsidRPr="00400E2F">
        <w:rPr>
          <w:rFonts w:ascii="Calibri" w:eastAsia="Calibri" w:hAnsi="Calibri" w:cs="Calibri"/>
          <w:color w:val="000000" w:themeColor="text1"/>
          <w:sz w:val="24"/>
          <w:szCs w:val="24"/>
          <w:shd w:val="clear" w:color="auto" w:fill="FFFFFF"/>
        </w:rPr>
        <w:t xml:space="preserve">Change’, in J. Mahoney and K. Thelen (eds.) </w:t>
      </w:r>
      <w:r w:rsidRPr="00400E2F">
        <w:rPr>
          <w:rFonts w:ascii="Calibri" w:eastAsia="Calibri" w:hAnsi="Calibri" w:cs="Calibri"/>
          <w:i/>
          <w:iCs/>
          <w:color w:val="000000" w:themeColor="text1"/>
          <w:sz w:val="24"/>
          <w:szCs w:val="24"/>
          <w:shd w:val="clear" w:color="auto" w:fill="FFFFFF"/>
        </w:rPr>
        <w:t>Advances in Comparative Historical Analysis,</w:t>
      </w:r>
      <w:r w:rsidRPr="00400E2F">
        <w:rPr>
          <w:rFonts w:ascii="Calibri" w:eastAsia="Calibri" w:hAnsi="Calibri" w:cs="Calibri"/>
          <w:color w:val="000000" w:themeColor="text1"/>
          <w:sz w:val="24"/>
          <w:szCs w:val="24"/>
          <w:shd w:val="clear" w:color="auto" w:fill="FFFFFF"/>
        </w:rPr>
        <w:t xml:space="preserve"> Cambridge: Cambridge University Press</w:t>
      </w:r>
    </w:p>
    <w:p w14:paraId="63E8C573" w14:textId="6B92DF20" w:rsidR="009A20A0" w:rsidRPr="00400E2F" w:rsidRDefault="006A086E" w:rsidP="007B0611">
      <w:pPr>
        <w:pStyle w:val="Default"/>
        <w:ind w:hanging="567"/>
        <w:jc w:val="both"/>
        <w:rPr>
          <w:rFonts w:ascii="Calibri" w:hAnsi="Calibri" w:cs="Calibri"/>
          <w:sz w:val="24"/>
          <w:szCs w:val="24"/>
          <w:shd w:val="clear" w:color="auto" w:fill="FFFFFF"/>
        </w:rPr>
      </w:pPr>
      <w:r w:rsidRPr="00400E2F">
        <w:rPr>
          <w:rFonts w:ascii="Calibri" w:hAnsi="Calibri" w:cs="Calibri"/>
          <w:sz w:val="24"/>
          <w:szCs w:val="24"/>
          <w:shd w:val="clear" w:color="auto" w:fill="FFFFFF"/>
        </w:rPr>
        <w:t xml:space="preserve">Hall, P.A. and Soskice, D. (eds.) (2001) </w:t>
      </w:r>
      <w:r w:rsidRPr="00400E2F">
        <w:rPr>
          <w:rFonts w:ascii="Calibri" w:hAnsi="Calibri" w:cs="Calibri"/>
          <w:i/>
          <w:iCs/>
          <w:sz w:val="24"/>
          <w:szCs w:val="24"/>
          <w:shd w:val="clear" w:color="auto" w:fill="FFFFFF"/>
        </w:rPr>
        <w:t>Varieties of Capitalism: The Institutional Foundations of Comparative Advantage</w:t>
      </w:r>
      <w:r w:rsidRPr="00400E2F">
        <w:rPr>
          <w:rFonts w:ascii="Calibri" w:hAnsi="Calibri" w:cs="Calibri"/>
          <w:sz w:val="24"/>
          <w:szCs w:val="24"/>
          <w:shd w:val="clear" w:color="auto" w:fill="FFFFFF"/>
        </w:rPr>
        <w:t>, Oxford: Oxford University Press.</w:t>
      </w:r>
    </w:p>
    <w:p w14:paraId="7C86B174" w14:textId="7FF9850A" w:rsidR="000565DF" w:rsidRPr="00400E2F" w:rsidRDefault="000565DF" w:rsidP="007B0611">
      <w:pPr>
        <w:pStyle w:val="Default"/>
        <w:ind w:hanging="567"/>
        <w:jc w:val="both"/>
        <w:rPr>
          <w:rFonts w:ascii="Calibri" w:hAnsi="Calibri" w:cs="Calibri"/>
          <w:sz w:val="24"/>
          <w:szCs w:val="24"/>
          <w:shd w:val="clear" w:color="auto" w:fill="FFFFFF"/>
        </w:rPr>
      </w:pPr>
      <w:r w:rsidRPr="00400E2F">
        <w:rPr>
          <w:rFonts w:ascii="Calibri" w:hAnsi="Calibri" w:cs="Calibri"/>
          <w:sz w:val="24"/>
          <w:szCs w:val="24"/>
          <w:shd w:val="clear" w:color="auto" w:fill="FFFFFF"/>
        </w:rPr>
        <w:t>IMF (International Monetary Fund), 2017</w:t>
      </w:r>
      <w:r w:rsidR="00EF4FA3" w:rsidRPr="00400E2F">
        <w:rPr>
          <w:rFonts w:ascii="Calibri" w:hAnsi="Calibri" w:cs="Calibri"/>
          <w:sz w:val="24"/>
          <w:szCs w:val="24"/>
          <w:shd w:val="clear" w:color="auto" w:fill="FFFFFF"/>
        </w:rPr>
        <w:t>a</w:t>
      </w:r>
      <w:r w:rsidRPr="00400E2F">
        <w:rPr>
          <w:rFonts w:ascii="Calibri" w:hAnsi="Calibri" w:cs="Calibri"/>
          <w:sz w:val="24"/>
          <w:szCs w:val="24"/>
          <w:shd w:val="clear" w:color="auto" w:fill="FFFFFF"/>
        </w:rPr>
        <w:t>, World Economic Outlook, April</w:t>
      </w:r>
    </w:p>
    <w:p w14:paraId="2C5FB716" w14:textId="5E0D6D14" w:rsidR="00EF4FA3" w:rsidRPr="00400E2F" w:rsidRDefault="00EF4FA3" w:rsidP="00EF4FA3">
      <w:pPr>
        <w:pStyle w:val="Default"/>
        <w:ind w:hanging="567"/>
        <w:jc w:val="both"/>
        <w:rPr>
          <w:rFonts w:ascii="Calibri" w:hAnsi="Calibri" w:cs="Calibri"/>
          <w:sz w:val="24"/>
          <w:szCs w:val="24"/>
          <w:shd w:val="clear" w:color="auto" w:fill="FFFFFF"/>
        </w:rPr>
      </w:pPr>
      <w:r w:rsidRPr="00400E2F">
        <w:rPr>
          <w:rFonts w:ascii="Calibri" w:hAnsi="Calibri" w:cs="Calibri"/>
          <w:sz w:val="24"/>
          <w:szCs w:val="24"/>
          <w:shd w:val="clear" w:color="auto" w:fill="FFFFFF"/>
        </w:rPr>
        <w:t>IMF (International Monetary Fund), 2017b, Global Financial Stability Report, October 2017: Is Growth at Risk?</w:t>
      </w:r>
    </w:p>
    <w:p w14:paraId="441E89B5" w14:textId="7CD39DC7" w:rsidR="00400E2F" w:rsidRPr="00400E2F" w:rsidRDefault="00400E2F" w:rsidP="00EF4FA3">
      <w:pPr>
        <w:pStyle w:val="Default"/>
        <w:ind w:hanging="567"/>
        <w:jc w:val="both"/>
        <w:rPr>
          <w:rFonts w:ascii="Calibri" w:hAnsi="Calibri" w:cs="Calibri"/>
          <w:sz w:val="24"/>
          <w:szCs w:val="24"/>
          <w:shd w:val="clear" w:color="auto" w:fill="FFFFFF"/>
        </w:rPr>
      </w:pPr>
      <w:r w:rsidRPr="00400E2F">
        <w:rPr>
          <w:rFonts w:ascii="Calibri" w:hAnsi="Calibri" w:cs="Calibri"/>
          <w:color w:val="121212"/>
          <w:sz w:val="24"/>
          <w:szCs w:val="24"/>
          <w:shd w:val="clear" w:color="auto" w:fill="FFFFFF"/>
        </w:rPr>
        <w:t>International Federation of Red Cross and Red Crescent Societies</w:t>
      </w:r>
      <w:r>
        <w:rPr>
          <w:rFonts w:ascii="Calibri" w:hAnsi="Calibri" w:cs="Calibri"/>
          <w:color w:val="121212"/>
          <w:sz w:val="24"/>
          <w:szCs w:val="24"/>
          <w:shd w:val="clear" w:color="auto" w:fill="FFFFFF"/>
        </w:rPr>
        <w:t>, 2013, Think Differe</w:t>
      </w:r>
      <w:r w:rsidRPr="00400E2F">
        <w:rPr>
          <w:rFonts w:ascii="Calibri" w:hAnsi="Calibri" w:cs="Calibri"/>
          <w:color w:val="121212"/>
          <w:sz w:val="24"/>
          <w:szCs w:val="24"/>
          <w:shd w:val="clear" w:color="auto" w:fill="FFFFFF"/>
        </w:rPr>
        <w:t>n</w:t>
      </w:r>
      <w:r>
        <w:rPr>
          <w:rFonts w:ascii="Calibri" w:hAnsi="Calibri" w:cs="Calibri"/>
          <w:color w:val="121212"/>
          <w:sz w:val="24"/>
          <w:szCs w:val="24"/>
          <w:shd w:val="clear" w:color="auto" w:fill="FFFFFF"/>
        </w:rPr>
        <w:t>t</w:t>
      </w:r>
      <w:r w:rsidRPr="00400E2F">
        <w:rPr>
          <w:rFonts w:ascii="Calibri" w:hAnsi="Calibri" w:cs="Calibri"/>
          <w:color w:val="121212"/>
          <w:sz w:val="24"/>
          <w:szCs w:val="24"/>
          <w:shd w:val="clear" w:color="auto" w:fill="FFFFFF"/>
        </w:rPr>
        <w:t>ly, http://www.ifrc.org/PageFiles/134339/1260300-Economic%20crisis%20Report_EN_LR.pdf</w:t>
      </w:r>
    </w:p>
    <w:p w14:paraId="73EBB7FF" w14:textId="0BE9878F" w:rsidR="009A20A0" w:rsidRPr="00400E2F" w:rsidRDefault="006A086E" w:rsidP="007B0611">
      <w:pPr>
        <w:pStyle w:val="Default"/>
        <w:ind w:hanging="567"/>
        <w:jc w:val="both"/>
        <w:rPr>
          <w:rFonts w:ascii="Calibri" w:hAnsi="Calibri" w:cs="Calibri"/>
          <w:sz w:val="24"/>
          <w:szCs w:val="24"/>
        </w:rPr>
      </w:pPr>
      <w:r w:rsidRPr="00400E2F">
        <w:rPr>
          <w:rFonts w:ascii="Calibri" w:hAnsi="Calibri" w:cs="Calibri"/>
          <w:sz w:val="24"/>
          <w:szCs w:val="24"/>
        </w:rPr>
        <w:t xml:space="preserve">Jones, B.D. and Baumgartner, F.R. (2005) </w:t>
      </w:r>
      <w:r w:rsidRPr="00400E2F">
        <w:rPr>
          <w:rFonts w:ascii="Calibri" w:hAnsi="Calibri" w:cs="Calibri"/>
          <w:i/>
          <w:iCs/>
          <w:sz w:val="24"/>
          <w:szCs w:val="24"/>
        </w:rPr>
        <w:t>The Politics of Attention: How Government Prioritizes Problems</w:t>
      </w:r>
      <w:r w:rsidRPr="00400E2F">
        <w:rPr>
          <w:rFonts w:ascii="Calibri" w:hAnsi="Calibri" w:cs="Calibri"/>
          <w:sz w:val="24"/>
          <w:szCs w:val="24"/>
        </w:rPr>
        <w:t>, Chicago: Chicago University Press.</w:t>
      </w:r>
    </w:p>
    <w:p w14:paraId="0ADA73DE" w14:textId="5C3CAD92" w:rsidR="00503594" w:rsidRPr="00400E2F" w:rsidRDefault="00503594" w:rsidP="007B0611">
      <w:pPr>
        <w:pStyle w:val="Default"/>
        <w:ind w:hanging="567"/>
        <w:jc w:val="both"/>
        <w:rPr>
          <w:rFonts w:ascii="Calibri" w:hAnsi="Calibri" w:cs="Calibri"/>
          <w:sz w:val="24"/>
          <w:szCs w:val="24"/>
        </w:rPr>
      </w:pPr>
      <w:r w:rsidRPr="00400E2F">
        <w:rPr>
          <w:rFonts w:ascii="Calibri" w:hAnsi="Calibri" w:cs="Calibri"/>
          <w:sz w:val="24"/>
          <w:szCs w:val="24"/>
        </w:rPr>
        <w:t xml:space="preserve">Jordan, B., (2012). ‘The Low Road to Basic Income? Tax-Benefit Integration in the UK’, Journal of Social Policy 41(1), 1-17 doi 10.1017/S0047279411000353 </w:t>
      </w:r>
    </w:p>
    <w:p w14:paraId="1EDBAC28" w14:textId="547CCB5D" w:rsidR="00674213" w:rsidRPr="00400E2F" w:rsidRDefault="00674213" w:rsidP="007B0611">
      <w:pPr>
        <w:pStyle w:val="Default"/>
        <w:ind w:hanging="567"/>
        <w:jc w:val="both"/>
        <w:rPr>
          <w:rFonts w:ascii="Calibri" w:hAnsi="Calibri" w:cs="Calibri"/>
          <w:sz w:val="24"/>
          <w:szCs w:val="24"/>
        </w:rPr>
      </w:pPr>
      <w:r w:rsidRPr="00400E2F">
        <w:rPr>
          <w:rFonts w:ascii="Calibri" w:hAnsi="Calibri" w:cs="Calibri"/>
          <w:color w:val="000000" w:themeColor="text1"/>
          <w:sz w:val="24"/>
          <w:szCs w:val="24"/>
        </w:rPr>
        <w:t xml:space="preserve">Knotz, C.M., 2018, ‘A Rising Workfare State?’, </w:t>
      </w:r>
      <w:r w:rsidRPr="00400E2F">
        <w:rPr>
          <w:rFonts w:ascii="Calibri" w:hAnsi="Calibri" w:cs="Calibri"/>
          <w:i/>
          <w:color w:val="000000" w:themeColor="text1"/>
          <w:sz w:val="24"/>
          <w:szCs w:val="24"/>
        </w:rPr>
        <w:t>Journal of International and Comparative Social Policy</w:t>
      </w:r>
      <w:r w:rsidRPr="00400E2F">
        <w:rPr>
          <w:rFonts w:ascii="Calibri" w:hAnsi="Calibri" w:cs="Calibri"/>
          <w:color w:val="000000" w:themeColor="text1"/>
          <w:sz w:val="24"/>
          <w:szCs w:val="24"/>
        </w:rPr>
        <w:t>, 34 (2), 99–108, p. 105</w:t>
      </w:r>
    </w:p>
    <w:p w14:paraId="34FEAF11" w14:textId="77777777" w:rsidR="009A20A0" w:rsidRPr="00400E2F" w:rsidRDefault="006A086E" w:rsidP="007B0611">
      <w:pPr>
        <w:pStyle w:val="Default"/>
        <w:ind w:hanging="567"/>
        <w:jc w:val="both"/>
        <w:rPr>
          <w:rFonts w:ascii="Calibri" w:eastAsia="Times New Roman" w:hAnsi="Calibri" w:cs="Calibri"/>
          <w:sz w:val="24"/>
          <w:szCs w:val="24"/>
        </w:rPr>
      </w:pPr>
      <w:r w:rsidRPr="00400E2F">
        <w:rPr>
          <w:rFonts w:ascii="Calibri" w:hAnsi="Calibri" w:cs="Calibri"/>
          <w:sz w:val="24"/>
          <w:szCs w:val="24"/>
        </w:rPr>
        <w:t xml:space="preserve">Lavinas, L. (2013) ‘Brazil: The Lost Road to Citizen's Income’, in R. LoVuolo (ed.) </w:t>
      </w:r>
      <w:r w:rsidRPr="00400E2F">
        <w:rPr>
          <w:rFonts w:ascii="Calibri" w:hAnsi="Calibri" w:cs="Calibri"/>
          <w:i/>
          <w:iCs/>
          <w:sz w:val="24"/>
          <w:szCs w:val="24"/>
        </w:rPr>
        <w:t>Citizen’s Income and Welfare Regimes in Latin America: From Cash Transfers to Rights,</w:t>
      </w:r>
      <w:r w:rsidRPr="00400E2F">
        <w:rPr>
          <w:rFonts w:ascii="Calibri" w:hAnsi="Calibri" w:cs="Calibri"/>
          <w:sz w:val="24"/>
          <w:szCs w:val="24"/>
        </w:rPr>
        <w:t xml:space="preserve"> New York: Palgrave.</w:t>
      </w:r>
    </w:p>
    <w:p w14:paraId="298EFBB7" w14:textId="77777777" w:rsidR="009A20A0" w:rsidRPr="00400E2F" w:rsidRDefault="006A086E" w:rsidP="007B0611">
      <w:pPr>
        <w:pStyle w:val="Default"/>
        <w:ind w:hanging="567"/>
        <w:jc w:val="both"/>
        <w:rPr>
          <w:rFonts w:ascii="Calibri" w:eastAsia="Times New Roman" w:hAnsi="Calibri" w:cs="Calibri"/>
          <w:color w:val="000000" w:themeColor="text1"/>
          <w:sz w:val="24"/>
          <w:szCs w:val="24"/>
        </w:rPr>
      </w:pPr>
      <w:r w:rsidRPr="00400E2F">
        <w:rPr>
          <w:rFonts w:ascii="Calibri" w:hAnsi="Calibri" w:cs="Calibri"/>
          <w:sz w:val="24"/>
          <w:szCs w:val="24"/>
        </w:rPr>
        <w:lastRenderedPageBreak/>
        <w:t xml:space="preserve">Lee, S. (2018) ‘Attitudes </w:t>
      </w:r>
      <w:r w:rsidRPr="00400E2F">
        <w:rPr>
          <w:rFonts w:ascii="Calibri" w:hAnsi="Calibri" w:cs="Calibri"/>
          <w:color w:val="000000" w:themeColor="text1"/>
          <w:sz w:val="24"/>
          <w:szCs w:val="24"/>
        </w:rPr>
        <w:t xml:space="preserve">Toward Universal Basic Income and Welfare State in Europe: a Research Note’, </w:t>
      </w:r>
      <w:r w:rsidRPr="00400E2F">
        <w:rPr>
          <w:rFonts w:ascii="Calibri" w:hAnsi="Calibri" w:cs="Calibri"/>
          <w:i/>
          <w:iCs/>
          <w:color w:val="000000" w:themeColor="text1"/>
          <w:sz w:val="24"/>
          <w:szCs w:val="24"/>
        </w:rPr>
        <w:t>Basic Income Studies,</w:t>
      </w:r>
      <w:r w:rsidRPr="00400E2F">
        <w:rPr>
          <w:rFonts w:ascii="Calibri" w:hAnsi="Calibri" w:cs="Calibri"/>
          <w:color w:val="000000" w:themeColor="text1"/>
          <w:sz w:val="24"/>
          <w:szCs w:val="24"/>
        </w:rPr>
        <w:t xml:space="preserve"> 13, 1, 101–109.</w:t>
      </w:r>
    </w:p>
    <w:p w14:paraId="6D5B5B77" w14:textId="2DCCADD4" w:rsidR="009A20A0" w:rsidRPr="00400E2F" w:rsidRDefault="006A086E" w:rsidP="007B0611">
      <w:pPr>
        <w:pStyle w:val="Default"/>
        <w:ind w:hanging="567"/>
        <w:jc w:val="both"/>
        <w:rPr>
          <w:rFonts w:ascii="Calibri" w:hAnsi="Calibri" w:cs="Calibri"/>
          <w:color w:val="000000" w:themeColor="text1"/>
          <w:sz w:val="24"/>
          <w:szCs w:val="24"/>
        </w:rPr>
      </w:pPr>
      <w:r w:rsidRPr="00400E2F">
        <w:rPr>
          <w:rFonts w:ascii="Calibri" w:hAnsi="Calibri" w:cs="Calibri"/>
          <w:color w:val="000000" w:themeColor="text1"/>
          <w:sz w:val="24"/>
          <w:szCs w:val="24"/>
        </w:rPr>
        <w:t xml:space="preserve">Mahoney, J. and Thelen, K. (eds.) (2010) </w:t>
      </w:r>
      <w:r w:rsidRPr="00400E2F">
        <w:rPr>
          <w:rFonts w:ascii="Calibri" w:hAnsi="Calibri" w:cs="Calibri"/>
          <w:i/>
          <w:iCs/>
          <w:color w:val="000000" w:themeColor="text1"/>
          <w:sz w:val="24"/>
          <w:szCs w:val="24"/>
        </w:rPr>
        <w:t>Explaining Institutional Change: Ambiguity, Agency and Power,</w:t>
      </w:r>
      <w:r w:rsidRPr="00400E2F">
        <w:rPr>
          <w:rFonts w:ascii="Calibri" w:hAnsi="Calibri" w:cs="Calibri"/>
          <w:color w:val="000000" w:themeColor="text1"/>
          <w:sz w:val="24"/>
          <w:szCs w:val="24"/>
        </w:rPr>
        <w:t xml:space="preserve"> New York: Cambridge University Press.</w:t>
      </w:r>
    </w:p>
    <w:p w14:paraId="2035571D" w14:textId="7030953E" w:rsidR="00503594" w:rsidRPr="00400E2F" w:rsidRDefault="00503594" w:rsidP="007B0611">
      <w:pPr>
        <w:pStyle w:val="Default"/>
        <w:ind w:hanging="567"/>
        <w:jc w:val="both"/>
        <w:rPr>
          <w:rFonts w:ascii="Calibri" w:hAnsi="Calibri" w:cs="Calibri"/>
          <w:color w:val="000000" w:themeColor="text1"/>
          <w:sz w:val="24"/>
          <w:szCs w:val="24"/>
        </w:rPr>
      </w:pPr>
      <w:r w:rsidRPr="00400E2F">
        <w:rPr>
          <w:rFonts w:ascii="Calibri" w:hAnsi="Calibri" w:cs="Calibri"/>
          <w:color w:val="000000" w:themeColor="text1"/>
          <w:sz w:val="24"/>
          <w:szCs w:val="24"/>
          <w:shd w:val="clear" w:color="auto" w:fill="FFFFFF"/>
        </w:rPr>
        <w:t>Martin, J. (2016). Universal credit to basic income: A politically feasible transition?</w:t>
      </w:r>
      <w:r w:rsidRPr="00400E2F">
        <w:rPr>
          <w:rFonts w:ascii="Calibri" w:hAnsi="Calibri" w:cs="Calibri"/>
          <w:i/>
          <w:iCs/>
          <w:color w:val="000000" w:themeColor="text1"/>
          <w:sz w:val="24"/>
          <w:szCs w:val="24"/>
          <w:shd w:val="clear" w:color="auto" w:fill="FFFFFF"/>
        </w:rPr>
        <w:t> Basic Income Studies, 11</w:t>
      </w:r>
      <w:r w:rsidRPr="00400E2F">
        <w:rPr>
          <w:rFonts w:ascii="Calibri" w:hAnsi="Calibri" w:cs="Calibri"/>
          <w:color w:val="000000" w:themeColor="text1"/>
          <w:sz w:val="24"/>
          <w:szCs w:val="24"/>
          <w:shd w:val="clear" w:color="auto" w:fill="FFFFFF"/>
        </w:rPr>
        <w:t>(2), 97-131. doi:http://dx.doi.org/10.1515/bis-2015-0028</w:t>
      </w:r>
    </w:p>
    <w:p w14:paraId="64D0E914" w14:textId="77777777" w:rsidR="009A20A0" w:rsidRPr="00583909" w:rsidRDefault="006A086E" w:rsidP="007B0611">
      <w:pPr>
        <w:pStyle w:val="Default"/>
        <w:ind w:hanging="567"/>
        <w:jc w:val="both"/>
        <w:rPr>
          <w:rFonts w:ascii="Times New Roman" w:eastAsia="Times New Roman" w:hAnsi="Times New Roman" w:cs="Times New Roman"/>
          <w:sz w:val="24"/>
          <w:szCs w:val="24"/>
        </w:rPr>
      </w:pPr>
      <w:r w:rsidRPr="00400E2F">
        <w:rPr>
          <w:rFonts w:ascii="Calibri" w:hAnsi="Calibri" w:cs="Calibri"/>
          <w:color w:val="000000" w:themeColor="text1"/>
          <w:sz w:val="24"/>
          <w:szCs w:val="24"/>
        </w:rPr>
        <w:t>Martinelli, L. (2019) ‘A Basic Income Trilemma: Affordability, Adequacy, and the</w:t>
      </w:r>
      <w:r w:rsidRPr="00583909">
        <w:rPr>
          <w:rFonts w:ascii="Times New Roman" w:hAnsi="Times New Roman" w:cs="Times New Roman"/>
          <w:color w:val="000000" w:themeColor="text1"/>
          <w:sz w:val="24"/>
          <w:szCs w:val="24"/>
        </w:rPr>
        <w:t xml:space="preserve"> Advantages of Universal and Unconditional Welfare’, </w:t>
      </w:r>
      <w:r w:rsidRPr="00583909">
        <w:rPr>
          <w:rFonts w:ascii="Times New Roman" w:hAnsi="Times New Roman" w:cs="Times New Roman"/>
          <w:i/>
          <w:iCs/>
          <w:color w:val="000000" w:themeColor="text1"/>
          <w:sz w:val="24"/>
          <w:szCs w:val="24"/>
        </w:rPr>
        <w:t>Journal of Social Policy</w:t>
      </w:r>
      <w:r w:rsidRPr="00583909">
        <w:rPr>
          <w:rFonts w:ascii="Times New Roman" w:hAnsi="Times New Roman" w:cs="Times New Roman"/>
          <w:sz w:val="24"/>
          <w:szCs w:val="24"/>
        </w:rPr>
        <w:t>, forthcoming.</w:t>
      </w:r>
    </w:p>
    <w:p w14:paraId="3D8A800E" w14:textId="77777777" w:rsidR="009A20A0" w:rsidRPr="00583909" w:rsidRDefault="006A086E" w:rsidP="007B0611">
      <w:pPr>
        <w:pStyle w:val="Default"/>
        <w:ind w:hanging="567"/>
        <w:jc w:val="both"/>
        <w:rPr>
          <w:rFonts w:ascii="Times New Roman" w:eastAsia="Times New Roman" w:hAnsi="Times New Roman" w:cs="Times New Roman"/>
          <w:color w:val="000000" w:themeColor="text1"/>
          <w:sz w:val="24"/>
          <w:szCs w:val="24"/>
        </w:rPr>
      </w:pPr>
      <w:r w:rsidRPr="00583909">
        <w:rPr>
          <w:rFonts w:ascii="Times New Roman" w:hAnsi="Times New Roman" w:cs="Times New Roman"/>
          <w:sz w:val="24"/>
          <w:szCs w:val="24"/>
        </w:rPr>
        <w:t xml:space="preserve">McConnell, A. (2010) ‘Policy Success, Policy Failure and Grey Areas in-Between,’ </w:t>
      </w:r>
      <w:r w:rsidRPr="00583909">
        <w:rPr>
          <w:rFonts w:ascii="Times New Roman" w:hAnsi="Times New Roman" w:cs="Times New Roman"/>
          <w:i/>
          <w:iCs/>
          <w:sz w:val="24"/>
          <w:szCs w:val="24"/>
        </w:rPr>
        <w:t>Journal of Public Policy,</w:t>
      </w:r>
      <w:r w:rsidRPr="00583909">
        <w:rPr>
          <w:rFonts w:ascii="Times New Roman" w:hAnsi="Times New Roman" w:cs="Times New Roman"/>
          <w:sz w:val="24"/>
          <w:szCs w:val="24"/>
        </w:rPr>
        <w:t xml:space="preserve"> 30, 3, 345–362.</w:t>
      </w:r>
    </w:p>
    <w:p w14:paraId="3A89458C" w14:textId="1CA83849" w:rsidR="00E30A70" w:rsidRDefault="006A086E" w:rsidP="007B0611">
      <w:pPr>
        <w:pStyle w:val="Default"/>
        <w:ind w:hanging="567"/>
        <w:jc w:val="both"/>
        <w:rPr>
          <w:rFonts w:ascii="Times New Roman" w:hAnsi="Times New Roman" w:cs="Times New Roman"/>
          <w:color w:val="000000" w:themeColor="text1"/>
          <w:sz w:val="24"/>
          <w:szCs w:val="24"/>
        </w:rPr>
      </w:pPr>
      <w:r w:rsidRPr="00583909">
        <w:rPr>
          <w:rFonts w:ascii="Times New Roman" w:hAnsi="Times New Roman" w:cs="Times New Roman"/>
          <w:color w:val="000000" w:themeColor="text1"/>
          <w:sz w:val="24"/>
          <w:szCs w:val="24"/>
        </w:rPr>
        <w:t xml:space="preserve">Millar, J. and Bennett, F. (2016) ‘Universal Credit: Assumptions, Contradictions and Virtual Reality’, </w:t>
      </w:r>
      <w:r w:rsidRPr="00583909">
        <w:rPr>
          <w:rFonts w:ascii="Times New Roman" w:hAnsi="Times New Roman" w:cs="Times New Roman"/>
          <w:i/>
          <w:iCs/>
          <w:color w:val="000000" w:themeColor="text1"/>
          <w:sz w:val="24"/>
          <w:szCs w:val="24"/>
        </w:rPr>
        <w:t>Social Policy and Society,</w:t>
      </w:r>
      <w:r w:rsidRPr="00583909">
        <w:rPr>
          <w:rFonts w:ascii="Times New Roman" w:hAnsi="Times New Roman" w:cs="Times New Roman"/>
          <w:color w:val="000000" w:themeColor="text1"/>
          <w:sz w:val="24"/>
          <w:szCs w:val="24"/>
        </w:rPr>
        <w:t xml:space="preserve"> 16, 2, 169–182.</w:t>
      </w:r>
    </w:p>
    <w:p w14:paraId="7C840475" w14:textId="01728748" w:rsidR="00FA4F34" w:rsidRPr="00583909" w:rsidRDefault="00FA4F34" w:rsidP="007B0611">
      <w:pPr>
        <w:pStyle w:val="Default"/>
        <w:ind w:hanging="567"/>
        <w:jc w:val="both"/>
        <w:rPr>
          <w:rFonts w:ascii="Times New Roman" w:hAnsi="Times New Roman" w:cs="Times New Roman"/>
          <w:color w:val="000000" w:themeColor="text1"/>
          <w:sz w:val="24"/>
          <w:szCs w:val="24"/>
        </w:rPr>
      </w:pPr>
      <w:r>
        <w:t>Mosley, H. (2012), “Accountability in Decentralised Employment Service Regimes”, OECD Local Economic and Employment Development (LEED) Working Papers, 2012/10, OECD Publishing. http://dx.doi.org/10.1787/5k98sbxn9wbw-en</w:t>
      </w:r>
    </w:p>
    <w:p w14:paraId="60401B58" w14:textId="2D5AA0DF" w:rsidR="00583909" w:rsidRPr="001A1E66" w:rsidRDefault="00583909" w:rsidP="007B0611">
      <w:pPr>
        <w:pStyle w:val="Default"/>
        <w:ind w:hanging="567"/>
        <w:jc w:val="both"/>
        <w:rPr>
          <w:rFonts w:ascii="Calibri" w:hAnsi="Calibri" w:cs="Calibri"/>
          <w:color w:val="000000" w:themeColor="text1"/>
          <w:sz w:val="24"/>
          <w:szCs w:val="24"/>
        </w:rPr>
      </w:pPr>
      <w:r w:rsidRPr="00583909">
        <w:rPr>
          <w:rFonts w:ascii="Times New Roman" w:hAnsi="Times New Roman" w:cs="Times New Roman"/>
          <w:color w:val="000000" w:themeColor="text1"/>
          <w:sz w:val="24"/>
          <w:szCs w:val="24"/>
        </w:rPr>
        <w:t xml:space="preserve">OECD, 2015, The Labour Share in G20 Economies, </w:t>
      </w:r>
      <w:r w:rsidRPr="00583909">
        <w:rPr>
          <w:rFonts w:ascii="Times New Roman" w:hAnsi="Times New Roman" w:cs="Times New Roman"/>
          <w:sz w:val="24"/>
          <w:szCs w:val="24"/>
        </w:rPr>
        <w:t>Report prepared for the G20 Employment Working Group Antalya, Turkey, 26-27 February 2015, https://www.oecd.org/g20/topics/employment-and-social-policy/The-Labour-Share-in-G20-</w:t>
      </w:r>
      <w:r w:rsidRPr="001A1E66">
        <w:rPr>
          <w:rFonts w:ascii="Calibri" w:hAnsi="Calibri" w:cs="Calibri"/>
          <w:sz w:val="24"/>
          <w:szCs w:val="24"/>
        </w:rPr>
        <w:t>Economies.pdf</w:t>
      </w:r>
    </w:p>
    <w:p w14:paraId="20C2ED71" w14:textId="1B6656C5" w:rsidR="002F4696" w:rsidRPr="001A1E66" w:rsidRDefault="004D27CA" w:rsidP="007B0611">
      <w:pPr>
        <w:pStyle w:val="Default"/>
        <w:ind w:hanging="567"/>
        <w:jc w:val="both"/>
        <w:rPr>
          <w:rFonts w:ascii="Calibri" w:hAnsi="Calibri" w:cs="Calibri"/>
          <w:color w:val="000000" w:themeColor="text1"/>
          <w:sz w:val="24"/>
          <w:szCs w:val="24"/>
        </w:rPr>
      </w:pPr>
      <w:r w:rsidRPr="001A1E66">
        <w:rPr>
          <w:rFonts w:ascii="Calibri" w:eastAsia="Times New Roman" w:hAnsi="Calibri" w:cs="Calibri"/>
          <w:color w:val="000000" w:themeColor="text1"/>
          <w:sz w:val="24"/>
          <w:szCs w:val="24"/>
          <w:shd w:val="clear" w:color="auto" w:fill="FFFFFF"/>
        </w:rPr>
        <w:t>Pagano, Ugo, 1991.</w:t>
      </w:r>
      <w:r w:rsidR="00E30A70" w:rsidRPr="001A1E66">
        <w:rPr>
          <w:rFonts w:ascii="Calibri" w:eastAsia="Times New Roman" w:hAnsi="Calibri" w:cs="Calibri"/>
          <w:color w:val="000000" w:themeColor="text1"/>
          <w:sz w:val="24"/>
          <w:szCs w:val="24"/>
          <w:shd w:val="clear" w:color="auto" w:fill="FFFFFF"/>
        </w:rPr>
        <w:t>," </w:t>
      </w:r>
      <w:hyperlink r:id="rId9" w:history="1">
        <w:r w:rsidR="00E30A70" w:rsidRPr="001A1E66">
          <w:rPr>
            <w:rFonts w:ascii="Calibri" w:eastAsia="Times New Roman" w:hAnsi="Calibri" w:cs="Calibri"/>
            <w:color w:val="000000" w:themeColor="text1"/>
            <w:sz w:val="24"/>
            <w:szCs w:val="24"/>
          </w:rPr>
          <w:t>Cambridge Journal of Economics</w:t>
        </w:r>
      </w:hyperlink>
      <w:r w:rsidR="00E30A70" w:rsidRPr="001A1E66">
        <w:rPr>
          <w:rFonts w:ascii="Calibri" w:eastAsia="Times New Roman" w:hAnsi="Calibri" w:cs="Calibri"/>
          <w:color w:val="000000" w:themeColor="text1"/>
          <w:sz w:val="24"/>
          <w:szCs w:val="24"/>
          <w:shd w:val="clear" w:color="auto" w:fill="FFFFFF"/>
        </w:rPr>
        <w:t>, Oxford University Press, vol. 15(3), pages 315-342, September.</w:t>
      </w:r>
    </w:p>
    <w:p w14:paraId="36F7403B" w14:textId="77777777" w:rsidR="009A20A0" w:rsidRPr="001A1E66" w:rsidRDefault="006A086E" w:rsidP="007B0611">
      <w:pPr>
        <w:pStyle w:val="Default"/>
        <w:ind w:hanging="567"/>
        <w:jc w:val="both"/>
        <w:rPr>
          <w:rFonts w:ascii="Calibri" w:eastAsia="Times New Roman" w:hAnsi="Calibri" w:cs="Calibri"/>
          <w:sz w:val="24"/>
          <w:szCs w:val="24"/>
        </w:rPr>
      </w:pPr>
      <w:r w:rsidRPr="001A1E66">
        <w:rPr>
          <w:rFonts w:ascii="Calibri" w:hAnsi="Calibri" w:cs="Calibri"/>
          <w:sz w:val="24"/>
          <w:szCs w:val="24"/>
        </w:rPr>
        <w:t>Pulkka, V.V. (2018) ‘Finland Shares Unconditional Money, But the Public View Remains Polarised’, IPR Blog, Institute for Policy Research, University of Bath. http://blogs.bath.ac.uk/iprblog/2018/01/23/finland-shares- unconditional-money-but-the-public-view-remains-polarised/.</w:t>
      </w:r>
    </w:p>
    <w:p w14:paraId="4667EF66" w14:textId="77777777" w:rsidR="009A20A0" w:rsidRPr="001A1E66" w:rsidRDefault="006A086E" w:rsidP="007B0611">
      <w:pPr>
        <w:pStyle w:val="Default"/>
        <w:suppressAutoHyphens/>
        <w:jc w:val="both"/>
        <w:rPr>
          <w:rFonts w:ascii="Calibri" w:eastAsia="Times New Roman" w:hAnsi="Calibri" w:cs="Calibri"/>
          <w:sz w:val="24"/>
          <w:szCs w:val="24"/>
        </w:rPr>
      </w:pPr>
      <w:r w:rsidRPr="001A1E66">
        <w:rPr>
          <w:rFonts w:ascii="Calibri" w:eastAsia="Palatino Linotype" w:hAnsi="Calibri" w:cs="Calibri"/>
          <w:sz w:val="24"/>
          <w:szCs w:val="24"/>
        </w:rPr>
        <w:t>RSA (2018) ‘Modern Economic Insecurity and Basic Income’, August 2018</w:t>
      </w:r>
    </w:p>
    <w:p w14:paraId="1C57FF56" w14:textId="1A04FC9A" w:rsidR="009A20A0" w:rsidRDefault="006A086E" w:rsidP="007B0611">
      <w:pPr>
        <w:pStyle w:val="Default"/>
        <w:ind w:hanging="567"/>
        <w:jc w:val="both"/>
        <w:rPr>
          <w:rFonts w:ascii="Calibri" w:hAnsi="Calibri" w:cs="Calibri"/>
          <w:sz w:val="24"/>
          <w:szCs w:val="24"/>
        </w:rPr>
      </w:pPr>
      <w:r w:rsidRPr="001A1E66">
        <w:rPr>
          <w:rFonts w:ascii="Calibri" w:hAnsi="Calibri" w:cs="Calibri"/>
          <w:sz w:val="24"/>
          <w:szCs w:val="24"/>
        </w:rPr>
        <w:t xml:space="preserve">Rueda, D. (2007) </w:t>
      </w:r>
      <w:r w:rsidRPr="001A1E66">
        <w:rPr>
          <w:rFonts w:ascii="Calibri" w:hAnsi="Calibri" w:cs="Calibri"/>
          <w:i/>
          <w:iCs/>
          <w:sz w:val="24"/>
          <w:szCs w:val="24"/>
        </w:rPr>
        <w:t>Social Democracy Inside Out: Government Partisanship, Insiders, and Outsiders in Industrialized Democracies</w:t>
      </w:r>
      <w:r w:rsidRPr="001A1E66">
        <w:rPr>
          <w:rFonts w:ascii="Calibri" w:hAnsi="Calibri" w:cs="Calibri"/>
          <w:sz w:val="24"/>
          <w:szCs w:val="24"/>
        </w:rPr>
        <w:t>, Oxford, Oxford University Press.</w:t>
      </w:r>
    </w:p>
    <w:p w14:paraId="4C5B651B" w14:textId="542090C9" w:rsidR="00CA1391" w:rsidRPr="001A1E66" w:rsidRDefault="00CA1391" w:rsidP="007B0611">
      <w:pPr>
        <w:pStyle w:val="Default"/>
        <w:ind w:hanging="567"/>
        <w:jc w:val="both"/>
        <w:rPr>
          <w:rFonts w:ascii="Calibri" w:hAnsi="Calibri" w:cs="Calibri"/>
          <w:sz w:val="24"/>
          <w:szCs w:val="24"/>
        </w:rPr>
      </w:pPr>
      <w:r>
        <w:rPr>
          <w:rFonts w:ascii="Calibri" w:hAnsi="Calibri" w:cs="Calibri"/>
          <w:sz w:val="24"/>
          <w:szCs w:val="24"/>
        </w:rPr>
        <w:t xml:space="preserve">Sen, A. 1998, Development as Freedom Oxford; Oxford University Press.   </w:t>
      </w:r>
    </w:p>
    <w:p w14:paraId="40BA958D" w14:textId="7276F188" w:rsidR="001A1E66" w:rsidRPr="001A1E66" w:rsidRDefault="001A1E66" w:rsidP="007B0611">
      <w:pPr>
        <w:pStyle w:val="Default"/>
        <w:ind w:hanging="567"/>
        <w:jc w:val="both"/>
        <w:rPr>
          <w:rFonts w:ascii="Calibri" w:eastAsia="Times New Roman" w:hAnsi="Calibri" w:cs="Calibri"/>
          <w:sz w:val="24"/>
          <w:szCs w:val="24"/>
        </w:rPr>
      </w:pPr>
      <w:r w:rsidRPr="00FE650C">
        <w:rPr>
          <w:rFonts w:ascii="Calibri" w:hAnsi="Calibri" w:cs="Calibri"/>
          <w:sz w:val="24"/>
          <w:szCs w:val="24"/>
          <w:lang w:val="da-DK"/>
        </w:rPr>
        <w:t xml:space="preserve">Skelcher, C; Klijn, E H; Kübler, Daniel; Sorensen, E; Sullivan, H (2011). </w:t>
      </w:r>
      <w:r w:rsidRPr="001A1E66">
        <w:rPr>
          <w:rFonts w:ascii="Calibri" w:hAnsi="Calibri" w:cs="Calibri"/>
          <w:sz w:val="24"/>
          <w:szCs w:val="24"/>
        </w:rPr>
        <w:t>Explaining the Democratic Anchorage of Governance Networks. Administrative Theory and Praxis, 33(1):7-38. DOI: https://doi.org/10.2753/ATP1084-1806330100</w:t>
      </w:r>
    </w:p>
    <w:p w14:paraId="7ACEBB44" w14:textId="77777777" w:rsidR="001A1E66" w:rsidRPr="001A1E66" w:rsidRDefault="006A086E" w:rsidP="001A1E66">
      <w:pPr>
        <w:pStyle w:val="Default"/>
        <w:ind w:hanging="567"/>
        <w:jc w:val="both"/>
        <w:rPr>
          <w:rFonts w:ascii="Calibri" w:eastAsia="Palatino Linotype" w:hAnsi="Calibri" w:cs="Calibri"/>
          <w:color w:val="000000" w:themeColor="text1"/>
          <w:sz w:val="24"/>
          <w:szCs w:val="24"/>
        </w:rPr>
      </w:pPr>
      <w:r w:rsidRPr="001A1E66">
        <w:rPr>
          <w:rFonts w:ascii="Calibri" w:eastAsia="Palatino Linotype" w:hAnsi="Calibri" w:cs="Calibri"/>
          <w:sz w:val="24"/>
          <w:szCs w:val="24"/>
        </w:rPr>
        <w:lastRenderedPageBreak/>
        <w:t xml:space="preserve">Schickler, E. (2001) </w:t>
      </w:r>
      <w:r w:rsidRPr="001A1E66">
        <w:rPr>
          <w:rFonts w:ascii="Calibri" w:eastAsia="Palatino Linotype" w:hAnsi="Calibri" w:cs="Calibri"/>
          <w:i/>
          <w:iCs/>
          <w:color w:val="000000" w:themeColor="text1"/>
          <w:sz w:val="24"/>
          <w:szCs w:val="24"/>
        </w:rPr>
        <w:t>Disjointed Pluralism, Institutional Innovation and the Development of the US Congress</w:t>
      </w:r>
      <w:r w:rsidRPr="001A1E66">
        <w:rPr>
          <w:rFonts w:ascii="Calibri" w:eastAsia="Palatino Linotype" w:hAnsi="Calibri" w:cs="Calibri"/>
          <w:color w:val="000000" w:themeColor="text1"/>
          <w:sz w:val="24"/>
          <w:szCs w:val="24"/>
        </w:rPr>
        <w:t>, Princeton, NJ: Princeton University Press</w:t>
      </w:r>
    </w:p>
    <w:p w14:paraId="0F29887C" w14:textId="574F39A8" w:rsidR="001A1E66" w:rsidRDefault="000356B6" w:rsidP="001A1E66">
      <w:pPr>
        <w:pStyle w:val="Default"/>
        <w:ind w:hanging="567"/>
        <w:jc w:val="both"/>
        <w:rPr>
          <w:rStyle w:val="None"/>
          <w:rFonts w:ascii="Calibri" w:eastAsia="Calibri" w:hAnsi="Calibri" w:cs="Calibri"/>
          <w:color w:val="000000" w:themeColor="text1"/>
          <w:sz w:val="24"/>
          <w:szCs w:val="24"/>
        </w:rPr>
      </w:pPr>
      <w:r w:rsidRPr="001A1E66">
        <w:rPr>
          <w:rStyle w:val="None"/>
          <w:rFonts w:ascii="Calibri" w:eastAsia="Calibri" w:hAnsi="Calibri" w:cs="Calibri"/>
          <w:color w:val="000000" w:themeColor="text1"/>
          <w:sz w:val="24"/>
          <w:szCs w:val="24"/>
          <w:lang w:val="de-DE"/>
        </w:rPr>
        <w:t xml:space="preserve">Steinmo, Sven, 2010, </w:t>
      </w:r>
      <w:r w:rsidRPr="001A1E66">
        <w:rPr>
          <w:rStyle w:val="None"/>
          <w:rFonts w:ascii="Calibri" w:eastAsia="Calibri" w:hAnsi="Calibri" w:cs="Calibri"/>
          <w:i/>
          <w:iCs/>
          <w:color w:val="000000" w:themeColor="text1"/>
          <w:sz w:val="24"/>
          <w:szCs w:val="24"/>
        </w:rPr>
        <w:t>The Evolution of Modern States</w:t>
      </w:r>
      <w:r w:rsidRPr="001A1E66">
        <w:rPr>
          <w:rStyle w:val="None"/>
          <w:rFonts w:ascii="Calibri" w:eastAsia="Calibri" w:hAnsi="Calibri" w:cs="Calibri"/>
          <w:color w:val="000000" w:themeColor="text1"/>
          <w:sz w:val="24"/>
          <w:szCs w:val="24"/>
        </w:rPr>
        <w:t>, Cambridge: Cambridge University Press.</w:t>
      </w:r>
    </w:p>
    <w:p w14:paraId="1563D712" w14:textId="63723B20" w:rsidR="00400E2F" w:rsidRPr="001A1E66" w:rsidRDefault="00400E2F" w:rsidP="001A1E66">
      <w:pPr>
        <w:pStyle w:val="Default"/>
        <w:ind w:hanging="567"/>
        <w:jc w:val="both"/>
        <w:rPr>
          <w:rStyle w:val="None"/>
          <w:rFonts w:ascii="Calibri" w:eastAsia="Calibri" w:hAnsi="Calibri" w:cs="Calibri"/>
          <w:color w:val="000000" w:themeColor="text1"/>
          <w:sz w:val="24"/>
          <w:szCs w:val="24"/>
        </w:rPr>
      </w:pPr>
      <w:r>
        <w:t xml:space="preserve">Stovicek, K., and Turrini A. 2012, Benchmarking Unemployment Benefits in the EU, , IZA Policy Paper No. 43 June </w:t>
      </w:r>
    </w:p>
    <w:p w14:paraId="4F7005FE" w14:textId="6A746A93" w:rsidR="002F4696" w:rsidRPr="001A1E66" w:rsidRDefault="002F4696" w:rsidP="001A1E66">
      <w:pPr>
        <w:pStyle w:val="Default"/>
        <w:ind w:hanging="567"/>
        <w:jc w:val="both"/>
        <w:rPr>
          <w:rStyle w:val="None"/>
          <w:rFonts w:ascii="Calibri" w:eastAsia="Calibri" w:hAnsi="Calibri" w:cs="Calibri"/>
          <w:color w:val="000000" w:themeColor="text1"/>
          <w:sz w:val="24"/>
          <w:szCs w:val="24"/>
        </w:rPr>
      </w:pPr>
      <w:r w:rsidRPr="001A1E66">
        <w:rPr>
          <w:rFonts w:ascii="Calibri" w:eastAsia="Times New Roman" w:hAnsi="Calibri" w:cs="Calibri"/>
          <w:color w:val="000000" w:themeColor="text1"/>
          <w:sz w:val="24"/>
          <w:szCs w:val="24"/>
        </w:rPr>
        <w:t xml:space="preserve">Thelen, K.,  2004, </w:t>
      </w:r>
      <w:r w:rsidRPr="001A1E66">
        <w:rPr>
          <w:rStyle w:val="None"/>
          <w:rFonts w:ascii="Calibri" w:eastAsia="Calibri" w:hAnsi="Calibri" w:cs="Calibri"/>
          <w:color w:val="000000" w:themeColor="text1"/>
          <w:sz w:val="24"/>
          <w:szCs w:val="24"/>
        </w:rPr>
        <w:t>How Institutions Evolve: The Political Economy of Skills in Comparative-Historical</w:t>
      </w:r>
    </w:p>
    <w:p w14:paraId="0A2231B0" w14:textId="77777777" w:rsidR="008C1504" w:rsidRDefault="002F4696" w:rsidP="008C1504">
      <w:pPr>
        <w:pStyle w:val="BodyA"/>
        <w:ind w:firstLine="720"/>
        <w:jc w:val="both"/>
        <w:rPr>
          <w:rStyle w:val="None"/>
          <w:rFonts w:ascii="Calibri" w:eastAsia="Calibri" w:hAnsi="Calibri" w:cs="Calibri"/>
          <w:color w:val="000000" w:themeColor="text1"/>
          <w:sz w:val="24"/>
          <w:szCs w:val="24"/>
        </w:rPr>
      </w:pPr>
      <w:r w:rsidRPr="001A1E66">
        <w:rPr>
          <w:rStyle w:val="None"/>
          <w:rFonts w:ascii="Calibri" w:eastAsia="Calibri" w:hAnsi="Calibri" w:cs="Calibri"/>
          <w:color w:val="000000" w:themeColor="text1"/>
          <w:sz w:val="24"/>
          <w:szCs w:val="24"/>
        </w:rPr>
        <w:t xml:space="preserve"> Perspective, New York: Cambridge University Press.</w:t>
      </w:r>
    </w:p>
    <w:p w14:paraId="6D3C5403" w14:textId="1C5BD5B5" w:rsidR="008C1504" w:rsidRPr="001A1E66" w:rsidRDefault="008C1504" w:rsidP="008C1504">
      <w:pPr>
        <w:pStyle w:val="BodyA"/>
        <w:ind w:firstLine="720"/>
        <w:jc w:val="both"/>
        <w:rPr>
          <w:rStyle w:val="None"/>
          <w:rFonts w:ascii="Calibri" w:eastAsia="Calibri" w:hAnsi="Calibri" w:cs="Calibri"/>
          <w:color w:val="000000" w:themeColor="text1"/>
          <w:sz w:val="24"/>
          <w:szCs w:val="24"/>
        </w:rPr>
      </w:pPr>
      <w:r>
        <w:t>Van Parijs, P. 1996, Basic Income and the Two Dilemmas of the Welfare State, The Political Quarterly 67 (1), January-March 1996, pp. 63-66.</w:t>
      </w:r>
    </w:p>
    <w:p w14:paraId="6DF218ED" w14:textId="4A191CD9" w:rsidR="009A20A0" w:rsidRDefault="009A20A0" w:rsidP="007B0611">
      <w:pPr>
        <w:pStyle w:val="Default"/>
        <w:jc w:val="both"/>
      </w:pPr>
    </w:p>
    <w:sectPr w:rsidR="009A20A0">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6E88A" w14:textId="77777777" w:rsidR="00072491" w:rsidRDefault="00072491">
      <w:r>
        <w:separator/>
      </w:r>
    </w:p>
  </w:endnote>
  <w:endnote w:type="continuationSeparator" w:id="0">
    <w:p w14:paraId="59A5BFEB" w14:textId="77777777" w:rsidR="00072491" w:rsidRDefault="0007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50C25" w14:textId="25A0E433" w:rsidR="00072491" w:rsidRDefault="00072491">
    <w:pPr>
      <w:pStyle w:val="HeaderFooterA"/>
      <w:tabs>
        <w:tab w:val="clear" w:pos="9020"/>
        <w:tab w:val="center" w:pos="4819"/>
        <w:tab w:val="right" w:pos="9612"/>
      </w:tabs>
    </w:pPr>
    <w:r>
      <w:tab/>
    </w:r>
    <w:r>
      <w:fldChar w:fldCharType="begin"/>
    </w:r>
    <w:r>
      <w:instrText xml:space="preserve"> PAGE </w:instrText>
    </w:r>
    <w:r>
      <w:fldChar w:fldCharType="separate"/>
    </w:r>
    <w:r w:rsidR="00745C2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D31CC" w14:textId="77777777" w:rsidR="00072491" w:rsidRDefault="00072491">
      <w:r>
        <w:separator/>
      </w:r>
    </w:p>
  </w:footnote>
  <w:footnote w:type="continuationSeparator" w:id="0">
    <w:p w14:paraId="16C138AE" w14:textId="77777777" w:rsidR="00072491" w:rsidRDefault="00072491">
      <w:r>
        <w:continuationSeparator/>
      </w:r>
    </w:p>
  </w:footnote>
  <w:footnote w:type="continuationNotice" w:id="1">
    <w:p w14:paraId="088836C4" w14:textId="77777777" w:rsidR="00072491" w:rsidRDefault="00072491"/>
  </w:footnote>
  <w:footnote w:id="2">
    <w:p w14:paraId="206DEF4E" w14:textId="77777777" w:rsidR="00072491" w:rsidRDefault="00072491" w:rsidP="00F403A8">
      <w:pPr>
        <w:pStyle w:val="BISReference"/>
        <w:rPr>
          <w:rFonts w:ascii="Calibri" w:hAnsi="Calibri"/>
          <w:color w:val="000000" w:themeColor="text1"/>
        </w:rPr>
      </w:pPr>
      <w:r>
        <w:rPr>
          <w:rStyle w:val="FootnoteReference"/>
        </w:rPr>
        <w:footnoteRef/>
      </w:r>
      <w:r>
        <w:t xml:space="preserve"> </w:t>
      </w:r>
      <w:r w:rsidRPr="005234EE">
        <w:rPr>
          <w:rFonts w:ascii="Calibri" w:hAnsi="Calibri"/>
          <w:color w:val="000000" w:themeColor="text1"/>
        </w:rPr>
        <w:t>Steinmo (2010, p. 20) insists, “…that each of the systems explored…have had within</w:t>
      </w:r>
      <w:r>
        <w:rPr>
          <w:rFonts w:ascii="Calibri" w:hAnsi="Calibri"/>
          <w:color w:val="000000" w:themeColor="text1"/>
        </w:rPr>
        <w:t xml:space="preserve"> them different competitive</w:t>
      </w:r>
    </w:p>
    <w:p w14:paraId="2DF6F3DA" w14:textId="3DB978DF" w:rsidR="00072491" w:rsidRDefault="00072491" w:rsidP="00F403A8">
      <w:pPr>
        <w:pStyle w:val="BISReference"/>
      </w:pPr>
      <w:r w:rsidRPr="005234EE">
        <w:rPr>
          <w:rFonts w:ascii="Calibri" w:hAnsi="Calibri"/>
          <w:color w:val="000000" w:themeColor="text1"/>
        </w:rPr>
        <w:t>advantages and disadvantages.” Similarly, Thelen (2014, p.3) sums up this commit</w:t>
      </w:r>
      <w:r>
        <w:rPr>
          <w:rFonts w:ascii="Calibri" w:hAnsi="Calibri"/>
          <w:color w:val="000000" w:themeColor="text1"/>
        </w:rPr>
        <w:t xml:space="preserve">ment to a value neutral view of </w:t>
      </w:r>
      <w:r w:rsidRPr="005234EE">
        <w:rPr>
          <w:rFonts w:ascii="Calibri" w:hAnsi="Calibri"/>
          <w:color w:val="000000" w:themeColor="text1"/>
        </w:rPr>
        <w:t>systems among VoC scholars, in how “…the core argument holds that these two models [the US and Germany] represent different ways to organize capitalism. Each type operates on a wholly different logic and each does different things well, but both are durable even in the face of new strains”.</w:t>
      </w:r>
    </w:p>
  </w:footnote>
  <w:footnote w:id="3">
    <w:p w14:paraId="2B888A9A" w14:textId="77777777" w:rsidR="00072491" w:rsidRDefault="00072491" w:rsidP="001A45FB">
      <w:pPr>
        <w:pStyle w:val="FootnoteText"/>
      </w:pPr>
      <w:r>
        <w:rPr>
          <w:rStyle w:val="FootnoteReference"/>
        </w:rPr>
        <w:footnoteRef/>
      </w:r>
      <w:r>
        <w:t xml:space="preserve"> Both Holland and Denmark are cases of political (rather than merely managerial) decentralisation, which takes the form in both cases of extensive municipalisation of service delivery (Mosley 2012, 10-11)</w:t>
      </w:r>
    </w:p>
  </w:footnote>
  <w:footnote w:id="4">
    <w:p w14:paraId="2F28DF8F" w14:textId="77777777" w:rsidR="00072491" w:rsidRDefault="00072491" w:rsidP="001A45FB">
      <w:pPr>
        <w:pStyle w:val="FootnoteText"/>
      </w:pPr>
      <w:r>
        <w:rPr>
          <w:rStyle w:val="FootnoteReference"/>
        </w:rPr>
        <w:footnoteRef/>
      </w:r>
      <w:r>
        <w:t xml:space="preserve"> In Spain, experimentation with delivering new modes of income support at local level is exemplified in Barcelona. </w:t>
      </w:r>
      <w:r w:rsidRPr="00E7211D">
        <w:t>https://basicincome.org/news/2017/08/barcelona-spain-design-minimum-income-experiment-finalized/</w:t>
      </w:r>
    </w:p>
  </w:footnote>
  <w:footnote w:id="5">
    <w:p w14:paraId="525DDFFC" w14:textId="5BBDBD22" w:rsidR="00072491" w:rsidRDefault="00072491">
      <w:pPr>
        <w:pStyle w:val="FootnoteText"/>
      </w:pPr>
      <w:r>
        <w:rPr>
          <w:rStyle w:val="FootnoteReference"/>
        </w:rPr>
        <w:footnoteRef/>
      </w:r>
      <w:r>
        <w:t xml:space="preserve"> Scotland performs as the UK exception, in this case partly as the devolved government of Scotland has given powers to local government directly and indirectly, e.g. by setting down a commission to investigate the case for basic income, alongside initiatives taken by local councils.</w:t>
      </w:r>
      <w:r w:rsidRPr="00AA49A0">
        <w:t xml:space="preserve"> https://www.heraldscotland.com/news/16140832.councils-draw-up-plans-for-universal-basic-income/</w:t>
      </w:r>
    </w:p>
  </w:footnote>
  <w:footnote w:id="6">
    <w:p w14:paraId="2AC71D35" w14:textId="77777777" w:rsidR="00A50828" w:rsidRPr="006315A6" w:rsidRDefault="00A50828" w:rsidP="00A50828">
      <w:pPr>
        <w:pStyle w:val="Footnote"/>
        <w:jc w:val="both"/>
        <w:rPr>
          <w:rFonts w:asciiTheme="minorHAnsi" w:hAnsiTheme="minorHAnsi" w:cstheme="minorHAnsi"/>
          <w:sz w:val="20"/>
          <w:szCs w:val="20"/>
        </w:rPr>
      </w:pPr>
      <w:r w:rsidRPr="006315A6">
        <w:rPr>
          <w:rFonts w:asciiTheme="minorHAnsi" w:eastAsia="Times New Roman" w:hAnsiTheme="minorHAnsi" w:cstheme="minorHAnsi"/>
          <w:sz w:val="20"/>
          <w:szCs w:val="20"/>
          <w:vertAlign w:val="superscript"/>
        </w:rPr>
        <w:footnoteRef/>
      </w:r>
      <w:r w:rsidRPr="006315A6">
        <w:rPr>
          <w:rFonts w:asciiTheme="minorHAnsi" w:hAnsiTheme="minorHAnsi" w:cstheme="minorHAnsi"/>
          <w:sz w:val="20"/>
          <w:szCs w:val="20"/>
        </w:rPr>
        <w:t xml:space="preserve"> This is also the argument Anderson and Kangas (2005) offer to explain the difference between Sweden and Finland, with the Swedes having little or no interest in basic income relative to the Finns.</w:t>
      </w:r>
    </w:p>
  </w:footnote>
  <w:footnote w:id="7">
    <w:p w14:paraId="33B83AC5" w14:textId="77777777" w:rsidR="00A50828" w:rsidRDefault="00A50828" w:rsidP="00A50828">
      <w:pPr>
        <w:pStyle w:val="FootnoteText"/>
      </w:pPr>
      <w:r w:rsidRPr="006315A6">
        <w:rPr>
          <w:rStyle w:val="FootnoteReference"/>
          <w:rFonts w:cstheme="minorHAnsi"/>
        </w:rPr>
        <w:footnoteRef/>
      </w:r>
      <w:r w:rsidRPr="006315A6">
        <w:rPr>
          <w:rFonts w:cstheme="minorHAnsi"/>
        </w:rPr>
        <w:t xml:space="preserve"> </w:t>
      </w:r>
      <w:r w:rsidRPr="006315A6">
        <w:rPr>
          <w:rFonts w:eastAsia="Calibri" w:cstheme="minorHAnsi"/>
        </w:rPr>
        <w:t>Finland, at first blush appears to exhibit some policy-schizophrenia, with the government simultaneously experimenting with basic income and pursuing more conditional social security reforms, but understanding the underlying policy narratives and political constraints suggests there ever only was a very limited policy window (De Wispelaere, Halmetoja, Pulkka,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810E3"/>
    <w:multiLevelType w:val="hybridMultilevel"/>
    <w:tmpl w:val="57C2484A"/>
    <w:lvl w:ilvl="0" w:tplc="6BD08AC6">
      <w:start w:val="4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F31C8B"/>
    <w:multiLevelType w:val="multilevel"/>
    <w:tmpl w:val="7FC65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9D26F9"/>
    <w:multiLevelType w:val="multilevel"/>
    <w:tmpl w:val="9BD24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da-DK"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defaultTabStop w:val="720"/>
  <w:characterSpacingControl w:val="doNotCompress"/>
  <w:hdrShapeDefaults>
    <o:shapedefaults v:ext="edit" spidmax="614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0A0"/>
    <w:rsid w:val="000006F6"/>
    <w:rsid w:val="000051F9"/>
    <w:rsid w:val="00010179"/>
    <w:rsid w:val="00010E0D"/>
    <w:rsid w:val="00020927"/>
    <w:rsid w:val="00024BCC"/>
    <w:rsid w:val="0002535C"/>
    <w:rsid w:val="000273BC"/>
    <w:rsid w:val="000276EE"/>
    <w:rsid w:val="00033DBB"/>
    <w:rsid w:val="000356B6"/>
    <w:rsid w:val="00043C9C"/>
    <w:rsid w:val="000565DF"/>
    <w:rsid w:val="000624CA"/>
    <w:rsid w:val="00070606"/>
    <w:rsid w:val="00072491"/>
    <w:rsid w:val="00074CA1"/>
    <w:rsid w:val="00075026"/>
    <w:rsid w:val="0008751F"/>
    <w:rsid w:val="00095A7D"/>
    <w:rsid w:val="000A6206"/>
    <w:rsid w:val="000A6C9E"/>
    <w:rsid w:val="000A707F"/>
    <w:rsid w:val="000B4B40"/>
    <w:rsid w:val="000B59ED"/>
    <w:rsid w:val="000B6EFD"/>
    <w:rsid w:val="000C300E"/>
    <w:rsid w:val="000E1B73"/>
    <w:rsid w:val="000E3A2E"/>
    <w:rsid w:val="000E555C"/>
    <w:rsid w:val="000F75FC"/>
    <w:rsid w:val="0010052C"/>
    <w:rsid w:val="00106237"/>
    <w:rsid w:val="00110863"/>
    <w:rsid w:val="00111C1F"/>
    <w:rsid w:val="001128FF"/>
    <w:rsid w:val="00123055"/>
    <w:rsid w:val="001313FF"/>
    <w:rsid w:val="00131C46"/>
    <w:rsid w:val="00134190"/>
    <w:rsid w:val="0014784C"/>
    <w:rsid w:val="001539B6"/>
    <w:rsid w:val="00161C4B"/>
    <w:rsid w:val="00171A3C"/>
    <w:rsid w:val="00175F79"/>
    <w:rsid w:val="00176376"/>
    <w:rsid w:val="001765AF"/>
    <w:rsid w:val="00183CE7"/>
    <w:rsid w:val="001A1E66"/>
    <w:rsid w:val="001A45FB"/>
    <w:rsid w:val="001A49A3"/>
    <w:rsid w:val="001A5C43"/>
    <w:rsid w:val="001B0B65"/>
    <w:rsid w:val="001B219C"/>
    <w:rsid w:val="001C2DF9"/>
    <w:rsid w:val="001C6578"/>
    <w:rsid w:val="001C66C7"/>
    <w:rsid w:val="001D5492"/>
    <w:rsid w:val="001D7A4C"/>
    <w:rsid w:val="001E1A64"/>
    <w:rsid w:val="001E1DC9"/>
    <w:rsid w:val="001E2DFA"/>
    <w:rsid w:val="001F16E8"/>
    <w:rsid w:val="001F298F"/>
    <w:rsid w:val="001F4695"/>
    <w:rsid w:val="002055A8"/>
    <w:rsid w:val="002070F9"/>
    <w:rsid w:val="0020740E"/>
    <w:rsid w:val="0021231A"/>
    <w:rsid w:val="00231327"/>
    <w:rsid w:val="00236BF7"/>
    <w:rsid w:val="0024187E"/>
    <w:rsid w:val="00246E65"/>
    <w:rsid w:val="002556F5"/>
    <w:rsid w:val="00256556"/>
    <w:rsid w:val="00265901"/>
    <w:rsid w:val="002679F4"/>
    <w:rsid w:val="002727E0"/>
    <w:rsid w:val="00277549"/>
    <w:rsid w:val="002861CD"/>
    <w:rsid w:val="00286F94"/>
    <w:rsid w:val="00292E84"/>
    <w:rsid w:val="002A0BEC"/>
    <w:rsid w:val="002A4D9A"/>
    <w:rsid w:val="002B71BB"/>
    <w:rsid w:val="002B7765"/>
    <w:rsid w:val="002C073B"/>
    <w:rsid w:val="002C0D93"/>
    <w:rsid w:val="002C5637"/>
    <w:rsid w:val="002C7FE4"/>
    <w:rsid w:val="002D24AA"/>
    <w:rsid w:val="002D4753"/>
    <w:rsid w:val="002E0A04"/>
    <w:rsid w:val="002E5749"/>
    <w:rsid w:val="002E7934"/>
    <w:rsid w:val="002F10C3"/>
    <w:rsid w:val="002F4696"/>
    <w:rsid w:val="00305A12"/>
    <w:rsid w:val="00310FCB"/>
    <w:rsid w:val="00311C65"/>
    <w:rsid w:val="003133C6"/>
    <w:rsid w:val="003201CE"/>
    <w:rsid w:val="00320F9B"/>
    <w:rsid w:val="0032413C"/>
    <w:rsid w:val="00332440"/>
    <w:rsid w:val="0033416E"/>
    <w:rsid w:val="00334282"/>
    <w:rsid w:val="003437AC"/>
    <w:rsid w:val="00350D7B"/>
    <w:rsid w:val="003515AE"/>
    <w:rsid w:val="00351C23"/>
    <w:rsid w:val="00353FA7"/>
    <w:rsid w:val="00362CC5"/>
    <w:rsid w:val="00373123"/>
    <w:rsid w:val="00373208"/>
    <w:rsid w:val="00373E4B"/>
    <w:rsid w:val="00381FB8"/>
    <w:rsid w:val="003840C7"/>
    <w:rsid w:val="00393E3F"/>
    <w:rsid w:val="00397EDD"/>
    <w:rsid w:val="003A2278"/>
    <w:rsid w:val="003B3B91"/>
    <w:rsid w:val="003C0304"/>
    <w:rsid w:val="003C1495"/>
    <w:rsid w:val="003C19BA"/>
    <w:rsid w:val="003C2588"/>
    <w:rsid w:val="003C3423"/>
    <w:rsid w:val="003C3FC1"/>
    <w:rsid w:val="003C54D1"/>
    <w:rsid w:val="003D2FA2"/>
    <w:rsid w:val="003D434E"/>
    <w:rsid w:val="003E338E"/>
    <w:rsid w:val="003E77D6"/>
    <w:rsid w:val="003E78D3"/>
    <w:rsid w:val="003F547A"/>
    <w:rsid w:val="003F5B14"/>
    <w:rsid w:val="00400E2F"/>
    <w:rsid w:val="0041436E"/>
    <w:rsid w:val="004168C6"/>
    <w:rsid w:val="004209DF"/>
    <w:rsid w:val="00426C26"/>
    <w:rsid w:val="00426FF9"/>
    <w:rsid w:val="004321E9"/>
    <w:rsid w:val="00441973"/>
    <w:rsid w:val="004460B0"/>
    <w:rsid w:val="0045018B"/>
    <w:rsid w:val="00465E09"/>
    <w:rsid w:val="00470334"/>
    <w:rsid w:val="00472A99"/>
    <w:rsid w:val="00473F36"/>
    <w:rsid w:val="004749AE"/>
    <w:rsid w:val="00475A2C"/>
    <w:rsid w:val="0048043A"/>
    <w:rsid w:val="004847FC"/>
    <w:rsid w:val="004942FC"/>
    <w:rsid w:val="004A16C0"/>
    <w:rsid w:val="004A709B"/>
    <w:rsid w:val="004A726A"/>
    <w:rsid w:val="004B47F6"/>
    <w:rsid w:val="004B725D"/>
    <w:rsid w:val="004B741D"/>
    <w:rsid w:val="004C4D71"/>
    <w:rsid w:val="004D27CA"/>
    <w:rsid w:val="004D38C5"/>
    <w:rsid w:val="004E7297"/>
    <w:rsid w:val="004F0370"/>
    <w:rsid w:val="00503594"/>
    <w:rsid w:val="00505B24"/>
    <w:rsid w:val="005078FC"/>
    <w:rsid w:val="00515B6B"/>
    <w:rsid w:val="005161DB"/>
    <w:rsid w:val="00530B78"/>
    <w:rsid w:val="0053320D"/>
    <w:rsid w:val="005366B9"/>
    <w:rsid w:val="0053671A"/>
    <w:rsid w:val="005461E6"/>
    <w:rsid w:val="00551398"/>
    <w:rsid w:val="005554C3"/>
    <w:rsid w:val="00561D57"/>
    <w:rsid w:val="00563A42"/>
    <w:rsid w:val="0057741A"/>
    <w:rsid w:val="00581D24"/>
    <w:rsid w:val="00583909"/>
    <w:rsid w:val="00586D78"/>
    <w:rsid w:val="00587D63"/>
    <w:rsid w:val="00590711"/>
    <w:rsid w:val="005967D1"/>
    <w:rsid w:val="00596A0D"/>
    <w:rsid w:val="005A2CD3"/>
    <w:rsid w:val="005B19D4"/>
    <w:rsid w:val="005B61A3"/>
    <w:rsid w:val="005B68F1"/>
    <w:rsid w:val="005C22D1"/>
    <w:rsid w:val="005C283F"/>
    <w:rsid w:val="005D0A56"/>
    <w:rsid w:val="005D275C"/>
    <w:rsid w:val="005D2770"/>
    <w:rsid w:val="005D4965"/>
    <w:rsid w:val="005E5364"/>
    <w:rsid w:val="005E6CA9"/>
    <w:rsid w:val="005F728F"/>
    <w:rsid w:val="0060031A"/>
    <w:rsid w:val="00602035"/>
    <w:rsid w:val="0061285F"/>
    <w:rsid w:val="00631B4B"/>
    <w:rsid w:val="00632932"/>
    <w:rsid w:val="00640A8C"/>
    <w:rsid w:val="00651188"/>
    <w:rsid w:val="00651CC3"/>
    <w:rsid w:val="00654023"/>
    <w:rsid w:val="006540EA"/>
    <w:rsid w:val="00657272"/>
    <w:rsid w:val="00663E11"/>
    <w:rsid w:val="0066400C"/>
    <w:rsid w:val="00664897"/>
    <w:rsid w:val="00665CF8"/>
    <w:rsid w:val="00672126"/>
    <w:rsid w:val="00674213"/>
    <w:rsid w:val="006752DF"/>
    <w:rsid w:val="00680AF8"/>
    <w:rsid w:val="006819DD"/>
    <w:rsid w:val="006828A2"/>
    <w:rsid w:val="006840D2"/>
    <w:rsid w:val="00684244"/>
    <w:rsid w:val="0069089A"/>
    <w:rsid w:val="006921C2"/>
    <w:rsid w:val="006937D3"/>
    <w:rsid w:val="00693F7E"/>
    <w:rsid w:val="0069678C"/>
    <w:rsid w:val="006A086E"/>
    <w:rsid w:val="006A6D5E"/>
    <w:rsid w:val="006B0CBD"/>
    <w:rsid w:val="006C3961"/>
    <w:rsid w:val="006D52B1"/>
    <w:rsid w:val="006D65B3"/>
    <w:rsid w:val="006E4262"/>
    <w:rsid w:val="006F16C9"/>
    <w:rsid w:val="006F1BA3"/>
    <w:rsid w:val="006F406A"/>
    <w:rsid w:val="006F5659"/>
    <w:rsid w:val="006F6D73"/>
    <w:rsid w:val="0070663F"/>
    <w:rsid w:val="00710070"/>
    <w:rsid w:val="0073651E"/>
    <w:rsid w:val="00737542"/>
    <w:rsid w:val="0073778F"/>
    <w:rsid w:val="00745833"/>
    <w:rsid w:val="00745C24"/>
    <w:rsid w:val="00750168"/>
    <w:rsid w:val="00752773"/>
    <w:rsid w:val="00752AB2"/>
    <w:rsid w:val="00753D3C"/>
    <w:rsid w:val="007574D0"/>
    <w:rsid w:val="00772F1D"/>
    <w:rsid w:val="00777909"/>
    <w:rsid w:val="007826B0"/>
    <w:rsid w:val="00795B40"/>
    <w:rsid w:val="00796A71"/>
    <w:rsid w:val="007A18C7"/>
    <w:rsid w:val="007A2126"/>
    <w:rsid w:val="007A3AC7"/>
    <w:rsid w:val="007A5D63"/>
    <w:rsid w:val="007B0611"/>
    <w:rsid w:val="007B313F"/>
    <w:rsid w:val="007B5D52"/>
    <w:rsid w:val="007B5E1A"/>
    <w:rsid w:val="007B6733"/>
    <w:rsid w:val="007C27F0"/>
    <w:rsid w:val="007C424B"/>
    <w:rsid w:val="007D1184"/>
    <w:rsid w:val="007E415C"/>
    <w:rsid w:val="007F7C13"/>
    <w:rsid w:val="0080518B"/>
    <w:rsid w:val="00806351"/>
    <w:rsid w:val="008126B8"/>
    <w:rsid w:val="008153A2"/>
    <w:rsid w:val="008251D0"/>
    <w:rsid w:val="00840626"/>
    <w:rsid w:val="0084176C"/>
    <w:rsid w:val="00841E7F"/>
    <w:rsid w:val="00854E2E"/>
    <w:rsid w:val="00856E9B"/>
    <w:rsid w:val="008601A4"/>
    <w:rsid w:val="00872BD0"/>
    <w:rsid w:val="0087788A"/>
    <w:rsid w:val="00877D5F"/>
    <w:rsid w:val="008801B8"/>
    <w:rsid w:val="0089465B"/>
    <w:rsid w:val="00897B2F"/>
    <w:rsid w:val="008A11F0"/>
    <w:rsid w:val="008A1DF9"/>
    <w:rsid w:val="008A53B6"/>
    <w:rsid w:val="008A5978"/>
    <w:rsid w:val="008B2B66"/>
    <w:rsid w:val="008B7472"/>
    <w:rsid w:val="008C1504"/>
    <w:rsid w:val="008C157E"/>
    <w:rsid w:val="008C7E63"/>
    <w:rsid w:val="008D2DBB"/>
    <w:rsid w:val="008D62D0"/>
    <w:rsid w:val="008E116E"/>
    <w:rsid w:val="008E3996"/>
    <w:rsid w:val="008E502A"/>
    <w:rsid w:val="008F30F9"/>
    <w:rsid w:val="008F3F5C"/>
    <w:rsid w:val="0090430F"/>
    <w:rsid w:val="00913F32"/>
    <w:rsid w:val="00916BA6"/>
    <w:rsid w:val="00920CD7"/>
    <w:rsid w:val="00921B77"/>
    <w:rsid w:val="00930785"/>
    <w:rsid w:val="00935633"/>
    <w:rsid w:val="00954DCA"/>
    <w:rsid w:val="00955B8E"/>
    <w:rsid w:val="00955FC0"/>
    <w:rsid w:val="00956061"/>
    <w:rsid w:val="00956B47"/>
    <w:rsid w:val="00957894"/>
    <w:rsid w:val="009624CC"/>
    <w:rsid w:val="00963B75"/>
    <w:rsid w:val="00967D8A"/>
    <w:rsid w:val="00973F1E"/>
    <w:rsid w:val="0099246C"/>
    <w:rsid w:val="00994FF3"/>
    <w:rsid w:val="009A04A8"/>
    <w:rsid w:val="009A20A0"/>
    <w:rsid w:val="009A52F6"/>
    <w:rsid w:val="009A6567"/>
    <w:rsid w:val="009B0CD4"/>
    <w:rsid w:val="009B399F"/>
    <w:rsid w:val="009B49F8"/>
    <w:rsid w:val="009B5DAD"/>
    <w:rsid w:val="009B6ACD"/>
    <w:rsid w:val="009B7F7E"/>
    <w:rsid w:val="009C100F"/>
    <w:rsid w:val="009C2722"/>
    <w:rsid w:val="009C7030"/>
    <w:rsid w:val="009D2C99"/>
    <w:rsid w:val="009D7442"/>
    <w:rsid w:val="009E01CE"/>
    <w:rsid w:val="009E171C"/>
    <w:rsid w:val="009E26D3"/>
    <w:rsid w:val="009F00C0"/>
    <w:rsid w:val="009F3CBA"/>
    <w:rsid w:val="009F5C05"/>
    <w:rsid w:val="009F684F"/>
    <w:rsid w:val="009F6CC7"/>
    <w:rsid w:val="00A0049D"/>
    <w:rsid w:val="00A02DA4"/>
    <w:rsid w:val="00A10E5E"/>
    <w:rsid w:val="00A16EAC"/>
    <w:rsid w:val="00A17F49"/>
    <w:rsid w:val="00A25C70"/>
    <w:rsid w:val="00A30951"/>
    <w:rsid w:val="00A340A9"/>
    <w:rsid w:val="00A36221"/>
    <w:rsid w:val="00A41625"/>
    <w:rsid w:val="00A41AB7"/>
    <w:rsid w:val="00A43A34"/>
    <w:rsid w:val="00A50828"/>
    <w:rsid w:val="00A5153A"/>
    <w:rsid w:val="00A516E2"/>
    <w:rsid w:val="00A5672C"/>
    <w:rsid w:val="00A57E44"/>
    <w:rsid w:val="00A66F76"/>
    <w:rsid w:val="00A749F0"/>
    <w:rsid w:val="00A80C82"/>
    <w:rsid w:val="00A84225"/>
    <w:rsid w:val="00A907B7"/>
    <w:rsid w:val="00A92922"/>
    <w:rsid w:val="00A9563A"/>
    <w:rsid w:val="00A97F65"/>
    <w:rsid w:val="00AA00C5"/>
    <w:rsid w:val="00AA49A0"/>
    <w:rsid w:val="00AA617C"/>
    <w:rsid w:val="00AA690E"/>
    <w:rsid w:val="00AA7CDF"/>
    <w:rsid w:val="00AB0528"/>
    <w:rsid w:val="00AB523F"/>
    <w:rsid w:val="00AB7AA2"/>
    <w:rsid w:val="00AC0BD9"/>
    <w:rsid w:val="00AC240B"/>
    <w:rsid w:val="00AC40A0"/>
    <w:rsid w:val="00AC6675"/>
    <w:rsid w:val="00AD18FD"/>
    <w:rsid w:val="00AD1C6E"/>
    <w:rsid w:val="00AD5285"/>
    <w:rsid w:val="00AD626C"/>
    <w:rsid w:val="00AE0DF0"/>
    <w:rsid w:val="00AE6F83"/>
    <w:rsid w:val="00AF102B"/>
    <w:rsid w:val="00AF30A4"/>
    <w:rsid w:val="00B10CBD"/>
    <w:rsid w:val="00B12335"/>
    <w:rsid w:val="00B14B96"/>
    <w:rsid w:val="00B22379"/>
    <w:rsid w:val="00B258DE"/>
    <w:rsid w:val="00B2715D"/>
    <w:rsid w:val="00B30B6D"/>
    <w:rsid w:val="00B3255D"/>
    <w:rsid w:val="00B3561F"/>
    <w:rsid w:val="00B36778"/>
    <w:rsid w:val="00B4232D"/>
    <w:rsid w:val="00B4333D"/>
    <w:rsid w:val="00B442AC"/>
    <w:rsid w:val="00B53223"/>
    <w:rsid w:val="00B56388"/>
    <w:rsid w:val="00B56E05"/>
    <w:rsid w:val="00B62F2C"/>
    <w:rsid w:val="00B640E0"/>
    <w:rsid w:val="00B65A64"/>
    <w:rsid w:val="00B66B4C"/>
    <w:rsid w:val="00B66D52"/>
    <w:rsid w:val="00B67FC4"/>
    <w:rsid w:val="00B70874"/>
    <w:rsid w:val="00B808F3"/>
    <w:rsid w:val="00B87656"/>
    <w:rsid w:val="00B96126"/>
    <w:rsid w:val="00B97D99"/>
    <w:rsid w:val="00BC17F9"/>
    <w:rsid w:val="00BC7591"/>
    <w:rsid w:val="00BD24AC"/>
    <w:rsid w:val="00BD497F"/>
    <w:rsid w:val="00BD5E29"/>
    <w:rsid w:val="00BD70C4"/>
    <w:rsid w:val="00BE1FA1"/>
    <w:rsid w:val="00C00AA8"/>
    <w:rsid w:val="00C058E0"/>
    <w:rsid w:val="00C10666"/>
    <w:rsid w:val="00C1371B"/>
    <w:rsid w:val="00C142DD"/>
    <w:rsid w:val="00C14EF3"/>
    <w:rsid w:val="00C21654"/>
    <w:rsid w:val="00C21A7B"/>
    <w:rsid w:val="00C223D4"/>
    <w:rsid w:val="00C267D9"/>
    <w:rsid w:val="00C34CAF"/>
    <w:rsid w:val="00C404E1"/>
    <w:rsid w:val="00C41508"/>
    <w:rsid w:val="00C524B7"/>
    <w:rsid w:val="00C53CDC"/>
    <w:rsid w:val="00C6191C"/>
    <w:rsid w:val="00C63EF9"/>
    <w:rsid w:val="00C63FEE"/>
    <w:rsid w:val="00C66281"/>
    <w:rsid w:val="00C66BEE"/>
    <w:rsid w:val="00C67B32"/>
    <w:rsid w:val="00C709C2"/>
    <w:rsid w:val="00C71D5E"/>
    <w:rsid w:val="00C77E9B"/>
    <w:rsid w:val="00C84BEB"/>
    <w:rsid w:val="00C86212"/>
    <w:rsid w:val="00C87F0D"/>
    <w:rsid w:val="00C92646"/>
    <w:rsid w:val="00C94CF8"/>
    <w:rsid w:val="00C95581"/>
    <w:rsid w:val="00CA0BDD"/>
    <w:rsid w:val="00CA1391"/>
    <w:rsid w:val="00CA6499"/>
    <w:rsid w:val="00CB07B2"/>
    <w:rsid w:val="00CB1AEA"/>
    <w:rsid w:val="00CB765C"/>
    <w:rsid w:val="00CC0988"/>
    <w:rsid w:val="00CC42AB"/>
    <w:rsid w:val="00CD6EF3"/>
    <w:rsid w:val="00CE03D4"/>
    <w:rsid w:val="00CE41A5"/>
    <w:rsid w:val="00CE4296"/>
    <w:rsid w:val="00CE786C"/>
    <w:rsid w:val="00CE7AD2"/>
    <w:rsid w:val="00CF7B47"/>
    <w:rsid w:val="00D04E38"/>
    <w:rsid w:val="00D06B3E"/>
    <w:rsid w:val="00D133E8"/>
    <w:rsid w:val="00D14073"/>
    <w:rsid w:val="00D15170"/>
    <w:rsid w:val="00D22A93"/>
    <w:rsid w:val="00D40D12"/>
    <w:rsid w:val="00D43410"/>
    <w:rsid w:val="00D5084F"/>
    <w:rsid w:val="00D55362"/>
    <w:rsid w:val="00D55BF5"/>
    <w:rsid w:val="00D63772"/>
    <w:rsid w:val="00D64A71"/>
    <w:rsid w:val="00D773B7"/>
    <w:rsid w:val="00D8455B"/>
    <w:rsid w:val="00D85017"/>
    <w:rsid w:val="00D95E55"/>
    <w:rsid w:val="00DA171C"/>
    <w:rsid w:val="00DA3372"/>
    <w:rsid w:val="00DA4D0D"/>
    <w:rsid w:val="00DB1709"/>
    <w:rsid w:val="00DB1B62"/>
    <w:rsid w:val="00DB3330"/>
    <w:rsid w:val="00DB67A8"/>
    <w:rsid w:val="00DC068D"/>
    <w:rsid w:val="00DC24B7"/>
    <w:rsid w:val="00DD2D02"/>
    <w:rsid w:val="00DE2543"/>
    <w:rsid w:val="00DE319C"/>
    <w:rsid w:val="00DE3272"/>
    <w:rsid w:val="00DE469B"/>
    <w:rsid w:val="00DF0014"/>
    <w:rsid w:val="00DF3737"/>
    <w:rsid w:val="00DF42D3"/>
    <w:rsid w:val="00DF770C"/>
    <w:rsid w:val="00E022C4"/>
    <w:rsid w:val="00E12E22"/>
    <w:rsid w:val="00E15B18"/>
    <w:rsid w:val="00E176BE"/>
    <w:rsid w:val="00E20B7A"/>
    <w:rsid w:val="00E23A8E"/>
    <w:rsid w:val="00E23BB3"/>
    <w:rsid w:val="00E30A70"/>
    <w:rsid w:val="00E3248C"/>
    <w:rsid w:val="00E32E93"/>
    <w:rsid w:val="00E44791"/>
    <w:rsid w:val="00E501CD"/>
    <w:rsid w:val="00E516D0"/>
    <w:rsid w:val="00E51800"/>
    <w:rsid w:val="00E541E9"/>
    <w:rsid w:val="00E5543B"/>
    <w:rsid w:val="00E60679"/>
    <w:rsid w:val="00E6094C"/>
    <w:rsid w:val="00E637A1"/>
    <w:rsid w:val="00E707A1"/>
    <w:rsid w:val="00E70F24"/>
    <w:rsid w:val="00E7136A"/>
    <w:rsid w:val="00E7211D"/>
    <w:rsid w:val="00E74D75"/>
    <w:rsid w:val="00E821A0"/>
    <w:rsid w:val="00E91EDB"/>
    <w:rsid w:val="00E92C4C"/>
    <w:rsid w:val="00E95D74"/>
    <w:rsid w:val="00EA03CB"/>
    <w:rsid w:val="00EA6963"/>
    <w:rsid w:val="00EB3394"/>
    <w:rsid w:val="00EB6F8A"/>
    <w:rsid w:val="00EB737E"/>
    <w:rsid w:val="00ED3746"/>
    <w:rsid w:val="00EF00CC"/>
    <w:rsid w:val="00EF4F2F"/>
    <w:rsid w:val="00EF4FA3"/>
    <w:rsid w:val="00EF7E72"/>
    <w:rsid w:val="00F02FD4"/>
    <w:rsid w:val="00F03CE4"/>
    <w:rsid w:val="00F04B64"/>
    <w:rsid w:val="00F05962"/>
    <w:rsid w:val="00F07A06"/>
    <w:rsid w:val="00F1043C"/>
    <w:rsid w:val="00F21014"/>
    <w:rsid w:val="00F24EA5"/>
    <w:rsid w:val="00F35611"/>
    <w:rsid w:val="00F403A8"/>
    <w:rsid w:val="00F41B0A"/>
    <w:rsid w:val="00F45222"/>
    <w:rsid w:val="00F51133"/>
    <w:rsid w:val="00F55004"/>
    <w:rsid w:val="00F55CCE"/>
    <w:rsid w:val="00F622B8"/>
    <w:rsid w:val="00F6331A"/>
    <w:rsid w:val="00F70B61"/>
    <w:rsid w:val="00F72190"/>
    <w:rsid w:val="00F73B75"/>
    <w:rsid w:val="00F84705"/>
    <w:rsid w:val="00F94E54"/>
    <w:rsid w:val="00F95053"/>
    <w:rsid w:val="00F96C7C"/>
    <w:rsid w:val="00FA4F34"/>
    <w:rsid w:val="00FA7C8B"/>
    <w:rsid w:val="00FB0928"/>
    <w:rsid w:val="00FB0F48"/>
    <w:rsid w:val="00FB262C"/>
    <w:rsid w:val="00FB2C50"/>
    <w:rsid w:val="00FC162A"/>
    <w:rsid w:val="00FC2476"/>
    <w:rsid w:val="00FC468E"/>
    <w:rsid w:val="00FD6A38"/>
    <w:rsid w:val="00FE650C"/>
    <w:rsid w:val="00FF4CD8"/>
    <w:rsid w:val="00FF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0A29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A7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rPr>
  </w:style>
  <w:style w:type="paragraph" w:styleId="Heading1">
    <w:name w:val="heading 1"/>
    <w:basedOn w:val="Normal"/>
    <w:next w:val="Normal"/>
    <w:link w:val="Heading1Char"/>
    <w:uiPriority w:val="9"/>
    <w:qFormat/>
    <w:rsid w:val="00473F36"/>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link w:val="Heading2Char"/>
    <w:uiPriority w:val="9"/>
    <w:qFormat/>
    <w:rsid w:val="004A709B"/>
    <w:pPr>
      <w:spacing w:before="100" w:beforeAutospacing="1" w:after="100" w:afterAutospacing="1"/>
      <w:outlineLvl w:val="1"/>
    </w:pPr>
    <w:rPr>
      <w:b/>
      <w:bCs/>
      <w:sz w:val="36"/>
      <w:szCs w:val="36"/>
    </w:rPr>
  </w:style>
  <w:style w:type="paragraph" w:styleId="Heading5">
    <w:name w:val="heading 5"/>
    <w:basedOn w:val="Normal"/>
    <w:next w:val="Normal"/>
    <w:link w:val="Heading5Char"/>
    <w:uiPriority w:val="9"/>
    <w:semiHidden/>
    <w:unhideWhenUsed/>
    <w:qFormat/>
    <w:rsid w:val="00EF4FA3"/>
    <w:pPr>
      <w:keepNext/>
      <w:keepLines/>
      <w:spacing w:before="40"/>
      <w:outlineLvl w:val="4"/>
    </w:pPr>
    <w:rPr>
      <w:rFonts w:asciiTheme="majorHAnsi" w:eastAsiaTheme="majorEastAsia" w:hAnsiTheme="majorHAnsi" w:cstheme="majorBidi"/>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rPr>
  </w:style>
  <w:style w:type="paragraph" w:customStyle="1" w:styleId="BodyA">
    <w:name w:val="Body A"/>
    <w:rPr>
      <w:rFonts w:ascii="Helvetica Neue" w:hAnsi="Helvetica Neue" w:cs="Arial Unicode MS"/>
      <w:color w:val="000000"/>
      <w:sz w:val="22"/>
      <w:szCs w:val="22"/>
      <w:u w:color="000000"/>
    </w:rPr>
  </w:style>
  <w:style w:type="paragraph" w:customStyle="1" w:styleId="Footnote">
    <w:name w:val="Footnote"/>
    <w:rPr>
      <w:rFonts w:ascii="Helvetica Neue" w:eastAsia="Helvetica Neue" w:hAnsi="Helvetica Neue" w:cs="Helvetica Neue"/>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character" w:customStyle="1" w:styleId="None">
    <w:name w:val="None"/>
  </w:style>
  <w:style w:type="character" w:customStyle="1" w:styleId="Hyperlink0">
    <w:name w:val="Hyperlink.0"/>
    <w:basedOn w:val="None"/>
    <w:rPr>
      <w:rFonts w:ascii="Calibri" w:eastAsia="Calibri" w:hAnsi="Calibri" w:cs="Calibri"/>
      <w:shd w:val="clear" w:color="auto" w:fill="FFFFFF"/>
      <w:lang w:val="en-US"/>
    </w:rPr>
  </w:style>
  <w:style w:type="character" w:customStyle="1" w:styleId="Hyperlink1">
    <w:name w:val="Hyperlink.1"/>
    <w:basedOn w:val="None"/>
    <w:rPr>
      <w:rFonts w:ascii="Palatino Linotype" w:eastAsia="Palatino Linotype" w:hAnsi="Palatino Linotype" w:cs="Palatino Linotype"/>
      <w:shd w:val="clear" w:color="auto" w:fill="FFFFFF"/>
    </w:rPr>
  </w:style>
  <w:style w:type="character" w:customStyle="1" w:styleId="Heading2Char">
    <w:name w:val="Heading 2 Char"/>
    <w:basedOn w:val="DefaultParagraphFont"/>
    <w:link w:val="Heading2"/>
    <w:uiPriority w:val="9"/>
    <w:rsid w:val="004A709B"/>
    <w:rPr>
      <w:b/>
      <w:bCs/>
      <w:sz w:val="36"/>
      <w:szCs w:val="36"/>
      <w:bdr w:val="none" w:sz="0" w:space="0" w:color="auto"/>
    </w:rPr>
  </w:style>
  <w:style w:type="character" w:customStyle="1" w:styleId="date1">
    <w:name w:val="date1"/>
    <w:basedOn w:val="DefaultParagraphFont"/>
    <w:rsid w:val="004A709B"/>
  </w:style>
  <w:style w:type="character" w:customStyle="1" w:styleId="journal">
    <w:name w:val="journal"/>
    <w:basedOn w:val="DefaultParagraphFont"/>
    <w:rsid w:val="004A709B"/>
  </w:style>
  <w:style w:type="character" w:customStyle="1" w:styleId="journalnumber">
    <w:name w:val="journalnumber"/>
    <w:basedOn w:val="DefaultParagraphFont"/>
    <w:rsid w:val="004A709B"/>
  </w:style>
  <w:style w:type="paragraph" w:customStyle="1" w:styleId="type">
    <w:name w:val="type"/>
    <w:basedOn w:val="Normal"/>
    <w:rsid w:val="004A709B"/>
    <w:pPr>
      <w:spacing w:before="100" w:beforeAutospacing="1" w:after="100" w:afterAutospacing="1"/>
    </w:pPr>
  </w:style>
  <w:style w:type="character" w:customStyle="1" w:styleId="typefamily">
    <w:name w:val="type_family"/>
    <w:basedOn w:val="DefaultParagraphFont"/>
    <w:rsid w:val="004A709B"/>
  </w:style>
  <w:style w:type="character" w:customStyle="1" w:styleId="typefamilysep">
    <w:name w:val="type_family_sep"/>
    <w:basedOn w:val="DefaultParagraphFont"/>
    <w:rsid w:val="004A709B"/>
  </w:style>
  <w:style w:type="character" w:customStyle="1" w:styleId="typeclassificationparent">
    <w:name w:val="type_classification_parent"/>
    <w:basedOn w:val="DefaultParagraphFont"/>
    <w:rsid w:val="004A709B"/>
  </w:style>
  <w:style w:type="character" w:customStyle="1" w:styleId="typeparentsep">
    <w:name w:val="type_parent_sep"/>
    <w:basedOn w:val="DefaultParagraphFont"/>
    <w:rsid w:val="004A709B"/>
  </w:style>
  <w:style w:type="character" w:customStyle="1" w:styleId="typeclassification">
    <w:name w:val="type_classification"/>
    <w:basedOn w:val="DefaultParagraphFont"/>
    <w:rsid w:val="004A709B"/>
  </w:style>
  <w:style w:type="character" w:customStyle="1" w:styleId="label">
    <w:name w:val="label"/>
    <w:basedOn w:val="DefaultParagraphFont"/>
    <w:rsid w:val="004A709B"/>
  </w:style>
  <w:style w:type="character" w:customStyle="1" w:styleId="volume">
    <w:name w:val="volume"/>
    <w:basedOn w:val="DefaultParagraphFont"/>
    <w:rsid w:val="004A709B"/>
  </w:style>
  <w:style w:type="character" w:customStyle="1" w:styleId="pages">
    <w:name w:val="pages"/>
    <w:basedOn w:val="DefaultParagraphFont"/>
    <w:rsid w:val="004A709B"/>
  </w:style>
  <w:style w:type="character" w:customStyle="1" w:styleId="numberofpages">
    <w:name w:val="numberofpages"/>
    <w:basedOn w:val="DefaultParagraphFont"/>
    <w:rsid w:val="004A709B"/>
  </w:style>
  <w:style w:type="paragraph" w:styleId="FootnoteText">
    <w:name w:val="footnote text"/>
    <w:basedOn w:val="Normal"/>
    <w:link w:val="FootnoteTextChar"/>
    <w:uiPriority w:val="99"/>
    <w:unhideWhenUsed/>
    <w:rsid w:val="00A10E5E"/>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rsid w:val="00A10E5E"/>
    <w:rPr>
      <w:rFonts w:asciiTheme="minorHAnsi" w:eastAsiaTheme="minorHAnsi" w:hAnsiTheme="minorHAnsi" w:cstheme="minorBidi"/>
      <w:bdr w:val="none" w:sz="0" w:space="0" w:color="auto"/>
      <w:lang w:val="en-GB"/>
    </w:rPr>
  </w:style>
  <w:style w:type="character" w:styleId="FootnoteReference">
    <w:name w:val="footnote reference"/>
    <w:basedOn w:val="DefaultParagraphFont"/>
    <w:uiPriority w:val="99"/>
    <w:unhideWhenUsed/>
    <w:rsid w:val="00E70F24"/>
    <w:rPr>
      <w:vertAlign w:val="superscript"/>
    </w:rPr>
  </w:style>
  <w:style w:type="paragraph" w:styleId="BalloonText">
    <w:name w:val="Balloon Text"/>
    <w:basedOn w:val="Normal"/>
    <w:link w:val="BalloonTextChar"/>
    <w:uiPriority w:val="99"/>
    <w:semiHidden/>
    <w:unhideWhenUsed/>
    <w:rsid w:val="00C524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4B7"/>
    <w:rPr>
      <w:rFonts w:ascii="Segoe UI" w:hAnsi="Segoe UI" w:cs="Segoe UI"/>
      <w:sz w:val="18"/>
      <w:szCs w:val="18"/>
      <w:bdr w:val="none" w:sz="0" w:space="0" w:color="auto"/>
    </w:rPr>
  </w:style>
  <w:style w:type="paragraph" w:styleId="Header">
    <w:name w:val="header"/>
    <w:basedOn w:val="Normal"/>
    <w:link w:val="HeaderChar"/>
    <w:uiPriority w:val="99"/>
    <w:unhideWhenUsed/>
    <w:rsid w:val="00353FA7"/>
    <w:pPr>
      <w:tabs>
        <w:tab w:val="center" w:pos="4680"/>
        <w:tab w:val="right" w:pos="9360"/>
      </w:tabs>
    </w:pPr>
  </w:style>
  <w:style w:type="character" w:customStyle="1" w:styleId="HeaderChar">
    <w:name w:val="Header Char"/>
    <w:basedOn w:val="DefaultParagraphFont"/>
    <w:link w:val="Header"/>
    <w:uiPriority w:val="99"/>
    <w:rsid w:val="00353FA7"/>
    <w:rPr>
      <w:sz w:val="24"/>
      <w:szCs w:val="24"/>
      <w:bdr w:val="none" w:sz="0" w:space="0" w:color="auto"/>
    </w:rPr>
  </w:style>
  <w:style w:type="paragraph" w:styleId="Footer">
    <w:name w:val="footer"/>
    <w:basedOn w:val="Normal"/>
    <w:link w:val="FooterChar"/>
    <w:uiPriority w:val="99"/>
    <w:unhideWhenUsed/>
    <w:rsid w:val="00353FA7"/>
    <w:pPr>
      <w:tabs>
        <w:tab w:val="center" w:pos="4680"/>
        <w:tab w:val="right" w:pos="9360"/>
      </w:tabs>
    </w:pPr>
  </w:style>
  <w:style w:type="character" w:customStyle="1" w:styleId="FooterChar">
    <w:name w:val="Footer Char"/>
    <w:basedOn w:val="DefaultParagraphFont"/>
    <w:link w:val="Footer"/>
    <w:uiPriority w:val="99"/>
    <w:rsid w:val="00353FA7"/>
    <w:rPr>
      <w:sz w:val="24"/>
      <w:szCs w:val="24"/>
      <w:bdr w:val="none" w:sz="0" w:space="0" w:color="auto"/>
    </w:rPr>
  </w:style>
  <w:style w:type="character" w:customStyle="1" w:styleId="Heading1Char">
    <w:name w:val="Heading 1 Char"/>
    <w:basedOn w:val="DefaultParagraphFont"/>
    <w:link w:val="Heading1"/>
    <w:uiPriority w:val="9"/>
    <w:rsid w:val="00473F36"/>
    <w:rPr>
      <w:rFonts w:asciiTheme="majorHAnsi" w:eastAsiaTheme="majorEastAsia" w:hAnsiTheme="majorHAnsi" w:cstheme="majorBidi"/>
      <w:color w:val="0079BF" w:themeColor="accent1" w:themeShade="BF"/>
      <w:sz w:val="32"/>
      <w:szCs w:val="32"/>
      <w:bdr w:val="none" w:sz="0" w:space="0" w:color="auto"/>
    </w:rPr>
  </w:style>
  <w:style w:type="character" w:customStyle="1" w:styleId="a-size-large">
    <w:name w:val="a-size-large"/>
    <w:basedOn w:val="DefaultParagraphFont"/>
    <w:rsid w:val="00473F36"/>
  </w:style>
  <w:style w:type="paragraph" w:customStyle="1" w:styleId="BISReference">
    <w:name w:val="BIS_Reference"/>
    <w:basedOn w:val="Normal"/>
    <w:rsid w:val="0033416E"/>
    <w:pPr>
      <w:suppressAutoHyphens/>
      <w:ind w:left="432" w:hanging="432"/>
      <w:jc w:val="both"/>
    </w:pPr>
    <w:rPr>
      <w:rFonts w:ascii="Palatino Linotype" w:eastAsia="Times New Roman" w:hAnsi="Palatino Linotype"/>
      <w:sz w:val="20"/>
      <w:szCs w:val="20"/>
      <w:lang w:val="en-GB" w:eastAsia="ar-SA"/>
    </w:rPr>
  </w:style>
  <w:style w:type="character" w:customStyle="1" w:styleId="Heading5Char">
    <w:name w:val="Heading 5 Char"/>
    <w:basedOn w:val="DefaultParagraphFont"/>
    <w:link w:val="Heading5"/>
    <w:uiPriority w:val="9"/>
    <w:semiHidden/>
    <w:rsid w:val="00EF4FA3"/>
    <w:rPr>
      <w:rFonts w:asciiTheme="majorHAnsi" w:eastAsiaTheme="majorEastAsia" w:hAnsiTheme="majorHAnsi" w:cstheme="majorBidi"/>
      <w:color w:val="0079BF" w:themeColor="accent1" w:themeShade="BF"/>
      <w:sz w:val="24"/>
      <w:szCs w:val="24"/>
      <w:bdr w:val="none" w:sz="0" w:space="0" w:color="auto"/>
    </w:rPr>
  </w:style>
  <w:style w:type="paragraph" w:customStyle="1" w:styleId="Date10">
    <w:name w:val="Date1"/>
    <w:basedOn w:val="Normal"/>
    <w:rsid w:val="00EF4FA3"/>
    <w:pPr>
      <w:spacing w:before="100" w:beforeAutospacing="1" w:after="100" w:afterAutospacing="1"/>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490467">
      <w:bodyDiv w:val="1"/>
      <w:marLeft w:val="0"/>
      <w:marRight w:val="0"/>
      <w:marTop w:val="0"/>
      <w:marBottom w:val="0"/>
      <w:divBdr>
        <w:top w:val="none" w:sz="0" w:space="0" w:color="auto"/>
        <w:left w:val="none" w:sz="0" w:space="0" w:color="auto"/>
        <w:bottom w:val="none" w:sz="0" w:space="0" w:color="auto"/>
        <w:right w:val="none" w:sz="0" w:space="0" w:color="auto"/>
      </w:divBdr>
      <w:divsChild>
        <w:div w:id="1875265348">
          <w:marLeft w:val="0"/>
          <w:marRight w:val="0"/>
          <w:marTop w:val="0"/>
          <w:marBottom w:val="0"/>
          <w:divBdr>
            <w:top w:val="none" w:sz="0" w:space="0" w:color="auto"/>
            <w:left w:val="none" w:sz="0" w:space="0" w:color="auto"/>
            <w:bottom w:val="none" w:sz="0" w:space="0" w:color="auto"/>
            <w:right w:val="none" w:sz="0" w:space="0" w:color="auto"/>
          </w:divBdr>
          <w:divsChild>
            <w:div w:id="921522768">
              <w:marLeft w:val="360"/>
              <w:marRight w:val="0"/>
              <w:marTop w:val="0"/>
              <w:marBottom w:val="0"/>
              <w:divBdr>
                <w:top w:val="none" w:sz="0" w:space="0" w:color="auto"/>
                <w:left w:val="none" w:sz="0" w:space="0" w:color="auto"/>
                <w:bottom w:val="none" w:sz="0" w:space="0" w:color="auto"/>
                <w:right w:val="none" w:sz="0" w:space="0" w:color="auto"/>
              </w:divBdr>
              <w:divsChild>
                <w:div w:id="229849230">
                  <w:marLeft w:val="0"/>
                  <w:marRight w:val="0"/>
                  <w:marTop w:val="0"/>
                  <w:marBottom w:val="0"/>
                  <w:divBdr>
                    <w:top w:val="none" w:sz="0" w:space="0" w:color="auto"/>
                    <w:left w:val="none" w:sz="0" w:space="0" w:color="auto"/>
                    <w:bottom w:val="none" w:sz="0" w:space="0" w:color="auto"/>
                    <w:right w:val="none" w:sz="0" w:space="0" w:color="auto"/>
                  </w:divBdr>
                  <w:divsChild>
                    <w:div w:id="8901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74536">
          <w:marLeft w:val="345"/>
          <w:marRight w:val="0"/>
          <w:marTop w:val="0"/>
          <w:marBottom w:val="0"/>
          <w:divBdr>
            <w:top w:val="none" w:sz="0" w:space="0" w:color="auto"/>
            <w:left w:val="none" w:sz="0" w:space="0" w:color="auto"/>
            <w:bottom w:val="none" w:sz="0" w:space="0" w:color="auto"/>
            <w:right w:val="none" w:sz="0" w:space="0" w:color="auto"/>
          </w:divBdr>
        </w:div>
        <w:div w:id="415714722">
          <w:marLeft w:val="0"/>
          <w:marRight w:val="0"/>
          <w:marTop w:val="0"/>
          <w:marBottom w:val="0"/>
          <w:divBdr>
            <w:top w:val="none" w:sz="0" w:space="0" w:color="auto"/>
            <w:left w:val="none" w:sz="0" w:space="0" w:color="auto"/>
            <w:bottom w:val="none" w:sz="0" w:space="0" w:color="auto"/>
            <w:right w:val="none" w:sz="0" w:space="0" w:color="auto"/>
          </w:divBdr>
          <w:divsChild>
            <w:div w:id="909536141">
              <w:marLeft w:val="360"/>
              <w:marRight w:val="0"/>
              <w:marTop w:val="0"/>
              <w:marBottom w:val="0"/>
              <w:divBdr>
                <w:top w:val="none" w:sz="0" w:space="0" w:color="auto"/>
                <w:left w:val="none" w:sz="0" w:space="0" w:color="auto"/>
                <w:bottom w:val="none" w:sz="0" w:space="0" w:color="auto"/>
                <w:right w:val="none" w:sz="0" w:space="0" w:color="auto"/>
              </w:divBdr>
              <w:divsChild>
                <w:div w:id="2048025972">
                  <w:marLeft w:val="0"/>
                  <w:marRight w:val="0"/>
                  <w:marTop w:val="0"/>
                  <w:marBottom w:val="0"/>
                  <w:divBdr>
                    <w:top w:val="none" w:sz="0" w:space="0" w:color="auto"/>
                    <w:left w:val="none" w:sz="0" w:space="0" w:color="auto"/>
                    <w:bottom w:val="none" w:sz="0" w:space="0" w:color="auto"/>
                    <w:right w:val="none" w:sz="0" w:space="0" w:color="auto"/>
                  </w:divBdr>
                  <w:divsChild>
                    <w:div w:id="196202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037796">
          <w:marLeft w:val="345"/>
          <w:marRight w:val="0"/>
          <w:marTop w:val="0"/>
          <w:marBottom w:val="0"/>
          <w:divBdr>
            <w:top w:val="none" w:sz="0" w:space="0" w:color="auto"/>
            <w:left w:val="none" w:sz="0" w:space="0" w:color="auto"/>
            <w:bottom w:val="none" w:sz="0" w:space="0" w:color="auto"/>
            <w:right w:val="none" w:sz="0" w:space="0" w:color="auto"/>
          </w:divBdr>
        </w:div>
        <w:div w:id="1620405553">
          <w:marLeft w:val="0"/>
          <w:marRight w:val="0"/>
          <w:marTop w:val="0"/>
          <w:marBottom w:val="0"/>
          <w:divBdr>
            <w:top w:val="none" w:sz="0" w:space="0" w:color="auto"/>
            <w:left w:val="none" w:sz="0" w:space="0" w:color="auto"/>
            <w:bottom w:val="none" w:sz="0" w:space="0" w:color="auto"/>
            <w:right w:val="none" w:sz="0" w:space="0" w:color="auto"/>
          </w:divBdr>
          <w:divsChild>
            <w:div w:id="614749282">
              <w:marLeft w:val="360"/>
              <w:marRight w:val="0"/>
              <w:marTop w:val="0"/>
              <w:marBottom w:val="0"/>
              <w:divBdr>
                <w:top w:val="none" w:sz="0" w:space="0" w:color="auto"/>
                <w:left w:val="none" w:sz="0" w:space="0" w:color="auto"/>
                <w:bottom w:val="none" w:sz="0" w:space="0" w:color="auto"/>
                <w:right w:val="none" w:sz="0" w:space="0" w:color="auto"/>
              </w:divBdr>
              <w:divsChild>
                <w:div w:id="332145601">
                  <w:marLeft w:val="0"/>
                  <w:marRight w:val="0"/>
                  <w:marTop w:val="0"/>
                  <w:marBottom w:val="0"/>
                  <w:divBdr>
                    <w:top w:val="none" w:sz="0" w:space="0" w:color="auto"/>
                    <w:left w:val="none" w:sz="0" w:space="0" w:color="auto"/>
                    <w:bottom w:val="none" w:sz="0" w:space="0" w:color="auto"/>
                    <w:right w:val="none" w:sz="0" w:space="0" w:color="auto"/>
                  </w:divBdr>
                  <w:divsChild>
                    <w:div w:id="153977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476389">
          <w:marLeft w:val="345"/>
          <w:marRight w:val="0"/>
          <w:marTop w:val="0"/>
          <w:marBottom w:val="0"/>
          <w:divBdr>
            <w:top w:val="none" w:sz="0" w:space="0" w:color="auto"/>
            <w:left w:val="none" w:sz="0" w:space="0" w:color="auto"/>
            <w:bottom w:val="none" w:sz="0" w:space="0" w:color="auto"/>
            <w:right w:val="none" w:sz="0" w:space="0" w:color="auto"/>
          </w:divBdr>
        </w:div>
      </w:divsChild>
    </w:div>
    <w:div w:id="537277158">
      <w:bodyDiv w:val="1"/>
      <w:marLeft w:val="0"/>
      <w:marRight w:val="0"/>
      <w:marTop w:val="0"/>
      <w:marBottom w:val="0"/>
      <w:divBdr>
        <w:top w:val="none" w:sz="0" w:space="0" w:color="auto"/>
        <w:left w:val="none" w:sz="0" w:space="0" w:color="auto"/>
        <w:bottom w:val="none" w:sz="0" w:space="0" w:color="auto"/>
        <w:right w:val="none" w:sz="0" w:space="0" w:color="auto"/>
      </w:divBdr>
    </w:div>
    <w:div w:id="699403187">
      <w:bodyDiv w:val="1"/>
      <w:marLeft w:val="0"/>
      <w:marRight w:val="0"/>
      <w:marTop w:val="0"/>
      <w:marBottom w:val="0"/>
      <w:divBdr>
        <w:top w:val="none" w:sz="0" w:space="0" w:color="auto"/>
        <w:left w:val="none" w:sz="0" w:space="0" w:color="auto"/>
        <w:bottom w:val="none" w:sz="0" w:space="0" w:color="auto"/>
        <w:right w:val="none" w:sz="0" w:space="0" w:color="auto"/>
      </w:divBdr>
    </w:div>
    <w:div w:id="870260433">
      <w:bodyDiv w:val="1"/>
      <w:marLeft w:val="0"/>
      <w:marRight w:val="0"/>
      <w:marTop w:val="0"/>
      <w:marBottom w:val="0"/>
      <w:divBdr>
        <w:top w:val="none" w:sz="0" w:space="0" w:color="auto"/>
        <w:left w:val="none" w:sz="0" w:space="0" w:color="auto"/>
        <w:bottom w:val="none" w:sz="0" w:space="0" w:color="auto"/>
        <w:right w:val="none" w:sz="0" w:space="0" w:color="auto"/>
      </w:divBdr>
    </w:div>
    <w:div w:id="997730088">
      <w:bodyDiv w:val="1"/>
      <w:marLeft w:val="0"/>
      <w:marRight w:val="0"/>
      <w:marTop w:val="0"/>
      <w:marBottom w:val="0"/>
      <w:divBdr>
        <w:top w:val="none" w:sz="0" w:space="0" w:color="auto"/>
        <w:left w:val="none" w:sz="0" w:space="0" w:color="auto"/>
        <w:bottom w:val="none" w:sz="0" w:space="0" w:color="auto"/>
        <w:right w:val="none" w:sz="0" w:space="0" w:color="auto"/>
      </w:divBdr>
    </w:div>
    <w:div w:id="1157724934">
      <w:bodyDiv w:val="1"/>
      <w:marLeft w:val="0"/>
      <w:marRight w:val="0"/>
      <w:marTop w:val="0"/>
      <w:marBottom w:val="0"/>
      <w:divBdr>
        <w:top w:val="none" w:sz="0" w:space="0" w:color="auto"/>
        <w:left w:val="none" w:sz="0" w:space="0" w:color="auto"/>
        <w:bottom w:val="none" w:sz="0" w:space="0" w:color="auto"/>
        <w:right w:val="none" w:sz="0" w:space="0" w:color="auto"/>
      </w:divBdr>
    </w:div>
    <w:div w:id="1328677478">
      <w:bodyDiv w:val="1"/>
      <w:marLeft w:val="0"/>
      <w:marRight w:val="0"/>
      <w:marTop w:val="0"/>
      <w:marBottom w:val="0"/>
      <w:divBdr>
        <w:top w:val="none" w:sz="0" w:space="0" w:color="auto"/>
        <w:left w:val="none" w:sz="0" w:space="0" w:color="auto"/>
        <w:bottom w:val="none" w:sz="0" w:space="0" w:color="auto"/>
        <w:right w:val="none" w:sz="0" w:space="0" w:color="auto"/>
      </w:divBdr>
      <w:divsChild>
        <w:div w:id="1838614648">
          <w:marLeft w:val="0"/>
          <w:marRight w:val="0"/>
          <w:marTop w:val="0"/>
          <w:marBottom w:val="0"/>
          <w:divBdr>
            <w:top w:val="none" w:sz="0" w:space="0" w:color="auto"/>
            <w:left w:val="none" w:sz="0" w:space="0" w:color="auto"/>
            <w:bottom w:val="none" w:sz="0" w:space="0" w:color="auto"/>
            <w:right w:val="none" w:sz="0" w:space="0" w:color="auto"/>
          </w:divBdr>
          <w:divsChild>
            <w:div w:id="657882961">
              <w:marLeft w:val="360"/>
              <w:marRight w:val="0"/>
              <w:marTop w:val="0"/>
              <w:marBottom w:val="0"/>
              <w:divBdr>
                <w:top w:val="none" w:sz="0" w:space="0" w:color="auto"/>
                <w:left w:val="none" w:sz="0" w:space="0" w:color="auto"/>
                <w:bottom w:val="none" w:sz="0" w:space="0" w:color="auto"/>
                <w:right w:val="none" w:sz="0" w:space="0" w:color="auto"/>
              </w:divBdr>
              <w:divsChild>
                <w:div w:id="1720786573">
                  <w:marLeft w:val="0"/>
                  <w:marRight w:val="0"/>
                  <w:marTop w:val="0"/>
                  <w:marBottom w:val="0"/>
                  <w:divBdr>
                    <w:top w:val="none" w:sz="0" w:space="0" w:color="auto"/>
                    <w:left w:val="none" w:sz="0" w:space="0" w:color="auto"/>
                    <w:bottom w:val="none" w:sz="0" w:space="0" w:color="auto"/>
                    <w:right w:val="none" w:sz="0" w:space="0" w:color="auto"/>
                  </w:divBdr>
                  <w:divsChild>
                    <w:div w:id="14372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842945">
          <w:marLeft w:val="345"/>
          <w:marRight w:val="0"/>
          <w:marTop w:val="0"/>
          <w:marBottom w:val="0"/>
          <w:divBdr>
            <w:top w:val="none" w:sz="0" w:space="0" w:color="auto"/>
            <w:left w:val="none" w:sz="0" w:space="0" w:color="auto"/>
            <w:bottom w:val="none" w:sz="0" w:space="0" w:color="auto"/>
            <w:right w:val="none" w:sz="0" w:space="0" w:color="auto"/>
          </w:divBdr>
        </w:div>
        <w:div w:id="478426136">
          <w:marLeft w:val="0"/>
          <w:marRight w:val="0"/>
          <w:marTop w:val="0"/>
          <w:marBottom w:val="0"/>
          <w:divBdr>
            <w:top w:val="none" w:sz="0" w:space="0" w:color="auto"/>
            <w:left w:val="none" w:sz="0" w:space="0" w:color="auto"/>
            <w:bottom w:val="none" w:sz="0" w:space="0" w:color="auto"/>
            <w:right w:val="none" w:sz="0" w:space="0" w:color="auto"/>
          </w:divBdr>
          <w:divsChild>
            <w:div w:id="1524203039">
              <w:marLeft w:val="360"/>
              <w:marRight w:val="0"/>
              <w:marTop w:val="0"/>
              <w:marBottom w:val="0"/>
              <w:divBdr>
                <w:top w:val="none" w:sz="0" w:space="0" w:color="auto"/>
                <w:left w:val="none" w:sz="0" w:space="0" w:color="auto"/>
                <w:bottom w:val="none" w:sz="0" w:space="0" w:color="auto"/>
                <w:right w:val="none" w:sz="0" w:space="0" w:color="auto"/>
              </w:divBdr>
              <w:divsChild>
                <w:div w:id="308023663">
                  <w:marLeft w:val="0"/>
                  <w:marRight w:val="0"/>
                  <w:marTop w:val="0"/>
                  <w:marBottom w:val="0"/>
                  <w:divBdr>
                    <w:top w:val="none" w:sz="0" w:space="0" w:color="auto"/>
                    <w:left w:val="none" w:sz="0" w:space="0" w:color="auto"/>
                    <w:bottom w:val="none" w:sz="0" w:space="0" w:color="auto"/>
                    <w:right w:val="none" w:sz="0" w:space="0" w:color="auto"/>
                  </w:divBdr>
                  <w:divsChild>
                    <w:div w:id="1844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229774">
          <w:marLeft w:val="345"/>
          <w:marRight w:val="0"/>
          <w:marTop w:val="0"/>
          <w:marBottom w:val="0"/>
          <w:divBdr>
            <w:top w:val="none" w:sz="0" w:space="0" w:color="auto"/>
            <w:left w:val="none" w:sz="0" w:space="0" w:color="auto"/>
            <w:bottom w:val="none" w:sz="0" w:space="0" w:color="auto"/>
            <w:right w:val="none" w:sz="0" w:space="0" w:color="auto"/>
          </w:divBdr>
        </w:div>
        <w:div w:id="878324645">
          <w:marLeft w:val="0"/>
          <w:marRight w:val="0"/>
          <w:marTop w:val="0"/>
          <w:marBottom w:val="0"/>
          <w:divBdr>
            <w:top w:val="none" w:sz="0" w:space="0" w:color="auto"/>
            <w:left w:val="none" w:sz="0" w:space="0" w:color="auto"/>
            <w:bottom w:val="none" w:sz="0" w:space="0" w:color="auto"/>
            <w:right w:val="none" w:sz="0" w:space="0" w:color="auto"/>
          </w:divBdr>
          <w:divsChild>
            <w:div w:id="508059059">
              <w:marLeft w:val="360"/>
              <w:marRight w:val="0"/>
              <w:marTop w:val="0"/>
              <w:marBottom w:val="0"/>
              <w:divBdr>
                <w:top w:val="none" w:sz="0" w:space="0" w:color="auto"/>
                <w:left w:val="none" w:sz="0" w:space="0" w:color="auto"/>
                <w:bottom w:val="none" w:sz="0" w:space="0" w:color="auto"/>
                <w:right w:val="none" w:sz="0" w:space="0" w:color="auto"/>
              </w:divBdr>
              <w:divsChild>
                <w:div w:id="1335763761">
                  <w:marLeft w:val="0"/>
                  <w:marRight w:val="0"/>
                  <w:marTop w:val="0"/>
                  <w:marBottom w:val="0"/>
                  <w:divBdr>
                    <w:top w:val="none" w:sz="0" w:space="0" w:color="auto"/>
                    <w:left w:val="none" w:sz="0" w:space="0" w:color="auto"/>
                    <w:bottom w:val="none" w:sz="0" w:space="0" w:color="auto"/>
                    <w:right w:val="none" w:sz="0" w:space="0" w:color="auto"/>
                  </w:divBdr>
                  <w:divsChild>
                    <w:div w:id="194465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20222">
          <w:marLeft w:val="345"/>
          <w:marRight w:val="0"/>
          <w:marTop w:val="0"/>
          <w:marBottom w:val="0"/>
          <w:divBdr>
            <w:top w:val="none" w:sz="0" w:space="0" w:color="auto"/>
            <w:left w:val="none" w:sz="0" w:space="0" w:color="auto"/>
            <w:bottom w:val="none" w:sz="0" w:space="0" w:color="auto"/>
            <w:right w:val="none" w:sz="0" w:space="0" w:color="auto"/>
          </w:divBdr>
        </w:div>
        <w:div w:id="606277615">
          <w:marLeft w:val="0"/>
          <w:marRight w:val="0"/>
          <w:marTop w:val="0"/>
          <w:marBottom w:val="0"/>
          <w:divBdr>
            <w:top w:val="none" w:sz="0" w:space="0" w:color="auto"/>
            <w:left w:val="none" w:sz="0" w:space="0" w:color="auto"/>
            <w:bottom w:val="none" w:sz="0" w:space="0" w:color="auto"/>
            <w:right w:val="none" w:sz="0" w:space="0" w:color="auto"/>
          </w:divBdr>
          <w:divsChild>
            <w:div w:id="1206478663">
              <w:marLeft w:val="360"/>
              <w:marRight w:val="0"/>
              <w:marTop w:val="0"/>
              <w:marBottom w:val="0"/>
              <w:divBdr>
                <w:top w:val="none" w:sz="0" w:space="0" w:color="auto"/>
                <w:left w:val="none" w:sz="0" w:space="0" w:color="auto"/>
                <w:bottom w:val="none" w:sz="0" w:space="0" w:color="auto"/>
                <w:right w:val="none" w:sz="0" w:space="0" w:color="auto"/>
              </w:divBdr>
              <w:divsChild>
                <w:div w:id="901214097">
                  <w:marLeft w:val="0"/>
                  <w:marRight w:val="0"/>
                  <w:marTop w:val="0"/>
                  <w:marBottom w:val="0"/>
                  <w:divBdr>
                    <w:top w:val="none" w:sz="0" w:space="0" w:color="auto"/>
                    <w:left w:val="none" w:sz="0" w:space="0" w:color="auto"/>
                    <w:bottom w:val="none" w:sz="0" w:space="0" w:color="auto"/>
                    <w:right w:val="none" w:sz="0" w:space="0" w:color="auto"/>
                  </w:divBdr>
                  <w:divsChild>
                    <w:div w:id="9679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572897">
          <w:marLeft w:val="34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deas.repec.org/s/oup/cambje.html"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17B96-8623-42AC-97D2-59449688A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10490</Words>
  <Characters>60465</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70814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Haagh</dc:creator>
  <cp:lastModifiedBy>Matthew Wigzell</cp:lastModifiedBy>
  <cp:revision>2</cp:revision>
  <cp:lastPrinted>2018-12-12T17:13:00Z</cp:lastPrinted>
  <dcterms:created xsi:type="dcterms:W3CDTF">2019-09-19T08:54:00Z</dcterms:created>
  <dcterms:modified xsi:type="dcterms:W3CDTF">2019-09-19T08:54:00Z</dcterms:modified>
</cp:coreProperties>
</file>