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9F873" w14:textId="00D0EE7B" w:rsidR="0090187B" w:rsidRPr="003E0E05" w:rsidRDefault="008860C1" w:rsidP="00876281">
      <w:pPr>
        <w:spacing w:line="312" w:lineRule="auto"/>
        <w:jc w:val="center"/>
        <w:rPr>
          <w:rFonts w:ascii="Arial" w:hAnsi="Arial" w:cs="Arial"/>
          <w:b/>
          <w:sz w:val="28"/>
          <w:szCs w:val="28"/>
        </w:rPr>
      </w:pPr>
      <w:r w:rsidRPr="003E0E05">
        <w:rPr>
          <w:rFonts w:ascii="Arial" w:hAnsi="Arial" w:cs="Arial"/>
          <w:b/>
          <w:sz w:val="28"/>
          <w:szCs w:val="28"/>
        </w:rPr>
        <w:t>Un</w:t>
      </w:r>
      <w:r w:rsidR="00BB6E9D" w:rsidRPr="003E0E05">
        <w:rPr>
          <w:rFonts w:ascii="Arial" w:hAnsi="Arial" w:cs="Arial"/>
          <w:b/>
          <w:sz w:val="28"/>
          <w:szCs w:val="28"/>
        </w:rPr>
        <w:t xml:space="preserve">derstanding </w:t>
      </w:r>
      <w:r w:rsidR="0090187B" w:rsidRPr="003E0E05">
        <w:rPr>
          <w:rFonts w:ascii="Arial" w:hAnsi="Arial" w:cs="Arial"/>
          <w:b/>
          <w:sz w:val="28"/>
          <w:szCs w:val="28"/>
        </w:rPr>
        <w:t>Research Impact in Law:</w:t>
      </w:r>
    </w:p>
    <w:p w14:paraId="792E179C" w14:textId="6A5995FC" w:rsidR="00A34DFC" w:rsidRPr="003E0E05" w:rsidRDefault="00FF44C8" w:rsidP="00876281">
      <w:pPr>
        <w:spacing w:after="240" w:line="312" w:lineRule="auto"/>
        <w:jc w:val="center"/>
        <w:rPr>
          <w:rFonts w:ascii="Arial" w:hAnsi="Arial" w:cs="Arial"/>
          <w:b/>
          <w:sz w:val="28"/>
          <w:szCs w:val="28"/>
        </w:rPr>
      </w:pPr>
      <w:r>
        <w:rPr>
          <w:rFonts w:ascii="Arial" w:hAnsi="Arial" w:cs="Arial"/>
          <w:b/>
          <w:sz w:val="28"/>
          <w:szCs w:val="28"/>
        </w:rPr>
        <w:t>The REF and</w:t>
      </w:r>
      <w:r w:rsidR="0090187B" w:rsidRPr="003E0E05">
        <w:rPr>
          <w:rFonts w:ascii="Arial" w:hAnsi="Arial" w:cs="Arial"/>
          <w:b/>
          <w:sz w:val="28"/>
          <w:szCs w:val="28"/>
        </w:rPr>
        <w:t xml:space="preserve"> Engagement with UK Governments</w:t>
      </w:r>
    </w:p>
    <w:p w14:paraId="4E9F727D" w14:textId="5F026078" w:rsidR="008E0656" w:rsidRPr="008E0656" w:rsidRDefault="00A76AC7" w:rsidP="00876281">
      <w:pPr>
        <w:spacing w:line="336" w:lineRule="auto"/>
        <w:jc w:val="center"/>
        <w:rPr>
          <w:rFonts w:ascii="Arial" w:hAnsi="Arial" w:cs="Arial"/>
          <w:sz w:val="20"/>
          <w:szCs w:val="20"/>
        </w:rPr>
      </w:pPr>
      <w:r>
        <w:rPr>
          <w:rFonts w:ascii="Arial" w:hAnsi="Arial" w:cs="Arial"/>
          <w:smallCaps/>
          <w:sz w:val="20"/>
          <w:szCs w:val="20"/>
        </w:rPr>
        <w:t>Lawrence McNamara</w:t>
      </w:r>
      <w:r w:rsidR="008E0656">
        <w:rPr>
          <w:rStyle w:val="FootnoteReference"/>
          <w:rFonts w:ascii="Arial" w:hAnsi="Arial" w:cs="Arial"/>
          <w:sz w:val="20"/>
          <w:szCs w:val="20"/>
        </w:rPr>
        <w:footnoteReference w:id="1"/>
      </w:r>
    </w:p>
    <w:p w14:paraId="51BE4555" w14:textId="77777777" w:rsidR="005E0193" w:rsidRDefault="005E0193">
      <w:pPr>
        <w:rPr>
          <w:rFonts w:ascii="Arial" w:hAnsi="Arial" w:cs="Arial"/>
          <w:sz w:val="20"/>
          <w:szCs w:val="20"/>
        </w:rPr>
      </w:pPr>
    </w:p>
    <w:p w14:paraId="69CC5108" w14:textId="77777777" w:rsidR="00A53F1C" w:rsidRDefault="00A53F1C">
      <w:pPr>
        <w:rPr>
          <w:rFonts w:ascii="Arial" w:hAnsi="Arial" w:cs="Arial"/>
          <w:sz w:val="20"/>
          <w:szCs w:val="20"/>
        </w:rPr>
      </w:pPr>
    </w:p>
    <w:p w14:paraId="5080E1C9" w14:textId="77777777" w:rsidR="00A53F1C" w:rsidRDefault="00A53F1C">
      <w:pPr>
        <w:rPr>
          <w:rFonts w:ascii="Arial" w:hAnsi="Arial" w:cs="Arial"/>
          <w:sz w:val="20"/>
          <w:szCs w:val="20"/>
        </w:rPr>
      </w:pPr>
    </w:p>
    <w:p w14:paraId="7B62BC00" w14:textId="15D34B75" w:rsidR="00A53F1C" w:rsidRDefault="00A53F1C" w:rsidP="00A53F1C">
      <w:pPr>
        <w:ind w:left="851" w:right="1088"/>
        <w:jc w:val="center"/>
        <w:rPr>
          <w:rFonts w:ascii="Arial" w:hAnsi="Arial" w:cs="Arial"/>
          <w:b/>
          <w:i/>
          <w:sz w:val="20"/>
          <w:szCs w:val="20"/>
        </w:rPr>
      </w:pPr>
      <w:r w:rsidRPr="00A53F1C">
        <w:rPr>
          <w:rFonts w:ascii="Arial" w:hAnsi="Arial" w:cs="Arial"/>
          <w:b/>
          <w:i/>
          <w:sz w:val="20"/>
          <w:szCs w:val="20"/>
        </w:rPr>
        <w:t>Abstract</w:t>
      </w:r>
    </w:p>
    <w:p w14:paraId="660279EE" w14:textId="77777777" w:rsidR="00A53F1C" w:rsidRPr="00A53F1C" w:rsidRDefault="00A53F1C" w:rsidP="00A53F1C">
      <w:pPr>
        <w:ind w:left="851" w:right="1088"/>
        <w:jc w:val="center"/>
        <w:rPr>
          <w:rFonts w:ascii="Arial" w:hAnsi="Arial" w:cs="Arial"/>
          <w:b/>
          <w:i/>
          <w:sz w:val="20"/>
          <w:szCs w:val="20"/>
        </w:rPr>
      </w:pPr>
    </w:p>
    <w:p w14:paraId="5E4D8B34" w14:textId="3413D9D3" w:rsidR="00A53F1C" w:rsidRPr="00A53F1C" w:rsidRDefault="00A53F1C" w:rsidP="00A53F1C">
      <w:pPr>
        <w:ind w:left="851" w:right="1088"/>
        <w:jc w:val="both"/>
        <w:rPr>
          <w:rFonts w:ascii="Arial" w:hAnsi="Arial" w:cs="Arial"/>
          <w:i/>
          <w:sz w:val="20"/>
          <w:szCs w:val="20"/>
        </w:rPr>
      </w:pPr>
      <w:r w:rsidRPr="00A53F1C">
        <w:rPr>
          <w:rFonts w:ascii="Arial" w:hAnsi="Arial" w:cs="Arial"/>
          <w:i/>
          <w:sz w:val="20"/>
          <w:szCs w:val="20"/>
        </w:rPr>
        <w:t>Understanding how impact occurs is critical if research is to effectively inform law, policy and practice. Existing scholarship on impact has theorised the way impact occurs, but there is a dearth of information about practice, especially in law. This article examines the pathways to impact that legal scholars experience, and specifically focuses on the concept of engagement.  Studying the REF 2014 data and, through surveys of researchers named in case studies and research directors in UK law schools, the article explores how researchers engage with UK governments, providing insights into access, processes, challenges and resources. It shows that successful engagement and impact in government is far more dependent on chance than is appropriate or necessary and contests the dominance of the ‘research impact’ model, arguing that ‘researcher impact’ provides a better framework. The results suggest that the enhancement of impact requires a better understanding of the interaction underpinning it.</w:t>
      </w:r>
    </w:p>
    <w:p w14:paraId="5FE227ED" w14:textId="77777777" w:rsidR="00A53F1C" w:rsidRDefault="00A53F1C">
      <w:pPr>
        <w:rPr>
          <w:rFonts w:ascii="Arial" w:hAnsi="Arial" w:cs="Arial"/>
          <w:sz w:val="20"/>
          <w:szCs w:val="20"/>
        </w:rPr>
      </w:pPr>
    </w:p>
    <w:p w14:paraId="0222875E" w14:textId="77777777" w:rsidR="00A53F1C" w:rsidRDefault="00A53F1C">
      <w:pPr>
        <w:rPr>
          <w:rFonts w:ascii="Arial" w:hAnsi="Arial" w:cs="Arial"/>
          <w:sz w:val="20"/>
          <w:szCs w:val="20"/>
        </w:rPr>
      </w:pPr>
    </w:p>
    <w:p w14:paraId="01AFD394" w14:textId="77777777" w:rsidR="00A53F1C" w:rsidRDefault="00A53F1C">
      <w:pPr>
        <w:rPr>
          <w:rFonts w:ascii="Arial" w:hAnsi="Arial" w:cs="Arial"/>
          <w:sz w:val="20"/>
          <w:szCs w:val="20"/>
        </w:rPr>
      </w:pPr>
    </w:p>
    <w:p w14:paraId="5154919C" w14:textId="77777777" w:rsidR="00A53F1C" w:rsidRDefault="00A53F1C">
      <w:pPr>
        <w:rPr>
          <w:rFonts w:ascii="Arial" w:hAnsi="Arial" w:cs="Arial"/>
          <w:sz w:val="20"/>
          <w:szCs w:val="20"/>
        </w:rPr>
      </w:pPr>
    </w:p>
    <w:p w14:paraId="43F51693" w14:textId="0C7A55C7" w:rsidR="00660B7A" w:rsidRPr="001120B9" w:rsidRDefault="00660B7A" w:rsidP="001120B9">
      <w:pPr>
        <w:spacing w:line="480" w:lineRule="auto"/>
        <w:jc w:val="center"/>
        <w:rPr>
          <w:rFonts w:ascii="Arial" w:hAnsi="Arial" w:cs="Arial"/>
          <w:b/>
          <w:sz w:val="24"/>
          <w:szCs w:val="24"/>
        </w:rPr>
      </w:pPr>
      <w:r w:rsidRPr="001120B9">
        <w:rPr>
          <w:rFonts w:ascii="Arial" w:hAnsi="Arial" w:cs="Arial"/>
          <w:b/>
          <w:sz w:val="24"/>
          <w:szCs w:val="24"/>
        </w:rPr>
        <w:t>INTRODUCTION</w:t>
      </w:r>
    </w:p>
    <w:p w14:paraId="092D99FF" w14:textId="5C55FA80" w:rsidR="00795C50" w:rsidRDefault="001F5092" w:rsidP="00E51F2A">
      <w:pPr>
        <w:spacing w:line="480" w:lineRule="auto"/>
        <w:rPr>
          <w:rFonts w:ascii="Arial" w:hAnsi="Arial" w:cs="Arial"/>
          <w:sz w:val="20"/>
          <w:szCs w:val="20"/>
        </w:rPr>
      </w:pPr>
      <w:r w:rsidRPr="000D31C3">
        <w:rPr>
          <w:rFonts w:ascii="Arial" w:hAnsi="Arial" w:cs="Arial"/>
          <w:sz w:val="20"/>
          <w:szCs w:val="20"/>
        </w:rPr>
        <w:t xml:space="preserve">Understanding </w:t>
      </w:r>
      <w:r w:rsidR="00430BF7">
        <w:rPr>
          <w:rFonts w:ascii="Arial" w:hAnsi="Arial" w:cs="Arial"/>
          <w:sz w:val="20"/>
          <w:szCs w:val="20"/>
        </w:rPr>
        <w:t xml:space="preserve">how </w:t>
      </w:r>
      <w:r w:rsidRPr="000D31C3">
        <w:rPr>
          <w:rFonts w:ascii="Arial" w:hAnsi="Arial" w:cs="Arial"/>
          <w:sz w:val="20"/>
          <w:szCs w:val="20"/>
        </w:rPr>
        <w:t>impact</w:t>
      </w:r>
      <w:r w:rsidR="00430BF7">
        <w:rPr>
          <w:rFonts w:ascii="Arial" w:hAnsi="Arial" w:cs="Arial"/>
          <w:sz w:val="20"/>
          <w:szCs w:val="20"/>
        </w:rPr>
        <w:t xml:space="preserve"> occurs</w:t>
      </w:r>
      <w:r w:rsidRPr="000D31C3">
        <w:rPr>
          <w:rFonts w:ascii="Arial" w:hAnsi="Arial" w:cs="Arial"/>
          <w:sz w:val="20"/>
          <w:szCs w:val="20"/>
        </w:rPr>
        <w:t xml:space="preserve"> is critical</w:t>
      </w:r>
      <w:r>
        <w:rPr>
          <w:rFonts w:ascii="Arial" w:hAnsi="Arial" w:cs="Arial"/>
          <w:sz w:val="20"/>
          <w:szCs w:val="20"/>
        </w:rPr>
        <w:t xml:space="preserve"> if research is to effectively inform law, policy and practice. </w:t>
      </w:r>
      <w:r w:rsidR="00E52742">
        <w:rPr>
          <w:rFonts w:ascii="Arial" w:hAnsi="Arial" w:cs="Arial"/>
          <w:sz w:val="20"/>
          <w:szCs w:val="20"/>
        </w:rPr>
        <w:t xml:space="preserve">In recent years such understanding has become more important than ever before </w:t>
      </w:r>
      <w:r w:rsidR="000E28F1">
        <w:rPr>
          <w:rFonts w:ascii="Arial" w:hAnsi="Arial" w:cs="Arial"/>
          <w:sz w:val="20"/>
          <w:szCs w:val="20"/>
        </w:rPr>
        <w:t>as</w:t>
      </w:r>
      <w:r w:rsidR="00E52742">
        <w:rPr>
          <w:rFonts w:ascii="Arial" w:hAnsi="Arial" w:cs="Arial"/>
          <w:sz w:val="20"/>
          <w:szCs w:val="20"/>
        </w:rPr>
        <w:t xml:space="preserve"> </w:t>
      </w:r>
      <w:r w:rsidR="00A534DF">
        <w:rPr>
          <w:rFonts w:ascii="Arial" w:hAnsi="Arial" w:cs="Arial"/>
          <w:sz w:val="20"/>
          <w:szCs w:val="20"/>
        </w:rPr>
        <w:t>research councils</w:t>
      </w:r>
      <w:r w:rsidR="00E52742">
        <w:rPr>
          <w:rFonts w:ascii="Arial" w:hAnsi="Arial" w:cs="Arial"/>
          <w:sz w:val="20"/>
          <w:szCs w:val="20"/>
        </w:rPr>
        <w:t xml:space="preserve"> hav</w:t>
      </w:r>
      <w:r w:rsidR="000E28F1">
        <w:rPr>
          <w:rFonts w:ascii="Arial" w:hAnsi="Arial" w:cs="Arial"/>
          <w:sz w:val="20"/>
          <w:szCs w:val="20"/>
        </w:rPr>
        <w:t>e</w:t>
      </w:r>
      <w:r w:rsidR="00E52742">
        <w:rPr>
          <w:rFonts w:ascii="Arial" w:hAnsi="Arial" w:cs="Arial"/>
          <w:sz w:val="20"/>
          <w:szCs w:val="20"/>
        </w:rPr>
        <w:t xml:space="preserve"> increased emphasis on impact and </w:t>
      </w:r>
      <w:r w:rsidR="000E28F1">
        <w:rPr>
          <w:rFonts w:ascii="Arial" w:hAnsi="Arial" w:cs="Arial"/>
          <w:sz w:val="20"/>
          <w:szCs w:val="20"/>
        </w:rPr>
        <w:t>since</w:t>
      </w:r>
      <w:r w:rsidR="00E52742">
        <w:rPr>
          <w:rFonts w:ascii="Arial" w:hAnsi="Arial" w:cs="Arial"/>
          <w:sz w:val="20"/>
          <w:szCs w:val="20"/>
        </w:rPr>
        <w:t xml:space="preserve"> </w:t>
      </w:r>
      <w:r w:rsidR="000E28F1">
        <w:rPr>
          <w:rFonts w:ascii="Arial" w:hAnsi="Arial" w:cs="Arial"/>
          <w:sz w:val="20"/>
          <w:szCs w:val="20"/>
        </w:rPr>
        <w:t xml:space="preserve">impact was added to </w:t>
      </w:r>
      <w:r w:rsidR="00D15F46">
        <w:rPr>
          <w:rFonts w:ascii="Arial" w:hAnsi="Arial" w:cs="Arial"/>
          <w:sz w:val="20"/>
          <w:szCs w:val="20"/>
        </w:rPr>
        <w:t xml:space="preserve">the </w:t>
      </w:r>
      <w:r w:rsidR="006204F4">
        <w:rPr>
          <w:rFonts w:ascii="Arial" w:hAnsi="Arial" w:cs="Arial"/>
          <w:sz w:val="20"/>
          <w:szCs w:val="20"/>
        </w:rPr>
        <w:t xml:space="preserve">UK universities research assessment </w:t>
      </w:r>
      <w:r w:rsidR="00376DA2">
        <w:rPr>
          <w:rFonts w:ascii="Arial" w:hAnsi="Arial" w:cs="Arial"/>
          <w:sz w:val="20"/>
          <w:szCs w:val="20"/>
        </w:rPr>
        <w:t xml:space="preserve">criteria </w:t>
      </w:r>
      <w:r w:rsidR="000E28F1">
        <w:rPr>
          <w:rFonts w:ascii="Arial" w:hAnsi="Arial" w:cs="Arial"/>
          <w:sz w:val="20"/>
          <w:szCs w:val="20"/>
        </w:rPr>
        <w:t xml:space="preserve">in </w:t>
      </w:r>
      <w:r w:rsidR="00376DA2">
        <w:rPr>
          <w:rFonts w:ascii="Arial" w:hAnsi="Arial" w:cs="Arial"/>
          <w:sz w:val="20"/>
          <w:szCs w:val="20"/>
        </w:rPr>
        <w:t>the 2014 Research Excellence Framework (REF</w:t>
      </w:r>
      <w:r w:rsidR="000F267A">
        <w:rPr>
          <w:rFonts w:ascii="Arial" w:hAnsi="Arial" w:cs="Arial"/>
          <w:sz w:val="20"/>
          <w:szCs w:val="20"/>
        </w:rPr>
        <w:t xml:space="preserve"> 2014</w:t>
      </w:r>
      <w:r w:rsidR="00376DA2">
        <w:rPr>
          <w:rFonts w:ascii="Arial" w:hAnsi="Arial" w:cs="Arial"/>
          <w:sz w:val="20"/>
          <w:szCs w:val="20"/>
        </w:rPr>
        <w:t>)</w:t>
      </w:r>
      <w:r w:rsidR="000E28F1">
        <w:rPr>
          <w:rFonts w:ascii="Arial" w:hAnsi="Arial" w:cs="Arial"/>
          <w:sz w:val="20"/>
          <w:szCs w:val="20"/>
        </w:rPr>
        <w:t xml:space="preserve">. With the heavier </w:t>
      </w:r>
      <w:r w:rsidR="00430BF7">
        <w:rPr>
          <w:rFonts w:ascii="Arial" w:hAnsi="Arial" w:cs="Arial"/>
          <w:sz w:val="20"/>
          <w:szCs w:val="20"/>
        </w:rPr>
        <w:t>weighting</w:t>
      </w:r>
      <w:r w:rsidR="00E236B3">
        <w:rPr>
          <w:rFonts w:ascii="Arial" w:hAnsi="Arial" w:cs="Arial"/>
          <w:sz w:val="20"/>
          <w:szCs w:val="20"/>
        </w:rPr>
        <w:t xml:space="preserve"> </w:t>
      </w:r>
      <w:r w:rsidR="00430BF7">
        <w:rPr>
          <w:rFonts w:ascii="Arial" w:hAnsi="Arial" w:cs="Arial"/>
          <w:sz w:val="20"/>
          <w:szCs w:val="20"/>
        </w:rPr>
        <w:t xml:space="preserve">for </w:t>
      </w:r>
      <w:r w:rsidR="00E52742">
        <w:rPr>
          <w:rFonts w:ascii="Arial" w:hAnsi="Arial" w:cs="Arial"/>
          <w:sz w:val="20"/>
          <w:szCs w:val="20"/>
        </w:rPr>
        <w:t xml:space="preserve">impact in </w:t>
      </w:r>
      <w:r w:rsidR="00430BF7">
        <w:rPr>
          <w:rFonts w:ascii="Arial" w:hAnsi="Arial" w:cs="Arial"/>
          <w:sz w:val="20"/>
          <w:szCs w:val="20"/>
        </w:rPr>
        <w:t xml:space="preserve">REF 2021 </w:t>
      </w:r>
      <w:r w:rsidR="000E28F1">
        <w:rPr>
          <w:rFonts w:ascii="Arial" w:hAnsi="Arial" w:cs="Arial"/>
          <w:sz w:val="20"/>
          <w:szCs w:val="20"/>
        </w:rPr>
        <w:t>(</w:t>
      </w:r>
      <w:r w:rsidR="00430BF7">
        <w:rPr>
          <w:rFonts w:ascii="Arial" w:hAnsi="Arial" w:cs="Arial"/>
          <w:sz w:val="20"/>
          <w:szCs w:val="20"/>
        </w:rPr>
        <w:t>up from 20%</w:t>
      </w:r>
      <w:r w:rsidR="00E236B3">
        <w:rPr>
          <w:rFonts w:ascii="Arial" w:hAnsi="Arial" w:cs="Arial"/>
          <w:sz w:val="20"/>
          <w:szCs w:val="20"/>
        </w:rPr>
        <w:t xml:space="preserve"> to 25%</w:t>
      </w:r>
      <w:r w:rsidR="000E28F1">
        <w:rPr>
          <w:rFonts w:ascii="Arial" w:hAnsi="Arial" w:cs="Arial"/>
          <w:sz w:val="20"/>
          <w:szCs w:val="20"/>
        </w:rPr>
        <w:t>) the importance of understanding impact will not diminish</w:t>
      </w:r>
      <w:r w:rsidR="00430BF7">
        <w:rPr>
          <w:rFonts w:ascii="Arial" w:hAnsi="Arial" w:cs="Arial"/>
          <w:sz w:val="20"/>
          <w:szCs w:val="20"/>
        </w:rPr>
        <w:t>.</w:t>
      </w:r>
      <w:r w:rsidR="000F267A">
        <w:rPr>
          <w:rStyle w:val="FootnoteReference"/>
          <w:rFonts w:ascii="Arial" w:hAnsi="Arial" w:cs="Arial"/>
          <w:sz w:val="20"/>
          <w:szCs w:val="20"/>
        </w:rPr>
        <w:footnoteReference w:id="2"/>
      </w:r>
      <w:r>
        <w:rPr>
          <w:rFonts w:ascii="Arial" w:hAnsi="Arial" w:cs="Arial"/>
          <w:sz w:val="20"/>
          <w:szCs w:val="20"/>
        </w:rPr>
        <w:t xml:space="preserve"> </w:t>
      </w:r>
      <w:r w:rsidR="00AA66E3">
        <w:rPr>
          <w:rFonts w:ascii="Arial" w:hAnsi="Arial" w:cs="Arial"/>
          <w:sz w:val="20"/>
          <w:szCs w:val="20"/>
        </w:rPr>
        <w:t xml:space="preserve"> </w:t>
      </w:r>
    </w:p>
    <w:p w14:paraId="131975AC" w14:textId="3EC56F5C" w:rsidR="00795C50" w:rsidRDefault="00795C50" w:rsidP="00E51F2A">
      <w:pPr>
        <w:spacing w:line="480" w:lineRule="auto"/>
        <w:rPr>
          <w:rFonts w:ascii="Arial" w:hAnsi="Arial" w:cs="Arial"/>
          <w:sz w:val="20"/>
          <w:szCs w:val="20"/>
        </w:rPr>
      </w:pPr>
    </w:p>
    <w:p w14:paraId="411646C3" w14:textId="6459D4B0" w:rsidR="00096F6F" w:rsidRDefault="00F0450E" w:rsidP="00E51F2A">
      <w:pPr>
        <w:spacing w:line="480" w:lineRule="auto"/>
        <w:rPr>
          <w:rFonts w:ascii="Arial" w:hAnsi="Arial" w:cs="Arial"/>
          <w:sz w:val="20"/>
          <w:szCs w:val="20"/>
        </w:rPr>
      </w:pPr>
      <w:r>
        <w:rPr>
          <w:rFonts w:ascii="Arial" w:hAnsi="Arial" w:cs="Arial"/>
          <w:sz w:val="20"/>
          <w:szCs w:val="20"/>
        </w:rPr>
        <w:lastRenderedPageBreak/>
        <w:t xml:space="preserve">These external drivers shape the ways that academics and law schools </w:t>
      </w:r>
      <w:r w:rsidR="00470626">
        <w:rPr>
          <w:rFonts w:ascii="Arial" w:hAnsi="Arial" w:cs="Arial"/>
          <w:sz w:val="20"/>
          <w:szCs w:val="20"/>
        </w:rPr>
        <w:t>work</w:t>
      </w:r>
      <w:r w:rsidRPr="000D31C3">
        <w:rPr>
          <w:rFonts w:ascii="Arial" w:hAnsi="Arial" w:cs="Arial"/>
          <w:sz w:val="20"/>
          <w:szCs w:val="20"/>
        </w:rPr>
        <w:t xml:space="preserve">. </w:t>
      </w:r>
      <w:r w:rsidR="002A4417">
        <w:rPr>
          <w:rFonts w:ascii="Arial" w:hAnsi="Arial" w:cs="Arial"/>
          <w:sz w:val="20"/>
          <w:szCs w:val="20"/>
        </w:rPr>
        <w:t>Impact</w:t>
      </w:r>
      <w:r w:rsidR="0049627C">
        <w:rPr>
          <w:rFonts w:ascii="Arial" w:hAnsi="Arial" w:cs="Arial"/>
          <w:sz w:val="20"/>
          <w:szCs w:val="20"/>
        </w:rPr>
        <w:t xml:space="preserve"> count</w:t>
      </w:r>
      <w:r w:rsidR="002A4417">
        <w:rPr>
          <w:rFonts w:ascii="Arial" w:hAnsi="Arial" w:cs="Arial"/>
          <w:sz w:val="20"/>
          <w:szCs w:val="20"/>
        </w:rPr>
        <w:t>s</w:t>
      </w:r>
      <w:r w:rsidR="0049627C">
        <w:rPr>
          <w:rFonts w:ascii="Arial" w:hAnsi="Arial" w:cs="Arial"/>
          <w:sz w:val="20"/>
          <w:szCs w:val="20"/>
        </w:rPr>
        <w:t xml:space="preserve"> for millions of pounds</w:t>
      </w:r>
      <w:r w:rsidR="00473082">
        <w:rPr>
          <w:rFonts w:ascii="Arial" w:hAnsi="Arial" w:cs="Arial"/>
          <w:sz w:val="20"/>
          <w:szCs w:val="20"/>
        </w:rPr>
        <w:t xml:space="preserve"> in law school income and expenditure</w:t>
      </w:r>
      <w:r w:rsidR="00521959">
        <w:rPr>
          <w:rFonts w:ascii="Arial" w:hAnsi="Arial" w:cs="Arial"/>
          <w:sz w:val="20"/>
          <w:szCs w:val="20"/>
        </w:rPr>
        <w:t xml:space="preserve">. </w:t>
      </w:r>
      <w:r w:rsidR="00A6669D">
        <w:rPr>
          <w:rFonts w:ascii="Arial" w:hAnsi="Arial" w:cs="Arial"/>
          <w:sz w:val="20"/>
          <w:szCs w:val="20"/>
        </w:rPr>
        <w:t>For example, i</w:t>
      </w:r>
      <w:r w:rsidR="00521959">
        <w:rPr>
          <w:rFonts w:ascii="Arial" w:hAnsi="Arial" w:cs="Arial"/>
          <w:sz w:val="20"/>
          <w:szCs w:val="20"/>
        </w:rPr>
        <w:t>n</w:t>
      </w:r>
      <w:r w:rsidR="001E47BB">
        <w:rPr>
          <w:rFonts w:ascii="Arial" w:hAnsi="Arial" w:cs="Arial"/>
          <w:sz w:val="20"/>
          <w:szCs w:val="20"/>
        </w:rPr>
        <w:t xml:space="preserve"> 2015, </w:t>
      </w:r>
      <w:r w:rsidR="00F00725">
        <w:rPr>
          <w:rFonts w:ascii="Arial" w:hAnsi="Arial" w:cs="Arial"/>
          <w:sz w:val="20"/>
          <w:szCs w:val="20"/>
        </w:rPr>
        <w:t>of the</w:t>
      </w:r>
      <w:r w:rsidR="00CF0B29">
        <w:rPr>
          <w:rFonts w:ascii="Arial" w:hAnsi="Arial" w:cs="Arial"/>
          <w:sz w:val="20"/>
          <w:szCs w:val="20"/>
        </w:rPr>
        <w:t xml:space="preserve"> £21 million </w:t>
      </w:r>
      <w:r w:rsidR="00473082">
        <w:rPr>
          <w:rFonts w:ascii="Arial" w:hAnsi="Arial" w:cs="Arial"/>
          <w:sz w:val="20"/>
          <w:szCs w:val="20"/>
        </w:rPr>
        <w:t>allocated on the basis of research quality</w:t>
      </w:r>
      <w:r w:rsidR="00CF0B29">
        <w:rPr>
          <w:rFonts w:ascii="Arial" w:hAnsi="Arial" w:cs="Arial"/>
          <w:sz w:val="20"/>
          <w:szCs w:val="20"/>
        </w:rPr>
        <w:t xml:space="preserve"> (</w:t>
      </w:r>
      <w:r w:rsidR="00FD7EE4">
        <w:rPr>
          <w:rFonts w:ascii="Arial" w:hAnsi="Arial" w:cs="Arial"/>
          <w:sz w:val="20"/>
          <w:szCs w:val="20"/>
        </w:rPr>
        <w:t>‘</w:t>
      </w:r>
      <w:r w:rsidR="00CF0B29">
        <w:rPr>
          <w:rFonts w:ascii="Arial" w:hAnsi="Arial" w:cs="Arial"/>
          <w:sz w:val="20"/>
          <w:szCs w:val="20"/>
        </w:rPr>
        <w:t>QR funding</w:t>
      </w:r>
      <w:r w:rsidR="00FD7EE4">
        <w:rPr>
          <w:rFonts w:ascii="Arial" w:hAnsi="Arial" w:cs="Arial"/>
          <w:sz w:val="20"/>
          <w:szCs w:val="20"/>
        </w:rPr>
        <w:t>’</w:t>
      </w:r>
      <w:r w:rsidR="00473082">
        <w:rPr>
          <w:rFonts w:ascii="Arial" w:hAnsi="Arial" w:cs="Arial"/>
          <w:sz w:val="20"/>
          <w:szCs w:val="20"/>
        </w:rPr>
        <w:t xml:space="preserve">) </w:t>
      </w:r>
      <w:r w:rsidR="004521F8">
        <w:rPr>
          <w:rFonts w:ascii="Arial" w:hAnsi="Arial" w:cs="Arial"/>
          <w:sz w:val="20"/>
          <w:szCs w:val="20"/>
        </w:rPr>
        <w:t>distributed</w:t>
      </w:r>
      <w:r w:rsidR="0049627C">
        <w:rPr>
          <w:rFonts w:ascii="Arial" w:hAnsi="Arial" w:cs="Arial"/>
          <w:sz w:val="20"/>
          <w:szCs w:val="20"/>
        </w:rPr>
        <w:t xml:space="preserve"> </w:t>
      </w:r>
      <w:r w:rsidR="00F650A2">
        <w:rPr>
          <w:rFonts w:ascii="Arial" w:hAnsi="Arial" w:cs="Arial"/>
          <w:sz w:val="20"/>
          <w:szCs w:val="20"/>
        </w:rPr>
        <w:t xml:space="preserve">to law schools </w:t>
      </w:r>
      <w:r w:rsidR="0049627C">
        <w:rPr>
          <w:rFonts w:ascii="Arial" w:hAnsi="Arial" w:cs="Arial"/>
          <w:sz w:val="20"/>
          <w:szCs w:val="20"/>
        </w:rPr>
        <w:t>in England</w:t>
      </w:r>
      <w:r w:rsidR="004521F8">
        <w:rPr>
          <w:rFonts w:ascii="Arial" w:hAnsi="Arial" w:cs="Arial"/>
          <w:sz w:val="20"/>
          <w:szCs w:val="20"/>
        </w:rPr>
        <w:t xml:space="preserve">, </w:t>
      </w:r>
      <w:r w:rsidR="00473082">
        <w:rPr>
          <w:rFonts w:ascii="Arial" w:hAnsi="Arial" w:cs="Arial"/>
          <w:sz w:val="20"/>
          <w:szCs w:val="20"/>
        </w:rPr>
        <w:t>£4.1 million was based on impact</w:t>
      </w:r>
      <w:r w:rsidR="004521F8">
        <w:rPr>
          <w:rFonts w:ascii="Arial" w:hAnsi="Arial" w:cs="Arial"/>
          <w:sz w:val="20"/>
          <w:szCs w:val="20"/>
        </w:rPr>
        <w:t>.</w:t>
      </w:r>
      <w:r w:rsidR="004521F8">
        <w:rPr>
          <w:rStyle w:val="FootnoteReference"/>
          <w:rFonts w:ascii="Arial" w:hAnsi="Arial" w:cs="Arial"/>
          <w:sz w:val="20"/>
          <w:szCs w:val="20"/>
        </w:rPr>
        <w:footnoteReference w:id="3"/>
      </w:r>
      <w:r w:rsidR="0049627C">
        <w:rPr>
          <w:rFonts w:ascii="Arial" w:hAnsi="Arial" w:cs="Arial"/>
          <w:sz w:val="20"/>
          <w:szCs w:val="20"/>
        </w:rPr>
        <w:t xml:space="preserve"> </w:t>
      </w:r>
      <w:r w:rsidR="00521959">
        <w:rPr>
          <w:rFonts w:ascii="Arial" w:hAnsi="Arial" w:cs="Arial"/>
          <w:sz w:val="20"/>
          <w:szCs w:val="20"/>
        </w:rPr>
        <w:t xml:space="preserve">The </w:t>
      </w:r>
      <w:r w:rsidR="00473082">
        <w:rPr>
          <w:rFonts w:ascii="Arial" w:hAnsi="Arial" w:cs="Arial"/>
          <w:sz w:val="20"/>
          <w:szCs w:val="20"/>
        </w:rPr>
        <w:t>median co</w:t>
      </w:r>
      <w:r w:rsidR="00521959">
        <w:rPr>
          <w:rFonts w:ascii="Arial" w:hAnsi="Arial" w:cs="Arial"/>
          <w:sz w:val="20"/>
          <w:szCs w:val="20"/>
        </w:rPr>
        <w:t>st of preparing a</w:t>
      </w:r>
      <w:r w:rsidR="001231D8">
        <w:rPr>
          <w:rFonts w:ascii="Arial" w:hAnsi="Arial" w:cs="Arial"/>
          <w:sz w:val="20"/>
          <w:szCs w:val="20"/>
        </w:rPr>
        <w:t>n impact</w:t>
      </w:r>
      <w:r w:rsidR="00521959">
        <w:rPr>
          <w:rFonts w:ascii="Arial" w:hAnsi="Arial" w:cs="Arial"/>
          <w:sz w:val="20"/>
          <w:szCs w:val="20"/>
        </w:rPr>
        <w:t xml:space="preserve"> case study </w:t>
      </w:r>
      <w:r w:rsidR="00C22532">
        <w:rPr>
          <w:rFonts w:ascii="Arial" w:hAnsi="Arial" w:cs="Arial"/>
          <w:sz w:val="20"/>
          <w:szCs w:val="20"/>
        </w:rPr>
        <w:t xml:space="preserve">for the REF </w:t>
      </w:r>
      <w:r w:rsidR="00521959">
        <w:rPr>
          <w:rFonts w:ascii="Arial" w:hAnsi="Arial" w:cs="Arial"/>
          <w:sz w:val="20"/>
          <w:szCs w:val="20"/>
        </w:rPr>
        <w:t>was</w:t>
      </w:r>
      <w:r w:rsidR="00473082">
        <w:rPr>
          <w:rFonts w:ascii="Arial" w:hAnsi="Arial" w:cs="Arial"/>
          <w:sz w:val="20"/>
          <w:szCs w:val="20"/>
        </w:rPr>
        <w:t xml:space="preserve"> £7,500</w:t>
      </w:r>
      <w:r w:rsidR="00D57026">
        <w:rPr>
          <w:rFonts w:ascii="Arial" w:hAnsi="Arial" w:cs="Arial"/>
          <w:sz w:val="20"/>
          <w:szCs w:val="20"/>
        </w:rPr>
        <w:t>,</w:t>
      </w:r>
      <w:r w:rsidR="00473082">
        <w:rPr>
          <w:rFonts w:ascii="Arial" w:hAnsi="Arial" w:cs="Arial"/>
          <w:sz w:val="20"/>
          <w:szCs w:val="20"/>
        </w:rPr>
        <w:t xml:space="preserve"> </w:t>
      </w:r>
      <w:r w:rsidR="00521959">
        <w:rPr>
          <w:rFonts w:ascii="Arial" w:hAnsi="Arial" w:cs="Arial"/>
          <w:sz w:val="20"/>
          <w:szCs w:val="20"/>
        </w:rPr>
        <w:t xml:space="preserve">representing an investment of around </w:t>
      </w:r>
      <w:r w:rsidR="00695D01">
        <w:rPr>
          <w:rFonts w:ascii="Arial" w:hAnsi="Arial" w:cs="Arial"/>
          <w:sz w:val="20"/>
          <w:szCs w:val="20"/>
        </w:rPr>
        <w:t>£1.3</w:t>
      </w:r>
      <w:r w:rsidR="00521959">
        <w:rPr>
          <w:rFonts w:ascii="Arial" w:hAnsi="Arial" w:cs="Arial"/>
          <w:sz w:val="20"/>
          <w:szCs w:val="20"/>
        </w:rPr>
        <w:t xml:space="preserve"> million by English law schools</w:t>
      </w:r>
      <w:r w:rsidR="00473082">
        <w:rPr>
          <w:rFonts w:ascii="Arial" w:hAnsi="Arial" w:cs="Arial"/>
          <w:sz w:val="20"/>
          <w:szCs w:val="20"/>
        </w:rPr>
        <w:t>.</w:t>
      </w:r>
      <w:r w:rsidR="00473082">
        <w:rPr>
          <w:rStyle w:val="FootnoteReference"/>
          <w:rFonts w:ascii="Arial" w:hAnsi="Arial" w:cs="Arial"/>
          <w:sz w:val="20"/>
          <w:szCs w:val="20"/>
        </w:rPr>
        <w:footnoteReference w:id="4"/>
      </w:r>
      <w:r w:rsidR="00A6669D">
        <w:rPr>
          <w:rFonts w:ascii="Arial" w:hAnsi="Arial" w:cs="Arial"/>
          <w:sz w:val="20"/>
          <w:szCs w:val="20"/>
        </w:rPr>
        <w:t xml:space="preserve"> C</w:t>
      </w:r>
      <w:r w:rsidR="00C22532">
        <w:rPr>
          <w:rFonts w:ascii="Arial" w:hAnsi="Arial" w:cs="Arial"/>
          <w:sz w:val="20"/>
          <w:szCs w:val="20"/>
        </w:rPr>
        <w:t xml:space="preserve">onsideration of </w:t>
      </w:r>
      <w:r w:rsidR="003F4838">
        <w:rPr>
          <w:rFonts w:ascii="Arial" w:hAnsi="Arial" w:cs="Arial"/>
          <w:sz w:val="20"/>
          <w:szCs w:val="20"/>
        </w:rPr>
        <w:t>impact</w:t>
      </w:r>
      <w:r w:rsidR="00E70744">
        <w:rPr>
          <w:rFonts w:ascii="Arial" w:hAnsi="Arial" w:cs="Arial"/>
          <w:sz w:val="20"/>
          <w:szCs w:val="20"/>
        </w:rPr>
        <w:t xml:space="preserve"> activities </w:t>
      </w:r>
      <w:r w:rsidR="00470626">
        <w:rPr>
          <w:rFonts w:ascii="Arial" w:hAnsi="Arial" w:cs="Arial"/>
          <w:sz w:val="20"/>
          <w:szCs w:val="20"/>
        </w:rPr>
        <w:t>is</w:t>
      </w:r>
      <w:r w:rsidR="00E70744">
        <w:rPr>
          <w:rFonts w:ascii="Arial" w:hAnsi="Arial" w:cs="Arial"/>
          <w:sz w:val="20"/>
          <w:szCs w:val="20"/>
        </w:rPr>
        <w:t xml:space="preserve"> now commonplace in </w:t>
      </w:r>
      <w:r w:rsidR="003F4838">
        <w:rPr>
          <w:rFonts w:ascii="Arial" w:hAnsi="Arial" w:cs="Arial"/>
          <w:sz w:val="20"/>
          <w:szCs w:val="20"/>
        </w:rPr>
        <w:t>recruitment</w:t>
      </w:r>
      <w:r w:rsidR="00E70744">
        <w:rPr>
          <w:rFonts w:ascii="Arial" w:hAnsi="Arial" w:cs="Arial"/>
          <w:sz w:val="20"/>
          <w:szCs w:val="20"/>
        </w:rPr>
        <w:t xml:space="preserve"> and </w:t>
      </w:r>
      <w:r>
        <w:rPr>
          <w:rFonts w:ascii="Arial" w:hAnsi="Arial" w:cs="Arial"/>
          <w:sz w:val="20"/>
          <w:szCs w:val="20"/>
        </w:rPr>
        <w:t xml:space="preserve">impact is </w:t>
      </w:r>
      <w:r w:rsidR="000D355C">
        <w:rPr>
          <w:rFonts w:ascii="Arial" w:hAnsi="Arial" w:cs="Arial"/>
          <w:sz w:val="20"/>
          <w:szCs w:val="20"/>
        </w:rPr>
        <w:t xml:space="preserve">a standard feature of </w:t>
      </w:r>
      <w:r w:rsidR="00E70744">
        <w:rPr>
          <w:rFonts w:ascii="Arial" w:hAnsi="Arial" w:cs="Arial"/>
          <w:sz w:val="20"/>
          <w:szCs w:val="20"/>
        </w:rPr>
        <w:t>research leadership portfolio</w:t>
      </w:r>
      <w:r w:rsidR="00B92CD5">
        <w:rPr>
          <w:rFonts w:ascii="Arial" w:hAnsi="Arial" w:cs="Arial"/>
          <w:sz w:val="20"/>
          <w:szCs w:val="20"/>
        </w:rPr>
        <w:t>s</w:t>
      </w:r>
      <w:r w:rsidR="00E70744">
        <w:rPr>
          <w:rFonts w:ascii="Arial" w:hAnsi="Arial" w:cs="Arial"/>
          <w:sz w:val="20"/>
          <w:szCs w:val="20"/>
        </w:rPr>
        <w:t>.</w:t>
      </w:r>
      <w:r w:rsidR="0027158A">
        <w:rPr>
          <w:rStyle w:val="FootnoteReference"/>
          <w:rFonts w:ascii="Arial" w:hAnsi="Arial" w:cs="Arial"/>
          <w:sz w:val="20"/>
          <w:szCs w:val="20"/>
        </w:rPr>
        <w:footnoteReference w:id="5"/>
      </w:r>
      <w:r w:rsidR="005A3863">
        <w:rPr>
          <w:rFonts w:ascii="Arial" w:hAnsi="Arial" w:cs="Arial"/>
          <w:sz w:val="20"/>
          <w:szCs w:val="20"/>
        </w:rPr>
        <w:t xml:space="preserve"> </w:t>
      </w:r>
      <w:r w:rsidR="00A6669D">
        <w:rPr>
          <w:rFonts w:ascii="Arial" w:hAnsi="Arial" w:cs="Arial"/>
          <w:sz w:val="20"/>
          <w:szCs w:val="20"/>
        </w:rPr>
        <w:t>It</w:t>
      </w:r>
      <w:r w:rsidR="00E70744">
        <w:rPr>
          <w:rFonts w:ascii="Arial" w:hAnsi="Arial" w:cs="Arial"/>
          <w:sz w:val="20"/>
          <w:szCs w:val="20"/>
        </w:rPr>
        <w:t xml:space="preserve"> is surprising</w:t>
      </w:r>
      <w:r w:rsidR="00A6669D">
        <w:rPr>
          <w:rFonts w:ascii="Arial" w:hAnsi="Arial" w:cs="Arial"/>
          <w:sz w:val="20"/>
          <w:szCs w:val="20"/>
        </w:rPr>
        <w:t xml:space="preserve"> then</w:t>
      </w:r>
      <w:r w:rsidR="00FC3521">
        <w:rPr>
          <w:rFonts w:ascii="Arial" w:hAnsi="Arial" w:cs="Arial"/>
          <w:sz w:val="20"/>
          <w:szCs w:val="20"/>
        </w:rPr>
        <w:t xml:space="preserve"> </w:t>
      </w:r>
      <w:r w:rsidR="00C22532">
        <w:rPr>
          <w:rFonts w:ascii="Arial" w:hAnsi="Arial" w:cs="Arial"/>
          <w:sz w:val="20"/>
          <w:szCs w:val="20"/>
        </w:rPr>
        <w:t>that</w:t>
      </w:r>
      <w:r w:rsidR="00FC3521">
        <w:rPr>
          <w:rFonts w:ascii="Arial" w:hAnsi="Arial" w:cs="Arial"/>
          <w:sz w:val="20"/>
          <w:szCs w:val="20"/>
        </w:rPr>
        <w:t xml:space="preserve"> little attention</w:t>
      </w:r>
      <w:r w:rsidR="00F02167">
        <w:rPr>
          <w:rFonts w:ascii="Arial" w:hAnsi="Arial" w:cs="Arial"/>
          <w:sz w:val="20"/>
          <w:szCs w:val="20"/>
        </w:rPr>
        <w:t xml:space="preserve"> has been paid to examining</w:t>
      </w:r>
      <w:r w:rsidR="000B5778">
        <w:rPr>
          <w:rFonts w:ascii="Arial" w:hAnsi="Arial" w:cs="Arial"/>
          <w:sz w:val="20"/>
          <w:szCs w:val="20"/>
        </w:rPr>
        <w:t xml:space="preserve"> and</w:t>
      </w:r>
      <w:r w:rsidR="00F02167">
        <w:rPr>
          <w:rFonts w:ascii="Arial" w:hAnsi="Arial" w:cs="Arial"/>
          <w:sz w:val="20"/>
          <w:szCs w:val="20"/>
        </w:rPr>
        <w:t xml:space="preserve"> understanding </w:t>
      </w:r>
      <w:r w:rsidR="00FC3521">
        <w:rPr>
          <w:rFonts w:ascii="Arial" w:hAnsi="Arial" w:cs="Arial"/>
          <w:sz w:val="20"/>
          <w:szCs w:val="20"/>
        </w:rPr>
        <w:t xml:space="preserve">how impact works in law. </w:t>
      </w:r>
      <w:r w:rsidR="00470626">
        <w:rPr>
          <w:rFonts w:ascii="Arial" w:hAnsi="Arial" w:cs="Arial"/>
          <w:sz w:val="20"/>
          <w:szCs w:val="20"/>
        </w:rPr>
        <w:t>Although p</w:t>
      </w:r>
      <w:r w:rsidR="003A2424">
        <w:rPr>
          <w:rFonts w:ascii="Arial" w:hAnsi="Arial" w:cs="Arial"/>
          <w:sz w:val="20"/>
          <w:szCs w:val="20"/>
        </w:rPr>
        <w:t xml:space="preserve">revious </w:t>
      </w:r>
      <w:r w:rsidR="003F4838">
        <w:rPr>
          <w:rFonts w:ascii="Arial" w:hAnsi="Arial" w:cs="Arial"/>
          <w:sz w:val="20"/>
          <w:szCs w:val="20"/>
        </w:rPr>
        <w:t xml:space="preserve">research </w:t>
      </w:r>
      <w:r w:rsidR="003A2424">
        <w:rPr>
          <w:rFonts w:ascii="Arial" w:hAnsi="Arial" w:cs="Arial"/>
          <w:sz w:val="20"/>
          <w:szCs w:val="20"/>
        </w:rPr>
        <w:t xml:space="preserve">assessment exercises have been analysed to </w:t>
      </w:r>
      <w:r w:rsidR="001129ED">
        <w:rPr>
          <w:rFonts w:ascii="Arial" w:hAnsi="Arial" w:cs="Arial"/>
          <w:sz w:val="20"/>
          <w:szCs w:val="20"/>
        </w:rPr>
        <w:t xml:space="preserve">examine </w:t>
      </w:r>
      <w:r w:rsidR="00552E05">
        <w:rPr>
          <w:rFonts w:ascii="Arial" w:hAnsi="Arial" w:cs="Arial"/>
          <w:sz w:val="20"/>
          <w:szCs w:val="20"/>
        </w:rPr>
        <w:t xml:space="preserve">outputs </w:t>
      </w:r>
      <w:r w:rsidR="003A2424">
        <w:rPr>
          <w:rFonts w:ascii="Arial" w:hAnsi="Arial" w:cs="Arial"/>
          <w:sz w:val="20"/>
          <w:szCs w:val="20"/>
        </w:rPr>
        <w:t>i</w:t>
      </w:r>
      <w:r w:rsidR="00552E05">
        <w:rPr>
          <w:rFonts w:ascii="Arial" w:hAnsi="Arial" w:cs="Arial"/>
          <w:sz w:val="20"/>
          <w:szCs w:val="20"/>
        </w:rPr>
        <w:t>n the discipline</w:t>
      </w:r>
      <w:r w:rsidR="00470626">
        <w:rPr>
          <w:rFonts w:ascii="Arial" w:hAnsi="Arial" w:cs="Arial"/>
          <w:sz w:val="20"/>
          <w:szCs w:val="20"/>
        </w:rPr>
        <w:t>,</w:t>
      </w:r>
      <w:r w:rsidR="00E00EC2">
        <w:rPr>
          <w:rStyle w:val="FootnoteReference"/>
          <w:rFonts w:ascii="Arial" w:hAnsi="Arial" w:cs="Arial"/>
          <w:sz w:val="20"/>
          <w:szCs w:val="20"/>
        </w:rPr>
        <w:footnoteReference w:id="6"/>
      </w:r>
      <w:r w:rsidR="00E00EC2">
        <w:rPr>
          <w:rFonts w:ascii="Arial" w:hAnsi="Arial" w:cs="Arial"/>
          <w:sz w:val="20"/>
          <w:szCs w:val="20"/>
        </w:rPr>
        <w:t xml:space="preserve"> </w:t>
      </w:r>
      <w:r w:rsidR="0084148E">
        <w:rPr>
          <w:rFonts w:ascii="Arial" w:hAnsi="Arial" w:cs="Arial"/>
          <w:sz w:val="20"/>
          <w:szCs w:val="20"/>
        </w:rPr>
        <w:t>l</w:t>
      </w:r>
      <w:r w:rsidR="001129ED">
        <w:rPr>
          <w:rFonts w:ascii="Arial" w:hAnsi="Arial" w:cs="Arial"/>
          <w:sz w:val="20"/>
          <w:szCs w:val="20"/>
        </w:rPr>
        <w:t xml:space="preserve">egal </w:t>
      </w:r>
      <w:r w:rsidR="00891766">
        <w:rPr>
          <w:rFonts w:ascii="Arial" w:hAnsi="Arial" w:cs="Arial"/>
          <w:sz w:val="20"/>
          <w:szCs w:val="20"/>
        </w:rPr>
        <w:t>scholarship</w:t>
      </w:r>
      <w:r w:rsidR="00521959">
        <w:rPr>
          <w:rFonts w:ascii="Arial" w:hAnsi="Arial" w:cs="Arial"/>
          <w:sz w:val="20"/>
          <w:szCs w:val="20"/>
        </w:rPr>
        <w:t xml:space="preserve"> </w:t>
      </w:r>
      <w:r w:rsidR="001129ED">
        <w:rPr>
          <w:rFonts w:ascii="Arial" w:hAnsi="Arial" w:cs="Arial"/>
          <w:sz w:val="20"/>
          <w:szCs w:val="20"/>
        </w:rPr>
        <w:t>has paid</w:t>
      </w:r>
      <w:r w:rsidR="00891766">
        <w:rPr>
          <w:rFonts w:ascii="Arial" w:hAnsi="Arial" w:cs="Arial"/>
          <w:sz w:val="20"/>
          <w:szCs w:val="20"/>
        </w:rPr>
        <w:t xml:space="preserve"> little attention to the wider scholarship </w:t>
      </w:r>
      <w:r w:rsidR="00470626">
        <w:rPr>
          <w:rFonts w:ascii="Arial" w:hAnsi="Arial" w:cs="Arial"/>
          <w:sz w:val="20"/>
          <w:szCs w:val="20"/>
        </w:rPr>
        <w:t xml:space="preserve">around theory and measurement of </w:t>
      </w:r>
      <w:r w:rsidR="00891766">
        <w:rPr>
          <w:rFonts w:ascii="Arial" w:hAnsi="Arial" w:cs="Arial"/>
          <w:sz w:val="20"/>
          <w:szCs w:val="20"/>
        </w:rPr>
        <w:t>i</w:t>
      </w:r>
      <w:r w:rsidR="00C30D62">
        <w:rPr>
          <w:rFonts w:ascii="Arial" w:hAnsi="Arial" w:cs="Arial"/>
          <w:sz w:val="20"/>
          <w:szCs w:val="20"/>
        </w:rPr>
        <w:t>mpact</w:t>
      </w:r>
      <w:r w:rsidR="00115510">
        <w:rPr>
          <w:rFonts w:ascii="Arial" w:hAnsi="Arial" w:cs="Arial"/>
          <w:sz w:val="20"/>
          <w:szCs w:val="20"/>
        </w:rPr>
        <w:t xml:space="preserve">, and </w:t>
      </w:r>
      <w:r w:rsidR="00C22532">
        <w:rPr>
          <w:rFonts w:ascii="Arial" w:hAnsi="Arial" w:cs="Arial"/>
          <w:sz w:val="20"/>
          <w:szCs w:val="20"/>
        </w:rPr>
        <w:t>conversely this</w:t>
      </w:r>
      <w:r w:rsidR="00362D1B">
        <w:rPr>
          <w:rFonts w:ascii="Arial" w:hAnsi="Arial" w:cs="Arial"/>
          <w:sz w:val="20"/>
          <w:szCs w:val="20"/>
        </w:rPr>
        <w:t xml:space="preserve"> wider literature </w:t>
      </w:r>
      <w:r w:rsidR="00C22532">
        <w:rPr>
          <w:rFonts w:ascii="Arial" w:hAnsi="Arial" w:cs="Arial"/>
          <w:sz w:val="20"/>
          <w:szCs w:val="20"/>
        </w:rPr>
        <w:t>has seldom</w:t>
      </w:r>
      <w:r w:rsidR="00362D1B">
        <w:rPr>
          <w:rFonts w:ascii="Arial" w:hAnsi="Arial" w:cs="Arial"/>
          <w:sz w:val="20"/>
          <w:szCs w:val="20"/>
        </w:rPr>
        <w:t xml:space="preserve"> </w:t>
      </w:r>
      <w:r w:rsidR="00C30D62">
        <w:rPr>
          <w:rFonts w:ascii="Arial" w:hAnsi="Arial" w:cs="Arial"/>
          <w:sz w:val="20"/>
          <w:szCs w:val="20"/>
        </w:rPr>
        <w:t>analys</w:t>
      </w:r>
      <w:r w:rsidR="00C22532">
        <w:rPr>
          <w:rFonts w:ascii="Arial" w:hAnsi="Arial" w:cs="Arial"/>
          <w:sz w:val="20"/>
          <w:szCs w:val="20"/>
        </w:rPr>
        <w:t>ed</w:t>
      </w:r>
      <w:r w:rsidR="00891766">
        <w:rPr>
          <w:rFonts w:ascii="Arial" w:hAnsi="Arial" w:cs="Arial"/>
          <w:sz w:val="20"/>
          <w:szCs w:val="20"/>
        </w:rPr>
        <w:t xml:space="preserve"> </w:t>
      </w:r>
      <w:r w:rsidR="001129ED">
        <w:rPr>
          <w:rFonts w:ascii="Arial" w:hAnsi="Arial" w:cs="Arial"/>
          <w:sz w:val="20"/>
          <w:szCs w:val="20"/>
        </w:rPr>
        <w:t>what happens</w:t>
      </w:r>
      <w:r w:rsidR="00891766">
        <w:rPr>
          <w:rFonts w:ascii="Arial" w:hAnsi="Arial" w:cs="Arial"/>
          <w:sz w:val="20"/>
          <w:szCs w:val="20"/>
        </w:rPr>
        <w:t xml:space="preserve"> in law</w:t>
      </w:r>
      <w:r w:rsidR="00C30D62">
        <w:rPr>
          <w:rFonts w:ascii="Arial" w:hAnsi="Arial" w:cs="Arial"/>
          <w:sz w:val="20"/>
          <w:szCs w:val="20"/>
        </w:rPr>
        <w:t>.</w:t>
      </w:r>
      <w:r w:rsidR="00362D1B">
        <w:rPr>
          <w:rStyle w:val="FootnoteReference"/>
          <w:rFonts w:ascii="Arial" w:hAnsi="Arial" w:cs="Arial"/>
          <w:sz w:val="20"/>
          <w:szCs w:val="20"/>
        </w:rPr>
        <w:footnoteReference w:id="7"/>
      </w:r>
      <w:r w:rsidR="00766CCE">
        <w:rPr>
          <w:rFonts w:ascii="Arial" w:hAnsi="Arial" w:cs="Arial"/>
          <w:sz w:val="20"/>
          <w:szCs w:val="20"/>
        </w:rPr>
        <w:t xml:space="preserve"> </w:t>
      </w:r>
    </w:p>
    <w:p w14:paraId="42382E2D" w14:textId="77777777" w:rsidR="00096F6F" w:rsidRDefault="00096F6F" w:rsidP="00E51F2A">
      <w:pPr>
        <w:spacing w:line="480" w:lineRule="auto"/>
        <w:rPr>
          <w:rFonts w:ascii="Arial" w:hAnsi="Arial" w:cs="Arial"/>
          <w:sz w:val="20"/>
          <w:szCs w:val="20"/>
        </w:rPr>
      </w:pPr>
    </w:p>
    <w:p w14:paraId="120E6AB1" w14:textId="3FB47D64" w:rsidR="00582BCA" w:rsidRDefault="00C22532" w:rsidP="00E51F2A">
      <w:pPr>
        <w:spacing w:line="480" w:lineRule="auto"/>
        <w:rPr>
          <w:rFonts w:ascii="Arial" w:hAnsi="Arial" w:cs="Arial"/>
          <w:sz w:val="20"/>
          <w:szCs w:val="20"/>
        </w:rPr>
      </w:pPr>
      <w:r>
        <w:rPr>
          <w:rFonts w:ascii="Arial" w:hAnsi="Arial" w:cs="Arial"/>
          <w:sz w:val="20"/>
          <w:szCs w:val="20"/>
        </w:rPr>
        <w:t>In this article, I examine the pathways to impact that l</w:t>
      </w:r>
      <w:r w:rsidR="00233905">
        <w:rPr>
          <w:rFonts w:ascii="Arial" w:hAnsi="Arial" w:cs="Arial"/>
          <w:sz w:val="20"/>
          <w:szCs w:val="20"/>
        </w:rPr>
        <w:t>egal</w:t>
      </w:r>
      <w:r>
        <w:rPr>
          <w:rFonts w:ascii="Arial" w:hAnsi="Arial" w:cs="Arial"/>
          <w:sz w:val="20"/>
          <w:szCs w:val="20"/>
        </w:rPr>
        <w:t xml:space="preserve"> scholars experience, and specifically focus on the concept of </w:t>
      </w:r>
      <w:r w:rsidRPr="000D31C3">
        <w:rPr>
          <w:rFonts w:ascii="Arial" w:hAnsi="Arial" w:cs="Arial"/>
          <w:sz w:val="20"/>
          <w:szCs w:val="20"/>
        </w:rPr>
        <w:t>engagement</w:t>
      </w:r>
      <w:r>
        <w:rPr>
          <w:rFonts w:ascii="Arial" w:hAnsi="Arial" w:cs="Arial"/>
          <w:sz w:val="20"/>
          <w:szCs w:val="20"/>
        </w:rPr>
        <w:t xml:space="preserve">. </w:t>
      </w:r>
      <w:r w:rsidR="00997E43">
        <w:rPr>
          <w:rFonts w:ascii="Arial" w:hAnsi="Arial" w:cs="Arial"/>
          <w:sz w:val="20"/>
          <w:szCs w:val="20"/>
        </w:rPr>
        <w:t>S</w:t>
      </w:r>
      <w:r w:rsidR="00096F6F">
        <w:rPr>
          <w:rFonts w:ascii="Arial" w:hAnsi="Arial" w:cs="Arial"/>
          <w:sz w:val="20"/>
          <w:szCs w:val="20"/>
        </w:rPr>
        <w:t>tudying the REF data and the experience that lies behind it</w:t>
      </w:r>
      <w:r w:rsidR="00997E43">
        <w:rPr>
          <w:rFonts w:ascii="Arial" w:hAnsi="Arial" w:cs="Arial"/>
          <w:sz w:val="20"/>
          <w:szCs w:val="20"/>
        </w:rPr>
        <w:t xml:space="preserve"> </w:t>
      </w:r>
      <w:r w:rsidR="00096F6F" w:rsidRPr="00F7652B">
        <w:rPr>
          <w:rFonts w:ascii="Arial" w:hAnsi="Arial" w:cs="Arial"/>
          <w:sz w:val="20"/>
          <w:szCs w:val="20"/>
        </w:rPr>
        <w:t xml:space="preserve">can inform </w:t>
      </w:r>
      <w:r w:rsidR="00F555F4">
        <w:rPr>
          <w:rFonts w:ascii="Arial" w:hAnsi="Arial" w:cs="Arial"/>
          <w:sz w:val="20"/>
          <w:szCs w:val="20"/>
        </w:rPr>
        <w:t xml:space="preserve">both legal and wider </w:t>
      </w:r>
      <w:r w:rsidR="00096F6F" w:rsidRPr="00F7652B">
        <w:rPr>
          <w:rFonts w:ascii="Arial" w:hAnsi="Arial" w:cs="Arial"/>
          <w:sz w:val="20"/>
          <w:szCs w:val="20"/>
        </w:rPr>
        <w:t>social science scholarship and practice,</w:t>
      </w:r>
      <w:r w:rsidR="008B4DF8">
        <w:rPr>
          <w:rFonts w:ascii="Arial" w:hAnsi="Arial" w:cs="Arial"/>
          <w:sz w:val="20"/>
          <w:szCs w:val="20"/>
        </w:rPr>
        <w:t xml:space="preserve"> addressing </w:t>
      </w:r>
      <w:r w:rsidR="00096F6F" w:rsidRPr="00F7652B">
        <w:rPr>
          <w:rFonts w:ascii="Arial" w:hAnsi="Arial" w:cs="Arial"/>
          <w:sz w:val="20"/>
          <w:szCs w:val="20"/>
        </w:rPr>
        <w:t>need</w:t>
      </w:r>
      <w:r w:rsidR="00306B3F">
        <w:rPr>
          <w:rFonts w:ascii="Arial" w:hAnsi="Arial" w:cs="Arial"/>
          <w:sz w:val="20"/>
          <w:szCs w:val="20"/>
        </w:rPr>
        <w:t>s</w:t>
      </w:r>
      <w:r w:rsidR="00096F6F" w:rsidRPr="00F7652B">
        <w:rPr>
          <w:rFonts w:ascii="Arial" w:hAnsi="Arial" w:cs="Arial"/>
          <w:sz w:val="20"/>
          <w:szCs w:val="20"/>
        </w:rPr>
        <w:t xml:space="preserve"> identified by researchers who have</w:t>
      </w:r>
      <w:r w:rsidR="00306B3F">
        <w:rPr>
          <w:rFonts w:ascii="Arial" w:hAnsi="Arial" w:cs="Arial"/>
          <w:sz w:val="20"/>
          <w:szCs w:val="20"/>
        </w:rPr>
        <w:t xml:space="preserve"> argued that the literature is ‘over-theorized, but inadequately substantiated or operationalized’ and</w:t>
      </w:r>
      <w:r w:rsidR="00096F6F" w:rsidRPr="00F7652B">
        <w:rPr>
          <w:rFonts w:ascii="Arial" w:hAnsi="Arial" w:cs="Arial"/>
          <w:sz w:val="20"/>
          <w:szCs w:val="20"/>
        </w:rPr>
        <w:t xml:space="preserve"> </w:t>
      </w:r>
      <w:r w:rsidR="00FF4FD1">
        <w:rPr>
          <w:rFonts w:ascii="Arial" w:hAnsi="Arial" w:cs="Arial"/>
          <w:sz w:val="20"/>
          <w:szCs w:val="20"/>
        </w:rPr>
        <w:t>‘</w:t>
      </w:r>
      <w:r w:rsidR="00096F6F" w:rsidRPr="00F7652B">
        <w:rPr>
          <w:rFonts w:ascii="Arial" w:hAnsi="Arial" w:cs="Arial"/>
          <w:sz w:val="20"/>
          <w:szCs w:val="20"/>
        </w:rPr>
        <w:t>pleaded for more qualitative research on the interaction mechanisms deployed by academic researchers</w:t>
      </w:r>
      <w:r w:rsidR="00FF4FD1">
        <w:rPr>
          <w:rFonts w:ascii="Arial" w:hAnsi="Arial" w:cs="Arial"/>
          <w:sz w:val="20"/>
          <w:szCs w:val="20"/>
        </w:rPr>
        <w:t>’</w:t>
      </w:r>
      <w:r w:rsidR="0005657D">
        <w:rPr>
          <w:rFonts w:ascii="Arial" w:hAnsi="Arial" w:cs="Arial"/>
          <w:sz w:val="20"/>
          <w:szCs w:val="20"/>
        </w:rPr>
        <w:t>.</w:t>
      </w:r>
      <w:r w:rsidR="00096F6F" w:rsidRPr="00F7652B">
        <w:rPr>
          <w:rStyle w:val="FootnoteReference"/>
          <w:rFonts w:ascii="Arial" w:hAnsi="Arial" w:cs="Arial"/>
          <w:sz w:val="20"/>
          <w:szCs w:val="20"/>
        </w:rPr>
        <w:footnoteReference w:id="8"/>
      </w:r>
      <w:r w:rsidR="00096F6F" w:rsidRPr="00F7652B">
        <w:rPr>
          <w:rFonts w:ascii="Arial" w:hAnsi="Arial" w:cs="Arial"/>
          <w:sz w:val="20"/>
          <w:szCs w:val="20"/>
        </w:rPr>
        <w:t xml:space="preserve"> </w:t>
      </w:r>
      <w:r w:rsidR="00267A4A">
        <w:rPr>
          <w:rFonts w:ascii="Arial" w:hAnsi="Arial" w:cs="Arial"/>
          <w:sz w:val="20"/>
          <w:szCs w:val="20"/>
        </w:rPr>
        <w:t xml:space="preserve">This article </w:t>
      </w:r>
      <w:r w:rsidR="00A32578">
        <w:rPr>
          <w:rFonts w:ascii="Arial" w:hAnsi="Arial" w:cs="Arial"/>
          <w:sz w:val="20"/>
          <w:szCs w:val="20"/>
        </w:rPr>
        <w:t xml:space="preserve">aims to </w:t>
      </w:r>
      <w:r w:rsidR="003D4543">
        <w:rPr>
          <w:rFonts w:ascii="Arial" w:hAnsi="Arial" w:cs="Arial"/>
          <w:sz w:val="20"/>
          <w:szCs w:val="20"/>
        </w:rPr>
        <w:t xml:space="preserve">address </w:t>
      </w:r>
      <w:r w:rsidR="00E00EC2">
        <w:rPr>
          <w:rFonts w:ascii="Arial" w:hAnsi="Arial" w:cs="Arial"/>
          <w:sz w:val="20"/>
          <w:szCs w:val="20"/>
        </w:rPr>
        <w:t>th</w:t>
      </w:r>
      <w:r w:rsidR="0081702D">
        <w:rPr>
          <w:rFonts w:ascii="Arial" w:hAnsi="Arial" w:cs="Arial"/>
          <w:sz w:val="20"/>
          <w:szCs w:val="20"/>
        </w:rPr>
        <w:t>os</w:t>
      </w:r>
      <w:r w:rsidR="004758FA">
        <w:rPr>
          <w:rFonts w:ascii="Arial" w:hAnsi="Arial" w:cs="Arial"/>
          <w:sz w:val="20"/>
          <w:szCs w:val="20"/>
        </w:rPr>
        <w:t>e</w:t>
      </w:r>
      <w:r w:rsidR="0008345A">
        <w:rPr>
          <w:rFonts w:ascii="Arial" w:hAnsi="Arial" w:cs="Arial"/>
          <w:sz w:val="20"/>
          <w:szCs w:val="20"/>
        </w:rPr>
        <w:t xml:space="preserve"> gap</w:t>
      </w:r>
      <w:r w:rsidR="004758FA">
        <w:rPr>
          <w:rFonts w:ascii="Arial" w:hAnsi="Arial" w:cs="Arial"/>
          <w:sz w:val="20"/>
          <w:szCs w:val="20"/>
        </w:rPr>
        <w:t>s</w:t>
      </w:r>
      <w:r w:rsidR="00096F6F">
        <w:rPr>
          <w:rFonts w:ascii="Arial" w:hAnsi="Arial" w:cs="Arial"/>
          <w:sz w:val="20"/>
          <w:szCs w:val="20"/>
        </w:rPr>
        <w:t xml:space="preserve"> and </w:t>
      </w:r>
      <w:r w:rsidR="00A32578">
        <w:rPr>
          <w:rFonts w:ascii="Arial" w:hAnsi="Arial" w:cs="Arial"/>
          <w:sz w:val="20"/>
          <w:szCs w:val="20"/>
        </w:rPr>
        <w:t>to</w:t>
      </w:r>
      <w:r w:rsidR="0081702D">
        <w:rPr>
          <w:rFonts w:ascii="Arial" w:hAnsi="Arial" w:cs="Arial"/>
          <w:sz w:val="20"/>
          <w:szCs w:val="20"/>
        </w:rPr>
        <w:t xml:space="preserve"> explore how the </w:t>
      </w:r>
      <w:r w:rsidR="00096F6F">
        <w:rPr>
          <w:rFonts w:ascii="Arial" w:hAnsi="Arial" w:cs="Arial"/>
          <w:sz w:val="20"/>
          <w:szCs w:val="20"/>
        </w:rPr>
        <w:t>needs</w:t>
      </w:r>
      <w:r w:rsidR="00600936">
        <w:rPr>
          <w:rFonts w:ascii="Arial" w:hAnsi="Arial" w:cs="Arial"/>
          <w:sz w:val="20"/>
          <w:szCs w:val="20"/>
        </w:rPr>
        <w:t xml:space="preserve"> of </w:t>
      </w:r>
      <w:r w:rsidR="00600936">
        <w:rPr>
          <w:rFonts w:ascii="Arial" w:hAnsi="Arial" w:cs="Arial"/>
          <w:sz w:val="20"/>
          <w:szCs w:val="20"/>
        </w:rPr>
        <w:lastRenderedPageBreak/>
        <w:t>researchers and research users</w:t>
      </w:r>
      <w:r w:rsidR="0081702D">
        <w:rPr>
          <w:rFonts w:ascii="Arial" w:hAnsi="Arial" w:cs="Arial"/>
          <w:sz w:val="20"/>
          <w:szCs w:val="20"/>
        </w:rPr>
        <w:t xml:space="preserve"> might be met</w:t>
      </w:r>
      <w:r w:rsidR="00306B3F">
        <w:rPr>
          <w:rFonts w:ascii="Arial" w:hAnsi="Arial" w:cs="Arial"/>
          <w:sz w:val="20"/>
          <w:szCs w:val="20"/>
        </w:rPr>
        <w:t xml:space="preserve"> b</w:t>
      </w:r>
      <w:r w:rsidR="0095077D">
        <w:rPr>
          <w:rFonts w:ascii="Arial" w:hAnsi="Arial" w:cs="Arial"/>
          <w:sz w:val="20"/>
          <w:szCs w:val="20"/>
        </w:rPr>
        <w:t>y looking</w:t>
      </w:r>
      <w:r w:rsidR="008B3D57">
        <w:rPr>
          <w:rFonts w:ascii="Arial" w:hAnsi="Arial" w:cs="Arial"/>
          <w:sz w:val="20"/>
          <w:szCs w:val="20"/>
        </w:rPr>
        <w:t xml:space="preserve"> at </w:t>
      </w:r>
      <w:r w:rsidR="008B3D57">
        <w:rPr>
          <w:rFonts w:ascii="Arial" w:hAnsi="Arial" w:cs="Arial"/>
          <w:i/>
          <w:sz w:val="20"/>
          <w:szCs w:val="20"/>
        </w:rPr>
        <w:t>how</w:t>
      </w:r>
      <w:r w:rsidR="008B3D57">
        <w:rPr>
          <w:rFonts w:ascii="Arial" w:hAnsi="Arial" w:cs="Arial"/>
          <w:sz w:val="20"/>
          <w:szCs w:val="20"/>
        </w:rPr>
        <w:t xml:space="preserve"> impact occurs</w:t>
      </w:r>
      <w:r w:rsidR="0095077D">
        <w:rPr>
          <w:rFonts w:ascii="Arial" w:hAnsi="Arial" w:cs="Arial"/>
          <w:sz w:val="20"/>
          <w:szCs w:val="20"/>
        </w:rPr>
        <w:t>, using</w:t>
      </w:r>
      <w:r w:rsidR="008B3D57">
        <w:rPr>
          <w:rFonts w:ascii="Arial" w:hAnsi="Arial" w:cs="Arial"/>
          <w:sz w:val="20"/>
          <w:szCs w:val="20"/>
        </w:rPr>
        <w:t xml:space="preserve"> a methodology that focuses on </w:t>
      </w:r>
      <w:r w:rsidR="00600936">
        <w:rPr>
          <w:rFonts w:ascii="Arial" w:hAnsi="Arial" w:cs="Arial"/>
          <w:sz w:val="20"/>
          <w:szCs w:val="20"/>
        </w:rPr>
        <w:t>engagement – that is, the interactions between the producers and</w:t>
      </w:r>
      <w:r w:rsidR="00793779">
        <w:rPr>
          <w:rFonts w:ascii="Arial" w:hAnsi="Arial" w:cs="Arial"/>
          <w:sz w:val="20"/>
          <w:szCs w:val="20"/>
        </w:rPr>
        <w:t xml:space="preserve"> the potential</w:t>
      </w:r>
      <w:r w:rsidR="00600936">
        <w:rPr>
          <w:rFonts w:ascii="Arial" w:hAnsi="Arial" w:cs="Arial"/>
          <w:sz w:val="20"/>
          <w:szCs w:val="20"/>
        </w:rPr>
        <w:t xml:space="preserve"> users of legal research – </w:t>
      </w:r>
      <w:r w:rsidR="008B3D57">
        <w:rPr>
          <w:rFonts w:ascii="Arial" w:hAnsi="Arial" w:cs="Arial"/>
          <w:sz w:val="20"/>
          <w:szCs w:val="20"/>
        </w:rPr>
        <w:t>to examine the c</w:t>
      </w:r>
      <w:r w:rsidR="00E25397">
        <w:rPr>
          <w:rFonts w:ascii="Arial" w:hAnsi="Arial" w:cs="Arial"/>
          <w:sz w:val="20"/>
          <w:szCs w:val="20"/>
        </w:rPr>
        <w:t xml:space="preserve">onditions and strategies </w:t>
      </w:r>
      <w:r w:rsidR="008B3D57">
        <w:rPr>
          <w:rFonts w:ascii="Arial" w:hAnsi="Arial" w:cs="Arial"/>
          <w:sz w:val="20"/>
          <w:szCs w:val="20"/>
        </w:rPr>
        <w:t>for achieving</w:t>
      </w:r>
      <w:r w:rsidR="00E25397">
        <w:rPr>
          <w:rFonts w:ascii="Arial" w:hAnsi="Arial" w:cs="Arial"/>
          <w:sz w:val="20"/>
          <w:szCs w:val="20"/>
        </w:rPr>
        <w:t xml:space="preserve"> impact</w:t>
      </w:r>
      <w:r w:rsidR="006A6C9D">
        <w:rPr>
          <w:rFonts w:ascii="Arial" w:hAnsi="Arial" w:cs="Arial"/>
          <w:sz w:val="20"/>
          <w:szCs w:val="20"/>
        </w:rPr>
        <w:t xml:space="preserve">. </w:t>
      </w:r>
      <w:r w:rsidR="00233905">
        <w:rPr>
          <w:rFonts w:ascii="Arial" w:hAnsi="Arial" w:cs="Arial"/>
          <w:sz w:val="20"/>
          <w:szCs w:val="20"/>
        </w:rPr>
        <w:t>Aligning with a significant body of international research and theory, t</w:t>
      </w:r>
      <w:r w:rsidR="00174E1B" w:rsidRPr="00582009">
        <w:rPr>
          <w:rFonts w:ascii="Arial" w:hAnsi="Arial" w:cs="Arial"/>
          <w:sz w:val="20"/>
          <w:szCs w:val="20"/>
        </w:rPr>
        <w:t xml:space="preserve">he focus on engagement </w:t>
      </w:r>
      <w:r w:rsidR="00174E1B">
        <w:rPr>
          <w:rFonts w:ascii="Arial" w:hAnsi="Arial" w:cs="Arial"/>
          <w:sz w:val="20"/>
          <w:szCs w:val="20"/>
        </w:rPr>
        <w:t xml:space="preserve">helps address a significant shortcoming identified in the literature: </w:t>
      </w:r>
      <w:r w:rsidR="00174E1B" w:rsidRPr="00582009">
        <w:rPr>
          <w:rFonts w:ascii="Arial" w:hAnsi="Arial" w:cs="Arial"/>
          <w:sz w:val="20"/>
          <w:szCs w:val="20"/>
        </w:rPr>
        <w:t>knowledge about the interaction process ‘is scarce and it is certainly undervalued and underused</w:t>
      </w:r>
      <w:r w:rsidR="00EF0C09">
        <w:rPr>
          <w:rFonts w:ascii="Arial" w:hAnsi="Arial" w:cs="Arial"/>
          <w:sz w:val="20"/>
          <w:szCs w:val="20"/>
        </w:rPr>
        <w:t>’</w:t>
      </w:r>
      <w:r w:rsidR="00174E1B" w:rsidRPr="00582009">
        <w:rPr>
          <w:rFonts w:ascii="Arial" w:hAnsi="Arial" w:cs="Arial"/>
          <w:sz w:val="20"/>
          <w:szCs w:val="20"/>
        </w:rPr>
        <w:t>.</w:t>
      </w:r>
      <w:r w:rsidR="00174E1B" w:rsidRPr="00582009">
        <w:rPr>
          <w:rStyle w:val="FootnoteReference"/>
          <w:rFonts w:ascii="Arial" w:hAnsi="Arial" w:cs="Arial"/>
          <w:sz w:val="20"/>
          <w:szCs w:val="20"/>
        </w:rPr>
        <w:footnoteReference w:id="9"/>
      </w:r>
    </w:p>
    <w:p w14:paraId="661A2D57" w14:textId="77777777" w:rsidR="00962ECE" w:rsidRDefault="00962ECE" w:rsidP="00E51F2A">
      <w:pPr>
        <w:spacing w:line="480" w:lineRule="auto"/>
        <w:rPr>
          <w:rFonts w:ascii="Arial" w:hAnsi="Arial" w:cs="Arial"/>
          <w:sz w:val="20"/>
          <w:szCs w:val="20"/>
        </w:rPr>
      </w:pPr>
    </w:p>
    <w:p w14:paraId="31DB4ADE" w14:textId="014FE64A" w:rsidR="00BD544F" w:rsidRDefault="003222FC" w:rsidP="003222FC">
      <w:pPr>
        <w:spacing w:line="480" w:lineRule="auto"/>
        <w:rPr>
          <w:rFonts w:ascii="Arial" w:hAnsi="Arial" w:cs="Arial"/>
          <w:sz w:val="20"/>
          <w:szCs w:val="20"/>
        </w:rPr>
      </w:pPr>
      <w:r w:rsidRPr="003222FC">
        <w:rPr>
          <w:rFonts w:ascii="Arial" w:hAnsi="Arial" w:cs="Arial"/>
          <w:sz w:val="20"/>
          <w:szCs w:val="20"/>
        </w:rPr>
        <w:t>The focus is</w:t>
      </w:r>
      <w:r w:rsidR="00791C74">
        <w:rPr>
          <w:rFonts w:ascii="Arial" w:hAnsi="Arial" w:cs="Arial"/>
          <w:sz w:val="20"/>
          <w:szCs w:val="20"/>
        </w:rPr>
        <w:t xml:space="preserve"> on</w:t>
      </w:r>
      <w:r w:rsidRPr="003222FC">
        <w:rPr>
          <w:rFonts w:ascii="Arial" w:hAnsi="Arial" w:cs="Arial"/>
          <w:sz w:val="20"/>
          <w:szCs w:val="20"/>
        </w:rPr>
        <w:t xml:space="preserve"> engagement with governments in the UK</w:t>
      </w:r>
      <w:r w:rsidR="008B3D57">
        <w:rPr>
          <w:rFonts w:ascii="Arial" w:hAnsi="Arial" w:cs="Arial"/>
          <w:sz w:val="20"/>
          <w:szCs w:val="20"/>
        </w:rPr>
        <w:t>, with particular attention to central government</w:t>
      </w:r>
      <w:r w:rsidRPr="003222FC">
        <w:rPr>
          <w:rFonts w:ascii="Arial" w:hAnsi="Arial" w:cs="Arial"/>
          <w:sz w:val="20"/>
          <w:szCs w:val="20"/>
        </w:rPr>
        <w:t xml:space="preserve">. </w:t>
      </w:r>
      <w:r w:rsidR="0095077D">
        <w:rPr>
          <w:rFonts w:ascii="Arial" w:hAnsi="Arial" w:cs="Arial"/>
          <w:sz w:val="20"/>
          <w:szCs w:val="20"/>
        </w:rPr>
        <w:t>E</w:t>
      </w:r>
      <w:r w:rsidRPr="003222FC">
        <w:rPr>
          <w:rFonts w:ascii="Arial" w:hAnsi="Arial" w:cs="Arial"/>
          <w:sz w:val="20"/>
          <w:szCs w:val="20"/>
        </w:rPr>
        <w:t xml:space="preserve">ngagement with governments in the UK is of particular interest for </w:t>
      </w:r>
      <w:r>
        <w:rPr>
          <w:rFonts w:ascii="Arial" w:hAnsi="Arial" w:cs="Arial"/>
          <w:sz w:val="20"/>
          <w:szCs w:val="20"/>
        </w:rPr>
        <w:t xml:space="preserve">at least three </w:t>
      </w:r>
      <w:r w:rsidRPr="003222FC">
        <w:rPr>
          <w:rFonts w:ascii="Arial" w:hAnsi="Arial" w:cs="Arial"/>
          <w:sz w:val="20"/>
          <w:szCs w:val="20"/>
        </w:rPr>
        <w:t>reasons: the wid</w:t>
      </w:r>
      <w:r>
        <w:rPr>
          <w:rFonts w:ascii="Arial" w:hAnsi="Arial" w:cs="Arial"/>
          <w:sz w:val="20"/>
          <w:szCs w:val="20"/>
        </w:rPr>
        <w:t xml:space="preserve">e reach of the state means </w:t>
      </w:r>
      <w:r w:rsidRPr="003222FC">
        <w:rPr>
          <w:rFonts w:ascii="Arial" w:hAnsi="Arial" w:cs="Arial"/>
          <w:sz w:val="20"/>
          <w:szCs w:val="20"/>
        </w:rPr>
        <w:t xml:space="preserve">government or its agencies potentially have an interest in a </w:t>
      </w:r>
      <w:r w:rsidR="00F906DA">
        <w:rPr>
          <w:rFonts w:ascii="Arial" w:hAnsi="Arial" w:cs="Arial"/>
          <w:sz w:val="20"/>
          <w:szCs w:val="20"/>
        </w:rPr>
        <w:t>wide</w:t>
      </w:r>
      <w:r w:rsidRPr="003222FC">
        <w:rPr>
          <w:rFonts w:ascii="Arial" w:hAnsi="Arial" w:cs="Arial"/>
          <w:sz w:val="20"/>
          <w:szCs w:val="20"/>
        </w:rPr>
        <w:t xml:space="preserve"> range of research; that power of the state means that impact in government has a potentially </w:t>
      </w:r>
      <w:r w:rsidR="00F906DA">
        <w:rPr>
          <w:rFonts w:ascii="Arial" w:hAnsi="Arial" w:cs="Arial"/>
          <w:sz w:val="20"/>
          <w:szCs w:val="20"/>
        </w:rPr>
        <w:t>sweeping</w:t>
      </w:r>
      <w:r w:rsidRPr="003222FC">
        <w:rPr>
          <w:rFonts w:ascii="Arial" w:hAnsi="Arial" w:cs="Arial"/>
          <w:sz w:val="20"/>
          <w:szCs w:val="20"/>
        </w:rPr>
        <w:t xml:space="preserve"> and substantial influence; </w:t>
      </w:r>
      <w:r w:rsidR="00FE0868">
        <w:rPr>
          <w:rFonts w:ascii="Arial" w:hAnsi="Arial" w:cs="Arial"/>
          <w:sz w:val="20"/>
          <w:szCs w:val="20"/>
        </w:rPr>
        <w:t xml:space="preserve">and </w:t>
      </w:r>
      <w:r w:rsidRPr="003222FC">
        <w:rPr>
          <w:rFonts w:ascii="Arial" w:hAnsi="Arial" w:cs="Arial"/>
          <w:sz w:val="20"/>
          <w:szCs w:val="20"/>
        </w:rPr>
        <w:t>interaction with government is an important part of impact for law academics, with 24% of REF 2014 Law impact case studies referring</w:t>
      </w:r>
      <w:r>
        <w:rPr>
          <w:rFonts w:ascii="Arial" w:hAnsi="Arial" w:cs="Arial"/>
          <w:sz w:val="20"/>
          <w:szCs w:val="20"/>
        </w:rPr>
        <w:t xml:space="preserve"> to informing government policy</w:t>
      </w:r>
      <w:r w:rsidRPr="003222FC">
        <w:rPr>
          <w:rFonts w:ascii="Arial" w:hAnsi="Arial" w:cs="Arial"/>
          <w:sz w:val="20"/>
          <w:szCs w:val="20"/>
        </w:rPr>
        <w:t>.</w:t>
      </w:r>
      <w:r w:rsidRPr="003222FC">
        <w:rPr>
          <w:rStyle w:val="FootnoteReference"/>
          <w:rFonts w:ascii="Arial" w:hAnsi="Arial" w:cs="Arial"/>
          <w:sz w:val="20"/>
          <w:szCs w:val="20"/>
        </w:rPr>
        <w:footnoteReference w:id="10"/>
      </w:r>
      <w:r w:rsidR="003D6A2E">
        <w:rPr>
          <w:rFonts w:ascii="Arial" w:hAnsi="Arial" w:cs="Arial"/>
          <w:sz w:val="20"/>
          <w:szCs w:val="20"/>
        </w:rPr>
        <w:t xml:space="preserve"> </w:t>
      </w:r>
      <w:r w:rsidR="0095077D">
        <w:rPr>
          <w:rFonts w:ascii="Arial" w:hAnsi="Arial" w:cs="Arial"/>
          <w:sz w:val="20"/>
          <w:szCs w:val="20"/>
        </w:rPr>
        <w:t>From a practical perspective, too, there is a need to set boundaries</w:t>
      </w:r>
      <w:r w:rsidR="00323E8F">
        <w:rPr>
          <w:rFonts w:ascii="Arial" w:hAnsi="Arial" w:cs="Arial"/>
          <w:sz w:val="20"/>
          <w:szCs w:val="20"/>
        </w:rPr>
        <w:t xml:space="preserve"> though any number of areas of engagement would be worthy of attention, including legislatures, industry and European institutions</w:t>
      </w:r>
      <w:r w:rsidR="0095077D" w:rsidRPr="003222FC">
        <w:rPr>
          <w:rFonts w:ascii="Arial" w:hAnsi="Arial" w:cs="Arial"/>
          <w:sz w:val="20"/>
          <w:szCs w:val="20"/>
        </w:rPr>
        <w:t>.</w:t>
      </w:r>
      <w:r w:rsidR="0095077D" w:rsidRPr="003222FC">
        <w:rPr>
          <w:rStyle w:val="FootnoteReference"/>
          <w:rFonts w:ascii="Arial" w:hAnsi="Arial" w:cs="Arial"/>
          <w:sz w:val="20"/>
          <w:szCs w:val="20"/>
        </w:rPr>
        <w:footnoteReference w:id="11"/>
      </w:r>
    </w:p>
    <w:p w14:paraId="1263A290" w14:textId="77777777" w:rsidR="00323E8F" w:rsidRDefault="00323E8F" w:rsidP="003222FC">
      <w:pPr>
        <w:spacing w:line="480" w:lineRule="auto"/>
        <w:rPr>
          <w:rFonts w:ascii="Arial" w:hAnsi="Arial" w:cs="Arial"/>
          <w:sz w:val="20"/>
          <w:szCs w:val="20"/>
        </w:rPr>
      </w:pPr>
    </w:p>
    <w:p w14:paraId="09BA9E3C" w14:textId="51A074DB" w:rsidR="002559AF" w:rsidRDefault="002559AF" w:rsidP="00E51F2A">
      <w:pPr>
        <w:spacing w:line="480" w:lineRule="auto"/>
        <w:rPr>
          <w:rFonts w:ascii="Arial" w:hAnsi="Arial" w:cs="Arial"/>
          <w:sz w:val="20"/>
          <w:szCs w:val="20"/>
        </w:rPr>
      </w:pPr>
      <w:r w:rsidRPr="000E28F1">
        <w:rPr>
          <w:rFonts w:ascii="Arial" w:hAnsi="Arial" w:cs="Arial"/>
          <w:sz w:val="20"/>
          <w:szCs w:val="20"/>
        </w:rPr>
        <w:t>In this article, I analyse data from a survey of researchers named in</w:t>
      </w:r>
      <w:r w:rsidR="00E160B8" w:rsidRPr="000E28F1">
        <w:rPr>
          <w:rFonts w:ascii="Arial" w:hAnsi="Arial" w:cs="Arial"/>
          <w:sz w:val="20"/>
          <w:szCs w:val="20"/>
        </w:rPr>
        <w:t xml:space="preserve"> REF 2014</w:t>
      </w:r>
      <w:r w:rsidRPr="000E28F1">
        <w:rPr>
          <w:rFonts w:ascii="Arial" w:hAnsi="Arial" w:cs="Arial"/>
          <w:sz w:val="20"/>
          <w:szCs w:val="20"/>
        </w:rPr>
        <w:t xml:space="preserve"> case studies to explore</w:t>
      </w:r>
      <w:r w:rsidRPr="000D31C3">
        <w:rPr>
          <w:rFonts w:ascii="Arial" w:hAnsi="Arial" w:cs="Arial"/>
          <w:sz w:val="20"/>
          <w:szCs w:val="20"/>
        </w:rPr>
        <w:t xml:space="preserve"> the ways they engage with UK governments, particularly seeking insight into access, processes and challenges. </w:t>
      </w:r>
      <w:r w:rsidR="000D31C3">
        <w:rPr>
          <w:rFonts w:ascii="Arial" w:hAnsi="Arial" w:cs="Arial"/>
          <w:sz w:val="20"/>
          <w:szCs w:val="20"/>
        </w:rPr>
        <w:t>I also present results from</w:t>
      </w:r>
      <w:r>
        <w:rPr>
          <w:rFonts w:ascii="Arial" w:hAnsi="Arial" w:cs="Arial"/>
          <w:sz w:val="20"/>
          <w:szCs w:val="20"/>
        </w:rPr>
        <w:t xml:space="preserve"> a survey of directors of research in UK law schools, looking at </w:t>
      </w:r>
      <w:r w:rsidRPr="000E28F1">
        <w:rPr>
          <w:rFonts w:ascii="Arial" w:hAnsi="Arial" w:cs="Arial"/>
          <w:sz w:val="20"/>
          <w:szCs w:val="20"/>
        </w:rPr>
        <w:t xml:space="preserve">how resources are being devoted to impact and </w:t>
      </w:r>
      <w:r w:rsidR="00D9361A" w:rsidRPr="000E28F1">
        <w:rPr>
          <w:rFonts w:ascii="Arial" w:hAnsi="Arial" w:cs="Arial"/>
          <w:sz w:val="20"/>
          <w:szCs w:val="20"/>
        </w:rPr>
        <w:t xml:space="preserve">how </w:t>
      </w:r>
      <w:r w:rsidRPr="000E28F1">
        <w:rPr>
          <w:rFonts w:ascii="Arial" w:hAnsi="Arial" w:cs="Arial"/>
          <w:sz w:val="20"/>
          <w:szCs w:val="20"/>
        </w:rPr>
        <w:t xml:space="preserve">law schools </w:t>
      </w:r>
      <w:r w:rsidR="008D39F0" w:rsidRPr="000E28F1">
        <w:rPr>
          <w:rFonts w:ascii="Arial" w:hAnsi="Arial" w:cs="Arial"/>
          <w:sz w:val="20"/>
          <w:szCs w:val="20"/>
        </w:rPr>
        <w:t xml:space="preserve">can </w:t>
      </w:r>
      <w:r w:rsidRPr="000E28F1">
        <w:rPr>
          <w:rFonts w:ascii="Arial" w:hAnsi="Arial" w:cs="Arial"/>
          <w:sz w:val="20"/>
          <w:szCs w:val="20"/>
        </w:rPr>
        <w:t>aid access to government.</w:t>
      </w:r>
    </w:p>
    <w:p w14:paraId="70FBF273" w14:textId="77777777" w:rsidR="0095077D" w:rsidRDefault="0095077D" w:rsidP="00E51F2A">
      <w:pPr>
        <w:spacing w:line="480" w:lineRule="auto"/>
        <w:rPr>
          <w:rFonts w:ascii="Arial" w:hAnsi="Arial" w:cs="Arial"/>
          <w:sz w:val="20"/>
          <w:szCs w:val="20"/>
        </w:rPr>
      </w:pPr>
    </w:p>
    <w:p w14:paraId="25563FEB" w14:textId="32A07DE6" w:rsidR="00F97015" w:rsidRDefault="00E646E7" w:rsidP="00E51F2A">
      <w:pPr>
        <w:spacing w:line="480" w:lineRule="auto"/>
        <w:rPr>
          <w:rFonts w:ascii="Arial" w:hAnsi="Arial" w:cs="Arial"/>
          <w:sz w:val="20"/>
          <w:szCs w:val="20"/>
        </w:rPr>
      </w:pPr>
      <w:r>
        <w:rPr>
          <w:rFonts w:ascii="Arial" w:hAnsi="Arial" w:cs="Arial"/>
          <w:sz w:val="20"/>
          <w:szCs w:val="20"/>
        </w:rPr>
        <w:lastRenderedPageBreak/>
        <w:t xml:space="preserve">The next </w:t>
      </w:r>
      <w:r w:rsidR="00AF24D4">
        <w:rPr>
          <w:rFonts w:ascii="Arial" w:hAnsi="Arial" w:cs="Arial"/>
          <w:sz w:val="20"/>
          <w:szCs w:val="20"/>
        </w:rPr>
        <w:t>section</w:t>
      </w:r>
      <w:r w:rsidR="00BD4669">
        <w:rPr>
          <w:rFonts w:ascii="Arial" w:hAnsi="Arial" w:cs="Arial"/>
          <w:sz w:val="20"/>
          <w:szCs w:val="20"/>
        </w:rPr>
        <w:t>s</w:t>
      </w:r>
      <w:r>
        <w:rPr>
          <w:rFonts w:ascii="Arial" w:hAnsi="Arial" w:cs="Arial"/>
          <w:sz w:val="20"/>
          <w:szCs w:val="20"/>
        </w:rPr>
        <w:t xml:space="preserve"> </w:t>
      </w:r>
      <w:r w:rsidR="0021323C">
        <w:rPr>
          <w:rFonts w:ascii="Arial" w:hAnsi="Arial" w:cs="Arial"/>
          <w:sz w:val="20"/>
          <w:szCs w:val="20"/>
        </w:rPr>
        <w:t>explain the analyti</w:t>
      </w:r>
      <w:r w:rsidR="00493BED">
        <w:rPr>
          <w:rFonts w:ascii="Arial" w:hAnsi="Arial" w:cs="Arial"/>
          <w:sz w:val="20"/>
          <w:szCs w:val="20"/>
        </w:rPr>
        <w:t>cal framework</w:t>
      </w:r>
      <w:r w:rsidR="00E06762">
        <w:rPr>
          <w:rFonts w:ascii="Arial" w:hAnsi="Arial" w:cs="Arial"/>
          <w:sz w:val="20"/>
          <w:szCs w:val="20"/>
        </w:rPr>
        <w:t xml:space="preserve"> and methodology</w:t>
      </w:r>
      <w:r w:rsidR="00BD4669">
        <w:rPr>
          <w:rFonts w:ascii="Arial" w:hAnsi="Arial" w:cs="Arial"/>
          <w:sz w:val="20"/>
          <w:szCs w:val="20"/>
        </w:rPr>
        <w:t xml:space="preserve">, followed by </w:t>
      </w:r>
      <w:r w:rsidR="000D31C3">
        <w:rPr>
          <w:rFonts w:ascii="Arial" w:hAnsi="Arial" w:cs="Arial"/>
          <w:sz w:val="20"/>
          <w:szCs w:val="20"/>
        </w:rPr>
        <w:t xml:space="preserve">mapping the </w:t>
      </w:r>
      <w:r w:rsidR="00493BED">
        <w:rPr>
          <w:rFonts w:ascii="Arial" w:hAnsi="Arial" w:cs="Arial"/>
          <w:sz w:val="20"/>
          <w:szCs w:val="20"/>
        </w:rPr>
        <w:t xml:space="preserve">engagement with government reported in </w:t>
      </w:r>
      <w:r w:rsidR="00350D4B">
        <w:rPr>
          <w:rFonts w:ascii="Arial" w:hAnsi="Arial" w:cs="Arial"/>
          <w:sz w:val="20"/>
          <w:szCs w:val="20"/>
        </w:rPr>
        <w:t xml:space="preserve">the impact submissions </w:t>
      </w:r>
      <w:r w:rsidR="0044708B">
        <w:rPr>
          <w:rFonts w:ascii="Arial" w:hAnsi="Arial" w:cs="Arial"/>
          <w:sz w:val="20"/>
          <w:szCs w:val="20"/>
        </w:rPr>
        <w:t xml:space="preserve">for </w:t>
      </w:r>
      <w:r w:rsidR="00350D4B">
        <w:rPr>
          <w:rFonts w:ascii="Arial" w:hAnsi="Arial" w:cs="Arial"/>
          <w:sz w:val="20"/>
          <w:szCs w:val="20"/>
        </w:rPr>
        <w:t>Law in REF 2014</w:t>
      </w:r>
      <w:r w:rsidR="00E80E79">
        <w:rPr>
          <w:rFonts w:ascii="Arial" w:hAnsi="Arial" w:cs="Arial"/>
          <w:sz w:val="20"/>
          <w:szCs w:val="20"/>
        </w:rPr>
        <w:t>.</w:t>
      </w:r>
      <w:r w:rsidR="00BD4669">
        <w:rPr>
          <w:rFonts w:ascii="Arial" w:hAnsi="Arial" w:cs="Arial"/>
          <w:sz w:val="20"/>
          <w:szCs w:val="20"/>
        </w:rPr>
        <w:t xml:space="preserve"> I then examine</w:t>
      </w:r>
      <w:r w:rsidR="00350D4B">
        <w:rPr>
          <w:rFonts w:ascii="Arial" w:hAnsi="Arial" w:cs="Arial"/>
          <w:sz w:val="20"/>
          <w:szCs w:val="20"/>
        </w:rPr>
        <w:t xml:space="preserve"> the researcher experience</w:t>
      </w:r>
      <w:r w:rsidR="00115477">
        <w:rPr>
          <w:rFonts w:ascii="Arial" w:hAnsi="Arial" w:cs="Arial"/>
          <w:sz w:val="20"/>
          <w:szCs w:val="20"/>
        </w:rPr>
        <w:t xml:space="preserve"> </w:t>
      </w:r>
      <w:r w:rsidR="007D1F1B">
        <w:rPr>
          <w:rFonts w:ascii="Arial" w:hAnsi="Arial" w:cs="Arial"/>
          <w:sz w:val="20"/>
          <w:szCs w:val="20"/>
        </w:rPr>
        <w:t>of engaging with UK governments</w:t>
      </w:r>
      <w:r w:rsidR="00BD4669">
        <w:rPr>
          <w:rFonts w:ascii="Arial" w:hAnsi="Arial" w:cs="Arial"/>
          <w:sz w:val="20"/>
          <w:szCs w:val="20"/>
        </w:rPr>
        <w:t xml:space="preserve"> through the researcher survey data and present</w:t>
      </w:r>
      <w:r w:rsidR="0021323C">
        <w:rPr>
          <w:rFonts w:ascii="Arial" w:hAnsi="Arial" w:cs="Arial"/>
          <w:sz w:val="20"/>
          <w:szCs w:val="20"/>
        </w:rPr>
        <w:t xml:space="preserve"> </w:t>
      </w:r>
      <w:r w:rsidR="002559AF">
        <w:rPr>
          <w:rFonts w:ascii="Arial" w:hAnsi="Arial" w:cs="Arial"/>
          <w:sz w:val="20"/>
          <w:szCs w:val="20"/>
        </w:rPr>
        <w:t xml:space="preserve">findings from the directors of research survey. </w:t>
      </w:r>
      <w:r w:rsidR="00BD4669">
        <w:rPr>
          <w:rFonts w:ascii="Arial" w:hAnsi="Arial" w:cs="Arial"/>
          <w:sz w:val="20"/>
          <w:szCs w:val="20"/>
        </w:rPr>
        <w:t>The final section</w:t>
      </w:r>
      <w:r w:rsidR="00350D4B">
        <w:rPr>
          <w:rFonts w:ascii="Arial" w:hAnsi="Arial" w:cs="Arial"/>
          <w:sz w:val="20"/>
          <w:szCs w:val="20"/>
        </w:rPr>
        <w:t xml:space="preserve"> </w:t>
      </w:r>
      <w:r w:rsidR="00412DBA">
        <w:rPr>
          <w:rFonts w:ascii="Arial" w:hAnsi="Arial" w:cs="Arial"/>
          <w:sz w:val="20"/>
          <w:szCs w:val="20"/>
        </w:rPr>
        <w:t>draws conclusions and suggests avenues for possible future research</w:t>
      </w:r>
      <w:r w:rsidR="00B328CA">
        <w:rPr>
          <w:rFonts w:ascii="Arial" w:hAnsi="Arial" w:cs="Arial"/>
          <w:sz w:val="20"/>
          <w:szCs w:val="20"/>
        </w:rPr>
        <w:t xml:space="preserve">. </w:t>
      </w:r>
    </w:p>
    <w:p w14:paraId="19D8E97C" w14:textId="77777777" w:rsidR="00F97015" w:rsidRDefault="00F97015" w:rsidP="00E51F2A">
      <w:pPr>
        <w:spacing w:line="480" w:lineRule="auto"/>
        <w:jc w:val="right"/>
        <w:rPr>
          <w:rFonts w:ascii="Arial" w:hAnsi="Arial" w:cs="Arial"/>
          <w:sz w:val="20"/>
          <w:szCs w:val="20"/>
        </w:rPr>
      </w:pPr>
    </w:p>
    <w:p w14:paraId="348F5927" w14:textId="5FCE1B16" w:rsidR="007C347C" w:rsidRDefault="00156795" w:rsidP="00E51F2A">
      <w:pPr>
        <w:spacing w:line="480" w:lineRule="auto"/>
        <w:rPr>
          <w:rFonts w:ascii="Arial" w:hAnsi="Arial" w:cs="Arial"/>
          <w:sz w:val="20"/>
          <w:szCs w:val="20"/>
        </w:rPr>
      </w:pPr>
      <w:r>
        <w:rPr>
          <w:rFonts w:ascii="Arial" w:hAnsi="Arial" w:cs="Arial"/>
          <w:sz w:val="20"/>
          <w:szCs w:val="20"/>
        </w:rPr>
        <w:t>By using an engagement methodology, t</w:t>
      </w:r>
      <w:r w:rsidR="005121F4">
        <w:rPr>
          <w:rFonts w:ascii="Arial" w:hAnsi="Arial" w:cs="Arial"/>
          <w:sz w:val="20"/>
          <w:szCs w:val="20"/>
        </w:rPr>
        <w:t xml:space="preserve">he </w:t>
      </w:r>
      <w:r w:rsidR="00DA039A">
        <w:rPr>
          <w:rFonts w:ascii="Arial" w:hAnsi="Arial" w:cs="Arial"/>
          <w:sz w:val="20"/>
          <w:szCs w:val="20"/>
        </w:rPr>
        <w:t>study</w:t>
      </w:r>
      <w:r w:rsidR="008C513D">
        <w:rPr>
          <w:rFonts w:ascii="Arial" w:hAnsi="Arial" w:cs="Arial"/>
          <w:sz w:val="20"/>
          <w:szCs w:val="20"/>
        </w:rPr>
        <w:t xml:space="preserve"> rev</w:t>
      </w:r>
      <w:r w:rsidR="00DA039A">
        <w:rPr>
          <w:rFonts w:ascii="Arial" w:hAnsi="Arial" w:cs="Arial"/>
          <w:sz w:val="20"/>
          <w:szCs w:val="20"/>
        </w:rPr>
        <w:t>eals</w:t>
      </w:r>
      <w:r w:rsidR="008C513D">
        <w:rPr>
          <w:rFonts w:ascii="Arial" w:hAnsi="Arial" w:cs="Arial"/>
          <w:sz w:val="20"/>
          <w:szCs w:val="20"/>
        </w:rPr>
        <w:t xml:space="preserve"> that the way</w:t>
      </w:r>
      <w:r w:rsidR="005121F4">
        <w:rPr>
          <w:rFonts w:ascii="Arial" w:hAnsi="Arial" w:cs="Arial"/>
          <w:sz w:val="20"/>
          <w:szCs w:val="20"/>
        </w:rPr>
        <w:t xml:space="preserve"> </w:t>
      </w:r>
      <w:r w:rsidR="008C513D">
        <w:rPr>
          <w:rFonts w:ascii="Arial" w:hAnsi="Arial" w:cs="Arial"/>
          <w:sz w:val="20"/>
          <w:szCs w:val="20"/>
        </w:rPr>
        <w:t xml:space="preserve">impact occurs is </w:t>
      </w:r>
      <w:r w:rsidR="0051706C">
        <w:rPr>
          <w:rFonts w:ascii="Arial" w:hAnsi="Arial" w:cs="Arial"/>
          <w:sz w:val="20"/>
          <w:szCs w:val="20"/>
        </w:rPr>
        <w:t xml:space="preserve">frequently </w:t>
      </w:r>
      <w:r w:rsidR="008C513D">
        <w:rPr>
          <w:rFonts w:ascii="Arial" w:hAnsi="Arial" w:cs="Arial"/>
          <w:sz w:val="20"/>
          <w:szCs w:val="20"/>
        </w:rPr>
        <w:t xml:space="preserve">at odds with the model of impact that underpinned assessment </w:t>
      </w:r>
      <w:r w:rsidR="00AD4614">
        <w:rPr>
          <w:rFonts w:ascii="Arial" w:hAnsi="Arial" w:cs="Arial"/>
          <w:sz w:val="20"/>
          <w:szCs w:val="20"/>
        </w:rPr>
        <w:t>in REF</w:t>
      </w:r>
      <w:r w:rsidR="007234A1">
        <w:rPr>
          <w:rFonts w:ascii="Arial" w:hAnsi="Arial" w:cs="Arial"/>
          <w:sz w:val="20"/>
          <w:szCs w:val="20"/>
        </w:rPr>
        <w:t xml:space="preserve"> 2014</w:t>
      </w:r>
      <w:r w:rsidR="00AD4614">
        <w:rPr>
          <w:rFonts w:ascii="Arial" w:hAnsi="Arial" w:cs="Arial"/>
          <w:sz w:val="20"/>
          <w:szCs w:val="20"/>
        </w:rPr>
        <w:t xml:space="preserve">. It challenges </w:t>
      </w:r>
      <w:r w:rsidR="008C513D">
        <w:rPr>
          <w:rFonts w:ascii="Arial" w:hAnsi="Arial" w:cs="Arial"/>
          <w:sz w:val="20"/>
          <w:szCs w:val="20"/>
        </w:rPr>
        <w:t xml:space="preserve">the dominance </w:t>
      </w:r>
      <w:r w:rsidR="00193815">
        <w:rPr>
          <w:rFonts w:ascii="Arial" w:hAnsi="Arial" w:cs="Arial"/>
          <w:sz w:val="20"/>
          <w:szCs w:val="20"/>
        </w:rPr>
        <w:t xml:space="preserve">of the </w:t>
      </w:r>
      <w:r w:rsidR="00FD7EE4">
        <w:rPr>
          <w:rFonts w:ascii="Arial" w:hAnsi="Arial" w:cs="Arial"/>
          <w:sz w:val="20"/>
          <w:szCs w:val="20"/>
        </w:rPr>
        <w:t>‘</w:t>
      </w:r>
      <w:r w:rsidR="00193815">
        <w:rPr>
          <w:rFonts w:ascii="Arial" w:hAnsi="Arial" w:cs="Arial"/>
          <w:sz w:val="20"/>
          <w:szCs w:val="20"/>
        </w:rPr>
        <w:t>research impact</w:t>
      </w:r>
      <w:r w:rsidR="00FD7EE4">
        <w:rPr>
          <w:rFonts w:ascii="Arial" w:hAnsi="Arial" w:cs="Arial"/>
          <w:sz w:val="20"/>
          <w:szCs w:val="20"/>
        </w:rPr>
        <w:t>’</w:t>
      </w:r>
      <w:r w:rsidR="00193815">
        <w:rPr>
          <w:rFonts w:ascii="Arial" w:hAnsi="Arial" w:cs="Arial"/>
          <w:sz w:val="20"/>
          <w:szCs w:val="20"/>
        </w:rPr>
        <w:t xml:space="preserve"> model </w:t>
      </w:r>
      <w:r w:rsidR="008C513D">
        <w:rPr>
          <w:rFonts w:ascii="Arial" w:hAnsi="Arial" w:cs="Arial"/>
          <w:sz w:val="20"/>
          <w:szCs w:val="20"/>
        </w:rPr>
        <w:t>and argues that there is stro</w:t>
      </w:r>
      <w:r w:rsidR="005A0BE8">
        <w:rPr>
          <w:rFonts w:ascii="Arial" w:hAnsi="Arial" w:cs="Arial"/>
          <w:sz w:val="20"/>
          <w:szCs w:val="20"/>
        </w:rPr>
        <w:t xml:space="preserve">ng evidence for distinguishing and incorporating </w:t>
      </w:r>
      <w:r w:rsidR="00FD7EE4">
        <w:rPr>
          <w:rFonts w:ascii="Arial" w:hAnsi="Arial" w:cs="Arial"/>
          <w:sz w:val="20"/>
          <w:szCs w:val="20"/>
        </w:rPr>
        <w:t>‘</w:t>
      </w:r>
      <w:r w:rsidR="008C513D" w:rsidRPr="008C513D">
        <w:rPr>
          <w:rFonts w:ascii="Arial" w:hAnsi="Arial" w:cs="Arial"/>
          <w:i/>
          <w:sz w:val="20"/>
          <w:szCs w:val="20"/>
        </w:rPr>
        <w:t>researcher</w:t>
      </w:r>
      <w:r w:rsidR="008C513D">
        <w:rPr>
          <w:rFonts w:ascii="Arial" w:hAnsi="Arial" w:cs="Arial"/>
          <w:sz w:val="20"/>
          <w:szCs w:val="20"/>
        </w:rPr>
        <w:t xml:space="preserve"> impact</w:t>
      </w:r>
      <w:r w:rsidR="00FD7EE4">
        <w:rPr>
          <w:rFonts w:ascii="Arial" w:hAnsi="Arial" w:cs="Arial"/>
          <w:sz w:val="20"/>
          <w:szCs w:val="20"/>
        </w:rPr>
        <w:t>’</w:t>
      </w:r>
      <w:r w:rsidR="008C513D">
        <w:rPr>
          <w:rFonts w:ascii="Arial" w:hAnsi="Arial" w:cs="Arial"/>
          <w:sz w:val="20"/>
          <w:szCs w:val="20"/>
        </w:rPr>
        <w:t xml:space="preserve"> </w:t>
      </w:r>
      <w:r w:rsidR="00193815">
        <w:rPr>
          <w:rFonts w:ascii="Arial" w:hAnsi="Arial" w:cs="Arial"/>
          <w:sz w:val="20"/>
          <w:szCs w:val="20"/>
        </w:rPr>
        <w:t>when</w:t>
      </w:r>
      <w:r w:rsidR="008C513D">
        <w:rPr>
          <w:rFonts w:ascii="Arial" w:hAnsi="Arial" w:cs="Arial"/>
          <w:sz w:val="20"/>
          <w:szCs w:val="20"/>
        </w:rPr>
        <w:t xml:space="preserve"> evaluating the impact of academic research</w:t>
      </w:r>
      <w:r w:rsidR="00DA039A">
        <w:rPr>
          <w:rFonts w:ascii="Arial" w:hAnsi="Arial" w:cs="Arial"/>
          <w:sz w:val="20"/>
          <w:szCs w:val="20"/>
        </w:rPr>
        <w:t>, at least</w:t>
      </w:r>
      <w:r w:rsidR="008C513D">
        <w:rPr>
          <w:rFonts w:ascii="Arial" w:hAnsi="Arial" w:cs="Arial"/>
          <w:sz w:val="20"/>
          <w:szCs w:val="20"/>
        </w:rPr>
        <w:t xml:space="preserve"> in government.</w:t>
      </w:r>
      <w:r w:rsidR="00DA039A">
        <w:rPr>
          <w:rFonts w:ascii="Arial" w:hAnsi="Arial" w:cs="Arial"/>
          <w:sz w:val="20"/>
          <w:szCs w:val="20"/>
        </w:rPr>
        <w:t xml:space="preserve"> </w:t>
      </w:r>
      <w:r w:rsidR="00AA26AE">
        <w:rPr>
          <w:rFonts w:ascii="Arial" w:hAnsi="Arial" w:cs="Arial"/>
          <w:sz w:val="20"/>
          <w:szCs w:val="20"/>
        </w:rPr>
        <w:t>Moreover</w:t>
      </w:r>
      <w:r w:rsidR="00DA039A">
        <w:rPr>
          <w:rFonts w:ascii="Arial" w:hAnsi="Arial" w:cs="Arial"/>
          <w:sz w:val="20"/>
          <w:szCs w:val="20"/>
        </w:rPr>
        <w:t xml:space="preserve">, it </w:t>
      </w:r>
      <w:r w:rsidR="00AA26AE">
        <w:rPr>
          <w:rFonts w:ascii="Arial" w:hAnsi="Arial" w:cs="Arial"/>
          <w:sz w:val="20"/>
          <w:szCs w:val="20"/>
        </w:rPr>
        <w:t>shows</w:t>
      </w:r>
      <w:r w:rsidR="00DA039A">
        <w:rPr>
          <w:rFonts w:ascii="Arial" w:hAnsi="Arial" w:cs="Arial"/>
          <w:sz w:val="20"/>
          <w:szCs w:val="20"/>
        </w:rPr>
        <w:t xml:space="preserve"> that </w:t>
      </w:r>
      <w:r w:rsidR="00085BB6">
        <w:rPr>
          <w:rFonts w:ascii="Arial" w:hAnsi="Arial" w:cs="Arial"/>
          <w:sz w:val="20"/>
          <w:szCs w:val="20"/>
        </w:rPr>
        <w:t xml:space="preserve">successful </w:t>
      </w:r>
      <w:r w:rsidR="00350D4B">
        <w:rPr>
          <w:rFonts w:ascii="Arial" w:hAnsi="Arial" w:cs="Arial"/>
          <w:sz w:val="20"/>
          <w:szCs w:val="20"/>
        </w:rPr>
        <w:t xml:space="preserve">engagement with UK governments </w:t>
      </w:r>
      <w:r w:rsidR="00085BB6">
        <w:rPr>
          <w:rFonts w:ascii="Arial" w:hAnsi="Arial" w:cs="Arial"/>
          <w:sz w:val="20"/>
          <w:szCs w:val="20"/>
        </w:rPr>
        <w:t xml:space="preserve">and impact in government </w:t>
      </w:r>
      <w:r w:rsidR="00350D4B">
        <w:rPr>
          <w:rFonts w:ascii="Arial" w:hAnsi="Arial" w:cs="Arial"/>
          <w:sz w:val="20"/>
          <w:szCs w:val="20"/>
        </w:rPr>
        <w:t xml:space="preserve">is </w:t>
      </w:r>
      <w:r w:rsidR="00085BB6">
        <w:rPr>
          <w:rFonts w:ascii="Arial" w:hAnsi="Arial" w:cs="Arial"/>
          <w:sz w:val="20"/>
          <w:szCs w:val="20"/>
        </w:rPr>
        <w:t xml:space="preserve">far more </w:t>
      </w:r>
      <w:r w:rsidR="0051706C">
        <w:rPr>
          <w:rFonts w:ascii="Arial" w:hAnsi="Arial" w:cs="Arial"/>
          <w:sz w:val="20"/>
          <w:szCs w:val="20"/>
        </w:rPr>
        <w:t xml:space="preserve">dependent on good fortune </w:t>
      </w:r>
      <w:r w:rsidR="00085BB6">
        <w:rPr>
          <w:rFonts w:ascii="Arial" w:hAnsi="Arial" w:cs="Arial"/>
          <w:sz w:val="20"/>
          <w:szCs w:val="20"/>
        </w:rPr>
        <w:t xml:space="preserve">than </w:t>
      </w:r>
      <w:r w:rsidR="00350D4B">
        <w:rPr>
          <w:rFonts w:ascii="Arial" w:hAnsi="Arial" w:cs="Arial"/>
          <w:sz w:val="20"/>
          <w:szCs w:val="20"/>
        </w:rPr>
        <w:t xml:space="preserve">is appropriate </w:t>
      </w:r>
      <w:r w:rsidR="001D183C">
        <w:rPr>
          <w:rFonts w:ascii="Arial" w:hAnsi="Arial" w:cs="Arial"/>
          <w:sz w:val="20"/>
          <w:szCs w:val="20"/>
        </w:rPr>
        <w:t xml:space="preserve">or necessary </w:t>
      </w:r>
      <w:r w:rsidR="00350D4B">
        <w:rPr>
          <w:rFonts w:ascii="Arial" w:hAnsi="Arial" w:cs="Arial"/>
          <w:sz w:val="20"/>
          <w:szCs w:val="20"/>
        </w:rPr>
        <w:t xml:space="preserve">given the </w:t>
      </w:r>
      <w:r w:rsidR="00C97E6C">
        <w:rPr>
          <w:rFonts w:ascii="Arial" w:hAnsi="Arial" w:cs="Arial"/>
          <w:sz w:val="20"/>
          <w:szCs w:val="20"/>
        </w:rPr>
        <w:t xml:space="preserve">significance </w:t>
      </w:r>
      <w:r w:rsidR="00350D4B">
        <w:rPr>
          <w:rFonts w:ascii="Arial" w:hAnsi="Arial" w:cs="Arial"/>
          <w:sz w:val="20"/>
          <w:szCs w:val="20"/>
        </w:rPr>
        <w:t>of impact in t</w:t>
      </w:r>
      <w:r w:rsidR="00B328CA">
        <w:rPr>
          <w:rFonts w:ascii="Arial" w:hAnsi="Arial" w:cs="Arial"/>
          <w:sz w:val="20"/>
          <w:szCs w:val="20"/>
        </w:rPr>
        <w:t>he REF and funding allocation</w:t>
      </w:r>
      <w:r w:rsidR="002559AF">
        <w:rPr>
          <w:rFonts w:ascii="Arial" w:hAnsi="Arial" w:cs="Arial"/>
          <w:sz w:val="20"/>
          <w:szCs w:val="20"/>
        </w:rPr>
        <w:t xml:space="preserve">, </w:t>
      </w:r>
      <w:r w:rsidR="00C97E6C">
        <w:rPr>
          <w:rFonts w:ascii="Arial" w:hAnsi="Arial" w:cs="Arial"/>
          <w:sz w:val="20"/>
          <w:szCs w:val="20"/>
        </w:rPr>
        <w:t xml:space="preserve">and </w:t>
      </w:r>
      <w:r w:rsidR="002559AF" w:rsidRPr="000D31C3">
        <w:rPr>
          <w:rFonts w:ascii="Arial" w:hAnsi="Arial" w:cs="Arial"/>
          <w:sz w:val="20"/>
          <w:szCs w:val="20"/>
        </w:rPr>
        <w:t>the importance of</w:t>
      </w:r>
      <w:r w:rsidR="00C97E6C">
        <w:rPr>
          <w:rFonts w:ascii="Arial" w:hAnsi="Arial" w:cs="Arial"/>
          <w:sz w:val="20"/>
          <w:szCs w:val="20"/>
        </w:rPr>
        <w:t xml:space="preserve"> government policies and actions being informed by excellent researchers and research.</w:t>
      </w:r>
      <w:r w:rsidR="00085BB6">
        <w:rPr>
          <w:rFonts w:ascii="Arial" w:hAnsi="Arial" w:cs="Arial"/>
          <w:sz w:val="20"/>
          <w:szCs w:val="20"/>
        </w:rPr>
        <w:t xml:space="preserve"> </w:t>
      </w:r>
    </w:p>
    <w:p w14:paraId="2145CD99" w14:textId="1ED195AB" w:rsidR="00D84DA6" w:rsidRDefault="0044708B" w:rsidP="0044708B">
      <w:pPr>
        <w:tabs>
          <w:tab w:val="left" w:pos="2865"/>
        </w:tabs>
        <w:spacing w:line="480" w:lineRule="auto"/>
        <w:rPr>
          <w:rFonts w:ascii="Arial" w:hAnsi="Arial" w:cs="Arial"/>
          <w:sz w:val="20"/>
          <w:szCs w:val="20"/>
        </w:rPr>
      </w:pPr>
      <w:r>
        <w:rPr>
          <w:rFonts w:ascii="Arial" w:hAnsi="Arial" w:cs="Arial"/>
          <w:sz w:val="20"/>
          <w:szCs w:val="20"/>
        </w:rPr>
        <w:tab/>
      </w:r>
    </w:p>
    <w:p w14:paraId="0999D142" w14:textId="77777777" w:rsidR="00BC4000" w:rsidRDefault="00BC4000" w:rsidP="00E51F2A">
      <w:pPr>
        <w:spacing w:line="480" w:lineRule="auto"/>
        <w:rPr>
          <w:rFonts w:ascii="Arial" w:hAnsi="Arial" w:cs="Arial"/>
          <w:sz w:val="20"/>
          <w:szCs w:val="20"/>
        </w:rPr>
      </w:pPr>
    </w:p>
    <w:p w14:paraId="281DE9FD" w14:textId="0C122A2A" w:rsidR="00E544BB" w:rsidRPr="001120B9" w:rsidRDefault="0039010C" w:rsidP="001120B9">
      <w:pPr>
        <w:spacing w:line="480" w:lineRule="auto"/>
        <w:jc w:val="center"/>
        <w:rPr>
          <w:rFonts w:ascii="Arial" w:hAnsi="Arial" w:cs="Arial"/>
          <w:b/>
          <w:sz w:val="24"/>
          <w:szCs w:val="24"/>
        </w:rPr>
      </w:pPr>
      <w:r w:rsidRPr="001120B9">
        <w:rPr>
          <w:rFonts w:ascii="Arial" w:hAnsi="Arial" w:cs="Arial"/>
          <w:b/>
          <w:sz w:val="24"/>
          <w:szCs w:val="24"/>
        </w:rPr>
        <w:t>UNDERSTANDING</w:t>
      </w:r>
      <w:r w:rsidR="00BA151F" w:rsidRPr="001120B9">
        <w:rPr>
          <w:rFonts w:ascii="Arial" w:hAnsi="Arial" w:cs="Arial"/>
          <w:b/>
          <w:sz w:val="24"/>
          <w:szCs w:val="24"/>
        </w:rPr>
        <w:t xml:space="preserve"> AND ENHANCING</w:t>
      </w:r>
      <w:r w:rsidRPr="001120B9">
        <w:rPr>
          <w:rFonts w:ascii="Arial" w:hAnsi="Arial" w:cs="Arial"/>
          <w:b/>
          <w:sz w:val="24"/>
          <w:szCs w:val="24"/>
        </w:rPr>
        <w:t xml:space="preserve"> IMPACT</w:t>
      </w:r>
      <w:r w:rsidR="00BB79C3" w:rsidRPr="001120B9">
        <w:rPr>
          <w:rFonts w:ascii="Arial" w:hAnsi="Arial" w:cs="Arial"/>
          <w:b/>
          <w:sz w:val="24"/>
          <w:szCs w:val="24"/>
        </w:rPr>
        <w:t xml:space="preserve">: AN ENGAGEMENT </w:t>
      </w:r>
      <w:r w:rsidR="006F301F" w:rsidRPr="001120B9">
        <w:rPr>
          <w:rFonts w:ascii="Arial" w:hAnsi="Arial" w:cs="Arial"/>
          <w:b/>
          <w:sz w:val="24"/>
          <w:szCs w:val="24"/>
        </w:rPr>
        <w:t>APPROACH</w:t>
      </w:r>
    </w:p>
    <w:p w14:paraId="3C7B45DC" w14:textId="77777777" w:rsidR="00DD0C8C" w:rsidRDefault="00DD0C8C" w:rsidP="00E51F2A">
      <w:pPr>
        <w:spacing w:line="480" w:lineRule="auto"/>
        <w:rPr>
          <w:rFonts w:ascii="Arial" w:hAnsi="Arial" w:cs="Arial"/>
          <w:sz w:val="20"/>
          <w:szCs w:val="20"/>
        </w:rPr>
      </w:pPr>
    </w:p>
    <w:p w14:paraId="414DB4AA" w14:textId="0A952C7B" w:rsidR="00A017AF" w:rsidRDefault="00BE1285" w:rsidP="00E51F2A">
      <w:pPr>
        <w:spacing w:line="480" w:lineRule="auto"/>
        <w:rPr>
          <w:rFonts w:ascii="Arial" w:hAnsi="Arial" w:cs="Arial"/>
          <w:sz w:val="20"/>
          <w:szCs w:val="20"/>
        </w:rPr>
      </w:pPr>
      <w:r>
        <w:rPr>
          <w:rFonts w:ascii="Arial" w:hAnsi="Arial" w:cs="Arial"/>
          <w:sz w:val="20"/>
          <w:szCs w:val="20"/>
        </w:rPr>
        <w:t>To understand and improve the ways legal scholars can and do have impact, this artic</w:t>
      </w:r>
      <w:r w:rsidR="007B7089">
        <w:rPr>
          <w:rFonts w:ascii="Arial" w:hAnsi="Arial" w:cs="Arial"/>
          <w:sz w:val="20"/>
          <w:szCs w:val="20"/>
        </w:rPr>
        <w:t xml:space="preserve">le focuses on ‘engagement’. </w:t>
      </w:r>
      <w:r w:rsidR="004154B6">
        <w:rPr>
          <w:rFonts w:ascii="Arial" w:hAnsi="Arial" w:cs="Arial"/>
          <w:sz w:val="20"/>
          <w:szCs w:val="20"/>
        </w:rPr>
        <w:t xml:space="preserve">To show why </w:t>
      </w:r>
      <w:r w:rsidR="00E80E79">
        <w:rPr>
          <w:rFonts w:ascii="Arial" w:hAnsi="Arial" w:cs="Arial"/>
          <w:sz w:val="20"/>
          <w:szCs w:val="20"/>
        </w:rPr>
        <w:t xml:space="preserve">this </w:t>
      </w:r>
      <w:r w:rsidR="004154B6">
        <w:rPr>
          <w:rFonts w:ascii="Arial" w:hAnsi="Arial" w:cs="Arial"/>
          <w:sz w:val="20"/>
          <w:szCs w:val="20"/>
        </w:rPr>
        <w:t>is</w:t>
      </w:r>
      <w:r>
        <w:rPr>
          <w:rFonts w:ascii="Arial" w:hAnsi="Arial" w:cs="Arial"/>
          <w:sz w:val="20"/>
          <w:szCs w:val="20"/>
        </w:rPr>
        <w:t xml:space="preserve"> conceptually and practically the most fruitful </w:t>
      </w:r>
      <w:r w:rsidR="008E5EC3">
        <w:rPr>
          <w:rFonts w:ascii="Arial" w:hAnsi="Arial" w:cs="Arial"/>
          <w:sz w:val="20"/>
          <w:szCs w:val="20"/>
        </w:rPr>
        <w:t>vehicle</w:t>
      </w:r>
      <w:r>
        <w:rPr>
          <w:rFonts w:ascii="Arial" w:hAnsi="Arial" w:cs="Arial"/>
          <w:sz w:val="20"/>
          <w:szCs w:val="20"/>
        </w:rPr>
        <w:t xml:space="preserve"> </w:t>
      </w:r>
      <w:r w:rsidR="008E5EC3">
        <w:rPr>
          <w:rFonts w:ascii="Arial" w:hAnsi="Arial" w:cs="Arial"/>
          <w:sz w:val="20"/>
          <w:szCs w:val="20"/>
        </w:rPr>
        <w:t>for the</w:t>
      </w:r>
      <w:r>
        <w:rPr>
          <w:rFonts w:ascii="Arial" w:hAnsi="Arial" w:cs="Arial"/>
          <w:sz w:val="20"/>
          <w:szCs w:val="20"/>
        </w:rPr>
        <w:t xml:space="preserve"> inquiry</w:t>
      </w:r>
      <w:r w:rsidR="004154B6">
        <w:rPr>
          <w:rFonts w:ascii="Arial" w:hAnsi="Arial" w:cs="Arial"/>
          <w:sz w:val="20"/>
          <w:szCs w:val="20"/>
        </w:rPr>
        <w:t>, it is helpful to begin by distinguishing impact from engagement</w:t>
      </w:r>
      <w:r>
        <w:rPr>
          <w:rFonts w:ascii="Arial" w:hAnsi="Arial" w:cs="Arial"/>
          <w:sz w:val="20"/>
          <w:szCs w:val="20"/>
        </w:rPr>
        <w:t xml:space="preserve">. </w:t>
      </w:r>
    </w:p>
    <w:p w14:paraId="155CDBE2" w14:textId="77777777" w:rsidR="00A017AF" w:rsidRDefault="00A017AF" w:rsidP="00E51F2A">
      <w:pPr>
        <w:spacing w:line="480" w:lineRule="auto"/>
        <w:rPr>
          <w:rFonts w:ascii="Arial" w:hAnsi="Arial" w:cs="Arial"/>
          <w:sz w:val="20"/>
          <w:szCs w:val="20"/>
        </w:rPr>
      </w:pPr>
    </w:p>
    <w:p w14:paraId="224042F5" w14:textId="5FB55B20" w:rsidR="008D0FD8" w:rsidRPr="004A0A09" w:rsidRDefault="008E02C6" w:rsidP="00E51F2A">
      <w:pPr>
        <w:pStyle w:val="ListParagraph"/>
        <w:numPr>
          <w:ilvl w:val="0"/>
          <w:numId w:val="12"/>
        </w:numPr>
        <w:spacing w:line="480" w:lineRule="auto"/>
        <w:rPr>
          <w:rFonts w:ascii="Arial" w:hAnsi="Arial" w:cs="Arial"/>
          <w:b/>
          <w:sz w:val="20"/>
          <w:szCs w:val="20"/>
        </w:rPr>
      </w:pPr>
      <w:r w:rsidRPr="004A0A09">
        <w:rPr>
          <w:rFonts w:ascii="Arial" w:hAnsi="Arial" w:cs="Arial"/>
          <w:b/>
          <w:sz w:val="20"/>
          <w:szCs w:val="20"/>
        </w:rPr>
        <w:t>Impact and engagement</w:t>
      </w:r>
    </w:p>
    <w:p w14:paraId="434AA933" w14:textId="052FF1D6" w:rsidR="00043708" w:rsidRDefault="00D218F6" w:rsidP="00BE3593">
      <w:pPr>
        <w:spacing w:line="480" w:lineRule="auto"/>
        <w:rPr>
          <w:rFonts w:ascii="Arial" w:hAnsi="Arial" w:cs="Arial"/>
          <w:sz w:val="20"/>
          <w:szCs w:val="20"/>
        </w:rPr>
      </w:pPr>
      <w:r w:rsidRPr="00303CE6">
        <w:rPr>
          <w:rFonts w:ascii="Arial" w:hAnsi="Arial" w:cs="Arial"/>
          <w:sz w:val="20"/>
          <w:szCs w:val="20"/>
        </w:rPr>
        <w:t>I</w:t>
      </w:r>
      <w:r w:rsidR="00C2563D" w:rsidRPr="00303CE6">
        <w:rPr>
          <w:rFonts w:ascii="Arial" w:hAnsi="Arial" w:cs="Arial"/>
          <w:sz w:val="20"/>
          <w:szCs w:val="20"/>
        </w:rPr>
        <w:t xml:space="preserve">n </w:t>
      </w:r>
      <w:r w:rsidR="00491DD2" w:rsidRPr="00303CE6">
        <w:rPr>
          <w:rFonts w:ascii="Arial" w:hAnsi="Arial" w:cs="Arial"/>
          <w:sz w:val="20"/>
          <w:szCs w:val="20"/>
        </w:rPr>
        <w:t>simple terms</w:t>
      </w:r>
      <w:r w:rsidR="00975937">
        <w:rPr>
          <w:rFonts w:ascii="Arial" w:hAnsi="Arial" w:cs="Arial"/>
          <w:sz w:val="20"/>
          <w:szCs w:val="20"/>
        </w:rPr>
        <w:t xml:space="preserve"> and defined by the REF</w:t>
      </w:r>
      <w:r w:rsidRPr="00303CE6">
        <w:rPr>
          <w:rFonts w:ascii="Arial" w:hAnsi="Arial" w:cs="Arial"/>
          <w:sz w:val="20"/>
          <w:szCs w:val="20"/>
        </w:rPr>
        <w:t xml:space="preserve">, impact </w:t>
      </w:r>
      <w:r w:rsidR="0002641B" w:rsidRPr="00303CE6">
        <w:rPr>
          <w:rFonts w:ascii="Arial" w:hAnsi="Arial" w:cs="Arial"/>
          <w:sz w:val="20"/>
          <w:szCs w:val="20"/>
        </w:rPr>
        <w:t xml:space="preserve">is </w:t>
      </w:r>
      <w:r w:rsidR="00FD7EE4">
        <w:rPr>
          <w:rFonts w:ascii="Arial" w:hAnsi="Arial" w:cs="Arial"/>
          <w:sz w:val="20"/>
          <w:szCs w:val="20"/>
        </w:rPr>
        <w:t>‘</w:t>
      </w:r>
      <w:r w:rsidR="00C2563D" w:rsidRPr="00303CE6">
        <w:rPr>
          <w:rFonts w:ascii="Arial" w:hAnsi="Arial" w:cs="Arial"/>
          <w:sz w:val="20"/>
          <w:szCs w:val="20"/>
        </w:rPr>
        <w:t>an effect on, change or benefit to the economy, society, culture, public policy or services, health, the environment or quality of life, beyond academia’</w:t>
      </w:r>
      <w:r w:rsidR="00FD7EE4">
        <w:rPr>
          <w:rFonts w:ascii="Arial" w:hAnsi="Arial" w:cs="Arial"/>
          <w:sz w:val="20"/>
          <w:szCs w:val="20"/>
        </w:rPr>
        <w:t>.</w:t>
      </w:r>
      <w:r w:rsidR="00C2563D" w:rsidRPr="00303CE6">
        <w:rPr>
          <w:rStyle w:val="FootnoteReference"/>
          <w:rFonts w:ascii="Arial" w:hAnsi="Arial" w:cs="Arial"/>
          <w:sz w:val="20"/>
          <w:szCs w:val="20"/>
        </w:rPr>
        <w:footnoteReference w:id="12"/>
      </w:r>
      <w:r w:rsidR="00C2563D" w:rsidRPr="00303CE6">
        <w:rPr>
          <w:rFonts w:ascii="Arial" w:hAnsi="Arial" w:cs="Arial"/>
          <w:sz w:val="20"/>
          <w:szCs w:val="20"/>
        </w:rPr>
        <w:t xml:space="preserve"> </w:t>
      </w:r>
      <w:r w:rsidR="00043708">
        <w:rPr>
          <w:rFonts w:ascii="Arial" w:hAnsi="Arial" w:cs="Arial"/>
          <w:sz w:val="20"/>
          <w:szCs w:val="20"/>
        </w:rPr>
        <w:t>Building this up, impact under the REF:</w:t>
      </w:r>
    </w:p>
    <w:p w14:paraId="31AD4AD8" w14:textId="7376C7AC" w:rsidR="00043708" w:rsidRPr="00043708" w:rsidRDefault="00043708" w:rsidP="00043708">
      <w:pPr>
        <w:spacing w:line="480" w:lineRule="auto"/>
        <w:ind w:left="720"/>
        <w:rPr>
          <w:rFonts w:ascii="Arial" w:hAnsi="Arial" w:cs="Arial"/>
          <w:sz w:val="20"/>
          <w:szCs w:val="20"/>
        </w:rPr>
      </w:pPr>
      <w:r w:rsidRPr="00043708">
        <w:rPr>
          <w:rFonts w:ascii="Arial" w:hAnsi="Arial" w:cs="Arial"/>
          <w:sz w:val="20"/>
          <w:szCs w:val="20"/>
        </w:rPr>
        <w:t>includes, but is not limited to, an effect on, change or benefit to:</w:t>
      </w:r>
    </w:p>
    <w:p w14:paraId="54EF183F" w14:textId="1B5D3F30" w:rsidR="00043708" w:rsidRPr="00665A23" w:rsidRDefault="00043708" w:rsidP="00665A23">
      <w:pPr>
        <w:pStyle w:val="ListParagraph"/>
        <w:numPr>
          <w:ilvl w:val="1"/>
          <w:numId w:val="24"/>
        </w:numPr>
        <w:spacing w:line="480" w:lineRule="auto"/>
        <w:rPr>
          <w:rFonts w:ascii="Arial" w:hAnsi="Arial" w:cs="Arial"/>
          <w:sz w:val="20"/>
          <w:szCs w:val="20"/>
        </w:rPr>
      </w:pPr>
      <w:r w:rsidRPr="00665A23">
        <w:rPr>
          <w:rFonts w:ascii="Arial" w:hAnsi="Arial" w:cs="Arial"/>
          <w:sz w:val="20"/>
          <w:szCs w:val="20"/>
        </w:rPr>
        <w:lastRenderedPageBreak/>
        <w:t>the activity, attitude, awareness, behaviour, capacity, opportunity, performance, policy, practice, process or understanding</w:t>
      </w:r>
    </w:p>
    <w:p w14:paraId="5C8D184D" w14:textId="634DE0DD" w:rsidR="00043708" w:rsidRPr="00665A23" w:rsidRDefault="00043708" w:rsidP="00665A23">
      <w:pPr>
        <w:pStyle w:val="ListParagraph"/>
        <w:numPr>
          <w:ilvl w:val="1"/>
          <w:numId w:val="24"/>
        </w:numPr>
        <w:spacing w:line="480" w:lineRule="auto"/>
        <w:rPr>
          <w:rFonts w:ascii="Arial" w:hAnsi="Arial" w:cs="Arial"/>
          <w:sz w:val="20"/>
          <w:szCs w:val="20"/>
        </w:rPr>
      </w:pPr>
      <w:r w:rsidRPr="00665A23">
        <w:rPr>
          <w:rFonts w:ascii="Arial" w:hAnsi="Arial" w:cs="Arial"/>
          <w:sz w:val="20"/>
          <w:szCs w:val="20"/>
        </w:rPr>
        <w:t>of an audience, beneficiary, community, constituency, organisation or individuals</w:t>
      </w:r>
    </w:p>
    <w:p w14:paraId="0862164A" w14:textId="3DB8629D" w:rsidR="00043708" w:rsidRPr="00665A23" w:rsidRDefault="00043708" w:rsidP="00665A23">
      <w:pPr>
        <w:pStyle w:val="ListParagraph"/>
        <w:numPr>
          <w:ilvl w:val="1"/>
          <w:numId w:val="24"/>
        </w:numPr>
        <w:spacing w:line="480" w:lineRule="auto"/>
        <w:rPr>
          <w:rFonts w:ascii="Arial" w:hAnsi="Arial" w:cs="Arial"/>
          <w:sz w:val="20"/>
          <w:szCs w:val="20"/>
        </w:rPr>
      </w:pPr>
      <w:r w:rsidRPr="00665A23">
        <w:rPr>
          <w:rFonts w:ascii="Arial" w:hAnsi="Arial" w:cs="Arial"/>
          <w:sz w:val="20"/>
          <w:szCs w:val="20"/>
        </w:rPr>
        <w:t>in any geographic location whether locally, regionally, nationally or internationally.</w:t>
      </w:r>
      <w:r>
        <w:rPr>
          <w:rStyle w:val="FootnoteReference"/>
          <w:rFonts w:ascii="Arial" w:hAnsi="Arial" w:cs="Arial"/>
          <w:sz w:val="20"/>
          <w:szCs w:val="20"/>
        </w:rPr>
        <w:footnoteReference w:id="13"/>
      </w:r>
    </w:p>
    <w:p w14:paraId="534B3AF2" w14:textId="1139152D" w:rsidR="00D218F6" w:rsidRDefault="00126B1A" w:rsidP="00BE3593">
      <w:pPr>
        <w:spacing w:line="480" w:lineRule="auto"/>
        <w:rPr>
          <w:rFonts w:ascii="Arial" w:hAnsi="Arial" w:cs="Arial"/>
          <w:sz w:val="20"/>
          <w:szCs w:val="20"/>
        </w:rPr>
      </w:pPr>
      <w:r>
        <w:rPr>
          <w:rFonts w:ascii="Arial" w:hAnsi="Arial" w:cs="Arial"/>
          <w:sz w:val="20"/>
          <w:szCs w:val="20"/>
        </w:rPr>
        <w:t xml:space="preserve">Other impact policies can help give substance to those definitions. For instance, the </w:t>
      </w:r>
      <w:r w:rsidR="00BE3593">
        <w:rPr>
          <w:rFonts w:ascii="Arial" w:hAnsi="Arial" w:cs="Arial"/>
          <w:sz w:val="20"/>
          <w:szCs w:val="20"/>
        </w:rPr>
        <w:t xml:space="preserve">Economic and Social Research Council (ESRC) </w:t>
      </w:r>
      <w:r>
        <w:rPr>
          <w:rFonts w:ascii="Arial" w:hAnsi="Arial" w:cs="Arial"/>
          <w:sz w:val="20"/>
          <w:szCs w:val="20"/>
        </w:rPr>
        <w:t>identifies</w:t>
      </w:r>
      <w:r w:rsidR="00292CD1">
        <w:rPr>
          <w:rFonts w:ascii="Arial" w:hAnsi="Arial" w:cs="Arial"/>
          <w:sz w:val="20"/>
          <w:szCs w:val="20"/>
        </w:rPr>
        <w:t xml:space="preserve"> different types of impact:</w:t>
      </w:r>
      <w:r w:rsidR="00BE3593">
        <w:rPr>
          <w:rFonts w:ascii="Arial" w:hAnsi="Arial" w:cs="Arial"/>
          <w:sz w:val="20"/>
          <w:szCs w:val="20"/>
        </w:rPr>
        <w:t xml:space="preserve">    </w:t>
      </w:r>
    </w:p>
    <w:p w14:paraId="1DA5BF83" w14:textId="22C36B5C" w:rsidR="00500CD8" w:rsidRPr="000E28F1" w:rsidRDefault="00500CD8" w:rsidP="00E51F2A">
      <w:pPr>
        <w:pStyle w:val="ListParagraph"/>
        <w:numPr>
          <w:ilvl w:val="0"/>
          <w:numId w:val="5"/>
        </w:numPr>
        <w:spacing w:line="480" w:lineRule="auto"/>
        <w:rPr>
          <w:rFonts w:ascii="Arial" w:hAnsi="Arial" w:cs="Arial"/>
          <w:sz w:val="20"/>
          <w:szCs w:val="20"/>
        </w:rPr>
      </w:pPr>
      <w:r w:rsidRPr="000E28F1">
        <w:rPr>
          <w:rFonts w:ascii="Arial" w:hAnsi="Arial" w:cs="Arial"/>
          <w:sz w:val="20"/>
          <w:szCs w:val="20"/>
        </w:rPr>
        <w:t>Instrumental: influencing the development of policy, practice or service provision, shaping legislation, altering behaviour</w:t>
      </w:r>
      <w:r w:rsidR="00FD7EE4" w:rsidRPr="000E28F1">
        <w:rPr>
          <w:rFonts w:ascii="Arial" w:hAnsi="Arial" w:cs="Arial"/>
          <w:sz w:val="20"/>
          <w:szCs w:val="20"/>
        </w:rPr>
        <w:t>.</w:t>
      </w:r>
    </w:p>
    <w:p w14:paraId="7AB0CDA4" w14:textId="3DFA6018" w:rsidR="00500CD8" w:rsidRPr="000E28F1" w:rsidRDefault="00500CD8" w:rsidP="00E51F2A">
      <w:pPr>
        <w:pStyle w:val="ListParagraph"/>
        <w:numPr>
          <w:ilvl w:val="0"/>
          <w:numId w:val="5"/>
        </w:numPr>
        <w:spacing w:line="480" w:lineRule="auto"/>
        <w:rPr>
          <w:rFonts w:ascii="Arial" w:hAnsi="Arial" w:cs="Arial"/>
          <w:sz w:val="20"/>
          <w:szCs w:val="20"/>
        </w:rPr>
      </w:pPr>
      <w:r w:rsidRPr="000E28F1">
        <w:rPr>
          <w:rFonts w:ascii="Arial" w:hAnsi="Arial" w:cs="Arial"/>
          <w:sz w:val="20"/>
          <w:szCs w:val="20"/>
        </w:rPr>
        <w:t>Conceptual: contributing to the understanding of policy issues, reframing debates</w:t>
      </w:r>
      <w:r w:rsidR="00FD7EE4" w:rsidRPr="000E28F1">
        <w:rPr>
          <w:rFonts w:ascii="Arial" w:hAnsi="Arial" w:cs="Arial"/>
          <w:sz w:val="20"/>
          <w:szCs w:val="20"/>
        </w:rPr>
        <w:t>.</w:t>
      </w:r>
    </w:p>
    <w:p w14:paraId="6BCE1099" w14:textId="73AD0957" w:rsidR="00500CD8" w:rsidRPr="00A57B4C" w:rsidRDefault="00500CD8" w:rsidP="00E51F2A">
      <w:pPr>
        <w:pStyle w:val="ListParagraph"/>
        <w:numPr>
          <w:ilvl w:val="0"/>
          <w:numId w:val="5"/>
        </w:numPr>
        <w:spacing w:line="480" w:lineRule="auto"/>
        <w:rPr>
          <w:rFonts w:ascii="Arial" w:hAnsi="Arial" w:cs="Arial"/>
          <w:sz w:val="18"/>
          <w:szCs w:val="18"/>
        </w:rPr>
      </w:pPr>
      <w:r w:rsidRPr="000E28F1">
        <w:rPr>
          <w:rFonts w:ascii="Arial" w:hAnsi="Arial" w:cs="Arial"/>
          <w:sz w:val="20"/>
          <w:szCs w:val="20"/>
        </w:rPr>
        <w:t>Capacity building: through technical and personal skill development.</w:t>
      </w:r>
      <w:r w:rsidR="00076305" w:rsidRPr="00A57B4C">
        <w:rPr>
          <w:rStyle w:val="FootnoteReference"/>
          <w:rFonts w:ascii="Arial" w:hAnsi="Arial" w:cs="Arial"/>
          <w:sz w:val="18"/>
          <w:szCs w:val="18"/>
        </w:rPr>
        <w:footnoteReference w:id="14"/>
      </w:r>
    </w:p>
    <w:p w14:paraId="54F742DF" w14:textId="77777777" w:rsidR="00AF69C3" w:rsidRDefault="00AF69C3" w:rsidP="00E51F2A">
      <w:pPr>
        <w:spacing w:line="480" w:lineRule="auto"/>
        <w:rPr>
          <w:rFonts w:ascii="Arial" w:hAnsi="Arial" w:cs="Arial"/>
          <w:sz w:val="20"/>
          <w:szCs w:val="20"/>
        </w:rPr>
      </w:pPr>
    </w:p>
    <w:p w14:paraId="006010C6" w14:textId="19B104B9" w:rsidR="00AA3FCF" w:rsidRDefault="00AF69C3" w:rsidP="00E51F2A">
      <w:pPr>
        <w:spacing w:line="480" w:lineRule="auto"/>
        <w:rPr>
          <w:rFonts w:ascii="Arial" w:hAnsi="Arial" w:cs="Arial"/>
          <w:sz w:val="20"/>
          <w:szCs w:val="20"/>
        </w:rPr>
      </w:pPr>
      <w:r>
        <w:rPr>
          <w:rFonts w:ascii="Arial" w:hAnsi="Arial" w:cs="Arial"/>
          <w:sz w:val="20"/>
          <w:szCs w:val="20"/>
        </w:rPr>
        <w:t xml:space="preserve">To achieve </w:t>
      </w:r>
      <w:r w:rsidR="00292CD1">
        <w:rPr>
          <w:rFonts w:ascii="Arial" w:hAnsi="Arial" w:cs="Arial"/>
          <w:sz w:val="20"/>
          <w:szCs w:val="20"/>
        </w:rPr>
        <w:t>impact</w:t>
      </w:r>
      <w:r>
        <w:rPr>
          <w:rFonts w:ascii="Arial" w:hAnsi="Arial" w:cs="Arial"/>
          <w:sz w:val="20"/>
          <w:szCs w:val="20"/>
        </w:rPr>
        <w:t xml:space="preserve"> i</w:t>
      </w:r>
      <w:r w:rsidR="00491DD2" w:rsidRPr="00D25D1B">
        <w:rPr>
          <w:rFonts w:ascii="Arial" w:hAnsi="Arial" w:cs="Arial"/>
          <w:sz w:val="20"/>
          <w:szCs w:val="20"/>
        </w:rPr>
        <w:t xml:space="preserve">t will </w:t>
      </w:r>
      <w:r w:rsidR="0024244D">
        <w:rPr>
          <w:rFonts w:ascii="Arial" w:hAnsi="Arial" w:cs="Arial"/>
          <w:sz w:val="20"/>
          <w:szCs w:val="20"/>
        </w:rPr>
        <w:t xml:space="preserve">almost certainly </w:t>
      </w:r>
      <w:r w:rsidR="00491DD2" w:rsidRPr="00D25D1B">
        <w:rPr>
          <w:rFonts w:ascii="Arial" w:hAnsi="Arial" w:cs="Arial"/>
          <w:sz w:val="20"/>
          <w:szCs w:val="20"/>
        </w:rPr>
        <w:t xml:space="preserve">be necessary – but not sufficient – </w:t>
      </w:r>
      <w:r w:rsidR="00793779">
        <w:rPr>
          <w:rFonts w:ascii="Arial" w:hAnsi="Arial" w:cs="Arial"/>
          <w:sz w:val="20"/>
          <w:szCs w:val="20"/>
        </w:rPr>
        <w:t xml:space="preserve">for researchers </w:t>
      </w:r>
      <w:r w:rsidR="00491DD2" w:rsidRPr="00D25D1B">
        <w:rPr>
          <w:rFonts w:ascii="Arial" w:hAnsi="Arial" w:cs="Arial"/>
          <w:sz w:val="20"/>
          <w:szCs w:val="20"/>
        </w:rPr>
        <w:t xml:space="preserve">to </w:t>
      </w:r>
      <w:r w:rsidR="00793779">
        <w:rPr>
          <w:rFonts w:ascii="Arial" w:hAnsi="Arial" w:cs="Arial"/>
          <w:sz w:val="20"/>
          <w:szCs w:val="20"/>
        </w:rPr>
        <w:t>interact</w:t>
      </w:r>
      <w:r w:rsidR="00A05EE4">
        <w:rPr>
          <w:rFonts w:ascii="Arial" w:hAnsi="Arial" w:cs="Arial"/>
          <w:sz w:val="20"/>
          <w:szCs w:val="20"/>
        </w:rPr>
        <w:t xml:space="preserve"> with </w:t>
      </w:r>
      <w:r w:rsidR="00793779">
        <w:rPr>
          <w:rFonts w:ascii="Arial" w:hAnsi="Arial" w:cs="Arial"/>
          <w:sz w:val="20"/>
          <w:szCs w:val="20"/>
        </w:rPr>
        <w:t xml:space="preserve">the potential users of research. That interaction is what constitutes engagement. Potential users may be </w:t>
      </w:r>
      <w:r w:rsidR="00A05EE4">
        <w:rPr>
          <w:rFonts w:ascii="Arial" w:hAnsi="Arial" w:cs="Arial"/>
          <w:sz w:val="20"/>
          <w:szCs w:val="20"/>
        </w:rPr>
        <w:t>stakeholders to who</w:t>
      </w:r>
      <w:r w:rsidR="00793779">
        <w:rPr>
          <w:rFonts w:ascii="Arial" w:hAnsi="Arial" w:cs="Arial"/>
          <w:sz w:val="20"/>
          <w:szCs w:val="20"/>
        </w:rPr>
        <w:t xml:space="preserve">m the research is relevant, such as </w:t>
      </w:r>
      <w:r w:rsidR="00491DD2" w:rsidRPr="00D25D1B">
        <w:rPr>
          <w:rFonts w:ascii="Arial" w:hAnsi="Arial" w:cs="Arial"/>
          <w:sz w:val="20"/>
          <w:szCs w:val="20"/>
        </w:rPr>
        <w:t>government, business, civil society organisations, parliament, the courts, and perhaps the media (as an avenue of getting organisation and institutional attention).</w:t>
      </w:r>
      <w:r w:rsidR="009A72B0">
        <w:rPr>
          <w:rStyle w:val="FootnoteReference"/>
          <w:rFonts w:ascii="Arial" w:hAnsi="Arial" w:cs="Arial"/>
          <w:sz w:val="20"/>
          <w:szCs w:val="20"/>
        </w:rPr>
        <w:footnoteReference w:id="15"/>
      </w:r>
      <w:r w:rsidR="00793779">
        <w:rPr>
          <w:rFonts w:ascii="Arial" w:hAnsi="Arial" w:cs="Arial"/>
          <w:sz w:val="20"/>
          <w:szCs w:val="20"/>
        </w:rPr>
        <w:t xml:space="preserve"> Engagement may be direct researcher</w:t>
      </w:r>
      <w:r w:rsidR="00FD7EE4">
        <w:rPr>
          <w:rFonts w:ascii="Arial" w:hAnsi="Arial" w:cs="Arial"/>
          <w:sz w:val="20"/>
          <w:szCs w:val="20"/>
        </w:rPr>
        <w:t>–</w:t>
      </w:r>
      <w:r w:rsidR="00793779">
        <w:rPr>
          <w:rFonts w:ascii="Arial" w:hAnsi="Arial" w:cs="Arial"/>
          <w:sz w:val="20"/>
          <w:szCs w:val="20"/>
        </w:rPr>
        <w:t xml:space="preserve">user interaction, or it may be via a third party, who may also be a user, who conveys research forward, whether in its original </w:t>
      </w:r>
      <w:r w:rsidR="00E06762">
        <w:rPr>
          <w:rFonts w:ascii="Arial" w:hAnsi="Arial" w:cs="Arial"/>
          <w:sz w:val="20"/>
          <w:szCs w:val="20"/>
        </w:rPr>
        <w:t xml:space="preserve">form </w:t>
      </w:r>
      <w:r w:rsidR="00793779">
        <w:rPr>
          <w:rFonts w:ascii="Arial" w:hAnsi="Arial" w:cs="Arial"/>
          <w:sz w:val="20"/>
          <w:szCs w:val="20"/>
        </w:rPr>
        <w:t xml:space="preserve">or in a way that will better suit particular user audiences. </w:t>
      </w:r>
      <w:r w:rsidR="008E02C6">
        <w:rPr>
          <w:rFonts w:ascii="Arial" w:hAnsi="Arial" w:cs="Arial"/>
          <w:sz w:val="20"/>
          <w:szCs w:val="20"/>
        </w:rPr>
        <w:t>But</w:t>
      </w:r>
      <w:r w:rsidR="005343FA">
        <w:rPr>
          <w:rFonts w:ascii="Arial" w:hAnsi="Arial" w:cs="Arial"/>
          <w:sz w:val="20"/>
          <w:szCs w:val="20"/>
        </w:rPr>
        <w:t>, while necessary,</w:t>
      </w:r>
      <w:r w:rsidR="00793779">
        <w:rPr>
          <w:rFonts w:ascii="Arial" w:hAnsi="Arial" w:cs="Arial"/>
          <w:sz w:val="20"/>
          <w:szCs w:val="20"/>
        </w:rPr>
        <w:t xml:space="preserve"> engagement</w:t>
      </w:r>
      <w:r w:rsidR="00491DD2" w:rsidRPr="00D25D1B">
        <w:rPr>
          <w:rFonts w:ascii="Arial" w:hAnsi="Arial" w:cs="Arial"/>
          <w:sz w:val="20"/>
          <w:szCs w:val="20"/>
        </w:rPr>
        <w:t xml:space="preserve"> will not be sufficient because there needs to be some effect from that engagement. That </w:t>
      </w:r>
      <w:r w:rsidR="0024244D">
        <w:rPr>
          <w:rFonts w:ascii="Arial" w:hAnsi="Arial" w:cs="Arial"/>
          <w:sz w:val="20"/>
          <w:szCs w:val="20"/>
        </w:rPr>
        <w:t xml:space="preserve">will rarely </w:t>
      </w:r>
      <w:r w:rsidR="00491DD2" w:rsidRPr="00D25D1B">
        <w:rPr>
          <w:rFonts w:ascii="Arial" w:hAnsi="Arial" w:cs="Arial"/>
          <w:sz w:val="20"/>
          <w:szCs w:val="20"/>
        </w:rPr>
        <w:t>be easy; no matter the evidence</w:t>
      </w:r>
      <w:r w:rsidR="0024244D">
        <w:rPr>
          <w:rFonts w:ascii="Arial" w:hAnsi="Arial" w:cs="Arial"/>
          <w:sz w:val="20"/>
          <w:szCs w:val="20"/>
        </w:rPr>
        <w:t xml:space="preserve"> that </w:t>
      </w:r>
      <w:r w:rsidR="008E02C6">
        <w:rPr>
          <w:rFonts w:ascii="Arial" w:hAnsi="Arial" w:cs="Arial"/>
          <w:sz w:val="20"/>
          <w:szCs w:val="20"/>
        </w:rPr>
        <w:t>research produces</w:t>
      </w:r>
      <w:r w:rsidR="00491DD2" w:rsidRPr="00D25D1B">
        <w:rPr>
          <w:rFonts w:ascii="Arial" w:hAnsi="Arial" w:cs="Arial"/>
          <w:sz w:val="20"/>
          <w:szCs w:val="20"/>
        </w:rPr>
        <w:t xml:space="preserve">, or </w:t>
      </w:r>
      <w:r w:rsidR="0024244D">
        <w:rPr>
          <w:rFonts w:ascii="Arial" w:hAnsi="Arial" w:cs="Arial"/>
          <w:sz w:val="20"/>
          <w:szCs w:val="20"/>
        </w:rPr>
        <w:t>its</w:t>
      </w:r>
      <w:r w:rsidR="00491DD2" w:rsidRPr="00D25D1B">
        <w:rPr>
          <w:rFonts w:ascii="Arial" w:hAnsi="Arial" w:cs="Arial"/>
          <w:sz w:val="20"/>
          <w:szCs w:val="20"/>
        </w:rPr>
        <w:t xml:space="preserve"> importance, </w:t>
      </w:r>
      <w:r w:rsidR="0024244D">
        <w:rPr>
          <w:rFonts w:ascii="Arial" w:hAnsi="Arial" w:cs="Arial"/>
          <w:sz w:val="20"/>
          <w:szCs w:val="20"/>
        </w:rPr>
        <w:t xml:space="preserve">it </w:t>
      </w:r>
      <w:r w:rsidR="00491DD2" w:rsidRPr="00D25D1B">
        <w:rPr>
          <w:rFonts w:ascii="Arial" w:hAnsi="Arial" w:cs="Arial"/>
          <w:sz w:val="20"/>
          <w:szCs w:val="20"/>
        </w:rPr>
        <w:t>wil</w:t>
      </w:r>
      <w:r w:rsidR="0024244D">
        <w:rPr>
          <w:rFonts w:ascii="Arial" w:hAnsi="Arial" w:cs="Arial"/>
          <w:sz w:val="20"/>
          <w:szCs w:val="20"/>
        </w:rPr>
        <w:t>l not necessarily change things</w:t>
      </w:r>
      <w:r w:rsidR="00491DD2" w:rsidRPr="00D25D1B">
        <w:rPr>
          <w:rFonts w:ascii="Arial" w:hAnsi="Arial" w:cs="Arial"/>
          <w:sz w:val="20"/>
          <w:szCs w:val="20"/>
        </w:rPr>
        <w:t xml:space="preserve">. </w:t>
      </w:r>
      <w:r w:rsidR="00AA3FCF">
        <w:rPr>
          <w:rFonts w:ascii="Arial" w:hAnsi="Arial" w:cs="Arial"/>
          <w:sz w:val="20"/>
          <w:szCs w:val="20"/>
        </w:rPr>
        <w:t xml:space="preserve">A research user may </w:t>
      </w:r>
      <w:r w:rsidR="00A97436">
        <w:rPr>
          <w:rFonts w:ascii="Arial" w:hAnsi="Arial" w:cs="Arial"/>
          <w:sz w:val="20"/>
          <w:szCs w:val="20"/>
        </w:rPr>
        <w:t xml:space="preserve">of course </w:t>
      </w:r>
      <w:r w:rsidR="00FD2E57">
        <w:rPr>
          <w:rFonts w:ascii="Arial" w:hAnsi="Arial" w:cs="Arial"/>
          <w:sz w:val="20"/>
          <w:szCs w:val="20"/>
        </w:rPr>
        <w:t>draw on</w:t>
      </w:r>
      <w:r w:rsidR="00AA3FCF">
        <w:rPr>
          <w:rFonts w:ascii="Arial" w:hAnsi="Arial" w:cs="Arial"/>
          <w:sz w:val="20"/>
          <w:szCs w:val="20"/>
        </w:rPr>
        <w:t xml:space="preserve"> academic research without the academic ever being involved</w:t>
      </w:r>
      <w:r w:rsidR="00D62E97">
        <w:rPr>
          <w:rFonts w:ascii="Arial" w:hAnsi="Arial" w:cs="Arial"/>
          <w:sz w:val="20"/>
          <w:szCs w:val="20"/>
        </w:rPr>
        <w:t xml:space="preserve"> after publication</w:t>
      </w:r>
      <w:r w:rsidR="00AA3FCF">
        <w:rPr>
          <w:rFonts w:ascii="Arial" w:hAnsi="Arial" w:cs="Arial"/>
          <w:sz w:val="20"/>
          <w:szCs w:val="20"/>
        </w:rPr>
        <w:t>, but</w:t>
      </w:r>
      <w:r w:rsidR="00D62E97">
        <w:rPr>
          <w:rFonts w:ascii="Arial" w:hAnsi="Arial" w:cs="Arial"/>
          <w:sz w:val="20"/>
          <w:szCs w:val="20"/>
        </w:rPr>
        <w:t xml:space="preserve"> </w:t>
      </w:r>
      <w:r w:rsidR="00A97436">
        <w:rPr>
          <w:rFonts w:ascii="Arial" w:hAnsi="Arial" w:cs="Arial"/>
          <w:sz w:val="20"/>
          <w:szCs w:val="20"/>
        </w:rPr>
        <w:t xml:space="preserve">the active involvement of the academic should </w:t>
      </w:r>
      <w:r w:rsidR="00AA3FCF">
        <w:rPr>
          <w:rFonts w:ascii="Arial" w:hAnsi="Arial" w:cs="Arial"/>
          <w:sz w:val="20"/>
          <w:szCs w:val="20"/>
        </w:rPr>
        <w:t>increase the likelihood, scope and effects of impact.</w:t>
      </w:r>
      <w:r w:rsidR="00E43D98">
        <w:rPr>
          <w:rFonts w:ascii="Arial" w:hAnsi="Arial" w:cs="Arial"/>
          <w:sz w:val="20"/>
          <w:szCs w:val="20"/>
        </w:rPr>
        <w:t xml:space="preserve"> </w:t>
      </w:r>
      <w:r w:rsidR="00B64649">
        <w:rPr>
          <w:rFonts w:ascii="Arial" w:hAnsi="Arial" w:cs="Arial"/>
          <w:sz w:val="20"/>
          <w:szCs w:val="20"/>
        </w:rPr>
        <w:t>Strategically</w:t>
      </w:r>
      <w:r w:rsidR="00A97436">
        <w:rPr>
          <w:rFonts w:ascii="Arial" w:hAnsi="Arial" w:cs="Arial"/>
          <w:sz w:val="20"/>
          <w:szCs w:val="20"/>
        </w:rPr>
        <w:t>, engagement</w:t>
      </w:r>
      <w:r w:rsidR="00E43D98">
        <w:rPr>
          <w:rFonts w:ascii="Arial" w:hAnsi="Arial" w:cs="Arial"/>
          <w:sz w:val="20"/>
          <w:szCs w:val="20"/>
        </w:rPr>
        <w:t xml:space="preserve"> will </w:t>
      </w:r>
      <w:r w:rsidR="00B64649">
        <w:rPr>
          <w:rFonts w:ascii="Arial" w:hAnsi="Arial" w:cs="Arial"/>
          <w:sz w:val="20"/>
          <w:szCs w:val="20"/>
        </w:rPr>
        <w:t xml:space="preserve">also </w:t>
      </w:r>
      <w:r w:rsidR="00E43D98">
        <w:rPr>
          <w:rFonts w:ascii="Arial" w:hAnsi="Arial" w:cs="Arial"/>
          <w:sz w:val="20"/>
          <w:szCs w:val="20"/>
        </w:rPr>
        <w:t xml:space="preserve">be important for </w:t>
      </w:r>
      <w:r w:rsidR="00A95379">
        <w:rPr>
          <w:rFonts w:ascii="Arial" w:hAnsi="Arial" w:cs="Arial"/>
          <w:sz w:val="20"/>
          <w:szCs w:val="20"/>
        </w:rPr>
        <w:t xml:space="preserve">explaining impact plans and for </w:t>
      </w:r>
      <w:r w:rsidR="00E43D98">
        <w:rPr>
          <w:rFonts w:ascii="Arial" w:hAnsi="Arial" w:cs="Arial"/>
          <w:sz w:val="20"/>
          <w:szCs w:val="20"/>
        </w:rPr>
        <w:t>securing ev</w:t>
      </w:r>
      <w:r w:rsidR="00A97436">
        <w:rPr>
          <w:rFonts w:ascii="Arial" w:hAnsi="Arial" w:cs="Arial"/>
          <w:sz w:val="20"/>
          <w:szCs w:val="20"/>
        </w:rPr>
        <w:t>idence of impact, which are</w:t>
      </w:r>
      <w:r w:rsidR="00A95379">
        <w:rPr>
          <w:rFonts w:ascii="Arial" w:hAnsi="Arial" w:cs="Arial"/>
          <w:sz w:val="20"/>
          <w:szCs w:val="20"/>
        </w:rPr>
        <w:t xml:space="preserve"> </w:t>
      </w:r>
      <w:r w:rsidR="00E43D98">
        <w:rPr>
          <w:rFonts w:ascii="Arial" w:hAnsi="Arial" w:cs="Arial"/>
          <w:sz w:val="20"/>
          <w:szCs w:val="20"/>
        </w:rPr>
        <w:t>standard demand</w:t>
      </w:r>
      <w:r w:rsidR="00A97436">
        <w:rPr>
          <w:rFonts w:ascii="Arial" w:hAnsi="Arial" w:cs="Arial"/>
          <w:sz w:val="20"/>
          <w:szCs w:val="20"/>
        </w:rPr>
        <w:t>s</w:t>
      </w:r>
      <w:r w:rsidR="00E43D98">
        <w:rPr>
          <w:rFonts w:ascii="Arial" w:hAnsi="Arial" w:cs="Arial"/>
          <w:sz w:val="20"/>
          <w:szCs w:val="20"/>
        </w:rPr>
        <w:t xml:space="preserve"> of funders and assessors. </w:t>
      </w:r>
    </w:p>
    <w:p w14:paraId="7EE37E59" w14:textId="1D5AB784" w:rsidR="006A45F7" w:rsidRDefault="00AA3FCF" w:rsidP="000A607D">
      <w:pPr>
        <w:tabs>
          <w:tab w:val="left" w:pos="6882"/>
        </w:tabs>
        <w:spacing w:line="480" w:lineRule="auto"/>
        <w:rPr>
          <w:rFonts w:ascii="Arial" w:hAnsi="Arial" w:cs="Arial"/>
          <w:sz w:val="20"/>
          <w:szCs w:val="20"/>
        </w:rPr>
      </w:pPr>
      <w:r>
        <w:rPr>
          <w:rFonts w:ascii="Arial" w:hAnsi="Arial" w:cs="Arial"/>
          <w:sz w:val="20"/>
          <w:szCs w:val="20"/>
        </w:rPr>
        <w:t xml:space="preserve"> </w:t>
      </w:r>
    </w:p>
    <w:p w14:paraId="1879C22F" w14:textId="77777777" w:rsidR="003359B4" w:rsidRDefault="003359B4" w:rsidP="000A607D">
      <w:pPr>
        <w:tabs>
          <w:tab w:val="left" w:pos="6882"/>
        </w:tabs>
        <w:spacing w:line="480" w:lineRule="auto"/>
        <w:rPr>
          <w:rFonts w:ascii="Arial" w:hAnsi="Arial" w:cs="Arial"/>
          <w:sz w:val="20"/>
          <w:szCs w:val="20"/>
        </w:rPr>
      </w:pPr>
    </w:p>
    <w:p w14:paraId="59A9A5C5" w14:textId="5FEB7D2A" w:rsidR="0039010C" w:rsidRPr="004A0A09" w:rsidRDefault="00BF64C2" w:rsidP="00766CCE">
      <w:pPr>
        <w:pStyle w:val="ListParagraph"/>
        <w:numPr>
          <w:ilvl w:val="0"/>
          <w:numId w:val="12"/>
        </w:numPr>
        <w:spacing w:line="480" w:lineRule="auto"/>
        <w:rPr>
          <w:rFonts w:ascii="Arial" w:hAnsi="Arial" w:cs="Arial"/>
          <w:b/>
          <w:sz w:val="20"/>
          <w:szCs w:val="20"/>
        </w:rPr>
      </w:pPr>
      <w:r w:rsidRPr="004A0A09">
        <w:rPr>
          <w:rFonts w:ascii="Arial" w:hAnsi="Arial" w:cs="Arial"/>
          <w:b/>
          <w:sz w:val="20"/>
          <w:szCs w:val="20"/>
        </w:rPr>
        <w:lastRenderedPageBreak/>
        <w:t>Engagement in m</w:t>
      </w:r>
      <w:r w:rsidR="0039010C" w:rsidRPr="004A0A09">
        <w:rPr>
          <w:rFonts w:ascii="Arial" w:hAnsi="Arial" w:cs="Arial"/>
          <w:b/>
          <w:sz w:val="20"/>
          <w:szCs w:val="20"/>
        </w:rPr>
        <w:t>odels of impact</w:t>
      </w:r>
    </w:p>
    <w:p w14:paraId="72A00479" w14:textId="370EFE48" w:rsidR="006F301F" w:rsidRDefault="005676E5" w:rsidP="0055158B">
      <w:pPr>
        <w:spacing w:line="480" w:lineRule="auto"/>
        <w:rPr>
          <w:rFonts w:ascii="Arial" w:hAnsi="Arial" w:cs="Arial"/>
          <w:sz w:val="20"/>
          <w:szCs w:val="20"/>
        </w:rPr>
      </w:pPr>
      <w:r>
        <w:rPr>
          <w:rFonts w:ascii="Arial" w:hAnsi="Arial" w:cs="Arial"/>
          <w:sz w:val="20"/>
          <w:szCs w:val="20"/>
        </w:rPr>
        <w:t>The interaction</w:t>
      </w:r>
      <w:r w:rsidR="00B65B75">
        <w:rPr>
          <w:rFonts w:ascii="Arial" w:hAnsi="Arial" w:cs="Arial"/>
          <w:sz w:val="20"/>
          <w:szCs w:val="20"/>
        </w:rPr>
        <w:t>s</w:t>
      </w:r>
      <w:r>
        <w:rPr>
          <w:rFonts w:ascii="Arial" w:hAnsi="Arial" w:cs="Arial"/>
          <w:sz w:val="20"/>
          <w:szCs w:val="20"/>
        </w:rPr>
        <w:t xml:space="preserve"> that lead to impact are </w:t>
      </w:r>
      <w:r w:rsidR="00F8614A">
        <w:rPr>
          <w:rFonts w:ascii="Arial" w:hAnsi="Arial" w:cs="Arial"/>
          <w:sz w:val="20"/>
          <w:szCs w:val="20"/>
        </w:rPr>
        <w:t>complex and variable</w:t>
      </w:r>
      <w:r>
        <w:rPr>
          <w:rFonts w:ascii="Arial" w:hAnsi="Arial" w:cs="Arial"/>
          <w:sz w:val="20"/>
          <w:szCs w:val="20"/>
        </w:rPr>
        <w:t xml:space="preserve">, not least because it is difficult to identify or isolate specific interactions </w:t>
      </w:r>
      <w:r w:rsidR="00B65B75">
        <w:rPr>
          <w:rFonts w:ascii="Arial" w:hAnsi="Arial" w:cs="Arial"/>
          <w:sz w:val="20"/>
          <w:szCs w:val="20"/>
        </w:rPr>
        <w:t xml:space="preserve">that </w:t>
      </w:r>
      <w:r>
        <w:rPr>
          <w:rFonts w:ascii="Arial" w:hAnsi="Arial" w:cs="Arial"/>
          <w:sz w:val="20"/>
          <w:szCs w:val="20"/>
        </w:rPr>
        <w:t xml:space="preserve">result in impact. </w:t>
      </w:r>
      <w:r w:rsidR="0055158B">
        <w:rPr>
          <w:rFonts w:ascii="Arial" w:hAnsi="Arial" w:cs="Arial"/>
          <w:sz w:val="20"/>
          <w:szCs w:val="20"/>
        </w:rPr>
        <w:t>What matters, though, is engagement is essential for impact. As Lemay and Sá have noted, ‘the most widely accepted framing of research use is that meaningful interaction between researcher and user is critical for effective uptake of research</w:t>
      </w:r>
      <w:r w:rsidR="00EF0C09">
        <w:rPr>
          <w:rFonts w:ascii="Arial" w:hAnsi="Arial" w:cs="Arial"/>
          <w:sz w:val="20"/>
          <w:szCs w:val="20"/>
        </w:rPr>
        <w:t>’</w:t>
      </w:r>
      <w:r w:rsidR="0055158B">
        <w:rPr>
          <w:rFonts w:ascii="Arial" w:hAnsi="Arial" w:cs="Arial"/>
          <w:sz w:val="20"/>
          <w:szCs w:val="20"/>
        </w:rPr>
        <w:t>.</w:t>
      </w:r>
      <w:r w:rsidR="0055158B">
        <w:rPr>
          <w:rStyle w:val="FootnoteReference"/>
          <w:rFonts w:ascii="Arial" w:hAnsi="Arial" w:cs="Arial"/>
          <w:sz w:val="20"/>
          <w:szCs w:val="20"/>
        </w:rPr>
        <w:footnoteReference w:id="16"/>
      </w:r>
    </w:p>
    <w:p w14:paraId="0A0C88F5" w14:textId="77777777" w:rsidR="006F301F" w:rsidRDefault="006F301F" w:rsidP="0055158B">
      <w:pPr>
        <w:spacing w:line="480" w:lineRule="auto"/>
        <w:rPr>
          <w:rFonts w:ascii="Arial" w:hAnsi="Arial" w:cs="Arial"/>
          <w:sz w:val="20"/>
          <w:szCs w:val="20"/>
        </w:rPr>
      </w:pPr>
    </w:p>
    <w:p w14:paraId="1BBB14C6" w14:textId="17D83145" w:rsidR="0000642B" w:rsidRDefault="005676E5" w:rsidP="0055158B">
      <w:pPr>
        <w:spacing w:line="480" w:lineRule="auto"/>
        <w:rPr>
          <w:rFonts w:ascii="Arial" w:hAnsi="Arial" w:cs="Arial"/>
          <w:sz w:val="20"/>
          <w:szCs w:val="20"/>
        </w:rPr>
      </w:pPr>
      <w:r w:rsidRPr="00E23142">
        <w:rPr>
          <w:rFonts w:ascii="Arial" w:hAnsi="Arial" w:cs="Arial"/>
          <w:sz w:val="20"/>
          <w:szCs w:val="20"/>
        </w:rPr>
        <w:t>Bastow et al</w:t>
      </w:r>
      <w:r w:rsidR="00E23142">
        <w:rPr>
          <w:rFonts w:ascii="Arial" w:hAnsi="Arial" w:cs="Arial"/>
          <w:sz w:val="20"/>
          <w:szCs w:val="20"/>
        </w:rPr>
        <w:t>.</w:t>
      </w:r>
      <w:r w:rsidRPr="00E23142">
        <w:rPr>
          <w:rFonts w:ascii="Arial" w:hAnsi="Arial" w:cs="Arial"/>
          <w:sz w:val="20"/>
          <w:szCs w:val="20"/>
        </w:rPr>
        <w:t>,</w:t>
      </w:r>
      <w:r>
        <w:rPr>
          <w:rFonts w:ascii="Arial" w:hAnsi="Arial" w:cs="Arial"/>
          <w:sz w:val="20"/>
          <w:szCs w:val="20"/>
        </w:rPr>
        <w:t xml:space="preserve"> defining impact as ‘an auditable or recordable occasion of influence’</w:t>
      </w:r>
      <w:r w:rsidR="00E80E79">
        <w:rPr>
          <w:rFonts w:ascii="Arial" w:hAnsi="Arial" w:cs="Arial"/>
          <w:sz w:val="20"/>
          <w:szCs w:val="20"/>
        </w:rPr>
        <w:t>,</w:t>
      </w:r>
      <w:r>
        <w:rPr>
          <w:rStyle w:val="FootnoteReference"/>
          <w:rFonts w:ascii="Arial" w:hAnsi="Arial" w:cs="Arial"/>
          <w:sz w:val="20"/>
          <w:szCs w:val="20"/>
        </w:rPr>
        <w:footnoteReference w:id="17"/>
      </w:r>
      <w:r>
        <w:rPr>
          <w:rFonts w:ascii="Arial" w:hAnsi="Arial" w:cs="Arial"/>
          <w:sz w:val="20"/>
          <w:szCs w:val="20"/>
        </w:rPr>
        <w:t xml:space="preserve"> manage the </w:t>
      </w:r>
      <w:r w:rsidR="0000642B">
        <w:rPr>
          <w:rFonts w:ascii="Arial" w:hAnsi="Arial" w:cs="Arial"/>
          <w:sz w:val="20"/>
          <w:szCs w:val="20"/>
        </w:rPr>
        <w:t xml:space="preserve">difficulty of measuring actual influence </w:t>
      </w:r>
      <w:r>
        <w:rPr>
          <w:rFonts w:ascii="Arial" w:hAnsi="Arial" w:cs="Arial"/>
          <w:sz w:val="20"/>
          <w:szCs w:val="20"/>
        </w:rPr>
        <w:t>by</w:t>
      </w:r>
      <w:r w:rsidR="0000642B">
        <w:rPr>
          <w:rFonts w:ascii="Arial" w:hAnsi="Arial" w:cs="Arial"/>
          <w:sz w:val="20"/>
          <w:szCs w:val="20"/>
        </w:rPr>
        <w:t xml:space="preserve"> focu</w:t>
      </w:r>
      <w:r>
        <w:rPr>
          <w:rFonts w:ascii="Arial" w:hAnsi="Arial" w:cs="Arial"/>
          <w:sz w:val="20"/>
          <w:szCs w:val="20"/>
        </w:rPr>
        <w:t>sing</w:t>
      </w:r>
      <w:r w:rsidR="0000642B">
        <w:rPr>
          <w:rFonts w:ascii="Arial" w:hAnsi="Arial" w:cs="Arial"/>
          <w:sz w:val="20"/>
          <w:szCs w:val="20"/>
        </w:rPr>
        <w:t xml:space="preserve"> </w:t>
      </w:r>
      <w:r>
        <w:rPr>
          <w:rFonts w:ascii="Arial" w:hAnsi="Arial" w:cs="Arial"/>
          <w:sz w:val="20"/>
          <w:szCs w:val="20"/>
        </w:rPr>
        <w:t xml:space="preserve">instead </w:t>
      </w:r>
      <w:r w:rsidR="0000642B">
        <w:rPr>
          <w:rFonts w:ascii="Arial" w:hAnsi="Arial" w:cs="Arial"/>
          <w:sz w:val="20"/>
          <w:szCs w:val="20"/>
        </w:rPr>
        <w:t>on:</w:t>
      </w:r>
    </w:p>
    <w:p w14:paraId="7318BAC8" w14:textId="063B7D20" w:rsidR="0000642B" w:rsidRDefault="0000642B" w:rsidP="006F301F">
      <w:pPr>
        <w:spacing w:line="480" w:lineRule="auto"/>
        <w:ind w:left="720"/>
        <w:rPr>
          <w:rFonts w:ascii="Arial" w:hAnsi="Arial" w:cs="Arial"/>
          <w:sz w:val="20"/>
          <w:szCs w:val="20"/>
        </w:rPr>
      </w:pPr>
      <w:r>
        <w:rPr>
          <w:rFonts w:ascii="Arial" w:hAnsi="Arial" w:cs="Arial"/>
          <w:sz w:val="20"/>
          <w:szCs w:val="20"/>
        </w:rPr>
        <w:t xml:space="preserve">establish[ing] that a </w:t>
      </w:r>
      <w:r>
        <w:rPr>
          <w:rFonts w:ascii="Arial" w:hAnsi="Arial" w:cs="Arial"/>
          <w:i/>
          <w:sz w:val="20"/>
          <w:szCs w:val="20"/>
        </w:rPr>
        <w:t xml:space="preserve">potential </w:t>
      </w:r>
      <w:r>
        <w:rPr>
          <w:rFonts w:ascii="Arial" w:hAnsi="Arial" w:cs="Arial"/>
          <w:sz w:val="20"/>
          <w:szCs w:val="20"/>
        </w:rPr>
        <w:t xml:space="preserve">for influence … on external audiences occurred, in a way for which evidence exists. This is a deliberately minimalist or first-stage approach. An occasion of influence arises when we can show that an outside decision-maker or actor was in contact with and aware of academic work or of research. But we go no further than that up the causal chain.  …  To do more is methodologically infeasible in the inherently complex, multi-causal environments of action </w:t>
      </w:r>
      <w:r w:rsidR="00B71E60">
        <w:rPr>
          <w:rFonts w:ascii="Arial" w:hAnsi="Arial" w:cs="Arial"/>
          <w:sz w:val="20"/>
          <w:szCs w:val="20"/>
        </w:rPr>
        <w:t>….</w:t>
      </w:r>
      <w:r w:rsidR="00B71E60">
        <w:rPr>
          <w:rStyle w:val="FootnoteReference"/>
          <w:rFonts w:ascii="Arial" w:hAnsi="Arial" w:cs="Arial"/>
          <w:sz w:val="20"/>
          <w:szCs w:val="20"/>
        </w:rPr>
        <w:footnoteReference w:id="18"/>
      </w:r>
      <w:r w:rsidR="00B71E60">
        <w:rPr>
          <w:rFonts w:ascii="Arial" w:hAnsi="Arial" w:cs="Arial"/>
          <w:sz w:val="20"/>
          <w:szCs w:val="20"/>
        </w:rPr>
        <w:t xml:space="preserve">    </w:t>
      </w:r>
      <w:r>
        <w:rPr>
          <w:rFonts w:ascii="Arial" w:hAnsi="Arial" w:cs="Arial"/>
          <w:sz w:val="20"/>
          <w:szCs w:val="20"/>
        </w:rPr>
        <w:t xml:space="preserve">  </w:t>
      </w:r>
    </w:p>
    <w:p w14:paraId="7E4922D3" w14:textId="079BCD66" w:rsidR="009D12D8" w:rsidRDefault="005676E5" w:rsidP="00E51F2A">
      <w:pPr>
        <w:spacing w:line="480" w:lineRule="auto"/>
        <w:rPr>
          <w:rFonts w:ascii="Arial" w:hAnsi="Arial" w:cs="Arial"/>
          <w:sz w:val="20"/>
          <w:szCs w:val="20"/>
        </w:rPr>
      </w:pPr>
      <w:r>
        <w:rPr>
          <w:rFonts w:ascii="Arial" w:hAnsi="Arial" w:cs="Arial"/>
          <w:sz w:val="20"/>
          <w:szCs w:val="20"/>
        </w:rPr>
        <w:t>This is a low threshold if it were to be understood as a proxy</w:t>
      </w:r>
      <w:r w:rsidR="00613DC7">
        <w:rPr>
          <w:rFonts w:ascii="Arial" w:hAnsi="Arial" w:cs="Arial"/>
          <w:sz w:val="20"/>
          <w:szCs w:val="20"/>
        </w:rPr>
        <w:t xml:space="preserve"> or substitute </w:t>
      </w:r>
      <w:r>
        <w:rPr>
          <w:rFonts w:ascii="Arial" w:hAnsi="Arial" w:cs="Arial"/>
          <w:sz w:val="20"/>
          <w:szCs w:val="20"/>
        </w:rPr>
        <w:t>for impact</w:t>
      </w:r>
      <w:r w:rsidR="009D12D8">
        <w:rPr>
          <w:rFonts w:ascii="Arial" w:hAnsi="Arial" w:cs="Arial"/>
          <w:sz w:val="20"/>
          <w:szCs w:val="20"/>
        </w:rPr>
        <w:t xml:space="preserve"> because clearly it is not looking at effect</w:t>
      </w:r>
      <w:r>
        <w:rPr>
          <w:rFonts w:ascii="Arial" w:hAnsi="Arial" w:cs="Arial"/>
          <w:sz w:val="20"/>
          <w:szCs w:val="20"/>
        </w:rPr>
        <w:t xml:space="preserve">. </w:t>
      </w:r>
      <w:r w:rsidR="0000642B">
        <w:rPr>
          <w:rFonts w:ascii="Arial" w:hAnsi="Arial" w:cs="Arial"/>
          <w:sz w:val="20"/>
          <w:szCs w:val="20"/>
        </w:rPr>
        <w:t xml:space="preserve">A higher </w:t>
      </w:r>
      <w:r w:rsidR="004F3AEF">
        <w:rPr>
          <w:rFonts w:ascii="Arial" w:hAnsi="Arial" w:cs="Arial"/>
          <w:sz w:val="20"/>
          <w:szCs w:val="20"/>
        </w:rPr>
        <w:t xml:space="preserve">threshold </w:t>
      </w:r>
      <w:r w:rsidR="009D12D8">
        <w:rPr>
          <w:rFonts w:ascii="Arial" w:hAnsi="Arial" w:cs="Arial"/>
          <w:sz w:val="20"/>
          <w:szCs w:val="20"/>
        </w:rPr>
        <w:t xml:space="preserve">can be found in Australian work where engagement is </w:t>
      </w:r>
      <w:r w:rsidR="00FF4FD1">
        <w:rPr>
          <w:rFonts w:ascii="Arial" w:hAnsi="Arial" w:cs="Arial"/>
          <w:sz w:val="20"/>
          <w:szCs w:val="20"/>
        </w:rPr>
        <w:t>‘</w:t>
      </w:r>
      <w:r w:rsidR="0000642B">
        <w:rPr>
          <w:rFonts w:ascii="Arial" w:hAnsi="Arial" w:cs="Arial"/>
          <w:sz w:val="20"/>
          <w:szCs w:val="20"/>
        </w:rPr>
        <w:t>t</w:t>
      </w:r>
      <w:r w:rsidR="0000642B" w:rsidRPr="005C59D9">
        <w:rPr>
          <w:rFonts w:ascii="Arial" w:hAnsi="Arial" w:cs="Arial"/>
          <w:sz w:val="20"/>
          <w:szCs w:val="20"/>
        </w:rPr>
        <w:t>he interaction between researchers and research</w:t>
      </w:r>
      <w:r w:rsidR="0000642B">
        <w:rPr>
          <w:rFonts w:ascii="Arial" w:hAnsi="Arial" w:cs="Arial"/>
          <w:sz w:val="20"/>
          <w:szCs w:val="20"/>
        </w:rPr>
        <w:t xml:space="preserve"> organisations and their larger c</w:t>
      </w:r>
      <w:r w:rsidR="0000642B" w:rsidRPr="005C59D9">
        <w:rPr>
          <w:rFonts w:ascii="Arial" w:hAnsi="Arial" w:cs="Arial"/>
          <w:sz w:val="20"/>
          <w:szCs w:val="20"/>
        </w:rPr>
        <w:t>ommunities/industries for the mutually beneficial exchange of knowledge, understanding and resources in a context of partnership and reciprocity</w:t>
      </w:r>
      <w:r w:rsidR="00FF4FD1">
        <w:rPr>
          <w:rFonts w:ascii="Arial" w:hAnsi="Arial" w:cs="Arial"/>
          <w:sz w:val="20"/>
          <w:szCs w:val="20"/>
        </w:rPr>
        <w:t>’</w:t>
      </w:r>
      <w:r w:rsidR="00EF0C09">
        <w:rPr>
          <w:rFonts w:ascii="Arial" w:hAnsi="Arial" w:cs="Arial"/>
          <w:sz w:val="20"/>
          <w:szCs w:val="20"/>
        </w:rPr>
        <w:t>.</w:t>
      </w:r>
      <w:r w:rsidR="0000642B">
        <w:rPr>
          <w:rStyle w:val="FootnoteReference"/>
          <w:rFonts w:ascii="Arial" w:hAnsi="Arial" w:cs="Arial"/>
          <w:sz w:val="20"/>
          <w:szCs w:val="20"/>
        </w:rPr>
        <w:footnoteReference w:id="19"/>
      </w:r>
      <w:r w:rsidR="00F3105A">
        <w:rPr>
          <w:rFonts w:ascii="Arial" w:hAnsi="Arial" w:cs="Arial"/>
          <w:sz w:val="20"/>
          <w:szCs w:val="20"/>
        </w:rPr>
        <w:t xml:space="preserve"> </w:t>
      </w:r>
      <w:r w:rsidR="009D12D8">
        <w:rPr>
          <w:rFonts w:ascii="Arial" w:hAnsi="Arial" w:cs="Arial"/>
          <w:sz w:val="20"/>
          <w:szCs w:val="20"/>
        </w:rPr>
        <w:t>However, w</w:t>
      </w:r>
      <w:r w:rsidR="00453A11">
        <w:rPr>
          <w:rFonts w:ascii="Arial" w:hAnsi="Arial" w:cs="Arial"/>
          <w:sz w:val="20"/>
          <w:szCs w:val="20"/>
        </w:rPr>
        <w:t>ith the focus on interaction</w:t>
      </w:r>
      <w:r w:rsidR="009D12D8">
        <w:rPr>
          <w:rFonts w:ascii="Arial" w:hAnsi="Arial" w:cs="Arial"/>
          <w:sz w:val="20"/>
          <w:szCs w:val="20"/>
        </w:rPr>
        <w:t>,</w:t>
      </w:r>
      <w:r w:rsidR="00453A11">
        <w:rPr>
          <w:rFonts w:ascii="Arial" w:hAnsi="Arial" w:cs="Arial"/>
          <w:sz w:val="20"/>
          <w:szCs w:val="20"/>
        </w:rPr>
        <w:t xml:space="preserve"> it </w:t>
      </w:r>
      <w:r w:rsidR="00B40CAA">
        <w:rPr>
          <w:rFonts w:ascii="Arial" w:hAnsi="Arial" w:cs="Arial"/>
          <w:sz w:val="20"/>
          <w:szCs w:val="20"/>
        </w:rPr>
        <w:t xml:space="preserve">is </w:t>
      </w:r>
      <w:r w:rsidR="00453A11">
        <w:rPr>
          <w:rFonts w:ascii="Arial" w:hAnsi="Arial" w:cs="Arial"/>
          <w:sz w:val="20"/>
          <w:szCs w:val="20"/>
        </w:rPr>
        <w:t>still not impact in the REF sense</w:t>
      </w:r>
      <w:r w:rsidR="009D12D8">
        <w:rPr>
          <w:rFonts w:ascii="Arial" w:hAnsi="Arial" w:cs="Arial"/>
          <w:sz w:val="20"/>
          <w:szCs w:val="20"/>
        </w:rPr>
        <w:t xml:space="preserve"> of effect</w:t>
      </w:r>
      <w:r w:rsidR="00453A11">
        <w:rPr>
          <w:rFonts w:ascii="Arial" w:hAnsi="Arial" w:cs="Arial"/>
          <w:sz w:val="20"/>
          <w:szCs w:val="20"/>
        </w:rPr>
        <w:t>.</w:t>
      </w:r>
    </w:p>
    <w:p w14:paraId="1BE14C61" w14:textId="77777777" w:rsidR="009D12D8" w:rsidRDefault="009D12D8" w:rsidP="00E51F2A">
      <w:pPr>
        <w:spacing w:line="480" w:lineRule="auto"/>
        <w:rPr>
          <w:rFonts w:ascii="Arial" w:hAnsi="Arial" w:cs="Arial"/>
          <w:sz w:val="20"/>
          <w:szCs w:val="20"/>
        </w:rPr>
      </w:pPr>
    </w:p>
    <w:p w14:paraId="4651B1CA" w14:textId="52FAAD06" w:rsidR="00FB0DFB" w:rsidRDefault="00FB0DFB" w:rsidP="00E51F2A">
      <w:pPr>
        <w:spacing w:line="480" w:lineRule="auto"/>
        <w:rPr>
          <w:rFonts w:ascii="Arial" w:hAnsi="Arial" w:cs="Arial"/>
          <w:sz w:val="20"/>
          <w:szCs w:val="20"/>
        </w:rPr>
      </w:pPr>
      <w:r>
        <w:rPr>
          <w:rFonts w:ascii="Arial" w:hAnsi="Arial" w:cs="Arial"/>
          <w:sz w:val="20"/>
          <w:szCs w:val="20"/>
        </w:rPr>
        <w:t>I am not proposing that engagement should be viewed as impact</w:t>
      </w:r>
      <w:r w:rsidR="00613DC7">
        <w:rPr>
          <w:rFonts w:ascii="Arial" w:hAnsi="Arial" w:cs="Arial"/>
          <w:sz w:val="20"/>
          <w:szCs w:val="20"/>
        </w:rPr>
        <w:t xml:space="preserve"> or should replace any REF definitions. Rather, I am suggesting that</w:t>
      </w:r>
      <w:r w:rsidR="000D2CBC">
        <w:rPr>
          <w:rFonts w:ascii="Arial" w:hAnsi="Arial" w:cs="Arial"/>
          <w:sz w:val="20"/>
          <w:szCs w:val="20"/>
        </w:rPr>
        <w:t>,</w:t>
      </w:r>
      <w:r>
        <w:rPr>
          <w:rFonts w:ascii="Arial" w:hAnsi="Arial" w:cs="Arial"/>
          <w:sz w:val="20"/>
          <w:szCs w:val="20"/>
        </w:rPr>
        <w:t xml:space="preserve"> to understand and enhance impact, </w:t>
      </w:r>
      <w:r w:rsidR="00A67D2A">
        <w:rPr>
          <w:rFonts w:ascii="Arial" w:hAnsi="Arial" w:cs="Arial"/>
          <w:sz w:val="20"/>
          <w:szCs w:val="20"/>
        </w:rPr>
        <w:t>the most productive path will be to enrich our</w:t>
      </w:r>
      <w:r>
        <w:rPr>
          <w:rFonts w:ascii="Arial" w:hAnsi="Arial" w:cs="Arial"/>
          <w:sz w:val="20"/>
          <w:szCs w:val="20"/>
        </w:rPr>
        <w:t xml:space="preserve"> understand</w:t>
      </w:r>
      <w:r w:rsidR="00A67D2A">
        <w:rPr>
          <w:rFonts w:ascii="Arial" w:hAnsi="Arial" w:cs="Arial"/>
          <w:sz w:val="20"/>
          <w:szCs w:val="20"/>
        </w:rPr>
        <w:t>ing of</w:t>
      </w:r>
      <w:r>
        <w:rPr>
          <w:rFonts w:ascii="Arial" w:hAnsi="Arial" w:cs="Arial"/>
          <w:sz w:val="20"/>
          <w:szCs w:val="20"/>
        </w:rPr>
        <w:t xml:space="preserve"> the interactions between researchers and research users.</w:t>
      </w:r>
    </w:p>
    <w:p w14:paraId="338AD9C5" w14:textId="77777777" w:rsidR="00BE4B44" w:rsidRDefault="00BE4B44" w:rsidP="00E51F2A">
      <w:pPr>
        <w:spacing w:line="480" w:lineRule="auto"/>
        <w:rPr>
          <w:rFonts w:ascii="Arial" w:hAnsi="Arial" w:cs="Arial"/>
          <w:sz w:val="20"/>
          <w:szCs w:val="20"/>
        </w:rPr>
      </w:pPr>
    </w:p>
    <w:p w14:paraId="2C6079F0" w14:textId="3C9DCE89" w:rsidR="00BF64C2" w:rsidRPr="004A0A09" w:rsidRDefault="00BF64C2" w:rsidP="00E51F2A">
      <w:pPr>
        <w:pStyle w:val="ListParagraph"/>
        <w:numPr>
          <w:ilvl w:val="0"/>
          <w:numId w:val="12"/>
        </w:numPr>
        <w:spacing w:line="480" w:lineRule="auto"/>
        <w:rPr>
          <w:rFonts w:ascii="Arial" w:hAnsi="Arial" w:cs="Arial"/>
          <w:b/>
          <w:sz w:val="20"/>
          <w:szCs w:val="20"/>
        </w:rPr>
      </w:pPr>
      <w:r w:rsidRPr="004A0A09">
        <w:rPr>
          <w:rFonts w:ascii="Arial" w:hAnsi="Arial" w:cs="Arial"/>
          <w:b/>
          <w:sz w:val="20"/>
          <w:szCs w:val="20"/>
        </w:rPr>
        <w:t>‘Productive interactions’ and engagement</w:t>
      </w:r>
    </w:p>
    <w:p w14:paraId="5E954905" w14:textId="5406CD20" w:rsidR="000B6969" w:rsidRPr="00582009" w:rsidRDefault="006A45F7" w:rsidP="00E51F2A">
      <w:pPr>
        <w:spacing w:line="480" w:lineRule="auto"/>
        <w:rPr>
          <w:rFonts w:ascii="Arial" w:hAnsi="Arial" w:cs="Arial"/>
          <w:sz w:val="20"/>
          <w:szCs w:val="20"/>
        </w:rPr>
      </w:pPr>
      <w:r w:rsidRPr="00582009">
        <w:rPr>
          <w:rFonts w:ascii="Arial" w:hAnsi="Arial" w:cs="Arial"/>
          <w:sz w:val="20"/>
          <w:szCs w:val="20"/>
        </w:rPr>
        <w:t xml:space="preserve">The focus on interaction as the foundation for impact has been </w:t>
      </w:r>
      <w:r w:rsidR="000B37F7" w:rsidRPr="00582009">
        <w:rPr>
          <w:rFonts w:ascii="Arial" w:hAnsi="Arial" w:cs="Arial"/>
          <w:sz w:val="20"/>
          <w:szCs w:val="20"/>
        </w:rPr>
        <w:t>developed</w:t>
      </w:r>
      <w:r w:rsidRPr="00582009">
        <w:rPr>
          <w:rFonts w:ascii="Arial" w:hAnsi="Arial" w:cs="Arial"/>
          <w:sz w:val="20"/>
          <w:szCs w:val="20"/>
        </w:rPr>
        <w:t xml:space="preserve"> extensively in the Netherlands</w:t>
      </w:r>
      <w:r w:rsidR="000B37F7" w:rsidRPr="00582009">
        <w:rPr>
          <w:rFonts w:ascii="Arial" w:hAnsi="Arial" w:cs="Arial"/>
          <w:sz w:val="20"/>
          <w:szCs w:val="20"/>
        </w:rPr>
        <w:t xml:space="preserve">, </w:t>
      </w:r>
      <w:r w:rsidR="0080260A" w:rsidRPr="00582009">
        <w:rPr>
          <w:rFonts w:ascii="Arial" w:hAnsi="Arial" w:cs="Arial"/>
          <w:sz w:val="20"/>
          <w:szCs w:val="20"/>
        </w:rPr>
        <w:t>with</w:t>
      </w:r>
      <w:r w:rsidR="000B37F7" w:rsidRPr="00582009">
        <w:rPr>
          <w:rFonts w:ascii="Arial" w:hAnsi="Arial" w:cs="Arial"/>
          <w:sz w:val="20"/>
          <w:szCs w:val="20"/>
        </w:rPr>
        <w:t xml:space="preserve"> the conce</w:t>
      </w:r>
      <w:r w:rsidR="00D5086F" w:rsidRPr="00582009">
        <w:rPr>
          <w:rFonts w:ascii="Arial" w:hAnsi="Arial" w:cs="Arial"/>
          <w:sz w:val="20"/>
          <w:szCs w:val="20"/>
        </w:rPr>
        <w:t xml:space="preserve">pt of ‘productive interactions’ developed in the </w:t>
      </w:r>
      <w:r w:rsidRPr="00582009">
        <w:rPr>
          <w:rFonts w:ascii="Arial" w:hAnsi="Arial" w:cs="Arial"/>
          <w:sz w:val="20"/>
          <w:szCs w:val="20"/>
        </w:rPr>
        <w:t>‘Social Impact Assessment Methods for research and funding through the study of Productive Interactions between science and society’ (SIAMPI) methodology</w:t>
      </w:r>
      <w:r w:rsidR="0080260A" w:rsidRPr="00582009">
        <w:rPr>
          <w:rFonts w:ascii="Arial" w:hAnsi="Arial" w:cs="Arial"/>
          <w:sz w:val="20"/>
          <w:szCs w:val="20"/>
        </w:rPr>
        <w:t>, which</w:t>
      </w:r>
      <w:r w:rsidR="00B3391A">
        <w:rPr>
          <w:rFonts w:ascii="Arial" w:hAnsi="Arial" w:cs="Arial"/>
          <w:sz w:val="20"/>
          <w:szCs w:val="20"/>
        </w:rPr>
        <w:t xml:space="preserve"> highlights processes that can achieve impact, rather than focusing on impact itself, so as to learn from and improve these processes.</w:t>
      </w:r>
      <w:r w:rsidR="00B3391A" w:rsidRPr="00582009">
        <w:rPr>
          <w:rStyle w:val="FootnoteReference"/>
          <w:rFonts w:ascii="Arial" w:hAnsi="Arial" w:cs="Arial"/>
          <w:sz w:val="20"/>
          <w:szCs w:val="20"/>
        </w:rPr>
        <w:footnoteReference w:id="20"/>
      </w:r>
      <w:r w:rsidR="0080260A" w:rsidRPr="00582009">
        <w:rPr>
          <w:rFonts w:ascii="Arial" w:hAnsi="Arial" w:cs="Arial"/>
          <w:sz w:val="20"/>
          <w:szCs w:val="20"/>
        </w:rPr>
        <w:t xml:space="preserve"> </w:t>
      </w:r>
    </w:p>
    <w:p w14:paraId="3B1DAE0F" w14:textId="77777777" w:rsidR="00342549" w:rsidRPr="00582009" w:rsidRDefault="00342549" w:rsidP="00E51F2A">
      <w:pPr>
        <w:spacing w:line="480" w:lineRule="auto"/>
        <w:rPr>
          <w:rFonts w:ascii="Arial" w:hAnsi="Arial" w:cs="Arial"/>
          <w:sz w:val="20"/>
          <w:szCs w:val="20"/>
        </w:rPr>
      </w:pPr>
    </w:p>
    <w:p w14:paraId="671B4B5A" w14:textId="77777777" w:rsidR="000B6969" w:rsidRPr="00582009" w:rsidRDefault="006A45F7" w:rsidP="00E51F2A">
      <w:pPr>
        <w:spacing w:line="480" w:lineRule="auto"/>
        <w:rPr>
          <w:rFonts w:ascii="Arial" w:hAnsi="Arial" w:cs="Arial"/>
          <w:sz w:val="20"/>
          <w:szCs w:val="20"/>
        </w:rPr>
      </w:pPr>
      <w:r w:rsidRPr="00582009">
        <w:rPr>
          <w:rFonts w:ascii="Arial" w:hAnsi="Arial" w:cs="Arial"/>
          <w:sz w:val="20"/>
          <w:szCs w:val="20"/>
        </w:rPr>
        <w:t xml:space="preserve">‘Productive interactions’ are defined </w:t>
      </w:r>
      <w:r w:rsidR="00791346" w:rsidRPr="00582009">
        <w:rPr>
          <w:rFonts w:ascii="Arial" w:hAnsi="Arial" w:cs="Arial"/>
          <w:sz w:val="20"/>
          <w:szCs w:val="20"/>
        </w:rPr>
        <w:t xml:space="preserve">as: </w:t>
      </w:r>
    </w:p>
    <w:p w14:paraId="6129F046" w14:textId="77777777" w:rsidR="000B6969" w:rsidRPr="00582009" w:rsidRDefault="006A45F7" w:rsidP="00E51F2A">
      <w:pPr>
        <w:spacing w:line="480" w:lineRule="auto"/>
        <w:ind w:left="720"/>
        <w:rPr>
          <w:rFonts w:ascii="Arial" w:hAnsi="Arial" w:cs="Arial"/>
          <w:sz w:val="20"/>
          <w:szCs w:val="20"/>
        </w:rPr>
      </w:pPr>
      <w:r w:rsidRPr="00582009">
        <w:rPr>
          <w:rFonts w:ascii="Arial" w:hAnsi="Arial" w:cs="Arial"/>
          <w:sz w:val="20"/>
          <w:szCs w:val="20"/>
        </w:rPr>
        <w:t>exchanges between researchers and stakeholders in which knowledge is produced and valued that is both scientifically robust and socially relevant.</w:t>
      </w:r>
      <w:r w:rsidR="00791346" w:rsidRPr="00582009">
        <w:rPr>
          <w:rFonts w:ascii="Arial" w:hAnsi="Arial" w:cs="Arial"/>
          <w:sz w:val="20"/>
          <w:szCs w:val="20"/>
        </w:rPr>
        <w:t xml:space="preserve"> … The interaction is </w:t>
      </w:r>
      <w:r w:rsidR="00791346" w:rsidRPr="00582009">
        <w:rPr>
          <w:rFonts w:ascii="Arial" w:hAnsi="Arial" w:cs="Arial"/>
          <w:i/>
          <w:sz w:val="20"/>
          <w:szCs w:val="20"/>
        </w:rPr>
        <w:t>productive</w:t>
      </w:r>
      <w:r w:rsidR="00791346" w:rsidRPr="00582009">
        <w:rPr>
          <w:rFonts w:ascii="Arial" w:hAnsi="Arial" w:cs="Arial"/>
          <w:sz w:val="20"/>
          <w:szCs w:val="20"/>
        </w:rPr>
        <w:t xml:space="preserve"> when it leads to efforts by stakeholders to somehow use or apply research results or practical information or experiences.</w:t>
      </w:r>
      <w:r w:rsidRPr="00582009">
        <w:rPr>
          <w:rStyle w:val="FootnoteReference"/>
          <w:rFonts w:ascii="Arial" w:hAnsi="Arial" w:cs="Arial"/>
          <w:sz w:val="20"/>
          <w:szCs w:val="20"/>
        </w:rPr>
        <w:footnoteReference w:id="21"/>
      </w:r>
      <w:r w:rsidRPr="00582009">
        <w:rPr>
          <w:rFonts w:ascii="Arial" w:hAnsi="Arial" w:cs="Arial"/>
          <w:sz w:val="20"/>
          <w:szCs w:val="20"/>
        </w:rPr>
        <w:t xml:space="preserve"> </w:t>
      </w:r>
    </w:p>
    <w:p w14:paraId="4056BBA1" w14:textId="5F586F7D" w:rsidR="00F04945" w:rsidRPr="00582009" w:rsidRDefault="00791346" w:rsidP="00E51F2A">
      <w:pPr>
        <w:spacing w:line="480" w:lineRule="auto"/>
        <w:rPr>
          <w:rFonts w:ascii="Arial" w:hAnsi="Arial" w:cs="Arial"/>
          <w:sz w:val="20"/>
          <w:szCs w:val="20"/>
        </w:rPr>
      </w:pPr>
      <w:r w:rsidRPr="00582009">
        <w:rPr>
          <w:rFonts w:ascii="Arial" w:hAnsi="Arial" w:cs="Arial"/>
          <w:sz w:val="20"/>
          <w:szCs w:val="20"/>
        </w:rPr>
        <w:t>Productive interactions may be direct</w:t>
      </w:r>
      <w:r w:rsidR="00F04945" w:rsidRPr="00582009">
        <w:rPr>
          <w:rFonts w:ascii="Arial" w:hAnsi="Arial" w:cs="Arial"/>
          <w:sz w:val="20"/>
          <w:szCs w:val="20"/>
        </w:rPr>
        <w:t xml:space="preserve"> (personal), indirect (contact established through </w:t>
      </w:r>
      <w:r w:rsidR="000B6969" w:rsidRPr="00582009">
        <w:rPr>
          <w:rFonts w:ascii="Arial" w:hAnsi="Arial" w:cs="Arial"/>
          <w:sz w:val="20"/>
          <w:szCs w:val="20"/>
        </w:rPr>
        <w:t>‘</w:t>
      </w:r>
      <w:r w:rsidR="00F04945" w:rsidRPr="00582009">
        <w:rPr>
          <w:rFonts w:ascii="Arial" w:hAnsi="Arial" w:cs="Arial"/>
          <w:sz w:val="20"/>
          <w:szCs w:val="20"/>
        </w:rPr>
        <w:t>some kind of material carrier</w:t>
      </w:r>
      <w:r w:rsidR="000B6969" w:rsidRPr="00582009">
        <w:rPr>
          <w:rFonts w:ascii="Arial" w:hAnsi="Arial" w:cs="Arial"/>
          <w:sz w:val="20"/>
          <w:szCs w:val="20"/>
        </w:rPr>
        <w:t>’</w:t>
      </w:r>
      <w:r w:rsidR="00F04945" w:rsidRPr="00582009">
        <w:rPr>
          <w:rFonts w:ascii="Arial" w:hAnsi="Arial" w:cs="Arial"/>
          <w:sz w:val="20"/>
          <w:szCs w:val="20"/>
        </w:rPr>
        <w:t>, such as a publication, but perhaps also examples, films or exhibitions</w:t>
      </w:r>
      <w:r w:rsidRPr="00582009">
        <w:rPr>
          <w:rFonts w:ascii="Arial" w:hAnsi="Arial" w:cs="Arial"/>
          <w:sz w:val="20"/>
          <w:szCs w:val="20"/>
        </w:rPr>
        <w:t>), and financial (especially sponsoring research).</w:t>
      </w:r>
      <w:r w:rsidRPr="00582009">
        <w:rPr>
          <w:rStyle w:val="FootnoteReference"/>
          <w:rFonts w:ascii="Arial" w:hAnsi="Arial" w:cs="Arial"/>
          <w:sz w:val="20"/>
          <w:szCs w:val="20"/>
        </w:rPr>
        <w:footnoteReference w:id="22"/>
      </w:r>
      <w:r w:rsidRPr="00582009">
        <w:rPr>
          <w:rFonts w:ascii="Arial" w:hAnsi="Arial" w:cs="Arial"/>
          <w:sz w:val="20"/>
          <w:szCs w:val="20"/>
        </w:rPr>
        <w:t xml:space="preserve">  </w:t>
      </w:r>
    </w:p>
    <w:p w14:paraId="7AF1A1CA" w14:textId="77777777" w:rsidR="00F04945" w:rsidRPr="00582009" w:rsidRDefault="00F04945" w:rsidP="00E51F2A">
      <w:pPr>
        <w:spacing w:line="480" w:lineRule="auto"/>
        <w:rPr>
          <w:rFonts w:ascii="Arial" w:hAnsi="Arial" w:cs="Arial"/>
          <w:sz w:val="20"/>
          <w:szCs w:val="20"/>
        </w:rPr>
      </w:pPr>
    </w:p>
    <w:p w14:paraId="266B8F0A" w14:textId="10118E45" w:rsidR="000B6969" w:rsidRPr="00582009" w:rsidRDefault="000B6969" w:rsidP="00E51F2A">
      <w:pPr>
        <w:spacing w:line="480" w:lineRule="auto"/>
        <w:rPr>
          <w:rFonts w:ascii="Arial" w:hAnsi="Arial" w:cs="Arial"/>
          <w:sz w:val="20"/>
          <w:szCs w:val="20"/>
        </w:rPr>
      </w:pPr>
      <w:r w:rsidRPr="00582009">
        <w:rPr>
          <w:rFonts w:ascii="Arial" w:hAnsi="Arial" w:cs="Arial"/>
          <w:sz w:val="20"/>
          <w:szCs w:val="20"/>
        </w:rPr>
        <w:t>The SIAMPI approach proposes ‘</w:t>
      </w:r>
      <w:r w:rsidR="00F04945" w:rsidRPr="00582009">
        <w:rPr>
          <w:rFonts w:ascii="Arial" w:hAnsi="Arial" w:cs="Arial"/>
          <w:sz w:val="20"/>
          <w:szCs w:val="20"/>
        </w:rPr>
        <w:t>a shift from a focus on social impact towards a foc</w:t>
      </w:r>
      <w:r w:rsidRPr="00582009">
        <w:rPr>
          <w:rFonts w:ascii="Arial" w:hAnsi="Arial" w:cs="Arial"/>
          <w:sz w:val="20"/>
          <w:szCs w:val="20"/>
        </w:rPr>
        <w:t xml:space="preserve">us on </w:t>
      </w:r>
      <w:r w:rsidR="00FF4FD1" w:rsidRPr="00582009">
        <w:rPr>
          <w:rFonts w:ascii="Arial" w:hAnsi="Arial" w:cs="Arial"/>
          <w:sz w:val="20"/>
          <w:szCs w:val="20"/>
        </w:rPr>
        <w:t>“</w:t>
      </w:r>
      <w:r w:rsidRPr="00582009">
        <w:rPr>
          <w:rFonts w:ascii="Arial" w:hAnsi="Arial" w:cs="Arial"/>
          <w:sz w:val="20"/>
          <w:szCs w:val="20"/>
        </w:rPr>
        <w:t>productive interactions</w:t>
      </w:r>
      <w:r w:rsidR="00FF4FD1" w:rsidRPr="00582009">
        <w:rPr>
          <w:rFonts w:ascii="Arial" w:hAnsi="Arial" w:cs="Arial"/>
          <w:sz w:val="20"/>
          <w:szCs w:val="20"/>
        </w:rPr>
        <w:t>”</w:t>
      </w:r>
      <w:r w:rsidRPr="00582009">
        <w:rPr>
          <w:rFonts w:ascii="Arial" w:hAnsi="Arial" w:cs="Arial"/>
          <w:sz w:val="20"/>
          <w:szCs w:val="20"/>
        </w:rPr>
        <w:t>’</w:t>
      </w:r>
      <w:r w:rsidR="00F04945" w:rsidRPr="00582009">
        <w:rPr>
          <w:rFonts w:ascii="Arial" w:hAnsi="Arial" w:cs="Arial"/>
          <w:sz w:val="20"/>
          <w:szCs w:val="20"/>
        </w:rPr>
        <w:t xml:space="preserve"> because</w:t>
      </w:r>
      <w:r w:rsidR="00B3391A">
        <w:rPr>
          <w:rFonts w:ascii="Arial" w:hAnsi="Arial" w:cs="Arial"/>
          <w:sz w:val="20"/>
          <w:szCs w:val="20"/>
        </w:rPr>
        <w:t xml:space="preserve"> such an approach is more realistic and more closely reflects actual researcher/stakeholder interaction processes.</w:t>
      </w:r>
      <w:r w:rsidR="00B3391A" w:rsidRPr="00B3391A">
        <w:rPr>
          <w:rStyle w:val="FootnoteReference"/>
          <w:rFonts w:ascii="Arial" w:hAnsi="Arial" w:cs="Arial"/>
          <w:sz w:val="20"/>
          <w:szCs w:val="20"/>
        </w:rPr>
        <w:t xml:space="preserve"> </w:t>
      </w:r>
      <w:r w:rsidR="00B3391A" w:rsidRPr="00582009">
        <w:rPr>
          <w:rStyle w:val="FootnoteReference"/>
          <w:rFonts w:ascii="Arial" w:hAnsi="Arial" w:cs="Arial"/>
          <w:sz w:val="20"/>
          <w:szCs w:val="20"/>
        </w:rPr>
        <w:footnoteReference w:id="23"/>
      </w:r>
    </w:p>
    <w:p w14:paraId="6CCE35E8" w14:textId="73A10953" w:rsidR="00791346" w:rsidRPr="00582009" w:rsidRDefault="00791346" w:rsidP="00E51F2A">
      <w:pPr>
        <w:spacing w:line="480" w:lineRule="auto"/>
        <w:rPr>
          <w:rFonts w:ascii="Arial" w:hAnsi="Arial" w:cs="Arial"/>
          <w:sz w:val="20"/>
          <w:szCs w:val="20"/>
        </w:rPr>
      </w:pPr>
    </w:p>
    <w:p w14:paraId="6CA4816C" w14:textId="460BFE79" w:rsidR="00721F68" w:rsidRPr="00582009" w:rsidRDefault="003D1FA5" w:rsidP="00E51F2A">
      <w:pPr>
        <w:spacing w:line="480" w:lineRule="auto"/>
        <w:rPr>
          <w:rFonts w:ascii="Arial" w:hAnsi="Arial" w:cs="Arial"/>
          <w:sz w:val="20"/>
          <w:szCs w:val="20"/>
        </w:rPr>
      </w:pPr>
      <w:r w:rsidRPr="00582009">
        <w:rPr>
          <w:rFonts w:ascii="Arial" w:hAnsi="Arial" w:cs="Arial"/>
          <w:sz w:val="20"/>
          <w:szCs w:val="20"/>
        </w:rPr>
        <w:t xml:space="preserve">In this study I </w:t>
      </w:r>
      <w:r w:rsidR="00174E1B">
        <w:rPr>
          <w:rFonts w:ascii="Arial" w:hAnsi="Arial" w:cs="Arial"/>
          <w:sz w:val="20"/>
          <w:szCs w:val="20"/>
        </w:rPr>
        <w:t>do not explore</w:t>
      </w:r>
      <w:r w:rsidRPr="00582009">
        <w:rPr>
          <w:rFonts w:ascii="Arial" w:hAnsi="Arial" w:cs="Arial"/>
          <w:sz w:val="20"/>
          <w:szCs w:val="20"/>
        </w:rPr>
        <w:t xml:space="preserve"> productive interactions in the fu</w:t>
      </w:r>
      <w:r w:rsidR="002B7BF7" w:rsidRPr="00582009">
        <w:rPr>
          <w:rFonts w:ascii="Arial" w:hAnsi="Arial" w:cs="Arial"/>
          <w:sz w:val="20"/>
          <w:szCs w:val="20"/>
        </w:rPr>
        <w:t xml:space="preserve">ll SIAMPI sense. Where in </w:t>
      </w:r>
      <w:r w:rsidRPr="00582009">
        <w:rPr>
          <w:rFonts w:ascii="Arial" w:hAnsi="Arial" w:cs="Arial"/>
          <w:sz w:val="20"/>
          <w:szCs w:val="20"/>
        </w:rPr>
        <w:t xml:space="preserve">the SIAMPI definition </w:t>
      </w:r>
      <w:r w:rsidR="006A45F7" w:rsidRPr="00582009">
        <w:rPr>
          <w:rFonts w:ascii="Arial" w:hAnsi="Arial" w:cs="Arial"/>
          <w:sz w:val="20"/>
          <w:szCs w:val="20"/>
        </w:rPr>
        <w:t xml:space="preserve">stakeholders are playing a part in </w:t>
      </w:r>
      <w:r w:rsidR="002B7BF7" w:rsidRPr="00582009">
        <w:rPr>
          <w:rFonts w:ascii="Arial" w:hAnsi="Arial" w:cs="Arial"/>
          <w:sz w:val="20"/>
          <w:szCs w:val="20"/>
        </w:rPr>
        <w:t>knowledge</w:t>
      </w:r>
      <w:r w:rsidR="006A45F7" w:rsidRPr="00582009">
        <w:rPr>
          <w:rFonts w:ascii="Arial" w:hAnsi="Arial" w:cs="Arial"/>
          <w:sz w:val="20"/>
          <w:szCs w:val="20"/>
        </w:rPr>
        <w:t xml:space="preserve"> production</w:t>
      </w:r>
      <w:r w:rsidR="002B7BF7" w:rsidRPr="00582009">
        <w:rPr>
          <w:rFonts w:ascii="Arial" w:hAnsi="Arial" w:cs="Arial"/>
          <w:sz w:val="20"/>
          <w:szCs w:val="20"/>
        </w:rPr>
        <w:t>, I focus</w:t>
      </w:r>
      <w:r w:rsidRPr="00582009">
        <w:rPr>
          <w:rFonts w:ascii="Arial" w:hAnsi="Arial" w:cs="Arial"/>
          <w:sz w:val="20"/>
          <w:szCs w:val="20"/>
        </w:rPr>
        <w:t xml:space="preserve"> on interactions where stakeholders may or may not be engaged in knowledge production and, accordingly, </w:t>
      </w:r>
      <w:r w:rsidR="002B7BF7" w:rsidRPr="00582009">
        <w:rPr>
          <w:rFonts w:ascii="Arial" w:hAnsi="Arial" w:cs="Arial"/>
          <w:sz w:val="20"/>
          <w:szCs w:val="20"/>
        </w:rPr>
        <w:t xml:space="preserve">I </w:t>
      </w:r>
      <w:r w:rsidRPr="00582009">
        <w:rPr>
          <w:rFonts w:ascii="Arial" w:hAnsi="Arial" w:cs="Arial"/>
          <w:sz w:val="20"/>
          <w:szCs w:val="20"/>
        </w:rPr>
        <w:t>use the</w:t>
      </w:r>
      <w:r w:rsidR="001524A0" w:rsidRPr="00582009">
        <w:rPr>
          <w:rFonts w:ascii="Arial" w:hAnsi="Arial" w:cs="Arial"/>
          <w:sz w:val="20"/>
          <w:szCs w:val="20"/>
        </w:rPr>
        <w:t xml:space="preserve"> term ‘engagement’. This has the benefit of fitting </w:t>
      </w:r>
      <w:r w:rsidR="00721F68" w:rsidRPr="00582009">
        <w:rPr>
          <w:rFonts w:ascii="Arial" w:hAnsi="Arial" w:cs="Arial"/>
          <w:sz w:val="20"/>
          <w:szCs w:val="20"/>
        </w:rPr>
        <w:t>into either a process-oriented model of impact and impact assessment (such as SIAMPI) or an outc</w:t>
      </w:r>
      <w:r w:rsidR="002B7BF7" w:rsidRPr="00582009">
        <w:rPr>
          <w:rFonts w:ascii="Arial" w:hAnsi="Arial" w:cs="Arial"/>
          <w:sz w:val="20"/>
          <w:szCs w:val="20"/>
        </w:rPr>
        <w:t>ome-oriented model (</w:t>
      </w:r>
      <w:r w:rsidR="00721F68" w:rsidRPr="00582009">
        <w:rPr>
          <w:rFonts w:ascii="Arial" w:hAnsi="Arial" w:cs="Arial"/>
          <w:sz w:val="20"/>
          <w:szCs w:val="20"/>
        </w:rPr>
        <w:t>such the REF</w:t>
      </w:r>
      <w:r w:rsidR="002B7BF7" w:rsidRPr="00582009">
        <w:rPr>
          <w:rFonts w:ascii="Arial" w:hAnsi="Arial" w:cs="Arial"/>
          <w:sz w:val="20"/>
          <w:szCs w:val="20"/>
        </w:rPr>
        <w:t xml:space="preserve">), and is a </w:t>
      </w:r>
      <w:r w:rsidR="008F3C1B" w:rsidRPr="00582009">
        <w:rPr>
          <w:rFonts w:ascii="Arial" w:hAnsi="Arial" w:cs="Arial"/>
          <w:sz w:val="20"/>
          <w:szCs w:val="20"/>
        </w:rPr>
        <w:t xml:space="preserve">more </w:t>
      </w:r>
      <w:r w:rsidR="008F3C1B" w:rsidRPr="00582009">
        <w:rPr>
          <w:rFonts w:ascii="Arial" w:hAnsi="Arial" w:cs="Arial"/>
          <w:sz w:val="20"/>
          <w:szCs w:val="20"/>
        </w:rPr>
        <w:lastRenderedPageBreak/>
        <w:t>manag</w:t>
      </w:r>
      <w:r w:rsidR="002B7BF7" w:rsidRPr="00582009">
        <w:rPr>
          <w:rFonts w:ascii="Arial" w:hAnsi="Arial" w:cs="Arial"/>
          <w:sz w:val="20"/>
          <w:szCs w:val="20"/>
        </w:rPr>
        <w:t xml:space="preserve">eable inquiry with the large REF </w:t>
      </w:r>
      <w:r w:rsidR="008F3C1B" w:rsidRPr="00582009">
        <w:rPr>
          <w:rFonts w:ascii="Arial" w:hAnsi="Arial" w:cs="Arial"/>
          <w:sz w:val="20"/>
          <w:szCs w:val="20"/>
        </w:rPr>
        <w:t>data set.</w:t>
      </w:r>
      <w:r w:rsidR="008F3C1B" w:rsidRPr="00582009">
        <w:rPr>
          <w:rStyle w:val="FootnoteReference"/>
          <w:rFonts w:ascii="Arial" w:hAnsi="Arial" w:cs="Arial"/>
          <w:sz w:val="20"/>
          <w:szCs w:val="20"/>
        </w:rPr>
        <w:footnoteReference w:id="24"/>
      </w:r>
      <w:r w:rsidR="008F3C1B" w:rsidRPr="00582009">
        <w:rPr>
          <w:rFonts w:ascii="Arial" w:hAnsi="Arial" w:cs="Arial"/>
          <w:sz w:val="20"/>
          <w:szCs w:val="20"/>
        </w:rPr>
        <w:t xml:space="preserve"> </w:t>
      </w:r>
      <w:r w:rsidR="005734E3" w:rsidRPr="00582009">
        <w:rPr>
          <w:rFonts w:ascii="Arial" w:hAnsi="Arial" w:cs="Arial"/>
          <w:sz w:val="20"/>
          <w:szCs w:val="20"/>
        </w:rPr>
        <w:t>E</w:t>
      </w:r>
      <w:r w:rsidR="00721F68" w:rsidRPr="00582009">
        <w:rPr>
          <w:rFonts w:ascii="Arial" w:hAnsi="Arial" w:cs="Arial"/>
          <w:sz w:val="20"/>
          <w:szCs w:val="20"/>
        </w:rPr>
        <w:t>ngagement does not strictly require direct outreach to and engagement with stakeholders but, in practical terms, that is the focus and the challenge in achieving and enhancing impact.</w:t>
      </w:r>
      <w:r w:rsidR="00421C87" w:rsidRPr="00582009">
        <w:rPr>
          <w:rStyle w:val="FootnoteReference"/>
          <w:rFonts w:ascii="Arial" w:hAnsi="Arial" w:cs="Arial"/>
          <w:sz w:val="20"/>
          <w:szCs w:val="20"/>
        </w:rPr>
        <w:footnoteReference w:id="25"/>
      </w:r>
      <w:r w:rsidR="00721F68" w:rsidRPr="00582009">
        <w:rPr>
          <w:rFonts w:ascii="Arial" w:hAnsi="Arial" w:cs="Arial"/>
          <w:sz w:val="20"/>
          <w:szCs w:val="20"/>
        </w:rPr>
        <w:t xml:space="preserve"> As Spaapen and van Drooge put it, </w:t>
      </w:r>
      <w:r w:rsidR="00FF4FD1" w:rsidRPr="00582009">
        <w:rPr>
          <w:rFonts w:ascii="Arial" w:hAnsi="Arial" w:cs="Arial"/>
          <w:sz w:val="20"/>
          <w:szCs w:val="20"/>
        </w:rPr>
        <w:t>‘</w:t>
      </w:r>
      <w:r w:rsidR="00B40CAA">
        <w:rPr>
          <w:rFonts w:ascii="Arial" w:hAnsi="Arial" w:cs="Arial"/>
          <w:sz w:val="20"/>
          <w:szCs w:val="20"/>
        </w:rPr>
        <w:t>[i]</w:t>
      </w:r>
      <w:r w:rsidR="00721F68" w:rsidRPr="00582009">
        <w:rPr>
          <w:rFonts w:ascii="Arial" w:hAnsi="Arial" w:cs="Arial"/>
          <w:sz w:val="20"/>
          <w:szCs w:val="20"/>
        </w:rPr>
        <w:t>n order to have impact, you’ve got to have contact</w:t>
      </w:r>
      <w:r w:rsidR="00FF4FD1" w:rsidRPr="00582009">
        <w:rPr>
          <w:rFonts w:ascii="Arial" w:hAnsi="Arial" w:cs="Arial"/>
          <w:sz w:val="20"/>
          <w:szCs w:val="20"/>
        </w:rPr>
        <w:t>’</w:t>
      </w:r>
      <w:r w:rsidR="00EF0C09">
        <w:rPr>
          <w:rFonts w:ascii="Arial" w:hAnsi="Arial" w:cs="Arial"/>
          <w:sz w:val="20"/>
          <w:szCs w:val="20"/>
        </w:rPr>
        <w:t>.</w:t>
      </w:r>
      <w:r w:rsidR="00721F68" w:rsidRPr="00582009">
        <w:rPr>
          <w:rStyle w:val="FootnoteReference"/>
          <w:rFonts w:ascii="Arial" w:hAnsi="Arial" w:cs="Arial"/>
          <w:sz w:val="20"/>
          <w:szCs w:val="20"/>
        </w:rPr>
        <w:footnoteReference w:id="26"/>
      </w:r>
      <w:r w:rsidR="00721F68" w:rsidRPr="00582009">
        <w:rPr>
          <w:rFonts w:ascii="Arial" w:hAnsi="Arial" w:cs="Arial"/>
          <w:sz w:val="20"/>
          <w:szCs w:val="20"/>
        </w:rPr>
        <w:t xml:space="preserve"> </w:t>
      </w:r>
    </w:p>
    <w:p w14:paraId="2924AF67" w14:textId="77777777" w:rsidR="006E6B1C" w:rsidRPr="00582009" w:rsidRDefault="006E6B1C" w:rsidP="00E51F2A">
      <w:pPr>
        <w:spacing w:line="480" w:lineRule="auto"/>
        <w:rPr>
          <w:rFonts w:ascii="Arial" w:hAnsi="Arial" w:cs="Arial"/>
          <w:sz w:val="20"/>
          <w:szCs w:val="20"/>
        </w:rPr>
      </w:pPr>
    </w:p>
    <w:p w14:paraId="35233588" w14:textId="413169AE" w:rsidR="00491DD2" w:rsidRDefault="00491DD2" w:rsidP="00E51F2A">
      <w:pPr>
        <w:spacing w:line="480" w:lineRule="auto"/>
        <w:rPr>
          <w:rFonts w:ascii="Arial" w:hAnsi="Arial" w:cs="Arial"/>
          <w:sz w:val="20"/>
          <w:szCs w:val="20"/>
        </w:rPr>
      </w:pPr>
    </w:p>
    <w:p w14:paraId="10A991CE" w14:textId="747A8494" w:rsidR="006B0E88" w:rsidRPr="001120B9" w:rsidRDefault="006B0E88" w:rsidP="001120B9">
      <w:pPr>
        <w:spacing w:line="480" w:lineRule="auto"/>
        <w:jc w:val="center"/>
        <w:rPr>
          <w:rFonts w:ascii="Arial" w:hAnsi="Arial" w:cs="Arial"/>
          <w:b/>
          <w:sz w:val="24"/>
          <w:szCs w:val="24"/>
        </w:rPr>
      </w:pPr>
      <w:r w:rsidRPr="001120B9">
        <w:rPr>
          <w:rFonts w:ascii="Arial" w:hAnsi="Arial" w:cs="Arial"/>
          <w:b/>
          <w:sz w:val="24"/>
          <w:szCs w:val="24"/>
        </w:rPr>
        <w:t>DATA AND METHODOLOGY</w:t>
      </w:r>
    </w:p>
    <w:p w14:paraId="6036F184" w14:textId="012435BB" w:rsidR="004F6E29" w:rsidRPr="004A0A09" w:rsidRDefault="004F6E29" w:rsidP="00E1651E">
      <w:pPr>
        <w:pStyle w:val="ListParagraph"/>
        <w:numPr>
          <w:ilvl w:val="0"/>
          <w:numId w:val="22"/>
        </w:numPr>
        <w:spacing w:line="480" w:lineRule="auto"/>
        <w:rPr>
          <w:rFonts w:ascii="Arial" w:hAnsi="Arial" w:cs="Arial"/>
          <w:b/>
          <w:sz w:val="20"/>
          <w:szCs w:val="20"/>
        </w:rPr>
      </w:pPr>
      <w:r w:rsidRPr="004A0A09">
        <w:rPr>
          <w:rFonts w:ascii="Arial" w:hAnsi="Arial" w:cs="Arial"/>
          <w:b/>
          <w:sz w:val="20"/>
          <w:szCs w:val="20"/>
        </w:rPr>
        <w:t>The REF 2014 data</w:t>
      </w:r>
    </w:p>
    <w:p w14:paraId="31E4DCCC" w14:textId="5EB98DD3" w:rsidR="00A9178C" w:rsidRPr="000866A5" w:rsidRDefault="00C27FF5" w:rsidP="00E51F2A">
      <w:pPr>
        <w:spacing w:line="480" w:lineRule="auto"/>
        <w:rPr>
          <w:rFonts w:ascii="Arial" w:hAnsi="Arial" w:cs="Arial"/>
          <w:sz w:val="20"/>
          <w:szCs w:val="20"/>
        </w:rPr>
      </w:pPr>
      <w:r>
        <w:rPr>
          <w:rFonts w:ascii="Arial" w:hAnsi="Arial" w:cs="Arial"/>
          <w:sz w:val="20"/>
          <w:szCs w:val="20"/>
        </w:rPr>
        <w:t>The</w:t>
      </w:r>
      <w:r w:rsidR="00A9178C" w:rsidRPr="000866A5">
        <w:rPr>
          <w:rFonts w:ascii="Arial" w:hAnsi="Arial" w:cs="Arial"/>
          <w:sz w:val="20"/>
          <w:szCs w:val="20"/>
        </w:rPr>
        <w:t xml:space="preserve"> top line of the REF – the discipline and school profiles – tells us a deal about (</w:t>
      </w:r>
      <w:r w:rsidR="00E347D5">
        <w:rPr>
          <w:rFonts w:ascii="Arial" w:hAnsi="Arial" w:cs="Arial"/>
          <w:sz w:val="20"/>
          <w:szCs w:val="20"/>
        </w:rPr>
        <w:t xml:space="preserve">as </w:t>
      </w:r>
      <w:r w:rsidR="00A9178C" w:rsidRPr="000866A5">
        <w:rPr>
          <w:rFonts w:ascii="Arial" w:hAnsi="Arial" w:cs="Arial"/>
          <w:sz w:val="20"/>
          <w:szCs w:val="20"/>
        </w:rPr>
        <w:t xml:space="preserve">Stern </w:t>
      </w:r>
      <w:r w:rsidR="00E347D5">
        <w:rPr>
          <w:rFonts w:ascii="Arial" w:hAnsi="Arial" w:cs="Arial"/>
          <w:sz w:val="20"/>
          <w:szCs w:val="20"/>
        </w:rPr>
        <w:t>puts it</w:t>
      </w:r>
      <w:r w:rsidR="00A9178C" w:rsidRPr="000866A5">
        <w:rPr>
          <w:rFonts w:ascii="Arial" w:hAnsi="Arial" w:cs="Arial"/>
          <w:sz w:val="20"/>
          <w:szCs w:val="20"/>
        </w:rPr>
        <w:t>) ‘the wider social and economic activities a</w:t>
      </w:r>
      <w:r>
        <w:rPr>
          <w:rFonts w:ascii="Arial" w:hAnsi="Arial" w:cs="Arial"/>
          <w:sz w:val="20"/>
          <w:szCs w:val="20"/>
        </w:rPr>
        <w:t>nd achievements’ of law schools</w:t>
      </w:r>
      <w:r w:rsidRPr="000866A5">
        <w:rPr>
          <w:rFonts w:ascii="Arial" w:hAnsi="Arial" w:cs="Arial"/>
          <w:sz w:val="20"/>
          <w:szCs w:val="20"/>
        </w:rPr>
        <w:t>.</w:t>
      </w:r>
      <w:r w:rsidRPr="000866A5">
        <w:rPr>
          <w:rStyle w:val="FootnoteReference"/>
          <w:rFonts w:ascii="Arial" w:hAnsi="Arial" w:cs="Arial"/>
          <w:sz w:val="20"/>
          <w:szCs w:val="20"/>
        </w:rPr>
        <w:footnoteReference w:id="27"/>
      </w:r>
      <w:r>
        <w:rPr>
          <w:rFonts w:ascii="Arial" w:hAnsi="Arial" w:cs="Arial"/>
          <w:sz w:val="20"/>
          <w:szCs w:val="20"/>
        </w:rPr>
        <w:t xml:space="preserve"> However, it has been rightly observed that </w:t>
      </w:r>
      <w:r w:rsidR="00A9178C" w:rsidRPr="000866A5">
        <w:rPr>
          <w:rFonts w:ascii="Arial" w:hAnsi="Arial" w:cs="Arial"/>
          <w:sz w:val="20"/>
          <w:szCs w:val="20"/>
        </w:rPr>
        <w:t xml:space="preserve">the </w:t>
      </w:r>
      <w:r>
        <w:rPr>
          <w:rFonts w:ascii="Arial" w:hAnsi="Arial" w:cs="Arial"/>
          <w:sz w:val="20"/>
          <w:szCs w:val="20"/>
        </w:rPr>
        <w:t>submissions are ‘a rich vein of information that can be tapped’</w:t>
      </w:r>
      <w:r w:rsidR="007939A5">
        <w:rPr>
          <w:rFonts w:ascii="Arial" w:hAnsi="Arial" w:cs="Arial"/>
          <w:sz w:val="20"/>
          <w:szCs w:val="20"/>
        </w:rPr>
        <w:t>.</w:t>
      </w:r>
      <w:r w:rsidRPr="000866A5">
        <w:rPr>
          <w:rStyle w:val="FootnoteReference"/>
          <w:rFonts w:ascii="Arial" w:hAnsi="Arial" w:cs="Arial"/>
          <w:sz w:val="20"/>
          <w:szCs w:val="20"/>
        </w:rPr>
        <w:footnoteReference w:id="28"/>
      </w:r>
      <w:r w:rsidRPr="000866A5">
        <w:rPr>
          <w:rFonts w:ascii="Arial" w:hAnsi="Arial" w:cs="Arial"/>
          <w:sz w:val="20"/>
          <w:szCs w:val="20"/>
        </w:rPr>
        <w:t xml:space="preserve"> </w:t>
      </w:r>
      <w:r w:rsidR="00A9178C" w:rsidRPr="000866A5">
        <w:rPr>
          <w:rFonts w:ascii="Arial" w:hAnsi="Arial" w:cs="Arial"/>
          <w:sz w:val="20"/>
          <w:szCs w:val="20"/>
        </w:rPr>
        <w:t xml:space="preserve">There has been some high level analysis </w:t>
      </w:r>
      <w:r w:rsidR="00A61FF0">
        <w:rPr>
          <w:rFonts w:ascii="Arial" w:hAnsi="Arial" w:cs="Arial"/>
          <w:sz w:val="20"/>
          <w:szCs w:val="20"/>
        </w:rPr>
        <w:t>of the ove</w:t>
      </w:r>
      <w:r w:rsidR="002F73D9">
        <w:rPr>
          <w:rFonts w:ascii="Arial" w:hAnsi="Arial" w:cs="Arial"/>
          <w:sz w:val="20"/>
          <w:szCs w:val="20"/>
        </w:rPr>
        <w:t>rall REF impact data,</w:t>
      </w:r>
      <w:r w:rsidR="00A61FF0">
        <w:rPr>
          <w:rFonts w:ascii="Arial" w:hAnsi="Arial" w:cs="Arial"/>
          <w:sz w:val="20"/>
          <w:szCs w:val="20"/>
        </w:rPr>
        <w:t xml:space="preserve"> some</w:t>
      </w:r>
      <w:r w:rsidR="00A9178C" w:rsidRPr="000866A5">
        <w:rPr>
          <w:rFonts w:ascii="Arial" w:hAnsi="Arial" w:cs="Arial"/>
          <w:sz w:val="20"/>
          <w:szCs w:val="20"/>
        </w:rPr>
        <w:t xml:space="preserve"> specific analys</w:t>
      </w:r>
      <w:r w:rsidR="006D4653" w:rsidRPr="000866A5">
        <w:rPr>
          <w:rFonts w:ascii="Arial" w:hAnsi="Arial" w:cs="Arial"/>
          <w:sz w:val="20"/>
          <w:szCs w:val="20"/>
        </w:rPr>
        <w:t>is of the data in health</w:t>
      </w:r>
      <w:r w:rsidR="002F73D9">
        <w:rPr>
          <w:rFonts w:ascii="Arial" w:hAnsi="Arial" w:cs="Arial"/>
          <w:sz w:val="20"/>
          <w:szCs w:val="20"/>
        </w:rPr>
        <w:t xml:space="preserve">, </w:t>
      </w:r>
      <w:r w:rsidR="006746D2">
        <w:rPr>
          <w:rFonts w:ascii="Arial" w:hAnsi="Arial" w:cs="Arial"/>
          <w:sz w:val="20"/>
          <w:szCs w:val="20"/>
        </w:rPr>
        <w:t xml:space="preserve">psychology, information management, engineering and development, </w:t>
      </w:r>
      <w:r w:rsidR="002F73D9">
        <w:rPr>
          <w:rFonts w:ascii="Arial" w:hAnsi="Arial" w:cs="Arial"/>
          <w:sz w:val="20"/>
          <w:szCs w:val="20"/>
        </w:rPr>
        <w:t xml:space="preserve">and some comparative </w:t>
      </w:r>
      <w:r w:rsidR="006746D2">
        <w:rPr>
          <w:rFonts w:ascii="Arial" w:hAnsi="Arial" w:cs="Arial"/>
          <w:sz w:val="20"/>
          <w:szCs w:val="20"/>
        </w:rPr>
        <w:t xml:space="preserve">work </w:t>
      </w:r>
      <w:r w:rsidR="002F73D9">
        <w:rPr>
          <w:rFonts w:ascii="Arial" w:hAnsi="Arial" w:cs="Arial"/>
          <w:sz w:val="20"/>
          <w:szCs w:val="20"/>
        </w:rPr>
        <w:t xml:space="preserve">across </w:t>
      </w:r>
      <w:r w:rsidR="006746D2">
        <w:rPr>
          <w:rFonts w:ascii="Arial" w:hAnsi="Arial" w:cs="Arial"/>
          <w:sz w:val="20"/>
          <w:szCs w:val="20"/>
        </w:rPr>
        <w:t>disciplines</w:t>
      </w:r>
      <w:r w:rsidR="00A61FF0">
        <w:rPr>
          <w:rFonts w:ascii="Arial" w:hAnsi="Arial" w:cs="Arial"/>
          <w:sz w:val="20"/>
          <w:szCs w:val="20"/>
        </w:rPr>
        <w:t>.</w:t>
      </w:r>
      <w:r w:rsidR="00A61FF0" w:rsidRPr="000866A5">
        <w:rPr>
          <w:rStyle w:val="FootnoteReference"/>
          <w:rFonts w:ascii="Arial" w:hAnsi="Arial" w:cs="Arial"/>
          <w:sz w:val="20"/>
          <w:szCs w:val="20"/>
        </w:rPr>
        <w:footnoteReference w:id="29"/>
      </w:r>
      <w:r w:rsidR="00A61FF0">
        <w:rPr>
          <w:rFonts w:ascii="Arial" w:hAnsi="Arial" w:cs="Arial"/>
          <w:sz w:val="20"/>
          <w:szCs w:val="20"/>
        </w:rPr>
        <w:t xml:space="preserve"> </w:t>
      </w:r>
      <w:r w:rsidR="00825E3E">
        <w:rPr>
          <w:rFonts w:ascii="Arial" w:hAnsi="Arial" w:cs="Arial"/>
          <w:sz w:val="20"/>
          <w:szCs w:val="20"/>
        </w:rPr>
        <w:t>However, no analysis of</w:t>
      </w:r>
      <w:r w:rsidR="00A61FF0" w:rsidRPr="002F73D9">
        <w:rPr>
          <w:rFonts w:ascii="Arial" w:hAnsi="Arial" w:cs="Arial"/>
          <w:sz w:val="20"/>
          <w:szCs w:val="20"/>
        </w:rPr>
        <w:t xml:space="preserve"> law has </w:t>
      </w:r>
      <w:r w:rsidR="00A9178C" w:rsidRPr="002F73D9">
        <w:rPr>
          <w:rFonts w:ascii="Arial" w:hAnsi="Arial" w:cs="Arial"/>
          <w:sz w:val="20"/>
          <w:szCs w:val="20"/>
        </w:rPr>
        <w:t>yet</w:t>
      </w:r>
      <w:r w:rsidR="00A61FF0" w:rsidRPr="002F73D9">
        <w:rPr>
          <w:rFonts w:ascii="Arial" w:hAnsi="Arial" w:cs="Arial"/>
          <w:sz w:val="20"/>
          <w:szCs w:val="20"/>
        </w:rPr>
        <w:t xml:space="preserve"> appeared</w:t>
      </w:r>
      <w:r w:rsidR="006746D2">
        <w:rPr>
          <w:rFonts w:ascii="Arial" w:hAnsi="Arial" w:cs="Arial"/>
          <w:sz w:val="20"/>
          <w:szCs w:val="20"/>
        </w:rPr>
        <w:t xml:space="preserve"> either as a freestanding study or in the comparative work</w:t>
      </w:r>
      <w:r w:rsidR="00A9178C" w:rsidRPr="002F73D9">
        <w:rPr>
          <w:rFonts w:ascii="Arial" w:hAnsi="Arial" w:cs="Arial"/>
          <w:sz w:val="20"/>
          <w:szCs w:val="20"/>
        </w:rPr>
        <w:t>.</w:t>
      </w:r>
    </w:p>
    <w:p w14:paraId="33F73ED9" w14:textId="77777777" w:rsidR="00A9178C" w:rsidRPr="004D1819" w:rsidRDefault="00A9178C" w:rsidP="00E51F2A">
      <w:pPr>
        <w:spacing w:line="480" w:lineRule="auto"/>
        <w:rPr>
          <w:rFonts w:ascii="Arial" w:hAnsi="Arial" w:cs="Arial"/>
          <w:color w:val="FF0000"/>
          <w:sz w:val="20"/>
          <w:szCs w:val="20"/>
        </w:rPr>
      </w:pPr>
    </w:p>
    <w:p w14:paraId="537F11F3" w14:textId="552E3595" w:rsidR="000866A5" w:rsidRDefault="000866A5" w:rsidP="00E51F2A">
      <w:pPr>
        <w:spacing w:line="480" w:lineRule="auto"/>
        <w:rPr>
          <w:rFonts w:ascii="Arial" w:hAnsi="Arial" w:cs="Arial"/>
          <w:sz w:val="20"/>
          <w:szCs w:val="20"/>
        </w:rPr>
      </w:pPr>
      <w:r>
        <w:rPr>
          <w:rFonts w:ascii="Arial" w:hAnsi="Arial" w:cs="Arial"/>
          <w:sz w:val="20"/>
          <w:szCs w:val="20"/>
        </w:rPr>
        <w:t>Two types of impact data were collected</w:t>
      </w:r>
      <w:r w:rsidR="00184826">
        <w:rPr>
          <w:rFonts w:ascii="Arial" w:hAnsi="Arial" w:cs="Arial"/>
          <w:sz w:val="20"/>
          <w:szCs w:val="20"/>
        </w:rPr>
        <w:t xml:space="preserve"> in REF 2014: case studies and </w:t>
      </w:r>
      <w:r>
        <w:rPr>
          <w:rFonts w:ascii="Arial" w:hAnsi="Arial" w:cs="Arial"/>
          <w:sz w:val="20"/>
          <w:szCs w:val="20"/>
        </w:rPr>
        <w:t>templ</w:t>
      </w:r>
      <w:r w:rsidR="00184826">
        <w:rPr>
          <w:rFonts w:ascii="Arial" w:hAnsi="Arial" w:cs="Arial"/>
          <w:sz w:val="20"/>
          <w:szCs w:val="20"/>
        </w:rPr>
        <w:t>ates</w:t>
      </w:r>
      <w:r>
        <w:rPr>
          <w:rFonts w:ascii="Arial" w:hAnsi="Arial" w:cs="Arial"/>
          <w:sz w:val="20"/>
          <w:szCs w:val="20"/>
        </w:rPr>
        <w:t>. Case studies provide</w:t>
      </w:r>
      <w:r w:rsidR="00FA46EA">
        <w:rPr>
          <w:rFonts w:ascii="Arial" w:hAnsi="Arial" w:cs="Arial"/>
          <w:sz w:val="20"/>
          <w:szCs w:val="20"/>
        </w:rPr>
        <w:t>d</w:t>
      </w:r>
      <w:r>
        <w:rPr>
          <w:rFonts w:ascii="Arial" w:hAnsi="Arial" w:cs="Arial"/>
          <w:sz w:val="20"/>
          <w:szCs w:val="20"/>
        </w:rPr>
        <w:t xml:space="preserve"> detailed examples, with one required for approximately each 7.5 staff members included in a </w:t>
      </w:r>
      <w:r>
        <w:rPr>
          <w:rFonts w:ascii="Arial" w:hAnsi="Arial" w:cs="Arial"/>
          <w:sz w:val="20"/>
          <w:szCs w:val="20"/>
        </w:rPr>
        <w:lastRenderedPageBreak/>
        <w:t>department’s REF submission.</w:t>
      </w:r>
      <w:r>
        <w:rPr>
          <w:rStyle w:val="FootnoteReference"/>
          <w:rFonts w:ascii="Arial" w:hAnsi="Arial" w:cs="Arial"/>
          <w:sz w:val="20"/>
          <w:szCs w:val="20"/>
        </w:rPr>
        <w:footnoteReference w:id="30"/>
      </w:r>
      <w:r>
        <w:rPr>
          <w:rFonts w:ascii="Arial" w:hAnsi="Arial" w:cs="Arial"/>
          <w:sz w:val="20"/>
          <w:szCs w:val="20"/>
        </w:rPr>
        <w:t xml:space="preserve"> </w:t>
      </w:r>
      <w:r w:rsidRPr="00BA70AB">
        <w:rPr>
          <w:rFonts w:ascii="Arial" w:hAnsi="Arial" w:cs="Arial"/>
          <w:sz w:val="20"/>
          <w:szCs w:val="20"/>
        </w:rPr>
        <w:t>The case studies are available online and fully searchable.</w:t>
      </w:r>
      <w:r>
        <w:rPr>
          <w:rStyle w:val="FootnoteReference"/>
          <w:rFonts w:ascii="Arial" w:hAnsi="Arial" w:cs="Arial"/>
          <w:sz w:val="20"/>
          <w:szCs w:val="20"/>
        </w:rPr>
        <w:footnoteReference w:id="31"/>
      </w:r>
      <w:r w:rsidRPr="00BA70AB">
        <w:rPr>
          <w:rFonts w:ascii="Arial" w:hAnsi="Arial" w:cs="Arial"/>
          <w:sz w:val="20"/>
          <w:szCs w:val="20"/>
        </w:rPr>
        <w:t xml:space="preserve"> </w:t>
      </w:r>
      <w:r>
        <w:rPr>
          <w:rFonts w:ascii="Arial" w:hAnsi="Arial" w:cs="Arial"/>
          <w:sz w:val="20"/>
          <w:szCs w:val="20"/>
        </w:rPr>
        <w:t xml:space="preserve">Templates </w:t>
      </w:r>
      <w:r w:rsidR="000C5325">
        <w:rPr>
          <w:rFonts w:ascii="Arial" w:hAnsi="Arial" w:cs="Arial"/>
          <w:sz w:val="20"/>
          <w:szCs w:val="20"/>
        </w:rPr>
        <w:t>included departmental</w:t>
      </w:r>
      <w:r>
        <w:rPr>
          <w:rFonts w:ascii="Arial" w:hAnsi="Arial" w:cs="Arial"/>
          <w:sz w:val="20"/>
          <w:szCs w:val="20"/>
        </w:rPr>
        <w:t xml:space="preserve"> </w:t>
      </w:r>
      <w:r w:rsidR="000C5325">
        <w:rPr>
          <w:rFonts w:ascii="Arial" w:hAnsi="Arial" w:cs="Arial"/>
          <w:sz w:val="20"/>
          <w:szCs w:val="20"/>
        </w:rPr>
        <w:t>impact strategies</w:t>
      </w:r>
      <w:r>
        <w:rPr>
          <w:rFonts w:ascii="Arial" w:hAnsi="Arial" w:cs="Arial"/>
          <w:sz w:val="20"/>
          <w:szCs w:val="20"/>
        </w:rPr>
        <w:t xml:space="preserve"> and </w:t>
      </w:r>
      <w:r w:rsidR="000C5325">
        <w:rPr>
          <w:rFonts w:ascii="Arial" w:hAnsi="Arial" w:cs="Arial"/>
          <w:sz w:val="20"/>
          <w:szCs w:val="20"/>
        </w:rPr>
        <w:t xml:space="preserve">allowed for </w:t>
      </w:r>
      <w:r>
        <w:rPr>
          <w:rFonts w:ascii="Arial" w:hAnsi="Arial" w:cs="Arial"/>
          <w:sz w:val="20"/>
          <w:szCs w:val="20"/>
        </w:rPr>
        <w:t xml:space="preserve">mention of </w:t>
      </w:r>
      <w:r w:rsidR="000C5325">
        <w:rPr>
          <w:rFonts w:ascii="Arial" w:hAnsi="Arial" w:cs="Arial"/>
          <w:sz w:val="20"/>
          <w:szCs w:val="20"/>
        </w:rPr>
        <w:t>impact activities from across the returned staff</w:t>
      </w:r>
      <w:r>
        <w:rPr>
          <w:rFonts w:ascii="Arial" w:hAnsi="Arial" w:cs="Arial"/>
          <w:sz w:val="20"/>
          <w:szCs w:val="20"/>
        </w:rPr>
        <w:t xml:space="preserve">. </w:t>
      </w:r>
      <w:r w:rsidRPr="00BA70AB">
        <w:rPr>
          <w:rFonts w:ascii="Arial" w:hAnsi="Arial" w:cs="Arial"/>
          <w:sz w:val="20"/>
          <w:szCs w:val="20"/>
        </w:rPr>
        <w:t>The templates are available online but</w:t>
      </w:r>
      <w:r>
        <w:rPr>
          <w:rFonts w:ascii="Arial" w:hAnsi="Arial" w:cs="Arial"/>
          <w:sz w:val="20"/>
          <w:szCs w:val="20"/>
        </w:rPr>
        <w:t xml:space="preserve"> are</w:t>
      </w:r>
      <w:r w:rsidRPr="00BA70AB">
        <w:rPr>
          <w:rFonts w:ascii="Arial" w:hAnsi="Arial" w:cs="Arial"/>
          <w:sz w:val="20"/>
          <w:szCs w:val="20"/>
        </w:rPr>
        <w:t xml:space="preserve"> not part of the searchable database.</w:t>
      </w:r>
      <w:r>
        <w:rPr>
          <w:rStyle w:val="FootnoteReference"/>
          <w:rFonts w:ascii="Arial" w:hAnsi="Arial" w:cs="Arial"/>
          <w:sz w:val="20"/>
          <w:szCs w:val="20"/>
        </w:rPr>
        <w:footnoteReference w:id="32"/>
      </w:r>
      <w:r>
        <w:rPr>
          <w:rFonts w:ascii="Arial" w:hAnsi="Arial" w:cs="Arial"/>
          <w:sz w:val="20"/>
          <w:szCs w:val="20"/>
        </w:rPr>
        <w:t xml:space="preserve"> </w:t>
      </w:r>
    </w:p>
    <w:p w14:paraId="4CE088B8" w14:textId="77777777" w:rsidR="000866A5" w:rsidRPr="00BA70AB" w:rsidRDefault="000866A5" w:rsidP="00E51F2A">
      <w:pPr>
        <w:spacing w:line="480" w:lineRule="auto"/>
        <w:rPr>
          <w:rFonts w:ascii="Arial" w:hAnsi="Arial" w:cs="Arial"/>
          <w:sz w:val="20"/>
          <w:szCs w:val="20"/>
        </w:rPr>
      </w:pPr>
    </w:p>
    <w:p w14:paraId="5CE9D4D5" w14:textId="35C4BE1B" w:rsidR="000866A5" w:rsidRDefault="000866A5" w:rsidP="00E51F2A">
      <w:pPr>
        <w:spacing w:line="480" w:lineRule="auto"/>
        <w:rPr>
          <w:rFonts w:ascii="Arial" w:hAnsi="Arial" w:cs="Arial"/>
          <w:sz w:val="20"/>
          <w:szCs w:val="20"/>
        </w:rPr>
      </w:pPr>
      <w:r w:rsidRPr="00B40CAA">
        <w:rPr>
          <w:rFonts w:ascii="Arial" w:hAnsi="Arial" w:cs="Arial"/>
          <w:sz w:val="20"/>
          <w:szCs w:val="20"/>
        </w:rPr>
        <w:t xml:space="preserve">REF submissions are made in a </w:t>
      </w:r>
      <w:r w:rsidR="007939A5" w:rsidRPr="00B40CAA">
        <w:rPr>
          <w:rFonts w:ascii="Arial" w:hAnsi="Arial" w:cs="Arial"/>
          <w:sz w:val="20"/>
          <w:szCs w:val="20"/>
        </w:rPr>
        <w:t>‘</w:t>
      </w:r>
      <w:r w:rsidRPr="00B40CAA">
        <w:rPr>
          <w:rFonts w:ascii="Arial" w:hAnsi="Arial" w:cs="Arial"/>
          <w:sz w:val="20"/>
          <w:szCs w:val="20"/>
        </w:rPr>
        <w:t>Unit of Assessment</w:t>
      </w:r>
      <w:r w:rsidR="007939A5" w:rsidRPr="00B40CAA">
        <w:rPr>
          <w:rFonts w:ascii="Arial" w:hAnsi="Arial" w:cs="Arial"/>
          <w:sz w:val="20"/>
          <w:szCs w:val="20"/>
        </w:rPr>
        <w:t>’</w:t>
      </w:r>
      <w:r w:rsidRPr="00B40CAA">
        <w:rPr>
          <w:rFonts w:ascii="Arial" w:hAnsi="Arial" w:cs="Arial"/>
          <w:sz w:val="20"/>
          <w:szCs w:val="20"/>
        </w:rPr>
        <w:t xml:space="preserve"> (Uo</w:t>
      </w:r>
      <w:r w:rsidR="007D5FB5" w:rsidRPr="00B40CAA">
        <w:rPr>
          <w:rFonts w:ascii="Arial" w:hAnsi="Arial" w:cs="Arial"/>
          <w:sz w:val="20"/>
          <w:szCs w:val="20"/>
        </w:rPr>
        <w:t>A)</w:t>
      </w:r>
      <w:r w:rsidR="00FA46EA" w:rsidRPr="00B40CAA">
        <w:rPr>
          <w:rFonts w:ascii="Arial" w:hAnsi="Arial" w:cs="Arial"/>
          <w:sz w:val="20"/>
          <w:szCs w:val="20"/>
        </w:rPr>
        <w:t>. A</w:t>
      </w:r>
      <w:r w:rsidRPr="00B40CAA">
        <w:rPr>
          <w:rFonts w:ascii="Arial" w:hAnsi="Arial" w:cs="Arial"/>
          <w:sz w:val="20"/>
          <w:szCs w:val="20"/>
        </w:rPr>
        <w:t xml:space="preserve"> submission to the Law UoA will usually be associated with a university’s law school</w:t>
      </w:r>
      <w:r w:rsidR="00A27CF6" w:rsidRPr="00B40CAA">
        <w:rPr>
          <w:rFonts w:ascii="Arial" w:hAnsi="Arial" w:cs="Arial"/>
          <w:sz w:val="20"/>
          <w:szCs w:val="20"/>
        </w:rPr>
        <w:t xml:space="preserve">. </w:t>
      </w:r>
      <w:r w:rsidR="00A51230" w:rsidRPr="00B40CAA">
        <w:rPr>
          <w:rFonts w:ascii="Arial" w:hAnsi="Arial" w:cs="Arial"/>
          <w:sz w:val="20"/>
          <w:szCs w:val="20"/>
        </w:rPr>
        <w:t>Although s</w:t>
      </w:r>
      <w:r w:rsidR="007D5FB5" w:rsidRPr="00B40CAA">
        <w:rPr>
          <w:rFonts w:ascii="Arial" w:hAnsi="Arial" w:cs="Arial"/>
          <w:sz w:val="20"/>
          <w:szCs w:val="20"/>
        </w:rPr>
        <w:t xml:space="preserve">ome </w:t>
      </w:r>
      <w:r w:rsidR="00A51230" w:rsidRPr="00B40CAA">
        <w:rPr>
          <w:rFonts w:ascii="Arial" w:hAnsi="Arial" w:cs="Arial"/>
          <w:sz w:val="20"/>
          <w:szCs w:val="20"/>
        </w:rPr>
        <w:t xml:space="preserve">law </w:t>
      </w:r>
      <w:r w:rsidR="007D5FB5" w:rsidRPr="00B40CAA">
        <w:rPr>
          <w:rFonts w:ascii="Arial" w:hAnsi="Arial" w:cs="Arial"/>
          <w:sz w:val="20"/>
          <w:szCs w:val="20"/>
        </w:rPr>
        <w:t xml:space="preserve">work may be </w:t>
      </w:r>
      <w:r w:rsidR="00A51230" w:rsidRPr="00B40CAA">
        <w:rPr>
          <w:rFonts w:ascii="Arial" w:hAnsi="Arial" w:cs="Arial"/>
          <w:sz w:val="20"/>
          <w:szCs w:val="20"/>
        </w:rPr>
        <w:t xml:space="preserve">submitted to other UoAs (history </w:t>
      </w:r>
      <w:r w:rsidR="007D5FB5" w:rsidRPr="00B40CAA">
        <w:rPr>
          <w:rFonts w:ascii="Arial" w:hAnsi="Arial" w:cs="Arial"/>
          <w:sz w:val="20"/>
          <w:szCs w:val="20"/>
        </w:rPr>
        <w:t>or politics</w:t>
      </w:r>
      <w:r w:rsidR="00E80E79">
        <w:rPr>
          <w:rFonts w:ascii="Arial" w:hAnsi="Arial" w:cs="Arial"/>
          <w:sz w:val="20"/>
          <w:szCs w:val="20"/>
        </w:rPr>
        <w:t>, for example</w:t>
      </w:r>
      <w:r w:rsidR="007D5FB5" w:rsidRPr="00B40CAA">
        <w:rPr>
          <w:rFonts w:ascii="Arial" w:hAnsi="Arial" w:cs="Arial"/>
          <w:sz w:val="20"/>
          <w:szCs w:val="20"/>
        </w:rPr>
        <w:t xml:space="preserve">) and academics </w:t>
      </w:r>
      <w:r w:rsidR="00A51230" w:rsidRPr="00B40CAA">
        <w:rPr>
          <w:rFonts w:ascii="Arial" w:hAnsi="Arial" w:cs="Arial"/>
          <w:sz w:val="20"/>
          <w:szCs w:val="20"/>
        </w:rPr>
        <w:t xml:space="preserve">from other departments </w:t>
      </w:r>
      <w:r w:rsidR="007D5FB5" w:rsidRPr="00B40CAA">
        <w:rPr>
          <w:rFonts w:ascii="Arial" w:hAnsi="Arial" w:cs="Arial"/>
          <w:sz w:val="20"/>
          <w:szCs w:val="20"/>
        </w:rPr>
        <w:t>may b</w:t>
      </w:r>
      <w:r w:rsidR="00A27CF6" w:rsidRPr="00B40CAA">
        <w:rPr>
          <w:rFonts w:ascii="Arial" w:hAnsi="Arial" w:cs="Arial"/>
          <w:sz w:val="20"/>
          <w:szCs w:val="20"/>
        </w:rPr>
        <w:t xml:space="preserve">e </w:t>
      </w:r>
      <w:r w:rsidR="00A51230" w:rsidRPr="00B40CAA">
        <w:rPr>
          <w:rFonts w:ascii="Arial" w:hAnsi="Arial" w:cs="Arial"/>
          <w:sz w:val="20"/>
          <w:szCs w:val="20"/>
        </w:rPr>
        <w:t>submitted to Law</w:t>
      </w:r>
      <w:r w:rsidR="00A27CF6" w:rsidRPr="00B40CAA">
        <w:rPr>
          <w:rFonts w:ascii="Arial" w:hAnsi="Arial" w:cs="Arial"/>
          <w:sz w:val="20"/>
          <w:szCs w:val="20"/>
        </w:rPr>
        <w:t xml:space="preserve">, the Law UoA </w:t>
      </w:r>
      <w:r w:rsidR="00F725A1" w:rsidRPr="00B40CAA">
        <w:rPr>
          <w:rFonts w:ascii="Arial" w:hAnsi="Arial" w:cs="Arial"/>
          <w:sz w:val="20"/>
          <w:szCs w:val="20"/>
        </w:rPr>
        <w:t xml:space="preserve">very largely comprises research from </w:t>
      </w:r>
      <w:r w:rsidR="00A51230" w:rsidRPr="00B40CAA">
        <w:rPr>
          <w:rFonts w:ascii="Arial" w:hAnsi="Arial" w:cs="Arial"/>
          <w:sz w:val="20"/>
          <w:szCs w:val="20"/>
        </w:rPr>
        <w:t>law schools</w:t>
      </w:r>
      <w:r w:rsidR="00A27CF6" w:rsidRPr="00B40CAA">
        <w:rPr>
          <w:rFonts w:ascii="Arial" w:hAnsi="Arial" w:cs="Arial"/>
          <w:sz w:val="20"/>
          <w:szCs w:val="20"/>
        </w:rPr>
        <w:t xml:space="preserve">. </w:t>
      </w:r>
      <w:r w:rsidRPr="00B40CAA">
        <w:rPr>
          <w:rFonts w:ascii="Arial" w:hAnsi="Arial" w:cs="Arial"/>
          <w:sz w:val="20"/>
          <w:szCs w:val="20"/>
        </w:rPr>
        <w:t>The REF</w:t>
      </w:r>
      <w:r w:rsidR="007234A1" w:rsidRPr="00B40CAA">
        <w:rPr>
          <w:rFonts w:ascii="Arial" w:hAnsi="Arial" w:cs="Arial"/>
          <w:sz w:val="20"/>
          <w:szCs w:val="20"/>
        </w:rPr>
        <w:t xml:space="preserve"> 2014</w:t>
      </w:r>
      <w:r w:rsidR="00A51230" w:rsidRPr="00B40CAA">
        <w:rPr>
          <w:rFonts w:ascii="Arial" w:hAnsi="Arial" w:cs="Arial"/>
          <w:sz w:val="20"/>
          <w:szCs w:val="20"/>
        </w:rPr>
        <w:t xml:space="preserve"> database contains</w:t>
      </w:r>
      <w:r w:rsidRPr="00B40CAA">
        <w:rPr>
          <w:rFonts w:ascii="Arial" w:hAnsi="Arial" w:cs="Arial"/>
          <w:sz w:val="20"/>
          <w:szCs w:val="20"/>
        </w:rPr>
        <w:t xml:space="preserve"> </w:t>
      </w:r>
      <w:r w:rsidR="002D5CEF" w:rsidRPr="00B40CAA">
        <w:rPr>
          <w:rFonts w:ascii="Arial" w:hAnsi="Arial" w:cs="Arial"/>
          <w:sz w:val="20"/>
          <w:szCs w:val="20"/>
        </w:rPr>
        <w:t>216</w:t>
      </w:r>
      <w:r w:rsidRPr="00B40CAA">
        <w:rPr>
          <w:rFonts w:ascii="Arial" w:hAnsi="Arial" w:cs="Arial"/>
          <w:sz w:val="20"/>
          <w:szCs w:val="20"/>
        </w:rPr>
        <w:t xml:space="preserve"> case studies for the Law UoA. These came from 68 law schools, each of which al</w:t>
      </w:r>
      <w:r w:rsidR="00A51230" w:rsidRPr="00B40CAA">
        <w:rPr>
          <w:rFonts w:ascii="Arial" w:hAnsi="Arial" w:cs="Arial"/>
          <w:sz w:val="20"/>
          <w:szCs w:val="20"/>
        </w:rPr>
        <w:t>so submitted an impact template.</w:t>
      </w:r>
      <w:r w:rsidR="00A51230" w:rsidRPr="00B40CAA">
        <w:rPr>
          <w:rStyle w:val="FootnoteReference"/>
          <w:rFonts w:ascii="Arial" w:hAnsi="Arial" w:cs="Arial"/>
          <w:sz w:val="20"/>
          <w:szCs w:val="20"/>
        </w:rPr>
        <w:footnoteReference w:id="33"/>
      </w:r>
      <w:r w:rsidRPr="00B40CAA">
        <w:rPr>
          <w:rFonts w:ascii="Arial" w:hAnsi="Arial" w:cs="Arial"/>
          <w:sz w:val="20"/>
          <w:szCs w:val="20"/>
        </w:rPr>
        <w:t xml:space="preserve"> </w:t>
      </w:r>
      <w:r w:rsidR="00E1651E" w:rsidRPr="00B40CAA">
        <w:rPr>
          <w:rFonts w:ascii="Arial" w:hAnsi="Arial" w:cs="Arial"/>
          <w:sz w:val="20"/>
          <w:szCs w:val="20"/>
        </w:rPr>
        <w:t>D</w:t>
      </w:r>
      <w:r w:rsidR="006B0E88" w:rsidRPr="00B40CAA">
        <w:rPr>
          <w:rFonts w:ascii="Arial" w:hAnsi="Arial" w:cs="Arial"/>
          <w:sz w:val="20"/>
          <w:szCs w:val="20"/>
        </w:rPr>
        <w:t>ata from these submissions</w:t>
      </w:r>
      <w:r w:rsidR="00B40CAA">
        <w:rPr>
          <w:rFonts w:ascii="Arial" w:hAnsi="Arial" w:cs="Arial"/>
          <w:sz w:val="20"/>
          <w:szCs w:val="20"/>
        </w:rPr>
        <w:t xml:space="preserve"> is analysed </w:t>
      </w:r>
      <w:r w:rsidR="006B0E88" w:rsidRPr="00B40CAA">
        <w:rPr>
          <w:rFonts w:ascii="Arial" w:hAnsi="Arial" w:cs="Arial"/>
          <w:sz w:val="20"/>
          <w:szCs w:val="20"/>
        </w:rPr>
        <w:t xml:space="preserve">to </w:t>
      </w:r>
      <w:r w:rsidR="00036F73" w:rsidRPr="00B40CAA">
        <w:rPr>
          <w:rFonts w:ascii="Arial" w:hAnsi="Arial" w:cs="Arial"/>
          <w:sz w:val="20"/>
          <w:szCs w:val="20"/>
        </w:rPr>
        <w:t xml:space="preserve">identify </w:t>
      </w:r>
      <w:r w:rsidR="00542642" w:rsidRPr="00B40CAA">
        <w:rPr>
          <w:rFonts w:ascii="Arial" w:hAnsi="Arial" w:cs="Arial"/>
          <w:sz w:val="20"/>
          <w:szCs w:val="20"/>
        </w:rPr>
        <w:t xml:space="preserve">the </w:t>
      </w:r>
      <w:r w:rsidR="00036F73" w:rsidRPr="00B40CAA">
        <w:rPr>
          <w:rFonts w:ascii="Arial" w:hAnsi="Arial" w:cs="Arial"/>
          <w:sz w:val="20"/>
          <w:szCs w:val="20"/>
        </w:rPr>
        <w:t>scope of</w:t>
      </w:r>
      <w:r w:rsidR="00542642" w:rsidRPr="00B40CAA">
        <w:rPr>
          <w:rFonts w:ascii="Arial" w:hAnsi="Arial" w:cs="Arial"/>
          <w:sz w:val="20"/>
          <w:szCs w:val="20"/>
        </w:rPr>
        <w:t xml:space="preserve"> law academics’</w:t>
      </w:r>
      <w:r w:rsidR="00036F73" w:rsidRPr="00B40CAA">
        <w:rPr>
          <w:rFonts w:ascii="Arial" w:hAnsi="Arial" w:cs="Arial"/>
          <w:sz w:val="20"/>
          <w:szCs w:val="20"/>
        </w:rPr>
        <w:t xml:space="preserve"> engagement with </w:t>
      </w:r>
      <w:r w:rsidR="00542642" w:rsidRPr="00B40CAA">
        <w:rPr>
          <w:rFonts w:ascii="Arial" w:hAnsi="Arial" w:cs="Arial"/>
          <w:sz w:val="20"/>
          <w:szCs w:val="20"/>
        </w:rPr>
        <w:t>governments</w:t>
      </w:r>
      <w:r w:rsidR="00036F73" w:rsidRPr="00B40CAA">
        <w:rPr>
          <w:rFonts w:ascii="Arial" w:hAnsi="Arial" w:cs="Arial"/>
          <w:sz w:val="20"/>
          <w:szCs w:val="20"/>
        </w:rPr>
        <w:t xml:space="preserve"> and </w:t>
      </w:r>
      <w:r w:rsidR="00542642" w:rsidRPr="00B40CAA">
        <w:rPr>
          <w:rFonts w:ascii="Arial" w:hAnsi="Arial" w:cs="Arial"/>
          <w:sz w:val="20"/>
          <w:szCs w:val="20"/>
        </w:rPr>
        <w:t xml:space="preserve">provide a </w:t>
      </w:r>
      <w:r w:rsidR="006B0E88" w:rsidRPr="00B40CAA">
        <w:rPr>
          <w:rFonts w:ascii="Arial" w:hAnsi="Arial" w:cs="Arial"/>
          <w:sz w:val="20"/>
          <w:szCs w:val="20"/>
        </w:rPr>
        <w:t>context</w:t>
      </w:r>
      <w:r w:rsidR="00542642" w:rsidRPr="00B40CAA">
        <w:rPr>
          <w:rFonts w:ascii="Arial" w:hAnsi="Arial" w:cs="Arial"/>
          <w:sz w:val="20"/>
          <w:szCs w:val="20"/>
        </w:rPr>
        <w:t xml:space="preserve"> for </w:t>
      </w:r>
      <w:r w:rsidR="00193B39">
        <w:rPr>
          <w:rFonts w:ascii="Arial" w:hAnsi="Arial" w:cs="Arial"/>
          <w:sz w:val="20"/>
          <w:szCs w:val="20"/>
        </w:rPr>
        <w:t xml:space="preserve">understanding this engagement. </w:t>
      </w:r>
    </w:p>
    <w:p w14:paraId="1484C8FD" w14:textId="77777777" w:rsidR="004F6E29" w:rsidRDefault="004F6E29" w:rsidP="00E51F2A">
      <w:pPr>
        <w:spacing w:line="480" w:lineRule="auto"/>
        <w:rPr>
          <w:rFonts w:ascii="Arial" w:hAnsi="Arial" w:cs="Arial"/>
          <w:sz w:val="20"/>
          <w:szCs w:val="20"/>
        </w:rPr>
      </w:pPr>
    </w:p>
    <w:p w14:paraId="614AE56D" w14:textId="2607CE5F" w:rsidR="006B0E88" w:rsidRDefault="00CF7C88" w:rsidP="00E51F2A">
      <w:pPr>
        <w:spacing w:line="480" w:lineRule="auto"/>
        <w:rPr>
          <w:rFonts w:ascii="Arial" w:hAnsi="Arial" w:cs="Arial"/>
          <w:sz w:val="20"/>
          <w:szCs w:val="20"/>
        </w:rPr>
      </w:pPr>
      <w:r>
        <w:rPr>
          <w:rFonts w:ascii="Arial" w:hAnsi="Arial" w:cs="Arial"/>
          <w:sz w:val="20"/>
          <w:szCs w:val="20"/>
        </w:rPr>
        <w:t>While the</w:t>
      </w:r>
      <w:r w:rsidR="006C6753">
        <w:rPr>
          <w:rFonts w:ascii="Arial" w:hAnsi="Arial" w:cs="Arial"/>
          <w:sz w:val="20"/>
          <w:szCs w:val="20"/>
        </w:rPr>
        <w:t xml:space="preserve"> </w:t>
      </w:r>
      <w:r w:rsidR="006B0E88">
        <w:rPr>
          <w:rFonts w:ascii="Arial" w:hAnsi="Arial" w:cs="Arial"/>
          <w:sz w:val="20"/>
          <w:szCs w:val="20"/>
        </w:rPr>
        <w:t xml:space="preserve">REF </w:t>
      </w:r>
      <w:r w:rsidR="006C6753">
        <w:rPr>
          <w:rFonts w:ascii="Arial" w:hAnsi="Arial" w:cs="Arial"/>
          <w:sz w:val="20"/>
          <w:szCs w:val="20"/>
        </w:rPr>
        <w:t>data m</w:t>
      </w:r>
      <w:r w:rsidR="006C6753" w:rsidRPr="000866A5">
        <w:rPr>
          <w:rFonts w:ascii="Arial" w:hAnsi="Arial" w:cs="Arial"/>
          <w:sz w:val="20"/>
          <w:szCs w:val="20"/>
        </w:rPr>
        <w:t xml:space="preserve">ay </w:t>
      </w:r>
      <w:r w:rsidR="005E20C7">
        <w:rPr>
          <w:rFonts w:ascii="Arial" w:hAnsi="Arial" w:cs="Arial"/>
          <w:sz w:val="20"/>
          <w:szCs w:val="20"/>
        </w:rPr>
        <w:t xml:space="preserve">reveal </w:t>
      </w:r>
      <w:r w:rsidR="006B0E88">
        <w:rPr>
          <w:rFonts w:ascii="Arial" w:hAnsi="Arial" w:cs="Arial"/>
          <w:sz w:val="20"/>
          <w:szCs w:val="20"/>
        </w:rPr>
        <w:t>something</w:t>
      </w:r>
      <w:r w:rsidR="006C6753" w:rsidRPr="000866A5">
        <w:rPr>
          <w:rFonts w:ascii="Arial" w:hAnsi="Arial" w:cs="Arial"/>
          <w:sz w:val="20"/>
          <w:szCs w:val="20"/>
        </w:rPr>
        <w:t xml:space="preserve"> about the impact </w:t>
      </w:r>
      <w:r w:rsidR="005E20C7">
        <w:rPr>
          <w:rFonts w:ascii="Arial" w:hAnsi="Arial" w:cs="Arial"/>
          <w:sz w:val="20"/>
          <w:szCs w:val="20"/>
        </w:rPr>
        <w:t xml:space="preserve">of </w:t>
      </w:r>
      <w:r>
        <w:rPr>
          <w:rFonts w:ascii="Arial" w:hAnsi="Arial" w:cs="Arial"/>
          <w:sz w:val="20"/>
          <w:szCs w:val="20"/>
        </w:rPr>
        <w:t>legal</w:t>
      </w:r>
      <w:r w:rsidR="006C6753" w:rsidRPr="000866A5">
        <w:rPr>
          <w:rFonts w:ascii="Arial" w:hAnsi="Arial" w:cs="Arial"/>
          <w:sz w:val="20"/>
          <w:szCs w:val="20"/>
        </w:rPr>
        <w:t xml:space="preserve"> research, </w:t>
      </w:r>
      <w:r>
        <w:rPr>
          <w:rFonts w:ascii="Arial" w:hAnsi="Arial" w:cs="Arial"/>
          <w:sz w:val="20"/>
          <w:szCs w:val="20"/>
        </w:rPr>
        <w:t>it reveals</w:t>
      </w:r>
      <w:r w:rsidR="006C6753" w:rsidRPr="000866A5">
        <w:rPr>
          <w:rFonts w:ascii="Arial" w:hAnsi="Arial" w:cs="Arial"/>
          <w:sz w:val="20"/>
          <w:szCs w:val="20"/>
        </w:rPr>
        <w:t xml:space="preserve"> much less about the experience of </w:t>
      </w:r>
      <w:r w:rsidR="007D5C4A">
        <w:rPr>
          <w:rFonts w:ascii="Arial" w:hAnsi="Arial" w:cs="Arial"/>
          <w:sz w:val="20"/>
          <w:szCs w:val="20"/>
        </w:rPr>
        <w:t>achieving impact</w:t>
      </w:r>
      <w:r w:rsidR="006C6753" w:rsidRPr="000866A5">
        <w:rPr>
          <w:rFonts w:ascii="Arial" w:hAnsi="Arial" w:cs="Arial"/>
          <w:sz w:val="20"/>
          <w:szCs w:val="20"/>
        </w:rPr>
        <w:t xml:space="preserve">. Importantly, REF submissions </w:t>
      </w:r>
      <w:r w:rsidR="005E20C7">
        <w:rPr>
          <w:rFonts w:ascii="Arial" w:hAnsi="Arial" w:cs="Arial"/>
          <w:sz w:val="20"/>
          <w:szCs w:val="20"/>
        </w:rPr>
        <w:t xml:space="preserve">are </w:t>
      </w:r>
      <w:r w:rsidR="007D5C4A">
        <w:rPr>
          <w:rFonts w:ascii="Arial" w:hAnsi="Arial" w:cs="Arial"/>
          <w:sz w:val="20"/>
          <w:szCs w:val="20"/>
        </w:rPr>
        <w:t>un</w:t>
      </w:r>
      <w:r w:rsidR="005E20C7">
        <w:rPr>
          <w:rFonts w:ascii="Arial" w:hAnsi="Arial" w:cs="Arial"/>
          <w:sz w:val="20"/>
          <w:szCs w:val="20"/>
        </w:rPr>
        <w:t>likely to talk about</w:t>
      </w:r>
      <w:r w:rsidR="006C6753" w:rsidRPr="000866A5">
        <w:rPr>
          <w:rFonts w:ascii="Arial" w:hAnsi="Arial" w:cs="Arial"/>
          <w:sz w:val="20"/>
          <w:szCs w:val="20"/>
        </w:rPr>
        <w:t xml:space="preserve"> struggles or failures, </w:t>
      </w:r>
      <w:r w:rsidR="007D5C4A">
        <w:rPr>
          <w:rFonts w:ascii="Arial" w:hAnsi="Arial" w:cs="Arial"/>
          <w:sz w:val="20"/>
          <w:szCs w:val="20"/>
        </w:rPr>
        <w:t xml:space="preserve">or </w:t>
      </w:r>
      <w:r w:rsidR="006C6753" w:rsidRPr="000866A5">
        <w:rPr>
          <w:rFonts w:ascii="Arial" w:hAnsi="Arial" w:cs="Arial"/>
          <w:sz w:val="20"/>
          <w:szCs w:val="20"/>
        </w:rPr>
        <w:t>about what made impact possible</w:t>
      </w:r>
      <w:r w:rsidR="007D5C4A">
        <w:rPr>
          <w:rFonts w:ascii="Arial" w:hAnsi="Arial" w:cs="Arial"/>
          <w:sz w:val="20"/>
          <w:szCs w:val="20"/>
        </w:rPr>
        <w:t xml:space="preserve"> or what hampered it.</w:t>
      </w:r>
      <w:r w:rsidR="00823E3C">
        <w:rPr>
          <w:rFonts w:ascii="Arial" w:hAnsi="Arial" w:cs="Arial"/>
          <w:sz w:val="20"/>
          <w:szCs w:val="20"/>
        </w:rPr>
        <w:t xml:space="preserve"> </w:t>
      </w:r>
      <w:r>
        <w:rPr>
          <w:rFonts w:ascii="Arial" w:hAnsi="Arial" w:cs="Arial"/>
          <w:sz w:val="20"/>
          <w:szCs w:val="20"/>
        </w:rPr>
        <w:t>There is also a</w:t>
      </w:r>
      <w:r w:rsidR="00454853">
        <w:rPr>
          <w:rFonts w:ascii="Arial" w:hAnsi="Arial" w:cs="Arial"/>
          <w:sz w:val="20"/>
          <w:szCs w:val="20"/>
        </w:rPr>
        <w:t>n inherent risk of researchers ‘gilding the lily’</w:t>
      </w:r>
      <w:r w:rsidR="006C6753" w:rsidRPr="000866A5">
        <w:rPr>
          <w:rFonts w:ascii="Arial" w:hAnsi="Arial" w:cs="Arial"/>
          <w:sz w:val="20"/>
          <w:szCs w:val="20"/>
        </w:rPr>
        <w:t>.</w:t>
      </w:r>
      <w:r w:rsidR="006C6753" w:rsidRPr="000866A5">
        <w:rPr>
          <w:rStyle w:val="FootnoteReference"/>
          <w:rFonts w:ascii="Arial" w:hAnsi="Arial" w:cs="Arial"/>
          <w:sz w:val="20"/>
          <w:szCs w:val="20"/>
        </w:rPr>
        <w:footnoteReference w:id="34"/>
      </w:r>
      <w:r w:rsidR="006C6753" w:rsidRPr="000866A5">
        <w:rPr>
          <w:rFonts w:ascii="Arial" w:hAnsi="Arial" w:cs="Arial"/>
          <w:sz w:val="20"/>
          <w:szCs w:val="20"/>
        </w:rPr>
        <w:t xml:space="preserve"> </w:t>
      </w:r>
    </w:p>
    <w:p w14:paraId="5442B257" w14:textId="77777777" w:rsidR="006B0E88" w:rsidRDefault="006B0E88" w:rsidP="00E51F2A">
      <w:pPr>
        <w:spacing w:line="480" w:lineRule="auto"/>
        <w:rPr>
          <w:rFonts w:ascii="Arial" w:hAnsi="Arial" w:cs="Arial"/>
          <w:sz w:val="20"/>
          <w:szCs w:val="20"/>
        </w:rPr>
      </w:pPr>
    </w:p>
    <w:p w14:paraId="1E9760A4" w14:textId="35E0C364" w:rsidR="007939A5" w:rsidRDefault="006B0E88" w:rsidP="00BE7C83">
      <w:pPr>
        <w:spacing w:line="480" w:lineRule="auto"/>
        <w:rPr>
          <w:rFonts w:ascii="Arial" w:hAnsi="Arial" w:cs="Arial"/>
          <w:sz w:val="20"/>
          <w:szCs w:val="20"/>
        </w:rPr>
      </w:pPr>
      <w:r>
        <w:rPr>
          <w:rFonts w:ascii="Arial" w:hAnsi="Arial" w:cs="Arial"/>
          <w:sz w:val="20"/>
          <w:szCs w:val="20"/>
        </w:rPr>
        <w:t>To understand this experience and gather data the REF does not contain, I conducted a</w:t>
      </w:r>
      <w:r w:rsidRPr="000866A5">
        <w:rPr>
          <w:rFonts w:ascii="Arial" w:hAnsi="Arial" w:cs="Arial"/>
          <w:sz w:val="20"/>
          <w:szCs w:val="20"/>
        </w:rPr>
        <w:t xml:space="preserve"> </w:t>
      </w:r>
      <w:r w:rsidR="006C6753" w:rsidRPr="000866A5">
        <w:rPr>
          <w:rFonts w:ascii="Arial" w:hAnsi="Arial" w:cs="Arial"/>
          <w:sz w:val="20"/>
          <w:szCs w:val="20"/>
        </w:rPr>
        <w:t xml:space="preserve">survey </w:t>
      </w:r>
      <w:r>
        <w:rPr>
          <w:rFonts w:ascii="Arial" w:hAnsi="Arial" w:cs="Arial"/>
          <w:sz w:val="20"/>
          <w:szCs w:val="20"/>
        </w:rPr>
        <w:t xml:space="preserve">of </w:t>
      </w:r>
      <w:r w:rsidR="006C6753" w:rsidRPr="000866A5">
        <w:rPr>
          <w:rFonts w:ascii="Arial" w:hAnsi="Arial" w:cs="Arial"/>
          <w:sz w:val="20"/>
          <w:szCs w:val="20"/>
        </w:rPr>
        <w:t>researchers named in the REF case studies</w:t>
      </w:r>
      <w:r>
        <w:rPr>
          <w:rFonts w:ascii="Arial" w:hAnsi="Arial" w:cs="Arial"/>
          <w:sz w:val="20"/>
          <w:szCs w:val="20"/>
        </w:rPr>
        <w:t>. Analysis of this data is the primary focus of this article.</w:t>
      </w:r>
      <w:r w:rsidR="00D202E9">
        <w:rPr>
          <w:rFonts w:ascii="Arial" w:hAnsi="Arial" w:cs="Arial"/>
          <w:sz w:val="20"/>
          <w:szCs w:val="20"/>
        </w:rPr>
        <w:t xml:space="preserve"> </w:t>
      </w:r>
      <w:r>
        <w:rPr>
          <w:rFonts w:ascii="Arial" w:hAnsi="Arial" w:cs="Arial"/>
          <w:sz w:val="20"/>
          <w:szCs w:val="20"/>
        </w:rPr>
        <w:t>A second survey focused on</w:t>
      </w:r>
      <w:r w:rsidR="006C6753" w:rsidRPr="000866A5">
        <w:rPr>
          <w:rFonts w:ascii="Arial" w:hAnsi="Arial" w:cs="Arial"/>
          <w:sz w:val="20"/>
          <w:szCs w:val="20"/>
        </w:rPr>
        <w:t xml:space="preserve"> directors of research in UK law schools</w:t>
      </w:r>
      <w:r w:rsidR="00D66EE5">
        <w:rPr>
          <w:rFonts w:ascii="Arial" w:hAnsi="Arial" w:cs="Arial"/>
          <w:sz w:val="20"/>
          <w:szCs w:val="20"/>
        </w:rPr>
        <w:t xml:space="preserve"> to look at the effects of the inclusion of impact in </w:t>
      </w:r>
      <w:r w:rsidR="007939A5">
        <w:rPr>
          <w:rFonts w:ascii="Arial" w:hAnsi="Arial" w:cs="Arial"/>
          <w:sz w:val="20"/>
          <w:szCs w:val="20"/>
        </w:rPr>
        <w:t xml:space="preserve">the </w:t>
      </w:r>
      <w:r w:rsidR="00D66EE5">
        <w:rPr>
          <w:rFonts w:ascii="Arial" w:hAnsi="Arial" w:cs="Arial"/>
          <w:sz w:val="20"/>
          <w:szCs w:val="20"/>
        </w:rPr>
        <w:t>REF</w:t>
      </w:r>
      <w:r w:rsidR="006C6753" w:rsidRPr="000866A5">
        <w:rPr>
          <w:rFonts w:ascii="Arial" w:hAnsi="Arial" w:cs="Arial"/>
          <w:sz w:val="20"/>
          <w:szCs w:val="20"/>
        </w:rPr>
        <w:t>.</w:t>
      </w:r>
      <w:r w:rsidR="007D5C4A">
        <w:rPr>
          <w:rFonts w:ascii="Arial" w:hAnsi="Arial" w:cs="Arial"/>
          <w:sz w:val="20"/>
          <w:szCs w:val="20"/>
        </w:rPr>
        <w:t xml:space="preserve"> </w:t>
      </w:r>
    </w:p>
    <w:p w14:paraId="16B7350C" w14:textId="77777777" w:rsidR="004425EA" w:rsidRDefault="004425EA" w:rsidP="00BE7C83">
      <w:pPr>
        <w:spacing w:line="480" w:lineRule="auto"/>
        <w:rPr>
          <w:rFonts w:ascii="Arial" w:hAnsi="Arial" w:cs="Arial"/>
          <w:sz w:val="20"/>
          <w:szCs w:val="20"/>
        </w:rPr>
      </w:pPr>
    </w:p>
    <w:p w14:paraId="121B31F6" w14:textId="77777777" w:rsidR="003359B4" w:rsidRDefault="003359B4" w:rsidP="00BE7C83">
      <w:pPr>
        <w:spacing w:line="480" w:lineRule="auto"/>
        <w:rPr>
          <w:rFonts w:ascii="Arial" w:hAnsi="Arial" w:cs="Arial"/>
          <w:sz w:val="20"/>
          <w:szCs w:val="20"/>
        </w:rPr>
      </w:pPr>
    </w:p>
    <w:p w14:paraId="451F4769" w14:textId="1674FFCE" w:rsidR="004F6E29" w:rsidRPr="004A0A09" w:rsidRDefault="004F6E29" w:rsidP="00E1651E">
      <w:pPr>
        <w:pStyle w:val="ListParagraph"/>
        <w:numPr>
          <w:ilvl w:val="0"/>
          <w:numId w:val="22"/>
        </w:numPr>
        <w:spacing w:line="480" w:lineRule="auto"/>
        <w:rPr>
          <w:rFonts w:ascii="Arial" w:hAnsi="Arial" w:cs="Arial"/>
          <w:b/>
          <w:sz w:val="20"/>
          <w:szCs w:val="20"/>
        </w:rPr>
      </w:pPr>
      <w:r w:rsidRPr="004A0A09">
        <w:rPr>
          <w:rFonts w:ascii="Arial" w:hAnsi="Arial" w:cs="Arial"/>
          <w:b/>
          <w:sz w:val="20"/>
          <w:szCs w:val="20"/>
        </w:rPr>
        <w:lastRenderedPageBreak/>
        <w:t xml:space="preserve">Survey of researcher experience </w:t>
      </w:r>
    </w:p>
    <w:p w14:paraId="4220F932" w14:textId="0AB4AE25" w:rsidR="00BE7C83" w:rsidRDefault="00BE7C83" w:rsidP="00BE7C83">
      <w:pPr>
        <w:spacing w:line="480" w:lineRule="auto"/>
        <w:rPr>
          <w:rFonts w:ascii="Arial" w:hAnsi="Arial" w:cs="Arial"/>
          <w:sz w:val="20"/>
          <w:szCs w:val="20"/>
        </w:rPr>
      </w:pPr>
      <w:r>
        <w:rPr>
          <w:rFonts w:ascii="Arial" w:hAnsi="Arial" w:cs="Arial"/>
          <w:sz w:val="20"/>
          <w:szCs w:val="20"/>
        </w:rPr>
        <w:t>The researcher experience survey aimed to f</w:t>
      </w:r>
      <w:r w:rsidRPr="009408A5">
        <w:rPr>
          <w:rFonts w:ascii="Arial" w:hAnsi="Arial" w:cs="Arial"/>
          <w:sz w:val="20"/>
          <w:szCs w:val="20"/>
        </w:rPr>
        <w:t xml:space="preserve">ind out more about </w:t>
      </w:r>
      <w:r>
        <w:rPr>
          <w:rFonts w:ascii="Arial" w:hAnsi="Arial" w:cs="Arial"/>
          <w:sz w:val="20"/>
          <w:szCs w:val="20"/>
        </w:rPr>
        <w:t>how researchers from the REF 2014 case studies</w:t>
      </w:r>
      <w:r w:rsidRPr="009408A5">
        <w:rPr>
          <w:rFonts w:ascii="Arial" w:hAnsi="Arial" w:cs="Arial"/>
          <w:sz w:val="20"/>
          <w:szCs w:val="20"/>
        </w:rPr>
        <w:t xml:space="preserve"> interacted with government departments, including what worked well, what hurdles </w:t>
      </w:r>
      <w:r>
        <w:rPr>
          <w:rFonts w:ascii="Arial" w:hAnsi="Arial" w:cs="Arial"/>
          <w:sz w:val="20"/>
          <w:szCs w:val="20"/>
        </w:rPr>
        <w:t>were</w:t>
      </w:r>
      <w:r w:rsidRPr="009408A5">
        <w:rPr>
          <w:rFonts w:ascii="Arial" w:hAnsi="Arial" w:cs="Arial"/>
          <w:sz w:val="20"/>
          <w:szCs w:val="20"/>
        </w:rPr>
        <w:t xml:space="preserve"> encountered, and </w:t>
      </w:r>
      <w:r>
        <w:rPr>
          <w:rFonts w:ascii="Arial" w:hAnsi="Arial" w:cs="Arial"/>
          <w:sz w:val="20"/>
          <w:szCs w:val="20"/>
        </w:rPr>
        <w:t xml:space="preserve">the </w:t>
      </w:r>
      <w:r w:rsidRPr="009408A5">
        <w:rPr>
          <w:rFonts w:ascii="Arial" w:hAnsi="Arial" w:cs="Arial"/>
          <w:sz w:val="20"/>
          <w:szCs w:val="20"/>
        </w:rPr>
        <w:t>pathways that assist researchers and research users.</w:t>
      </w:r>
      <w:r>
        <w:rPr>
          <w:rFonts w:ascii="Arial" w:hAnsi="Arial" w:cs="Arial"/>
          <w:sz w:val="20"/>
          <w:szCs w:val="20"/>
        </w:rPr>
        <w:t xml:space="preserve"> </w:t>
      </w:r>
      <w:r w:rsidRPr="007009E7">
        <w:rPr>
          <w:rFonts w:ascii="Arial" w:hAnsi="Arial" w:cs="Arial"/>
          <w:sz w:val="20"/>
          <w:szCs w:val="20"/>
        </w:rPr>
        <w:t xml:space="preserve">The survey asked </w:t>
      </w:r>
      <w:r w:rsidR="00FF4E94">
        <w:rPr>
          <w:rFonts w:ascii="Arial" w:hAnsi="Arial" w:cs="Arial"/>
          <w:sz w:val="20"/>
          <w:szCs w:val="20"/>
        </w:rPr>
        <w:t>twelve</w:t>
      </w:r>
      <w:r w:rsidR="00FF4E94" w:rsidRPr="007009E7">
        <w:rPr>
          <w:rFonts w:ascii="Arial" w:hAnsi="Arial" w:cs="Arial"/>
          <w:sz w:val="20"/>
          <w:szCs w:val="20"/>
        </w:rPr>
        <w:t xml:space="preserve"> </w:t>
      </w:r>
      <w:r w:rsidRPr="007009E7">
        <w:rPr>
          <w:rFonts w:ascii="Arial" w:hAnsi="Arial" w:cs="Arial"/>
          <w:sz w:val="20"/>
          <w:szCs w:val="20"/>
        </w:rPr>
        <w:t>questions, covering:</w:t>
      </w:r>
    </w:p>
    <w:p w14:paraId="0604B840" w14:textId="64C7F220" w:rsidR="00BE7C83" w:rsidRDefault="00BE7C83" w:rsidP="00BE7C83">
      <w:pPr>
        <w:pStyle w:val="ListParagraph"/>
        <w:numPr>
          <w:ilvl w:val="0"/>
          <w:numId w:val="9"/>
        </w:numPr>
        <w:spacing w:line="480" w:lineRule="auto"/>
        <w:rPr>
          <w:rFonts w:ascii="Arial" w:hAnsi="Arial" w:cs="Arial"/>
          <w:sz w:val="20"/>
          <w:szCs w:val="20"/>
        </w:rPr>
      </w:pPr>
      <w:r>
        <w:rPr>
          <w:rFonts w:ascii="Arial" w:hAnsi="Arial" w:cs="Arial"/>
          <w:sz w:val="20"/>
          <w:szCs w:val="20"/>
        </w:rPr>
        <w:t>Respondent information: Russell Group / Non-Russell Group (at REF entry); length of career; gender</w:t>
      </w:r>
      <w:r w:rsidR="007939A5">
        <w:rPr>
          <w:rFonts w:ascii="Arial" w:hAnsi="Arial" w:cs="Arial"/>
          <w:sz w:val="20"/>
          <w:szCs w:val="20"/>
        </w:rPr>
        <w:t>.</w:t>
      </w:r>
    </w:p>
    <w:p w14:paraId="7E1D34DB" w14:textId="65A09D79" w:rsidR="00BE7C83" w:rsidRDefault="00BE7C83" w:rsidP="00BE7C83">
      <w:pPr>
        <w:pStyle w:val="ListParagraph"/>
        <w:numPr>
          <w:ilvl w:val="0"/>
          <w:numId w:val="9"/>
        </w:numPr>
        <w:spacing w:line="480" w:lineRule="auto"/>
        <w:rPr>
          <w:rFonts w:ascii="Arial" w:hAnsi="Arial" w:cs="Arial"/>
          <w:sz w:val="20"/>
          <w:szCs w:val="20"/>
        </w:rPr>
      </w:pPr>
      <w:r>
        <w:rPr>
          <w:rFonts w:ascii="Arial" w:hAnsi="Arial" w:cs="Arial"/>
          <w:sz w:val="20"/>
          <w:szCs w:val="20"/>
        </w:rPr>
        <w:t>Researcher view of whether research should have been of relevance and interest to government</w:t>
      </w:r>
      <w:r w:rsidR="007939A5">
        <w:rPr>
          <w:rFonts w:ascii="Arial" w:hAnsi="Arial" w:cs="Arial"/>
          <w:sz w:val="20"/>
          <w:szCs w:val="20"/>
        </w:rPr>
        <w:t>.</w:t>
      </w:r>
    </w:p>
    <w:p w14:paraId="4181ABF2" w14:textId="5DC621B8" w:rsidR="00BE7C83" w:rsidRDefault="00BE7C83" w:rsidP="00BE7C83">
      <w:pPr>
        <w:pStyle w:val="ListParagraph"/>
        <w:numPr>
          <w:ilvl w:val="0"/>
          <w:numId w:val="9"/>
        </w:numPr>
        <w:spacing w:line="480" w:lineRule="auto"/>
        <w:rPr>
          <w:rFonts w:ascii="Arial" w:hAnsi="Arial" w:cs="Arial"/>
          <w:sz w:val="20"/>
          <w:szCs w:val="20"/>
        </w:rPr>
      </w:pPr>
      <w:r>
        <w:rPr>
          <w:rFonts w:ascii="Arial" w:hAnsi="Arial" w:cs="Arial"/>
          <w:sz w:val="20"/>
          <w:szCs w:val="20"/>
        </w:rPr>
        <w:t>Departments and agencies engaged with</w:t>
      </w:r>
      <w:r w:rsidR="007939A5">
        <w:rPr>
          <w:rFonts w:ascii="Arial" w:hAnsi="Arial" w:cs="Arial"/>
          <w:sz w:val="20"/>
          <w:szCs w:val="20"/>
        </w:rPr>
        <w:t>.</w:t>
      </w:r>
    </w:p>
    <w:p w14:paraId="26AE3C75" w14:textId="150865DD" w:rsidR="00BE7C83" w:rsidRPr="00AB0984" w:rsidRDefault="00BE7C83" w:rsidP="00BE7C83">
      <w:pPr>
        <w:pStyle w:val="ListParagraph"/>
        <w:numPr>
          <w:ilvl w:val="0"/>
          <w:numId w:val="9"/>
        </w:numPr>
        <w:spacing w:line="480" w:lineRule="auto"/>
        <w:rPr>
          <w:rFonts w:ascii="Arial" w:hAnsi="Arial" w:cs="Arial"/>
          <w:sz w:val="20"/>
          <w:szCs w:val="20"/>
        </w:rPr>
      </w:pPr>
      <w:r w:rsidRPr="00AB0984">
        <w:rPr>
          <w:rFonts w:ascii="Arial" w:hAnsi="Arial" w:cs="Arial"/>
          <w:sz w:val="20"/>
          <w:szCs w:val="20"/>
        </w:rPr>
        <w:t>Department or agency engaged with most</w:t>
      </w:r>
      <w:r w:rsidR="007939A5" w:rsidRPr="00AB0984">
        <w:rPr>
          <w:rFonts w:ascii="Arial" w:hAnsi="Arial" w:cs="Arial"/>
          <w:sz w:val="20"/>
          <w:szCs w:val="20"/>
        </w:rPr>
        <w:t>.</w:t>
      </w:r>
    </w:p>
    <w:p w14:paraId="05520A4E" w14:textId="1C4F4814" w:rsidR="00BE7C83" w:rsidRPr="00AB0984" w:rsidRDefault="00BE7C83" w:rsidP="00BE7C83">
      <w:pPr>
        <w:pStyle w:val="ListParagraph"/>
        <w:numPr>
          <w:ilvl w:val="0"/>
          <w:numId w:val="9"/>
        </w:numPr>
        <w:spacing w:line="480" w:lineRule="auto"/>
        <w:rPr>
          <w:rFonts w:ascii="Arial" w:hAnsi="Arial" w:cs="Arial"/>
          <w:sz w:val="20"/>
          <w:szCs w:val="20"/>
        </w:rPr>
      </w:pPr>
      <w:r w:rsidRPr="00AB0984">
        <w:rPr>
          <w:rFonts w:ascii="Arial" w:hAnsi="Arial" w:cs="Arial"/>
          <w:sz w:val="20"/>
          <w:szCs w:val="20"/>
        </w:rPr>
        <w:t>Who made approaches in the first stages of communication (researcher, government, mutual) and in what circumstances</w:t>
      </w:r>
      <w:r w:rsidR="007939A5" w:rsidRPr="00AB0984">
        <w:rPr>
          <w:rFonts w:ascii="Arial" w:hAnsi="Arial" w:cs="Arial"/>
          <w:sz w:val="20"/>
          <w:szCs w:val="20"/>
        </w:rPr>
        <w:t>.</w:t>
      </w:r>
    </w:p>
    <w:p w14:paraId="376215D9" w14:textId="7E3896D7" w:rsidR="00BE7C83" w:rsidRDefault="00BE7C83" w:rsidP="00BE7C83">
      <w:pPr>
        <w:pStyle w:val="ListParagraph"/>
        <w:numPr>
          <w:ilvl w:val="0"/>
          <w:numId w:val="9"/>
        </w:numPr>
        <w:spacing w:line="480" w:lineRule="auto"/>
        <w:rPr>
          <w:rFonts w:ascii="Arial" w:hAnsi="Arial" w:cs="Arial"/>
          <w:sz w:val="20"/>
          <w:szCs w:val="20"/>
        </w:rPr>
      </w:pPr>
      <w:r>
        <w:rPr>
          <w:rFonts w:ascii="Arial" w:hAnsi="Arial" w:cs="Arial"/>
          <w:sz w:val="20"/>
          <w:szCs w:val="20"/>
        </w:rPr>
        <w:t>People, processes and organisations that aided engagement with government</w:t>
      </w:r>
      <w:r w:rsidR="007939A5">
        <w:rPr>
          <w:rFonts w:ascii="Arial" w:hAnsi="Arial" w:cs="Arial"/>
          <w:sz w:val="20"/>
          <w:szCs w:val="20"/>
        </w:rPr>
        <w:t>.</w:t>
      </w:r>
      <w:r>
        <w:rPr>
          <w:rFonts w:ascii="Arial" w:hAnsi="Arial" w:cs="Arial"/>
          <w:sz w:val="20"/>
          <w:szCs w:val="20"/>
        </w:rPr>
        <w:t xml:space="preserve"> </w:t>
      </w:r>
    </w:p>
    <w:p w14:paraId="48ECF28F" w14:textId="5BFFA1DA" w:rsidR="00BE7C83" w:rsidRDefault="00BE7C83" w:rsidP="00BE7C83">
      <w:pPr>
        <w:pStyle w:val="ListParagraph"/>
        <w:numPr>
          <w:ilvl w:val="0"/>
          <w:numId w:val="9"/>
        </w:numPr>
        <w:spacing w:line="480" w:lineRule="auto"/>
        <w:rPr>
          <w:rFonts w:ascii="Arial" w:hAnsi="Arial" w:cs="Arial"/>
          <w:sz w:val="20"/>
          <w:szCs w:val="20"/>
        </w:rPr>
      </w:pPr>
      <w:r>
        <w:rPr>
          <w:rFonts w:ascii="Arial" w:hAnsi="Arial" w:cs="Arial"/>
          <w:sz w:val="20"/>
          <w:szCs w:val="20"/>
        </w:rPr>
        <w:t>Publications or other outputs that most interested government researchers</w:t>
      </w:r>
      <w:r w:rsidR="005972A6">
        <w:rPr>
          <w:rFonts w:ascii="Arial" w:hAnsi="Arial" w:cs="Arial"/>
          <w:sz w:val="20"/>
          <w:szCs w:val="20"/>
        </w:rPr>
        <w:t>.</w:t>
      </w:r>
      <w:r>
        <w:rPr>
          <w:rFonts w:ascii="Arial" w:hAnsi="Arial" w:cs="Arial"/>
          <w:sz w:val="20"/>
          <w:szCs w:val="20"/>
        </w:rPr>
        <w:t xml:space="preserve"> </w:t>
      </w:r>
    </w:p>
    <w:p w14:paraId="452231CA" w14:textId="78F109D3" w:rsidR="00BE7C83" w:rsidRDefault="00BE7C83" w:rsidP="00BE7C83">
      <w:pPr>
        <w:pStyle w:val="ListParagraph"/>
        <w:numPr>
          <w:ilvl w:val="0"/>
          <w:numId w:val="9"/>
        </w:numPr>
        <w:spacing w:line="480" w:lineRule="auto"/>
        <w:rPr>
          <w:rFonts w:ascii="Arial" w:hAnsi="Arial" w:cs="Arial"/>
          <w:sz w:val="20"/>
          <w:szCs w:val="20"/>
        </w:rPr>
      </w:pPr>
      <w:r>
        <w:rPr>
          <w:rFonts w:ascii="Arial" w:hAnsi="Arial" w:cs="Arial"/>
          <w:sz w:val="20"/>
          <w:szCs w:val="20"/>
        </w:rPr>
        <w:t>Obstacles or difficulties in pursuing engagement or impact</w:t>
      </w:r>
      <w:r w:rsidR="005972A6">
        <w:rPr>
          <w:rFonts w:ascii="Arial" w:hAnsi="Arial" w:cs="Arial"/>
          <w:sz w:val="20"/>
          <w:szCs w:val="20"/>
        </w:rPr>
        <w:t>.</w:t>
      </w:r>
    </w:p>
    <w:p w14:paraId="4BDCE40E" w14:textId="5212D77E" w:rsidR="00BE7C83" w:rsidRDefault="00BE7C83" w:rsidP="00BE7C83">
      <w:pPr>
        <w:pStyle w:val="ListParagraph"/>
        <w:numPr>
          <w:ilvl w:val="0"/>
          <w:numId w:val="9"/>
        </w:numPr>
        <w:spacing w:line="480" w:lineRule="auto"/>
        <w:rPr>
          <w:rFonts w:ascii="Arial" w:hAnsi="Arial" w:cs="Arial"/>
          <w:sz w:val="20"/>
          <w:szCs w:val="20"/>
        </w:rPr>
      </w:pPr>
      <w:r>
        <w:rPr>
          <w:rFonts w:ascii="Arial" w:hAnsi="Arial" w:cs="Arial"/>
          <w:sz w:val="20"/>
          <w:szCs w:val="20"/>
        </w:rPr>
        <w:t>REF awareness and understanding in government</w:t>
      </w:r>
      <w:r w:rsidR="005972A6">
        <w:rPr>
          <w:rFonts w:ascii="Arial" w:hAnsi="Arial" w:cs="Arial"/>
          <w:sz w:val="20"/>
          <w:szCs w:val="20"/>
        </w:rPr>
        <w:t>.</w:t>
      </w:r>
      <w:r>
        <w:rPr>
          <w:rFonts w:ascii="Arial" w:hAnsi="Arial" w:cs="Arial"/>
          <w:sz w:val="20"/>
          <w:szCs w:val="20"/>
        </w:rPr>
        <w:t xml:space="preserve"> </w:t>
      </w:r>
    </w:p>
    <w:p w14:paraId="7425C679" w14:textId="37E1CFB8" w:rsidR="00BE7C83" w:rsidRDefault="00BE7C83" w:rsidP="00BE7C83">
      <w:pPr>
        <w:pStyle w:val="ListParagraph"/>
        <w:numPr>
          <w:ilvl w:val="0"/>
          <w:numId w:val="9"/>
        </w:numPr>
        <w:spacing w:line="480" w:lineRule="auto"/>
        <w:rPr>
          <w:rFonts w:ascii="Arial" w:hAnsi="Arial" w:cs="Arial"/>
          <w:sz w:val="20"/>
          <w:szCs w:val="20"/>
        </w:rPr>
      </w:pPr>
      <w:r>
        <w:rPr>
          <w:rFonts w:ascii="Arial" w:hAnsi="Arial" w:cs="Arial"/>
          <w:sz w:val="20"/>
          <w:szCs w:val="20"/>
        </w:rPr>
        <w:t>Overall impressions, systems and chance</w:t>
      </w:r>
      <w:r w:rsidR="005972A6">
        <w:rPr>
          <w:rFonts w:ascii="Arial" w:hAnsi="Arial" w:cs="Arial"/>
          <w:sz w:val="20"/>
          <w:szCs w:val="20"/>
        </w:rPr>
        <w:t>.</w:t>
      </w:r>
    </w:p>
    <w:p w14:paraId="683C048B" w14:textId="6CEAA29A" w:rsidR="00BE7C83" w:rsidRDefault="00BE7C83" w:rsidP="00BE7C83">
      <w:pPr>
        <w:pStyle w:val="ListParagraph"/>
        <w:numPr>
          <w:ilvl w:val="0"/>
          <w:numId w:val="9"/>
        </w:numPr>
        <w:spacing w:line="480" w:lineRule="auto"/>
        <w:rPr>
          <w:rFonts w:ascii="Arial" w:hAnsi="Arial" w:cs="Arial"/>
          <w:sz w:val="20"/>
          <w:szCs w:val="20"/>
        </w:rPr>
      </w:pPr>
      <w:r>
        <w:rPr>
          <w:rFonts w:ascii="Arial" w:hAnsi="Arial" w:cs="Arial"/>
          <w:sz w:val="20"/>
          <w:szCs w:val="20"/>
        </w:rPr>
        <w:t>Comparators: engagement with EU bodies, UK parliamentary committees, private sector, civil society</w:t>
      </w:r>
      <w:r w:rsidR="005972A6">
        <w:rPr>
          <w:rFonts w:ascii="Arial" w:hAnsi="Arial" w:cs="Arial"/>
          <w:sz w:val="20"/>
          <w:szCs w:val="20"/>
        </w:rPr>
        <w:t>.</w:t>
      </w:r>
    </w:p>
    <w:p w14:paraId="61873A9C" w14:textId="006CE935" w:rsidR="00BE7C83" w:rsidRPr="001B0A9A" w:rsidRDefault="00BE7C83" w:rsidP="00BE7C83">
      <w:pPr>
        <w:pStyle w:val="ListParagraph"/>
        <w:numPr>
          <w:ilvl w:val="0"/>
          <w:numId w:val="9"/>
        </w:numPr>
        <w:spacing w:line="480" w:lineRule="auto"/>
        <w:rPr>
          <w:rFonts w:ascii="Arial" w:hAnsi="Arial" w:cs="Arial"/>
          <w:sz w:val="20"/>
          <w:szCs w:val="20"/>
        </w:rPr>
      </w:pPr>
      <w:r>
        <w:rPr>
          <w:rFonts w:ascii="Arial" w:hAnsi="Arial" w:cs="Arial"/>
          <w:sz w:val="20"/>
          <w:szCs w:val="20"/>
        </w:rPr>
        <w:t>F</w:t>
      </w:r>
      <w:r w:rsidRPr="001B0A9A">
        <w:rPr>
          <w:rFonts w:ascii="Arial" w:hAnsi="Arial" w:cs="Arial"/>
          <w:sz w:val="20"/>
          <w:szCs w:val="20"/>
        </w:rPr>
        <w:t xml:space="preserve">urther </w:t>
      </w:r>
      <w:r w:rsidR="005972A6">
        <w:rPr>
          <w:rFonts w:ascii="Arial" w:hAnsi="Arial" w:cs="Arial"/>
          <w:sz w:val="20"/>
          <w:szCs w:val="20"/>
        </w:rPr>
        <w:t xml:space="preserve">open-ended </w:t>
      </w:r>
      <w:r w:rsidRPr="001B0A9A">
        <w:rPr>
          <w:rFonts w:ascii="Arial" w:hAnsi="Arial" w:cs="Arial"/>
          <w:sz w:val="20"/>
          <w:szCs w:val="20"/>
        </w:rPr>
        <w:t>comments about experience in engaging with government or the extent to which the REF process adequately captures that experience</w:t>
      </w:r>
      <w:r>
        <w:rPr>
          <w:rFonts w:ascii="Arial" w:hAnsi="Arial" w:cs="Arial"/>
          <w:sz w:val="20"/>
          <w:szCs w:val="20"/>
        </w:rPr>
        <w:t>.</w:t>
      </w:r>
      <w:r w:rsidR="00D86507">
        <w:rPr>
          <w:rFonts w:ascii="Arial" w:hAnsi="Arial" w:cs="Arial"/>
          <w:sz w:val="20"/>
          <w:szCs w:val="20"/>
        </w:rPr>
        <w:t xml:space="preserve"> (This was in addition to the opportunity to provide further information or comments in questions 3</w:t>
      </w:r>
      <w:r w:rsidR="005972A6">
        <w:rPr>
          <w:rFonts w:ascii="Arial" w:hAnsi="Arial" w:cs="Arial"/>
          <w:sz w:val="20"/>
          <w:szCs w:val="20"/>
        </w:rPr>
        <w:t>–</w:t>
      </w:r>
      <w:r w:rsidR="00D86507">
        <w:rPr>
          <w:rFonts w:ascii="Arial" w:hAnsi="Arial" w:cs="Arial"/>
          <w:sz w:val="20"/>
          <w:szCs w:val="20"/>
        </w:rPr>
        <w:t>10.)</w:t>
      </w:r>
    </w:p>
    <w:p w14:paraId="0027B7A7" w14:textId="77777777" w:rsidR="00D86507" w:rsidRDefault="00D86507" w:rsidP="00E51F2A">
      <w:pPr>
        <w:spacing w:line="480" w:lineRule="auto"/>
        <w:rPr>
          <w:rFonts w:ascii="Arial" w:hAnsi="Arial" w:cs="Arial"/>
          <w:sz w:val="20"/>
          <w:szCs w:val="20"/>
        </w:rPr>
      </w:pPr>
    </w:p>
    <w:p w14:paraId="0A612C1A" w14:textId="0D7AB7FF" w:rsidR="00BE7C83" w:rsidRDefault="00BE7C83" w:rsidP="00BE7C83">
      <w:pPr>
        <w:spacing w:line="480" w:lineRule="auto"/>
        <w:rPr>
          <w:rFonts w:ascii="Arial" w:hAnsi="Arial" w:cs="Arial"/>
          <w:sz w:val="20"/>
          <w:szCs w:val="20"/>
        </w:rPr>
      </w:pPr>
      <w:r>
        <w:rPr>
          <w:rFonts w:ascii="Arial" w:hAnsi="Arial" w:cs="Arial"/>
          <w:sz w:val="20"/>
          <w:szCs w:val="20"/>
        </w:rPr>
        <w:t xml:space="preserve">There were 310 researchers named in the case studies. A survey was emailed to the 288 of those for whom an email address could be located. All named researchers were contacted on the basis that even if a researcher had little or no engagement with government, it was important to find out what their experience was, especially if they thought their research should have been of interest to government. A total of 121 surveys were completed, representing a response rate of 42%. Responses were anonymous.   </w:t>
      </w:r>
    </w:p>
    <w:p w14:paraId="37F172AD" w14:textId="77777777" w:rsidR="004425EA" w:rsidRDefault="004425EA" w:rsidP="00BE7C83">
      <w:pPr>
        <w:spacing w:line="480" w:lineRule="auto"/>
        <w:rPr>
          <w:rFonts w:ascii="Arial" w:hAnsi="Arial" w:cs="Arial"/>
          <w:sz w:val="20"/>
          <w:szCs w:val="20"/>
        </w:rPr>
      </w:pPr>
    </w:p>
    <w:p w14:paraId="586F1563" w14:textId="1B479E2D" w:rsidR="000A607D" w:rsidRPr="004A0A09" w:rsidRDefault="004F6E29" w:rsidP="00E1651E">
      <w:pPr>
        <w:pStyle w:val="ListParagraph"/>
        <w:numPr>
          <w:ilvl w:val="0"/>
          <w:numId w:val="22"/>
        </w:numPr>
        <w:spacing w:line="480" w:lineRule="auto"/>
        <w:rPr>
          <w:rFonts w:ascii="Arial" w:hAnsi="Arial" w:cs="Arial"/>
          <w:sz w:val="20"/>
          <w:szCs w:val="20"/>
        </w:rPr>
      </w:pPr>
      <w:r w:rsidRPr="004A0A09">
        <w:rPr>
          <w:rFonts w:ascii="Arial" w:hAnsi="Arial" w:cs="Arial"/>
          <w:b/>
          <w:sz w:val="20"/>
          <w:szCs w:val="20"/>
        </w:rPr>
        <w:t>Survey of law school research directors</w:t>
      </w:r>
    </w:p>
    <w:p w14:paraId="73D1C417" w14:textId="57BDF443" w:rsidR="00064452" w:rsidRDefault="00064452" w:rsidP="00064452">
      <w:pPr>
        <w:spacing w:line="480" w:lineRule="auto"/>
        <w:rPr>
          <w:rFonts w:ascii="Arial" w:hAnsi="Arial" w:cs="Arial"/>
          <w:sz w:val="20"/>
          <w:szCs w:val="20"/>
        </w:rPr>
      </w:pPr>
      <w:r>
        <w:rPr>
          <w:rFonts w:ascii="Arial" w:hAnsi="Arial" w:cs="Arial"/>
          <w:sz w:val="20"/>
          <w:szCs w:val="20"/>
        </w:rPr>
        <w:t>A further survey was emailed to 77 research directors or co-directors in the 68 law schools that submitted to REF 2014. They were asked to complete the survey or pass it to a colleague (</w:t>
      </w:r>
      <w:r w:rsidR="00E80E79">
        <w:rPr>
          <w:rFonts w:ascii="Arial" w:hAnsi="Arial" w:cs="Arial"/>
          <w:sz w:val="20"/>
          <w:szCs w:val="20"/>
        </w:rPr>
        <w:t>for example,</w:t>
      </w:r>
      <w:r>
        <w:rPr>
          <w:rFonts w:ascii="Arial" w:hAnsi="Arial" w:cs="Arial"/>
          <w:sz w:val="20"/>
          <w:szCs w:val="20"/>
        </w:rPr>
        <w:t xml:space="preserve"> an impact lead) who was well placed to comment on impact. Recipients were told that only one or two people should complete the survey so that the results were not distorted by high numbers from individual schools. There were 34 responses and it is likely the data covers 26</w:t>
      </w:r>
      <w:r w:rsidR="005972A6">
        <w:rPr>
          <w:rFonts w:ascii="Arial" w:hAnsi="Arial" w:cs="Arial"/>
          <w:sz w:val="20"/>
          <w:szCs w:val="20"/>
        </w:rPr>
        <w:t>–</w:t>
      </w:r>
      <w:r>
        <w:rPr>
          <w:rFonts w:ascii="Arial" w:hAnsi="Arial" w:cs="Arial"/>
          <w:sz w:val="20"/>
          <w:szCs w:val="20"/>
        </w:rPr>
        <w:t xml:space="preserve">30 of the 68 law schools. The survey asked respondents about impact preparation for the next REF, staff expertise in engaging with government, and government outreach to academia, exploring the resources, capacity and relationships that might aid engagement and impact.   </w:t>
      </w:r>
    </w:p>
    <w:p w14:paraId="1CC8E485" w14:textId="7C556A09" w:rsidR="00064452" w:rsidRDefault="00064452" w:rsidP="00064452">
      <w:pPr>
        <w:spacing w:line="480" w:lineRule="auto"/>
        <w:rPr>
          <w:rFonts w:ascii="Arial" w:hAnsi="Arial" w:cs="Arial"/>
          <w:sz w:val="20"/>
          <w:szCs w:val="20"/>
        </w:rPr>
      </w:pPr>
    </w:p>
    <w:p w14:paraId="0DE9F41C" w14:textId="4272C508" w:rsidR="00064452" w:rsidRPr="004A0A09" w:rsidRDefault="00064452" w:rsidP="00E1651E">
      <w:pPr>
        <w:pStyle w:val="ListParagraph"/>
        <w:numPr>
          <w:ilvl w:val="0"/>
          <w:numId w:val="22"/>
        </w:numPr>
        <w:spacing w:line="480" w:lineRule="auto"/>
        <w:rPr>
          <w:rFonts w:ascii="Arial" w:hAnsi="Arial" w:cs="Arial"/>
          <w:b/>
          <w:sz w:val="20"/>
          <w:szCs w:val="20"/>
        </w:rPr>
      </w:pPr>
      <w:r w:rsidRPr="004A0A09">
        <w:rPr>
          <w:rFonts w:ascii="Arial" w:hAnsi="Arial" w:cs="Arial"/>
          <w:b/>
          <w:sz w:val="20"/>
          <w:szCs w:val="20"/>
        </w:rPr>
        <w:t xml:space="preserve">Conceptualisation of ‘government’ </w:t>
      </w:r>
    </w:p>
    <w:p w14:paraId="1772964C" w14:textId="2D50A21B" w:rsidR="00702448" w:rsidRDefault="009036E2" w:rsidP="000A607D">
      <w:pPr>
        <w:spacing w:line="480" w:lineRule="auto"/>
        <w:rPr>
          <w:rFonts w:ascii="Arial" w:hAnsi="Arial" w:cs="Arial"/>
          <w:sz w:val="20"/>
          <w:szCs w:val="20"/>
        </w:rPr>
      </w:pPr>
      <w:r>
        <w:rPr>
          <w:rFonts w:ascii="Arial" w:hAnsi="Arial" w:cs="Arial"/>
          <w:sz w:val="20"/>
          <w:szCs w:val="20"/>
        </w:rPr>
        <w:t>This study characterises ‘</w:t>
      </w:r>
      <w:r w:rsidR="000A607D" w:rsidRPr="009036E2">
        <w:rPr>
          <w:rFonts w:ascii="Arial" w:hAnsi="Arial" w:cs="Arial"/>
          <w:sz w:val="20"/>
          <w:szCs w:val="20"/>
        </w:rPr>
        <w:t>government</w:t>
      </w:r>
      <w:r>
        <w:rPr>
          <w:rFonts w:ascii="Arial" w:hAnsi="Arial" w:cs="Arial"/>
          <w:sz w:val="20"/>
          <w:szCs w:val="20"/>
        </w:rPr>
        <w:t xml:space="preserve">’ in a way that has limits, but </w:t>
      </w:r>
      <w:r w:rsidR="000A607D">
        <w:rPr>
          <w:rFonts w:ascii="Arial" w:hAnsi="Arial" w:cs="Arial"/>
          <w:sz w:val="20"/>
          <w:szCs w:val="20"/>
        </w:rPr>
        <w:t xml:space="preserve">the characterisation and its </w:t>
      </w:r>
      <w:r>
        <w:rPr>
          <w:rFonts w:ascii="Arial" w:hAnsi="Arial" w:cs="Arial"/>
          <w:sz w:val="20"/>
          <w:szCs w:val="20"/>
        </w:rPr>
        <w:t>scope</w:t>
      </w:r>
      <w:r w:rsidR="000A607D">
        <w:rPr>
          <w:rFonts w:ascii="Arial" w:hAnsi="Arial" w:cs="Arial"/>
          <w:sz w:val="20"/>
          <w:szCs w:val="20"/>
        </w:rPr>
        <w:t xml:space="preserve"> derive from the </w:t>
      </w:r>
      <w:r>
        <w:rPr>
          <w:rFonts w:ascii="Arial" w:hAnsi="Arial" w:cs="Arial"/>
          <w:sz w:val="20"/>
          <w:szCs w:val="20"/>
        </w:rPr>
        <w:t>practicalities</w:t>
      </w:r>
      <w:r w:rsidR="000A607D">
        <w:rPr>
          <w:rFonts w:ascii="Arial" w:hAnsi="Arial" w:cs="Arial"/>
          <w:sz w:val="20"/>
          <w:szCs w:val="20"/>
        </w:rPr>
        <w:t xml:space="preserve"> of managing the data and the volume of data associated with smaller areas of government. Two limits are of particular note. First, the study </w:t>
      </w:r>
      <w:r>
        <w:rPr>
          <w:rFonts w:ascii="Arial" w:hAnsi="Arial" w:cs="Arial"/>
          <w:sz w:val="20"/>
          <w:szCs w:val="20"/>
        </w:rPr>
        <w:t>does not consider</w:t>
      </w:r>
      <w:r w:rsidR="000A607D">
        <w:rPr>
          <w:rFonts w:ascii="Arial" w:hAnsi="Arial" w:cs="Arial"/>
          <w:sz w:val="20"/>
          <w:szCs w:val="20"/>
        </w:rPr>
        <w:t xml:space="preserve"> e</w:t>
      </w:r>
      <w:r>
        <w:rPr>
          <w:rFonts w:ascii="Arial" w:hAnsi="Arial" w:cs="Arial"/>
          <w:sz w:val="20"/>
          <w:szCs w:val="20"/>
        </w:rPr>
        <w:t>ngagement with local authorities because th</w:t>
      </w:r>
      <w:r w:rsidR="00D66EE5">
        <w:rPr>
          <w:rFonts w:ascii="Arial" w:hAnsi="Arial" w:cs="Arial"/>
          <w:sz w:val="20"/>
          <w:szCs w:val="20"/>
        </w:rPr>
        <w:t>e numbers in the REF were small; a</w:t>
      </w:r>
      <w:r>
        <w:rPr>
          <w:rFonts w:ascii="Arial" w:hAnsi="Arial" w:cs="Arial"/>
          <w:sz w:val="20"/>
          <w:szCs w:val="20"/>
        </w:rPr>
        <w:t xml:space="preserve">lthough local authorities deliver major services, only </w:t>
      </w:r>
      <w:r w:rsidR="0084399D">
        <w:rPr>
          <w:rFonts w:ascii="Arial" w:hAnsi="Arial" w:cs="Arial"/>
          <w:sz w:val="20"/>
          <w:szCs w:val="20"/>
        </w:rPr>
        <w:t>13 of the 216</w:t>
      </w:r>
      <w:r>
        <w:rPr>
          <w:rFonts w:ascii="Arial" w:hAnsi="Arial" w:cs="Arial"/>
          <w:sz w:val="20"/>
          <w:szCs w:val="20"/>
        </w:rPr>
        <w:t xml:space="preserve"> </w:t>
      </w:r>
      <w:r w:rsidR="000A607D">
        <w:rPr>
          <w:rFonts w:ascii="Arial" w:hAnsi="Arial" w:cs="Arial"/>
          <w:sz w:val="20"/>
          <w:szCs w:val="20"/>
        </w:rPr>
        <w:t xml:space="preserve">case studies reported engagement with a local authority. </w:t>
      </w:r>
      <w:r w:rsidR="00D66EE5">
        <w:rPr>
          <w:rFonts w:ascii="Arial" w:hAnsi="Arial" w:cs="Arial"/>
          <w:sz w:val="20"/>
          <w:szCs w:val="20"/>
        </w:rPr>
        <w:t>In addition, l</w:t>
      </w:r>
      <w:r w:rsidR="000A607D">
        <w:rPr>
          <w:rFonts w:ascii="Arial" w:hAnsi="Arial" w:cs="Arial"/>
          <w:sz w:val="20"/>
          <w:szCs w:val="20"/>
        </w:rPr>
        <w:t xml:space="preserve">ocal authorities are also likely to be less difficult for academics to access where a university is based in the area because there will be existing relationships </w:t>
      </w:r>
      <w:r w:rsidR="00D9361A">
        <w:rPr>
          <w:rFonts w:ascii="Arial" w:hAnsi="Arial" w:cs="Arial"/>
          <w:sz w:val="20"/>
          <w:szCs w:val="20"/>
        </w:rPr>
        <w:t xml:space="preserve">with </w:t>
      </w:r>
      <w:r w:rsidR="000A607D">
        <w:rPr>
          <w:rFonts w:ascii="Arial" w:hAnsi="Arial" w:cs="Arial"/>
          <w:sz w:val="20"/>
          <w:szCs w:val="20"/>
        </w:rPr>
        <w:t xml:space="preserve">local bodies, especially outside London where </w:t>
      </w:r>
      <w:r w:rsidR="005972A6">
        <w:rPr>
          <w:rFonts w:ascii="Arial" w:hAnsi="Arial" w:cs="Arial"/>
          <w:sz w:val="20"/>
          <w:szCs w:val="20"/>
        </w:rPr>
        <w:t>u</w:t>
      </w:r>
      <w:r w:rsidR="000A607D">
        <w:rPr>
          <w:rFonts w:ascii="Arial" w:hAnsi="Arial" w:cs="Arial"/>
          <w:sz w:val="20"/>
          <w:szCs w:val="20"/>
        </w:rPr>
        <w:t>niversities are likely to be major employers and a significant part of the lo</w:t>
      </w:r>
      <w:r>
        <w:rPr>
          <w:rFonts w:ascii="Arial" w:hAnsi="Arial" w:cs="Arial"/>
          <w:sz w:val="20"/>
          <w:szCs w:val="20"/>
        </w:rPr>
        <w:t>cal or regional economy. Of th</w:t>
      </w:r>
      <w:r w:rsidR="000A607D">
        <w:rPr>
          <w:rFonts w:ascii="Arial" w:hAnsi="Arial" w:cs="Arial"/>
          <w:sz w:val="20"/>
          <w:szCs w:val="20"/>
        </w:rPr>
        <w:t xml:space="preserve">e 13 </w:t>
      </w:r>
      <w:r>
        <w:rPr>
          <w:rFonts w:ascii="Arial" w:hAnsi="Arial" w:cs="Arial"/>
          <w:sz w:val="20"/>
          <w:szCs w:val="20"/>
        </w:rPr>
        <w:t>case st</w:t>
      </w:r>
      <w:r w:rsidR="00D66EE5">
        <w:rPr>
          <w:rFonts w:ascii="Arial" w:hAnsi="Arial" w:cs="Arial"/>
          <w:sz w:val="20"/>
          <w:szCs w:val="20"/>
        </w:rPr>
        <w:t>udies that reported</w:t>
      </w:r>
      <w:r>
        <w:rPr>
          <w:rFonts w:ascii="Arial" w:hAnsi="Arial" w:cs="Arial"/>
          <w:sz w:val="20"/>
          <w:szCs w:val="20"/>
        </w:rPr>
        <w:t xml:space="preserve"> engagement</w:t>
      </w:r>
      <w:r w:rsidR="00D66EE5">
        <w:rPr>
          <w:rFonts w:ascii="Arial" w:hAnsi="Arial" w:cs="Arial"/>
          <w:sz w:val="20"/>
          <w:szCs w:val="20"/>
        </w:rPr>
        <w:t xml:space="preserve"> with local authorities</w:t>
      </w:r>
      <w:r w:rsidR="000A607D">
        <w:rPr>
          <w:rFonts w:ascii="Arial" w:hAnsi="Arial" w:cs="Arial"/>
          <w:sz w:val="20"/>
          <w:szCs w:val="20"/>
        </w:rPr>
        <w:t xml:space="preserve">, only one institution was in London. </w:t>
      </w:r>
      <w:r>
        <w:rPr>
          <w:rFonts w:ascii="Arial" w:hAnsi="Arial" w:cs="Arial"/>
          <w:sz w:val="20"/>
          <w:szCs w:val="20"/>
        </w:rPr>
        <w:t>I</w:t>
      </w:r>
      <w:r w:rsidR="000A607D">
        <w:rPr>
          <w:rFonts w:ascii="Arial" w:hAnsi="Arial" w:cs="Arial"/>
          <w:sz w:val="20"/>
          <w:szCs w:val="20"/>
        </w:rPr>
        <w:t xml:space="preserve">mportant insights could be derived from a study of engagement with different local authorities, but it could not be done practically within this study. Secondly, this study divides central government into component departments and agencies, but does not divide devolved governments in the same way. </w:t>
      </w:r>
      <w:r w:rsidR="0016482B">
        <w:rPr>
          <w:rFonts w:ascii="Arial" w:hAnsi="Arial" w:cs="Arial"/>
          <w:sz w:val="20"/>
          <w:szCs w:val="20"/>
        </w:rPr>
        <w:t>Instead</w:t>
      </w:r>
      <w:r w:rsidR="000A607D">
        <w:rPr>
          <w:rFonts w:ascii="Arial" w:hAnsi="Arial" w:cs="Arial"/>
          <w:sz w:val="20"/>
          <w:szCs w:val="20"/>
        </w:rPr>
        <w:t xml:space="preserve">, the analysis groups engagement in devolved regions, looking at engagement with, for example, Scottish </w:t>
      </w:r>
      <w:r w:rsidR="005972A6">
        <w:rPr>
          <w:rFonts w:ascii="Arial" w:hAnsi="Arial" w:cs="Arial"/>
          <w:sz w:val="20"/>
          <w:szCs w:val="20"/>
        </w:rPr>
        <w:t>g</w:t>
      </w:r>
      <w:r w:rsidR="000A607D">
        <w:rPr>
          <w:rFonts w:ascii="Arial" w:hAnsi="Arial" w:cs="Arial"/>
          <w:sz w:val="20"/>
          <w:szCs w:val="20"/>
        </w:rPr>
        <w:t>overnment departments or agencies, or Welsh government departments or agenci</w:t>
      </w:r>
      <w:r>
        <w:rPr>
          <w:rFonts w:ascii="Arial" w:hAnsi="Arial" w:cs="Arial"/>
          <w:sz w:val="20"/>
          <w:szCs w:val="20"/>
        </w:rPr>
        <w:t xml:space="preserve">es. The numbers of </w:t>
      </w:r>
      <w:r w:rsidR="000A607D">
        <w:rPr>
          <w:rFonts w:ascii="Arial" w:hAnsi="Arial" w:cs="Arial"/>
          <w:sz w:val="20"/>
          <w:szCs w:val="20"/>
        </w:rPr>
        <w:t xml:space="preserve">responses limit the extent to which subdivision of devolved governments would be useful; the engagement with governments in Wales and Northern Ireland was relatively </w:t>
      </w:r>
      <w:r w:rsidR="000A607D" w:rsidRPr="00825E3E">
        <w:rPr>
          <w:rFonts w:ascii="Arial" w:hAnsi="Arial" w:cs="Arial"/>
          <w:sz w:val="20"/>
          <w:szCs w:val="20"/>
        </w:rPr>
        <w:t>small (6 and 13 case studies respectively). In Scotland the overall engagement was higher (32) but s</w:t>
      </w:r>
      <w:r w:rsidR="000A607D">
        <w:rPr>
          <w:rFonts w:ascii="Arial" w:hAnsi="Arial" w:cs="Arial"/>
          <w:sz w:val="20"/>
          <w:szCs w:val="20"/>
        </w:rPr>
        <w:t xml:space="preserve">till difficult to see a breakdown. </w:t>
      </w:r>
      <w:r w:rsidR="0016482B">
        <w:rPr>
          <w:rFonts w:ascii="Arial" w:hAnsi="Arial" w:cs="Arial"/>
          <w:sz w:val="20"/>
          <w:szCs w:val="20"/>
        </w:rPr>
        <w:t>One might also surmise</w:t>
      </w:r>
      <w:r w:rsidR="000A607D">
        <w:rPr>
          <w:rFonts w:ascii="Arial" w:hAnsi="Arial" w:cs="Arial"/>
          <w:sz w:val="20"/>
          <w:szCs w:val="20"/>
        </w:rPr>
        <w:t xml:space="preserve"> that major universities in </w:t>
      </w:r>
      <w:r w:rsidR="000A607D">
        <w:rPr>
          <w:rFonts w:ascii="Arial" w:hAnsi="Arial" w:cs="Arial"/>
          <w:sz w:val="20"/>
          <w:szCs w:val="20"/>
        </w:rPr>
        <w:lastRenderedPageBreak/>
        <w:t>Scotland have well</w:t>
      </w:r>
      <w:r w:rsidR="003B0939">
        <w:rPr>
          <w:rFonts w:ascii="Arial" w:hAnsi="Arial" w:cs="Arial"/>
          <w:sz w:val="20"/>
          <w:szCs w:val="20"/>
        </w:rPr>
        <w:t>-</w:t>
      </w:r>
      <w:r w:rsidR="000A607D">
        <w:rPr>
          <w:rFonts w:ascii="Arial" w:hAnsi="Arial" w:cs="Arial"/>
          <w:sz w:val="20"/>
          <w:szCs w:val="20"/>
        </w:rPr>
        <w:t xml:space="preserve">established links with the Scottish government and so </w:t>
      </w:r>
      <w:r w:rsidR="0016482B">
        <w:rPr>
          <w:rFonts w:ascii="Arial" w:hAnsi="Arial" w:cs="Arial"/>
          <w:sz w:val="20"/>
          <w:szCs w:val="20"/>
        </w:rPr>
        <w:t xml:space="preserve">in that smaller jurisdiction </w:t>
      </w:r>
      <w:r w:rsidR="000A607D">
        <w:rPr>
          <w:rFonts w:ascii="Arial" w:hAnsi="Arial" w:cs="Arial"/>
          <w:sz w:val="20"/>
          <w:szCs w:val="20"/>
        </w:rPr>
        <w:t>access pathways may not be comparable to the challenges that arise in dealing with central government.</w:t>
      </w:r>
      <w:r w:rsidR="001838A7">
        <w:rPr>
          <w:rStyle w:val="FootnoteReference"/>
          <w:rFonts w:ascii="Arial" w:hAnsi="Arial" w:cs="Arial"/>
          <w:sz w:val="20"/>
          <w:szCs w:val="20"/>
        </w:rPr>
        <w:footnoteReference w:id="35"/>
      </w:r>
      <w:r w:rsidR="000A607D">
        <w:rPr>
          <w:rFonts w:ascii="Arial" w:hAnsi="Arial" w:cs="Arial"/>
          <w:sz w:val="20"/>
          <w:szCs w:val="20"/>
        </w:rPr>
        <w:t xml:space="preserve"> </w:t>
      </w:r>
      <w:r w:rsidR="00F273F8">
        <w:rPr>
          <w:rFonts w:ascii="Arial" w:hAnsi="Arial" w:cs="Arial"/>
          <w:sz w:val="20"/>
          <w:szCs w:val="20"/>
        </w:rPr>
        <w:t>T</w:t>
      </w:r>
      <w:r w:rsidR="000A607D">
        <w:rPr>
          <w:rFonts w:ascii="Arial" w:hAnsi="Arial" w:cs="Arial"/>
          <w:sz w:val="20"/>
          <w:szCs w:val="20"/>
        </w:rPr>
        <w:t>he experience</w:t>
      </w:r>
      <w:r w:rsidR="004418BA">
        <w:rPr>
          <w:rFonts w:ascii="Arial" w:hAnsi="Arial" w:cs="Arial"/>
          <w:sz w:val="20"/>
          <w:szCs w:val="20"/>
        </w:rPr>
        <w:t xml:space="preserve"> in devolved nations warrants </w:t>
      </w:r>
      <w:r w:rsidR="000A607D">
        <w:rPr>
          <w:rFonts w:ascii="Arial" w:hAnsi="Arial" w:cs="Arial"/>
          <w:sz w:val="20"/>
          <w:szCs w:val="20"/>
        </w:rPr>
        <w:t>more detailed attention, but that co</w:t>
      </w:r>
      <w:r w:rsidR="00702448">
        <w:rPr>
          <w:rFonts w:ascii="Arial" w:hAnsi="Arial" w:cs="Arial"/>
          <w:sz w:val="20"/>
          <w:szCs w:val="20"/>
        </w:rPr>
        <w:t xml:space="preserve">uld not be done in this study. </w:t>
      </w:r>
    </w:p>
    <w:p w14:paraId="54C5D56D" w14:textId="77777777" w:rsidR="0084399D" w:rsidRDefault="0084399D" w:rsidP="000A607D">
      <w:pPr>
        <w:spacing w:line="480" w:lineRule="auto"/>
        <w:rPr>
          <w:rFonts w:ascii="Arial" w:hAnsi="Arial" w:cs="Arial"/>
          <w:sz w:val="20"/>
          <w:szCs w:val="20"/>
        </w:rPr>
      </w:pPr>
    </w:p>
    <w:p w14:paraId="37AC7489" w14:textId="4AC55B75" w:rsidR="00064452" w:rsidRDefault="00D9361A" w:rsidP="000A607D">
      <w:pPr>
        <w:spacing w:line="480" w:lineRule="auto"/>
        <w:rPr>
          <w:rFonts w:ascii="Arial" w:hAnsi="Arial" w:cs="Arial"/>
          <w:sz w:val="20"/>
          <w:szCs w:val="20"/>
        </w:rPr>
      </w:pPr>
      <w:r>
        <w:rPr>
          <w:rFonts w:ascii="Arial" w:hAnsi="Arial" w:cs="Arial"/>
          <w:sz w:val="20"/>
          <w:szCs w:val="20"/>
        </w:rPr>
        <w:t xml:space="preserve"> While</w:t>
      </w:r>
      <w:r w:rsidR="009728FF">
        <w:rPr>
          <w:rFonts w:ascii="Arial" w:hAnsi="Arial" w:cs="Arial"/>
          <w:sz w:val="20"/>
          <w:szCs w:val="20"/>
        </w:rPr>
        <w:t xml:space="preserve"> </w:t>
      </w:r>
      <w:r w:rsidR="0084399D">
        <w:rPr>
          <w:rFonts w:ascii="Arial" w:hAnsi="Arial" w:cs="Arial"/>
          <w:sz w:val="20"/>
          <w:szCs w:val="20"/>
        </w:rPr>
        <w:t>the characterisation of go</w:t>
      </w:r>
      <w:r w:rsidR="0084399D">
        <w:rPr>
          <w:rFonts w:ascii="Arial" w:hAnsi="Arial" w:cs="Arial"/>
          <w:sz w:val="20"/>
          <w:szCs w:val="20"/>
        </w:rPr>
        <w:softHyphen/>
      </w:r>
      <w:r w:rsidR="0084399D">
        <w:rPr>
          <w:rFonts w:ascii="Arial" w:hAnsi="Arial" w:cs="Arial"/>
          <w:sz w:val="20"/>
          <w:szCs w:val="20"/>
        </w:rPr>
        <w:softHyphen/>
        <w:t>vernment</w:t>
      </w:r>
      <w:r w:rsidR="000D296C">
        <w:rPr>
          <w:rFonts w:ascii="Arial" w:hAnsi="Arial" w:cs="Arial"/>
          <w:sz w:val="20"/>
          <w:szCs w:val="20"/>
        </w:rPr>
        <w:t xml:space="preserve"> has limitations</w:t>
      </w:r>
      <w:r w:rsidR="00F46A2B">
        <w:rPr>
          <w:rFonts w:ascii="Arial" w:hAnsi="Arial" w:cs="Arial"/>
          <w:sz w:val="20"/>
          <w:szCs w:val="20"/>
        </w:rPr>
        <w:t xml:space="preserve"> with respect to devolved and local governments</w:t>
      </w:r>
      <w:r w:rsidR="0084399D">
        <w:rPr>
          <w:rFonts w:ascii="Arial" w:hAnsi="Arial" w:cs="Arial"/>
          <w:sz w:val="20"/>
          <w:szCs w:val="20"/>
        </w:rPr>
        <w:t xml:space="preserve">, it captures a very wide range of engagement with government departments and agencies and, especially, with major central government departments where </w:t>
      </w:r>
      <w:r w:rsidR="0016482B">
        <w:rPr>
          <w:rFonts w:ascii="Arial" w:hAnsi="Arial" w:cs="Arial"/>
          <w:sz w:val="20"/>
          <w:szCs w:val="20"/>
        </w:rPr>
        <w:t xml:space="preserve">(as will become clear) </w:t>
      </w:r>
      <w:r w:rsidR="0084399D">
        <w:rPr>
          <w:rFonts w:ascii="Arial" w:hAnsi="Arial" w:cs="Arial"/>
          <w:sz w:val="20"/>
          <w:szCs w:val="20"/>
        </w:rPr>
        <w:t xml:space="preserve">access </w:t>
      </w:r>
      <w:r w:rsidR="0016482B">
        <w:rPr>
          <w:rFonts w:ascii="Arial" w:hAnsi="Arial" w:cs="Arial"/>
          <w:sz w:val="20"/>
          <w:szCs w:val="20"/>
        </w:rPr>
        <w:t>can be</w:t>
      </w:r>
      <w:r w:rsidR="0084399D">
        <w:rPr>
          <w:rFonts w:ascii="Arial" w:hAnsi="Arial" w:cs="Arial"/>
          <w:sz w:val="20"/>
          <w:szCs w:val="20"/>
        </w:rPr>
        <w:t xml:space="preserve"> very difficult. </w:t>
      </w:r>
      <w:r w:rsidR="000D296C">
        <w:rPr>
          <w:rFonts w:ascii="Arial" w:hAnsi="Arial" w:cs="Arial"/>
          <w:sz w:val="20"/>
          <w:szCs w:val="20"/>
        </w:rPr>
        <w:t xml:space="preserve">  </w:t>
      </w:r>
      <w:r w:rsidR="00A90B3B">
        <w:rPr>
          <w:rFonts w:ascii="Arial" w:hAnsi="Arial" w:cs="Arial"/>
          <w:sz w:val="20"/>
          <w:szCs w:val="20"/>
        </w:rPr>
        <w:t xml:space="preserve"> </w:t>
      </w:r>
      <w:r w:rsidR="00702448">
        <w:rPr>
          <w:rFonts w:ascii="Arial" w:hAnsi="Arial" w:cs="Arial"/>
          <w:sz w:val="20"/>
          <w:szCs w:val="20"/>
        </w:rPr>
        <w:t xml:space="preserve"> </w:t>
      </w:r>
      <w:r w:rsidR="000A607D">
        <w:rPr>
          <w:rFonts w:ascii="Arial" w:hAnsi="Arial" w:cs="Arial"/>
          <w:sz w:val="20"/>
          <w:szCs w:val="20"/>
        </w:rPr>
        <w:t xml:space="preserve">   </w:t>
      </w:r>
    </w:p>
    <w:p w14:paraId="2FDDDEA0" w14:textId="4FCAF1D6" w:rsidR="000A607D" w:rsidRPr="000866A5" w:rsidRDefault="000A607D" w:rsidP="000A607D">
      <w:pPr>
        <w:spacing w:line="480" w:lineRule="auto"/>
        <w:rPr>
          <w:rFonts w:ascii="Arial" w:hAnsi="Arial" w:cs="Arial"/>
          <w:sz w:val="20"/>
          <w:szCs w:val="20"/>
        </w:rPr>
      </w:pPr>
      <w:r>
        <w:rPr>
          <w:rFonts w:ascii="Arial" w:hAnsi="Arial" w:cs="Arial"/>
          <w:sz w:val="20"/>
          <w:szCs w:val="20"/>
        </w:rPr>
        <w:t xml:space="preserve">     </w:t>
      </w:r>
    </w:p>
    <w:p w14:paraId="66C5DD62" w14:textId="755BDA78" w:rsidR="00064452" w:rsidRPr="001120B9" w:rsidRDefault="00064452" w:rsidP="00FD730E">
      <w:pPr>
        <w:spacing w:line="480" w:lineRule="auto"/>
        <w:jc w:val="center"/>
        <w:rPr>
          <w:rFonts w:ascii="Arial" w:hAnsi="Arial" w:cs="Arial"/>
          <w:b/>
          <w:sz w:val="24"/>
          <w:szCs w:val="24"/>
        </w:rPr>
      </w:pPr>
      <w:r w:rsidRPr="001120B9">
        <w:rPr>
          <w:rFonts w:ascii="Arial" w:hAnsi="Arial" w:cs="Arial"/>
          <w:b/>
          <w:sz w:val="24"/>
          <w:szCs w:val="24"/>
        </w:rPr>
        <w:t>ANALYSING THE REF 2014 DATA: ENGAGEMENT WITH UK GOVERNMENTS</w:t>
      </w:r>
    </w:p>
    <w:p w14:paraId="3632F46B" w14:textId="7CABAB2E" w:rsidR="00B3344A" w:rsidRDefault="00D30513" w:rsidP="00E51F2A">
      <w:pPr>
        <w:spacing w:line="480" w:lineRule="auto"/>
        <w:rPr>
          <w:rFonts w:ascii="Arial" w:hAnsi="Arial" w:cs="Arial"/>
          <w:sz w:val="20"/>
          <w:szCs w:val="20"/>
        </w:rPr>
      </w:pPr>
      <w:r>
        <w:rPr>
          <w:rFonts w:ascii="Arial" w:hAnsi="Arial" w:cs="Arial"/>
          <w:sz w:val="20"/>
          <w:szCs w:val="20"/>
        </w:rPr>
        <w:t xml:space="preserve">Before examining how law researchers </w:t>
      </w:r>
      <w:r w:rsidR="001A3FF3">
        <w:rPr>
          <w:rFonts w:ascii="Arial" w:hAnsi="Arial" w:cs="Arial"/>
          <w:sz w:val="20"/>
          <w:szCs w:val="20"/>
        </w:rPr>
        <w:t>engaged</w:t>
      </w:r>
      <w:r>
        <w:rPr>
          <w:rFonts w:ascii="Arial" w:hAnsi="Arial" w:cs="Arial"/>
          <w:sz w:val="20"/>
          <w:szCs w:val="20"/>
        </w:rPr>
        <w:t xml:space="preserve"> with UK government</w:t>
      </w:r>
      <w:r w:rsidR="001A3FF3">
        <w:rPr>
          <w:rFonts w:ascii="Arial" w:hAnsi="Arial" w:cs="Arial"/>
          <w:sz w:val="20"/>
          <w:szCs w:val="20"/>
        </w:rPr>
        <w:t>s</w:t>
      </w:r>
      <w:r>
        <w:rPr>
          <w:rFonts w:ascii="Arial" w:hAnsi="Arial" w:cs="Arial"/>
          <w:sz w:val="20"/>
          <w:szCs w:val="20"/>
        </w:rPr>
        <w:t>, I first used data from REF</w:t>
      </w:r>
      <w:r w:rsidR="00064452">
        <w:rPr>
          <w:rFonts w:ascii="Arial" w:hAnsi="Arial" w:cs="Arial"/>
          <w:sz w:val="20"/>
          <w:szCs w:val="20"/>
        </w:rPr>
        <w:t xml:space="preserve"> </w:t>
      </w:r>
      <w:r w:rsidR="00D66EE5">
        <w:rPr>
          <w:rFonts w:ascii="Arial" w:hAnsi="Arial" w:cs="Arial"/>
          <w:sz w:val="20"/>
          <w:szCs w:val="20"/>
        </w:rPr>
        <w:t>submissions</w:t>
      </w:r>
      <w:r>
        <w:rPr>
          <w:rFonts w:ascii="Arial" w:hAnsi="Arial" w:cs="Arial"/>
          <w:sz w:val="20"/>
          <w:szCs w:val="20"/>
        </w:rPr>
        <w:t xml:space="preserve"> to get a broad understanding of where engagement </w:t>
      </w:r>
      <w:r w:rsidR="001A3FF3">
        <w:rPr>
          <w:rFonts w:ascii="Arial" w:hAnsi="Arial" w:cs="Arial"/>
          <w:sz w:val="20"/>
          <w:szCs w:val="20"/>
        </w:rPr>
        <w:t>wa</w:t>
      </w:r>
      <w:r>
        <w:rPr>
          <w:rFonts w:ascii="Arial" w:hAnsi="Arial" w:cs="Arial"/>
          <w:sz w:val="20"/>
          <w:szCs w:val="20"/>
        </w:rPr>
        <w:t xml:space="preserve">s occurring. </w:t>
      </w:r>
      <w:r w:rsidR="00036F73">
        <w:rPr>
          <w:rFonts w:ascii="Arial" w:hAnsi="Arial" w:cs="Arial"/>
          <w:sz w:val="20"/>
          <w:szCs w:val="20"/>
        </w:rPr>
        <w:t xml:space="preserve">This </w:t>
      </w:r>
      <w:r w:rsidR="00542642">
        <w:rPr>
          <w:rFonts w:ascii="Arial" w:hAnsi="Arial" w:cs="Arial"/>
          <w:sz w:val="20"/>
          <w:szCs w:val="20"/>
        </w:rPr>
        <w:t xml:space="preserve">helped inform the construction of questions for the survey of researchers and </w:t>
      </w:r>
      <w:r w:rsidR="00036F73">
        <w:rPr>
          <w:rFonts w:ascii="Arial" w:hAnsi="Arial" w:cs="Arial"/>
          <w:sz w:val="20"/>
          <w:szCs w:val="20"/>
        </w:rPr>
        <w:t>set the scene</w:t>
      </w:r>
      <w:r w:rsidR="00542642">
        <w:rPr>
          <w:rFonts w:ascii="Arial" w:hAnsi="Arial" w:cs="Arial"/>
          <w:sz w:val="20"/>
          <w:szCs w:val="20"/>
        </w:rPr>
        <w:t xml:space="preserve"> for the exploration of how engagement occurs. </w:t>
      </w:r>
      <w:r>
        <w:rPr>
          <w:rFonts w:ascii="Arial" w:hAnsi="Arial" w:cs="Arial"/>
          <w:sz w:val="20"/>
          <w:szCs w:val="20"/>
        </w:rPr>
        <w:t>T</w:t>
      </w:r>
      <w:r w:rsidR="007C4FCE">
        <w:rPr>
          <w:rFonts w:ascii="Arial" w:hAnsi="Arial" w:cs="Arial"/>
          <w:sz w:val="20"/>
          <w:szCs w:val="20"/>
        </w:rPr>
        <w:t xml:space="preserve">he </w:t>
      </w:r>
      <w:r w:rsidR="00D66EE5">
        <w:rPr>
          <w:rFonts w:ascii="Arial" w:hAnsi="Arial" w:cs="Arial"/>
          <w:sz w:val="20"/>
          <w:szCs w:val="20"/>
        </w:rPr>
        <w:t xml:space="preserve">case study </w:t>
      </w:r>
      <w:r w:rsidR="007C4FCE">
        <w:rPr>
          <w:rFonts w:ascii="Arial" w:hAnsi="Arial" w:cs="Arial"/>
          <w:sz w:val="20"/>
          <w:szCs w:val="20"/>
        </w:rPr>
        <w:t>database</w:t>
      </w:r>
      <w:r w:rsidR="0060434E">
        <w:rPr>
          <w:rFonts w:ascii="Arial" w:hAnsi="Arial" w:cs="Arial"/>
          <w:sz w:val="20"/>
          <w:szCs w:val="20"/>
        </w:rPr>
        <w:t xml:space="preserve"> was</w:t>
      </w:r>
      <w:r w:rsidR="007C4FCE">
        <w:rPr>
          <w:rFonts w:ascii="Arial" w:hAnsi="Arial" w:cs="Arial"/>
          <w:sz w:val="20"/>
          <w:szCs w:val="20"/>
        </w:rPr>
        <w:t xml:space="preserve"> searched</w:t>
      </w:r>
      <w:r w:rsidR="0060434E">
        <w:rPr>
          <w:rFonts w:ascii="Arial" w:hAnsi="Arial" w:cs="Arial"/>
          <w:sz w:val="20"/>
          <w:szCs w:val="20"/>
        </w:rPr>
        <w:t xml:space="preserve"> </w:t>
      </w:r>
      <w:r w:rsidR="00641111">
        <w:rPr>
          <w:rFonts w:ascii="Arial" w:hAnsi="Arial" w:cs="Arial"/>
          <w:sz w:val="20"/>
          <w:szCs w:val="20"/>
        </w:rPr>
        <w:t>for</w:t>
      </w:r>
      <w:r w:rsidR="007C4FCE">
        <w:rPr>
          <w:rFonts w:ascii="Arial" w:hAnsi="Arial" w:cs="Arial"/>
          <w:sz w:val="20"/>
          <w:szCs w:val="20"/>
        </w:rPr>
        <w:t xml:space="preserve"> department and agency names, a</w:t>
      </w:r>
      <w:r w:rsidR="000272EC">
        <w:rPr>
          <w:rFonts w:ascii="Arial" w:hAnsi="Arial" w:cs="Arial"/>
          <w:sz w:val="20"/>
          <w:szCs w:val="20"/>
        </w:rPr>
        <w:t>bbreviations, substantive issue</w:t>
      </w:r>
      <w:r w:rsidR="00641111">
        <w:rPr>
          <w:rFonts w:ascii="Arial" w:hAnsi="Arial" w:cs="Arial"/>
          <w:sz w:val="20"/>
          <w:szCs w:val="20"/>
        </w:rPr>
        <w:t>s</w:t>
      </w:r>
      <w:r w:rsidR="007C4FCE">
        <w:rPr>
          <w:rFonts w:ascii="Arial" w:hAnsi="Arial" w:cs="Arial"/>
          <w:sz w:val="20"/>
          <w:szCs w:val="20"/>
        </w:rPr>
        <w:t xml:space="preserve"> and geographical areas to identify case studies that potentially </w:t>
      </w:r>
      <w:r w:rsidR="000272EC">
        <w:rPr>
          <w:rFonts w:ascii="Arial" w:hAnsi="Arial" w:cs="Arial"/>
          <w:sz w:val="20"/>
          <w:szCs w:val="20"/>
        </w:rPr>
        <w:t>showed</w:t>
      </w:r>
      <w:r w:rsidR="007C4FCE">
        <w:rPr>
          <w:rFonts w:ascii="Arial" w:hAnsi="Arial" w:cs="Arial"/>
          <w:sz w:val="20"/>
          <w:szCs w:val="20"/>
        </w:rPr>
        <w:t xml:space="preserve"> engagement with government departments and agencies. Each case study returned in searches was checked to see whether it did in fact identify engage</w:t>
      </w:r>
      <w:r w:rsidR="000272EC">
        <w:rPr>
          <w:rFonts w:ascii="Arial" w:hAnsi="Arial" w:cs="Arial"/>
          <w:sz w:val="20"/>
          <w:szCs w:val="20"/>
        </w:rPr>
        <w:t>ment with government</w:t>
      </w:r>
      <w:r w:rsidR="00B3344A">
        <w:rPr>
          <w:rFonts w:ascii="Arial" w:hAnsi="Arial" w:cs="Arial"/>
          <w:sz w:val="20"/>
          <w:szCs w:val="20"/>
        </w:rPr>
        <w:t>.</w:t>
      </w:r>
      <w:r w:rsidR="007C4FCE">
        <w:rPr>
          <w:rFonts w:ascii="Arial" w:hAnsi="Arial" w:cs="Arial"/>
          <w:sz w:val="20"/>
          <w:szCs w:val="20"/>
        </w:rPr>
        <w:t xml:space="preserve"> </w:t>
      </w:r>
    </w:p>
    <w:p w14:paraId="77299C58" w14:textId="5E160BB9" w:rsidR="00B3344A" w:rsidRDefault="000272EC" w:rsidP="00E51F2A">
      <w:pPr>
        <w:tabs>
          <w:tab w:val="left" w:pos="6888"/>
        </w:tabs>
        <w:spacing w:line="480" w:lineRule="auto"/>
        <w:rPr>
          <w:rFonts w:ascii="Arial" w:hAnsi="Arial" w:cs="Arial"/>
          <w:sz w:val="20"/>
          <w:szCs w:val="20"/>
        </w:rPr>
      </w:pPr>
      <w:r>
        <w:rPr>
          <w:rFonts w:ascii="Arial" w:hAnsi="Arial" w:cs="Arial"/>
          <w:sz w:val="20"/>
          <w:szCs w:val="20"/>
        </w:rPr>
        <w:tab/>
      </w:r>
    </w:p>
    <w:p w14:paraId="13A2CA74" w14:textId="7FE3CCD5" w:rsidR="00B3344A" w:rsidRDefault="00B31C5F" w:rsidP="00E51F2A">
      <w:pPr>
        <w:spacing w:line="480" w:lineRule="auto"/>
        <w:rPr>
          <w:rFonts w:ascii="Arial" w:hAnsi="Arial" w:cs="Arial"/>
          <w:sz w:val="20"/>
          <w:szCs w:val="20"/>
        </w:rPr>
      </w:pPr>
      <w:r>
        <w:rPr>
          <w:rFonts w:ascii="Arial" w:hAnsi="Arial" w:cs="Arial"/>
          <w:sz w:val="20"/>
          <w:szCs w:val="20"/>
        </w:rPr>
        <w:t>E</w:t>
      </w:r>
      <w:r w:rsidR="00B3344A">
        <w:rPr>
          <w:rFonts w:ascii="Arial" w:hAnsi="Arial" w:cs="Arial"/>
          <w:sz w:val="20"/>
          <w:szCs w:val="20"/>
        </w:rPr>
        <w:t xml:space="preserve">ngagement was </w:t>
      </w:r>
      <w:r>
        <w:rPr>
          <w:rFonts w:ascii="Arial" w:hAnsi="Arial" w:cs="Arial"/>
          <w:sz w:val="20"/>
          <w:szCs w:val="20"/>
        </w:rPr>
        <w:t xml:space="preserve">often </w:t>
      </w:r>
      <w:r w:rsidR="00B3344A">
        <w:rPr>
          <w:rFonts w:ascii="Arial" w:hAnsi="Arial" w:cs="Arial"/>
          <w:sz w:val="20"/>
          <w:szCs w:val="20"/>
        </w:rPr>
        <w:t>clear</w:t>
      </w:r>
      <w:r w:rsidR="00A541BE">
        <w:rPr>
          <w:rFonts w:ascii="Arial" w:hAnsi="Arial" w:cs="Arial"/>
          <w:sz w:val="20"/>
          <w:szCs w:val="20"/>
        </w:rPr>
        <w:t>; for example,</w:t>
      </w:r>
      <w:r>
        <w:rPr>
          <w:rFonts w:ascii="Arial" w:hAnsi="Arial" w:cs="Arial"/>
          <w:sz w:val="20"/>
          <w:szCs w:val="20"/>
        </w:rPr>
        <w:t xml:space="preserve"> researchers </w:t>
      </w:r>
      <w:r w:rsidR="00A541BE">
        <w:rPr>
          <w:rFonts w:ascii="Arial" w:hAnsi="Arial" w:cs="Arial"/>
          <w:sz w:val="20"/>
          <w:szCs w:val="20"/>
        </w:rPr>
        <w:t xml:space="preserve">had </w:t>
      </w:r>
      <w:r>
        <w:rPr>
          <w:rFonts w:ascii="Arial" w:hAnsi="Arial" w:cs="Arial"/>
          <w:sz w:val="20"/>
          <w:szCs w:val="20"/>
        </w:rPr>
        <w:t xml:space="preserve">met </w:t>
      </w:r>
      <w:r w:rsidR="00B3344A">
        <w:rPr>
          <w:rFonts w:ascii="Arial" w:hAnsi="Arial" w:cs="Arial"/>
          <w:sz w:val="20"/>
          <w:szCs w:val="20"/>
        </w:rPr>
        <w:t xml:space="preserve">with officials or </w:t>
      </w:r>
      <w:r w:rsidR="00B35FD8">
        <w:rPr>
          <w:rFonts w:ascii="Arial" w:hAnsi="Arial" w:cs="Arial"/>
          <w:sz w:val="20"/>
          <w:szCs w:val="20"/>
        </w:rPr>
        <w:t>research was</w:t>
      </w:r>
      <w:r w:rsidR="00B3344A">
        <w:rPr>
          <w:rFonts w:ascii="Arial" w:hAnsi="Arial" w:cs="Arial"/>
          <w:sz w:val="20"/>
          <w:szCs w:val="20"/>
        </w:rPr>
        <w:t xml:space="preserve"> cited in a</w:t>
      </w:r>
      <w:r>
        <w:rPr>
          <w:rFonts w:ascii="Arial" w:hAnsi="Arial" w:cs="Arial"/>
          <w:sz w:val="20"/>
          <w:szCs w:val="20"/>
        </w:rPr>
        <w:t xml:space="preserve"> report. </w:t>
      </w:r>
      <w:r w:rsidR="008B296C">
        <w:rPr>
          <w:rFonts w:ascii="Arial" w:hAnsi="Arial" w:cs="Arial"/>
          <w:sz w:val="20"/>
          <w:szCs w:val="20"/>
        </w:rPr>
        <w:t xml:space="preserve">Conversely, </w:t>
      </w:r>
      <w:r w:rsidR="00B3344A">
        <w:rPr>
          <w:rFonts w:ascii="Arial" w:hAnsi="Arial" w:cs="Arial"/>
          <w:sz w:val="20"/>
          <w:szCs w:val="20"/>
        </w:rPr>
        <w:t xml:space="preserve">a mention </w:t>
      </w:r>
      <w:r w:rsidR="00A93C45">
        <w:rPr>
          <w:rFonts w:ascii="Arial" w:hAnsi="Arial" w:cs="Arial"/>
          <w:sz w:val="20"/>
          <w:szCs w:val="20"/>
        </w:rPr>
        <w:t xml:space="preserve">of government </w:t>
      </w:r>
      <w:r>
        <w:rPr>
          <w:rFonts w:ascii="Arial" w:hAnsi="Arial" w:cs="Arial"/>
          <w:sz w:val="20"/>
          <w:szCs w:val="20"/>
        </w:rPr>
        <w:t xml:space="preserve">would </w:t>
      </w:r>
      <w:r w:rsidR="00A541BE">
        <w:rPr>
          <w:rFonts w:ascii="Arial" w:hAnsi="Arial" w:cs="Arial"/>
          <w:sz w:val="20"/>
          <w:szCs w:val="20"/>
        </w:rPr>
        <w:t xml:space="preserve">sometimes </w:t>
      </w:r>
      <w:r>
        <w:rPr>
          <w:rFonts w:ascii="Arial" w:hAnsi="Arial" w:cs="Arial"/>
          <w:sz w:val="20"/>
          <w:szCs w:val="20"/>
        </w:rPr>
        <w:t>clearly</w:t>
      </w:r>
      <w:r w:rsidR="00A93C45">
        <w:rPr>
          <w:rFonts w:ascii="Arial" w:hAnsi="Arial" w:cs="Arial"/>
          <w:sz w:val="20"/>
          <w:szCs w:val="20"/>
        </w:rPr>
        <w:t xml:space="preserve"> not count as engagement</w:t>
      </w:r>
      <w:r w:rsidR="00AB4843">
        <w:rPr>
          <w:rFonts w:ascii="Arial" w:hAnsi="Arial" w:cs="Arial"/>
          <w:sz w:val="20"/>
          <w:szCs w:val="20"/>
        </w:rPr>
        <w:t xml:space="preserve"> – </w:t>
      </w:r>
      <w:r w:rsidR="00A541BE">
        <w:rPr>
          <w:rFonts w:ascii="Arial" w:hAnsi="Arial" w:cs="Arial"/>
          <w:sz w:val="20"/>
          <w:szCs w:val="20"/>
        </w:rPr>
        <w:t xml:space="preserve">for instance, </w:t>
      </w:r>
      <w:r w:rsidR="00B35FD8">
        <w:rPr>
          <w:rFonts w:ascii="Arial" w:hAnsi="Arial" w:cs="Arial"/>
          <w:sz w:val="20"/>
          <w:szCs w:val="20"/>
        </w:rPr>
        <w:t xml:space="preserve">a </w:t>
      </w:r>
      <w:r>
        <w:rPr>
          <w:rFonts w:ascii="Arial" w:hAnsi="Arial" w:cs="Arial"/>
          <w:sz w:val="20"/>
          <w:szCs w:val="20"/>
        </w:rPr>
        <w:t xml:space="preserve">reference to </w:t>
      </w:r>
      <w:r w:rsidR="00B3344A">
        <w:rPr>
          <w:rFonts w:ascii="Arial" w:hAnsi="Arial" w:cs="Arial"/>
          <w:sz w:val="20"/>
          <w:szCs w:val="20"/>
        </w:rPr>
        <w:t xml:space="preserve">a foreign government </w:t>
      </w:r>
      <w:r>
        <w:rPr>
          <w:rFonts w:ascii="Arial" w:hAnsi="Arial" w:cs="Arial"/>
          <w:sz w:val="20"/>
          <w:szCs w:val="20"/>
        </w:rPr>
        <w:t>department</w:t>
      </w:r>
      <w:r w:rsidR="00A541BE">
        <w:rPr>
          <w:rFonts w:ascii="Arial" w:hAnsi="Arial" w:cs="Arial"/>
          <w:sz w:val="20"/>
          <w:szCs w:val="20"/>
        </w:rPr>
        <w:t xml:space="preserve"> did not count</w:t>
      </w:r>
      <w:r w:rsidR="00B3344A">
        <w:rPr>
          <w:rFonts w:ascii="Arial" w:hAnsi="Arial" w:cs="Arial"/>
          <w:sz w:val="20"/>
          <w:szCs w:val="20"/>
        </w:rPr>
        <w:t>.</w:t>
      </w:r>
      <w:r w:rsidR="003E0643">
        <w:rPr>
          <w:rFonts w:ascii="Arial" w:hAnsi="Arial" w:cs="Arial"/>
          <w:sz w:val="20"/>
          <w:szCs w:val="20"/>
        </w:rPr>
        <w:t xml:space="preserve"> In three areas j</w:t>
      </w:r>
      <w:r w:rsidR="007E58F8">
        <w:rPr>
          <w:rFonts w:ascii="Arial" w:hAnsi="Arial" w:cs="Arial"/>
          <w:sz w:val="20"/>
          <w:szCs w:val="20"/>
        </w:rPr>
        <w:t xml:space="preserve">udgments </w:t>
      </w:r>
      <w:r w:rsidR="003E0643">
        <w:rPr>
          <w:rFonts w:ascii="Arial" w:hAnsi="Arial" w:cs="Arial"/>
          <w:sz w:val="20"/>
          <w:szCs w:val="20"/>
        </w:rPr>
        <w:t xml:space="preserve">were more </w:t>
      </w:r>
      <w:r>
        <w:rPr>
          <w:rFonts w:ascii="Arial" w:hAnsi="Arial" w:cs="Arial"/>
          <w:sz w:val="20"/>
          <w:szCs w:val="20"/>
        </w:rPr>
        <w:t>nuanced</w:t>
      </w:r>
      <w:r w:rsidR="00B3344A">
        <w:rPr>
          <w:rFonts w:ascii="Arial" w:hAnsi="Arial" w:cs="Arial"/>
          <w:sz w:val="20"/>
          <w:szCs w:val="20"/>
        </w:rPr>
        <w:t>:</w:t>
      </w:r>
    </w:p>
    <w:p w14:paraId="673D864D" w14:textId="7D5D401D" w:rsidR="00B3344A" w:rsidRPr="00E66EE9" w:rsidRDefault="00B31C5F" w:rsidP="00B31C5F">
      <w:pPr>
        <w:pStyle w:val="ListParagraph"/>
        <w:numPr>
          <w:ilvl w:val="0"/>
          <w:numId w:val="7"/>
        </w:numPr>
        <w:spacing w:after="120" w:line="480" w:lineRule="auto"/>
        <w:contextualSpacing w:val="0"/>
        <w:rPr>
          <w:rFonts w:ascii="Arial" w:hAnsi="Arial" w:cs="Arial"/>
          <w:sz w:val="20"/>
          <w:szCs w:val="20"/>
        </w:rPr>
      </w:pPr>
      <w:r>
        <w:rPr>
          <w:rFonts w:ascii="Arial" w:hAnsi="Arial" w:cs="Arial"/>
          <w:sz w:val="20"/>
          <w:szCs w:val="20"/>
        </w:rPr>
        <w:t>E</w:t>
      </w:r>
      <w:r w:rsidR="00B3344A" w:rsidRPr="00E66EE9">
        <w:rPr>
          <w:rFonts w:ascii="Arial" w:hAnsi="Arial" w:cs="Arial"/>
          <w:sz w:val="20"/>
          <w:szCs w:val="20"/>
        </w:rPr>
        <w:t xml:space="preserve">ngagement with parliaments or assemblies </w:t>
      </w:r>
      <w:r>
        <w:rPr>
          <w:rFonts w:ascii="Arial" w:hAnsi="Arial" w:cs="Arial"/>
          <w:sz w:val="20"/>
          <w:szCs w:val="20"/>
        </w:rPr>
        <w:t>did not count unless there was a clear government dimension to it</w:t>
      </w:r>
      <w:r w:rsidR="00B3344A" w:rsidRPr="00E66EE9">
        <w:rPr>
          <w:rFonts w:ascii="Arial" w:hAnsi="Arial" w:cs="Arial"/>
          <w:sz w:val="20"/>
          <w:szCs w:val="20"/>
        </w:rPr>
        <w:t xml:space="preserve">. </w:t>
      </w:r>
      <w:r>
        <w:rPr>
          <w:rFonts w:ascii="Arial" w:hAnsi="Arial" w:cs="Arial"/>
          <w:sz w:val="20"/>
          <w:szCs w:val="20"/>
        </w:rPr>
        <w:t>For example, w</w:t>
      </w:r>
      <w:r w:rsidR="00B3344A" w:rsidRPr="00E66EE9">
        <w:rPr>
          <w:rFonts w:ascii="Arial" w:hAnsi="Arial" w:cs="Arial"/>
          <w:sz w:val="20"/>
          <w:szCs w:val="20"/>
        </w:rPr>
        <w:t xml:space="preserve">here a select committee responsible for </w:t>
      </w:r>
      <w:r>
        <w:rPr>
          <w:rFonts w:ascii="Arial" w:hAnsi="Arial" w:cs="Arial"/>
          <w:sz w:val="20"/>
          <w:szCs w:val="20"/>
        </w:rPr>
        <w:t xml:space="preserve">departmental </w:t>
      </w:r>
      <w:r w:rsidR="00B3344A" w:rsidRPr="00E66EE9">
        <w:rPr>
          <w:rFonts w:ascii="Arial" w:hAnsi="Arial" w:cs="Arial"/>
          <w:sz w:val="20"/>
          <w:szCs w:val="20"/>
        </w:rPr>
        <w:t>oversight adopted evidence in recommendations about the government’s work</w:t>
      </w:r>
      <w:r w:rsidR="00B3344A">
        <w:rPr>
          <w:rFonts w:ascii="Arial" w:hAnsi="Arial" w:cs="Arial"/>
          <w:sz w:val="20"/>
          <w:szCs w:val="20"/>
        </w:rPr>
        <w:t>,</w:t>
      </w:r>
      <w:r w:rsidR="00B3344A" w:rsidRPr="00E66EE9">
        <w:rPr>
          <w:rFonts w:ascii="Arial" w:hAnsi="Arial" w:cs="Arial"/>
          <w:sz w:val="20"/>
          <w:szCs w:val="20"/>
        </w:rPr>
        <w:t xml:space="preserve"> then it was included as e</w:t>
      </w:r>
      <w:r w:rsidR="00A93C45">
        <w:rPr>
          <w:rFonts w:ascii="Arial" w:hAnsi="Arial" w:cs="Arial"/>
          <w:sz w:val="20"/>
          <w:szCs w:val="20"/>
        </w:rPr>
        <w:t xml:space="preserve">ngagement with the department. </w:t>
      </w:r>
      <w:r>
        <w:rPr>
          <w:rFonts w:ascii="Arial" w:hAnsi="Arial" w:cs="Arial"/>
          <w:sz w:val="20"/>
          <w:szCs w:val="20"/>
        </w:rPr>
        <w:t>W</w:t>
      </w:r>
      <w:r w:rsidR="00B3344A" w:rsidRPr="00E66EE9">
        <w:rPr>
          <w:rFonts w:ascii="Arial" w:hAnsi="Arial" w:cs="Arial"/>
          <w:sz w:val="20"/>
          <w:szCs w:val="20"/>
        </w:rPr>
        <w:t xml:space="preserve">here </w:t>
      </w:r>
      <w:r w:rsidR="00B3344A">
        <w:rPr>
          <w:rFonts w:ascii="Arial" w:hAnsi="Arial" w:cs="Arial"/>
          <w:sz w:val="20"/>
          <w:szCs w:val="20"/>
        </w:rPr>
        <w:t>i</w:t>
      </w:r>
      <w:r>
        <w:rPr>
          <w:rFonts w:ascii="Arial" w:hAnsi="Arial" w:cs="Arial"/>
          <w:sz w:val="20"/>
          <w:szCs w:val="20"/>
        </w:rPr>
        <w:t xml:space="preserve">nfluence on legislation </w:t>
      </w:r>
      <w:r w:rsidR="00B3344A">
        <w:rPr>
          <w:rFonts w:ascii="Arial" w:hAnsi="Arial" w:cs="Arial"/>
          <w:sz w:val="20"/>
          <w:szCs w:val="20"/>
        </w:rPr>
        <w:lastRenderedPageBreak/>
        <w:t>appeared as though</w:t>
      </w:r>
      <w:r w:rsidR="00B3344A" w:rsidRPr="00E66EE9">
        <w:rPr>
          <w:rFonts w:ascii="Arial" w:hAnsi="Arial" w:cs="Arial"/>
          <w:sz w:val="20"/>
          <w:szCs w:val="20"/>
        </w:rPr>
        <w:t xml:space="preserve"> </w:t>
      </w:r>
      <w:r w:rsidR="00B3344A">
        <w:rPr>
          <w:rFonts w:ascii="Arial" w:hAnsi="Arial" w:cs="Arial"/>
          <w:sz w:val="20"/>
          <w:szCs w:val="20"/>
        </w:rPr>
        <w:t xml:space="preserve">it </w:t>
      </w:r>
      <w:r w:rsidR="00B3344A" w:rsidRPr="00E66EE9">
        <w:rPr>
          <w:rFonts w:ascii="Arial" w:hAnsi="Arial" w:cs="Arial"/>
          <w:sz w:val="20"/>
          <w:szCs w:val="20"/>
        </w:rPr>
        <w:t xml:space="preserve">must have involved </w:t>
      </w:r>
      <w:r>
        <w:rPr>
          <w:rFonts w:ascii="Arial" w:hAnsi="Arial" w:cs="Arial"/>
          <w:sz w:val="20"/>
          <w:szCs w:val="20"/>
        </w:rPr>
        <w:t>contact</w:t>
      </w:r>
      <w:r w:rsidR="00B3344A" w:rsidRPr="00E66EE9">
        <w:rPr>
          <w:rFonts w:ascii="Arial" w:hAnsi="Arial" w:cs="Arial"/>
          <w:sz w:val="20"/>
          <w:szCs w:val="20"/>
        </w:rPr>
        <w:t xml:space="preserve"> with government or take up of research by government</w:t>
      </w:r>
      <w:r w:rsidR="00271185">
        <w:rPr>
          <w:rFonts w:ascii="Arial" w:hAnsi="Arial" w:cs="Arial"/>
          <w:sz w:val="20"/>
          <w:szCs w:val="20"/>
        </w:rPr>
        <w:t xml:space="preserve">, this </w:t>
      </w:r>
      <w:r w:rsidR="00A71E34">
        <w:rPr>
          <w:rFonts w:ascii="Arial" w:hAnsi="Arial" w:cs="Arial"/>
          <w:sz w:val="20"/>
          <w:szCs w:val="20"/>
        </w:rPr>
        <w:t>was counted as engagem</w:t>
      </w:r>
      <w:r w:rsidR="00271185">
        <w:rPr>
          <w:rFonts w:ascii="Arial" w:hAnsi="Arial" w:cs="Arial"/>
          <w:sz w:val="20"/>
          <w:szCs w:val="20"/>
        </w:rPr>
        <w:t>ent</w:t>
      </w:r>
      <w:r w:rsidR="00B3344A" w:rsidRPr="00E66EE9">
        <w:rPr>
          <w:rFonts w:ascii="Arial" w:hAnsi="Arial" w:cs="Arial"/>
          <w:sz w:val="20"/>
          <w:szCs w:val="20"/>
        </w:rPr>
        <w:t>.</w:t>
      </w:r>
    </w:p>
    <w:p w14:paraId="3E5620B9" w14:textId="0B2D453F" w:rsidR="00B3344A" w:rsidRDefault="00B3344A" w:rsidP="00E51F2A">
      <w:pPr>
        <w:pStyle w:val="ListParagraph"/>
        <w:numPr>
          <w:ilvl w:val="0"/>
          <w:numId w:val="7"/>
        </w:numPr>
        <w:spacing w:after="120" w:line="480" w:lineRule="auto"/>
        <w:ind w:left="714" w:hanging="357"/>
        <w:contextualSpacing w:val="0"/>
        <w:rPr>
          <w:rFonts w:ascii="Arial" w:hAnsi="Arial" w:cs="Arial"/>
          <w:sz w:val="20"/>
          <w:szCs w:val="20"/>
        </w:rPr>
      </w:pPr>
      <w:r>
        <w:rPr>
          <w:rFonts w:ascii="Arial" w:hAnsi="Arial" w:cs="Arial"/>
          <w:sz w:val="20"/>
          <w:szCs w:val="20"/>
        </w:rPr>
        <w:t xml:space="preserve">Where engagement </w:t>
      </w:r>
      <w:r w:rsidR="00B31C5F">
        <w:rPr>
          <w:rFonts w:ascii="Arial" w:hAnsi="Arial" w:cs="Arial"/>
          <w:sz w:val="20"/>
          <w:szCs w:val="20"/>
        </w:rPr>
        <w:t>was</w:t>
      </w:r>
      <w:r>
        <w:rPr>
          <w:rFonts w:ascii="Arial" w:hAnsi="Arial" w:cs="Arial"/>
          <w:sz w:val="20"/>
          <w:szCs w:val="20"/>
        </w:rPr>
        <w:t xml:space="preserve"> with judicial bodies, </w:t>
      </w:r>
      <w:r w:rsidR="00B31C5F">
        <w:rPr>
          <w:rFonts w:ascii="Arial" w:hAnsi="Arial" w:cs="Arial"/>
          <w:sz w:val="20"/>
          <w:szCs w:val="20"/>
        </w:rPr>
        <w:t>t</w:t>
      </w:r>
      <w:r>
        <w:rPr>
          <w:rFonts w:ascii="Arial" w:hAnsi="Arial" w:cs="Arial"/>
          <w:sz w:val="20"/>
          <w:szCs w:val="20"/>
        </w:rPr>
        <w:t>raining of judges was excluded,</w:t>
      </w:r>
      <w:r w:rsidR="00B31C5F">
        <w:rPr>
          <w:rFonts w:ascii="Arial" w:hAnsi="Arial" w:cs="Arial"/>
          <w:sz w:val="20"/>
          <w:szCs w:val="20"/>
        </w:rPr>
        <w:t xml:space="preserve"> but</w:t>
      </w:r>
      <w:r>
        <w:rPr>
          <w:rFonts w:ascii="Arial" w:hAnsi="Arial" w:cs="Arial"/>
          <w:sz w:val="20"/>
          <w:szCs w:val="20"/>
        </w:rPr>
        <w:t xml:space="preserve"> matters to do with courts administration or judicial appointments were included.</w:t>
      </w:r>
    </w:p>
    <w:p w14:paraId="09323081" w14:textId="0967B1A4" w:rsidR="00B3344A" w:rsidRPr="00E66EE9" w:rsidRDefault="00B3344A" w:rsidP="00E51F2A">
      <w:pPr>
        <w:pStyle w:val="ListParagraph"/>
        <w:numPr>
          <w:ilvl w:val="0"/>
          <w:numId w:val="7"/>
        </w:numPr>
        <w:spacing w:line="480" w:lineRule="auto"/>
        <w:rPr>
          <w:rFonts w:ascii="Arial" w:hAnsi="Arial" w:cs="Arial"/>
          <w:sz w:val="20"/>
          <w:szCs w:val="20"/>
        </w:rPr>
      </w:pPr>
      <w:r>
        <w:rPr>
          <w:rFonts w:ascii="Arial" w:hAnsi="Arial" w:cs="Arial"/>
          <w:sz w:val="20"/>
          <w:szCs w:val="20"/>
        </w:rPr>
        <w:t xml:space="preserve">Where researchers had provided advice to review committees </w:t>
      </w:r>
      <w:r w:rsidR="00B31C5F">
        <w:rPr>
          <w:rFonts w:ascii="Arial" w:hAnsi="Arial" w:cs="Arial"/>
          <w:sz w:val="20"/>
          <w:szCs w:val="20"/>
        </w:rPr>
        <w:t>but it was un</w:t>
      </w:r>
      <w:r>
        <w:rPr>
          <w:rFonts w:ascii="Arial" w:hAnsi="Arial" w:cs="Arial"/>
          <w:sz w:val="20"/>
          <w:szCs w:val="20"/>
        </w:rPr>
        <w:t>clear whether executive or parliamentary</w:t>
      </w:r>
      <w:r w:rsidR="00B31C5F">
        <w:rPr>
          <w:rFonts w:ascii="Arial" w:hAnsi="Arial" w:cs="Arial"/>
          <w:sz w:val="20"/>
          <w:szCs w:val="20"/>
        </w:rPr>
        <w:t xml:space="preserve">, these </w:t>
      </w:r>
      <w:r>
        <w:rPr>
          <w:rFonts w:ascii="Arial" w:hAnsi="Arial" w:cs="Arial"/>
          <w:sz w:val="20"/>
          <w:szCs w:val="20"/>
        </w:rPr>
        <w:t xml:space="preserve">were </w:t>
      </w:r>
      <w:r w:rsidR="003B0939">
        <w:rPr>
          <w:rFonts w:ascii="Arial" w:hAnsi="Arial" w:cs="Arial"/>
          <w:sz w:val="20"/>
          <w:szCs w:val="20"/>
        </w:rPr>
        <w:t xml:space="preserve">assessed </w:t>
      </w:r>
      <w:r>
        <w:rPr>
          <w:rFonts w:ascii="Arial" w:hAnsi="Arial" w:cs="Arial"/>
          <w:sz w:val="20"/>
          <w:szCs w:val="20"/>
        </w:rPr>
        <w:t>on a case</w:t>
      </w:r>
      <w:r w:rsidR="005972A6">
        <w:rPr>
          <w:rFonts w:ascii="Arial" w:hAnsi="Arial" w:cs="Arial"/>
          <w:sz w:val="20"/>
          <w:szCs w:val="20"/>
        </w:rPr>
        <w:t>-</w:t>
      </w:r>
      <w:r>
        <w:rPr>
          <w:rFonts w:ascii="Arial" w:hAnsi="Arial" w:cs="Arial"/>
          <w:sz w:val="20"/>
          <w:szCs w:val="20"/>
        </w:rPr>
        <w:t>by</w:t>
      </w:r>
      <w:r w:rsidR="005972A6">
        <w:rPr>
          <w:rFonts w:ascii="Arial" w:hAnsi="Arial" w:cs="Arial"/>
          <w:sz w:val="20"/>
          <w:szCs w:val="20"/>
        </w:rPr>
        <w:t>-</w:t>
      </w:r>
      <w:r>
        <w:rPr>
          <w:rFonts w:ascii="Arial" w:hAnsi="Arial" w:cs="Arial"/>
          <w:sz w:val="20"/>
          <w:szCs w:val="20"/>
        </w:rPr>
        <w:t>case basis and where possible were ident</w:t>
      </w:r>
      <w:r w:rsidR="003A5081">
        <w:rPr>
          <w:rFonts w:ascii="Arial" w:hAnsi="Arial" w:cs="Arial"/>
          <w:sz w:val="20"/>
          <w:szCs w:val="20"/>
        </w:rPr>
        <w:t>ified with the relevant department or area</w:t>
      </w:r>
      <w:r>
        <w:rPr>
          <w:rFonts w:ascii="Arial" w:hAnsi="Arial" w:cs="Arial"/>
          <w:sz w:val="20"/>
          <w:szCs w:val="20"/>
        </w:rPr>
        <w:t xml:space="preserve"> </w:t>
      </w:r>
      <w:r w:rsidR="00B31C5F">
        <w:rPr>
          <w:rFonts w:ascii="Arial" w:hAnsi="Arial" w:cs="Arial"/>
          <w:sz w:val="20"/>
          <w:szCs w:val="20"/>
        </w:rPr>
        <w:t xml:space="preserve">of </w:t>
      </w:r>
      <w:r>
        <w:rPr>
          <w:rFonts w:ascii="Arial" w:hAnsi="Arial" w:cs="Arial"/>
          <w:sz w:val="20"/>
          <w:szCs w:val="20"/>
        </w:rPr>
        <w:t xml:space="preserve">government. </w:t>
      </w:r>
    </w:p>
    <w:p w14:paraId="657B696D" w14:textId="77777777" w:rsidR="00B3344A" w:rsidRDefault="00B3344A" w:rsidP="00E51F2A">
      <w:pPr>
        <w:spacing w:line="480" w:lineRule="auto"/>
        <w:rPr>
          <w:rFonts w:ascii="Arial" w:hAnsi="Arial" w:cs="Arial"/>
          <w:sz w:val="20"/>
          <w:szCs w:val="20"/>
        </w:rPr>
      </w:pPr>
      <w:r w:rsidRPr="008F0865">
        <w:rPr>
          <w:rFonts w:ascii="Arial" w:hAnsi="Arial" w:cs="Arial"/>
          <w:sz w:val="20"/>
          <w:szCs w:val="20"/>
        </w:rPr>
        <w:t xml:space="preserve"> </w:t>
      </w:r>
    </w:p>
    <w:p w14:paraId="5834BA13" w14:textId="0C86F930" w:rsidR="0060434E" w:rsidRDefault="00062369" w:rsidP="00E51F2A">
      <w:pPr>
        <w:spacing w:line="480" w:lineRule="auto"/>
        <w:rPr>
          <w:rFonts w:ascii="Arial" w:hAnsi="Arial" w:cs="Arial"/>
          <w:sz w:val="20"/>
          <w:szCs w:val="20"/>
        </w:rPr>
      </w:pPr>
      <w:r>
        <w:rPr>
          <w:rFonts w:ascii="Arial" w:hAnsi="Arial" w:cs="Arial"/>
          <w:sz w:val="20"/>
          <w:szCs w:val="20"/>
        </w:rPr>
        <w:t>In the t</w:t>
      </w:r>
      <w:r w:rsidR="00CA38B7">
        <w:rPr>
          <w:rFonts w:ascii="Arial" w:hAnsi="Arial" w:cs="Arial"/>
          <w:sz w:val="20"/>
          <w:szCs w:val="20"/>
        </w:rPr>
        <w:t>emplates</w:t>
      </w:r>
      <w:r>
        <w:rPr>
          <w:rFonts w:ascii="Arial" w:hAnsi="Arial" w:cs="Arial"/>
          <w:sz w:val="20"/>
          <w:szCs w:val="20"/>
        </w:rPr>
        <w:t xml:space="preserve">, where </w:t>
      </w:r>
      <w:r w:rsidR="00B35FD8">
        <w:rPr>
          <w:rFonts w:ascii="Arial" w:hAnsi="Arial" w:cs="Arial"/>
          <w:sz w:val="20"/>
          <w:szCs w:val="20"/>
        </w:rPr>
        <w:t>d</w:t>
      </w:r>
      <w:r>
        <w:rPr>
          <w:rFonts w:ascii="Arial" w:hAnsi="Arial" w:cs="Arial"/>
          <w:sz w:val="20"/>
          <w:szCs w:val="20"/>
        </w:rPr>
        <w:t xml:space="preserve">escriptions of </w:t>
      </w:r>
      <w:r w:rsidR="007E58F8">
        <w:rPr>
          <w:rFonts w:ascii="Arial" w:hAnsi="Arial" w:cs="Arial"/>
          <w:sz w:val="20"/>
          <w:szCs w:val="20"/>
        </w:rPr>
        <w:t>engagement</w:t>
      </w:r>
      <w:r w:rsidR="00B35FD8">
        <w:rPr>
          <w:rFonts w:ascii="Arial" w:hAnsi="Arial" w:cs="Arial"/>
          <w:sz w:val="20"/>
          <w:szCs w:val="20"/>
        </w:rPr>
        <w:t xml:space="preserve"> were inevitably thinner</w:t>
      </w:r>
      <w:r>
        <w:rPr>
          <w:rFonts w:ascii="Arial" w:hAnsi="Arial" w:cs="Arial"/>
          <w:sz w:val="20"/>
          <w:szCs w:val="20"/>
        </w:rPr>
        <w:t>, a</w:t>
      </w:r>
      <w:r w:rsidR="007E58F8">
        <w:rPr>
          <w:rFonts w:ascii="Arial" w:hAnsi="Arial" w:cs="Arial"/>
          <w:sz w:val="20"/>
          <w:szCs w:val="20"/>
        </w:rPr>
        <w:t xml:space="preserve">ny </w:t>
      </w:r>
      <w:r w:rsidR="00CA38B7">
        <w:rPr>
          <w:rFonts w:ascii="Arial" w:hAnsi="Arial" w:cs="Arial"/>
          <w:sz w:val="20"/>
          <w:szCs w:val="20"/>
        </w:rPr>
        <w:t xml:space="preserve">mentions </w:t>
      </w:r>
      <w:r>
        <w:rPr>
          <w:rFonts w:ascii="Arial" w:hAnsi="Arial" w:cs="Arial"/>
          <w:sz w:val="20"/>
          <w:szCs w:val="20"/>
        </w:rPr>
        <w:t xml:space="preserve">of </w:t>
      </w:r>
      <w:r w:rsidR="00CA38B7">
        <w:rPr>
          <w:rFonts w:ascii="Arial" w:hAnsi="Arial" w:cs="Arial"/>
          <w:sz w:val="20"/>
          <w:szCs w:val="20"/>
        </w:rPr>
        <w:t xml:space="preserve">central government departments, departments of devolved governments in Scotland, Wales and Northern Ireland, and agencies (either of </w:t>
      </w:r>
      <w:r w:rsidR="005972A6">
        <w:rPr>
          <w:rFonts w:ascii="Arial" w:hAnsi="Arial" w:cs="Arial"/>
          <w:sz w:val="20"/>
          <w:szCs w:val="20"/>
        </w:rPr>
        <w:t xml:space="preserve">the </w:t>
      </w:r>
      <w:r w:rsidR="00CA38B7">
        <w:rPr>
          <w:rFonts w:ascii="Arial" w:hAnsi="Arial" w:cs="Arial"/>
          <w:sz w:val="20"/>
          <w:szCs w:val="20"/>
        </w:rPr>
        <w:t>UK or its constituent parts)</w:t>
      </w:r>
      <w:r w:rsidR="007E58F8">
        <w:rPr>
          <w:rFonts w:ascii="Arial" w:hAnsi="Arial" w:cs="Arial"/>
          <w:sz w:val="20"/>
          <w:szCs w:val="20"/>
        </w:rPr>
        <w:t xml:space="preserve"> were counted </w:t>
      </w:r>
      <w:r w:rsidR="0060434E">
        <w:rPr>
          <w:rFonts w:ascii="Arial" w:hAnsi="Arial" w:cs="Arial"/>
          <w:sz w:val="20"/>
          <w:szCs w:val="20"/>
        </w:rPr>
        <w:t>as engagement.</w:t>
      </w:r>
    </w:p>
    <w:p w14:paraId="3A48AFF4" w14:textId="77777777" w:rsidR="0060434E" w:rsidRDefault="0060434E" w:rsidP="00E51F2A">
      <w:pPr>
        <w:spacing w:line="480" w:lineRule="auto"/>
        <w:rPr>
          <w:rFonts w:ascii="Arial" w:hAnsi="Arial" w:cs="Arial"/>
          <w:sz w:val="20"/>
          <w:szCs w:val="20"/>
        </w:rPr>
      </w:pPr>
    </w:p>
    <w:p w14:paraId="258BCD35" w14:textId="22E8CF93" w:rsidR="00CA38B7" w:rsidRDefault="007C4FCE" w:rsidP="00E51F2A">
      <w:pPr>
        <w:spacing w:line="480" w:lineRule="auto"/>
        <w:rPr>
          <w:rFonts w:ascii="Arial" w:hAnsi="Arial" w:cs="Arial"/>
          <w:sz w:val="20"/>
          <w:szCs w:val="20"/>
        </w:rPr>
      </w:pPr>
      <w:r>
        <w:rPr>
          <w:rFonts w:ascii="Arial" w:hAnsi="Arial" w:cs="Arial"/>
          <w:sz w:val="20"/>
          <w:szCs w:val="20"/>
        </w:rPr>
        <w:t xml:space="preserve">Where a case study or template mentioned a department or agency twice, it was only counted as one engagement. </w:t>
      </w:r>
      <w:r w:rsidR="002D6C45">
        <w:rPr>
          <w:rFonts w:ascii="Arial" w:hAnsi="Arial" w:cs="Arial"/>
          <w:sz w:val="20"/>
          <w:szCs w:val="20"/>
        </w:rPr>
        <w:t>As noted earlier, e</w:t>
      </w:r>
      <w:r w:rsidR="00CA38B7">
        <w:rPr>
          <w:rFonts w:ascii="Arial" w:hAnsi="Arial" w:cs="Arial"/>
          <w:sz w:val="20"/>
          <w:szCs w:val="20"/>
        </w:rPr>
        <w:t xml:space="preserve">ngagement with local authorities was </w:t>
      </w:r>
      <w:r>
        <w:rPr>
          <w:rFonts w:ascii="Arial" w:hAnsi="Arial" w:cs="Arial"/>
          <w:sz w:val="20"/>
          <w:szCs w:val="20"/>
        </w:rPr>
        <w:t>not included as engagement with government</w:t>
      </w:r>
      <w:r w:rsidR="00CA38B7">
        <w:rPr>
          <w:rFonts w:ascii="Arial" w:hAnsi="Arial" w:cs="Arial"/>
          <w:sz w:val="20"/>
          <w:szCs w:val="20"/>
        </w:rPr>
        <w:t xml:space="preserve">.    </w:t>
      </w:r>
    </w:p>
    <w:p w14:paraId="58700268" w14:textId="77777777" w:rsidR="00843778" w:rsidRDefault="00843778" w:rsidP="00E51F2A">
      <w:pPr>
        <w:spacing w:line="480" w:lineRule="auto"/>
        <w:rPr>
          <w:rFonts w:ascii="Arial" w:hAnsi="Arial" w:cs="Arial"/>
          <w:sz w:val="20"/>
          <w:szCs w:val="20"/>
        </w:rPr>
      </w:pPr>
    </w:p>
    <w:p w14:paraId="034C76E6" w14:textId="47A2E8FB" w:rsidR="00485FB8" w:rsidRPr="00843778" w:rsidRDefault="008F0865" w:rsidP="00B00C25">
      <w:pPr>
        <w:spacing w:line="480" w:lineRule="auto"/>
        <w:rPr>
          <w:rFonts w:ascii="Arial" w:hAnsi="Arial" w:cs="Arial"/>
          <w:sz w:val="20"/>
          <w:szCs w:val="20"/>
        </w:rPr>
      </w:pPr>
      <w:r>
        <w:rPr>
          <w:rFonts w:ascii="Arial" w:hAnsi="Arial" w:cs="Arial"/>
          <w:sz w:val="20"/>
          <w:szCs w:val="20"/>
        </w:rPr>
        <w:t xml:space="preserve">What, then, do the case studies and templates </w:t>
      </w:r>
      <w:r w:rsidRPr="00E51E5C">
        <w:rPr>
          <w:rFonts w:ascii="Arial" w:hAnsi="Arial" w:cs="Arial"/>
          <w:sz w:val="20"/>
          <w:szCs w:val="20"/>
        </w:rPr>
        <w:t xml:space="preserve">reveal about legal academic engagement with </w:t>
      </w:r>
      <w:r w:rsidR="00C64FF6">
        <w:rPr>
          <w:rFonts w:ascii="Arial" w:hAnsi="Arial" w:cs="Arial"/>
          <w:sz w:val="20"/>
          <w:szCs w:val="20"/>
        </w:rPr>
        <w:t>government</w:t>
      </w:r>
      <w:r w:rsidRPr="00E51E5C">
        <w:rPr>
          <w:rFonts w:ascii="Arial" w:hAnsi="Arial" w:cs="Arial"/>
          <w:sz w:val="20"/>
          <w:szCs w:val="20"/>
        </w:rPr>
        <w:t>?</w:t>
      </w:r>
      <w:r w:rsidR="00843778">
        <w:rPr>
          <w:rFonts w:ascii="Arial" w:hAnsi="Arial" w:cs="Arial"/>
          <w:sz w:val="20"/>
          <w:szCs w:val="20"/>
        </w:rPr>
        <w:t xml:space="preserve"> </w:t>
      </w:r>
      <w:r w:rsidR="006D61D2" w:rsidRPr="00B00C25">
        <w:rPr>
          <w:rFonts w:ascii="Arial" w:hAnsi="Arial" w:cs="Arial"/>
          <w:sz w:val="20"/>
          <w:szCs w:val="20"/>
        </w:rPr>
        <w:t>Figure</w:t>
      </w:r>
      <w:r w:rsidR="00485FB8" w:rsidRPr="00B00C25">
        <w:rPr>
          <w:rFonts w:ascii="Arial" w:hAnsi="Arial" w:cs="Arial"/>
          <w:sz w:val="20"/>
          <w:szCs w:val="20"/>
        </w:rPr>
        <w:t xml:space="preserve"> 1 shows the </w:t>
      </w:r>
      <w:r w:rsidR="006D61D2" w:rsidRPr="00B00C25">
        <w:rPr>
          <w:rFonts w:ascii="Arial" w:hAnsi="Arial" w:cs="Arial"/>
          <w:sz w:val="20"/>
          <w:szCs w:val="20"/>
        </w:rPr>
        <w:t>engagement</w:t>
      </w:r>
      <w:r w:rsidR="00485FB8" w:rsidRPr="00B00C25">
        <w:rPr>
          <w:rFonts w:ascii="Arial" w:hAnsi="Arial" w:cs="Arial"/>
          <w:sz w:val="20"/>
          <w:szCs w:val="20"/>
        </w:rPr>
        <w:t xml:space="preserve"> </w:t>
      </w:r>
      <w:r w:rsidR="006D61D2" w:rsidRPr="00B00C25">
        <w:rPr>
          <w:rFonts w:ascii="Arial" w:hAnsi="Arial" w:cs="Arial"/>
          <w:sz w:val="20"/>
          <w:szCs w:val="20"/>
        </w:rPr>
        <w:t>reported in</w:t>
      </w:r>
      <w:r w:rsidR="00485FB8" w:rsidRPr="00774633">
        <w:rPr>
          <w:rFonts w:ascii="Arial" w:hAnsi="Arial" w:cs="Arial"/>
          <w:sz w:val="20"/>
          <w:szCs w:val="20"/>
        </w:rPr>
        <w:t xml:space="preserve"> the case studies and </w:t>
      </w:r>
      <w:r w:rsidR="003D4543" w:rsidRPr="00774633">
        <w:rPr>
          <w:rFonts w:ascii="Arial" w:hAnsi="Arial" w:cs="Arial"/>
          <w:sz w:val="20"/>
          <w:szCs w:val="20"/>
        </w:rPr>
        <w:t>templates</w:t>
      </w:r>
      <w:r w:rsidR="00485FB8" w:rsidRPr="00774633">
        <w:rPr>
          <w:rFonts w:ascii="Arial" w:hAnsi="Arial" w:cs="Arial"/>
          <w:sz w:val="20"/>
          <w:szCs w:val="20"/>
        </w:rPr>
        <w:t>.</w:t>
      </w:r>
      <w:r w:rsidR="007964DB" w:rsidRPr="00843778">
        <w:rPr>
          <w:rFonts w:ascii="Arial" w:hAnsi="Arial" w:cs="Arial"/>
          <w:sz w:val="20"/>
          <w:szCs w:val="20"/>
        </w:rPr>
        <w:t xml:space="preserve"> </w:t>
      </w:r>
      <w:r w:rsidR="00485FB8" w:rsidRPr="00843778">
        <w:rPr>
          <w:rFonts w:ascii="Arial" w:hAnsi="Arial" w:cs="Arial"/>
          <w:sz w:val="20"/>
          <w:szCs w:val="20"/>
        </w:rPr>
        <w:t xml:space="preserve">They </w:t>
      </w:r>
      <w:r w:rsidR="005F22C9" w:rsidRPr="00843778">
        <w:rPr>
          <w:rFonts w:ascii="Arial" w:hAnsi="Arial" w:cs="Arial"/>
          <w:sz w:val="20"/>
          <w:szCs w:val="20"/>
        </w:rPr>
        <w:t xml:space="preserve">are </w:t>
      </w:r>
      <w:r w:rsidR="00B239D0" w:rsidRPr="00843778">
        <w:rPr>
          <w:rFonts w:ascii="Arial" w:hAnsi="Arial" w:cs="Arial"/>
          <w:sz w:val="20"/>
          <w:szCs w:val="20"/>
        </w:rPr>
        <w:t xml:space="preserve">presented </w:t>
      </w:r>
      <w:r w:rsidR="00485FB8" w:rsidRPr="00843778">
        <w:rPr>
          <w:rFonts w:ascii="Arial" w:hAnsi="Arial" w:cs="Arial"/>
          <w:sz w:val="20"/>
          <w:szCs w:val="20"/>
        </w:rPr>
        <w:t>in three groups</w:t>
      </w:r>
      <w:r w:rsidR="00045818" w:rsidRPr="00843778">
        <w:rPr>
          <w:rFonts w:ascii="Arial" w:hAnsi="Arial" w:cs="Arial"/>
          <w:sz w:val="20"/>
          <w:szCs w:val="20"/>
        </w:rPr>
        <w:t>, each in descending order of case study results</w:t>
      </w:r>
      <w:r w:rsidR="00485FB8" w:rsidRPr="00843778">
        <w:rPr>
          <w:rFonts w:ascii="Arial" w:hAnsi="Arial" w:cs="Arial"/>
          <w:sz w:val="20"/>
          <w:szCs w:val="20"/>
        </w:rPr>
        <w:t>:</w:t>
      </w:r>
    </w:p>
    <w:p w14:paraId="56F2C8DA" w14:textId="77777777" w:rsidR="00485FB8" w:rsidRDefault="00485FB8" w:rsidP="00E51F2A">
      <w:pPr>
        <w:pStyle w:val="ListParagraph"/>
        <w:numPr>
          <w:ilvl w:val="0"/>
          <w:numId w:val="8"/>
        </w:numPr>
        <w:spacing w:line="480" w:lineRule="auto"/>
        <w:rPr>
          <w:rFonts w:ascii="Arial" w:hAnsi="Arial" w:cs="Arial"/>
          <w:sz w:val="20"/>
          <w:szCs w:val="20"/>
        </w:rPr>
      </w:pPr>
      <w:r>
        <w:rPr>
          <w:rFonts w:ascii="Arial" w:hAnsi="Arial" w:cs="Arial"/>
          <w:sz w:val="20"/>
          <w:szCs w:val="20"/>
        </w:rPr>
        <w:t>Central government departments</w:t>
      </w:r>
    </w:p>
    <w:p w14:paraId="1AABA345" w14:textId="2E3B4C00" w:rsidR="006F5384" w:rsidRDefault="00485FB8" w:rsidP="00E51F2A">
      <w:pPr>
        <w:pStyle w:val="ListParagraph"/>
        <w:numPr>
          <w:ilvl w:val="0"/>
          <w:numId w:val="8"/>
        </w:numPr>
        <w:spacing w:line="480" w:lineRule="auto"/>
        <w:rPr>
          <w:rFonts w:ascii="Arial" w:hAnsi="Arial" w:cs="Arial"/>
          <w:sz w:val="20"/>
          <w:szCs w:val="20"/>
        </w:rPr>
      </w:pPr>
      <w:r>
        <w:rPr>
          <w:rFonts w:ascii="Arial" w:hAnsi="Arial" w:cs="Arial"/>
          <w:sz w:val="20"/>
          <w:szCs w:val="20"/>
        </w:rPr>
        <w:t>Devolved governments (including agencies</w:t>
      </w:r>
      <w:r w:rsidR="005F22C9">
        <w:rPr>
          <w:rFonts w:ascii="Arial" w:hAnsi="Arial" w:cs="Arial"/>
          <w:sz w:val="20"/>
          <w:szCs w:val="20"/>
        </w:rPr>
        <w:t xml:space="preserve"> of these governments</w:t>
      </w:r>
      <w:r>
        <w:rPr>
          <w:rFonts w:ascii="Arial" w:hAnsi="Arial" w:cs="Arial"/>
          <w:sz w:val="20"/>
          <w:szCs w:val="20"/>
        </w:rPr>
        <w:t>, except Law Commission</w:t>
      </w:r>
      <w:r w:rsidR="005F22C9">
        <w:rPr>
          <w:rFonts w:ascii="Arial" w:hAnsi="Arial" w:cs="Arial"/>
          <w:sz w:val="20"/>
          <w:szCs w:val="20"/>
        </w:rPr>
        <w:t>s</w:t>
      </w:r>
      <w:r>
        <w:rPr>
          <w:rFonts w:ascii="Arial" w:hAnsi="Arial" w:cs="Arial"/>
          <w:sz w:val="20"/>
          <w:szCs w:val="20"/>
        </w:rPr>
        <w:t xml:space="preserve"> and Courts)</w:t>
      </w:r>
    </w:p>
    <w:p w14:paraId="359D4D5E" w14:textId="3A9F13D1" w:rsidR="00485FB8" w:rsidRPr="00485FB8" w:rsidRDefault="003D4543" w:rsidP="00E51F2A">
      <w:pPr>
        <w:pStyle w:val="ListParagraph"/>
        <w:numPr>
          <w:ilvl w:val="0"/>
          <w:numId w:val="8"/>
        </w:numPr>
        <w:spacing w:line="480" w:lineRule="auto"/>
        <w:rPr>
          <w:rFonts w:ascii="Arial" w:hAnsi="Arial" w:cs="Arial"/>
          <w:sz w:val="20"/>
          <w:szCs w:val="20"/>
        </w:rPr>
      </w:pPr>
      <w:r>
        <w:rPr>
          <w:rFonts w:ascii="Arial" w:hAnsi="Arial" w:cs="Arial"/>
          <w:sz w:val="20"/>
          <w:szCs w:val="20"/>
        </w:rPr>
        <w:t xml:space="preserve">Agencies and statutory bodies </w:t>
      </w:r>
      <w:r w:rsidR="00B32745">
        <w:rPr>
          <w:rFonts w:ascii="Arial" w:hAnsi="Arial" w:cs="Arial"/>
          <w:sz w:val="20"/>
          <w:szCs w:val="20"/>
        </w:rPr>
        <w:t>with more than two hits</w:t>
      </w:r>
      <w:r w:rsidR="005972A6">
        <w:rPr>
          <w:rFonts w:ascii="Arial" w:hAnsi="Arial" w:cs="Arial"/>
          <w:sz w:val="20"/>
          <w:szCs w:val="20"/>
        </w:rPr>
        <w:t>.</w:t>
      </w:r>
    </w:p>
    <w:p w14:paraId="172A740E" w14:textId="77777777" w:rsidR="00485FB8" w:rsidRDefault="00485FB8" w:rsidP="00E51F2A">
      <w:pPr>
        <w:spacing w:line="480" w:lineRule="auto"/>
        <w:rPr>
          <w:rFonts w:ascii="Arial" w:hAnsi="Arial" w:cs="Arial"/>
          <w:sz w:val="20"/>
          <w:szCs w:val="20"/>
        </w:rPr>
      </w:pPr>
    </w:p>
    <w:p w14:paraId="2E6F66D8" w14:textId="7045268B" w:rsidR="00107E1D" w:rsidRDefault="00107E1D" w:rsidP="00E51F2A">
      <w:pPr>
        <w:spacing w:line="480" w:lineRule="auto"/>
        <w:rPr>
          <w:rFonts w:ascii="Arial" w:hAnsi="Arial" w:cs="Arial"/>
          <w:sz w:val="20"/>
          <w:szCs w:val="20"/>
        </w:rPr>
      </w:pPr>
      <w:r>
        <w:rPr>
          <w:rFonts w:ascii="Arial" w:hAnsi="Arial" w:cs="Arial"/>
          <w:noProof/>
          <w:sz w:val="20"/>
          <w:szCs w:val="20"/>
          <w:lang w:eastAsia="en-GB"/>
        </w:rPr>
        <w:lastRenderedPageBreak/>
        <w:drawing>
          <wp:inline distT="0" distB="0" distL="0" distR="0" wp14:anchorId="27E494EA" wp14:editId="2F967003">
            <wp:extent cx="5486400" cy="4324350"/>
            <wp:effectExtent l="0" t="0" r="19050" b="19050"/>
            <wp:docPr id="7" name="Chart 7" title="Fig 1: Mentions of UK government depts in Law UoA impact case stud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76FD40" w14:textId="7ADE2B8E" w:rsidR="006809F3" w:rsidRDefault="006809F3" w:rsidP="006809F3">
      <w:pPr>
        <w:spacing w:line="240" w:lineRule="auto"/>
        <w:rPr>
          <w:rStyle w:val="Hyperlink"/>
          <w:rFonts w:ascii="Arial" w:hAnsi="Arial" w:cs="Arial"/>
          <w:sz w:val="18"/>
          <w:szCs w:val="18"/>
        </w:rPr>
      </w:pPr>
    </w:p>
    <w:p w14:paraId="3839E657" w14:textId="77777777" w:rsidR="006809F3" w:rsidRPr="006809F3" w:rsidRDefault="006809F3" w:rsidP="006809F3">
      <w:pPr>
        <w:spacing w:line="240" w:lineRule="auto"/>
        <w:rPr>
          <w:rFonts w:ascii="Arial" w:hAnsi="Arial" w:cs="Arial"/>
          <w:sz w:val="18"/>
          <w:szCs w:val="18"/>
        </w:rPr>
      </w:pPr>
    </w:p>
    <w:p w14:paraId="0FEDBA24" w14:textId="354E7719" w:rsidR="00B60E6A" w:rsidRDefault="00D00C15" w:rsidP="00E51F2A">
      <w:pPr>
        <w:spacing w:line="480" w:lineRule="auto"/>
        <w:rPr>
          <w:rFonts w:ascii="Arial" w:hAnsi="Arial" w:cs="Arial"/>
          <w:sz w:val="20"/>
          <w:szCs w:val="20"/>
        </w:rPr>
      </w:pPr>
      <w:r>
        <w:rPr>
          <w:rFonts w:ascii="Arial" w:hAnsi="Arial" w:cs="Arial"/>
          <w:sz w:val="20"/>
          <w:szCs w:val="20"/>
        </w:rPr>
        <w:t>I</w:t>
      </w:r>
      <w:r w:rsidR="003D7B75">
        <w:rPr>
          <w:rFonts w:ascii="Arial" w:hAnsi="Arial" w:cs="Arial"/>
          <w:sz w:val="20"/>
          <w:szCs w:val="20"/>
        </w:rPr>
        <w:t>n central government</w:t>
      </w:r>
      <w:r w:rsidR="00B60E6A">
        <w:rPr>
          <w:rFonts w:ascii="Arial" w:hAnsi="Arial" w:cs="Arial"/>
          <w:sz w:val="20"/>
          <w:szCs w:val="20"/>
        </w:rPr>
        <w:t xml:space="preserve"> the highest levels of engagement </w:t>
      </w:r>
      <w:r w:rsidR="00030DB7">
        <w:rPr>
          <w:rFonts w:ascii="Arial" w:hAnsi="Arial" w:cs="Arial"/>
          <w:sz w:val="20"/>
          <w:szCs w:val="20"/>
        </w:rPr>
        <w:t xml:space="preserve">were </w:t>
      </w:r>
      <w:r w:rsidR="00B60E6A">
        <w:rPr>
          <w:rFonts w:ascii="Arial" w:hAnsi="Arial" w:cs="Arial"/>
          <w:sz w:val="20"/>
          <w:szCs w:val="20"/>
        </w:rPr>
        <w:t>with the Ministry of Justice (48 case studies, wh</w:t>
      </w:r>
      <w:r w:rsidR="00030DB7">
        <w:rPr>
          <w:rFonts w:ascii="Arial" w:hAnsi="Arial" w:cs="Arial"/>
          <w:sz w:val="20"/>
          <w:szCs w:val="20"/>
        </w:rPr>
        <w:t>ich is 22% of the 216 total</w:t>
      </w:r>
      <w:r w:rsidR="00B60E6A">
        <w:rPr>
          <w:rFonts w:ascii="Arial" w:hAnsi="Arial" w:cs="Arial"/>
          <w:sz w:val="20"/>
          <w:szCs w:val="20"/>
        </w:rPr>
        <w:t>) and the Home Office (29 case studies, or 13.5%). For other departments the number</w:t>
      </w:r>
      <w:r>
        <w:rPr>
          <w:rFonts w:ascii="Arial" w:hAnsi="Arial" w:cs="Arial"/>
          <w:sz w:val="20"/>
          <w:szCs w:val="20"/>
        </w:rPr>
        <w:t>s were</w:t>
      </w:r>
      <w:r w:rsidR="00B60E6A">
        <w:rPr>
          <w:rFonts w:ascii="Arial" w:hAnsi="Arial" w:cs="Arial"/>
          <w:sz w:val="20"/>
          <w:szCs w:val="20"/>
        </w:rPr>
        <w:t xml:space="preserve"> much lower. </w:t>
      </w:r>
      <w:r w:rsidR="002B63C8">
        <w:rPr>
          <w:rFonts w:ascii="Arial" w:hAnsi="Arial" w:cs="Arial"/>
          <w:sz w:val="20"/>
          <w:szCs w:val="20"/>
        </w:rPr>
        <w:t>For the</w:t>
      </w:r>
      <w:r w:rsidR="00B60E6A">
        <w:rPr>
          <w:rFonts w:ascii="Arial" w:hAnsi="Arial" w:cs="Arial"/>
          <w:sz w:val="20"/>
          <w:szCs w:val="20"/>
        </w:rPr>
        <w:t xml:space="preserve"> </w:t>
      </w:r>
      <w:r w:rsidR="002B63C8">
        <w:rPr>
          <w:rFonts w:ascii="Arial" w:hAnsi="Arial" w:cs="Arial"/>
          <w:sz w:val="20"/>
          <w:szCs w:val="20"/>
        </w:rPr>
        <w:t>Foreign and Commonwealth Office (FCO) and the Department for International Development (DFID), template references are relatively high compared to case study references.</w:t>
      </w:r>
      <w:r w:rsidR="00B60E6A">
        <w:rPr>
          <w:rFonts w:ascii="Arial" w:hAnsi="Arial" w:cs="Arial"/>
          <w:sz w:val="20"/>
          <w:szCs w:val="20"/>
        </w:rPr>
        <w:t xml:space="preserve"> It could be that there is in fact more engagement across the breadth of a </w:t>
      </w:r>
      <w:r w:rsidR="001A3FF3">
        <w:rPr>
          <w:rFonts w:ascii="Arial" w:hAnsi="Arial" w:cs="Arial"/>
          <w:sz w:val="20"/>
          <w:szCs w:val="20"/>
        </w:rPr>
        <w:t>law school’s activity</w:t>
      </w:r>
      <w:r w:rsidR="00B60E6A">
        <w:rPr>
          <w:rFonts w:ascii="Arial" w:hAnsi="Arial" w:cs="Arial"/>
          <w:sz w:val="20"/>
          <w:szCs w:val="20"/>
        </w:rPr>
        <w:t xml:space="preserve">, but </w:t>
      </w:r>
      <w:r w:rsidR="00B239D0">
        <w:rPr>
          <w:rFonts w:ascii="Arial" w:hAnsi="Arial" w:cs="Arial"/>
          <w:sz w:val="20"/>
          <w:szCs w:val="20"/>
        </w:rPr>
        <w:t>it might be</w:t>
      </w:r>
      <w:r>
        <w:rPr>
          <w:rFonts w:ascii="Arial" w:hAnsi="Arial" w:cs="Arial"/>
          <w:sz w:val="20"/>
          <w:szCs w:val="20"/>
        </w:rPr>
        <w:t xml:space="preserve"> </w:t>
      </w:r>
      <w:r w:rsidR="00B60E6A">
        <w:rPr>
          <w:rFonts w:ascii="Arial" w:hAnsi="Arial" w:cs="Arial"/>
          <w:sz w:val="20"/>
          <w:szCs w:val="20"/>
        </w:rPr>
        <w:t xml:space="preserve">that </w:t>
      </w:r>
      <w:r w:rsidR="002B63C8">
        <w:rPr>
          <w:rFonts w:ascii="Arial" w:hAnsi="Arial" w:cs="Arial"/>
          <w:sz w:val="20"/>
          <w:szCs w:val="20"/>
        </w:rPr>
        <w:t xml:space="preserve">any FCO or DFID engagement was more likely to be reported as </w:t>
      </w:r>
      <w:r w:rsidR="00B60E6A">
        <w:rPr>
          <w:rFonts w:ascii="Arial" w:hAnsi="Arial" w:cs="Arial"/>
          <w:sz w:val="20"/>
          <w:szCs w:val="20"/>
        </w:rPr>
        <w:t>it gives a clear international dimension to a template</w:t>
      </w:r>
      <w:r w:rsidR="006B5D03">
        <w:rPr>
          <w:rFonts w:ascii="Arial" w:hAnsi="Arial" w:cs="Arial"/>
          <w:sz w:val="20"/>
          <w:szCs w:val="20"/>
        </w:rPr>
        <w:t>.</w:t>
      </w:r>
    </w:p>
    <w:p w14:paraId="42385667" w14:textId="77777777" w:rsidR="00B60E6A" w:rsidRDefault="00B60E6A" w:rsidP="00E51F2A">
      <w:pPr>
        <w:spacing w:line="480" w:lineRule="auto"/>
        <w:jc w:val="center"/>
        <w:rPr>
          <w:rFonts w:ascii="Arial" w:hAnsi="Arial" w:cs="Arial"/>
          <w:sz w:val="20"/>
          <w:szCs w:val="20"/>
        </w:rPr>
      </w:pPr>
    </w:p>
    <w:p w14:paraId="4DE911BA" w14:textId="0F3BBE5C" w:rsidR="00961593" w:rsidRDefault="00B60E6A" w:rsidP="00E51F2A">
      <w:pPr>
        <w:spacing w:line="480" w:lineRule="auto"/>
        <w:rPr>
          <w:rFonts w:ascii="Arial" w:hAnsi="Arial" w:cs="Arial"/>
          <w:sz w:val="20"/>
          <w:szCs w:val="20"/>
        </w:rPr>
      </w:pPr>
      <w:r>
        <w:rPr>
          <w:rFonts w:ascii="Arial" w:hAnsi="Arial" w:cs="Arial"/>
          <w:sz w:val="20"/>
          <w:szCs w:val="20"/>
        </w:rPr>
        <w:t xml:space="preserve">Secondly, in the devolved governments Scotland is represented more substantially than Wales or Northern Ireland. This may be explicable on the basis that the Scottish government activities have a wider reach than </w:t>
      </w:r>
      <w:r w:rsidR="000426FE">
        <w:rPr>
          <w:rFonts w:ascii="Arial" w:hAnsi="Arial" w:cs="Arial"/>
          <w:sz w:val="20"/>
          <w:szCs w:val="20"/>
        </w:rPr>
        <w:t>Wales or Northern Ireland</w:t>
      </w:r>
      <w:r>
        <w:rPr>
          <w:rFonts w:ascii="Arial" w:hAnsi="Arial" w:cs="Arial"/>
          <w:sz w:val="20"/>
          <w:szCs w:val="20"/>
        </w:rPr>
        <w:t xml:space="preserve"> and Scotland a </w:t>
      </w:r>
      <w:r w:rsidR="00D00C15">
        <w:rPr>
          <w:rFonts w:ascii="Arial" w:hAnsi="Arial" w:cs="Arial"/>
          <w:sz w:val="20"/>
          <w:szCs w:val="20"/>
        </w:rPr>
        <w:t xml:space="preserve">larger </w:t>
      </w:r>
      <w:r>
        <w:rPr>
          <w:rFonts w:ascii="Arial" w:hAnsi="Arial" w:cs="Arial"/>
          <w:sz w:val="20"/>
          <w:szCs w:val="20"/>
        </w:rPr>
        <w:t xml:space="preserve">population and </w:t>
      </w:r>
      <w:r w:rsidR="000426FE">
        <w:rPr>
          <w:rFonts w:ascii="Arial" w:hAnsi="Arial" w:cs="Arial"/>
          <w:sz w:val="20"/>
          <w:szCs w:val="20"/>
        </w:rPr>
        <w:t>more</w:t>
      </w:r>
      <w:r w:rsidR="005E438C">
        <w:rPr>
          <w:rFonts w:ascii="Arial" w:hAnsi="Arial" w:cs="Arial"/>
          <w:sz w:val="20"/>
          <w:szCs w:val="20"/>
        </w:rPr>
        <w:t xml:space="preserve"> universities. </w:t>
      </w:r>
      <w:r w:rsidR="00600220">
        <w:rPr>
          <w:rFonts w:ascii="Arial" w:hAnsi="Arial" w:cs="Arial"/>
          <w:sz w:val="20"/>
          <w:szCs w:val="20"/>
        </w:rPr>
        <w:t>T</w:t>
      </w:r>
      <w:r w:rsidR="00580EE0">
        <w:rPr>
          <w:rFonts w:ascii="Arial" w:hAnsi="Arial" w:cs="Arial"/>
          <w:sz w:val="20"/>
          <w:szCs w:val="20"/>
        </w:rPr>
        <w:t xml:space="preserve">he templates </w:t>
      </w:r>
      <w:r w:rsidR="005E438C">
        <w:rPr>
          <w:rFonts w:ascii="Arial" w:hAnsi="Arial" w:cs="Arial"/>
          <w:sz w:val="20"/>
          <w:szCs w:val="20"/>
        </w:rPr>
        <w:t>show</w:t>
      </w:r>
      <w:r w:rsidR="00600220">
        <w:rPr>
          <w:rFonts w:ascii="Arial" w:hAnsi="Arial" w:cs="Arial"/>
          <w:sz w:val="20"/>
          <w:szCs w:val="20"/>
        </w:rPr>
        <w:t xml:space="preserve"> much less engagement with</w:t>
      </w:r>
      <w:r w:rsidR="00580EE0">
        <w:rPr>
          <w:rFonts w:ascii="Arial" w:hAnsi="Arial" w:cs="Arial"/>
          <w:sz w:val="20"/>
          <w:szCs w:val="20"/>
        </w:rPr>
        <w:t xml:space="preserve"> the Scottish government in comparison to the case </w:t>
      </w:r>
      <w:r w:rsidR="00580EE0">
        <w:rPr>
          <w:rFonts w:ascii="Arial" w:hAnsi="Arial" w:cs="Arial"/>
          <w:sz w:val="20"/>
          <w:szCs w:val="20"/>
        </w:rPr>
        <w:lastRenderedPageBreak/>
        <w:t xml:space="preserve">studies. It could be that while the FCO engagement was reported with a view to giving an international dimension, there was a conscious aim by departments </w:t>
      </w:r>
      <w:r w:rsidR="005E438C">
        <w:rPr>
          <w:rFonts w:ascii="Arial" w:hAnsi="Arial" w:cs="Arial"/>
          <w:sz w:val="20"/>
          <w:szCs w:val="20"/>
        </w:rPr>
        <w:t>not to appear parochial.</w:t>
      </w:r>
      <w:r w:rsidR="005E438C">
        <w:rPr>
          <w:rStyle w:val="FootnoteReference"/>
          <w:rFonts w:ascii="Arial" w:hAnsi="Arial" w:cs="Arial"/>
          <w:sz w:val="20"/>
          <w:szCs w:val="20"/>
        </w:rPr>
        <w:footnoteReference w:id="36"/>
      </w:r>
    </w:p>
    <w:p w14:paraId="0C6C9D71" w14:textId="77777777" w:rsidR="00580EE0" w:rsidRDefault="00580EE0" w:rsidP="00E51F2A">
      <w:pPr>
        <w:spacing w:line="480" w:lineRule="auto"/>
        <w:rPr>
          <w:rFonts w:ascii="Arial" w:hAnsi="Arial" w:cs="Arial"/>
          <w:sz w:val="20"/>
          <w:szCs w:val="20"/>
        </w:rPr>
      </w:pPr>
    </w:p>
    <w:p w14:paraId="544B9981" w14:textId="3461CEDE" w:rsidR="00C3654C" w:rsidRDefault="00D00C15" w:rsidP="00E51F2A">
      <w:pPr>
        <w:spacing w:line="480" w:lineRule="auto"/>
        <w:rPr>
          <w:rFonts w:ascii="Arial" w:hAnsi="Arial" w:cs="Arial"/>
          <w:sz w:val="20"/>
          <w:szCs w:val="20"/>
        </w:rPr>
      </w:pPr>
      <w:r>
        <w:rPr>
          <w:rFonts w:ascii="Arial" w:hAnsi="Arial" w:cs="Arial"/>
          <w:sz w:val="20"/>
          <w:szCs w:val="20"/>
        </w:rPr>
        <w:t>Finally</w:t>
      </w:r>
      <w:r w:rsidR="00580EE0">
        <w:rPr>
          <w:rFonts w:ascii="Arial" w:hAnsi="Arial" w:cs="Arial"/>
          <w:sz w:val="20"/>
          <w:szCs w:val="20"/>
        </w:rPr>
        <w:t xml:space="preserve">, </w:t>
      </w:r>
      <w:r w:rsidR="00757E51">
        <w:rPr>
          <w:rFonts w:ascii="Arial" w:hAnsi="Arial" w:cs="Arial"/>
          <w:sz w:val="20"/>
          <w:szCs w:val="20"/>
        </w:rPr>
        <w:t xml:space="preserve">with regard to agencies, statutory bodies and the like, </w:t>
      </w:r>
      <w:r w:rsidR="005E438C">
        <w:rPr>
          <w:rFonts w:ascii="Arial" w:hAnsi="Arial" w:cs="Arial"/>
          <w:sz w:val="20"/>
          <w:szCs w:val="20"/>
        </w:rPr>
        <w:t xml:space="preserve">engagement was highest with </w:t>
      </w:r>
      <w:r w:rsidR="00757E51">
        <w:rPr>
          <w:rFonts w:ascii="Arial" w:hAnsi="Arial" w:cs="Arial"/>
          <w:sz w:val="20"/>
          <w:szCs w:val="20"/>
        </w:rPr>
        <w:t>police and the Law Commission of England and Wales</w:t>
      </w:r>
      <w:r w:rsidR="005E438C">
        <w:rPr>
          <w:rFonts w:ascii="Arial" w:hAnsi="Arial" w:cs="Arial"/>
          <w:sz w:val="20"/>
          <w:szCs w:val="20"/>
        </w:rPr>
        <w:t>. P</w:t>
      </w:r>
      <w:r w:rsidR="00757E51">
        <w:rPr>
          <w:rFonts w:ascii="Arial" w:hAnsi="Arial" w:cs="Arial"/>
          <w:sz w:val="20"/>
          <w:szCs w:val="20"/>
        </w:rPr>
        <w:t xml:space="preserve">olicing </w:t>
      </w:r>
      <w:r w:rsidR="008D0AE8">
        <w:rPr>
          <w:rFonts w:ascii="Arial" w:hAnsi="Arial" w:cs="Arial"/>
          <w:sz w:val="20"/>
          <w:szCs w:val="20"/>
        </w:rPr>
        <w:t>engagement</w:t>
      </w:r>
      <w:r w:rsidR="00757E51">
        <w:rPr>
          <w:rFonts w:ascii="Arial" w:hAnsi="Arial" w:cs="Arial"/>
          <w:sz w:val="20"/>
          <w:szCs w:val="20"/>
        </w:rPr>
        <w:t xml:space="preserve"> </w:t>
      </w:r>
      <w:r w:rsidR="005E438C">
        <w:rPr>
          <w:rFonts w:ascii="Arial" w:hAnsi="Arial" w:cs="Arial"/>
          <w:sz w:val="20"/>
          <w:szCs w:val="20"/>
        </w:rPr>
        <w:t xml:space="preserve">is </w:t>
      </w:r>
      <w:r w:rsidR="006A1872">
        <w:rPr>
          <w:rFonts w:ascii="Arial" w:hAnsi="Arial" w:cs="Arial"/>
          <w:sz w:val="20"/>
          <w:szCs w:val="20"/>
        </w:rPr>
        <w:t>disproportionately</w:t>
      </w:r>
      <w:r w:rsidR="008025FA">
        <w:rPr>
          <w:rFonts w:ascii="Arial" w:hAnsi="Arial" w:cs="Arial"/>
          <w:sz w:val="20"/>
          <w:szCs w:val="20"/>
        </w:rPr>
        <w:t xml:space="preserve"> represented</w:t>
      </w:r>
      <w:r w:rsidR="00C3654C">
        <w:rPr>
          <w:rFonts w:ascii="Arial" w:hAnsi="Arial" w:cs="Arial"/>
          <w:sz w:val="20"/>
          <w:szCs w:val="20"/>
        </w:rPr>
        <w:t>; just over 17% of case studies included engagement with police, but it is unlikely that 17% of all legal research is in criminal justice or of relevance to police (thus perhaps the much lower presence in the templates).</w:t>
      </w:r>
    </w:p>
    <w:p w14:paraId="670A5360" w14:textId="77777777" w:rsidR="00C3654C" w:rsidRDefault="00C3654C" w:rsidP="00E51F2A">
      <w:pPr>
        <w:spacing w:line="480" w:lineRule="auto"/>
        <w:rPr>
          <w:rFonts w:ascii="Arial" w:hAnsi="Arial" w:cs="Arial"/>
          <w:sz w:val="20"/>
          <w:szCs w:val="20"/>
        </w:rPr>
      </w:pPr>
    </w:p>
    <w:p w14:paraId="3C459B3D" w14:textId="1BB6586C" w:rsidR="007964DB" w:rsidRDefault="001E7A34" w:rsidP="00E51F2A">
      <w:pPr>
        <w:spacing w:line="480" w:lineRule="auto"/>
        <w:rPr>
          <w:rFonts w:ascii="Arial" w:hAnsi="Arial" w:cs="Arial"/>
          <w:sz w:val="20"/>
          <w:szCs w:val="20"/>
        </w:rPr>
      </w:pPr>
      <w:r>
        <w:rPr>
          <w:rFonts w:ascii="Arial" w:hAnsi="Arial" w:cs="Arial"/>
          <w:sz w:val="20"/>
          <w:szCs w:val="20"/>
        </w:rPr>
        <w:t xml:space="preserve">How do </w:t>
      </w:r>
      <w:r w:rsidR="00D00C15">
        <w:rPr>
          <w:rFonts w:ascii="Arial" w:hAnsi="Arial" w:cs="Arial"/>
          <w:sz w:val="20"/>
          <w:szCs w:val="20"/>
        </w:rPr>
        <w:t xml:space="preserve">these levels of engagement with government </w:t>
      </w:r>
      <w:r>
        <w:rPr>
          <w:rFonts w:ascii="Arial" w:hAnsi="Arial" w:cs="Arial"/>
          <w:sz w:val="20"/>
          <w:szCs w:val="20"/>
        </w:rPr>
        <w:t>compare with other disciplines?</w:t>
      </w:r>
      <w:r w:rsidR="00831C41">
        <w:rPr>
          <w:rFonts w:ascii="Arial" w:hAnsi="Arial" w:cs="Arial"/>
          <w:sz w:val="20"/>
          <w:szCs w:val="20"/>
        </w:rPr>
        <w:t xml:space="preserve"> This type of comparison is not within the scope of this article, which focuses its attention on </w:t>
      </w:r>
      <w:r w:rsidR="00831C41" w:rsidRPr="00627125">
        <w:rPr>
          <w:rFonts w:ascii="Arial" w:hAnsi="Arial" w:cs="Arial"/>
          <w:i/>
          <w:sz w:val="20"/>
          <w:szCs w:val="20"/>
        </w:rPr>
        <w:t>how</w:t>
      </w:r>
      <w:r w:rsidR="00831C41">
        <w:rPr>
          <w:rFonts w:ascii="Arial" w:hAnsi="Arial" w:cs="Arial"/>
          <w:sz w:val="20"/>
          <w:szCs w:val="20"/>
        </w:rPr>
        <w:t xml:space="preserve"> engagement with government is occurring. In addition, there does not seem to be any reliable way to get a clear sense of what might constitute a reasonable</w:t>
      </w:r>
      <w:r w:rsidR="003F08A4">
        <w:rPr>
          <w:rFonts w:ascii="Arial" w:hAnsi="Arial" w:cs="Arial"/>
          <w:sz w:val="20"/>
          <w:szCs w:val="20"/>
        </w:rPr>
        <w:t xml:space="preserve"> or good</w:t>
      </w:r>
      <w:r w:rsidR="00831C41">
        <w:rPr>
          <w:rFonts w:ascii="Arial" w:hAnsi="Arial" w:cs="Arial"/>
          <w:sz w:val="20"/>
          <w:szCs w:val="20"/>
        </w:rPr>
        <w:t xml:space="preserve"> amount of engagement. However, earlier analysis comparing the level of engagement of various disciplines with a single government entity –</w:t>
      </w:r>
      <w:r w:rsidR="00876281">
        <w:rPr>
          <w:rFonts w:ascii="Arial" w:hAnsi="Arial" w:cs="Arial"/>
          <w:sz w:val="20"/>
          <w:szCs w:val="20"/>
        </w:rPr>
        <w:t xml:space="preserve"> D</w:t>
      </w:r>
      <w:r w:rsidR="00831C41">
        <w:rPr>
          <w:rFonts w:ascii="Arial" w:hAnsi="Arial" w:cs="Arial"/>
          <w:sz w:val="20"/>
          <w:szCs w:val="20"/>
        </w:rPr>
        <w:t>FID – suggests that under-engagement with DFID by law academics may be significant.</w:t>
      </w:r>
      <w:r w:rsidR="00831C41">
        <w:rPr>
          <w:rStyle w:val="FootnoteReference"/>
          <w:rFonts w:ascii="Arial" w:hAnsi="Arial" w:cs="Arial"/>
          <w:sz w:val="20"/>
          <w:szCs w:val="20"/>
        </w:rPr>
        <w:footnoteReference w:id="37"/>
      </w:r>
      <w:r w:rsidR="00321901">
        <w:rPr>
          <w:rFonts w:ascii="Arial" w:hAnsi="Arial" w:cs="Arial"/>
          <w:sz w:val="20"/>
          <w:szCs w:val="20"/>
        </w:rPr>
        <w:t xml:space="preserve"> This finding, while indicative only, emphasises the importance of understanding how law academic</w:t>
      </w:r>
      <w:r w:rsidR="005972A6">
        <w:rPr>
          <w:rFonts w:ascii="Arial" w:hAnsi="Arial" w:cs="Arial"/>
          <w:sz w:val="20"/>
          <w:szCs w:val="20"/>
        </w:rPr>
        <w:t>s</w:t>
      </w:r>
      <w:r w:rsidR="00321901">
        <w:rPr>
          <w:rFonts w:ascii="Arial" w:hAnsi="Arial" w:cs="Arial"/>
          <w:sz w:val="20"/>
          <w:szCs w:val="20"/>
        </w:rPr>
        <w:t xml:space="preserve"> engage with UK governments. </w:t>
      </w:r>
    </w:p>
    <w:p w14:paraId="1C813841" w14:textId="7C1E4FD1" w:rsidR="008D76D9" w:rsidDel="002F0262" w:rsidRDefault="008F0865" w:rsidP="00E51F2A">
      <w:pPr>
        <w:spacing w:line="480" w:lineRule="auto"/>
        <w:rPr>
          <w:rFonts w:ascii="Arial" w:hAnsi="Arial" w:cs="Arial"/>
          <w:sz w:val="20"/>
          <w:szCs w:val="20"/>
        </w:rPr>
      </w:pPr>
      <w:r w:rsidRPr="008F0865">
        <w:rPr>
          <w:rFonts w:ascii="Arial" w:hAnsi="Arial" w:cs="Arial"/>
          <w:sz w:val="20"/>
          <w:szCs w:val="20"/>
        </w:rPr>
        <w:t xml:space="preserve">   </w:t>
      </w:r>
      <w:r>
        <w:rPr>
          <w:rFonts w:ascii="Arial" w:hAnsi="Arial" w:cs="Arial"/>
          <w:sz w:val="20"/>
          <w:szCs w:val="20"/>
        </w:rPr>
        <w:t xml:space="preserve">   </w:t>
      </w:r>
    </w:p>
    <w:p w14:paraId="6B28CE8C" w14:textId="722F0D83" w:rsidR="005B20DC" w:rsidRPr="005B20DC" w:rsidRDefault="000C2CF4" w:rsidP="00E51F2A">
      <w:pPr>
        <w:spacing w:line="480" w:lineRule="auto"/>
        <w:rPr>
          <w:rFonts w:ascii="Arial" w:hAnsi="Arial" w:cs="Arial"/>
          <w:sz w:val="20"/>
          <w:szCs w:val="20"/>
        </w:rPr>
      </w:pPr>
      <w:r>
        <w:rPr>
          <w:rFonts w:ascii="Arial" w:hAnsi="Arial" w:cs="Arial"/>
          <w:sz w:val="20"/>
          <w:szCs w:val="20"/>
        </w:rPr>
        <w:t>In all, the REF 2014 data shows fairly clear patterns about the parts of government with which legal academics engaged</w:t>
      </w:r>
      <w:r w:rsidR="00D64369">
        <w:rPr>
          <w:rFonts w:ascii="Arial" w:hAnsi="Arial" w:cs="Arial"/>
          <w:sz w:val="20"/>
          <w:szCs w:val="20"/>
        </w:rPr>
        <w:t xml:space="preserve"> and </w:t>
      </w:r>
      <w:r>
        <w:rPr>
          <w:rFonts w:ascii="Arial" w:hAnsi="Arial" w:cs="Arial"/>
          <w:sz w:val="20"/>
          <w:szCs w:val="20"/>
        </w:rPr>
        <w:t xml:space="preserve">raises the possibility that there is room for </w:t>
      </w:r>
      <w:r w:rsidR="00837A9E">
        <w:rPr>
          <w:rFonts w:ascii="Arial" w:hAnsi="Arial" w:cs="Arial"/>
          <w:sz w:val="20"/>
          <w:szCs w:val="20"/>
        </w:rPr>
        <w:t>much</w:t>
      </w:r>
      <w:r w:rsidR="00D64369">
        <w:rPr>
          <w:rFonts w:ascii="Arial" w:hAnsi="Arial" w:cs="Arial"/>
          <w:sz w:val="20"/>
          <w:szCs w:val="20"/>
        </w:rPr>
        <w:t xml:space="preserve"> more engagement. However, the data does not tell us how engagement occurred, how productive it was, what facilitated or hampered engagement, or about interactions with government. </w:t>
      </w:r>
      <w:r w:rsidR="001F4E83">
        <w:rPr>
          <w:rFonts w:ascii="Arial" w:hAnsi="Arial" w:cs="Arial"/>
          <w:sz w:val="20"/>
          <w:szCs w:val="20"/>
        </w:rPr>
        <w:t>T</w:t>
      </w:r>
      <w:r w:rsidR="00454547">
        <w:rPr>
          <w:rFonts w:ascii="Arial" w:hAnsi="Arial" w:cs="Arial"/>
          <w:sz w:val="20"/>
          <w:szCs w:val="20"/>
        </w:rPr>
        <w:t xml:space="preserve">he next section </w:t>
      </w:r>
      <w:r w:rsidR="001F4E83">
        <w:rPr>
          <w:rFonts w:ascii="Arial" w:hAnsi="Arial" w:cs="Arial"/>
          <w:sz w:val="20"/>
          <w:szCs w:val="20"/>
        </w:rPr>
        <w:t>examines the</w:t>
      </w:r>
      <w:r w:rsidR="00BA0D2C">
        <w:rPr>
          <w:rFonts w:ascii="Arial" w:hAnsi="Arial" w:cs="Arial"/>
          <w:sz w:val="20"/>
          <w:szCs w:val="20"/>
        </w:rPr>
        <w:t xml:space="preserve">se issues through </w:t>
      </w:r>
      <w:r w:rsidR="00BF7D0E">
        <w:rPr>
          <w:rFonts w:ascii="Arial" w:hAnsi="Arial" w:cs="Arial"/>
          <w:sz w:val="20"/>
          <w:szCs w:val="20"/>
        </w:rPr>
        <w:t>the</w:t>
      </w:r>
      <w:r w:rsidR="001F4E83">
        <w:rPr>
          <w:rFonts w:ascii="Arial" w:hAnsi="Arial" w:cs="Arial"/>
          <w:sz w:val="20"/>
          <w:szCs w:val="20"/>
        </w:rPr>
        <w:t xml:space="preserve"> </w:t>
      </w:r>
      <w:r w:rsidR="00454547">
        <w:rPr>
          <w:rFonts w:ascii="Arial" w:hAnsi="Arial" w:cs="Arial"/>
          <w:sz w:val="20"/>
          <w:szCs w:val="20"/>
        </w:rPr>
        <w:t>survey of researcher experience.</w:t>
      </w:r>
    </w:p>
    <w:p w14:paraId="63E683FC" w14:textId="77777777" w:rsidR="008F0865" w:rsidRDefault="008F0865" w:rsidP="00E51F2A">
      <w:pPr>
        <w:spacing w:line="480" w:lineRule="auto"/>
        <w:rPr>
          <w:rFonts w:ascii="Arial" w:hAnsi="Arial" w:cs="Arial"/>
          <w:sz w:val="20"/>
          <w:szCs w:val="20"/>
        </w:rPr>
      </w:pPr>
    </w:p>
    <w:p w14:paraId="38585647" w14:textId="77777777" w:rsidR="003359B4" w:rsidRDefault="003359B4" w:rsidP="00E51F2A">
      <w:pPr>
        <w:spacing w:line="480" w:lineRule="auto"/>
        <w:rPr>
          <w:rFonts w:ascii="Arial" w:hAnsi="Arial" w:cs="Arial"/>
          <w:sz w:val="20"/>
          <w:szCs w:val="20"/>
        </w:rPr>
      </w:pPr>
    </w:p>
    <w:p w14:paraId="2A03308D" w14:textId="77777777" w:rsidR="00350D4B" w:rsidRDefault="00350D4B" w:rsidP="00E51F2A">
      <w:pPr>
        <w:spacing w:line="480" w:lineRule="auto"/>
        <w:rPr>
          <w:rFonts w:ascii="Arial" w:hAnsi="Arial" w:cs="Arial"/>
          <w:sz w:val="20"/>
          <w:szCs w:val="20"/>
        </w:rPr>
      </w:pPr>
    </w:p>
    <w:p w14:paraId="55FBB26D" w14:textId="2C38187C" w:rsidR="00350D4B" w:rsidRPr="001120B9" w:rsidRDefault="00E544BB" w:rsidP="001120B9">
      <w:pPr>
        <w:spacing w:line="480" w:lineRule="auto"/>
        <w:jc w:val="center"/>
        <w:rPr>
          <w:rFonts w:ascii="Arial" w:hAnsi="Arial" w:cs="Arial"/>
          <w:b/>
          <w:sz w:val="24"/>
          <w:szCs w:val="24"/>
        </w:rPr>
      </w:pPr>
      <w:r w:rsidRPr="001120B9">
        <w:rPr>
          <w:rFonts w:ascii="Arial" w:hAnsi="Arial" w:cs="Arial"/>
          <w:b/>
          <w:sz w:val="24"/>
          <w:szCs w:val="24"/>
        </w:rPr>
        <w:lastRenderedPageBreak/>
        <w:t>THE RESEARCHER EXPERIENCE</w:t>
      </w:r>
    </w:p>
    <w:p w14:paraId="3C9FB551" w14:textId="77777777" w:rsidR="00350D4B" w:rsidRDefault="00350D4B" w:rsidP="00E51F2A">
      <w:pPr>
        <w:spacing w:line="480" w:lineRule="auto"/>
        <w:rPr>
          <w:rFonts w:ascii="Arial" w:hAnsi="Arial" w:cs="Arial"/>
          <w:sz w:val="20"/>
          <w:szCs w:val="20"/>
        </w:rPr>
      </w:pPr>
    </w:p>
    <w:p w14:paraId="6CCFEF70" w14:textId="10526702" w:rsidR="00864C4A" w:rsidRPr="004A0A09" w:rsidRDefault="008A149F" w:rsidP="00E51F2A">
      <w:pPr>
        <w:pStyle w:val="ListParagraph"/>
        <w:numPr>
          <w:ilvl w:val="0"/>
          <w:numId w:val="14"/>
        </w:numPr>
        <w:spacing w:line="480" w:lineRule="auto"/>
        <w:rPr>
          <w:rFonts w:ascii="Arial" w:hAnsi="Arial" w:cs="Arial"/>
          <w:b/>
          <w:sz w:val="20"/>
          <w:szCs w:val="20"/>
        </w:rPr>
      </w:pPr>
      <w:r w:rsidRPr="004A0A09">
        <w:rPr>
          <w:rFonts w:ascii="Arial" w:hAnsi="Arial" w:cs="Arial"/>
          <w:b/>
          <w:sz w:val="20"/>
          <w:szCs w:val="20"/>
        </w:rPr>
        <w:t>S</w:t>
      </w:r>
      <w:r w:rsidR="00864C4A" w:rsidRPr="004A0A09">
        <w:rPr>
          <w:rFonts w:ascii="Arial" w:hAnsi="Arial" w:cs="Arial"/>
          <w:b/>
          <w:sz w:val="20"/>
          <w:szCs w:val="20"/>
        </w:rPr>
        <w:t>urvey</w:t>
      </w:r>
      <w:r w:rsidRPr="004A0A09">
        <w:rPr>
          <w:rFonts w:ascii="Arial" w:hAnsi="Arial" w:cs="Arial"/>
          <w:b/>
          <w:sz w:val="20"/>
          <w:szCs w:val="20"/>
        </w:rPr>
        <w:t xml:space="preserve"> </w:t>
      </w:r>
      <w:r w:rsidR="00A1634C" w:rsidRPr="004A0A09">
        <w:rPr>
          <w:rFonts w:ascii="Arial" w:hAnsi="Arial" w:cs="Arial"/>
          <w:b/>
          <w:sz w:val="20"/>
          <w:szCs w:val="20"/>
        </w:rPr>
        <w:t>respondent profile</w:t>
      </w:r>
    </w:p>
    <w:p w14:paraId="789B7901" w14:textId="2389269F" w:rsidR="00461B5F" w:rsidRDefault="00461B5F" w:rsidP="00461B5F">
      <w:pPr>
        <w:spacing w:line="480" w:lineRule="auto"/>
        <w:rPr>
          <w:rFonts w:ascii="Arial" w:hAnsi="Arial" w:cs="Arial"/>
          <w:sz w:val="20"/>
          <w:szCs w:val="20"/>
        </w:rPr>
      </w:pPr>
      <w:r w:rsidRPr="00EA2CCB">
        <w:rPr>
          <w:rFonts w:ascii="Arial" w:hAnsi="Arial" w:cs="Arial"/>
          <w:sz w:val="20"/>
          <w:szCs w:val="20"/>
        </w:rPr>
        <w:t>In looking at the r</w:t>
      </w:r>
      <w:r w:rsidR="00732750" w:rsidRPr="00EA2CCB">
        <w:rPr>
          <w:rFonts w:ascii="Arial" w:hAnsi="Arial" w:cs="Arial"/>
          <w:sz w:val="20"/>
          <w:szCs w:val="20"/>
        </w:rPr>
        <w:t>espondent profile</w:t>
      </w:r>
      <w:r w:rsidRPr="00EA2CCB">
        <w:rPr>
          <w:rFonts w:ascii="Arial" w:hAnsi="Arial" w:cs="Arial"/>
          <w:sz w:val="20"/>
          <w:szCs w:val="20"/>
        </w:rPr>
        <w:t>, three main demographic factors were considered: gender, experience, and whether the researcher’s institution was part of the Russell Group (RG) or not (non-</w:t>
      </w:r>
      <w:r>
        <w:rPr>
          <w:rFonts w:ascii="Arial" w:hAnsi="Arial" w:cs="Arial"/>
          <w:sz w:val="20"/>
          <w:szCs w:val="20"/>
        </w:rPr>
        <w:t>RG). The RG and non-RG distinction</w:t>
      </w:r>
      <w:r w:rsidR="001838A7">
        <w:rPr>
          <w:rFonts w:ascii="Arial" w:hAnsi="Arial" w:cs="Arial"/>
          <w:sz w:val="20"/>
          <w:szCs w:val="20"/>
        </w:rPr>
        <w:t>, though obviously very broad-brush categories,</w:t>
      </w:r>
      <w:r>
        <w:rPr>
          <w:rFonts w:ascii="Arial" w:hAnsi="Arial" w:cs="Arial"/>
          <w:sz w:val="20"/>
          <w:szCs w:val="20"/>
        </w:rPr>
        <w:t xml:space="preserve"> was investigated</w:t>
      </w:r>
      <w:r w:rsidR="001838A7">
        <w:rPr>
          <w:rFonts w:ascii="Arial" w:hAnsi="Arial" w:cs="Arial"/>
          <w:sz w:val="20"/>
          <w:szCs w:val="20"/>
        </w:rPr>
        <w:t xml:space="preserve"> </w:t>
      </w:r>
      <w:r>
        <w:rPr>
          <w:rFonts w:ascii="Arial" w:hAnsi="Arial" w:cs="Arial"/>
          <w:sz w:val="20"/>
          <w:szCs w:val="20"/>
        </w:rPr>
        <w:t>because the RG has such comparatively strong research power. For example, the 24 institutions that comprise the RG represent 15% of the UK’s higher education institutions but attract 68% of QR funding, with a further 75% of UK Research Council funding and 82% of UK charitable funding also going to RG institutions.</w:t>
      </w:r>
      <w:r>
        <w:rPr>
          <w:rStyle w:val="FootnoteReference"/>
          <w:rFonts w:ascii="Arial" w:hAnsi="Arial" w:cs="Arial"/>
          <w:sz w:val="20"/>
          <w:szCs w:val="20"/>
        </w:rPr>
        <w:footnoteReference w:id="38"/>
      </w:r>
      <w:r w:rsidR="003D08B2">
        <w:rPr>
          <w:rFonts w:ascii="Arial" w:hAnsi="Arial" w:cs="Arial"/>
          <w:sz w:val="20"/>
          <w:szCs w:val="20"/>
        </w:rPr>
        <w:t xml:space="preserve"> </w:t>
      </w:r>
      <w:r w:rsidR="00BF7D0E">
        <w:rPr>
          <w:rFonts w:ascii="Arial" w:hAnsi="Arial" w:cs="Arial"/>
          <w:sz w:val="20"/>
          <w:szCs w:val="20"/>
        </w:rPr>
        <w:t>Given these differences</w:t>
      </w:r>
      <w:r w:rsidR="003D08B2">
        <w:rPr>
          <w:rFonts w:ascii="Arial" w:hAnsi="Arial" w:cs="Arial"/>
          <w:sz w:val="20"/>
          <w:szCs w:val="20"/>
        </w:rPr>
        <w:t>, would the researcher experience in this particular respect – legal academics engaging with UK governments – vary between RG and non-RG academics?</w:t>
      </w:r>
      <w:r>
        <w:rPr>
          <w:rFonts w:ascii="Arial" w:hAnsi="Arial" w:cs="Arial"/>
          <w:sz w:val="20"/>
          <w:szCs w:val="20"/>
        </w:rPr>
        <w:t xml:space="preserve">    </w:t>
      </w:r>
    </w:p>
    <w:p w14:paraId="1F0EF057" w14:textId="77777777" w:rsidR="00E56CFD" w:rsidRDefault="00E56CFD" w:rsidP="00E51F2A">
      <w:pPr>
        <w:spacing w:line="480" w:lineRule="auto"/>
        <w:rPr>
          <w:rFonts w:ascii="Arial" w:hAnsi="Arial" w:cs="Arial"/>
          <w:sz w:val="20"/>
          <w:szCs w:val="20"/>
        </w:rPr>
      </w:pPr>
    </w:p>
    <w:p w14:paraId="52E44131" w14:textId="6A168D29" w:rsidR="00442F4F" w:rsidRDefault="00461B5F" w:rsidP="00E51F2A">
      <w:pPr>
        <w:spacing w:line="480" w:lineRule="auto"/>
        <w:rPr>
          <w:rFonts w:ascii="Arial" w:hAnsi="Arial" w:cs="Arial"/>
          <w:sz w:val="20"/>
          <w:szCs w:val="20"/>
        </w:rPr>
      </w:pPr>
      <w:r w:rsidRPr="00AD3448">
        <w:rPr>
          <w:rFonts w:ascii="Arial" w:hAnsi="Arial" w:cs="Arial"/>
          <w:sz w:val="20"/>
          <w:szCs w:val="20"/>
        </w:rPr>
        <w:t xml:space="preserve">Of the 121 responses, </w:t>
      </w:r>
      <w:r w:rsidR="008B0B2C" w:rsidRPr="00AD3448">
        <w:rPr>
          <w:rFonts w:ascii="Arial" w:hAnsi="Arial" w:cs="Arial"/>
          <w:sz w:val="20"/>
          <w:szCs w:val="20"/>
        </w:rPr>
        <w:t>around</w:t>
      </w:r>
      <w:r w:rsidRPr="00AD3448">
        <w:rPr>
          <w:rFonts w:ascii="Arial" w:hAnsi="Arial" w:cs="Arial"/>
          <w:sz w:val="20"/>
          <w:szCs w:val="20"/>
        </w:rPr>
        <w:t xml:space="preserve"> half were from RG institutions. </w:t>
      </w:r>
      <w:r w:rsidR="00364C86" w:rsidRPr="00AD3448">
        <w:rPr>
          <w:rFonts w:ascii="Arial" w:hAnsi="Arial" w:cs="Arial"/>
          <w:sz w:val="20"/>
          <w:szCs w:val="20"/>
        </w:rPr>
        <w:t>W</w:t>
      </w:r>
      <w:r w:rsidR="00732750" w:rsidRPr="00AD3448">
        <w:rPr>
          <w:rFonts w:ascii="Arial" w:hAnsi="Arial" w:cs="Arial"/>
          <w:sz w:val="20"/>
          <w:szCs w:val="20"/>
        </w:rPr>
        <w:t>ithin those groups, the experience and</w:t>
      </w:r>
      <w:r w:rsidR="00732750">
        <w:rPr>
          <w:rFonts w:ascii="Arial" w:hAnsi="Arial" w:cs="Arial"/>
          <w:sz w:val="20"/>
          <w:szCs w:val="20"/>
        </w:rPr>
        <w:t xml:space="preserve"> gender profile was the same: </w:t>
      </w:r>
      <w:r w:rsidR="0016588A">
        <w:rPr>
          <w:rFonts w:ascii="Arial" w:hAnsi="Arial" w:cs="Arial"/>
          <w:sz w:val="20"/>
          <w:szCs w:val="20"/>
        </w:rPr>
        <w:t xml:space="preserve">around 60% had been academics for more than 20 years and another 30% for more than 10 years, and around </w:t>
      </w:r>
      <w:r w:rsidR="00442F4F">
        <w:rPr>
          <w:rFonts w:ascii="Arial" w:hAnsi="Arial" w:cs="Arial"/>
          <w:sz w:val="20"/>
          <w:szCs w:val="20"/>
        </w:rPr>
        <w:t>60%</w:t>
      </w:r>
      <w:r w:rsidR="0016588A">
        <w:rPr>
          <w:rFonts w:ascii="Arial" w:hAnsi="Arial" w:cs="Arial"/>
          <w:sz w:val="20"/>
          <w:szCs w:val="20"/>
        </w:rPr>
        <w:t xml:space="preserve"> were male </w:t>
      </w:r>
      <w:r w:rsidR="00442F4F">
        <w:rPr>
          <w:rFonts w:ascii="Arial" w:hAnsi="Arial" w:cs="Arial"/>
          <w:sz w:val="20"/>
          <w:szCs w:val="20"/>
        </w:rPr>
        <w:t xml:space="preserve">(though more evenly split in the </w:t>
      </w:r>
      <w:r w:rsidR="006666C7">
        <w:rPr>
          <w:rFonts w:ascii="Arial" w:hAnsi="Arial" w:cs="Arial"/>
          <w:sz w:val="20"/>
          <w:szCs w:val="20"/>
        </w:rPr>
        <w:t>RG</w:t>
      </w:r>
      <w:r w:rsidR="00442F4F">
        <w:rPr>
          <w:rFonts w:ascii="Arial" w:hAnsi="Arial" w:cs="Arial"/>
          <w:sz w:val="20"/>
          <w:szCs w:val="20"/>
        </w:rPr>
        <w:t xml:space="preserve"> at 56% male and 44% female, than in non-</w:t>
      </w:r>
      <w:r w:rsidR="006666C7">
        <w:rPr>
          <w:rFonts w:ascii="Arial" w:hAnsi="Arial" w:cs="Arial"/>
          <w:sz w:val="20"/>
          <w:szCs w:val="20"/>
        </w:rPr>
        <w:t>RG</w:t>
      </w:r>
      <w:r w:rsidR="00442F4F">
        <w:rPr>
          <w:rFonts w:ascii="Arial" w:hAnsi="Arial" w:cs="Arial"/>
          <w:sz w:val="20"/>
          <w:szCs w:val="20"/>
        </w:rPr>
        <w:t xml:space="preserve"> at 65</w:t>
      </w:r>
      <w:r w:rsidR="003B0939">
        <w:rPr>
          <w:rFonts w:ascii="Arial" w:hAnsi="Arial" w:cs="Arial"/>
          <w:sz w:val="20"/>
          <w:szCs w:val="20"/>
        </w:rPr>
        <w:t>–</w:t>
      </w:r>
      <w:r w:rsidR="00442F4F">
        <w:rPr>
          <w:rFonts w:ascii="Arial" w:hAnsi="Arial" w:cs="Arial"/>
          <w:sz w:val="20"/>
          <w:szCs w:val="20"/>
        </w:rPr>
        <w:t>35)</w:t>
      </w:r>
      <w:r w:rsidR="00646635">
        <w:rPr>
          <w:rFonts w:ascii="Arial" w:hAnsi="Arial" w:cs="Arial"/>
          <w:sz w:val="20"/>
          <w:szCs w:val="20"/>
        </w:rPr>
        <w:t xml:space="preserve">. </w:t>
      </w:r>
      <w:r w:rsidR="00643457">
        <w:rPr>
          <w:rFonts w:ascii="Arial" w:hAnsi="Arial" w:cs="Arial"/>
          <w:sz w:val="20"/>
          <w:szCs w:val="20"/>
        </w:rPr>
        <w:t xml:space="preserve">In analysing the data, little difference could be observed in the experience of women and men, or based on the length of service. Some differences did emerge between RG and non-RG respondents and, where those appear, they are noted in the discussion. </w:t>
      </w:r>
    </w:p>
    <w:p w14:paraId="09AA531B" w14:textId="77777777" w:rsidR="00442F4F" w:rsidRDefault="00442F4F" w:rsidP="00E51F2A">
      <w:pPr>
        <w:spacing w:line="480" w:lineRule="auto"/>
        <w:rPr>
          <w:rFonts w:ascii="Arial" w:hAnsi="Arial" w:cs="Arial"/>
          <w:sz w:val="20"/>
          <w:szCs w:val="20"/>
        </w:rPr>
      </w:pPr>
    </w:p>
    <w:p w14:paraId="55296D3C" w14:textId="77777777" w:rsidR="00643457" w:rsidRPr="004A0A09" w:rsidRDefault="00643457" w:rsidP="00643457">
      <w:pPr>
        <w:pStyle w:val="ListParagraph"/>
        <w:numPr>
          <w:ilvl w:val="0"/>
          <w:numId w:val="14"/>
        </w:numPr>
        <w:spacing w:line="480" w:lineRule="auto"/>
        <w:rPr>
          <w:rFonts w:ascii="Arial" w:hAnsi="Arial" w:cs="Arial"/>
          <w:b/>
          <w:sz w:val="20"/>
          <w:szCs w:val="20"/>
        </w:rPr>
      </w:pPr>
      <w:r w:rsidRPr="004A0A09">
        <w:rPr>
          <w:rFonts w:ascii="Arial" w:hAnsi="Arial" w:cs="Arial"/>
          <w:b/>
          <w:sz w:val="20"/>
          <w:szCs w:val="20"/>
        </w:rPr>
        <w:t>Relevance of research to government</w:t>
      </w:r>
    </w:p>
    <w:p w14:paraId="7651CF26" w14:textId="782D4270" w:rsidR="00EC1993" w:rsidRDefault="00652FC2" w:rsidP="00E51F2A">
      <w:pPr>
        <w:spacing w:line="480" w:lineRule="auto"/>
        <w:rPr>
          <w:rFonts w:ascii="Arial" w:hAnsi="Arial" w:cs="Arial"/>
          <w:sz w:val="20"/>
          <w:szCs w:val="20"/>
        </w:rPr>
      </w:pPr>
      <w:r>
        <w:rPr>
          <w:rFonts w:ascii="Arial" w:hAnsi="Arial" w:cs="Arial"/>
          <w:sz w:val="20"/>
          <w:szCs w:val="20"/>
        </w:rPr>
        <w:t>T</w:t>
      </w:r>
      <w:r w:rsidR="00442F4F">
        <w:rPr>
          <w:rFonts w:ascii="Arial" w:hAnsi="Arial" w:cs="Arial"/>
          <w:sz w:val="20"/>
          <w:szCs w:val="20"/>
        </w:rPr>
        <w:t>here was an overwhelming view from respondents that their research should have been of relevance and interest to government</w:t>
      </w:r>
      <w:r w:rsidR="003D71DE">
        <w:rPr>
          <w:rFonts w:ascii="Arial" w:hAnsi="Arial" w:cs="Arial"/>
          <w:sz w:val="20"/>
          <w:szCs w:val="20"/>
        </w:rPr>
        <w:t xml:space="preserve"> (F</w:t>
      </w:r>
      <w:r>
        <w:rPr>
          <w:rFonts w:ascii="Arial" w:hAnsi="Arial" w:cs="Arial"/>
          <w:sz w:val="20"/>
          <w:szCs w:val="20"/>
        </w:rPr>
        <w:t xml:space="preserve">igure </w:t>
      </w:r>
      <w:r w:rsidR="00502495">
        <w:rPr>
          <w:rFonts w:ascii="Arial" w:hAnsi="Arial" w:cs="Arial"/>
          <w:sz w:val="20"/>
          <w:szCs w:val="20"/>
        </w:rPr>
        <w:t>2</w:t>
      </w:r>
      <w:r>
        <w:rPr>
          <w:rFonts w:ascii="Arial" w:hAnsi="Arial" w:cs="Arial"/>
          <w:sz w:val="20"/>
          <w:szCs w:val="20"/>
        </w:rPr>
        <w:t>)</w:t>
      </w:r>
      <w:r w:rsidR="00442F4F">
        <w:rPr>
          <w:rFonts w:ascii="Arial" w:hAnsi="Arial" w:cs="Arial"/>
          <w:sz w:val="20"/>
          <w:szCs w:val="20"/>
        </w:rPr>
        <w:t>.</w:t>
      </w:r>
      <w:r>
        <w:rPr>
          <w:rFonts w:ascii="Arial" w:hAnsi="Arial" w:cs="Arial"/>
          <w:sz w:val="20"/>
          <w:szCs w:val="20"/>
        </w:rPr>
        <w:t xml:space="preserve"> </w:t>
      </w:r>
      <w:r w:rsidR="002F3626">
        <w:rPr>
          <w:rFonts w:ascii="Arial" w:hAnsi="Arial" w:cs="Arial"/>
          <w:sz w:val="20"/>
          <w:szCs w:val="20"/>
        </w:rPr>
        <w:t>I</w:t>
      </w:r>
      <w:r>
        <w:rPr>
          <w:rFonts w:ascii="Arial" w:hAnsi="Arial" w:cs="Arial"/>
          <w:sz w:val="20"/>
          <w:szCs w:val="20"/>
        </w:rPr>
        <w:t xml:space="preserve">n </w:t>
      </w:r>
      <w:r w:rsidR="002F3626">
        <w:rPr>
          <w:rFonts w:ascii="Arial" w:hAnsi="Arial" w:cs="Arial"/>
          <w:sz w:val="20"/>
          <w:szCs w:val="20"/>
        </w:rPr>
        <w:t>the Russell Group this view was held more strongly</w:t>
      </w:r>
      <w:r w:rsidR="00BF7D0E">
        <w:rPr>
          <w:rFonts w:ascii="Arial" w:hAnsi="Arial" w:cs="Arial"/>
          <w:sz w:val="20"/>
          <w:szCs w:val="20"/>
        </w:rPr>
        <w:t xml:space="preserve"> (</w:t>
      </w:r>
      <w:r w:rsidR="002F3626">
        <w:rPr>
          <w:rFonts w:ascii="Arial" w:hAnsi="Arial" w:cs="Arial"/>
          <w:sz w:val="20"/>
          <w:szCs w:val="20"/>
        </w:rPr>
        <w:t>66</w:t>
      </w:r>
      <w:r w:rsidR="00CE3E22">
        <w:rPr>
          <w:rFonts w:ascii="Arial" w:hAnsi="Arial" w:cs="Arial"/>
          <w:sz w:val="20"/>
          <w:szCs w:val="20"/>
        </w:rPr>
        <w:t xml:space="preserve">% of </w:t>
      </w:r>
      <w:r w:rsidR="002F3626" w:rsidRPr="00AD3448">
        <w:rPr>
          <w:rFonts w:ascii="Arial" w:hAnsi="Arial" w:cs="Arial"/>
          <w:sz w:val="20"/>
          <w:szCs w:val="20"/>
        </w:rPr>
        <w:t xml:space="preserve">RG </w:t>
      </w:r>
      <w:r w:rsidR="00CE3E22" w:rsidRPr="00AD3448">
        <w:rPr>
          <w:rFonts w:ascii="Arial" w:hAnsi="Arial" w:cs="Arial"/>
          <w:sz w:val="20"/>
          <w:szCs w:val="20"/>
        </w:rPr>
        <w:t xml:space="preserve">respondents </w:t>
      </w:r>
      <w:r w:rsidR="00BF7D0E" w:rsidRPr="00AD3448">
        <w:rPr>
          <w:rFonts w:ascii="Arial" w:hAnsi="Arial" w:cs="Arial"/>
          <w:sz w:val="20"/>
          <w:szCs w:val="20"/>
        </w:rPr>
        <w:t xml:space="preserve">compared with </w:t>
      </w:r>
      <w:r w:rsidR="002F3626" w:rsidRPr="00AD3448">
        <w:rPr>
          <w:rFonts w:ascii="Arial" w:hAnsi="Arial" w:cs="Arial"/>
          <w:sz w:val="20"/>
          <w:szCs w:val="20"/>
        </w:rPr>
        <w:t>50% of non-RG respondents</w:t>
      </w:r>
      <w:r w:rsidR="00CE3E22" w:rsidRPr="00AD3448">
        <w:rPr>
          <w:rFonts w:ascii="Arial" w:hAnsi="Arial" w:cs="Arial"/>
          <w:sz w:val="20"/>
          <w:szCs w:val="20"/>
        </w:rPr>
        <w:t>).</w:t>
      </w:r>
      <w:r w:rsidR="002F3626" w:rsidRPr="00AD3448">
        <w:rPr>
          <w:rFonts w:ascii="Arial" w:hAnsi="Arial" w:cs="Arial"/>
          <w:sz w:val="20"/>
          <w:szCs w:val="20"/>
        </w:rPr>
        <w:t xml:space="preserve"> Across all respondents, 89.9%</w:t>
      </w:r>
      <w:r w:rsidR="002F3626">
        <w:rPr>
          <w:rFonts w:ascii="Arial" w:hAnsi="Arial" w:cs="Arial"/>
          <w:sz w:val="20"/>
          <w:szCs w:val="20"/>
        </w:rPr>
        <w:t xml:space="preserve"> believed their research should have been of either high or some relevance and interest to government. </w:t>
      </w:r>
    </w:p>
    <w:p w14:paraId="0F36E252" w14:textId="77777777" w:rsidR="00442F4F" w:rsidRDefault="00442F4F" w:rsidP="00E51F2A">
      <w:pPr>
        <w:spacing w:line="480" w:lineRule="auto"/>
        <w:rPr>
          <w:rFonts w:ascii="Arial" w:hAnsi="Arial" w:cs="Arial"/>
          <w:sz w:val="20"/>
          <w:szCs w:val="20"/>
        </w:rPr>
      </w:pPr>
    </w:p>
    <w:p w14:paraId="404AFF1D" w14:textId="20BC5548" w:rsidR="00442F4F" w:rsidRDefault="005C5780" w:rsidP="00E51F2A">
      <w:pPr>
        <w:spacing w:line="480" w:lineRule="auto"/>
        <w:rPr>
          <w:rFonts w:ascii="Arial" w:hAnsi="Arial" w:cs="Arial"/>
          <w:sz w:val="20"/>
          <w:szCs w:val="20"/>
        </w:rPr>
      </w:pPr>
      <w:r>
        <w:rPr>
          <w:rFonts w:ascii="Arial" w:hAnsi="Arial" w:cs="Arial"/>
          <w:noProof/>
          <w:sz w:val="20"/>
          <w:szCs w:val="20"/>
          <w:lang w:eastAsia="en-GB"/>
        </w:rPr>
        <w:lastRenderedPageBreak/>
        <w:drawing>
          <wp:inline distT="0" distB="0" distL="0" distR="0" wp14:anchorId="742080CC" wp14:editId="7B301C89">
            <wp:extent cx="5486400" cy="5231218"/>
            <wp:effectExtent l="0" t="0" r="19050" b="266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EAFED5" w14:textId="3D6AEA39" w:rsidR="00442F4F" w:rsidRDefault="00774633" w:rsidP="00627125">
      <w:pPr>
        <w:spacing w:line="240" w:lineRule="auto"/>
        <w:rPr>
          <w:rFonts w:ascii="Arial" w:hAnsi="Arial" w:cs="Arial"/>
          <w:sz w:val="18"/>
          <w:szCs w:val="18"/>
        </w:rPr>
      </w:pPr>
      <w:r w:rsidRPr="008055B4">
        <w:rPr>
          <w:rFonts w:ascii="Arial" w:hAnsi="Arial" w:cs="Arial"/>
          <w:i/>
          <w:sz w:val="18"/>
          <w:szCs w:val="18"/>
        </w:rPr>
        <w:t xml:space="preserve">Note: </w:t>
      </w:r>
      <w:r w:rsidR="007C1E1A" w:rsidRPr="008055B4">
        <w:rPr>
          <w:rFonts w:ascii="Arial" w:hAnsi="Arial" w:cs="Arial"/>
          <w:i/>
          <w:sz w:val="18"/>
          <w:szCs w:val="18"/>
        </w:rPr>
        <w:t>Government was defined in this survey question as ‘central government, regional government or major government agency’. Respondents were offered five answer choices. No respondents chose ‘probably of no relevance or interest’</w:t>
      </w:r>
      <w:r w:rsidR="007C1E1A" w:rsidRPr="00627125">
        <w:rPr>
          <w:rFonts w:ascii="Arial" w:hAnsi="Arial" w:cs="Arial"/>
          <w:sz w:val="18"/>
          <w:szCs w:val="18"/>
        </w:rPr>
        <w:t xml:space="preserve">. </w:t>
      </w:r>
      <w:r w:rsidR="00626CE5" w:rsidRPr="00627125">
        <w:rPr>
          <w:rFonts w:ascii="Arial" w:hAnsi="Arial" w:cs="Arial"/>
          <w:sz w:val="18"/>
          <w:szCs w:val="18"/>
        </w:rPr>
        <w:t xml:space="preserve"> </w:t>
      </w:r>
    </w:p>
    <w:p w14:paraId="69A0BE33" w14:textId="77777777" w:rsidR="007C1E1A" w:rsidRPr="00627125" w:rsidRDefault="007C1E1A" w:rsidP="00E51F2A">
      <w:pPr>
        <w:spacing w:line="480" w:lineRule="auto"/>
        <w:rPr>
          <w:rFonts w:ascii="Arial" w:hAnsi="Arial" w:cs="Arial"/>
          <w:sz w:val="18"/>
          <w:szCs w:val="18"/>
        </w:rPr>
      </w:pPr>
    </w:p>
    <w:p w14:paraId="330F8AF9" w14:textId="71D02C5C" w:rsidR="0016588A" w:rsidRDefault="002F3626" w:rsidP="00E51F2A">
      <w:pPr>
        <w:spacing w:line="480" w:lineRule="auto"/>
        <w:rPr>
          <w:rFonts w:ascii="Arial" w:hAnsi="Arial" w:cs="Arial"/>
          <w:sz w:val="20"/>
          <w:szCs w:val="20"/>
        </w:rPr>
      </w:pPr>
      <w:r>
        <w:rPr>
          <w:rFonts w:ascii="Arial" w:hAnsi="Arial" w:cs="Arial"/>
          <w:sz w:val="20"/>
          <w:szCs w:val="20"/>
        </w:rPr>
        <w:t>This should be read cautiously as r</w:t>
      </w:r>
      <w:r w:rsidR="00EC52AD">
        <w:rPr>
          <w:rFonts w:ascii="Arial" w:hAnsi="Arial" w:cs="Arial"/>
          <w:sz w:val="20"/>
          <w:szCs w:val="20"/>
        </w:rPr>
        <w:t xml:space="preserve">espondents have of course self-selected. It would be unsurprising if </w:t>
      </w:r>
      <w:r w:rsidR="00646635">
        <w:rPr>
          <w:rFonts w:ascii="Arial" w:hAnsi="Arial" w:cs="Arial"/>
          <w:sz w:val="20"/>
          <w:szCs w:val="20"/>
        </w:rPr>
        <w:t>researchers who saw their research as having less relevan</w:t>
      </w:r>
      <w:r w:rsidR="00EC52AD">
        <w:rPr>
          <w:rFonts w:ascii="Arial" w:hAnsi="Arial" w:cs="Arial"/>
          <w:sz w:val="20"/>
          <w:szCs w:val="20"/>
        </w:rPr>
        <w:t>ce to government chose</w:t>
      </w:r>
      <w:r w:rsidR="00646635">
        <w:rPr>
          <w:rFonts w:ascii="Arial" w:hAnsi="Arial" w:cs="Arial"/>
          <w:sz w:val="20"/>
          <w:szCs w:val="20"/>
        </w:rPr>
        <w:t xml:space="preserve"> not to respond to the</w:t>
      </w:r>
      <w:r w:rsidR="0094798D">
        <w:rPr>
          <w:rFonts w:ascii="Arial" w:hAnsi="Arial" w:cs="Arial"/>
          <w:sz w:val="20"/>
          <w:szCs w:val="20"/>
        </w:rPr>
        <w:t xml:space="preserve"> survey, and it could </w:t>
      </w:r>
      <w:r w:rsidR="00BF7D0E">
        <w:rPr>
          <w:rFonts w:ascii="Arial" w:hAnsi="Arial" w:cs="Arial"/>
          <w:sz w:val="20"/>
          <w:szCs w:val="20"/>
        </w:rPr>
        <w:t xml:space="preserve">also </w:t>
      </w:r>
      <w:r w:rsidR="0094798D">
        <w:rPr>
          <w:rFonts w:ascii="Arial" w:hAnsi="Arial" w:cs="Arial"/>
          <w:sz w:val="20"/>
          <w:szCs w:val="20"/>
        </w:rPr>
        <w:t>be that academic</w:t>
      </w:r>
      <w:r w:rsidR="00AF29BF">
        <w:rPr>
          <w:rFonts w:ascii="Arial" w:hAnsi="Arial" w:cs="Arial"/>
          <w:sz w:val="20"/>
          <w:szCs w:val="20"/>
        </w:rPr>
        <w:t>s</w:t>
      </w:r>
      <w:r w:rsidR="0094798D">
        <w:rPr>
          <w:rFonts w:ascii="Arial" w:hAnsi="Arial" w:cs="Arial"/>
          <w:sz w:val="20"/>
          <w:szCs w:val="20"/>
        </w:rPr>
        <w:t xml:space="preserve"> </w:t>
      </w:r>
      <w:r w:rsidR="00AF29BF">
        <w:rPr>
          <w:rFonts w:ascii="Arial" w:hAnsi="Arial" w:cs="Arial"/>
          <w:sz w:val="20"/>
          <w:szCs w:val="20"/>
        </w:rPr>
        <w:t>are not good judges of what</w:t>
      </w:r>
      <w:r w:rsidR="0094798D">
        <w:rPr>
          <w:rFonts w:ascii="Arial" w:hAnsi="Arial" w:cs="Arial"/>
          <w:sz w:val="20"/>
          <w:szCs w:val="20"/>
        </w:rPr>
        <w:t xml:space="preserve"> interest</w:t>
      </w:r>
      <w:r w:rsidR="00AF29BF">
        <w:rPr>
          <w:rFonts w:ascii="Arial" w:hAnsi="Arial" w:cs="Arial"/>
          <w:sz w:val="20"/>
          <w:szCs w:val="20"/>
        </w:rPr>
        <w:t xml:space="preserve">s </w:t>
      </w:r>
      <w:r w:rsidR="0094798D">
        <w:rPr>
          <w:rFonts w:ascii="Arial" w:hAnsi="Arial" w:cs="Arial"/>
          <w:sz w:val="20"/>
          <w:szCs w:val="20"/>
        </w:rPr>
        <w:t>government</w:t>
      </w:r>
      <w:r w:rsidR="00EC52AD">
        <w:rPr>
          <w:rFonts w:ascii="Arial" w:hAnsi="Arial" w:cs="Arial"/>
          <w:sz w:val="20"/>
          <w:szCs w:val="20"/>
        </w:rPr>
        <w:t xml:space="preserve">. However, </w:t>
      </w:r>
      <w:r w:rsidR="0094798D">
        <w:rPr>
          <w:rFonts w:ascii="Arial" w:hAnsi="Arial" w:cs="Arial"/>
          <w:sz w:val="20"/>
          <w:szCs w:val="20"/>
        </w:rPr>
        <w:t xml:space="preserve">the </w:t>
      </w:r>
      <w:r w:rsidR="00EC52AD">
        <w:rPr>
          <w:rFonts w:ascii="Arial" w:hAnsi="Arial" w:cs="Arial"/>
          <w:sz w:val="20"/>
          <w:szCs w:val="20"/>
        </w:rPr>
        <w:t xml:space="preserve">figures still suggest </w:t>
      </w:r>
      <w:r w:rsidR="0094798D">
        <w:rPr>
          <w:rFonts w:ascii="Arial" w:hAnsi="Arial" w:cs="Arial"/>
          <w:sz w:val="20"/>
          <w:szCs w:val="20"/>
        </w:rPr>
        <w:t>that the respondents – who are all highly impact aware, given they are in the case studies</w:t>
      </w:r>
      <w:r w:rsidR="00EC52AD">
        <w:rPr>
          <w:rFonts w:ascii="Arial" w:hAnsi="Arial" w:cs="Arial"/>
          <w:sz w:val="20"/>
          <w:szCs w:val="20"/>
        </w:rPr>
        <w:t>, and constitute over 40% of case study authors</w:t>
      </w:r>
      <w:r w:rsidR="0094798D">
        <w:rPr>
          <w:rFonts w:ascii="Arial" w:hAnsi="Arial" w:cs="Arial"/>
          <w:sz w:val="20"/>
          <w:szCs w:val="20"/>
        </w:rPr>
        <w:t xml:space="preserve"> – will have given considerable thought to engaging with government. </w:t>
      </w:r>
    </w:p>
    <w:p w14:paraId="0B098869" w14:textId="77777777" w:rsidR="00732750" w:rsidRDefault="00732750" w:rsidP="00E51F2A">
      <w:pPr>
        <w:spacing w:line="480" w:lineRule="auto"/>
        <w:rPr>
          <w:rFonts w:ascii="Arial" w:hAnsi="Arial" w:cs="Arial"/>
          <w:sz w:val="20"/>
          <w:szCs w:val="20"/>
        </w:rPr>
      </w:pPr>
    </w:p>
    <w:p w14:paraId="29AED361" w14:textId="1F56CDFB" w:rsidR="00D8702D" w:rsidRPr="004A0A09" w:rsidRDefault="00FC118B" w:rsidP="00E51F2A">
      <w:pPr>
        <w:pStyle w:val="ListParagraph"/>
        <w:numPr>
          <w:ilvl w:val="0"/>
          <w:numId w:val="14"/>
        </w:numPr>
        <w:spacing w:line="480" w:lineRule="auto"/>
        <w:rPr>
          <w:rFonts w:ascii="Arial" w:hAnsi="Arial" w:cs="Arial"/>
          <w:b/>
          <w:sz w:val="20"/>
          <w:szCs w:val="20"/>
        </w:rPr>
      </w:pPr>
      <w:r w:rsidRPr="004A0A09">
        <w:rPr>
          <w:rFonts w:ascii="Arial" w:hAnsi="Arial" w:cs="Arial"/>
          <w:b/>
          <w:sz w:val="20"/>
          <w:szCs w:val="20"/>
        </w:rPr>
        <w:t>Where e</w:t>
      </w:r>
      <w:r w:rsidR="00D8702D" w:rsidRPr="004A0A09">
        <w:rPr>
          <w:rFonts w:ascii="Arial" w:hAnsi="Arial" w:cs="Arial"/>
          <w:b/>
          <w:sz w:val="20"/>
          <w:szCs w:val="20"/>
        </w:rPr>
        <w:t xml:space="preserve">ngagement </w:t>
      </w:r>
      <w:r w:rsidRPr="004A0A09">
        <w:rPr>
          <w:rFonts w:ascii="Arial" w:hAnsi="Arial" w:cs="Arial"/>
          <w:b/>
          <w:sz w:val="20"/>
          <w:szCs w:val="20"/>
        </w:rPr>
        <w:t>occurred</w:t>
      </w:r>
      <w:r w:rsidR="00D8702D" w:rsidRPr="004A0A09">
        <w:rPr>
          <w:rFonts w:ascii="Arial" w:hAnsi="Arial" w:cs="Arial"/>
          <w:b/>
          <w:sz w:val="20"/>
          <w:szCs w:val="20"/>
        </w:rPr>
        <w:t xml:space="preserve"> </w:t>
      </w:r>
    </w:p>
    <w:p w14:paraId="1009C669" w14:textId="6574A53E" w:rsidR="008E423D" w:rsidRDefault="00F80D03" w:rsidP="00E51F2A">
      <w:pPr>
        <w:spacing w:line="480" w:lineRule="auto"/>
        <w:rPr>
          <w:rFonts w:ascii="Arial" w:hAnsi="Arial" w:cs="Arial"/>
          <w:sz w:val="20"/>
          <w:szCs w:val="20"/>
        </w:rPr>
      </w:pPr>
      <w:r>
        <w:rPr>
          <w:rFonts w:ascii="Arial" w:hAnsi="Arial" w:cs="Arial"/>
          <w:sz w:val="20"/>
          <w:szCs w:val="20"/>
        </w:rPr>
        <w:t>Respondents were asked which departments or agencies they had engaged with and to what extent</w:t>
      </w:r>
      <w:r w:rsidR="003B2936">
        <w:rPr>
          <w:rFonts w:ascii="Arial" w:hAnsi="Arial" w:cs="Arial"/>
          <w:sz w:val="20"/>
          <w:szCs w:val="20"/>
        </w:rPr>
        <w:t xml:space="preserve">, choosing from a list of </w:t>
      </w:r>
      <w:r w:rsidR="0028088B">
        <w:rPr>
          <w:rFonts w:ascii="Arial" w:hAnsi="Arial" w:cs="Arial"/>
          <w:sz w:val="20"/>
          <w:szCs w:val="20"/>
        </w:rPr>
        <w:t>nine</w:t>
      </w:r>
      <w:r w:rsidR="003B2936">
        <w:rPr>
          <w:rFonts w:ascii="Arial" w:hAnsi="Arial" w:cs="Arial"/>
          <w:sz w:val="20"/>
          <w:szCs w:val="20"/>
        </w:rPr>
        <w:t xml:space="preserve"> central government departments, </w:t>
      </w:r>
      <w:r w:rsidR="0028088B">
        <w:rPr>
          <w:rFonts w:ascii="Arial" w:hAnsi="Arial" w:cs="Arial"/>
          <w:sz w:val="20"/>
          <w:szCs w:val="20"/>
        </w:rPr>
        <w:t>five</w:t>
      </w:r>
      <w:r w:rsidR="003B2936">
        <w:rPr>
          <w:rFonts w:ascii="Arial" w:hAnsi="Arial" w:cs="Arial"/>
          <w:sz w:val="20"/>
          <w:szCs w:val="20"/>
        </w:rPr>
        <w:t xml:space="preserve"> agencies (grouped), and devolved </w:t>
      </w:r>
      <w:r w:rsidR="003B2936">
        <w:rPr>
          <w:rFonts w:ascii="Arial" w:hAnsi="Arial" w:cs="Arial"/>
          <w:sz w:val="20"/>
          <w:szCs w:val="20"/>
        </w:rPr>
        <w:lastRenderedPageBreak/>
        <w:t xml:space="preserve">governments, </w:t>
      </w:r>
      <w:r w:rsidR="007F4ACC">
        <w:rPr>
          <w:rFonts w:ascii="Arial" w:hAnsi="Arial" w:cs="Arial"/>
          <w:sz w:val="20"/>
          <w:szCs w:val="20"/>
        </w:rPr>
        <w:t>and with the option of adding others</w:t>
      </w:r>
      <w:r w:rsidR="00502495">
        <w:rPr>
          <w:rFonts w:ascii="Arial" w:hAnsi="Arial" w:cs="Arial"/>
          <w:sz w:val="20"/>
          <w:szCs w:val="20"/>
        </w:rPr>
        <w:t xml:space="preserve"> (results shown in Figure 3)</w:t>
      </w:r>
      <w:r>
        <w:rPr>
          <w:rFonts w:ascii="Arial" w:hAnsi="Arial" w:cs="Arial"/>
          <w:sz w:val="20"/>
          <w:szCs w:val="20"/>
        </w:rPr>
        <w:t>. The foll</w:t>
      </w:r>
      <w:r w:rsidR="00F2178E">
        <w:rPr>
          <w:rFonts w:ascii="Arial" w:hAnsi="Arial" w:cs="Arial"/>
          <w:sz w:val="20"/>
          <w:szCs w:val="20"/>
        </w:rPr>
        <w:t>owing descriptors were provided</w:t>
      </w:r>
      <w:r>
        <w:rPr>
          <w:rFonts w:ascii="Arial" w:hAnsi="Arial" w:cs="Arial"/>
          <w:sz w:val="20"/>
          <w:szCs w:val="20"/>
        </w:rPr>
        <w:t>:</w:t>
      </w:r>
    </w:p>
    <w:p w14:paraId="620D6E54" w14:textId="77777777" w:rsidR="008E423D" w:rsidRDefault="008E423D" w:rsidP="00E51F2A">
      <w:pPr>
        <w:spacing w:line="480" w:lineRule="auto"/>
        <w:rPr>
          <w:rFonts w:ascii="Arial" w:hAnsi="Arial" w:cs="Arial"/>
          <w:sz w:val="20"/>
          <w:szCs w:val="20"/>
        </w:rPr>
      </w:pPr>
    </w:p>
    <w:p w14:paraId="237DAA71" w14:textId="5851DCF3" w:rsidR="008E423D" w:rsidRPr="008E423D" w:rsidRDefault="008E423D" w:rsidP="00E51F2A">
      <w:pPr>
        <w:spacing w:line="480" w:lineRule="auto"/>
        <w:ind w:left="720"/>
        <w:rPr>
          <w:rFonts w:ascii="Arial" w:eastAsia="Times New Roman" w:hAnsi="Arial" w:cs="Arial"/>
          <w:sz w:val="18"/>
          <w:szCs w:val="18"/>
          <w:lang w:eastAsia="en-GB"/>
        </w:rPr>
      </w:pPr>
      <w:r w:rsidRPr="00F80D03">
        <w:rPr>
          <w:rFonts w:ascii="Arial" w:eastAsia="Times New Roman" w:hAnsi="Arial" w:cs="Arial"/>
          <w:b/>
          <w:bCs/>
          <w:sz w:val="18"/>
          <w:szCs w:val="18"/>
          <w:lang w:eastAsia="en-GB"/>
        </w:rPr>
        <w:t>'None'</w:t>
      </w:r>
      <w:r w:rsidRPr="008E423D">
        <w:rPr>
          <w:rFonts w:ascii="Arial" w:eastAsia="Times New Roman" w:hAnsi="Arial" w:cs="Arial"/>
          <w:sz w:val="18"/>
          <w:szCs w:val="18"/>
          <w:lang w:eastAsia="en-GB"/>
        </w:rPr>
        <w:t xml:space="preserve"> = </w:t>
      </w:r>
      <w:r w:rsidRPr="008E423D">
        <w:rPr>
          <w:rFonts w:ascii="Arial" w:eastAsia="Times New Roman" w:hAnsi="Arial" w:cs="Arial"/>
          <w:sz w:val="18"/>
          <w:szCs w:val="18"/>
          <w:u w:val="single"/>
          <w:lang w:eastAsia="en-GB"/>
        </w:rPr>
        <w:t>no approaches made or received</w:t>
      </w:r>
      <w:r w:rsidRPr="008E423D">
        <w:rPr>
          <w:rFonts w:ascii="Arial" w:eastAsia="Times New Roman" w:hAnsi="Arial" w:cs="Arial"/>
          <w:sz w:val="18"/>
          <w:szCs w:val="18"/>
          <w:lang w:eastAsia="en-GB"/>
        </w:rPr>
        <w:t>.</w:t>
      </w:r>
      <w:r w:rsidRPr="008E423D">
        <w:rPr>
          <w:rFonts w:ascii="Arial" w:eastAsia="Times New Roman" w:hAnsi="Arial" w:cs="Arial"/>
          <w:sz w:val="18"/>
          <w:szCs w:val="18"/>
          <w:lang w:eastAsia="en-GB"/>
        </w:rPr>
        <w:br/>
      </w:r>
      <w:r w:rsidRPr="008E423D">
        <w:rPr>
          <w:rFonts w:ascii="Arial" w:eastAsia="Times New Roman" w:hAnsi="Arial" w:cs="Arial"/>
          <w:sz w:val="18"/>
          <w:szCs w:val="18"/>
          <w:lang w:eastAsia="en-GB"/>
        </w:rPr>
        <w:br/>
      </w:r>
      <w:r w:rsidRPr="00F80D03">
        <w:rPr>
          <w:rFonts w:ascii="Arial" w:eastAsia="Times New Roman" w:hAnsi="Arial" w:cs="Arial"/>
          <w:b/>
          <w:bCs/>
          <w:sz w:val="18"/>
          <w:szCs w:val="18"/>
          <w:lang w:eastAsia="en-GB"/>
        </w:rPr>
        <w:t>'Limited'</w:t>
      </w:r>
      <w:r w:rsidRPr="008E423D">
        <w:rPr>
          <w:rFonts w:ascii="Arial" w:eastAsia="Times New Roman" w:hAnsi="Arial" w:cs="Arial"/>
          <w:sz w:val="18"/>
          <w:szCs w:val="18"/>
          <w:lang w:eastAsia="en-GB"/>
        </w:rPr>
        <w:t xml:space="preserve"> = you made some approaches (e</w:t>
      </w:r>
      <w:r w:rsidR="00502495">
        <w:rPr>
          <w:rFonts w:ascii="Arial" w:eastAsia="Times New Roman" w:hAnsi="Arial" w:cs="Arial"/>
          <w:sz w:val="18"/>
          <w:szCs w:val="18"/>
          <w:lang w:eastAsia="en-GB"/>
        </w:rPr>
        <w:t>.</w:t>
      </w:r>
      <w:r w:rsidRPr="008E423D">
        <w:rPr>
          <w:rFonts w:ascii="Arial" w:eastAsia="Times New Roman" w:hAnsi="Arial" w:cs="Arial"/>
          <w:sz w:val="18"/>
          <w:szCs w:val="18"/>
          <w:lang w:eastAsia="en-GB"/>
        </w:rPr>
        <w:t>g</w:t>
      </w:r>
      <w:r w:rsidR="00502495">
        <w:rPr>
          <w:rFonts w:ascii="Arial" w:eastAsia="Times New Roman" w:hAnsi="Arial" w:cs="Arial"/>
          <w:sz w:val="18"/>
          <w:szCs w:val="18"/>
          <w:lang w:eastAsia="en-GB"/>
        </w:rPr>
        <w:t>.,</w:t>
      </w:r>
      <w:r w:rsidR="00502495" w:rsidRPr="008E423D">
        <w:rPr>
          <w:rFonts w:ascii="Arial" w:eastAsia="Times New Roman" w:hAnsi="Arial" w:cs="Arial"/>
          <w:sz w:val="18"/>
          <w:szCs w:val="18"/>
          <w:lang w:eastAsia="en-GB"/>
        </w:rPr>
        <w:t xml:space="preserve"> </w:t>
      </w:r>
      <w:r w:rsidRPr="008E423D">
        <w:rPr>
          <w:rFonts w:ascii="Arial" w:eastAsia="Times New Roman" w:hAnsi="Arial" w:cs="Arial"/>
          <w:sz w:val="18"/>
          <w:szCs w:val="18"/>
          <w:lang w:eastAsia="en-GB"/>
        </w:rPr>
        <w:t xml:space="preserve">submitted a consultation response, sent work to the department/agency) or were approached by them but, </w:t>
      </w:r>
      <w:r w:rsidRPr="008E423D">
        <w:rPr>
          <w:rFonts w:ascii="Arial" w:eastAsia="Times New Roman" w:hAnsi="Arial" w:cs="Arial"/>
          <w:sz w:val="18"/>
          <w:szCs w:val="18"/>
          <w:u w:val="single"/>
          <w:lang w:eastAsia="en-GB"/>
        </w:rPr>
        <w:t>beyond an acknowledgment or brief exchange, the engagement was not pursued</w:t>
      </w:r>
      <w:r w:rsidRPr="008E423D">
        <w:rPr>
          <w:rFonts w:ascii="Arial" w:eastAsia="Times New Roman" w:hAnsi="Arial" w:cs="Arial"/>
          <w:sz w:val="18"/>
          <w:szCs w:val="18"/>
          <w:lang w:eastAsia="en-GB"/>
        </w:rPr>
        <w:t>.</w:t>
      </w:r>
    </w:p>
    <w:p w14:paraId="270071DE" w14:textId="77777777" w:rsidR="008E423D" w:rsidRPr="008E423D" w:rsidRDefault="008E423D" w:rsidP="00E51F2A">
      <w:pPr>
        <w:spacing w:line="480" w:lineRule="auto"/>
        <w:ind w:left="720"/>
        <w:rPr>
          <w:rFonts w:ascii="Arial" w:eastAsia="Times New Roman" w:hAnsi="Arial" w:cs="Arial"/>
          <w:sz w:val="18"/>
          <w:szCs w:val="18"/>
          <w:lang w:eastAsia="en-GB"/>
        </w:rPr>
      </w:pPr>
      <w:r w:rsidRPr="008E423D">
        <w:rPr>
          <w:rFonts w:ascii="Arial" w:eastAsia="Times New Roman" w:hAnsi="Arial" w:cs="Arial"/>
          <w:b/>
          <w:bCs/>
          <w:sz w:val="18"/>
          <w:szCs w:val="18"/>
          <w:lang w:eastAsia="en-GB"/>
        </w:rPr>
        <w:br/>
      </w:r>
      <w:r w:rsidRPr="00F80D03">
        <w:rPr>
          <w:rFonts w:ascii="Arial" w:eastAsia="Times New Roman" w:hAnsi="Arial" w:cs="Arial"/>
          <w:b/>
          <w:bCs/>
          <w:sz w:val="18"/>
          <w:szCs w:val="18"/>
          <w:lang w:eastAsia="en-GB"/>
        </w:rPr>
        <w:t>'Moderate'</w:t>
      </w:r>
      <w:r w:rsidRPr="008E423D">
        <w:rPr>
          <w:rFonts w:ascii="Arial" w:eastAsia="Times New Roman" w:hAnsi="Arial" w:cs="Arial"/>
          <w:sz w:val="18"/>
          <w:szCs w:val="18"/>
          <w:lang w:eastAsia="en-GB"/>
        </w:rPr>
        <w:t xml:space="preserve"> = you had </w:t>
      </w:r>
      <w:r w:rsidRPr="008E423D">
        <w:rPr>
          <w:rFonts w:ascii="Arial" w:eastAsia="Times New Roman" w:hAnsi="Arial" w:cs="Arial"/>
          <w:sz w:val="18"/>
          <w:szCs w:val="18"/>
          <w:u w:val="single"/>
          <w:lang w:eastAsia="en-GB"/>
        </w:rPr>
        <w:t>some engagement</w:t>
      </w:r>
      <w:r w:rsidRPr="008E423D">
        <w:rPr>
          <w:rFonts w:ascii="Arial" w:eastAsia="Times New Roman" w:hAnsi="Arial" w:cs="Arial"/>
          <w:sz w:val="18"/>
          <w:szCs w:val="18"/>
          <w:lang w:eastAsia="en-GB"/>
        </w:rPr>
        <w:t xml:space="preserve"> with the department/agency and a </w:t>
      </w:r>
      <w:r w:rsidRPr="008E423D">
        <w:rPr>
          <w:rFonts w:ascii="Arial" w:eastAsia="Times New Roman" w:hAnsi="Arial" w:cs="Arial"/>
          <w:sz w:val="18"/>
          <w:szCs w:val="18"/>
          <w:u w:val="single"/>
          <w:lang w:eastAsia="en-GB"/>
        </w:rPr>
        <w:t>sense there was some interest in your work</w:t>
      </w:r>
      <w:r w:rsidRPr="008E423D">
        <w:rPr>
          <w:rFonts w:ascii="Arial" w:eastAsia="Times New Roman" w:hAnsi="Arial" w:cs="Arial"/>
          <w:sz w:val="18"/>
          <w:szCs w:val="18"/>
          <w:lang w:eastAsia="en-GB"/>
        </w:rPr>
        <w:t>, even if your work was clearly not a major focal point of interest for them.</w:t>
      </w:r>
    </w:p>
    <w:p w14:paraId="571D09B2" w14:textId="77777777" w:rsidR="008E423D" w:rsidRPr="008E423D" w:rsidRDefault="008E423D" w:rsidP="00E51F2A">
      <w:pPr>
        <w:spacing w:line="480" w:lineRule="auto"/>
        <w:ind w:left="720"/>
        <w:rPr>
          <w:rFonts w:ascii="Arial" w:eastAsia="Times New Roman" w:hAnsi="Arial" w:cs="Arial"/>
          <w:sz w:val="18"/>
          <w:szCs w:val="18"/>
          <w:lang w:eastAsia="en-GB"/>
        </w:rPr>
      </w:pPr>
      <w:r w:rsidRPr="008E423D">
        <w:rPr>
          <w:rFonts w:ascii="Arial" w:eastAsia="Times New Roman" w:hAnsi="Arial" w:cs="Arial"/>
          <w:b/>
          <w:bCs/>
          <w:sz w:val="18"/>
          <w:szCs w:val="18"/>
          <w:lang w:eastAsia="en-GB"/>
        </w:rPr>
        <w:br/>
      </w:r>
      <w:r w:rsidRPr="00F80D03">
        <w:rPr>
          <w:rFonts w:ascii="Arial" w:eastAsia="Times New Roman" w:hAnsi="Arial" w:cs="Arial"/>
          <w:b/>
          <w:bCs/>
          <w:sz w:val="18"/>
          <w:szCs w:val="18"/>
          <w:lang w:eastAsia="en-GB"/>
        </w:rPr>
        <w:t>'Significant'</w:t>
      </w:r>
      <w:r w:rsidRPr="008E423D">
        <w:rPr>
          <w:rFonts w:ascii="Arial" w:eastAsia="Times New Roman" w:hAnsi="Arial" w:cs="Arial"/>
          <w:sz w:val="18"/>
          <w:szCs w:val="18"/>
          <w:lang w:eastAsia="en-GB"/>
        </w:rPr>
        <w:t xml:space="preserve"> = you gave input on a matter of interest to the department/agency or one aspect of your research, and had a </w:t>
      </w:r>
      <w:r w:rsidRPr="008E423D">
        <w:rPr>
          <w:rFonts w:ascii="Arial" w:eastAsia="Times New Roman" w:hAnsi="Arial" w:cs="Arial"/>
          <w:sz w:val="18"/>
          <w:szCs w:val="18"/>
          <w:u w:val="single"/>
          <w:lang w:eastAsia="en-GB"/>
        </w:rPr>
        <w:t>sense they were clearly interested in your work and your input</w:t>
      </w:r>
      <w:r w:rsidRPr="008E423D">
        <w:rPr>
          <w:rFonts w:ascii="Arial" w:eastAsia="Times New Roman" w:hAnsi="Arial" w:cs="Arial"/>
          <w:sz w:val="18"/>
          <w:szCs w:val="18"/>
          <w:lang w:eastAsia="en-GB"/>
        </w:rPr>
        <w:t xml:space="preserve">. </w:t>
      </w:r>
      <w:r w:rsidRPr="008E423D">
        <w:rPr>
          <w:rFonts w:ascii="Arial" w:eastAsia="Times New Roman" w:hAnsi="Arial" w:cs="Arial"/>
          <w:sz w:val="18"/>
          <w:szCs w:val="18"/>
          <w:lang w:eastAsia="en-GB"/>
        </w:rPr>
        <w:br/>
      </w:r>
      <w:r w:rsidRPr="008E423D">
        <w:rPr>
          <w:rFonts w:ascii="Arial" w:eastAsia="Times New Roman" w:hAnsi="Arial" w:cs="Arial"/>
          <w:sz w:val="18"/>
          <w:szCs w:val="18"/>
          <w:lang w:eastAsia="en-GB"/>
        </w:rPr>
        <w:br/>
        <w:t>'</w:t>
      </w:r>
      <w:r w:rsidRPr="00F80D03">
        <w:rPr>
          <w:rFonts w:ascii="Arial" w:eastAsia="Times New Roman" w:hAnsi="Arial" w:cs="Arial"/>
          <w:b/>
          <w:bCs/>
          <w:sz w:val="18"/>
          <w:szCs w:val="18"/>
          <w:lang w:eastAsia="en-GB"/>
        </w:rPr>
        <w:t>Very significant'</w:t>
      </w:r>
      <w:r w:rsidRPr="008E423D">
        <w:rPr>
          <w:rFonts w:ascii="Arial" w:eastAsia="Times New Roman" w:hAnsi="Arial" w:cs="Arial"/>
          <w:sz w:val="18"/>
          <w:szCs w:val="18"/>
          <w:lang w:eastAsia="en-GB"/>
        </w:rPr>
        <w:t xml:space="preserve"> = </w:t>
      </w:r>
      <w:r w:rsidRPr="008E423D">
        <w:rPr>
          <w:rFonts w:ascii="Arial" w:eastAsia="Times New Roman" w:hAnsi="Arial" w:cs="Arial"/>
          <w:sz w:val="18"/>
          <w:szCs w:val="18"/>
          <w:u w:val="single"/>
          <w:lang w:eastAsia="en-GB"/>
        </w:rPr>
        <w:t>sustained engagement</w:t>
      </w:r>
      <w:r w:rsidRPr="008E423D">
        <w:rPr>
          <w:rFonts w:ascii="Arial" w:eastAsia="Times New Roman" w:hAnsi="Arial" w:cs="Arial"/>
          <w:sz w:val="18"/>
          <w:szCs w:val="18"/>
          <w:lang w:eastAsia="en-GB"/>
        </w:rPr>
        <w:t xml:space="preserve"> over more than one issue or more than one aspect of your work and a </w:t>
      </w:r>
      <w:r w:rsidRPr="008E423D">
        <w:rPr>
          <w:rFonts w:ascii="Arial" w:eastAsia="Times New Roman" w:hAnsi="Arial" w:cs="Arial"/>
          <w:sz w:val="18"/>
          <w:szCs w:val="18"/>
          <w:u w:val="single"/>
          <w:lang w:eastAsia="en-GB"/>
        </w:rPr>
        <w:t>clear sense it was of substantial interest</w:t>
      </w:r>
      <w:r w:rsidRPr="008E423D">
        <w:rPr>
          <w:rFonts w:ascii="Arial" w:eastAsia="Times New Roman" w:hAnsi="Arial" w:cs="Arial"/>
          <w:sz w:val="18"/>
          <w:szCs w:val="18"/>
          <w:lang w:eastAsia="en-GB"/>
        </w:rPr>
        <w:t xml:space="preserve"> to the department/agency. </w:t>
      </w:r>
    </w:p>
    <w:p w14:paraId="62E5E7B7" w14:textId="77777777" w:rsidR="00CF281C" w:rsidRDefault="00CF281C" w:rsidP="00E51F2A">
      <w:pPr>
        <w:spacing w:line="480" w:lineRule="auto"/>
        <w:rPr>
          <w:rFonts w:ascii="Arial" w:hAnsi="Arial" w:cs="Arial"/>
          <w:sz w:val="20"/>
          <w:szCs w:val="20"/>
        </w:rPr>
      </w:pPr>
    </w:p>
    <w:p w14:paraId="1FA6B4B9" w14:textId="6712574F" w:rsidR="00732750" w:rsidRPr="00732750" w:rsidRDefault="00732750" w:rsidP="00E51F2A">
      <w:pPr>
        <w:spacing w:line="480" w:lineRule="auto"/>
        <w:rPr>
          <w:rFonts w:ascii="Arial" w:hAnsi="Arial" w:cs="Arial"/>
          <w:b/>
          <w:sz w:val="20"/>
          <w:szCs w:val="20"/>
        </w:rPr>
      </w:pPr>
    </w:p>
    <w:p w14:paraId="596FF206" w14:textId="3A48BC55" w:rsidR="00732750" w:rsidRDefault="00D44773" w:rsidP="00E51F2A">
      <w:pPr>
        <w:spacing w:line="480" w:lineRule="auto"/>
        <w:rPr>
          <w:rFonts w:ascii="Arial" w:hAnsi="Arial" w:cs="Arial"/>
          <w:sz w:val="20"/>
          <w:szCs w:val="20"/>
        </w:rPr>
      </w:pPr>
      <w:r w:rsidRPr="00D44773">
        <w:rPr>
          <w:rFonts w:ascii="Arial" w:hAnsi="Arial" w:cs="Arial"/>
          <w:noProof/>
          <w:sz w:val="20"/>
          <w:szCs w:val="20"/>
          <w:lang w:eastAsia="en-GB"/>
        </w:rPr>
        <w:lastRenderedPageBreak/>
        <mc:AlternateContent>
          <mc:Choice Requires="wps">
            <w:drawing>
              <wp:anchor distT="0" distB="0" distL="114300" distR="114300" simplePos="0" relativeHeight="251659264" behindDoc="0" locked="0" layoutInCell="1" allowOverlap="1" wp14:anchorId="136DE232" wp14:editId="6451CD60">
                <wp:simplePos x="0" y="0"/>
                <wp:positionH relativeFrom="column">
                  <wp:posOffset>404037</wp:posOffset>
                </wp:positionH>
                <wp:positionV relativeFrom="paragraph">
                  <wp:posOffset>74428</wp:posOffset>
                </wp:positionV>
                <wp:extent cx="393405" cy="254768"/>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05" cy="254768"/>
                        </a:xfrm>
                        <a:prstGeom prst="rect">
                          <a:avLst/>
                        </a:prstGeom>
                        <a:solidFill>
                          <a:srgbClr val="FFFFFF"/>
                        </a:solidFill>
                        <a:ln w="9525">
                          <a:noFill/>
                          <a:miter lim="800000"/>
                          <a:headEnd/>
                          <a:tailEnd/>
                        </a:ln>
                      </wps:spPr>
                      <wps:txbx>
                        <w:txbxContent>
                          <w:p w14:paraId="044A87CF" w14:textId="47EEF011" w:rsidR="007B1D1B" w:rsidRPr="00D44773" w:rsidRDefault="007B1D1B" w:rsidP="00D44773">
                            <w:pPr>
                              <w:jc w:val="center"/>
                              <w:rPr>
                                <w:b/>
                              </w:rPr>
                            </w:pPr>
                            <w:r>
                              <w:rPr>
                                <w:b/>
                              </w:rPr>
                              <w:t>=</w:t>
                            </w:r>
                            <w:r w:rsidRPr="00D44773">
                              <w:rPr>
                                <w:b/>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36DE232" id="_x0000_t202" coordsize="21600,21600" o:spt="202" path="m,l,21600r21600,l21600,xe">
                <v:stroke joinstyle="miter"/>
                <v:path gradientshapeok="t" o:connecttype="rect"/>
              </v:shapetype>
              <v:shape id="Text Box 2" o:spid="_x0000_s1026" type="#_x0000_t202" style="position:absolute;margin-left:31.8pt;margin-top:5.85pt;width:31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" stroked="f">
                <v:textbox>
                  <w:txbxContent>
                    <w:p w14:paraId="044A87CF" w14:textId="47EEF011" w:rsidR="007B1D1B" w:rsidRPr="00D44773" w:rsidRDefault="007B1D1B" w:rsidP="00D44773">
                      <w:pPr>
                        <w:jc w:val="center"/>
                        <w:rPr>
                          <w:b/>
                        </w:rPr>
                      </w:pPr>
                      <w:r>
                        <w:rPr>
                          <w:b/>
                        </w:rPr>
                        <w:t>=</w:t>
                      </w:r>
                      <w:r w:rsidRPr="00D44773">
                        <w:rPr>
                          <w:b/>
                        </w:rPr>
                        <w:t>n</w:t>
                      </w:r>
                    </w:p>
                  </w:txbxContent>
                </v:textbox>
              </v:shape>
            </w:pict>
          </mc:Fallback>
        </mc:AlternateContent>
      </w:r>
      <w:r w:rsidR="00C15614" w:rsidRPr="00CA5584">
        <w:rPr>
          <w:rFonts w:ascii="Arial" w:hAnsi="Arial" w:cs="Arial"/>
          <w:noProof/>
          <w:sz w:val="20"/>
          <w:szCs w:val="20"/>
          <w:u w:val="single"/>
          <w:lang w:eastAsia="en-GB"/>
        </w:rPr>
        <w:drawing>
          <wp:inline distT="0" distB="0" distL="0" distR="0" wp14:anchorId="351ADDAA" wp14:editId="1E991FED">
            <wp:extent cx="5486400" cy="3856382"/>
            <wp:effectExtent l="0" t="0" r="19050" b="1079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7A3EE3" w14:textId="0CC2AA5B" w:rsidR="00C15614" w:rsidRPr="00D44773" w:rsidRDefault="00626CE5" w:rsidP="0041237A">
      <w:pPr>
        <w:spacing w:line="240" w:lineRule="auto"/>
        <w:rPr>
          <w:rFonts w:ascii="Arial" w:hAnsi="Arial" w:cs="Arial"/>
          <w:i/>
          <w:sz w:val="18"/>
          <w:szCs w:val="18"/>
        </w:rPr>
      </w:pPr>
      <w:r w:rsidRPr="00D44773">
        <w:rPr>
          <w:rFonts w:ascii="Arial" w:hAnsi="Arial" w:cs="Arial"/>
          <w:i/>
          <w:sz w:val="18"/>
          <w:szCs w:val="18"/>
        </w:rPr>
        <w:t xml:space="preserve">Note: </w:t>
      </w:r>
      <w:r w:rsidR="007C1E1A" w:rsidRPr="00D44773">
        <w:rPr>
          <w:rFonts w:ascii="Arial" w:hAnsi="Arial" w:cs="Arial"/>
          <w:i/>
          <w:sz w:val="18"/>
          <w:szCs w:val="18"/>
        </w:rPr>
        <w:t>Respondents were provided with a lis</w:t>
      </w:r>
      <w:r w:rsidR="00502495" w:rsidRPr="00D44773">
        <w:rPr>
          <w:rFonts w:ascii="Arial" w:hAnsi="Arial" w:cs="Arial"/>
          <w:i/>
          <w:sz w:val="18"/>
          <w:szCs w:val="18"/>
        </w:rPr>
        <w:t>t of departments</w:t>
      </w:r>
      <w:r w:rsidR="007C1E1A" w:rsidRPr="00D44773">
        <w:rPr>
          <w:rFonts w:ascii="Arial" w:hAnsi="Arial" w:cs="Arial"/>
          <w:i/>
          <w:sz w:val="18"/>
          <w:szCs w:val="18"/>
        </w:rPr>
        <w:t xml:space="preserve"> </w:t>
      </w:r>
      <w:r w:rsidR="00502495" w:rsidRPr="00D44773">
        <w:rPr>
          <w:rFonts w:ascii="Arial" w:hAnsi="Arial" w:cs="Arial"/>
          <w:i/>
          <w:sz w:val="18"/>
          <w:szCs w:val="18"/>
        </w:rPr>
        <w:t xml:space="preserve">and agencies </w:t>
      </w:r>
      <w:r w:rsidR="007C1E1A" w:rsidRPr="00D44773">
        <w:rPr>
          <w:rFonts w:ascii="Arial" w:hAnsi="Arial" w:cs="Arial"/>
          <w:i/>
          <w:sz w:val="18"/>
          <w:szCs w:val="18"/>
        </w:rPr>
        <w:t xml:space="preserve">and asked to indicate the extent of their engagement </w:t>
      </w:r>
      <w:r w:rsidR="00D44773">
        <w:rPr>
          <w:rFonts w:ascii="Arial" w:hAnsi="Arial" w:cs="Arial"/>
          <w:i/>
          <w:sz w:val="18"/>
          <w:szCs w:val="18"/>
        </w:rPr>
        <w:t xml:space="preserve">with each </w:t>
      </w:r>
      <w:r w:rsidR="007C1E1A" w:rsidRPr="00D44773">
        <w:rPr>
          <w:rFonts w:ascii="Arial" w:hAnsi="Arial" w:cs="Arial"/>
          <w:i/>
          <w:sz w:val="18"/>
          <w:szCs w:val="18"/>
        </w:rPr>
        <w:t xml:space="preserve">on a five-point scale. </w:t>
      </w:r>
      <w:r w:rsidR="0041237A" w:rsidRPr="00D44773">
        <w:rPr>
          <w:rFonts w:ascii="Arial" w:hAnsi="Arial" w:cs="Arial"/>
          <w:i/>
          <w:sz w:val="18"/>
          <w:szCs w:val="18"/>
        </w:rPr>
        <w:t>Respondents who answered ‘none’ for all agencies and departments (n=10</w:t>
      </w:r>
      <w:r w:rsidR="00966297">
        <w:rPr>
          <w:rFonts w:ascii="Arial" w:hAnsi="Arial" w:cs="Arial"/>
          <w:i/>
          <w:sz w:val="18"/>
          <w:szCs w:val="18"/>
        </w:rPr>
        <w:t>) or who did not answer at all (n=2) are not included in the chart.</w:t>
      </w:r>
      <w:r w:rsidR="0041237A" w:rsidRPr="00D44773">
        <w:rPr>
          <w:rFonts w:ascii="Arial" w:hAnsi="Arial" w:cs="Arial"/>
          <w:i/>
          <w:sz w:val="18"/>
          <w:szCs w:val="18"/>
        </w:rPr>
        <w:t xml:space="preserve"> </w:t>
      </w:r>
    </w:p>
    <w:p w14:paraId="548F3D23" w14:textId="77777777" w:rsidR="0041237A" w:rsidRPr="0041237A" w:rsidRDefault="0041237A" w:rsidP="0041237A">
      <w:pPr>
        <w:spacing w:line="240" w:lineRule="auto"/>
        <w:rPr>
          <w:rFonts w:ascii="Arial" w:hAnsi="Arial" w:cs="Arial"/>
          <w:sz w:val="18"/>
          <w:szCs w:val="18"/>
        </w:rPr>
      </w:pPr>
    </w:p>
    <w:p w14:paraId="7667CC58" w14:textId="77777777" w:rsidR="0041237A" w:rsidRDefault="0041237A" w:rsidP="0041237A">
      <w:pPr>
        <w:spacing w:line="480" w:lineRule="auto"/>
        <w:rPr>
          <w:rFonts w:ascii="Arial" w:hAnsi="Arial" w:cs="Arial"/>
          <w:sz w:val="20"/>
          <w:szCs w:val="20"/>
        </w:rPr>
      </w:pPr>
    </w:p>
    <w:p w14:paraId="3AA313A9" w14:textId="49AA0F13" w:rsidR="00EC1993" w:rsidRDefault="00D7195D" w:rsidP="0041237A">
      <w:pPr>
        <w:spacing w:line="480" w:lineRule="auto"/>
        <w:rPr>
          <w:rFonts w:ascii="Arial" w:hAnsi="Arial" w:cs="Arial"/>
          <w:sz w:val="20"/>
          <w:szCs w:val="20"/>
        </w:rPr>
      </w:pPr>
      <w:r>
        <w:rPr>
          <w:rFonts w:ascii="Arial" w:hAnsi="Arial" w:cs="Arial"/>
          <w:sz w:val="20"/>
          <w:szCs w:val="20"/>
        </w:rPr>
        <w:t xml:space="preserve">More than half </w:t>
      </w:r>
      <w:r w:rsidR="0065530D">
        <w:rPr>
          <w:rFonts w:ascii="Arial" w:hAnsi="Arial" w:cs="Arial"/>
          <w:sz w:val="20"/>
          <w:szCs w:val="20"/>
        </w:rPr>
        <w:t xml:space="preserve">the respondents reported significant or very significant engagement with at least one area of government, suggesting that government is an important focus for academic researchers. </w:t>
      </w:r>
      <w:r w:rsidR="003D4FCC">
        <w:rPr>
          <w:rFonts w:ascii="Arial" w:hAnsi="Arial" w:cs="Arial"/>
          <w:sz w:val="20"/>
          <w:szCs w:val="20"/>
        </w:rPr>
        <w:t>Just over 75% of respondents had</w:t>
      </w:r>
      <w:r w:rsidR="003D4FCC" w:rsidRPr="00F13BB2">
        <w:rPr>
          <w:rFonts w:ascii="Arial" w:hAnsi="Arial" w:cs="Arial"/>
          <w:sz w:val="20"/>
          <w:szCs w:val="20"/>
        </w:rPr>
        <w:t xml:space="preserve"> engaged </w:t>
      </w:r>
      <w:r w:rsidR="003D4FCC">
        <w:rPr>
          <w:rFonts w:ascii="Arial" w:hAnsi="Arial" w:cs="Arial"/>
          <w:sz w:val="20"/>
          <w:szCs w:val="20"/>
        </w:rPr>
        <w:t xml:space="preserve">to at least some extent with two or more departments or agencies. </w:t>
      </w:r>
      <w:r w:rsidR="0065530D">
        <w:rPr>
          <w:rFonts w:ascii="Arial" w:hAnsi="Arial" w:cs="Arial"/>
          <w:sz w:val="20"/>
          <w:szCs w:val="20"/>
        </w:rPr>
        <w:t>In addition to th</w:t>
      </w:r>
      <w:r w:rsidR="0051345B">
        <w:rPr>
          <w:rFonts w:ascii="Arial" w:hAnsi="Arial" w:cs="Arial"/>
          <w:sz w:val="20"/>
          <w:szCs w:val="20"/>
        </w:rPr>
        <w:t>e units listed</w:t>
      </w:r>
      <w:r w:rsidR="0065530D">
        <w:rPr>
          <w:rFonts w:ascii="Arial" w:hAnsi="Arial" w:cs="Arial"/>
          <w:sz w:val="20"/>
          <w:szCs w:val="20"/>
        </w:rPr>
        <w:t xml:space="preserve"> in </w:t>
      </w:r>
      <w:r w:rsidR="00935F31">
        <w:rPr>
          <w:rFonts w:ascii="Arial" w:hAnsi="Arial" w:cs="Arial"/>
          <w:sz w:val="20"/>
          <w:szCs w:val="20"/>
        </w:rPr>
        <w:t xml:space="preserve">Figure </w:t>
      </w:r>
      <w:r w:rsidR="0006065D">
        <w:rPr>
          <w:rFonts w:ascii="Arial" w:hAnsi="Arial" w:cs="Arial"/>
          <w:sz w:val="20"/>
          <w:szCs w:val="20"/>
        </w:rPr>
        <w:t>3</w:t>
      </w:r>
      <w:r w:rsidR="0065530D">
        <w:rPr>
          <w:rFonts w:ascii="Arial" w:hAnsi="Arial" w:cs="Arial"/>
          <w:sz w:val="20"/>
          <w:szCs w:val="20"/>
        </w:rPr>
        <w:t>, respondents added over 30 other central government departments or agencies, with levels of engagement from moderate to very significant.</w:t>
      </w:r>
      <w:r w:rsidR="003E545E">
        <w:rPr>
          <w:rFonts w:ascii="Arial" w:hAnsi="Arial" w:cs="Arial"/>
          <w:sz w:val="20"/>
          <w:szCs w:val="20"/>
        </w:rPr>
        <w:t xml:space="preserve"> </w:t>
      </w:r>
      <w:r w:rsidR="00AF29BF">
        <w:rPr>
          <w:rFonts w:ascii="Arial" w:hAnsi="Arial" w:cs="Arial"/>
          <w:sz w:val="20"/>
          <w:szCs w:val="20"/>
        </w:rPr>
        <w:t xml:space="preserve">Only </w:t>
      </w:r>
      <w:r w:rsidR="0051345B">
        <w:rPr>
          <w:rFonts w:ascii="Arial" w:hAnsi="Arial" w:cs="Arial"/>
          <w:sz w:val="20"/>
          <w:szCs w:val="20"/>
        </w:rPr>
        <w:t xml:space="preserve">8.3% of </w:t>
      </w:r>
      <w:r w:rsidR="00AF29BF">
        <w:rPr>
          <w:rFonts w:ascii="Arial" w:hAnsi="Arial" w:cs="Arial"/>
          <w:sz w:val="20"/>
          <w:szCs w:val="20"/>
        </w:rPr>
        <w:t>respondents reported no e</w:t>
      </w:r>
      <w:r w:rsidR="003D4FCC">
        <w:rPr>
          <w:rFonts w:ascii="Arial" w:hAnsi="Arial" w:cs="Arial"/>
          <w:sz w:val="20"/>
          <w:szCs w:val="20"/>
        </w:rPr>
        <w:t>ngagement with government</w:t>
      </w:r>
      <w:r w:rsidR="00AF29BF">
        <w:rPr>
          <w:rFonts w:ascii="Arial" w:hAnsi="Arial" w:cs="Arial"/>
          <w:sz w:val="20"/>
          <w:szCs w:val="20"/>
        </w:rPr>
        <w:t>.</w:t>
      </w:r>
      <w:r w:rsidR="0041237A">
        <w:rPr>
          <w:rFonts w:ascii="Arial" w:hAnsi="Arial" w:cs="Arial"/>
          <w:sz w:val="20"/>
          <w:szCs w:val="20"/>
        </w:rPr>
        <w:t xml:space="preserve"> Respondents were also asked what area of government they engaged with most and responses (not shown) demonstrated a similar profile </w:t>
      </w:r>
      <w:r w:rsidR="0006065D">
        <w:rPr>
          <w:rFonts w:ascii="Arial" w:hAnsi="Arial" w:cs="Arial"/>
          <w:sz w:val="20"/>
          <w:szCs w:val="20"/>
        </w:rPr>
        <w:t>to the results shown in Figure 3</w:t>
      </w:r>
      <w:r w:rsidR="0041237A">
        <w:rPr>
          <w:rFonts w:ascii="Arial" w:hAnsi="Arial" w:cs="Arial"/>
          <w:sz w:val="20"/>
          <w:szCs w:val="20"/>
        </w:rPr>
        <w:t xml:space="preserve">. </w:t>
      </w:r>
      <w:r w:rsidR="009D679A">
        <w:rPr>
          <w:rFonts w:ascii="Arial" w:hAnsi="Arial" w:cs="Arial"/>
          <w:sz w:val="20"/>
          <w:szCs w:val="20"/>
        </w:rPr>
        <w:t xml:space="preserve">A further 16 departments or agencies were identified in comments. </w:t>
      </w:r>
      <w:r w:rsidR="003B4EE0">
        <w:rPr>
          <w:rFonts w:ascii="Arial" w:hAnsi="Arial" w:cs="Arial"/>
          <w:sz w:val="20"/>
          <w:szCs w:val="20"/>
        </w:rPr>
        <w:t xml:space="preserve">   </w:t>
      </w:r>
    </w:p>
    <w:p w14:paraId="4A9CE502" w14:textId="77777777" w:rsidR="00EC1993" w:rsidRDefault="00EC1993" w:rsidP="00E51F2A">
      <w:pPr>
        <w:spacing w:line="480" w:lineRule="auto"/>
        <w:rPr>
          <w:rFonts w:ascii="Arial" w:hAnsi="Arial" w:cs="Arial"/>
          <w:sz w:val="20"/>
          <w:szCs w:val="20"/>
        </w:rPr>
      </w:pPr>
    </w:p>
    <w:p w14:paraId="5559603C" w14:textId="1B381D9E" w:rsidR="007F4ACC" w:rsidRDefault="007F4ACC" w:rsidP="00E51F2A">
      <w:pPr>
        <w:spacing w:line="480" w:lineRule="auto"/>
        <w:rPr>
          <w:rFonts w:ascii="Arial" w:hAnsi="Arial" w:cs="Arial"/>
          <w:sz w:val="20"/>
          <w:szCs w:val="20"/>
        </w:rPr>
      </w:pPr>
    </w:p>
    <w:p w14:paraId="252346A1" w14:textId="77777777" w:rsidR="007F4ACC" w:rsidRDefault="007F4ACC" w:rsidP="00E51F2A">
      <w:pPr>
        <w:spacing w:line="480" w:lineRule="auto"/>
        <w:rPr>
          <w:rFonts w:ascii="Arial" w:hAnsi="Arial" w:cs="Arial"/>
          <w:sz w:val="20"/>
          <w:szCs w:val="20"/>
        </w:rPr>
      </w:pPr>
    </w:p>
    <w:p w14:paraId="000A503A" w14:textId="1C112E96" w:rsidR="00EC1993" w:rsidRDefault="00EC1993" w:rsidP="00E51F2A">
      <w:pPr>
        <w:spacing w:line="480" w:lineRule="auto"/>
        <w:rPr>
          <w:rFonts w:ascii="Arial" w:hAnsi="Arial" w:cs="Arial"/>
          <w:sz w:val="20"/>
          <w:szCs w:val="20"/>
        </w:rPr>
      </w:pPr>
    </w:p>
    <w:p w14:paraId="1D3601CE" w14:textId="77777777" w:rsidR="00EC1993" w:rsidRDefault="00EC1993" w:rsidP="00E51F2A">
      <w:pPr>
        <w:spacing w:line="480" w:lineRule="auto"/>
        <w:rPr>
          <w:rFonts w:ascii="Arial" w:hAnsi="Arial" w:cs="Arial"/>
          <w:sz w:val="20"/>
          <w:szCs w:val="20"/>
        </w:rPr>
      </w:pPr>
    </w:p>
    <w:p w14:paraId="42D1F0AF" w14:textId="77777777" w:rsidR="00F2565A" w:rsidRPr="00F2565A" w:rsidRDefault="00F2565A" w:rsidP="00E51F2A">
      <w:pPr>
        <w:spacing w:line="480" w:lineRule="auto"/>
        <w:rPr>
          <w:rFonts w:ascii="Arial" w:hAnsi="Arial" w:cs="Arial"/>
          <w:sz w:val="20"/>
          <w:szCs w:val="20"/>
        </w:rPr>
      </w:pPr>
    </w:p>
    <w:p w14:paraId="3BEFFEBF" w14:textId="680113EC" w:rsidR="00EC1993" w:rsidRDefault="00F2565A" w:rsidP="00E51F2A">
      <w:pPr>
        <w:spacing w:line="480" w:lineRule="auto"/>
        <w:rPr>
          <w:rFonts w:ascii="Arial" w:hAnsi="Arial" w:cs="Arial"/>
          <w:sz w:val="20"/>
          <w:szCs w:val="20"/>
        </w:rPr>
      </w:pPr>
      <w:r w:rsidRPr="00F2565A">
        <w:rPr>
          <w:rFonts w:ascii="Arial" w:hAnsi="Arial" w:cs="Arial"/>
          <w:sz w:val="20"/>
          <w:szCs w:val="20"/>
        </w:rPr>
        <w:t xml:space="preserve">Together, the respondent </w:t>
      </w:r>
      <w:r w:rsidR="00D43648" w:rsidRPr="00F2565A">
        <w:rPr>
          <w:rFonts w:ascii="Arial" w:hAnsi="Arial" w:cs="Arial"/>
          <w:sz w:val="20"/>
          <w:szCs w:val="20"/>
        </w:rPr>
        <w:t xml:space="preserve">profile </w:t>
      </w:r>
      <w:r w:rsidRPr="00F2565A">
        <w:rPr>
          <w:rFonts w:ascii="Arial" w:hAnsi="Arial" w:cs="Arial"/>
          <w:sz w:val="20"/>
          <w:szCs w:val="20"/>
        </w:rPr>
        <w:t xml:space="preserve">and the pattern of engagement with government </w:t>
      </w:r>
      <w:r w:rsidR="008A6D2B">
        <w:rPr>
          <w:rFonts w:ascii="Arial" w:hAnsi="Arial" w:cs="Arial"/>
          <w:sz w:val="20"/>
          <w:szCs w:val="20"/>
        </w:rPr>
        <w:t>suggest</w:t>
      </w:r>
      <w:r w:rsidR="00D43648" w:rsidRPr="00F2565A">
        <w:rPr>
          <w:rFonts w:ascii="Arial" w:hAnsi="Arial" w:cs="Arial"/>
          <w:sz w:val="20"/>
          <w:szCs w:val="20"/>
        </w:rPr>
        <w:t xml:space="preserve"> the following. </w:t>
      </w:r>
      <w:r w:rsidR="00D43648">
        <w:rPr>
          <w:rFonts w:ascii="Arial" w:hAnsi="Arial" w:cs="Arial"/>
          <w:sz w:val="20"/>
          <w:szCs w:val="20"/>
        </w:rPr>
        <w:t xml:space="preserve">The respondents </w:t>
      </w:r>
      <w:r w:rsidR="00FE2EE2">
        <w:rPr>
          <w:rFonts w:ascii="Arial" w:hAnsi="Arial" w:cs="Arial"/>
          <w:sz w:val="20"/>
          <w:szCs w:val="20"/>
        </w:rPr>
        <w:t xml:space="preserve">are highly </w:t>
      </w:r>
      <w:r w:rsidR="00D43648">
        <w:rPr>
          <w:rFonts w:ascii="Arial" w:hAnsi="Arial" w:cs="Arial"/>
          <w:sz w:val="20"/>
          <w:szCs w:val="20"/>
        </w:rPr>
        <w:t>experience</w:t>
      </w:r>
      <w:r w:rsidR="00FE2EE2">
        <w:rPr>
          <w:rFonts w:ascii="Arial" w:hAnsi="Arial" w:cs="Arial"/>
          <w:sz w:val="20"/>
          <w:szCs w:val="20"/>
        </w:rPr>
        <w:t xml:space="preserve">d </w:t>
      </w:r>
      <w:r w:rsidR="00D43648">
        <w:rPr>
          <w:rFonts w:ascii="Arial" w:hAnsi="Arial" w:cs="Arial"/>
          <w:sz w:val="20"/>
          <w:szCs w:val="20"/>
        </w:rPr>
        <w:t>academics</w:t>
      </w:r>
      <w:r w:rsidR="0041237A">
        <w:rPr>
          <w:rFonts w:ascii="Arial" w:hAnsi="Arial" w:cs="Arial"/>
          <w:sz w:val="20"/>
          <w:szCs w:val="20"/>
        </w:rPr>
        <w:t xml:space="preserve"> (</w:t>
      </w:r>
      <w:r w:rsidR="00626CE5">
        <w:rPr>
          <w:rFonts w:ascii="Arial" w:hAnsi="Arial" w:cs="Arial"/>
          <w:sz w:val="20"/>
          <w:szCs w:val="20"/>
        </w:rPr>
        <w:t>a</w:t>
      </w:r>
      <w:r w:rsidR="0041237A">
        <w:rPr>
          <w:rFonts w:ascii="Arial" w:hAnsi="Arial" w:cs="Arial"/>
          <w:sz w:val="20"/>
          <w:szCs w:val="20"/>
        </w:rPr>
        <w:t>s is evident from the</w:t>
      </w:r>
      <w:r w:rsidR="00626CE5">
        <w:rPr>
          <w:rFonts w:ascii="Arial" w:hAnsi="Arial" w:cs="Arial"/>
          <w:sz w:val="20"/>
          <w:szCs w:val="20"/>
        </w:rPr>
        <w:t xml:space="preserve"> length of </w:t>
      </w:r>
      <w:r w:rsidR="0041237A">
        <w:rPr>
          <w:rFonts w:ascii="Arial" w:hAnsi="Arial" w:cs="Arial"/>
          <w:sz w:val="20"/>
          <w:szCs w:val="20"/>
        </w:rPr>
        <w:t>their academic careers)</w:t>
      </w:r>
      <w:r w:rsidR="00626CE5">
        <w:rPr>
          <w:rFonts w:ascii="Arial" w:hAnsi="Arial" w:cs="Arial"/>
          <w:sz w:val="20"/>
          <w:szCs w:val="20"/>
        </w:rPr>
        <w:t xml:space="preserve"> </w:t>
      </w:r>
      <w:r w:rsidR="00771836">
        <w:rPr>
          <w:rFonts w:ascii="Arial" w:hAnsi="Arial" w:cs="Arial"/>
          <w:sz w:val="20"/>
          <w:szCs w:val="20"/>
        </w:rPr>
        <w:t>whose</w:t>
      </w:r>
      <w:r w:rsidR="003E0CA6">
        <w:rPr>
          <w:rFonts w:ascii="Arial" w:hAnsi="Arial" w:cs="Arial"/>
          <w:sz w:val="20"/>
          <w:szCs w:val="20"/>
        </w:rPr>
        <w:t xml:space="preserve"> research</w:t>
      </w:r>
      <w:r w:rsidR="0041237A">
        <w:rPr>
          <w:rFonts w:ascii="Arial" w:hAnsi="Arial" w:cs="Arial"/>
          <w:sz w:val="20"/>
          <w:szCs w:val="20"/>
        </w:rPr>
        <w:t xml:space="preserve">, </w:t>
      </w:r>
      <w:r w:rsidR="00626CE5">
        <w:rPr>
          <w:rFonts w:ascii="Arial" w:hAnsi="Arial" w:cs="Arial"/>
          <w:sz w:val="20"/>
          <w:szCs w:val="20"/>
        </w:rPr>
        <w:t>given it was submitted as a case study</w:t>
      </w:r>
      <w:r w:rsidR="0041237A">
        <w:rPr>
          <w:rFonts w:ascii="Arial" w:hAnsi="Arial" w:cs="Arial"/>
          <w:sz w:val="20"/>
          <w:szCs w:val="20"/>
        </w:rPr>
        <w:t>,</w:t>
      </w:r>
      <w:r w:rsidR="00626CE5">
        <w:rPr>
          <w:rFonts w:ascii="Arial" w:hAnsi="Arial" w:cs="Arial"/>
          <w:sz w:val="20"/>
          <w:szCs w:val="20"/>
        </w:rPr>
        <w:t xml:space="preserve"> </w:t>
      </w:r>
      <w:r w:rsidR="00771836">
        <w:rPr>
          <w:rFonts w:ascii="Arial" w:hAnsi="Arial" w:cs="Arial"/>
          <w:sz w:val="20"/>
          <w:szCs w:val="20"/>
        </w:rPr>
        <w:t xml:space="preserve">was in the </w:t>
      </w:r>
      <w:r w:rsidR="00FE2EE2">
        <w:rPr>
          <w:rFonts w:ascii="Arial" w:hAnsi="Arial" w:cs="Arial"/>
          <w:sz w:val="20"/>
          <w:szCs w:val="20"/>
        </w:rPr>
        <w:t>t</w:t>
      </w:r>
      <w:r w:rsidR="00D43648">
        <w:rPr>
          <w:rFonts w:ascii="Arial" w:hAnsi="Arial" w:cs="Arial"/>
          <w:sz w:val="20"/>
          <w:szCs w:val="20"/>
        </w:rPr>
        <w:t>op 10</w:t>
      </w:r>
      <w:r w:rsidR="0006065D">
        <w:rPr>
          <w:rFonts w:ascii="Arial" w:hAnsi="Arial" w:cs="Arial"/>
          <w:sz w:val="20"/>
          <w:szCs w:val="20"/>
        </w:rPr>
        <w:t>–</w:t>
      </w:r>
      <w:r w:rsidR="00D43648">
        <w:rPr>
          <w:rFonts w:ascii="Arial" w:hAnsi="Arial" w:cs="Arial"/>
          <w:sz w:val="20"/>
          <w:szCs w:val="20"/>
        </w:rPr>
        <w:t>12% of</w:t>
      </w:r>
      <w:r w:rsidR="00771836">
        <w:rPr>
          <w:rFonts w:ascii="Arial" w:hAnsi="Arial" w:cs="Arial"/>
          <w:sz w:val="20"/>
          <w:szCs w:val="20"/>
        </w:rPr>
        <w:t xml:space="preserve"> their law school’s </w:t>
      </w:r>
      <w:r w:rsidR="00D43648">
        <w:rPr>
          <w:rFonts w:ascii="Arial" w:hAnsi="Arial" w:cs="Arial"/>
          <w:sz w:val="20"/>
          <w:szCs w:val="20"/>
        </w:rPr>
        <w:t>impact</w:t>
      </w:r>
      <w:r w:rsidR="00771836">
        <w:rPr>
          <w:rFonts w:ascii="Arial" w:hAnsi="Arial" w:cs="Arial"/>
          <w:sz w:val="20"/>
          <w:szCs w:val="20"/>
        </w:rPr>
        <w:t xml:space="preserve"> profile</w:t>
      </w:r>
      <w:r w:rsidR="00D43648">
        <w:rPr>
          <w:rFonts w:ascii="Arial" w:hAnsi="Arial" w:cs="Arial"/>
          <w:sz w:val="20"/>
          <w:szCs w:val="20"/>
        </w:rPr>
        <w:t xml:space="preserve">. They have engaged </w:t>
      </w:r>
      <w:r w:rsidR="00AF1184">
        <w:rPr>
          <w:rFonts w:ascii="Arial" w:hAnsi="Arial" w:cs="Arial"/>
          <w:sz w:val="20"/>
          <w:szCs w:val="20"/>
        </w:rPr>
        <w:t xml:space="preserve">with government </w:t>
      </w:r>
      <w:r w:rsidR="00D43648">
        <w:rPr>
          <w:rFonts w:ascii="Arial" w:hAnsi="Arial" w:cs="Arial"/>
          <w:sz w:val="20"/>
          <w:szCs w:val="20"/>
        </w:rPr>
        <w:t xml:space="preserve">widely </w:t>
      </w:r>
      <w:r w:rsidR="00AF1184">
        <w:rPr>
          <w:rFonts w:ascii="Arial" w:hAnsi="Arial" w:cs="Arial"/>
          <w:sz w:val="20"/>
          <w:szCs w:val="20"/>
        </w:rPr>
        <w:t>and substantially</w:t>
      </w:r>
      <w:r w:rsidR="00F3655E">
        <w:rPr>
          <w:rFonts w:ascii="Arial" w:hAnsi="Arial" w:cs="Arial"/>
          <w:sz w:val="20"/>
          <w:szCs w:val="20"/>
        </w:rPr>
        <w:t xml:space="preserve"> (and</w:t>
      </w:r>
      <w:r w:rsidR="00771836">
        <w:rPr>
          <w:rFonts w:ascii="Arial" w:hAnsi="Arial" w:cs="Arial"/>
          <w:sz w:val="20"/>
          <w:szCs w:val="20"/>
        </w:rPr>
        <w:t xml:space="preserve">, from comparator questions, </w:t>
      </w:r>
      <w:r w:rsidR="00FE2EE2">
        <w:rPr>
          <w:rFonts w:ascii="Arial" w:hAnsi="Arial" w:cs="Arial"/>
          <w:sz w:val="20"/>
          <w:szCs w:val="20"/>
        </w:rPr>
        <w:t xml:space="preserve">over </w:t>
      </w:r>
      <w:r w:rsidR="00F3655E">
        <w:rPr>
          <w:rFonts w:ascii="Arial" w:hAnsi="Arial" w:cs="Arial"/>
          <w:sz w:val="20"/>
          <w:szCs w:val="20"/>
        </w:rPr>
        <w:t xml:space="preserve">half </w:t>
      </w:r>
      <w:r w:rsidR="00FE2EE2">
        <w:rPr>
          <w:rFonts w:ascii="Arial" w:hAnsi="Arial" w:cs="Arial"/>
          <w:sz w:val="20"/>
          <w:szCs w:val="20"/>
        </w:rPr>
        <w:t>also</w:t>
      </w:r>
      <w:r w:rsidR="00F3655E">
        <w:rPr>
          <w:rFonts w:ascii="Arial" w:hAnsi="Arial" w:cs="Arial"/>
          <w:sz w:val="20"/>
          <w:szCs w:val="20"/>
        </w:rPr>
        <w:t xml:space="preserve"> </w:t>
      </w:r>
      <w:r w:rsidR="00771836">
        <w:rPr>
          <w:rFonts w:ascii="Arial" w:hAnsi="Arial" w:cs="Arial"/>
          <w:sz w:val="20"/>
          <w:szCs w:val="20"/>
        </w:rPr>
        <w:t>engaged</w:t>
      </w:r>
      <w:r w:rsidR="00F3655E">
        <w:rPr>
          <w:rFonts w:ascii="Arial" w:hAnsi="Arial" w:cs="Arial"/>
          <w:sz w:val="20"/>
          <w:szCs w:val="20"/>
        </w:rPr>
        <w:t xml:space="preserve"> with</w:t>
      </w:r>
      <w:r w:rsidR="00FE2EE2">
        <w:rPr>
          <w:rFonts w:ascii="Arial" w:hAnsi="Arial" w:cs="Arial"/>
          <w:sz w:val="20"/>
          <w:szCs w:val="20"/>
        </w:rPr>
        <w:t xml:space="preserve"> </w:t>
      </w:r>
      <w:r w:rsidR="00F3655E">
        <w:rPr>
          <w:rFonts w:ascii="Arial" w:hAnsi="Arial" w:cs="Arial"/>
          <w:sz w:val="20"/>
          <w:szCs w:val="20"/>
        </w:rPr>
        <w:t>EU bodies,</w:t>
      </w:r>
      <w:r w:rsidR="00FE2EE2">
        <w:rPr>
          <w:rFonts w:ascii="Arial" w:hAnsi="Arial" w:cs="Arial"/>
          <w:sz w:val="20"/>
          <w:szCs w:val="20"/>
        </w:rPr>
        <w:t xml:space="preserve"> parliament, the private sector and</w:t>
      </w:r>
      <w:r w:rsidR="00771836">
        <w:rPr>
          <w:rFonts w:ascii="Arial" w:hAnsi="Arial" w:cs="Arial"/>
          <w:sz w:val="20"/>
          <w:szCs w:val="20"/>
        </w:rPr>
        <w:t>/or</w:t>
      </w:r>
      <w:r w:rsidR="00F3655E">
        <w:rPr>
          <w:rFonts w:ascii="Arial" w:hAnsi="Arial" w:cs="Arial"/>
          <w:sz w:val="20"/>
          <w:szCs w:val="20"/>
        </w:rPr>
        <w:t xml:space="preserve"> civil society)</w:t>
      </w:r>
      <w:r w:rsidR="00D43648">
        <w:rPr>
          <w:rFonts w:ascii="Arial" w:hAnsi="Arial" w:cs="Arial"/>
          <w:sz w:val="20"/>
          <w:szCs w:val="20"/>
        </w:rPr>
        <w:t>.</w:t>
      </w:r>
      <w:r w:rsidR="00AF1184">
        <w:rPr>
          <w:rFonts w:ascii="Arial" w:hAnsi="Arial" w:cs="Arial"/>
          <w:sz w:val="20"/>
          <w:szCs w:val="20"/>
        </w:rPr>
        <w:t xml:space="preserve"> The areas of government with which they engaged suggest they are ge</w:t>
      </w:r>
      <w:r w:rsidR="00D43648">
        <w:rPr>
          <w:rFonts w:ascii="Arial" w:hAnsi="Arial" w:cs="Arial"/>
          <w:sz w:val="20"/>
          <w:szCs w:val="20"/>
        </w:rPr>
        <w:t>nerally representative of the engagement reported in the REF.</w:t>
      </w:r>
      <w:r w:rsidR="00AF1184">
        <w:rPr>
          <w:rFonts w:ascii="Arial" w:hAnsi="Arial" w:cs="Arial"/>
          <w:sz w:val="20"/>
          <w:szCs w:val="20"/>
        </w:rPr>
        <w:t xml:space="preserve"> Their view of the relevance of their research suggests that even those who have had moderate or limited engagement with government are very likely to have turned their minds to the ways that government might be engaged. Moreover, this is a </w:t>
      </w:r>
      <w:r w:rsidR="00FE2EE2">
        <w:rPr>
          <w:rFonts w:ascii="Arial" w:hAnsi="Arial" w:cs="Arial"/>
          <w:sz w:val="20"/>
          <w:szCs w:val="20"/>
        </w:rPr>
        <w:t xml:space="preserve">very </w:t>
      </w:r>
      <w:r w:rsidR="00AF1184">
        <w:rPr>
          <w:rFonts w:ascii="Arial" w:hAnsi="Arial" w:cs="Arial"/>
          <w:sz w:val="20"/>
          <w:szCs w:val="20"/>
        </w:rPr>
        <w:t>well-informe</w:t>
      </w:r>
      <w:r w:rsidR="00AB5FD2">
        <w:rPr>
          <w:rFonts w:ascii="Arial" w:hAnsi="Arial" w:cs="Arial"/>
          <w:sz w:val="20"/>
          <w:szCs w:val="20"/>
        </w:rPr>
        <w:t xml:space="preserve">d group in comparison to other </w:t>
      </w:r>
      <w:r w:rsidR="00AF1184">
        <w:rPr>
          <w:rFonts w:ascii="Arial" w:hAnsi="Arial" w:cs="Arial"/>
          <w:sz w:val="20"/>
          <w:szCs w:val="20"/>
        </w:rPr>
        <w:t>academics</w:t>
      </w:r>
      <w:r w:rsidR="0006065D">
        <w:rPr>
          <w:rFonts w:ascii="Arial" w:hAnsi="Arial" w:cs="Arial"/>
          <w:sz w:val="20"/>
          <w:szCs w:val="20"/>
        </w:rPr>
        <w:t>:</w:t>
      </w:r>
      <w:r w:rsidR="000070C0">
        <w:rPr>
          <w:rFonts w:ascii="Arial" w:hAnsi="Arial" w:cs="Arial"/>
          <w:sz w:val="20"/>
          <w:szCs w:val="20"/>
        </w:rPr>
        <w:t xml:space="preserve"> 55 of </w:t>
      </w:r>
      <w:r w:rsidR="00AF1184">
        <w:rPr>
          <w:rFonts w:ascii="Arial" w:hAnsi="Arial" w:cs="Arial"/>
          <w:sz w:val="20"/>
          <w:szCs w:val="20"/>
        </w:rPr>
        <w:t xml:space="preserve">99 </w:t>
      </w:r>
      <w:r w:rsidR="000070C0">
        <w:rPr>
          <w:rFonts w:ascii="Arial" w:hAnsi="Arial" w:cs="Arial"/>
          <w:sz w:val="20"/>
          <w:szCs w:val="20"/>
        </w:rPr>
        <w:t xml:space="preserve">respondents strongly agreed or </w:t>
      </w:r>
      <w:r w:rsidR="000070C0" w:rsidRPr="00AD3448">
        <w:rPr>
          <w:rFonts w:ascii="Arial" w:hAnsi="Arial" w:cs="Arial"/>
          <w:sz w:val="20"/>
          <w:szCs w:val="20"/>
        </w:rPr>
        <w:t xml:space="preserve">agreed with the </w:t>
      </w:r>
      <w:r w:rsidR="00FE2EE2" w:rsidRPr="00AD3448">
        <w:rPr>
          <w:rFonts w:ascii="Arial" w:hAnsi="Arial" w:cs="Arial"/>
          <w:sz w:val="20"/>
          <w:szCs w:val="20"/>
        </w:rPr>
        <w:t>statement,</w:t>
      </w:r>
      <w:r w:rsidR="000070C0" w:rsidRPr="00AD3448">
        <w:rPr>
          <w:rFonts w:ascii="Arial" w:hAnsi="Arial" w:cs="Arial"/>
          <w:sz w:val="20"/>
          <w:szCs w:val="20"/>
        </w:rPr>
        <w:t xml:space="preserve"> </w:t>
      </w:r>
      <w:r w:rsidR="00FF4FD1" w:rsidRPr="00AD3448">
        <w:rPr>
          <w:rFonts w:ascii="Arial" w:hAnsi="Arial" w:cs="Arial"/>
          <w:sz w:val="20"/>
          <w:szCs w:val="20"/>
        </w:rPr>
        <w:t>‘</w:t>
      </w:r>
      <w:r w:rsidR="00AF1184" w:rsidRPr="00AD3448">
        <w:rPr>
          <w:rFonts w:ascii="Arial" w:hAnsi="Arial" w:cs="Arial"/>
          <w:sz w:val="20"/>
          <w:szCs w:val="20"/>
        </w:rPr>
        <w:t>I feel that my understanding of how government departments operate and</w:t>
      </w:r>
      <w:r w:rsidR="00AF1184" w:rsidRPr="00AF1184">
        <w:rPr>
          <w:rFonts w:ascii="Arial" w:hAnsi="Arial" w:cs="Arial"/>
          <w:sz w:val="20"/>
          <w:szCs w:val="20"/>
        </w:rPr>
        <w:t xml:space="preserve"> my</w:t>
      </w:r>
      <w:r w:rsidR="00AF1184">
        <w:rPr>
          <w:rFonts w:ascii="Arial" w:hAnsi="Arial" w:cs="Arial"/>
          <w:sz w:val="20"/>
          <w:szCs w:val="20"/>
        </w:rPr>
        <w:t xml:space="preserve"> </w:t>
      </w:r>
      <w:r w:rsidR="00AF1184" w:rsidRPr="00AF1184">
        <w:rPr>
          <w:rFonts w:ascii="Arial" w:hAnsi="Arial" w:cs="Arial"/>
          <w:sz w:val="20"/>
          <w:szCs w:val="20"/>
        </w:rPr>
        <w:t>ability to bring my research to the attention of relevant people in government is</w:t>
      </w:r>
      <w:r w:rsidR="00AF1184">
        <w:rPr>
          <w:rFonts w:ascii="Arial" w:hAnsi="Arial" w:cs="Arial"/>
          <w:sz w:val="20"/>
          <w:szCs w:val="20"/>
        </w:rPr>
        <w:t xml:space="preserve"> </w:t>
      </w:r>
      <w:r w:rsidR="00AF1184" w:rsidRPr="00AF1184">
        <w:rPr>
          <w:rFonts w:ascii="Arial" w:hAnsi="Arial" w:cs="Arial"/>
          <w:sz w:val="20"/>
          <w:szCs w:val="20"/>
        </w:rPr>
        <w:t>as good as or better than most of my colleagues in my law school.</w:t>
      </w:r>
      <w:r w:rsidR="00FF4FD1">
        <w:rPr>
          <w:rFonts w:ascii="Arial" w:hAnsi="Arial" w:cs="Arial"/>
          <w:sz w:val="20"/>
          <w:szCs w:val="20"/>
        </w:rPr>
        <w:t>’</w:t>
      </w:r>
      <w:r w:rsidR="000070C0">
        <w:rPr>
          <w:rFonts w:ascii="Arial" w:hAnsi="Arial" w:cs="Arial"/>
          <w:sz w:val="20"/>
          <w:szCs w:val="20"/>
        </w:rPr>
        <w:t xml:space="preserve"> Only 16 of the 99 disagreed, strongly disagreed or replied </w:t>
      </w:r>
      <w:r w:rsidR="00FF4FD1">
        <w:rPr>
          <w:rFonts w:ascii="Arial" w:hAnsi="Arial" w:cs="Arial"/>
          <w:sz w:val="20"/>
          <w:szCs w:val="20"/>
        </w:rPr>
        <w:t>‘</w:t>
      </w:r>
      <w:r w:rsidR="000070C0">
        <w:rPr>
          <w:rFonts w:ascii="Arial" w:hAnsi="Arial" w:cs="Arial"/>
          <w:sz w:val="20"/>
          <w:szCs w:val="20"/>
        </w:rPr>
        <w:t>don’t know</w:t>
      </w:r>
      <w:r w:rsidR="00FF4FD1">
        <w:rPr>
          <w:rFonts w:ascii="Arial" w:hAnsi="Arial" w:cs="Arial"/>
          <w:sz w:val="20"/>
          <w:szCs w:val="20"/>
        </w:rPr>
        <w:t>’</w:t>
      </w:r>
      <w:r w:rsidR="000070C0">
        <w:rPr>
          <w:rFonts w:ascii="Arial" w:hAnsi="Arial" w:cs="Arial"/>
          <w:sz w:val="20"/>
          <w:szCs w:val="20"/>
        </w:rPr>
        <w:t>.</w:t>
      </w:r>
      <w:r w:rsidR="00AF1184">
        <w:rPr>
          <w:rFonts w:ascii="Arial" w:hAnsi="Arial" w:cs="Arial"/>
          <w:sz w:val="20"/>
          <w:szCs w:val="20"/>
        </w:rPr>
        <w:t xml:space="preserve"> </w:t>
      </w:r>
      <w:r w:rsidR="00D43648">
        <w:rPr>
          <w:rFonts w:ascii="Arial" w:hAnsi="Arial" w:cs="Arial"/>
          <w:sz w:val="20"/>
          <w:szCs w:val="20"/>
        </w:rPr>
        <w:t xml:space="preserve">  </w:t>
      </w:r>
    </w:p>
    <w:p w14:paraId="13F896BF" w14:textId="77777777" w:rsidR="00811105" w:rsidRDefault="00811105" w:rsidP="00E51F2A">
      <w:pPr>
        <w:spacing w:line="480" w:lineRule="auto"/>
        <w:rPr>
          <w:rFonts w:ascii="Arial" w:hAnsi="Arial" w:cs="Arial"/>
          <w:sz w:val="20"/>
          <w:szCs w:val="20"/>
        </w:rPr>
      </w:pPr>
    </w:p>
    <w:p w14:paraId="42BBD68F" w14:textId="3F699D0C" w:rsidR="00811105" w:rsidRDefault="00771836" w:rsidP="00E51F2A">
      <w:pPr>
        <w:spacing w:line="480" w:lineRule="auto"/>
        <w:rPr>
          <w:rFonts w:ascii="Arial" w:hAnsi="Arial" w:cs="Arial"/>
          <w:sz w:val="20"/>
          <w:szCs w:val="20"/>
        </w:rPr>
      </w:pPr>
      <w:r>
        <w:rPr>
          <w:rFonts w:ascii="Arial" w:hAnsi="Arial" w:cs="Arial"/>
          <w:sz w:val="20"/>
          <w:szCs w:val="20"/>
        </w:rPr>
        <w:t>In sum, the respondents as a group are highly</w:t>
      </w:r>
      <w:r w:rsidR="00811105">
        <w:rPr>
          <w:rFonts w:ascii="Arial" w:hAnsi="Arial" w:cs="Arial"/>
          <w:sz w:val="20"/>
          <w:szCs w:val="20"/>
        </w:rPr>
        <w:t xml:space="preserve"> expert, engaged and informed.</w:t>
      </w:r>
      <w:r w:rsidR="00AB5FD2">
        <w:rPr>
          <w:rFonts w:ascii="Arial" w:hAnsi="Arial" w:cs="Arial"/>
          <w:sz w:val="20"/>
          <w:szCs w:val="20"/>
        </w:rPr>
        <w:t xml:space="preserve"> </w:t>
      </w:r>
      <w:r w:rsidR="00363E34">
        <w:rPr>
          <w:rFonts w:ascii="Arial" w:hAnsi="Arial" w:cs="Arial"/>
          <w:sz w:val="20"/>
          <w:szCs w:val="20"/>
        </w:rPr>
        <w:t>What, then,</w:t>
      </w:r>
      <w:r w:rsidR="00AB5FD2">
        <w:rPr>
          <w:rFonts w:ascii="Arial" w:hAnsi="Arial" w:cs="Arial"/>
          <w:sz w:val="20"/>
          <w:szCs w:val="20"/>
        </w:rPr>
        <w:t xml:space="preserve"> was their experience of engagement and interaction with government</w:t>
      </w:r>
      <w:r w:rsidR="00363E34">
        <w:rPr>
          <w:rFonts w:ascii="Arial" w:hAnsi="Arial" w:cs="Arial"/>
          <w:sz w:val="20"/>
          <w:szCs w:val="20"/>
        </w:rPr>
        <w:t>?</w:t>
      </w:r>
    </w:p>
    <w:p w14:paraId="3B6D617D" w14:textId="77777777" w:rsidR="0055648D" w:rsidRDefault="0055648D" w:rsidP="00E51F2A">
      <w:pPr>
        <w:spacing w:line="480" w:lineRule="auto"/>
        <w:rPr>
          <w:rFonts w:ascii="Arial" w:hAnsi="Arial" w:cs="Arial"/>
          <w:sz w:val="20"/>
          <w:szCs w:val="20"/>
        </w:rPr>
      </w:pPr>
    </w:p>
    <w:p w14:paraId="4F3FA6C8" w14:textId="6447C67B" w:rsidR="00363E34" w:rsidRPr="004A0A09" w:rsidRDefault="00363E34" w:rsidP="00E51F2A">
      <w:pPr>
        <w:pStyle w:val="ListParagraph"/>
        <w:numPr>
          <w:ilvl w:val="0"/>
          <w:numId w:val="14"/>
        </w:numPr>
        <w:spacing w:line="480" w:lineRule="auto"/>
        <w:rPr>
          <w:rFonts w:ascii="Arial" w:hAnsi="Arial" w:cs="Arial"/>
          <w:b/>
          <w:sz w:val="20"/>
          <w:szCs w:val="20"/>
        </w:rPr>
      </w:pPr>
      <w:r w:rsidRPr="004A0A09">
        <w:rPr>
          <w:rFonts w:ascii="Arial" w:hAnsi="Arial" w:cs="Arial"/>
          <w:b/>
          <w:sz w:val="20"/>
          <w:szCs w:val="20"/>
        </w:rPr>
        <w:t>The first stages of engaging with government</w:t>
      </w:r>
    </w:p>
    <w:p w14:paraId="749200FA" w14:textId="106B7AB6" w:rsidR="00BD7D41" w:rsidRDefault="00363E34" w:rsidP="00E51F2A">
      <w:pPr>
        <w:spacing w:line="480" w:lineRule="auto"/>
        <w:rPr>
          <w:rFonts w:ascii="Arial" w:hAnsi="Arial" w:cs="Arial"/>
          <w:sz w:val="20"/>
          <w:szCs w:val="20"/>
        </w:rPr>
      </w:pPr>
      <w:r>
        <w:rPr>
          <w:rFonts w:ascii="Arial" w:hAnsi="Arial" w:cs="Arial"/>
          <w:sz w:val="20"/>
          <w:szCs w:val="20"/>
        </w:rPr>
        <w:t xml:space="preserve">Respondents </w:t>
      </w:r>
      <w:r w:rsidR="00BD7D41">
        <w:rPr>
          <w:rFonts w:ascii="Arial" w:hAnsi="Arial" w:cs="Arial"/>
          <w:sz w:val="20"/>
          <w:szCs w:val="20"/>
        </w:rPr>
        <w:t>were asked what</w:t>
      </w:r>
      <w:r>
        <w:rPr>
          <w:rFonts w:ascii="Arial" w:hAnsi="Arial" w:cs="Arial"/>
          <w:sz w:val="20"/>
          <w:szCs w:val="20"/>
        </w:rPr>
        <w:t xml:space="preserve"> </w:t>
      </w:r>
      <w:r w:rsidR="00BD7D41">
        <w:rPr>
          <w:rFonts w:ascii="Arial" w:hAnsi="Arial" w:cs="Arial"/>
          <w:sz w:val="20"/>
          <w:szCs w:val="20"/>
        </w:rPr>
        <w:t xml:space="preserve">best described the first stages of their communication with a government department, choosing up to three options from a list divided into </w:t>
      </w:r>
      <w:r w:rsidR="001B5045">
        <w:rPr>
          <w:rFonts w:ascii="Arial" w:hAnsi="Arial" w:cs="Arial"/>
          <w:sz w:val="20"/>
          <w:szCs w:val="20"/>
        </w:rPr>
        <w:t>four</w:t>
      </w:r>
      <w:r w:rsidR="00BD7D41">
        <w:rPr>
          <w:rFonts w:ascii="Arial" w:hAnsi="Arial" w:cs="Arial"/>
          <w:sz w:val="20"/>
          <w:szCs w:val="20"/>
        </w:rPr>
        <w:t xml:space="preserve"> sections:</w:t>
      </w:r>
    </w:p>
    <w:p w14:paraId="4BE844C1" w14:textId="77777777" w:rsidR="00BD7D41" w:rsidRPr="00BD7D41" w:rsidRDefault="00BD7D41" w:rsidP="00E51F2A">
      <w:pPr>
        <w:pStyle w:val="ListParagraph"/>
        <w:numPr>
          <w:ilvl w:val="0"/>
          <w:numId w:val="10"/>
        </w:numPr>
        <w:spacing w:line="480" w:lineRule="auto"/>
        <w:rPr>
          <w:rFonts w:ascii="Arial" w:hAnsi="Arial" w:cs="Arial"/>
          <w:sz w:val="20"/>
          <w:szCs w:val="20"/>
        </w:rPr>
      </w:pPr>
      <w:r w:rsidRPr="00BD7D41">
        <w:rPr>
          <w:rFonts w:ascii="Arial" w:hAnsi="Arial" w:cs="Arial"/>
          <w:sz w:val="20"/>
          <w:szCs w:val="20"/>
        </w:rPr>
        <w:t>A mutual engagement (two options)</w:t>
      </w:r>
    </w:p>
    <w:p w14:paraId="7DC864D1" w14:textId="7236BEE4" w:rsidR="00BD7D41" w:rsidRPr="00BD7D41" w:rsidRDefault="00BD7D41" w:rsidP="00E51F2A">
      <w:pPr>
        <w:pStyle w:val="ListParagraph"/>
        <w:numPr>
          <w:ilvl w:val="0"/>
          <w:numId w:val="10"/>
        </w:numPr>
        <w:spacing w:line="480" w:lineRule="auto"/>
        <w:rPr>
          <w:rFonts w:ascii="Arial" w:hAnsi="Arial" w:cs="Arial"/>
          <w:sz w:val="20"/>
          <w:szCs w:val="20"/>
        </w:rPr>
      </w:pPr>
      <w:r w:rsidRPr="00BD7D41">
        <w:rPr>
          <w:rFonts w:ascii="Arial" w:hAnsi="Arial" w:cs="Arial"/>
          <w:sz w:val="20"/>
          <w:szCs w:val="20"/>
        </w:rPr>
        <w:t>You were approached by them (seven options)</w:t>
      </w:r>
    </w:p>
    <w:p w14:paraId="3946195B" w14:textId="77777777" w:rsidR="00BD7D41" w:rsidRPr="00BD7D41" w:rsidRDefault="00BD7D41" w:rsidP="00E51F2A">
      <w:pPr>
        <w:pStyle w:val="ListParagraph"/>
        <w:numPr>
          <w:ilvl w:val="0"/>
          <w:numId w:val="10"/>
        </w:numPr>
        <w:spacing w:line="480" w:lineRule="auto"/>
        <w:rPr>
          <w:rFonts w:ascii="Arial" w:hAnsi="Arial" w:cs="Arial"/>
          <w:sz w:val="20"/>
          <w:szCs w:val="20"/>
        </w:rPr>
      </w:pPr>
      <w:r w:rsidRPr="00BD7D41">
        <w:rPr>
          <w:rFonts w:ascii="Arial" w:hAnsi="Arial" w:cs="Arial"/>
          <w:sz w:val="20"/>
          <w:szCs w:val="20"/>
        </w:rPr>
        <w:t>You made an approach (seven options)</w:t>
      </w:r>
    </w:p>
    <w:p w14:paraId="57EE1927" w14:textId="416EFEEA" w:rsidR="00363E34" w:rsidRDefault="00BD7D41" w:rsidP="00E51F2A">
      <w:pPr>
        <w:pStyle w:val="ListParagraph"/>
        <w:numPr>
          <w:ilvl w:val="0"/>
          <w:numId w:val="10"/>
        </w:numPr>
        <w:spacing w:line="480" w:lineRule="auto"/>
        <w:rPr>
          <w:rFonts w:ascii="Arial" w:hAnsi="Arial" w:cs="Arial"/>
          <w:sz w:val="20"/>
          <w:szCs w:val="20"/>
        </w:rPr>
      </w:pPr>
      <w:r w:rsidRPr="00BD7D41">
        <w:rPr>
          <w:rFonts w:ascii="Arial" w:hAnsi="Arial" w:cs="Arial"/>
          <w:sz w:val="20"/>
          <w:szCs w:val="20"/>
        </w:rPr>
        <w:t xml:space="preserve">Not applicable – </w:t>
      </w:r>
      <w:r w:rsidR="00CE428C">
        <w:rPr>
          <w:rFonts w:ascii="Arial" w:hAnsi="Arial" w:cs="Arial"/>
          <w:sz w:val="20"/>
          <w:szCs w:val="20"/>
        </w:rPr>
        <w:t xml:space="preserve">I was </w:t>
      </w:r>
      <w:r w:rsidRPr="00BD7D41">
        <w:rPr>
          <w:rFonts w:ascii="Arial" w:hAnsi="Arial" w:cs="Arial"/>
          <w:sz w:val="20"/>
          <w:szCs w:val="20"/>
        </w:rPr>
        <w:t xml:space="preserve">neither approached nor made an approach. </w:t>
      </w:r>
      <w:r w:rsidR="00363E34" w:rsidRPr="00BD7D41">
        <w:rPr>
          <w:rFonts w:ascii="Arial" w:hAnsi="Arial" w:cs="Arial"/>
          <w:sz w:val="20"/>
          <w:szCs w:val="20"/>
        </w:rPr>
        <w:t xml:space="preserve"> </w:t>
      </w:r>
    </w:p>
    <w:p w14:paraId="45AC217A" w14:textId="77777777" w:rsidR="00DC2A16" w:rsidRDefault="00DC2A16" w:rsidP="00E51F2A">
      <w:pPr>
        <w:spacing w:line="480" w:lineRule="auto"/>
        <w:rPr>
          <w:rFonts w:ascii="Arial" w:hAnsi="Arial" w:cs="Arial"/>
          <w:sz w:val="20"/>
          <w:szCs w:val="20"/>
        </w:rPr>
      </w:pPr>
    </w:p>
    <w:p w14:paraId="646E4A5D" w14:textId="77777777" w:rsidR="00DC2A16" w:rsidRDefault="00DC2A16" w:rsidP="00E51F2A">
      <w:pPr>
        <w:spacing w:line="480" w:lineRule="auto"/>
        <w:rPr>
          <w:rFonts w:ascii="Arial" w:hAnsi="Arial" w:cs="Arial"/>
          <w:sz w:val="20"/>
          <w:szCs w:val="20"/>
        </w:rPr>
      </w:pPr>
    </w:p>
    <w:p w14:paraId="7627AE52" w14:textId="6566D65B" w:rsidR="00DC2A16" w:rsidRDefault="00DC2A16" w:rsidP="00E51F2A">
      <w:pPr>
        <w:spacing w:line="480" w:lineRule="auto"/>
        <w:rPr>
          <w:rFonts w:ascii="Arial" w:hAnsi="Arial" w:cs="Arial"/>
          <w:sz w:val="20"/>
          <w:szCs w:val="20"/>
        </w:rPr>
      </w:pPr>
    </w:p>
    <w:p w14:paraId="6B576624" w14:textId="77777777" w:rsidR="00DC2A16" w:rsidRPr="00DC2A16" w:rsidRDefault="00DC2A16" w:rsidP="00E51F2A">
      <w:pPr>
        <w:spacing w:line="480" w:lineRule="auto"/>
        <w:rPr>
          <w:rFonts w:ascii="Arial" w:hAnsi="Arial" w:cs="Arial"/>
          <w:sz w:val="20"/>
          <w:szCs w:val="20"/>
        </w:rPr>
      </w:pPr>
    </w:p>
    <w:p w14:paraId="7151689D" w14:textId="77777777" w:rsidR="0055648D" w:rsidRDefault="0055648D" w:rsidP="00E51F2A">
      <w:pPr>
        <w:spacing w:line="480" w:lineRule="auto"/>
        <w:rPr>
          <w:rFonts w:ascii="Arial" w:hAnsi="Arial" w:cs="Arial"/>
          <w:sz w:val="20"/>
          <w:szCs w:val="20"/>
        </w:rPr>
      </w:pPr>
    </w:p>
    <w:p w14:paraId="0652B013" w14:textId="791C4134" w:rsidR="00BD7D41" w:rsidRDefault="0006065D" w:rsidP="00E51F2A">
      <w:pPr>
        <w:spacing w:line="480" w:lineRule="auto"/>
        <w:rPr>
          <w:rFonts w:ascii="Arial" w:hAnsi="Arial" w:cs="Arial"/>
          <w:sz w:val="20"/>
          <w:szCs w:val="20"/>
        </w:rPr>
      </w:pPr>
      <w:r>
        <w:rPr>
          <w:rFonts w:ascii="Arial" w:hAnsi="Arial" w:cs="Arial"/>
          <w:sz w:val="20"/>
          <w:szCs w:val="20"/>
        </w:rPr>
        <w:t xml:space="preserve">Results are shown in Figure 4. </w:t>
      </w:r>
      <w:r w:rsidR="000C299B">
        <w:rPr>
          <w:rFonts w:ascii="Arial" w:hAnsi="Arial" w:cs="Arial"/>
          <w:sz w:val="20"/>
          <w:szCs w:val="20"/>
        </w:rPr>
        <w:t>U</w:t>
      </w:r>
      <w:r w:rsidR="00B7480E">
        <w:rPr>
          <w:rFonts w:ascii="Arial" w:hAnsi="Arial" w:cs="Arial"/>
          <w:sz w:val="20"/>
          <w:szCs w:val="20"/>
        </w:rPr>
        <w:t>nsurprising</w:t>
      </w:r>
      <w:r w:rsidR="000C299B">
        <w:rPr>
          <w:rFonts w:ascii="Arial" w:hAnsi="Arial" w:cs="Arial"/>
          <w:sz w:val="20"/>
          <w:szCs w:val="20"/>
        </w:rPr>
        <w:t xml:space="preserve">ly, </w:t>
      </w:r>
      <w:r w:rsidR="00B7480E">
        <w:rPr>
          <w:rFonts w:ascii="Arial" w:hAnsi="Arial" w:cs="Arial"/>
          <w:sz w:val="20"/>
          <w:szCs w:val="20"/>
        </w:rPr>
        <w:t>commissioned research occupies a substantial pl</w:t>
      </w:r>
      <w:r w:rsidR="000C299B">
        <w:rPr>
          <w:rFonts w:ascii="Arial" w:hAnsi="Arial" w:cs="Arial"/>
          <w:sz w:val="20"/>
          <w:szCs w:val="20"/>
        </w:rPr>
        <w:t xml:space="preserve">ace here; one would expect </w:t>
      </w:r>
      <w:r w:rsidR="00D8709F">
        <w:rPr>
          <w:rFonts w:ascii="Arial" w:hAnsi="Arial" w:cs="Arial"/>
          <w:sz w:val="20"/>
          <w:szCs w:val="20"/>
        </w:rPr>
        <w:t xml:space="preserve">such research </w:t>
      </w:r>
      <w:r w:rsidR="000C299B">
        <w:rPr>
          <w:rFonts w:ascii="Arial" w:hAnsi="Arial" w:cs="Arial"/>
          <w:sz w:val="20"/>
          <w:szCs w:val="20"/>
        </w:rPr>
        <w:t>to have good prospects for impact</w:t>
      </w:r>
      <w:r w:rsidR="00B7480E">
        <w:rPr>
          <w:rFonts w:ascii="Arial" w:hAnsi="Arial" w:cs="Arial"/>
          <w:sz w:val="20"/>
          <w:szCs w:val="20"/>
        </w:rPr>
        <w:t xml:space="preserve"> and </w:t>
      </w:r>
      <w:r w:rsidR="000C299B">
        <w:rPr>
          <w:rFonts w:ascii="Arial" w:hAnsi="Arial" w:cs="Arial"/>
          <w:sz w:val="20"/>
          <w:szCs w:val="20"/>
        </w:rPr>
        <w:t xml:space="preserve">thus </w:t>
      </w:r>
      <w:r w:rsidR="00B7480E">
        <w:rPr>
          <w:rFonts w:ascii="Arial" w:hAnsi="Arial" w:cs="Arial"/>
          <w:sz w:val="20"/>
          <w:szCs w:val="20"/>
        </w:rPr>
        <w:t>likely to be included in case studies. What is more interesting and striking is that</w:t>
      </w:r>
      <w:r w:rsidR="000C299B">
        <w:rPr>
          <w:rFonts w:ascii="Arial" w:hAnsi="Arial" w:cs="Arial"/>
          <w:sz w:val="20"/>
          <w:szCs w:val="20"/>
        </w:rPr>
        <w:t xml:space="preserve"> so many</w:t>
      </w:r>
      <w:r w:rsidR="00B7480E">
        <w:rPr>
          <w:rFonts w:ascii="Arial" w:hAnsi="Arial" w:cs="Arial"/>
          <w:sz w:val="20"/>
          <w:szCs w:val="20"/>
        </w:rPr>
        <w:t xml:space="preserve"> approaches were made on the basis of expertise generally. </w:t>
      </w:r>
      <w:r w:rsidR="000C299B">
        <w:rPr>
          <w:rFonts w:ascii="Arial" w:hAnsi="Arial" w:cs="Arial"/>
          <w:sz w:val="20"/>
          <w:szCs w:val="20"/>
        </w:rPr>
        <w:t>I</w:t>
      </w:r>
      <w:r w:rsidR="008A1A8E">
        <w:rPr>
          <w:rFonts w:ascii="Arial" w:hAnsi="Arial" w:cs="Arial"/>
          <w:sz w:val="20"/>
          <w:szCs w:val="20"/>
        </w:rPr>
        <w:t>n just over a third of those approaches, neither particular research nor a consultation response</w:t>
      </w:r>
      <w:r w:rsidR="00E24FAD">
        <w:rPr>
          <w:rFonts w:ascii="Arial" w:hAnsi="Arial" w:cs="Arial"/>
          <w:sz w:val="20"/>
          <w:szCs w:val="20"/>
        </w:rPr>
        <w:t xml:space="preserve"> was cited alongsid</w:t>
      </w:r>
      <w:r w:rsidR="000E2217">
        <w:rPr>
          <w:rFonts w:ascii="Arial" w:hAnsi="Arial" w:cs="Arial"/>
          <w:sz w:val="20"/>
          <w:szCs w:val="20"/>
        </w:rPr>
        <w:t>e that general expertise. Only six</w:t>
      </w:r>
      <w:r w:rsidR="000C299B">
        <w:rPr>
          <w:rFonts w:ascii="Arial" w:hAnsi="Arial" w:cs="Arial"/>
          <w:sz w:val="20"/>
          <w:szCs w:val="20"/>
        </w:rPr>
        <w:t xml:space="preserve"> of thos</w:t>
      </w:r>
      <w:r w:rsidR="00E24FAD">
        <w:rPr>
          <w:rFonts w:ascii="Arial" w:hAnsi="Arial" w:cs="Arial"/>
          <w:sz w:val="20"/>
          <w:szCs w:val="20"/>
        </w:rPr>
        <w:t xml:space="preserve">e respondents indicated that they had made a response to a formal consultation. </w:t>
      </w:r>
      <w:r w:rsidR="000C299B">
        <w:rPr>
          <w:rFonts w:ascii="Arial" w:hAnsi="Arial" w:cs="Arial"/>
          <w:sz w:val="20"/>
          <w:szCs w:val="20"/>
        </w:rPr>
        <w:t xml:space="preserve">These patterns </w:t>
      </w:r>
      <w:r w:rsidR="007E76D9">
        <w:rPr>
          <w:rFonts w:ascii="Arial" w:hAnsi="Arial" w:cs="Arial"/>
          <w:sz w:val="20"/>
          <w:szCs w:val="20"/>
        </w:rPr>
        <w:t xml:space="preserve">seem to suggest </w:t>
      </w:r>
      <w:r w:rsidR="00E24FAD">
        <w:rPr>
          <w:rFonts w:ascii="Arial" w:hAnsi="Arial" w:cs="Arial"/>
          <w:sz w:val="20"/>
          <w:szCs w:val="20"/>
        </w:rPr>
        <w:t xml:space="preserve">that government </w:t>
      </w:r>
      <w:r w:rsidR="000E2217">
        <w:rPr>
          <w:rFonts w:ascii="Arial" w:hAnsi="Arial" w:cs="Arial"/>
          <w:sz w:val="20"/>
          <w:szCs w:val="20"/>
        </w:rPr>
        <w:t>is looking for experts</w:t>
      </w:r>
      <w:r w:rsidR="00E24FAD">
        <w:rPr>
          <w:rFonts w:ascii="Arial" w:hAnsi="Arial" w:cs="Arial"/>
          <w:sz w:val="20"/>
          <w:szCs w:val="20"/>
        </w:rPr>
        <w:t xml:space="preserve"> </w:t>
      </w:r>
      <w:r w:rsidR="000E2217">
        <w:rPr>
          <w:rFonts w:ascii="Arial" w:hAnsi="Arial" w:cs="Arial"/>
          <w:sz w:val="20"/>
          <w:szCs w:val="20"/>
        </w:rPr>
        <w:t xml:space="preserve">who can </w:t>
      </w:r>
      <w:r w:rsidR="00E24FAD">
        <w:rPr>
          <w:rFonts w:ascii="Arial" w:hAnsi="Arial" w:cs="Arial"/>
          <w:sz w:val="20"/>
          <w:szCs w:val="20"/>
        </w:rPr>
        <w:t xml:space="preserve">meet </w:t>
      </w:r>
      <w:r w:rsidR="000E2217">
        <w:rPr>
          <w:rFonts w:ascii="Arial" w:hAnsi="Arial" w:cs="Arial"/>
          <w:sz w:val="20"/>
          <w:szCs w:val="20"/>
        </w:rPr>
        <w:t xml:space="preserve">the </w:t>
      </w:r>
      <w:r w:rsidR="00E24FAD">
        <w:rPr>
          <w:rFonts w:ascii="Arial" w:hAnsi="Arial" w:cs="Arial"/>
          <w:sz w:val="20"/>
          <w:szCs w:val="20"/>
        </w:rPr>
        <w:t>needs and quest</w:t>
      </w:r>
      <w:r w:rsidR="00730468">
        <w:rPr>
          <w:rFonts w:ascii="Arial" w:hAnsi="Arial" w:cs="Arial"/>
          <w:sz w:val="20"/>
          <w:szCs w:val="20"/>
        </w:rPr>
        <w:t>ions it has at any given time</w:t>
      </w:r>
      <w:r w:rsidR="000E2217">
        <w:rPr>
          <w:rFonts w:ascii="Arial" w:hAnsi="Arial" w:cs="Arial"/>
          <w:sz w:val="20"/>
          <w:szCs w:val="20"/>
        </w:rPr>
        <w:t xml:space="preserve">, rather than </w:t>
      </w:r>
      <w:r w:rsidR="000E2217" w:rsidRPr="002E128A">
        <w:rPr>
          <w:rFonts w:ascii="Arial" w:hAnsi="Arial" w:cs="Arial"/>
          <w:sz w:val="20"/>
          <w:szCs w:val="20"/>
        </w:rPr>
        <w:t>picking up on specific research that has been conducted by those experts</w:t>
      </w:r>
      <w:r w:rsidR="00730468" w:rsidRPr="002E128A">
        <w:rPr>
          <w:rFonts w:ascii="Arial" w:hAnsi="Arial" w:cs="Arial"/>
          <w:sz w:val="20"/>
          <w:szCs w:val="20"/>
        </w:rPr>
        <w:t xml:space="preserve">. </w:t>
      </w:r>
      <w:r w:rsidR="0041237A">
        <w:rPr>
          <w:rFonts w:ascii="Arial" w:hAnsi="Arial" w:cs="Arial"/>
          <w:sz w:val="20"/>
          <w:szCs w:val="20"/>
        </w:rPr>
        <w:t>A number of c</w:t>
      </w:r>
      <w:r w:rsidR="00CE2692" w:rsidRPr="002E128A">
        <w:rPr>
          <w:rFonts w:ascii="Arial" w:hAnsi="Arial" w:cs="Arial"/>
          <w:sz w:val="20"/>
          <w:szCs w:val="20"/>
        </w:rPr>
        <w:t>omments also indicated</w:t>
      </w:r>
      <w:r w:rsidR="00CE2692">
        <w:rPr>
          <w:rFonts w:ascii="Arial" w:hAnsi="Arial" w:cs="Arial"/>
          <w:sz w:val="20"/>
          <w:szCs w:val="20"/>
        </w:rPr>
        <w:t xml:space="preserve"> that the approaches </w:t>
      </w:r>
      <w:r w:rsidR="00245531">
        <w:rPr>
          <w:rFonts w:ascii="Arial" w:hAnsi="Arial" w:cs="Arial"/>
          <w:sz w:val="20"/>
          <w:szCs w:val="20"/>
        </w:rPr>
        <w:t xml:space="preserve">did not link to specific outputs but </w:t>
      </w:r>
      <w:r w:rsidR="00CE2692">
        <w:rPr>
          <w:rFonts w:ascii="Arial" w:hAnsi="Arial" w:cs="Arial"/>
          <w:sz w:val="20"/>
          <w:szCs w:val="20"/>
        </w:rPr>
        <w:t xml:space="preserve">sat within frameworks of </w:t>
      </w:r>
      <w:r w:rsidR="00245531">
        <w:rPr>
          <w:rFonts w:ascii="Arial" w:hAnsi="Arial" w:cs="Arial"/>
          <w:sz w:val="20"/>
          <w:szCs w:val="20"/>
        </w:rPr>
        <w:t xml:space="preserve">wider </w:t>
      </w:r>
      <w:r w:rsidR="00CE2692">
        <w:rPr>
          <w:rFonts w:ascii="Arial" w:hAnsi="Arial" w:cs="Arial"/>
          <w:sz w:val="20"/>
          <w:szCs w:val="20"/>
        </w:rPr>
        <w:t xml:space="preserve">contact, including </w:t>
      </w:r>
      <w:r w:rsidR="006E6B55">
        <w:rPr>
          <w:rFonts w:ascii="Arial" w:hAnsi="Arial" w:cs="Arial"/>
          <w:sz w:val="20"/>
          <w:szCs w:val="20"/>
        </w:rPr>
        <w:t>‘</w:t>
      </w:r>
      <w:r w:rsidR="00DB068E">
        <w:rPr>
          <w:rFonts w:ascii="Arial" w:hAnsi="Arial" w:cs="Arial"/>
          <w:sz w:val="20"/>
          <w:szCs w:val="20"/>
        </w:rPr>
        <w:t>long, ongoing relationships</w:t>
      </w:r>
      <w:r w:rsidR="006E6B55">
        <w:rPr>
          <w:rFonts w:ascii="Arial" w:hAnsi="Arial" w:cs="Arial"/>
          <w:sz w:val="20"/>
          <w:szCs w:val="20"/>
        </w:rPr>
        <w:t>’</w:t>
      </w:r>
      <w:r w:rsidR="0041237A">
        <w:rPr>
          <w:rFonts w:ascii="Arial" w:hAnsi="Arial" w:cs="Arial"/>
          <w:sz w:val="20"/>
          <w:szCs w:val="20"/>
        </w:rPr>
        <w:t>.</w:t>
      </w:r>
      <w:r w:rsidR="006E6B55">
        <w:rPr>
          <w:rStyle w:val="FootnoteReference"/>
          <w:rFonts w:ascii="Arial" w:hAnsi="Arial" w:cs="Arial"/>
          <w:sz w:val="20"/>
          <w:szCs w:val="20"/>
        </w:rPr>
        <w:footnoteReference w:id="39"/>
      </w:r>
      <w:r w:rsidR="008A1A8E">
        <w:rPr>
          <w:rFonts w:ascii="Arial" w:hAnsi="Arial" w:cs="Arial"/>
          <w:sz w:val="20"/>
          <w:szCs w:val="20"/>
        </w:rPr>
        <w:t xml:space="preserve"> </w:t>
      </w:r>
      <w:r w:rsidR="00EE2F81">
        <w:rPr>
          <w:rFonts w:ascii="Arial" w:hAnsi="Arial" w:cs="Arial"/>
          <w:sz w:val="20"/>
          <w:szCs w:val="20"/>
        </w:rPr>
        <w:t>Similarly, it was observed that ‘impact can occur before the research is complete, and certainly before the publications are produced’ and that the ‘non-linear’ nature of the processes needed more emphasis and exploration.</w:t>
      </w:r>
      <w:r w:rsidR="00EE2F81">
        <w:rPr>
          <w:rStyle w:val="FootnoteReference"/>
          <w:rFonts w:ascii="Arial" w:hAnsi="Arial" w:cs="Arial"/>
          <w:sz w:val="20"/>
          <w:szCs w:val="20"/>
        </w:rPr>
        <w:footnoteReference w:id="40"/>
      </w:r>
      <w:r w:rsidR="00EE2F81">
        <w:rPr>
          <w:rFonts w:ascii="Arial" w:hAnsi="Arial" w:cs="Arial"/>
          <w:sz w:val="20"/>
          <w:szCs w:val="20"/>
        </w:rPr>
        <w:t xml:space="preserve"> </w:t>
      </w:r>
      <w:r w:rsidR="00245531">
        <w:rPr>
          <w:rFonts w:ascii="Arial" w:hAnsi="Arial" w:cs="Arial"/>
          <w:sz w:val="20"/>
          <w:szCs w:val="20"/>
        </w:rPr>
        <w:t xml:space="preserve">There was considerable </w:t>
      </w:r>
      <w:r w:rsidR="00B04739">
        <w:rPr>
          <w:rFonts w:ascii="Arial" w:hAnsi="Arial" w:cs="Arial"/>
          <w:sz w:val="20"/>
          <w:szCs w:val="20"/>
        </w:rPr>
        <w:t xml:space="preserve">criticism </w:t>
      </w:r>
      <w:r w:rsidR="00245531">
        <w:rPr>
          <w:rFonts w:ascii="Arial" w:hAnsi="Arial" w:cs="Arial"/>
          <w:sz w:val="20"/>
          <w:szCs w:val="20"/>
        </w:rPr>
        <w:t>of the failure</w:t>
      </w:r>
      <w:r w:rsidR="00B04739">
        <w:rPr>
          <w:rFonts w:ascii="Arial" w:hAnsi="Arial" w:cs="Arial"/>
          <w:sz w:val="20"/>
          <w:szCs w:val="20"/>
        </w:rPr>
        <w:t xml:space="preserve"> of REF 2014 to take account of these issues</w:t>
      </w:r>
      <w:r w:rsidR="00245531">
        <w:rPr>
          <w:rFonts w:ascii="Arial" w:hAnsi="Arial" w:cs="Arial"/>
          <w:sz w:val="20"/>
          <w:szCs w:val="20"/>
        </w:rPr>
        <w:t>, with one respondent arguing that the case study required ‘artificial’ links to research.</w:t>
      </w:r>
      <w:r w:rsidR="00245531">
        <w:rPr>
          <w:rStyle w:val="FootnoteReference"/>
          <w:rFonts w:ascii="Arial" w:hAnsi="Arial" w:cs="Arial"/>
          <w:sz w:val="20"/>
          <w:szCs w:val="20"/>
        </w:rPr>
        <w:footnoteReference w:id="41"/>
      </w:r>
    </w:p>
    <w:p w14:paraId="4BFE6D30" w14:textId="7AAFA9AB" w:rsidR="00CD5DAD" w:rsidRDefault="00CD5DAD" w:rsidP="00E51F2A">
      <w:pPr>
        <w:spacing w:line="480" w:lineRule="auto"/>
        <w:rPr>
          <w:rFonts w:ascii="Arial" w:hAnsi="Arial" w:cs="Arial"/>
          <w:sz w:val="20"/>
          <w:szCs w:val="20"/>
        </w:rPr>
      </w:pPr>
    </w:p>
    <w:p w14:paraId="4DCBBBE6" w14:textId="396F6AAD" w:rsidR="00CD5DAD" w:rsidRDefault="00CD5DAD" w:rsidP="00CD5DAD">
      <w:pPr>
        <w:spacing w:line="480" w:lineRule="auto"/>
        <w:rPr>
          <w:rFonts w:ascii="Arial" w:hAnsi="Arial" w:cs="Arial"/>
          <w:sz w:val="20"/>
          <w:szCs w:val="20"/>
        </w:rPr>
      </w:pPr>
      <w:r w:rsidRPr="00336A58">
        <w:rPr>
          <w:rFonts w:ascii="Arial" w:hAnsi="Arial" w:cs="Arial"/>
          <w:sz w:val="20"/>
          <w:szCs w:val="20"/>
        </w:rPr>
        <w:t>This is one of the clearest mess</w:t>
      </w:r>
      <w:r w:rsidR="00336A58">
        <w:rPr>
          <w:rFonts w:ascii="Arial" w:hAnsi="Arial" w:cs="Arial"/>
          <w:sz w:val="20"/>
          <w:szCs w:val="20"/>
        </w:rPr>
        <w:t>ages from the researcher survey</w:t>
      </w:r>
      <w:r w:rsidRPr="00336A58">
        <w:rPr>
          <w:rFonts w:ascii="Arial" w:hAnsi="Arial" w:cs="Arial"/>
          <w:sz w:val="20"/>
          <w:szCs w:val="20"/>
        </w:rPr>
        <w:t>: academics may have impact that is less easily characterised as ‘</w:t>
      </w:r>
      <w:r w:rsidRPr="00336A58">
        <w:rPr>
          <w:rFonts w:ascii="Arial" w:hAnsi="Arial" w:cs="Arial"/>
          <w:i/>
          <w:sz w:val="20"/>
          <w:szCs w:val="20"/>
        </w:rPr>
        <w:t>research</w:t>
      </w:r>
      <w:r w:rsidRPr="00336A58">
        <w:rPr>
          <w:rFonts w:ascii="Arial" w:hAnsi="Arial" w:cs="Arial"/>
          <w:sz w:val="20"/>
          <w:szCs w:val="20"/>
        </w:rPr>
        <w:t xml:space="preserve"> impact’ and more appropriately viewed as ‘</w:t>
      </w:r>
      <w:r w:rsidRPr="00336A58">
        <w:rPr>
          <w:rFonts w:ascii="Arial" w:hAnsi="Arial" w:cs="Arial"/>
          <w:i/>
          <w:sz w:val="20"/>
          <w:szCs w:val="20"/>
        </w:rPr>
        <w:t xml:space="preserve">researcher </w:t>
      </w:r>
      <w:r w:rsidRPr="00336A58">
        <w:rPr>
          <w:rFonts w:ascii="Arial" w:hAnsi="Arial" w:cs="Arial"/>
          <w:sz w:val="20"/>
          <w:szCs w:val="20"/>
        </w:rPr>
        <w:t>impact’. A person is approached to apply their skills and expertise to a new problem because of their standing in a field rather than a piece of research that is of interest to policy-makers. This is clearly different from the premise of the REF 2014 impact assessment model that tied impact to specific outputs but, equally clearly, academic researchers are having an impact on policy. Stern observed that linking key outputs to impact means that some impact is not being captured and, following that and consultation, REF 2021 will see a substantial change that removes the requirement to connect impact to specific outputs; instead it must be linked to ‘underpinning research’.</w:t>
      </w:r>
      <w:r w:rsidRPr="00336A58">
        <w:rPr>
          <w:rStyle w:val="FootnoteReference"/>
          <w:rFonts w:ascii="Arial" w:hAnsi="Arial" w:cs="Arial"/>
          <w:sz w:val="20"/>
          <w:szCs w:val="20"/>
        </w:rPr>
        <w:footnoteReference w:id="42"/>
      </w:r>
      <w:r>
        <w:rPr>
          <w:rFonts w:ascii="Arial" w:hAnsi="Arial" w:cs="Arial"/>
          <w:sz w:val="20"/>
          <w:szCs w:val="20"/>
        </w:rPr>
        <w:t xml:space="preserve">  </w:t>
      </w:r>
    </w:p>
    <w:p w14:paraId="1BF43754" w14:textId="77777777" w:rsidR="00CD5DAD" w:rsidRDefault="00CD5DAD" w:rsidP="00CD5DAD">
      <w:pPr>
        <w:spacing w:line="480" w:lineRule="auto"/>
        <w:rPr>
          <w:rFonts w:ascii="Arial" w:hAnsi="Arial" w:cs="Arial"/>
          <w:sz w:val="20"/>
          <w:szCs w:val="20"/>
        </w:rPr>
      </w:pPr>
    </w:p>
    <w:p w14:paraId="02FB6404" w14:textId="77777777" w:rsidR="00CD5DAD" w:rsidRDefault="00CD5DAD" w:rsidP="00CD5DAD">
      <w:pPr>
        <w:spacing w:line="480" w:lineRule="auto"/>
        <w:rPr>
          <w:rFonts w:ascii="Arial" w:hAnsi="Arial" w:cs="Arial"/>
          <w:sz w:val="20"/>
          <w:szCs w:val="20"/>
        </w:rPr>
      </w:pPr>
      <w:r w:rsidRPr="00336A58">
        <w:rPr>
          <w:rFonts w:ascii="Arial" w:hAnsi="Arial" w:cs="Arial"/>
          <w:sz w:val="20"/>
          <w:szCs w:val="20"/>
        </w:rPr>
        <w:lastRenderedPageBreak/>
        <w:t>That approaches from governments were based on general expertise is consistent with the literature. As Bastow explains, work for government advisory committees ‘often draws on [academics’] cumulative, lifetime experience of a research field, and not on any one single … research output or discovery’.</w:t>
      </w:r>
      <w:r w:rsidRPr="00336A58">
        <w:rPr>
          <w:rStyle w:val="FootnoteReference"/>
          <w:rFonts w:ascii="Arial" w:hAnsi="Arial" w:cs="Arial"/>
          <w:sz w:val="20"/>
          <w:szCs w:val="20"/>
        </w:rPr>
        <w:footnoteReference w:id="43"/>
      </w:r>
      <w:r w:rsidRPr="00336A58">
        <w:rPr>
          <w:rFonts w:ascii="Arial" w:hAnsi="Arial" w:cs="Arial"/>
          <w:sz w:val="20"/>
          <w:szCs w:val="20"/>
        </w:rPr>
        <w:t xml:space="preserve"> Viewed from the government side, ‘We rely on [academics] to get good, sound expert advice at key stages  …  That kind of advice based on a range of evidence, the knowledge of the researcher rather than just a single individual project, can be key in influencing policy thinking’.</w:t>
      </w:r>
      <w:r w:rsidRPr="00336A58">
        <w:rPr>
          <w:rStyle w:val="FootnoteReference"/>
          <w:rFonts w:ascii="Arial" w:hAnsi="Arial" w:cs="Arial"/>
          <w:sz w:val="20"/>
          <w:szCs w:val="20"/>
        </w:rPr>
        <w:footnoteReference w:id="44"/>
      </w:r>
      <w:r w:rsidRPr="00C82B97">
        <w:rPr>
          <w:rFonts w:ascii="Arial" w:hAnsi="Arial" w:cs="Arial"/>
          <w:sz w:val="20"/>
          <w:szCs w:val="20"/>
        </w:rPr>
        <w:t xml:space="preserve"> </w:t>
      </w:r>
    </w:p>
    <w:p w14:paraId="400D0027" w14:textId="77777777" w:rsidR="00CD5DAD" w:rsidRDefault="00CD5DAD" w:rsidP="00E51F2A">
      <w:pPr>
        <w:spacing w:line="480" w:lineRule="auto"/>
        <w:rPr>
          <w:rFonts w:ascii="Arial" w:hAnsi="Arial" w:cs="Arial"/>
          <w:sz w:val="20"/>
          <w:szCs w:val="20"/>
        </w:rPr>
      </w:pPr>
    </w:p>
    <w:p w14:paraId="09E8B6CE" w14:textId="649E5A71" w:rsidR="00CE2692" w:rsidRDefault="007A717E" w:rsidP="00C82B97">
      <w:pPr>
        <w:spacing w:line="480" w:lineRule="auto"/>
        <w:rPr>
          <w:rFonts w:ascii="Arial" w:hAnsi="Arial" w:cs="Arial"/>
          <w:sz w:val="20"/>
          <w:szCs w:val="20"/>
        </w:rPr>
      </w:pPr>
      <w:r w:rsidRPr="007A717E">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2A0092DE" wp14:editId="2363D092">
                <wp:simplePos x="0" y="0"/>
                <wp:positionH relativeFrom="column">
                  <wp:posOffset>4879975</wp:posOffset>
                </wp:positionH>
                <wp:positionV relativeFrom="paragraph">
                  <wp:posOffset>3792338</wp:posOffset>
                </wp:positionV>
                <wp:extent cx="425303" cy="28707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03" cy="287079"/>
                        </a:xfrm>
                        <a:prstGeom prst="rect">
                          <a:avLst/>
                        </a:prstGeom>
                        <a:solidFill>
                          <a:srgbClr val="FFFFFF"/>
                        </a:solidFill>
                        <a:ln w="9525">
                          <a:noFill/>
                          <a:miter lim="800000"/>
                          <a:headEnd/>
                          <a:tailEnd/>
                        </a:ln>
                      </wps:spPr>
                      <wps:txbx>
                        <w:txbxContent>
                          <w:p w14:paraId="5F554FEB" w14:textId="4745482E" w:rsidR="007B1D1B" w:rsidRPr="007A717E" w:rsidRDefault="007B1D1B" w:rsidP="007A717E">
                            <w:pPr>
                              <w:jc w:val="center"/>
                              <w:rPr>
                                <w:b/>
                              </w:rPr>
                            </w:pPr>
                            <w:r>
                              <w:rPr>
                                <w:b/>
                              </w:rPr>
                              <w:t>=</w:t>
                            </w:r>
                            <w:r w:rsidRPr="007A717E">
                              <w:rPr>
                                <w:b/>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0092DE" id="_x0000_s1027" type="#_x0000_t202" style="position:absolute;margin-left:384.25pt;margin-top:298.6pt;width:33.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" stroked="f">
                <v:textbox>
                  <w:txbxContent>
                    <w:p w14:paraId="5F554FEB" w14:textId="4745482E" w:rsidR="007B1D1B" w:rsidRPr="007A717E" w:rsidRDefault="007B1D1B" w:rsidP="007A717E">
                      <w:pPr>
                        <w:jc w:val="center"/>
                        <w:rPr>
                          <w:b/>
                        </w:rPr>
                      </w:pPr>
                      <w:r>
                        <w:rPr>
                          <w:b/>
                        </w:rPr>
                        <w:t>=</w:t>
                      </w:r>
                      <w:r w:rsidRPr="007A717E">
                        <w:rPr>
                          <w:b/>
                        </w:rPr>
                        <w:t>n</w:t>
                      </w:r>
                    </w:p>
                  </w:txbxContent>
                </v:textbox>
              </v:shape>
            </w:pict>
          </mc:Fallback>
        </mc:AlternateContent>
      </w:r>
      <w:r w:rsidR="0006065D" w:rsidRPr="007A717E">
        <w:rPr>
          <w:noProof/>
          <w:u w:val="single"/>
          <w:lang w:eastAsia="en-GB"/>
        </w:rPr>
        <w:drawing>
          <wp:inline distT="0" distB="0" distL="0" distR="0" wp14:anchorId="6E04D600" wp14:editId="575D2DFC">
            <wp:extent cx="5731510" cy="4123055"/>
            <wp:effectExtent l="0" t="0" r="21590" b="1079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14BBF7" w14:textId="77777777" w:rsidR="00CE2692" w:rsidRDefault="00CE2692" w:rsidP="00E51F2A">
      <w:pPr>
        <w:spacing w:line="480" w:lineRule="auto"/>
        <w:rPr>
          <w:rFonts w:ascii="Arial" w:hAnsi="Arial" w:cs="Arial"/>
          <w:sz w:val="20"/>
          <w:szCs w:val="20"/>
        </w:rPr>
      </w:pPr>
    </w:p>
    <w:p w14:paraId="1596013D" w14:textId="51674782" w:rsidR="007D7B7C" w:rsidRPr="004A0A09" w:rsidRDefault="007D7B7C" w:rsidP="00E51F2A">
      <w:pPr>
        <w:pStyle w:val="ListParagraph"/>
        <w:numPr>
          <w:ilvl w:val="0"/>
          <w:numId w:val="14"/>
        </w:numPr>
        <w:spacing w:line="480" w:lineRule="auto"/>
        <w:rPr>
          <w:rFonts w:ascii="Arial" w:hAnsi="Arial" w:cs="Arial"/>
          <w:b/>
          <w:sz w:val="20"/>
          <w:szCs w:val="20"/>
        </w:rPr>
      </w:pPr>
      <w:r w:rsidRPr="004A0A09">
        <w:rPr>
          <w:rFonts w:ascii="Arial" w:hAnsi="Arial" w:cs="Arial"/>
          <w:b/>
          <w:sz w:val="20"/>
          <w:szCs w:val="20"/>
        </w:rPr>
        <w:t xml:space="preserve">What </w:t>
      </w:r>
      <w:r w:rsidR="00A11621" w:rsidRPr="004A0A09">
        <w:rPr>
          <w:rFonts w:ascii="Arial" w:hAnsi="Arial" w:cs="Arial"/>
          <w:b/>
          <w:sz w:val="20"/>
          <w:szCs w:val="20"/>
        </w:rPr>
        <w:t>outputs were of interest to</w:t>
      </w:r>
      <w:r w:rsidRPr="004A0A09">
        <w:rPr>
          <w:rFonts w:ascii="Arial" w:hAnsi="Arial" w:cs="Arial"/>
          <w:b/>
          <w:sz w:val="20"/>
          <w:szCs w:val="20"/>
        </w:rPr>
        <w:t xml:space="preserve"> government?</w:t>
      </w:r>
    </w:p>
    <w:p w14:paraId="66C538B9" w14:textId="1B60F802" w:rsidR="007D7B7C" w:rsidRDefault="00D1660C" w:rsidP="00E51F2A">
      <w:pPr>
        <w:spacing w:line="480" w:lineRule="auto"/>
        <w:rPr>
          <w:rFonts w:ascii="Arial" w:hAnsi="Arial" w:cs="Arial"/>
          <w:sz w:val="20"/>
          <w:szCs w:val="20"/>
        </w:rPr>
      </w:pPr>
      <w:r>
        <w:rPr>
          <w:rFonts w:ascii="Arial" w:hAnsi="Arial" w:cs="Arial"/>
          <w:sz w:val="20"/>
          <w:szCs w:val="20"/>
        </w:rPr>
        <w:t>R</w:t>
      </w:r>
      <w:r w:rsidR="007D7B7C">
        <w:rPr>
          <w:rFonts w:ascii="Arial" w:hAnsi="Arial" w:cs="Arial"/>
          <w:sz w:val="20"/>
          <w:szCs w:val="20"/>
        </w:rPr>
        <w:t xml:space="preserve">espondents </w:t>
      </w:r>
      <w:r>
        <w:rPr>
          <w:rFonts w:ascii="Arial" w:hAnsi="Arial" w:cs="Arial"/>
          <w:sz w:val="20"/>
          <w:szCs w:val="20"/>
        </w:rPr>
        <w:t xml:space="preserve">were asked </w:t>
      </w:r>
      <w:r w:rsidR="00D40E29">
        <w:rPr>
          <w:rFonts w:ascii="Arial" w:hAnsi="Arial" w:cs="Arial"/>
          <w:sz w:val="20"/>
          <w:szCs w:val="20"/>
        </w:rPr>
        <w:t xml:space="preserve">what </w:t>
      </w:r>
      <w:r w:rsidR="007D7B7C">
        <w:rPr>
          <w:rFonts w:ascii="Arial" w:hAnsi="Arial" w:cs="Arial"/>
          <w:sz w:val="20"/>
          <w:szCs w:val="20"/>
        </w:rPr>
        <w:t>outputs most interested government users</w:t>
      </w:r>
      <w:r>
        <w:rPr>
          <w:rFonts w:ascii="Arial" w:hAnsi="Arial" w:cs="Arial"/>
          <w:sz w:val="20"/>
          <w:szCs w:val="20"/>
        </w:rPr>
        <w:t xml:space="preserve">. </w:t>
      </w:r>
      <w:r w:rsidR="00A11621">
        <w:rPr>
          <w:rFonts w:ascii="Arial" w:hAnsi="Arial" w:cs="Arial"/>
          <w:sz w:val="20"/>
          <w:szCs w:val="20"/>
        </w:rPr>
        <w:t xml:space="preserve">Figure </w:t>
      </w:r>
      <w:r w:rsidR="0006065D">
        <w:rPr>
          <w:rFonts w:ascii="Arial" w:hAnsi="Arial" w:cs="Arial"/>
          <w:sz w:val="20"/>
          <w:szCs w:val="20"/>
        </w:rPr>
        <w:t>5</w:t>
      </w:r>
      <w:r w:rsidR="00A11621">
        <w:rPr>
          <w:rFonts w:ascii="Arial" w:hAnsi="Arial" w:cs="Arial"/>
          <w:sz w:val="20"/>
          <w:szCs w:val="20"/>
        </w:rPr>
        <w:t xml:space="preserve"> shows the responses as percentages, in descending order </w:t>
      </w:r>
      <w:r>
        <w:rPr>
          <w:rFonts w:ascii="Arial" w:hAnsi="Arial" w:cs="Arial"/>
          <w:sz w:val="20"/>
          <w:szCs w:val="20"/>
        </w:rPr>
        <w:t>by</w:t>
      </w:r>
      <w:r w:rsidR="00A11621">
        <w:rPr>
          <w:rFonts w:ascii="Arial" w:hAnsi="Arial" w:cs="Arial"/>
          <w:sz w:val="20"/>
          <w:szCs w:val="20"/>
        </w:rPr>
        <w:t xml:space="preserve"> the combined total of </w:t>
      </w:r>
      <w:r w:rsidR="00AC569D">
        <w:rPr>
          <w:rFonts w:ascii="Arial" w:hAnsi="Arial" w:cs="Arial"/>
          <w:sz w:val="20"/>
          <w:szCs w:val="20"/>
        </w:rPr>
        <w:t>‘</w:t>
      </w:r>
      <w:r w:rsidR="00A11621">
        <w:rPr>
          <w:rFonts w:ascii="Arial" w:hAnsi="Arial" w:cs="Arial"/>
          <w:sz w:val="20"/>
          <w:szCs w:val="20"/>
        </w:rPr>
        <w:t>very interested</w:t>
      </w:r>
      <w:r w:rsidR="00AC569D">
        <w:rPr>
          <w:rFonts w:ascii="Arial" w:hAnsi="Arial" w:cs="Arial"/>
          <w:sz w:val="20"/>
          <w:szCs w:val="20"/>
        </w:rPr>
        <w:t>’</w:t>
      </w:r>
      <w:r w:rsidR="00A11621">
        <w:rPr>
          <w:rFonts w:ascii="Arial" w:hAnsi="Arial" w:cs="Arial"/>
          <w:sz w:val="20"/>
          <w:szCs w:val="20"/>
        </w:rPr>
        <w:t xml:space="preserve"> and </w:t>
      </w:r>
      <w:r w:rsidR="00AC569D">
        <w:rPr>
          <w:rFonts w:ascii="Arial" w:hAnsi="Arial" w:cs="Arial"/>
          <w:sz w:val="20"/>
          <w:szCs w:val="20"/>
        </w:rPr>
        <w:t>‘</w:t>
      </w:r>
      <w:r w:rsidR="00A11621">
        <w:rPr>
          <w:rFonts w:ascii="Arial" w:hAnsi="Arial" w:cs="Arial"/>
          <w:sz w:val="20"/>
          <w:szCs w:val="20"/>
        </w:rPr>
        <w:t>interested</w:t>
      </w:r>
      <w:r w:rsidR="00AC569D">
        <w:rPr>
          <w:rFonts w:ascii="Arial" w:hAnsi="Arial" w:cs="Arial"/>
          <w:sz w:val="20"/>
          <w:szCs w:val="20"/>
        </w:rPr>
        <w:t>’</w:t>
      </w:r>
      <w:r w:rsidR="00A11621">
        <w:rPr>
          <w:rFonts w:ascii="Arial" w:hAnsi="Arial" w:cs="Arial"/>
          <w:sz w:val="20"/>
          <w:szCs w:val="20"/>
        </w:rPr>
        <w:t xml:space="preserve">.  </w:t>
      </w:r>
    </w:p>
    <w:p w14:paraId="4E1DBC05" w14:textId="77777777" w:rsidR="00A11621" w:rsidRDefault="00A11621" w:rsidP="00E51F2A">
      <w:pPr>
        <w:spacing w:line="480" w:lineRule="auto"/>
        <w:rPr>
          <w:rFonts w:ascii="Arial" w:hAnsi="Arial" w:cs="Arial"/>
          <w:sz w:val="20"/>
          <w:szCs w:val="20"/>
        </w:rPr>
      </w:pPr>
    </w:p>
    <w:p w14:paraId="65C2DF82" w14:textId="11021DDE" w:rsidR="00A11621" w:rsidRDefault="00E95F79" w:rsidP="00E51F2A">
      <w:pPr>
        <w:spacing w:line="480" w:lineRule="auto"/>
        <w:rPr>
          <w:rFonts w:ascii="Arial" w:hAnsi="Arial" w:cs="Arial"/>
          <w:sz w:val="20"/>
          <w:szCs w:val="20"/>
        </w:rPr>
      </w:pPr>
      <w:r>
        <w:rPr>
          <w:rFonts w:ascii="Arial" w:hAnsi="Arial" w:cs="Arial"/>
          <w:sz w:val="20"/>
          <w:szCs w:val="20"/>
        </w:rPr>
        <w:lastRenderedPageBreak/>
        <w:t>Research r</w:t>
      </w:r>
      <w:r w:rsidR="00FF1325">
        <w:rPr>
          <w:rFonts w:ascii="Arial" w:hAnsi="Arial" w:cs="Arial"/>
          <w:sz w:val="20"/>
          <w:szCs w:val="20"/>
        </w:rPr>
        <w:t>eports</w:t>
      </w:r>
      <w:r w:rsidR="00A11621">
        <w:rPr>
          <w:rFonts w:ascii="Arial" w:hAnsi="Arial" w:cs="Arial"/>
          <w:sz w:val="20"/>
          <w:szCs w:val="20"/>
        </w:rPr>
        <w:t xml:space="preserve"> </w:t>
      </w:r>
      <w:r w:rsidR="00FF1325">
        <w:rPr>
          <w:rFonts w:ascii="Arial" w:hAnsi="Arial" w:cs="Arial"/>
          <w:sz w:val="20"/>
          <w:szCs w:val="20"/>
        </w:rPr>
        <w:t>a</w:t>
      </w:r>
      <w:r w:rsidR="00A11621">
        <w:rPr>
          <w:rFonts w:ascii="Arial" w:hAnsi="Arial" w:cs="Arial"/>
          <w:sz w:val="20"/>
          <w:szCs w:val="20"/>
        </w:rPr>
        <w:t>ttra</w:t>
      </w:r>
      <w:r w:rsidR="00D94420">
        <w:rPr>
          <w:rFonts w:ascii="Arial" w:hAnsi="Arial" w:cs="Arial"/>
          <w:sz w:val="20"/>
          <w:szCs w:val="20"/>
        </w:rPr>
        <w:t>cted most interest. C</w:t>
      </w:r>
      <w:r w:rsidR="00474E4F">
        <w:rPr>
          <w:rFonts w:ascii="Arial" w:hAnsi="Arial" w:cs="Arial"/>
          <w:sz w:val="20"/>
          <w:szCs w:val="20"/>
        </w:rPr>
        <w:t xml:space="preserve">onsultation responses were </w:t>
      </w:r>
      <w:r w:rsidR="00D94420">
        <w:rPr>
          <w:rFonts w:ascii="Arial" w:hAnsi="Arial" w:cs="Arial"/>
          <w:sz w:val="20"/>
          <w:szCs w:val="20"/>
        </w:rPr>
        <w:t xml:space="preserve">highly regarded, though </w:t>
      </w:r>
      <w:r w:rsidR="008A5583">
        <w:rPr>
          <w:rFonts w:ascii="Arial" w:hAnsi="Arial" w:cs="Arial"/>
          <w:sz w:val="20"/>
          <w:szCs w:val="20"/>
        </w:rPr>
        <w:t xml:space="preserve">that </w:t>
      </w:r>
      <w:r w:rsidR="00474E4F">
        <w:rPr>
          <w:rFonts w:ascii="Arial" w:hAnsi="Arial" w:cs="Arial"/>
          <w:sz w:val="20"/>
          <w:szCs w:val="20"/>
        </w:rPr>
        <w:t xml:space="preserve">would </w:t>
      </w:r>
      <w:r w:rsidR="008A5583">
        <w:rPr>
          <w:rFonts w:ascii="Arial" w:hAnsi="Arial" w:cs="Arial"/>
          <w:sz w:val="20"/>
          <w:szCs w:val="20"/>
        </w:rPr>
        <w:t xml:space="preserve">be </w:t>
      </w:r>
      <w:r w:rsidR="00474E4F">
        <w:rPr>
          <w:rFonts w:ascii="Arial" w:hAnsi="Arial" w:cs="Arial"/>
          <w:sz w:val="20"/>
          <w:szCs w:val="20"/>
        </w:rPr>
        <w:t>expect</w:t>
      </w:r>
      <w:r w:rsidR="008A5583">
        <w:rPr>
          <w:rFonts w:ascii="Arial" w:hAnsi="Arial" w:cs="Arial"/>
          <w:sz w:val="20"/>
          <w:szCs w:val="20"/>
        </w:rPr>
        <w:t>ed</w:t>
      </w:r>
      <w:r w:rsidR="00474E4F">
        <w:rPr>
          <w:rFonts w:ascii="Arial" w:hAnsi="Arial" w:cs="Arial"/>
          <w:sz w:val="20"/>
          <w:szCs w:val="20"/>
        </w:rPr>
        <w:t xml:space="preserve"> as </w:t>
      </w:r>
      <w:r w:rsidR="00D94420">
        <w:rPr>
          <w:rFonts w:ascii="Arial" w:hAnsi="Arial" w:cs="Arial"/>
          <w:sz w:val="20"/>
          <w:szCs w:val="20"/>
        </w:rPr>
        <w:t>governme</w:t>
      </w:r>
      <w:r w:rsidR="00474E4F">
        <w:rPr>
          <w:rFonts w:ascii="Arial" w:hAnsi="Arial" w:cs="Arial"/>
          <w:sz w:val="20"/>
          <w:szCs w:val="20"/>
        </w:rPr>
        <w:t>nt was by definition wanting responses</w:t>
      </w:r>
      <w:r w:rsidR="00D94420">
        <w:rPr>
          <w:rFonts w:ascii="Arial" w:hAnsi="Arial" w:cs="Arial"/>
          <w:sz w:val="20"/>
          <w:szCs w:val="20"/>
        </w:rPr>
        <w:t xml:space="preserve">. Of </w:t>
      </w:r>
      <w:r w:rsidR="00474E4F">
        <w:rPr>
          <w:rFonts w:ascii="Arial" w:hAnsi="Arial" w:cs="Arial"/>
          <w:sz w:val="20"/>
          <w:szCs w:val="20"/>
        </w:rPr>
        <w:t>traditional</w:t>
      </w:r>
      <w:r w:rsidR="00D94420">
        <w:rPr>
          <w:rFonts w:ascii="Arial" w:hAnsi="Arial" w:cs="Arial"/>
          <w:sz w:val="20"/>
          <w:szCs w:val="20"/>
        </w:rPr>
        <w:t xml:space="preserve"> publications, peer-reviewed journal articles were of more interest than books or chapters. Of shorter publications, policy briefs</w:t>
      </w:r>
      <w:r w:rsidR="00B04739">
        <w:rPr>
          <w:rFonts w:ascii="Arial" w:hAnsi="Arial" w:cs="Arial"/>
          <w:sz w:val="20"/>
          <w:szCs w:val="20"/>
        </w:rPr>
        <w:t xml:space="preserve"> were of substantial interest. </w:t>
      </w:r>
      <w:r w:rsidR="005B282A" w:rsidRPr="006F0C74">
        <w:rPr>
          <w:rFonts w:ascii="Arial" w:hAnsi="Arial" w:cs="Arial"/>
          <w:sz w:val="20"/>
          <w:szCs w:val="20"/>
        </w:rPr>
        <w:t>Though they vary widely in form and name,</w:t>
      </w:r>
      <w:r w:rsidR="006A79FD" w:rsidRPr="006F0C74">
        <w:rPr>
          <w:rFonts w:ascii="Arial" w:hAnsi="Arial" w:cs="Arial"/>
          <w:sz w:val="20"/>
          <w:szCs w:val="20"/>
        </w:rPr>
        <w:t xml:space="preserve"> </w:t>
      </w:r>
      <w:r w:rsidR="00847A6D" w:rsidRPr="006F0C74">
        <w:rPr>
          <w:rFonts w:ascii="Arial" w:hAnsi="Arial" w:cs="Arial"/>
          <w:sz w:val="20"/>
          <w:szCs w:val="20"/>
        </w:rPr>
        <w:t>these</w:t>
      </w:r>
      <w:r w:rsidR="005B282A" w:rsidRPr="006F0C74">
        <w:rPr>
          <w:rFonts w:ascii="Arial" w:hAnsi="Arial" w:cs="Arial"/>
          <w:sz w:val="20"/>
          <w:szCs w:val="20"/>
        </w:rPr>
        <w:t xml:space="preserve"> </w:t>
      </w:r>
      <w:r w:rsidR="00830A46" w:rsidRPr="006F0C74">
        <w:rPr>
          <w:rFonts w:ascii="Arial" w:hAnsi="Arial" w:cs="Arial"/>
          <w:sz w:val="20"/>
          <w:szCs w:val="20"/>
        </w:rPr>
        <w:t xml:space="preserve">are </w:t>
      </w:r>
      <w:r w:rsidR="006A79FD" w:rsidRPr="006F0C74">
        <w:rPr>
          <w:rFonts w:ascii="Arial" w:hAnsi="Arial" w:cs="Arial"/>
          <w:sz w:val="20"/>
          <w:szCs w:val="20"/>
        </w:rPr>
        <w:t xml:space="preserve">typically </w:t>
      </w:r>
      <w:r w:rsidR="009F0A14" w:rsidRPr="006F0C74">
        <w:rPr>
          <w:rFonts w:ascii="Arial" w:hAnsi="Arial" w:cs="Arial"/>
          <w:sz w:val="20"/>
          <w:szCs w:val="20"/>
        </w:rPr>
        <w:t>2</w:t>
      </w:r>
      <w:r w:rsidR="0006065D" w:rsidRPr="006F0C74">
        <w:rPr>
          <w:rFonts w:ascii="Arial" w:hAnsi="Arial" w:cs="Arial"/>
          <w:sz w:val="20"/>
          <w:szCs w:val="20"/>
        </w:rPr>
        <w:t>–</w:t>
      </w:r>
      <w:r w:rsidR="00D631FA" w:rsidRPr="006F0C74">
        <w:rPr>
          <w:rFonts w:ascii="Arial" w:hAnsi="Arial" w:cs="Arial"/>
          <w:sz w:val="20"/>
          <w:szCs w:val="20"/>
        </w:rPr>
        <w:t>10</w:t>
      </w:r>
      <w:r w:rsidR="006A79FD" w:rsidRPr="006F0C74">
        <w:rPr>
          <w:rFonts w:ascii="Arial" w:hAnsi="Arial" w:cs="Arial"/>
          <w:sz w:val="20"/>
          <w:szCs w:val="20"/>
        </w:rPr>
        <w:t xml:space="preserve"> pages</w:t>
      </w:r>
      <w:r w:rsidR="008A5583" w:rsidRPr="006F0C74">
        <w:rPr>
          <w:rFonts w:ascii="Arial" w:hAnsi="Arial" w:cs="Arial"/>
          <w:sz w:val="20"/>
          <w:szCs w:val="20"/>
        </w:rPr>
        <w:t xml:space="preserve"> (perhaps</w:t>
      </w:r>
      <w:r w:rsidR="00635659" w:rsidRPr="006F0C74">
        <w:rPr>
          <w:rFonts w:ascii="Arial" w:hAnsi="Arial" w:cs="Arial"/>
          <w:sz w:val="20"/>
          <w:szCs w:val="20"/>
        </w:rPr>
        <w:t xml:space="preserve"> up to </w:t>
      </w:r>
      <w:r w:rsidR="008A5583" w:rsidRPr="006F0C74">
        <w:rPr>
          <w:rFonts w:ascii="Arial" w:hAnsi="Arial" w:cs="Arial"/>
          <w:sz w:val="20"/>
          <w:szCs w:val="20"/>
        </w:rPr>
        <w:t>20 pages) and usually with a structure and layout desig</w:t>
      </w:r>
      <w:r w:rsidR="00316503" w:rsidRPr="006F0C74">
        <w:rPr>
          <w:rFonts w:ascii="Arial" w:hAnsi="Arial" w:cs="Arial"/>
          <w:sz w:val="20"/>
          <w:szCs w:val="20"/>
        </w:rPr>
        <w:t>n</w:t>
      </w:r>
      <w:r w:rsidR="00735D08" w:rsidRPr="006F0C74">
        <w:rPr>
          <w:rFonts w:ascii="Arial" w:hAnsi="Arial" w:cs="Arial"/>
          <w:sz w:val="20"/>
          <w:szCs w:val="20"/>
        </w:rPr>
        <w:t>ed to make research relevant, accessible and quickly digestible for</w:t>
      </w:r>
      <w:r w:rsidR="008A5583" w:rsidRPr="006F0C74">
        <w:rPr>
          <w:rFonts w:ascii="Arial" w:hAnsi="Arial" w:cs="Arial"/>
          <w:sz w:val="20"/>
          <w:szCs w:val="20"/>
        </w:rPr>
        <w:t xml:space="preserve"> </w:t>
      </w:r>
      <w:r w:rsidR="006A79FD" w:rsidRPr="006F0C74">
        <w:rPr>
          <w:rFonts w:ascii="Arial" w:hAnsi="Arial" w:cs="Arial"/>
          <w:sz w:val="20"/>
          <w:szCs w:val="20"/>
        </w:rPr>
        <w:t>policy audiences</w:t>
      </w:r>
      <w:r w:rsidR="006A4E72" w:rsidRPr="006F0C74">
        <w:rPr>
          <w:rFonts w:ascii="Arial" w:hAnsi="Arial" w:cs="Arial"/>
          <w:sz w:val="20"/>
          <w:szCs w:val="20"/>
        </w:rPr>
        <w:t>. Blog</w:t>
      </w:r>
      <w:r w:rsidR="006A4E72">
        <w:rPr>
          <w:rFonts w:ascii="Arial" w:hAnsi="Arial" w:cs="Arial"/>
          <w:sz w:val="20"/>
          <w:szCs w:val="20"/>
        </w:rPr>
        <w:t xml:space="preserve"> posts were of less interest, though this may have</w:t>
      </w:r>
      <w:r w:rsidR="00D94420">
        <w:rPr>
          <w:rFonts w:ascii="Arial" w:hAnsi="Arial" w:cs="Arial"/>
          <w:sz w:val="20"/>
          <w:szCs w:val="20"/>
        </w:rPr>
        <w:t xml:space="preserve"> changed</w:t>
      </w:r>
      <w:r w:rsidR="00474E4F">
        <w:rPr>
          <w:rFonts w:ascii="Arial" w:hAnsi="Arial" w:cs="Arial"/>
          <w:sz w:val="20"/>
          <w:szCs w:val="20"/>
        </w:rPr>
        <w:t xml:space="preserve"> since REF 2014</w:t>
      </w:r>
      <w:r w:rsidR="006A4E72">
        <w:rPr>
          <w:rFonts w:ascii="Arial" w:hAnsi="Arial" w:cs="Arial"/>
          <w:sz w:val="20"/>
          <w:szCs w:val="20"/>
        </w:rPr>
        <w:t xml:space="preserve"> with </w:t>
      </w:r>
      <w:r w:rsidR="00D94420">
        <w:rPr>
          <w:rFonts w:ascii="Arial" w:hAnsi="Arial" w:cs="Arial"/>
          <w:sz w:val="20"/>
          <w:szCs w:val="20"/>
        </w:rPr>
        <w:t>a</w:t>
      </w:r>
      <w:r w:rsidR="00FF6052">
        <w:rPr>
          <w:rFonts w:ascii="Arial" w:hAnsi="Arial" w:cs="Arial"/>
          <w:sz w:val="20"/>
          <w:szCs w:val="20"/>
        </w:rPr>
        <w:t>nec</w:t>
      </w:r>
      <w:r w:rsidR="006A4E72">
        <w:rPr>
          <w:rFonts w:ascii="Arial" w:hAnsi="Arial" w:cs="Arial"/>
          <w:sz w:val="20"/>
          <w:szCs w:val="20"/>
        </w:rPr>
        <w:t>dotal evidence of some greatly increased readership</w:t>
      </w:r>
      <w:r w:rsidR="00D94420">
        <w:rPr>
          <w:rFonts w:ascii="Arial" w:hAnsi="Arial" w:cs="Arial"/>
          <w:sz w:val="20"/>
          <w:szCs w:val="20"/>
        </w:rPr>
        <w:t>.</w:t>
      </w:r>
      <w:r w:rsidR="00D94420">
        <w:rPr>
          <w:rStyle w:val="FootnoteReference"/>
          <w:rFonts w:ascii="Arial" w:hAnsi="Arial" w:cs="Arial"/>
          <w:sz w:val="20"/>
          <w:szCs w:val="20"/>
        </w:rPr>
        <w:footnoteReference w:id="45"/>
      </w:r>
      <w:r w:rsidR="00D94420">
        <w:rPr>
          <w:rFonts w:ascii="Arial" w:hAnsi="Arial" w:cs="Arial"/>
          <w:sz w:val="20"/>
          <w:szCs w:val="20"/>
        </w:rPr>
        <w:t xml:space="preserve"> </w:t>
      </w:r>
      <w:r w:rsidR="006A4E72">
        <w:rPr>
          <w:rFonts w:ascii="Arial" w:hAnsi="Arial" w:cs="Arial"/>
          <w:sz w:val="20"/>
          <w:szCs w:val="20"/>
        </w:rPr>
        <w:t xml:space="preserve">While policy briefs were </w:t>
      </w:r>
      <w:r w:rsidR="00D94420">
        <w:rPr>
          <w:rFonts w:ascii="Arial" w:hAnsi="Arial" w:cs="Arial"/>
          <w:sz w:val="20"/>
          <w:szCs w:val="20"/>
        </w:rPr>
        <w:t>more highl</w:t>
      </w:r>
      <w:r w:rsidR="006A4E72">
        <w:rPr>
          <w:rFonts w:ascii="Arial" w:hAnsi="Arial" w:cs="Arial"/>
          <w:sz w:val="20"/>
          <w:szCs w:val="20"/>
        </w:rPr>
        <w:t xml:space="preserve">y ranked than peer-reviewed articles in interest terms, </w:t>
      </w:r>
      <w:r w:rsidR="00D94420">
        <w:rPr>
          <w:rFonts w:ascii="Arial" w:hAnsi="Arial" w:cs="Arial"/>
          <w:sz w:val="20"/>
          <w:szCs w:val="20"/>
        </w:rPr>
        <w:t>far fewer academics produced policy briefs than produced</w:t>
      </w:r>
      <w:r w:rsidR="002C6F38">
        <w:rPr>
          <w:rFonts w:ascii="Arial" w:hAnsi="Arial" w:cs="Arial"/>
          <w:sz w:val="20"/>
          <w:szCs w:val="20"/>
        </w:rPr>
        <w:t xml:space="preserve"> articles. </w:t>
      </w:r>
      <w:r w:rsidR="006A4E72">
        <w:rPr>
          <w:rFonts w:ascii="Arial" w:hAnsi="Arial" w:cs="Arial"/>
          <w:sz w:val="20"/>
          <w:szCs w:val="20"/>
        </w:rPr>
        <w:t>Both, though, are clearly important; research councils encourage s</w:t>
      </w:r>
      <w:r w:rsidR="00A342BE">
        <w:rPr>
          <w:rFonts w:ascii="Arial" w:hAnsi="Arial" w:cs="Arial"/>
          <w:sz w:val="20"/>
          <w:szCs w:val="20"/>
        </w:rPr>
        <w:t>uccinct</w:t>
      </w:r>
      <w:r w:rsidR="00D94420">
        <w:rPr>
          <w:rFonts w:ascii="Arial" w:hAnsi="Arial" w:cs="Arial"/>
          <w:sz w:val="20"/>
          <w:szCs w:val="20"/>
        </w:rPr>
        <w:t>, policy-rel</w:t>
      </w:r>
      <w:r w:rsidR="002C6F38">
        <w:rPr>
          <w:rFonts w:ascii="Arial" w:hAnsi="Arial" w:cs="Arial"/>
          <w:sz w:val="20"/>
          <w:szCs w:val="20"/>
        </w:rPr>
        <w:t>evant summaries of research and the evidence here suggests that these will attract interest.</w:t>
      </w:r>
      <w:r w:rsidR="002C6F38">
        <w:rPr>
          <w:rStyle w:val="FootnoteReference"/>
          <w:rFonts w:ascii="Arial" w:hAnsi="Arial" w:cs="Arial"/>
          <w:sz w:val="20"/>
          <w:szCs w:val="20"/>
        </w:rPr>
        <w:footnoteReference w:id="46"/>
      </w:r>
      <w:r w:rsidR="00D94420">
        <w:rPr>
          <w:rFonts w:ascii="Arial" w:hAnsi="Arial" w:cs="Arial"/>
          <w:sz w:val="20"/>
          <w:szCs w:val="20"/>
        </w:rPr>
        <w:t xml:space="preserve">    </w:t>
      </w:r>
      <w:r w:rsidR="00A11621">
        <w:rPr>
          <w:rFonts w:ascii="Arial" w:hAnsi="Arial" w:cs="Arial"/>
          <w:sz w:val="20"/>
          <w:szCs w:val="20"/>
        </w:rPr>
        <w:t xml:space="preserve">  </w:t>
      </w:r>
    </w:p>
    <w:p w14:paraId="795E7693" w14:textId="77777777" w:rsidR="007D7B7C" w:rsidRDefault="007D7B7C" w:rsidP="00E51F2A">
      <w:pPr>
        <w:spacing w:line="480" w:lineRule="auto"/>
        <w:rPr>
          <w:rFonts w:ascii="Arial" w:hAnsi="Arial" w:cs="Arial"/>
          <w:sz w:val="20"/>
          <w:szCs w:val="20"/>
        </w:rPr>
      </w:pPr>
    </w:p>
    <w:p w14:paraId="37F7EADA" w14:textId="1C56C4E7" w:rsidR="007D7B7C" w:rsidRDefault="00955016" w:rsidP="00E51F2A">
      <w:pPr>
        <w:spacing w:line="480" w:lineRule="auto"/>
        <w:rPr>
          <w:rFonts w:ascii="Arial" w:hAnsi="Arial" w:cs="Arial"/>
          <w:sz w:val="20"/>
          <w:szCs w:val="20"/>
        </w:rPr>
      </w:pPr>
      <w:r w:rsidRPr="005D1832">
        <w:rPr>
          <w:rFonts w:ascii="Arial" w:hAnsi="Arial" w:cs="Arial"/>
          <w:noProof/>
          <w:sz w:val="20"/>
          <w:szCs w:val="20"/>
          <w:u w:val="single"/>
          <w:lang w:eastAsia="en-GB"/>
        </w:rPr>
        <w:lastRenderedPageBreak/>
        <w:drawing>
          <wp:inline distT="0" distB="0" distL="0" distR="0" wp14:anchorId="47CC9D72" wp14:editId="15985488">
            <wp:extent cx="5486400" cy="4688958"/>
            <wp:effectExtent l="0" t="0" r="19050" b="1651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1E04D2" w14:textId="77777777" w:rsidR="007D7B7C" w:rsidRDefault="007D7B7C" w:rsidP="00E51F2A">
      <w:pPr>
        <w:spacing w:line="480" w:lineRule="auto"/>
        <w:rPr>
          <w:rFonts w:ascii="Arial" w:hAnsi="Arial" w:cs="Arial"/>
          <w:sz w:val="20"/>
          <w:szCs w:val="20"/>
        </w:rPr>
      </w:pPr>
    </w:p>
    <w:p w14:paraId="7F198747" w14:textId="4BBFBBBF" w:rsidR="00B04739" w:rsidRDefault="00F2096A" w:rsidP="00E51F2A">
      <w:pPr>
        <w:spacing w:line="480" w:lineRule="auto"/>
        <w:rPr>
          <w:rFonts w:ascii="Arial" w:hAnsi="Arial" w:cs="Arial"/>
          <w:sz w:val="20"/>
          <w:szCs w:val="20"/>
        </w:rPr>
      </w:pPr>
      <w:r>
        <w:rPr>
          <w:rFonts w:ascii="Arial" w:hAnsi="Arial" w:cs="Arial"/>
          <w:sz w:val="20"/>
          <w:szCs w:val="20"/>
        </w:rPr>
        <w:t>There are clear</w:t>
      </w:r>
      <w:r w:rsidR="00985BC3">
        <w:rPr>
          <w:rFonts w:ascii="Arial" w:hAnsi="Arial" w:cs="Arial"/>
          <w:sz w:val="20"/>
          <w:szCs w:val="20"/>
        </w:rPr>
        <w:t xml:space="preserve"> implications for academics seeking impact because their scholarly readership and government readership have different demands of format. Producing additional or alternative formats takes time, and for reports there is an added challenge of managing first publication in journals while timing report publication for maximum impact effect. </w:t>
      </w:r>
      <w:r w:rsidR="00D8656B" w:rsidRPr="007B005A">
        <w:rPr>
          <w:rFonts w:ascii="Arial" w:hAnsi="Arial" w:cs="Arial"/>
          <w:sz w:val="20"/>
          <w:szCs w:val="20"/>
        </w:rPr>
        <w:t>A</w:t>
      </w:r>
      <w:r w:rsidR="00985BC3" w:rsidRPr="007B005A">
        <w:rPr>
          <w:rFonts w:ascii="Arial" w:hAnsi="Arial" w:cs="Arial"/>
          <w:sz w:val="20"/>
          <w:szCs w:val="20"/>
        </w:rPr>
        <w:t xml:space="preserve"> policy brief </w:t>
      </w:r>
      <w:r w:rsidR="00D8656B" w:rsidRPr="007B005A">
        <w:rPr>
          <w:rFonts w:ascii="Arial" w:hAnsi="Arial" w:cs="Arial"/>
          <w:sz w:val="20"/>
          <w:szCs w:val="20"/>
        </w:rPr>
        <w:t>might</w:t>
      </w:r>
      <w:r w:rsidR="00985BC3" w:rsidRPr="007B005A">
        <w:rPr>
          <w:rFonts w:ascii="Arial" w:hAnsi="Arial" w:cs="Arial"/>
          <w:sz w:val="20"/>
          <w:szCs w:val="20"/>
        </w:rPr>
        <w:t xml:space="preserve"> be produced to </w:t>
      </w:r>
      <w:r w:rsidR="00D8656B" w:rsidRPr="007B005A">
        <w:rPr>
          <w:rFonts w:ascii="Arial" w:hAnsi="Arial" w:cs="Arial"/>
          <w:sz w:val="20"/>
          <w:szCs w:val="20"/>
        </w:rPr>
        <w:t xml:space="preserve">accompany an article, </w:t>
      </w:r>
      <w:r w:rsidR="007B005A">
        <w:rPr>
          <w:rFonts w:ascii="Arial" w:hAnsi="Arial" w:cs="Arial"/>
          <w:sz w:val="20"/>
          <w:szCs w:val="20"/>
        </w:rPr>
        <w:t xml:space="preserve">but </w:t>
      </w:r>
      <w:r w:rsidR="00985BC3" w:rsidRPr="007B005A">
        <w:rPr>
          <w:rFonts w:ascii="Arial" w:hAnsi="Arial" w:cs="Arial"/>
          <w:sz w:val="20"/>
          <w:szCs w:val="20"/>
        </w:rPr>
        <w:t>is unlikely to attract the same interest as a report.</w:t>
      </w:r>
      <w:r w:rsidR="00B04739">
        <w:rPr>
          <w:rFonts w:ascii="Arial" w:hAnsi="Arial" w:cs="Arial"/>
          <w:sz w:val="20"/>
          <w:szCs w:val="20"/>
        </w:rPr>
        <w:t xml:space="preserve"> The skill in crafting work for different audiences should not be underestimated. A </w:t>
      </w:r>
      <w:r w:rsidR="00172379">
        <w:rPr>
          <w:rFonts w:ascii="Arial" w:hAnsi="Arial" w:cs="Arial"/>
          <w:sz w:val="20"/>
          <w:szCs w:val="20"/>
        </w:rPr>
        <w:t xml:space="preserve">male RG </w:t>
      </w:r>
      <w:r w:rsidR="00B04739">
        <w:rPr>
          <w:rFonts w:ascii="Arial" w:hAnsi="Arial" w:cs="Arial"/>
          <w:sz w:val="20"/>
          <w:szCs w:val="20"/>
        </w:rPr>
        <w:t xml:space="preserve">respondent who </w:t>
      </w:r>
      <w:r w:rsidR="00172379">
        <w:rPr>
          <w:rFonts w:ascii="Arial" w:hAnsi="Arial" w:cs="Arial"/>
          <w:sz w:val="20"/>
          <w:szCs w:val="20"/>
        </w:rPr>
        <w:t xml:space="preserve">was a senior academic and </w:t>
      </w:r>
      <w:r w:rsidR="00B04739">
        <w:rPr>
          <w:rFonts w:ascii="Arial" w:hAnsi="Arial" w:cs="Arial"/>
          <w:sz w:val="20"/>
          <w:szCs w:val="20"/>
        </w:rPr>
        <w:t>had engaged with government in ‘multiple stage[s] and multiple ways’ stated that:</w:t>
      </w:r>
    </w:p>
    <w:p w14:paraId="252F3611" w14:textId="1A4A3122" w:rsidR="00B04739" w:rsidRDefault="00B04739" w:rsidP="00B029F0">
      <w:pPr>
        <w:spacing w:line="480" w:lineRule="auto"/>
        <w:ind w:left="720"/>
        <w:rPr>
          <w:rFonts w:ascii="Arial" w:hAnsi="Arial" w:cs="Arial"/>
          <w:sz w:val="20"/>
          <w:szCs w:val="20"/>
        </w:rPr>
      </w:pPr>
      <w:r>
        <w:rPr>
          <w:rFonts w:ascii="Arial" w:hAnsi="Arial" w:cs="Arial"/>
          <w:sz w:val="20"/>
          <w:szCs w:val="20"/>
        </w:rPr>
        <w:t xml:space="preserve">A crucial step … is the translation process of taking the academic research findings and turning them into digestible and self-evidently relevant “nuggets” for stakeholders. Academics must become adept at writing for a range of audiences. Moreover, “translation” here does not mean “dumbing down” the conclusion from the peer-review[ed] article. It is a much more </w:t>
      </w:r>
      <w:r>
        <w:rPr>
          <w:rFonts w:ascii="Arial" w:hAnsi="Arial" w:cs="Arial"/>
          <w:sz w:val="20"/>
          <w:szCs w:val="20"/>
        </w:rPr>
        <w:lastRenderedPageBreak/>
        <w:t>nuanced and sophisticated process. Mor</w:t>
      </w:r>
      <w:r w:rsidR="00876281">
        <w:rPr>
          <w:rFonts w:ascii="Arial" w:hAnsi="Arial" w:cs="Arial"/>
          <w:sz w:val="20"/>
          <w:szCs w:val="20"/>
        </w:rPr>
        <w:t>e work is required on this proc</w:t>
      </w:r>
      <w:r>
        <w:rPr>
          <w:rFonts w:ascii="Arial" w:hAnsi="Arial" w:cs="Arial"/>
          <w:sz w:val="20"/>
          <w:szCs w:val="20"/>
        </w:rPr>
        <w:t>ess and what it entails.</w:t>
      </w:r>
      <w:r>
        <w:rPr>
          <w:rStyle w:val="FootnoteReference"/>
          <w:rFonts w:ascii="Arial" w:hAnsi="Arial" w:cs="Arial"/>
          <w:sz w:val="20"/>
          <w:szCs w:val="20"/>
        </w:rPr>
        <w:footnoteReference w:id="47"/>
      </w:r>
      <w:r w:rsidR="00985BC3" w:rsidRPr="007B005A">
        <w:rPr>
          <w:rFonts w:ascii="Arial" w:hAnsi="Arial" w:cs="Arial"/>
          <w:sz w:val="20"/>
          <w:szCs w:val="20"/>
        </w:rPr>
        <w:t xml:space="preserve"> </w:t>
      </w:r>
    </w:p>
    <w:p w14:paraId="0A1E7FAA" w14:textId="77777777" w:rsidR="00B04739" w:rsidRDefault="00B04739" w:rsidP="00E51F2A">
      <w:pPr>
        <w:spacing w:line="480" w:lineRule="auto"/>
        <w:rPr>
          <w:rFonts w:ascii="Arial" w:hAnsi="Arial" w:cs="Arial"/>
          <w:sz w:val="20"/>
          <w:szCs w:val="20"/>
        </w:rPr>
      </w:pPr>
    </w:p>
    <w:p w14:paraId="20262707" w14:textId="4215F1B0" w:rsidR="007D7B7C" w:rsidRDefault="00985BC3" w:rsidP="00E51F2A">
      <w:pPr>
        <w:spacing w:line="480" w:lineRule="auto"/>
        <w:rPr>
          <w:rFonts w:ascii="Arial" w:hAnsi="Arial" w:cs="Arial"/>
          <w:sz w:val="20"/>
          <w:szCs w:val="20"/>
        </w:rPr>
      </w:pPr>
      <w:r w:rsidRPr="007B005A">
        <w:rPr>
          <w:rFonts w:ascii="Arial" w:hAnsi="Arial" w:cs="Arial"/>
          <w:sz w:val="20"/>
          <w:szCs w:val="20"/>
        </w:rPr>
        <w:t>Although the REF output submissions permit the inclusion of reports, the establish</w:t>
      </w:r>
      <w:r>
        <w:rPr>
          <w:rFonts w:ascii="Arial" w:hAnsi="Arial" w:cs="Arial"/>
          <w:sz w:val="20"/>
          <w:szCs w:val="20"/>
        </w:rPr>
        <w:t>ed pattern is that academics and departments are reluctant to take risk</w:t>
      </w:r>
      <w:r w:rsidR="001F6977">
        <w:rPr>
          <w:rFonts w:ascii="Arial" w:hAnsi="Arial" w:cs="Arial"/>
          <w:sz w:val="20"/>
          <w:szCs w:val="20"/>
        </w:rPr>
        <w:t>s with the REF demands and so the preference for articles may be hard to overcome</w:t>
      </w:r>
      <w:r>
        <w:rPr>
          <w:rFonts w:ascii="Arial" w:hAnsi="Arial" w:cs="Arial"/>
          <w:sz w:val="20"/>
          <w:szCs w:val="20"/>
        </w:rPr>
        <w:t>.</w:t>
      </w:r>
      <w:r>
        <w:rPr>
          <w:rStyle w:val="FootnoteReference"/>
          <w:rFonts w:ascii="Arial" w:hAnsi="Arial" w:cs="Arial"/>
          <w:sz w:val="20"/>
          <w:szCs w:val="20"/>
        </w:rPr>
        <w:footnoteReference w:id="48"/>
      </w:r>
      <w:r w:rsidR="007B005A">
        <w:rPr>
          <w:rFonts w:ascii="Arial" w:hAnsi="Arial" w:cs="Arial"/>
          <w:sz w:val="20"/>
          <w:szCs w:val="20"/>
        </w:rPr>
        <w:t xml:space="preserve"> However,</w:t>
      </w:r>
      <w:r w:rsidR="00E13533">
        <w:rPr>
          <w:rFonts w:ascii="Arial" w:hAnsi="Arial" w:cs="Arial"/>
          <w:sz w:val="20"/>
          <w:szCs w:val="20"/>
        </w:rPr>
        <w:t xml:space="preserve"> as</w:t>
      </w:r>
      <w:r w:rsidR="007B005A">
        <w:rPr>
          <w:rFonts w:ascii="Arial" w:hAnsi="Arial" w:cs="Arial"/>
          <w:sz w:val="20"/>
          <w:szCs w:val="20"/>
        </w:rPr>
        <w:t xml:space="preserve"> </w:t>
      </w:r>
      <w:r w:rsidR="00C21F33">
        <w:rPr>
          <w:rFonts w:ascii="Arial" w:hAnsi="Arial" w:cs="Arial"/>
          <w:sz w:val="20"/>
          <w:szCs w:val="20"/>
        </w:rPr>
        <w:t xml:space="preserve">REF 2021 </w:t>
      </w:r>
      <w:r w:rsidR="00E13533">
        <w:rPr>
          <w:rFonts w:ascii="Arial" w:hAnsi="Arial" w:cs="Arial"/>
          <w:sz w:val="20"/>
          <w:szCs w:val="20"/>
        </w:rPr>
        <w:t>has a lower</w:t>
      </w:r>
      <w:r w:rsidR="00C21F33">
        <w:rPr>
          <w:rFonts w:ascii="Arial" w:hAnsi="Arial" w:cs="Arial"/>
          <w:sz w:val="20"/>
          <w:szCs w:val="20"/>
        </w:rPr>
        <w:t xml:space="preserve"> minimum number of publications required </w:t>
      </w:r>
      <w:r w:rsidR="007B005A">
        <w:rPr>
          <w:rFonts w:ascii="Arial" w:hAnsi="Arial" w:cs="Arial"/>
          <w:sz w:val="20"/>
          <w:szCs w:val="20"/>
        </w:rPr>
        <w:t>for submission</w:t>
      </w:r>
      <w:r w:rsidR="0006065D">
        <w:rPr>
          <w:rFonts w:ascii="Arial" w:hAnsi="Arial" w:cs="Arial"/>
          <w:sz w:val="20"/>
          <w:szCs w:val="20"/>
        </w:rPr>
        <w:t>,</w:t>
      </w:r>
      <w:r w:rsidR="007B005A">
        <w:rPr>
          <w:rFonts w:ascii="Arial" w:hAnsi="Arial" w:cs="Arial"/>
          <w:sz w:val="20"/>
          <w:szCs w:val="20"/>
        </w:rPr>
        <w:t xml:space="preserve"> </w:t>
      </w:r>
      <w:r w:rsidR="004B6261">
        <w:rPr>
          <w:rFonts w:ascii="Arial" w:hAnsi="Arial" w:cs="Arial"/>
          <w:sz w:val="20"/>
          <w:szCs w:val="20"/>
        </w:rPr>
        <w:t xml:space="preserve">academics </w:t>
      </w:r>
      <w:r w:rsidR="00E13533">
        <w:rPr>
          <w:rFonts w:ascii="Arial" w:hAnsi="Arial" w:cs="Arial"/>
          <w:sz w:val="20"/>
          <w:szCs w:val="20"/>
        </w:rPr>
        <w:t xml:space="preserve">may have </w:t>
      </w:r>
      <w:r w:rsidR="004B6261">
        <w:rPr>
          <w:rFonts w:ascii="Arial" w:hAnsi="Arial" w:cs="Arial"/>
          <w:sz w:val="20"/>
          <w:szCs w:val="20"/>
        </w:rPr>
        <w:t>a better opportunity to balance traditional and impact-oriented outputs</w:t>
      </w:r>
      <w:r w:rsidR="007B005A">
        <w:rPr>
          <w:rFonts w:ascii="Arial" w:hAnsi="Arial" w:cs="Arial"/>
          <w:sz w:val="20"/>
          <w:szCs w:val="20"/>
        </w:rPr>
        <w:t>.</w:t>
      </w:r>
      <w:r w:rsidR="007B005A">
        <w:rPr>
          <w:rStyle w:val="FootnoteReference"/>
          <w:rFonts w:ascii="Arial" w:hAnsi="Arial" w:cs="Arial"/>
          <w:sz w:val="20"/>
          <w:szCs w:val="20"/>
        </w:rPr>
        <w:footnoteReference w:id="49"/>
      </w:r>
      <w:r>
        <w:rPr>
          <w:rFonts w:ascii="Arial" w:hAnsi="Arial" w:cs="Arial"/>
          <w:sz w:val="20"/>
          <w:szCs w:val="20"/>
        </w:rPr>
        <w:t xml:space="preserve">  </w:t>
      </w:r>
    </w:p>
    <w:p w14:paraId="19E0E7ED" w14:textId="77777777" w:rsidR="008440E2" w:rsidRDefault="008440E2" w:rsidP="00E51F2A">
      <w:pPr>
        <w:spacing w:line="480" w:lineRule="auto"/>
        <w:rPr>
          <w:rFonts w:ascii="Arial" w:hAnsi="Arial" w:cs="Arial"/>
          <w:sz w:val="20"/>
          <w:szCs w:val="20"/>
        </w:rPr>
      </w:pPr>
    </w:p>
    <w:p w14:paraId="0BADA4A4" w14:textId="26ADD643" w:rsidR="0055648D" w:rsidRPr="004A0A09" w:rsidRDefault="00B64208" w:rsidP="00E51F2A">
      <w:pPr>
        <w:pStyle w:val="ListParagraph"/>
        <w:numPr>
          <w:ilvl w:val="0"/>
          <w:numId w:val="14"/>
        </w:numPr>
        <w:spacing w:line="480" w:lineRule="auto"/>
        <w:rPr>
          <w:rFonts w:ascii="Arial" w:hAnsi="Arial" w:cs="Arial"/>
          <w:b/>
          <w:sz w:val="20"/>
          <w:szCs w:val="20"/>
        </w:rPr>
      </w:pPr>
      <w:r w:rsidRPr="004A0A09">
        <w:rPr>
          <w:rFonts w:ascii="Arial" w:hAnsi="Arial" w:cs="Arial"/>
          <w:b/>
          <w:sz w:val="20"/>
          <w:szCs w:val="20"/>
        </w:rPr>
        <w:t>What was help</w:t>
      </w:r>
      <w:r w:rsidR="00984476" w:rsidRPr="004A0A09">
        <w:rPr>
          <w:rFonts w:ascii="Arial" w:hAnsi="Arial" w:cs="Arial"/>
          <w:b/>
          <w:sz w:val="20"/>
          <w:szCs w:val="20"/>
        </w:rPr>
        <w:t>ful in engaging with government</w:t>
      </w:r>
      <w:r w:rsidRPr="004A0A09">
        <w:rPr>
          <w:rFonts w:ascii="Arial" w:hAnsi="Arial" w:cs="Arial"/>
          <w:b/>
          <w:sz w:val="20"/>
          <w:szCs w:val="20"/>
        </w:rPr>
        <w:t>?</w:t>
      </w:r>
    </w:p>
    <w:p w14:paraId="6276BFE1" w14:textId="059B01EE" w:rsidR="00C20D55" w:rsidRDefault="00B64208" w:rsidP="00E51F2A">
      <w:pPr>
        <w:spacing w:line="480" w:lineRule="auto"/>
        <w:rPr>
          <w:rFonts w:ascii="Arial" w:hAnsi="Arial" w:cs="Arial"/>
          <w:sz w:val="20"/>
          <w:szCs w:val="20"/>
        </w:rPr>
      </w:pPr>
      <w:r>
        <w:rPr>
          <w:rFonts w:ascii="Arial" w:hAnsi="Arial" w:cs="Arial"/>
          <w:sz w:val="20"/>
          <w:szCs w:val="20"/>
        </w:rPr>
        <w:t xml:space="preserve">Respondents were asked how helpful each </w:t>
      </w:r>
      <w:r w:rsidR="00E72500">
        <w:rPr>
          <w:rFonts w:ascii="Arial" w:hAnsi="Arial" w:cs="Arial"/>
          <w:sz w:val="20"/>
          <w:szCs w:val="20"/>
        </w:rPr>
        <w:t xml:space="preserve">of 14 factors </w:t>
      </w:r>
      <w:r>
        <w:rPr>
          <w:rFonts w:ascii="Arial" w:hAnsi="Arial" w:cs="Arial"/>
          <w:sz w:val="20"/>
          <w:szCs w:val="20"/>
        </w:rPr>
        <w:t xml:space="preserve">was in engaging with government. </w:t>
      </w:r>
      <w:r w:rsidR="00047E3F">
        <w:rPr>
          <w:rFonts w:ascii="Arial" w:hAnsi="Arial" w:cs="Arial"/>
          <w:sz w:val="20"/>
          <w:szCs w:val="20"/>
        </w:rPr>
        <w:t xml:space="preserve">Total responses </w:t>
      </w:r>
      <w:r w:rsidR="00CA6E62">
        <w:rPr>
          <w:rFonts w:ascii="Arial" w:hAnsi="Arial" w:cs="Arial"/>
          <w:sz w:val="20"/>
          <w:szCs w:val="20"/>
        </w:rPr>
        <w:t xml:space="preserve">for each varied from 77 to 90. </w:t>
      </w:r>
      <w:r w:rsidR="00A228DA">
        <w:rPr>
          <w:rFonts w:ascii="Arial" w:hAnsi="Arial" w:cs="Arial"/>
          <w:sz w:val="20"/>
          <w:szCs w:val="20"/>
        </w:rPr>
        <w:t xml:space="preserve">Figure </w:t>
      </w:r>
      <w:r w:rsidR="0006065D">
        <w:rPr>
          <w:rFonts w:ascii="Arial" w:hAnsi="Arial" w:cs="Arial"/>
          <w:sz w:val="20"/>
          <w:szCs w:val="20"/>
        </w:rPr>
        <w:t>6</w:t>
      </w:r>
      <w:r w:rsidR="00A228DA">
        <w:rPr>
          <w:rFonts w:ascii="Arial" w:hAnsi="Arial" w:cs="Arial"/>
          <w:sz w:val="20"/>
          <w:szCs w:val="20"/>
        </w:rPr>
        <w:t xml:space="preserve"> </w:t>
      </w:r>
      <w:r w:rsidR="00E13533">
        <w:rPr>
          <w:rFonts w:ascii="Arial" w:hAnsi="Arial" w:cs="Arial"/>
          <w:sz w:val="20"/>
          <w:szCs w:val="20"/>
        </w:rPr>
        <w:t xml:space="preserve">shows these results </w:t>
      </w:r>
      <w:r w:rsidR="00CA6E62">
        <w:rPr>
          <w:rFonts w:ascii="Arial" w:hAnsi="Arial" w:cs="Arial"/>
          <w:sz w:val="20"/>
          <w:szCs w:val="20"/>
        </w:rPr>
        <w:t>in descending order, based on combin</w:t>
      </w:r>
      <w:r w:rsidR="00671BFF">
        <w:rPr>
          <w:rFonts w:ascii="Arial" w:hAnsi="Arial" w:cs="Arial"/>
          <w:sz w:val="20"/>
          <w:szCs w:val="20"/>
        </w:rPr>
        <w:t xml:space="preserve">ed </w:t>
      </w:r>
      <w:r w:rsidR="00A228DA">
        <w:rPr>
          <w:rFonts w:ascii="Arial" w:hAnsi="Arial" w:cs="Arial"/>
          <w:sz w:val="20"/>
          <w:szCs w:val="20"/>
        </w:rPr>
        <w:t xml:space="preserve">responses of </w:t>
      </w:r>
      <w:r w:rsidR="0006065D">
        <w:rPr>
          <w:rFonts w:ascii="Arial" w:hAnsi="Arial" w:cs="Arial"/>
          <w:sz w:val="20"/>
          <w:szCs w:val="20"/>
        </w:rPr>
        <w:t>‘</w:t>
      </w:r>
      <w:r w:rsidR="00671BFF">
        <w:rPr>
          <w:rFonts w:ascii="Arial" w:hAnsi="Arial" w:cs="Arial"/>
          <w:sz w:val="20"/>
          <w:szCs w:val="20"/>
        </w:rPr>
        <w:t>very helpful</w:t>
      </w:r>
      <w:r w:rsidR="0006065D">
        <w:rPr>
          <w:rFonts w:ascii="Arial" w:hAnsi="Arial" w:cs="Arial"/>
          <w:sz w:val="20"/>
          <w:szCs w:val="20"/>
        </w:rPr>
        <w:t>’</w:t>
      </w:r>
      <w:r w:rsidR="00671BFF">
        <w:rPr>
          <w:rFonts w:ascii="Arial" w:hAnsi="Arial" w:cs="Arial"/>
          <w:sz w:val="20"/>
          <w:szCs w:val="20"/>
        </w:rPr>
        <w:t xml:space="preserve"> and </w:t>
      </w:r>
      <w:r w:rsidR="0006065D">
        <w:rPr>
          <w:rFonts w:ascii="Arial" w:hAnsi="Arial" w:cs="Arial"/>
          <w:sz w:val="20"/>
          <w:szCs w:val="20"/>
        </w:rPr>
        <w:t>‘</w:t>
      </w:r>
      <w:r w:rsidR="00671BFF">
        <w:rPr>
          <w:rFonts w:ascii="Arial" w:hAnsi="Arial" w:cs="Arial"/>
          <w:sz w:val="20"/>
          <w:szCs w:val="20"/>
        </w:rPr>
        <w:t>helpful</w:t>
      </w:r>
      <w:r w:rsidR="0006065D">
        <w:rPr>
          <w:rFonts w:ascii="Arial" w:hAnsi="Arial" w:cs="Arial"/>
          <w:sz w:val="20"/>
          <w:szCs w:val="20"/>
        </w:rPr>
        <w:t>’</w:t>
      </w:r>
      <w:r w:rsidR="00FE5442">
        <w:rPr>
          <w:rFonts w:ascii="Arial" w:hAnsi="Arial" w:cs="Arial"/>
          <w:sz w:val="20"/>
          <w:szCs w:val="20"/>
        </w:rPr>
        <w:t>.</w:t>
      </w:r>
    </w:p>
    <w:p w14:paraId="63C0B62C" w14:textId="77777777" w:rsidR="00C20D55" w:rsidRDefault="00C20D55" w:rsidP="00E51F2A">
      <w:pPr>
        <w:spacing w:line="480" w:lineRule="auto"/>
        <w:rPr>
          <w:rFonts w:ascii="Arial" w:hAnsi="Arial" w:cs="Arial"/>
          <w:sz w:val="20"/>
          <w:szCs w:val="20"/>
        </w:rPr>
      </w:pPr>
    </w:p>
    <w:p w14:paraId="28C75540" w14:textId="72D172E6" w:rsidR="00CA6E62" w:rsidRDefault="009C39D3" w:rsidP="00E51F2A">
      <w:pPr>
        <w:spacing w:line="480" w:lineRule="auto"/>
        <w:rPr>
          <w:rFonts w:ascii="Arial" w:hAnsi="Arial" w:cs="Arial"/>
          <w:sz w:val="20"/>
          <w:szCs w:val="20"/>
        </w:rPr>
      </w:pPr>
      <w:r>
        <w:rPr>
          <w:rFonts w:ascii="Arial" w:hAnsi="Arial" w:cs="Arial"/>
          <w:sz w:val="20"/>
          <w:szCs w:val="20"/>
        </w:rPr>
        <w:t xml:space="preserve">Responses break down into four tiers. </w:t>
      </w:r>
      <w:r w:rsidR="00715598">
        <w:rPr>
          <w:rFonts w:ascii="Arial" w:hAnsi="Arial" w:cs="Arial"/>
          <w:sz w:val="20"/>
          <w:szCs w:val="20"/>
        </w:rPr>
        <w:t xml:space="preserve">The first tier comprises three factors that, without question, were the most </w:t>
      </w:r>
      <w:r w:rsidR="00C20D55">
        <w:rPr>
          <w:rFonts w:ascii="Arial" w:hAnsi="Arial" w:cs="Arial"/>
          <w:sz w:val="20"/>
          <w:szCs w:val="20"/>
        </w:rPr>
        <w:t>helpful in engaging with government</w:t>
      </w:r>
      <w:r w:rsidR="00715598">
        <w:rPr>
          <w:rFonts w:ascii="Arial" w:hAnsi="Arial" w:cs="Arial"/>
          <w:sz w:val="20"/>
          <w:szCs w:val="20"/>
        </w:rPr>
        <w:t xml:space="preserve">: </w:t>
      </w:r>
      <w:r w:rsidR="00C20D55">
        <w:rPr>
          <w:rFonts w:ascii="Arial" w:hAnsi="Arial" w:cs="Arial"/>
          <w:sz w:val="20"/>
          <w:szCs w:val="20"/>
        </w:rPr>
        <w:t xml:space="preserve">the research was relevant to government needs at the </w:t>
      </w:r>
      <w:r w:rsidR="006E2D8E">
        <w:rPr>
          <w:rFonts w:ascii="Arial" w:hAnsi="Arial" w:cs="Arial"/>
          <w:sz w:val="20"/>
          <w:szCs w:val="20"/>
        </w:rPr>
        <w:t>time;</w:t>
      </w:r>
      <w:r w:rsidR="00C20D55">
        <w:rPr>
          <w:rFonts w:ascii="Arial" w:hAnsi="Arial" w:cs="Arial"/>
          <w:sz w:val="20"/>
          <w:szCs w:val="20"/>
        </w:rPr>
        <w:t xml:space="preserve"> </w:t>
      </w:r>
      <w:r w:rsidR="00671BFF">
        <w:rPr>
          <w:rFonts w:ascii="Arial" w:hAnsi="Arial" w:cs="Arial"/>
          <w:sz w:val="20"/>
          <w:szCs w:val="20"/>
        </w:rPr>
        <w:t xml:space="preserve">the </w:t>
      </w:r>
      <w:r w:rsidR="00C20D55">
        <w:rPr>
          <w:rFonts w:ascii="Arial" w:hAnsi="Arial" w:cs="Arial"/>
          <w:sz w:val="20"/>
          <w:szCs w:val="20"/>
        </w:rPr>
        <w:t>researchers had pre-existing contacts in government agencies</w:t>
      </w:r>
      <w:r w:rsidR="00BF1E5B">
        <w:rPr>
          <w:rFonts w:ascii="Arial" w:hAnsi="Arial" w:cs="Arial"/>
          <w:sz w:val="20"/>
          <w:szCs w:val="20"/>
        </w:rPr>
        <w:t>;</w:t>
      </w:r>
      <w:r w:rsidR="00C20D55">
        <w:rPr>
          <w:rFonts w:ascii="Arial" w:hAnsi="Arial" w:cs="Arial"/>
          <w:sz w:val="20"/>
          <w:szCs w:val="20"/>
        </w:rPr>
        <w:t xml:space="preserve"> and </w:t>
      </w:r>
      <w:r w:rsidR="00A228DA">
        <w:rPr>
          <w:rFonts w:ascii="Arial" w:hAnsi="Arial" w:cs="Arial"/>
          <w:sz w:val="20"/>
          <w:szCs w:val="20"/>
        </w:rPr>
        <w:t xml:space="preserve">encountering </w:t>
      </w:r>
      <w:r w:rsidR="00C20D55">
        <w:rPr>
          <w:rFonts w:ascii="Arial" w:hAnsi="Arial" w:cs="Arial"/>
          <w:sz w:val="20"/>
          <w:szCs w:val="20"/>
        </w:rPr>
        <w:t>a particularly receptive individual</w:t>
      </w:r>
      <w:r>
        <w:rPr>
          <w:rFonts w:ascii="Arial" w:hAnsi="Arial" w:cs="Arial"/>
          <w:sz w:val="20"/>
          <w:szCs w:val="20"/>
        </w:rPr>
        <w:t xml:space="preserve"> in government</w:t>
      </w:r>
      <w:r w:rsidR="00C20D55">
        <w:rPr>
          <w:rFonts w:ascii="Arial" w:hAnsi="Arial" w:cs="Arial"/>
          <w:sz w:val="20"/>
          <w:szCs w:val="20"/>
        </w:rPr>
        <w:t xml:space="preserve">. </w:t>
      </w:r>
      <w:r w:rsidR="00FE5442">
        <w:rPr>
          <w:rFonts w:ascii="Arial" w:hAnsi="Arial" w:cs="Arial"/>
          <w:sz w:val="20"/>
          <w:szCs w:val="20"/>
        </w:rPr>
        <w:t>In the next tier are</w:t>
      </w:r>
      <w:r w:rsidR="00BF1E5B">
        <w:rPr>
          <w:rFonts w:ascii="Arial" w:hAnsi="Arial" w:cs="Arial"/>
          <w:sz w:val="20"/>
          <w:szCs w:val="20"/>
        </w:rPr>
        <w:t>:</w:t>
      </w:r>
      <w:r w:rsidR="00FE5442">
        <w:rPr>
          <w:rFonts w:ascii="Arial" w:hAnsi="Arial" w:cs="Arial"/>
          <w:sz w:val="20"/>
          <w:szCs w:val="20"/>
        </w:rPr>
        <w:t xml:space="preserve"> </w:t>
      </w:r>
      <w:r w:rsidR="00671BFF">
        <w:rPr>
          <w:rFonts w:ascii="Arial" w:hAnsi="Arial" w:cs="Arial"/>
          <w:sz w:val="20"/>
          <w:szCs w:val="20"/>
        </w:rPr>
        <w:t>introductions from colleagues</w:t>
      </w:r>
      <w:r w:rsidR="00BF1E5B">
        <w:rPr>
          <w:rFonts w:ascii="Arial" w:hAnsi="Arial" w:cs="Arial"/>
          <w:sz w:val="20"/>
          <w:szCs w:val="20"/>
        </w:rPr>
        <w:t>;</w:t>
      </w:r>
      <w:r w:rsidR="00671BFF">
        <w:rPr>
          <w:rFonts w:ascii="Arial" w:hAnsi="Arial" w:cs="Arial"/>
          <w:sz w:val="20"/>
          <w:szCs w:val="20"/>
        </w:rPr>
        <w:t xml:space="preserve"> </w:t>
      </w:r>
      <w:r w:rsidR="00FE5442">
        <w:rPr>
          <w:rFonts w:ascii="Arial" w:hAnsi="Arial" w:cs="Arial"/>
          <w:sz w:val="20"/>
          <w:szCs w:val="20"/>
        </w:rPr>
        <w:t xml:space="preserve">pre-existing </w:t>
      </w:r>
      <w:r w:rsidR="00671BFF">
        <w:rPr>
          <w:rFonts w:ascii="Arial" w:hAnsi="Arial" w:cs="Arial"/>
          <w:sz w:val="20"/>
          <w:szCs w:val="20"/>
        </w:rPr>
        <w:t xml:space="preserve">government </w:t>
      </w:r>
      <w:r w:rsidR="00FE5442">
        <w:rPr>
          <w:rFonts w:ascii="Arial" w:hAnsi="Arial" w:cs="Arial"/>
          <w:sz w:val="20"/>
          <w:szCs w:val="20"/>
        </w:rPr>
        <w:t>contacts</w:t>
      </w:r>
      <w:r w:rsidR="00BF1E5B">
        <w:rPr>
          <w:rFonts w:ascii="Arial" w:hAnsi="Arial" w:cs="Arial"/>
          <w:sz w:val="20"/>
          <w:szCs w:val="20"/>
        </w:rPr>
        <w:t>; intermediary contacts;</w:t>
      </w:r>
      <w:r w:rsidR="00671BFF">
        <w:rPr>
          <w:rFonts w:ascii="Arial" w:hAnsi="Arial" w:cs="Arial"/>
          <w:sz w:val="20"/>
          <w:szCs w:val="20"/>
        </w:rPr>
        <w:t xml:space="preserve"> </w:t>
      </w:r>
      <w:r w:rsidR="00FE5442">
        <w:rPr>
          <w:rFonts w:ascii="Arial" w:hAnsi="Arial" w:cs="Arial"/>
          <w:sz w:val="20"/>
          <w:szCs w:val="20"/>
        </w:rPr>
        <w:t>and approaches seeking participation</w:t>
      </w:r>
      <w:r w:rsidR="00671BFF">
        <w:rPr>
          <w:rFonts w:ascii="Arial" w:hAnsi="Arial" w:cs="Arial"/>
          <w:sz w:val="20"/>
          <w:szCs w:val="20"/>
        </w:rPr>
        <w:t xml:space="preserve"> in research</w:t>
      </w:r>
      <w:r w:rsidR="00FE5442">
        <w:rPr>
          <w:rFonts w:ascii="Arial" w:hAnsi="Arial" w:cs="Arial"/>
          <w:sz w:val="20"/>
          <w:szCs w:val="20"/>
        </w:rPr>
        <w:t xml:space="preserve">. </w:t>
      </w:r>
      <w:r w:rsidR="00BF1E5B">
        <w:rPr>
          <w:rFonts w:ascii="Arial" w:hAnsi="Arial" w:cs="Arial"/>
          <w:sz w:val="20"/>
          <w:szCs w:val="20"/>
        </w:rPr>
        <w:t>T</w:t>
      </w:r>
      <w:r w:rsidR="00FE5442">
        <w:rPr>
          <w:rFonts w:ascii="Arial" w:hAnsi="Arial" w:cs="Arial"/>
          <w:sz w:val="20"/>
          <w:szCs w:val="20"/>
        </w:rPr>
        <w:t xml:space="preserve">he third tier </w:t>
      </w:r>
      <w:r w:rsidR="00BF1E5B">
        <w:rPr>
          <w:rFonts w:ascii="Arial" w:hAnsi="Arial" w:cs="Arial"/>
          <w:sz w:val="20"/>
          <w:szCs w:val="20"/>
        </w:rPr>
        <w:t>comprises</w:t>
      </w:r>
      <w:r w:rsidR="00FE5442">
        <w:rPr>
          <w:rFonts w:ascii="Arial" w:hAnsi="Arial" w:cs="Arial"/>
          <w:sz w:val="20"/>
          <w:szCs w:val="20"/>
        </w:rPr>
        <w:t xml:space="preserve"> formal access protocols</w:t>
      </w:r>
      <w:r w:rsidR="00BF1E5B">
        <w:rPr>
          <w:rFonts w:ascii="Arial" w:hAnsi="Arial" w:cs="Arial"/>
          <w:sz w:val="20"/>
          <w:szCs w:val="20"/>
        </w:rPr>
        <w:t>,</w:t>
      </w:r>
      <w:r w:rsidR="00FE5442">
        <w:rPr>
          <w:rFonts w:ascii="Arial" w:hAnsi="Arial" w:cs="Arial"/>
          <w:sz w:val="20"/>
          <w:szCs w:val="20"/>
        </w:rPr>
        <w:t xml:space="preserve"> funder networks and parliamentary committees, though in many instances these we</w:t>
      </w:r>
      <w:r w:rsidR="00715598">
        <w:rPr>
          <w:rFonts w:ascii="Arial" w:hAnsi="Arial" w:cs="Arial"/>
          <w:sz w:val="20"/>
          <w:szCs w:val="20"/>
        </w:rPr>
        <w:t>re not used or not applicable. Finally, s</w:t>
      </w:r>
      <w:r w:rsidR="00FE5442">
        <w:rPr>
          <w:rFonts w:ascii="Arial" w:hAnsi="Arial" w:cs="Arial"/>
          <w:sz w:val="20"/>
          <w:szCs w:val="20"/>
        </w:rPr>
        <w:t xml:space="preserve">ocial media, professional and industry contacts </w:t>
      </w:r>
      <w:r w:rsidR="00715598">
        <w:rPr>
          <w:rFonts w:ascii="Arial" w:hAnsi="Arial" w:cs="Arial"/>
          <w:sz w:val="20"/>
          <w:szCs w:val="20"/>
        </w:rPr>
        <w:t>were not seen as providing pathways into government (or were rarely used)</w:t>
      </w:r>
      <w:r w:rsidR="00FE5442">
        <w:rPr>
          <w:rFonts w:ascii="Arial" w:hAnsi="Arial" w:cs="Arial"/>
          <w:sz w:val="20"/>
          <w:szCs w:val="20"/>
        </w:rPr>
        <w:t xml:space="preserve">. University press offices </w:t>
      </w:r>
      <w:r w:rsidR="00417914">
        <w:rPr>
          <w:rFonts w:ascii="Arial" w:hAnsi="Arial" w:cs="Arial"/>
          <w:sz w:val="20"/>
          <w:szCs w:val="20"/>
        </w:rPr>
        <w:t>were not</w:t>
      </w:r>
      <w:r w:rsidR="00671BFF">
        <w:rPr>
          <w:rFonts w:ascii="Arial" w:hAnsi="Arial" w:cs="Arial"/>
          <w:sz w:val="20"/>
          <w:szCs w:val="20"/>
        </w:rPr>
        <w:t xml:space="preserve"> pathways to government, </w:t>
      </w:r>
      <w:r w:rsidR="00417914">
        <w:rPr>
          <w:rFonts w:ascii="Arial" w:hAnsi="Arial" w:cs="Arial"/>
          <w:sz w:val="20"/>
          <w:szCs w:val="20"/>
        </w:rPr>
        <w:t>though</w:t>
      </w:r>
      <w:r w:rsidR="00FE5442">
        <w:rPr>
          <w:rFonts w:ascii="Arial" w:hAnsi="Arial" w:cs="Arial"/>
          <w:sz w:val="20"/>
          <w:szCs w:val="20"/>
        </w:rPr>
        <w:t xml:space="preserve"> </w:t>
      </w:r>
      <w:r w:rsidR="00671BFF">
        <w:rPr>
          <w:rFonts w:ascii="Arial" w:hAnsi="Arial" w:cs="Arial"/>
          <w:sz w:val="20"/>
          <w:szCs w:val="20"/>
        </w:rPr>
        <w:t>that i</w:t>
      </w:r>
      <w:r w:rsidR="00FE5442">
        <w:rPr>
          <w:rFonts w:ascii="Arial" w:hAnsi="Arial" w:cs="Arial"/>
          <w:sz w:val="20"/>
          <w:szCs w:val="20"/>
        </w:rPr>
        <w:t>s not their function.</w:t>
      </w:r>
      <w:r w:rsidR="00483047">
        <w:rPr>
          <w:rStyle w:val="FootnoteReference"/>
          <w:rFonts w:ascii="Arial" w:hAnsi="Arial" w:cs="Arial"/>
          <w:sz w:val="20"/>
          <w:szCs w:val="20"/>
        </w:rPr>
        <w:footnoteReference w:id="50"/>
      </w:r>
      <w:r w:rsidR="00FE5442">
        <w:rPr>
          <w:rFonts w:ascii="Arial" w:hAnsi="Arial" w:cs="Arial"/>
          <w:sz w:val="20"/>
          <w:szCs w:val="20"/>
        </w:rPr>
        <w:t xml:space="preserve">  </w:t>
      </w:r>
    </w:p>
    <w:p w14:paraId="4224C4C5" w14:textId="77777777" w:rsidR="004145B0" w:rsidRDefault="004145B0" w:rsidP="00E51F2A">
      <w:pPr>
        <w:spacing w:line="480" w:lineRule="auto"/>
        <w:rPr>
          <w:rFonts w:ascii="Arial" w:hAnsi="Arial" w:cs="Arial"/>
          <w:sz w:val="20"/>
          <w:szCs w:val="20"/>
        </w:rPr>
      </w:pPr>
    </w:p>
    <w:p w14:paraId="010CC719" w14:textId="66380885" w:rsidR="00EC1993" w:rsidRDefault="00EC1993" w:rsidP="00E51F2A">
      <w:pPr>
        <w:spacing w:line="480" w:lineRule="auto"/>
        <w:rPr>
          <w:rFonts w:ascii="Arial" w:hAnsi="Arial" w:cs="Arial"/>
          <w:sz w:val="20"/>
          <w:szCs w:val="20"/>
        </w:rPr>
      </w:pPr>
    </w:p>
    <w:p w14:paraId="0730B2AD" w14:textId="77777777" w:rsidR="000258C1" w:rsidRDefault="000258C1" w:rsidP="00E51F2A">
      <w:pPr>
        <w:spacing w:line="480" w:lineRule="auto"/>
        <w:rPr>
          <w:rFonts w:ascii="Arial" w:hAnsi="Arial" w:cs="Arial"/>
          <w:sz w:val="20"/>
          <w:szCs w:val="20"/>
        </w:rPr>
      </w:pPr>
    </w:p>
    <w:p w14:paraId="724353B0" w14:textId="58A0291D" w:rsidR="000258C1" w:rsidRDefault="00FE3609" w:rsidP="00E51F2A">
      <w:pPr>
        <w:spacing w:line="480" w:lineRule="auto"/>
        <w:rPr>
          <w:rFonts w:ascii="Arial" w:hAnsi="Arial" w:cs="Arial"/>
          <w:sz w:val="20"/>
          <w:szCs w:val="20"/>
        </w:rPr>
      </w:pPr>
      <w:r w:rsidRPr="00F74488">
        <w:rPr>
          <w:rFonts w:ascii="Arial" w:hAnsi="Arial" w:cs="Arial"/>
          <w:noProof/>
          <w:sz w:val="20"/>
          <w:szCs w:val="20"/>
          <w:u w:val="single"/>
          <w:lang w:eastAsia="en-GB"/>
        </w:rPr>
        <w:drawing>
          <wp:inline distT="0" distB="0" distL="0" distR="0" wp14:anchorId="1356192D" wp14:editId="73EF58FF">
            <wp:extent cx="5486400" cy="4945712"/>
            <wp:effectExtent l="0" t="0" r="19050" b="2667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1708A" w14:textId="77777777" w:rsidR="00C82B97" w:rsidRPr="00C82B97" w:rsidRDefault="00C82B97" w:rsidP="00C82B97">
      <w:pPr>
        <w:spacing w:line="360" w:lineRule="auto"/>
        <w:rPr>
          <w:rFonts w:ascii="Arial" w:hAnsi="Arial" w:cs="Arial"/>
          <w:sz w:val="18"/>
          <w:szCs w:val="18"/>
        </w:rPr>
      </w:pPr>
    </w:p>
    <w:p w14:paraId="59247185" w14:textId="47E04B77" w:rsidR="005A43A2" w:rsidRDefault="0034677E" w:rsidP="00E51F2A">
      <w:pPr>
        <w:spacing w:line="480" w:lineRule="auto"/>
        <w:rPr>
          <w:rFonts w:ascii="Arial" w:hAnsi="Arial" w:cs="Arial"/>
          <w:sz w:val="20"/>
          <w:szCs w:val="20"/>
        </w:rPr>
      </w:pPr>
      <w:r>
        <w:rPr>
          <w:rFonts w:ascii="Arial" w:hAnsi="Arial" w:cs="Arial"/>
          <w:sz w:val="20"/>
          <w:szCs w:val="20"/>
        </w:rPr>
        <w:t>Question 10</w:t>
      </w:r>
      <w:r w:rsidR="00ED1F84">
        <w:rPr>
          <w:rFonts w:ascii="Arial" w:hAnsi="Arial" w:cs="Arial"/>
          <w:sz w:val="20"/>
          <w:szCs w:val="20"/>
        </w:rPr>
        <w:t xml:space="preserve"> in the survey</w:t>
      </w:r>
      <w:r>
        <w:rPr>
          <w:rFonts w:ascii="Arial" w:hAnsi="Arial" w:cs="Arial"/>
          <w:sz w:val="20"/>
          <w:szCs w:val="20"/>
        </w:rPr>
        <w:t xml:space="preserve"> </w:t>
      </w:r>
      <w:r w:rsidR="006E5C90">
        <w:rPr>
          <w:rFonts w:ascii="Arial" w:hAnsi="Arial" w:cs="Arial"/>
          <w:sz w:val="20"/>
          <w:szCs w:val="20"/>
        </w:rPr>
        <w:t>put</w:t>
      </w:r>
      <w:r w:rsidR="00BD25FE">
        <w:rPr>
          <w:rFonts w:ascii="Arial" w:hAnsi="Arial" w:cs="Arial"/>
          <w:sz w:val="20"/>
          <w:szCs w:val="20"/>
        </w:rPr>
        <w:t xml:space="preserve"> </w:t>
      </w:r>
      <w:r w:rsidR="003913FF">
        <w:rPr>
          <w:rFonts w:ascii="Arial" w:hAnsi="Arial" w:cs="Arial"/>
          <w:sz w:val="20"/>
          <w:szCs w:val="20"/>
        </w:rPr>
        <w:t xml:space="preserve">the proposition that, </w:t>
      </w:r>
      <w:r w:rsidR="00FF4FD1">
        <w:rPr>
          <w:rFonts w:ascii="Arial" w:hAnsi="Arial" w:cs="Arial"/>
          <w:sz w:val="20"/>
          <w:szCs w:val="20"/>
        </w:rPr>
        <w:t>‘</w:t>
      </w:r>
      <w:r w:rsidR="003913FF" w:rsidRPr="003913FF">
        <w:rPr>
          <w:rFonts w:ascii="Arial" w:hAnsi="Arial" w:cs="Arial"/>
          <w:sz w:val="20"/>
          <w:szCs w:val="20"/>
        </w:rPr>
        <w:t>Legal academic</w:t>
      </w:r>
      <w:r w:rsidR="003913FF">
        <w:rPr>
          <w:rFonts w:ascii="Arial" w:hAnsi="Arial" w:cs="Arial"/>
          <w:sz w:val="20"/>
          <w:szCs w:val="20"/>
        </w:rPr>
        <w:t xml:space="preserve"> </w:t>
      </w:r>
      <w:r w:rsidR="003913FF" w:rsidRPr="003913FF">
        <w:rPr>
          <w:rFonts w:ascii="Arial" w:hAnsi="Arial" w:cs="Arial"/>
          <w:sz w:val="20"/>
          <w:szCs w:val="20"/>
        </w:rPr>
        <w:t>associations (e</w:t>
      </w:r>
      <w:r w:rsidR="007270CB">
        <w:rPr>
          <w:rFonts w:ascii="Arial" w:hAnsi="Arial" w:cs="Arial"/>
          <w:sz w:val="20"/>
          <w:szCs w:val="20"/>
        </w:rPr>
        <w:t>.</w:t>
      </w:r>
      <w:r w:rsidR="003913FF" w:rsidRPr="003913FF">
        <w:rPr>
          <w:rFonts w:ascii="Arial" w:hAnsi="Arial" w:cs="Arial"/>
          <w:sz w:val="20"/>
          <w:szCs w:val="20"/>
        </w:rPr>
        <w:t>g</w:t>
      </w:r>
      <w:r w:rsidR="007270CB">
        <w:rPr>
          <w:rFonts w:ascii="Arial" w:hAnsi="Arial" w:cs="Arial"/>
          <w:sz w:val="20"/>
          <w:szCs w:val="20"/>
        </w:rPr>
        <w:t>.</w:t>
      </w:r>
      <w:r w:rsidR="003913FF" w:rsidRPr="003913FF">
        <w:rPr>
          <w:rFonts w:ascii="Arial" w:hAnsi="Arial" w:cs="Arial"/>
          <w:sz w:val="20"/>
          <w:szCs w:val="20"/>
        </w:rPr>
        <w:t>, S</w:t>
      </w:r>
      <w:r w:rsidR="003913FF">
        <w:rPr>
          <w:rFonts w:ascii="Arial" w:hAnsi="Arial" w:cs="Arial"/>
          <w:sz w:val="20"/>
          <w:szCs w:val="20"/>
        </w:rPr>
        <w:t xml:space="preserve">LS, SLSA, UK Constitutional Law </w:t>
      </w:r>
      <w:r w:rsidR="003913FF" w:rsidRPr="003913FF">
        <w:rPr>
          <w:rFonts w:ascii="Arial" w:hAnsi="Arial" w:cs="Arial"/>
          <w:sz w:val="20"/>
          <w:szCs w:val="20"/>
        </w:rPr>
        <w:t xml:space="preserve">Association) are </w:t>
      </w:r>
      <w:r w:rsidR="003913FF">
        <w:rPr>
          <w:rFonts w:ascii="Arial" w:hAnsi="Arial" w:cs="Arial"/>
          <w:sz w:val="20"/>
          <w:szCs w:val="20"/>
        </w:rPr>
        <w:t xml:space="preserve">bodies that provide good </w:t>
      </w:r>
      <w:r w:rsidR="003913FF" w:rsidRPr="003913FF">
        <w:rPr>
          <w:rFonts w:ascii="Arial" w:hAnsi="Arial" w:cs="Arial"/>
          <w:sz w:val="20"/>
          <w:szCs w:val="20"/>
        </w:rPr>
        <w:t>assistance to academics seeking</w:t>
      </w:r>
      <w:r w:rsidR="003913FF">
        <w:rPr>
          <w:rFonts w:ascii="Arial" w:hAnsi="Arial" w:cs="Arial"/>
          <w:sz w:val="20"/>
          <w:szCs w:val="20"/>
        </w:rPr>
        <w:t xml:space="preserve"> </w:t>
      </w:r>
      <w:r w:rsidR="003913FF" w:rsidRPr="003913FF">
        <w:rPr>
          <w:rFonts w:ascii="Arial" w:hAnsi="Arial" w:cs="Arial"/>
          <w:sz w:val="20"/>
          <w:szCs w:val="20"/>
        </w:rPr>
        <w:t>access to government</w:t>
      </w:r>
      <w:r w:rsidR="00FF4FD1">
        <w:rPr>
          <w:rFonts w:ascii="Arial" w:hAnsi="Arial" w:cs="Arial"/>
          <w:sz w:val="20"/>
          <w:szCs w:val="20"/>
        </w:rPr>
        <w:t>’</w:t>
      </w:r>
      <w:r w:rsidR="00BD25FE">
        <w:rPr>
          <w:rFonts w:ascii="Arial" w:hAnsi="Arial" w:cs="Arial"/>
          <w:sz w:val="20"/>
          <w:szCs w:val="20"/>
        </w:rPr>
        <w:t xml:space="preserve">. Of </w:t>
      </w:r>
      <w:r w:rsidR="003913FF">
        <w:rPr>
          <w:rFonts w:ascii="Arial" w:hAnsi="Arial" w:cs="Arial"/>
          <w:sz w:val="20"/>
          <w:szCs w:val="20"/>
        </w:rPr>
        <w:t xml:space="preserve">97 </w:t>
      </w:r>
      <w:r w:rsidR="00BD25FE">
        <w:rPr>
          <w:rFonts w:ascii="Arial" w:hAnsi="Arial" w:cs="Arial"/>
          <w:sz w:val="20"/>
          <w:szCs w:val="20"/>
        </w:rPr>
        <w:t xml:space="preserve">responses, </w:t>
      </w:r>
      <w:r w:rsidR="003913FF">
        <w:rPr>
          <w:rFonts w:ascii="Arial" w:hAnsi="Arial" w:cs="Arial"/>
          <w:sz w:val="20"/>
          <w:szCs w:val="20"/>
        </w:rPr>
        <w:t>none strongly agreed</w:t>
      </w:r>
      <w:r w:rsidR="00BD25FE">
        <w:rPr>
          <w:rFonts w:ascii="Arial" w:hAnsi="Arial" w:cs="Arial"/>
          <w:sz w:val="20"/>
          <w:szCs w:val="20"/>
        </w:rPr>
        <w:t xml:space="preserve">, </w:t>
      </w:r>
      <w:r w:rsidR="003913FF">
        <w:rPr>
          <w:rFonts w:ascii="Arial" w:hAnsi="Arial" w:cs="Arial"/>
          <w:sz w:val="20"/>
          <w:szCs w:val="20"/>
        </w:rPr>
        <w:t>5 agreed</w:t>
      </w:r>
      <w:r w:rsidR="00BD25FE">
        <w:rPr>
          <w:rFonts w:ascii="Arial" w:hAnsi="Arial" w:cs="Arial"/>
          <w:sz w:val="20"/>
          <w:szCs w:val="20"/>
        </w:rPr>
        <w:t xml:space="preserve">, </w:t>
      </w:r>
      <w:r w:rsidR="003913FF">
        <w:rPr>
          <w:rFonts w:ascii="Arial" w:hAnsi="Arial" w:cs="Arial"/>
          <w:sz w:val="20"/>
          <w:szCs w:val="20"/>
        </w:rPr>
        <w:t xml:space="preserve">30 </w:t>
      </w:r>
      <w:r w:rsidR="00BD25FE">
        <w:rPr>
          <w:rFonts w:ascii="Arial" w:hAnsi="Arial" w:cs="Arial"/>
          <w:sz w:val="20"/>
          <w:szCs w:val="20"/>
        </w:rPr>
        <w:t xml:space="preserve">were </w:t>
      </w:r>
      <w:r w:rsidR="003913FF">
        <w:rPr>
          <w:rFonts w:ascii="Arial" w:hAnsi="Arial" w:cs="Arial"/>
          <w:sz w:val="20"/>
          <w:szCs w:val="20"/>
        </w:rPr>
        <w:t xml:space="preserve">neutral, 20 disagreed and 18 strongly disagreed. </w:t>
      </w:r>
      <w:r w:rsidR="00FF4FD1">
        <w:rPr>
          <w:rFonts w:ascii="Arial" w:hAnsi="Arial" w:cs="Arial"/>
          <w:sz w:val="20"/>
          <w:szCs w:val="20"/>
        </w:rPr>
        <w:t>‘</w:t>
      </w:r>
      <w:r w:rsidR="003913FF">
        <w:rPr>
          <w:rFonts w:ascii="Arial" w:hAnsi="Arial" w:cs="Arial"/>
          <w:sz w:val="20"/>
          <w:szCs w:val="20"/>
        </w:rPr>
        <w:t>Don’t know</w:t>
      </w:r>
      <w:r w:rsidR="00FF4FD1">
        <w:rPr>
          <w:rFonts w:ascii="Arial" w:hAnsi="Arial" w:cs="Arial"/>
          <w:sz w:val="20"/>
          <w:szCs w:val="20"/>
        </w:rPr>
        <w:t>’</w:t>
      </w:r>
      <w:r w:rsidR="003913FF">
        <w:rPr>
          <w:rFonts w:ascii="Arial" w:hAnsi="Arial" w:cs="Arial"/>
          <w:sz w:val="20"/>
          <w:szCs w:val="20"/>
        </w:rPr>
        <w:t xml:space="preserve"> attracted 24 responses.</w:t>
      </w:r>
      <w:r w:rsidR="00864825">
        <w:rPr>
          <w:rFonts w:ascii="Arial" w:hAnsi="Arial" w:cs="Arial"/>
          <w:sz w:val="20"/>
          <w:szCs w:val="20"/>
        </w:rPr>
        <w:t xml:space="preserve"> </w:t>
      </w:r>
      <w:r w:rsidR="00D87132">
        <w:rPr>
          <w:rFonts w:ascii="Arial" w:hAnsi="Arial" w:cs="Arial"/>
          <w:sz w:val="20"/>
          <w:szCs w:val="20"/>
        </w:rPr>
        <w:t xml:space="preserve">While that is not necessarily part of the remit of those </w:t>
      </w:r>
      <w:r w:rsidR="00864825">
        <w:rPr>
          <w:rFonts w:ascii="Arial" w:hAnsi="Arial" w:cs="Arial"/>
          <w:sz w:val="20"/>
          <w:szCs w:val="20"/>
        </w:rPr>
        <w:t>bodies</w:t>
      </w:r>
      <w:r w:rsidR="00D87132">
        <w:rPr>
          <w:rFonts w:ascii="Arial" w:hAnsi="Arial" w:cs="Arial"/>
          <w:sz w:val="20"/>
          <w:szCs w:val="20"/>
        </w:rPr>
        <w:t>, given their wide reach</w:t>
      </w:r>
      <w:r w:rsidR="00864825">
        <w:rPr>
          <w:rFonts w:ascii="Arial" w:hAnsi="Arial" w:cs="Arial"/>
          <w:sz w:val="20"/>
          <w:szCs w:val="20"/>
        </w:rPr>
        <w:t xml:space="preserve"> – SLS alone has </w:t>
      </w:r>
      <w:r w:rsidR="009529D9">
        <w:rPr>
          <w:rFonts w:ascii="Arial" w:hAnsi="Arial" w:cs="Arial"/>
          <w:sz w:val="20"/>
          <w:szCs w:val="20"/>
        </w:rPr>
        <w:t>3,000</w:t>
      </w:r>
      <w:r w:rsidR="00864825">
        <w:rPr>
          <w:rFonts w:ascii="Arial" w:hAnsi="Arial" w:cs="Arial"/>
          <w:sz w:val="20"/>
          <w:szCs w:val="20"/>
        </w:rPr>
        <w:t xml:space="preserve"> members – it suggests a potential that is under-utilised.   </w:t>
      </w:r>
      <w:r w:rsidR="003913FF">
        <w:rPr>
          <w:rFonts w:ascii="Arial" w:hAnsi="Arial" w:cs="Arial"/>
          <w:sz w:val="20"/>
          <w:szCs w:val="20"/>
        </w:rPr>
        <w:t xml:space="preserve">  </w:t>
      </w:r>
    </w:p>
    <w:p w14:paraId="41B8E3F7" w14:textId="77777777" w:rsidR="00EF2A1C" w:rsidRDefault="00EF2A1C" w:rsidP="00E51F2A">
      <w:pPr>
        <w:spacing w:line="480" w:lineRule="auto"/>
        <w:rPr>
          <w:rFonts w:ascii="Arial" w:hAnsi="Arial" w:cs="Arial"/>
          <w:sz w:val="20"/>
          <w:szCs w:val="20"/>
        </w:rPr>
      </w:pPr>
    </w:p>
    <w:p w14:paraId="681D207F" w14:textId="77777777" w:rsidR="002E360D" w:rsidRPr="004A0A09" w:rsidRDefault="002E360D" w:rsidP="002E360D">
      <w:pPr>
        <w:pStyle w:val="ListParagraph"/>
        <w:numPr>
          <w:ilvl w:val="0"/>
          <w:numId w:val="14"/>
        </w:numPr>
        <w:spacing w:line="480" w:lineRule="auto"/>
        <w:rPr>
          <w:rFonts w:ascii="Arial" w:hAnsi="Arial" w:cs="Arial"/>
          <w:b/>
          <w:sz w:val="20"/>
          <w:szCs w:val="20"/>
        </w:rPr>
      </w:pPr>
      <w:r w:rsidRPr="004A0A09">
        <w:rPr>
          <w:rFonts w:ascii="Arial" w:hAnsi="Arial" w:cs="Arial"/>
          <w:b/>
          <w:sz w:val="20"/>
          <w:szCs w:val="20"/>
        </w:rPr>
        <w:t>What hampered engagement?</w:t>
      </w:r>
    </w:p>
    <w:p w14:paraId="4074911D" w14:textId="5D44DEAD" w:rsidR="002E360D" w:rsidRDefault="002E360D" w:rsidP="002E360D">
      <w:pPr>
        <w:spacing w:line="480" w:lineRule="auto"/>
        <w:rPr>
          <w:rFonts w:ascii="Arial" w:hAnsi="Arial" w:cs="Arial"/>
          <w:sz w:val="20"/>
          <w:szCs w:val="20"/>
        </w:rPr>
      </w:pPr>
      <w:r>
        <w:rPr>
          <w:rFonts w:ascii="Arial" w:hAnsi="Arial" w:cs="Arial"/>
          <w:sz w:val="20"/>
          <w:szCs w:val="20"/>
        </w:rPr>
        <w:t xml:space="preserve">Lack of time was the biggest obstacle to engagement (Figure </w:t>
      </w:r>
      <w:r w:rsidR="00ED1F84">
        <w:rPr>
          <w:rFonts w:ascii="Arial" w:hAnsi="Arial" w:cs="Arial"/>
          <w:sz w:val="20"/>
          <w:szCs w:val="20"/>
        </w:rPr>
        <w:t>7</w:t>
      </w:r>
      <w:r>
        <w:rPr>
          <w:rFonts w:ascii="Arial" w:hAnsi="Arial" w:cs="Arial"/>
          <w:sz w:val="20"/>
          <w:szCs w:val="20"/>
        </w:rPr>
        <w:t xml:space="preserve">). </w:t>
      </w:r>
      <w:r w:rsidR="00823BA4">
        <w:rPr>
          <w:rFonts w:ascii="Arial" w:hAnsi="Arial" w:cs="Arial"/>
          <w:sz w:val="20"/>
          <w:szCs w:val="20"/>
        </w:rPr>
        <w:t>Universities, said one</w:t>
      </w:r>
      <w:r w:rsidR="00ED1F84">
        <w:rPr>
          <w:rFonts w:ascii="Arial" w:hAnsi="Arial" w:cs="Arial"/>
          <w:sz w:val="20"/>
          <w:szCs w:val="20"/>
        </w:rPr>
        <w:t xml:space="preserve"> </w:t>
      </w:r>
      <w:r w:rsidR="00336A58">
        <w:rPr>
          <w:rFonts w:ascii="Arial" w:hAnsi="Arial" w:cs="Arial"/>
          <w:sz w:val="20"/>
          <w:szCs w:val="20"/>
        </w:rPr>
        <w:t>mid-career fe</w:t>
      </w:r>
      <w:r w:rsidR="00ED1F84">
        <w:rPr>
          <w:rFonts w:ascii="Arial" w:hAnsi="Arial" w:cs="Arial"/>
          <w:sz w:val="20"/>
          <w:szCs w:val="20"/>
        </w:rPr>
        <w:t xml:space="preserve">male </w:t>
      </w:r>
      <w:r w:rsidR="00823BA4">
        <w:rPr>
          <w:rFonts w:ascii="Arial" w:hAnsi="Arial" w:cs="Arial"/>
          <w:sz w:val="20"/>
          <w:szCs w:val="20"/>
        </w:rPr>
        <w:t>respondent</w:t>
      </w:r>
      <w:r w:rsidR="00ED1F84">
        <w:rPr>
          <w:rFonts w:ascii="Arial" w:hAnsi="Arial" w:cs="Arial"/>
          <w:sz w:val="20"/>
          <w:szCs w:val="20"/>
        </w:rPr>
        <w:t xml:space="preserve"> from a </w:t>
      </w:r>
      <w:r w:rsidR="00336A58">
        <w:rPr>
          <w:rFonts w:ascii="Arial" w:hAnsi="Arial" w:cs="Arial"/>
          <w:sz w:val="20"/>
          <w:szCs w:val="20"/>
        </w:rPr>
        <w:t>non-</w:t>
      </w:r>
      <w:r w:rsidR="00ED1F84">
        <w:rPr>
          <w:rFonts w:ascii="Arial" w:hAnsi="Arial" w:cs="Arial"/>
          <w:sz w:val="20"/>
          <w:szCs w:val="20"/>
        </w:rPr>
        <w:t>RG university</w:t>
      </w:r>
      <w:r w:rsidR="00823BA4">
        <w:rPr>
          <w:rFonts w:ascii="Arial" w:hAnsi="Arial" w:cs="Arial"/>
          <w:sz w:val="20"/>
          <w:szCs w:val="20"/>
        </w:rPr>
        <w:t xml:space="preserve">, ‘need to provide adequate support (essentially time) </w:t>
      </w:r>
      <w:r w:rsidR="00823BA4">
        <w:rPr>
          <w:rFonts w:ascii="Arial" w:hAnsi="Arial" w:cs="Arial"/>
          <w:sz w:val="20"/>
          <w:szCs w:val="20"/>
        </w:rPr>
        <w:lastRenderedPageBreak/>
        <w:t>within an individual’s working time period to enable [engagement] with government and policy makers’, and noted that the time demands of impact work can have disproportionate effects on academics who are part-time and/or have caring responsibilities.</w:t>
      </w:r>
      <w:r w:rsidR="00823BA4">
        <w:rPr>
          <w:rStyle w:val="FootnoteReference"/>
          <w:rFonts w:ascii="Arial" w:hAnsi="Arial" w:cs="Arial"/>
          <w:sz w:val="20"/>
          <w:szCs w:val="20"/>
        </w:rPr>
        <w:footnoteReference w:id="51"/>
      </w:r>
      <w:r w:rsidR="00823BA4">
        <w:rPr>
          <w:rFonts w:ascii="Arial" w:hAnsi="Arial" w:cs="Arial"/>
          <w:sz w:val="20"/>
          <w:szCs w:val="20"/>
        </w:rPr>
        <w:t xml:space="preserve"> </w:t>
      </w:r>
      <w:r w:rsidR="000A06C1">
        <w:rPr>
          <w:rFonts w:ascii="Arial" w:hAnsi="Arial" w:cs="Arial"/>
          <w:sz w:val="20"/>
          <w:szCs w:val="20"/>
        </w:rPr>
        <w:t>T</w:t>
      </w:r>
      <w:r>
        <w:rPr>
          <w:rFonts w:ascii="Arial" w:hAnsi="Arial" w:cs="Arial"/>
          <w:sz w:val="20"/>
          <w:szCs w:val="20"/>
        </w:rPr>
        <w:t>here was little difference</w:t>
      </w:r>
      <w:r w:rsidR="000A06C1">
        <w:rPr>
          <w:rFonts w:ascii="Arial" w:hAnsi="Arial" w:cs="Arial"/>
          <w:sz w:val="20"/>
          <w:szCs w:val="20"/>
        </w:rPr>
        <w:t xml:space="preserve"> between RG and non-RG responses</w:t>
      </w:r>
      <w:r>
        <w:rPr>
          <w:rFonts w:ascii="Arial" w:hAnsi="Arial" w:cs="Arial"/>
          <w:sz w:val="20"/>
          <w:szCs w:val="20"/>
        </w:rPr>
        <w:t xml:space="preserve"> in that regard, but RG researchers did not rate other obstacles as highly: researcher fatigue due to ‘other reasons’ was much lower, and funding was less of a concern. </w:t>
      </w:r>
      <w:r w:rsidR="009E7556">
        <w:rPr>
          <w:rFonts w:ascii="Arial" w:hAnsi="Arial" w:cs="Arial"/>
          <w:sz w:val="20"/>
          <w:szCs w:val="20"/>
        </w:rPr>
        <w:t xml:space="preserve">They also had less difficulty in identifying the relevant individuals in departments (an issue noted by respondents </w:t>
      </w:r>
      <w:r>
        <w:rPr>
          <w:rFonts w:ascii="Arial" w:hAnsi="Arial" w:cs="Arial"/>
          <w:sz w:val="20"/>
          <w:szCs w:val="20"/>
        </w:rPr>
        <w:t>in comments</w:t>
      </w:r>
      <w:r w:rsidR="009E7556">
        <w:rPr>
          <w:rFonts w:ascii="Arial" w:hAnsi="Arial" w:cs="Arial"/>
          <w:sz w:val="20"/>
          <w:szCs w:val="20"/>
        </w:rPr>
        <w:t>)</w:t>
      </w:r>
      <w:r>
        <w:rPr>
          <w:rFonts w:ascii="Arial" w:hAnsi="Arial" w:cs="Arial"/>
          <w:sz w:val="20"/>
          <w:szCs w:val="20"/>
        </w:rPr>
        <w:t xml:space="preserve">. Whereas academics and university contact points are clear and accessible, there are usually few contacts available on government websites and rarely are there specific or </w:t>
      </w:r>
      <w:r w:rsidR="004F18B9">
        <w:rPr>
          <w:rFonts w:ascii="Arial" w:hAnsi="Arial" w:cs="Arial"/>
          <w:sz w:val="20"/>
          <w:szCs w:val="20"/>
        </w:rPr>
        <w:t>named contacts (</w:t>
      </w:r>
      <w:r w:rsidR="009E7556">
        <w:rPr>
          <w:rFonts w:ascii="Arial" w:hAnsi="Arial" w:cs="Arial"/>
          <w:sz w:val="20"/>
          <w:szCs w:val="20"/>
        </w:rPr>
        <w:t>other than</w:t>
      </w:r>
      <w:r>
        <w:rPr>
          <w:rFonts w:ascii="Arial" w:hAnsi="Arial" w:cs="Arial"/>
          <w:sz w:val="20"/>
          <w:szCs w:val="20"/>
        </w:rPr>
        <w:t xml:space="preserve"> government media contacts).</w:t>
      </w:r>
      <w:r>
        <w:rPr>
          <w:rStyle w:val="FootnoteReference"/>
          <w:rFonts w:ascii="Arial" w:hAnsi="Arial" w:cs="Arial"/>
          <w:sz w:val="20"/>
          <w:szCs w:val="20"/>
        </w:rPr>
        <w:footnoteReference w:id="52"/>
      </w:r>
      <w:r>
        <w:rPr>
          <w:rFonts w:ascii="Arial" w:hAnsi="Arial" w:cs="Arial"/>
          <w:sz w:val="20"/>
          <w:szCs w:val="20"/>
        </w:rPr>
        <w:t xml:space="preserve"> </w:t>
      </w:r>
      <w:r w:rsidR="009E7556">
        <w:rPr>
          <w:rFonts w:ascii="Arial" w:hAnsi="Arial" w:cs="Arial"/>
          <w:sz w:val="20"/>
          <w:szCs w:val="20"/>
        </w:rPr>
        <w:t xml:space="preserve">This </w:t>
      </w:r>
      <w:r>
        <w:rPr>
          <w:rFonts w:ascii="Arial" w:hAnsi="Arial" w:cs="Arial"/>
          <w:sz w:val="20"/>
          <w:szCs w:val="20"/>
        </w:rPr>
        <w:t>difficulty is exacerbated by staff turnover in government</w:t>
      </w:r>
      <w:r w:rsidR="00592F3A">
        <w:rPr>
          <w:rFonts w:ascii="Arial" w:hAnsi="Arial" w:cs="Arial"/>
          <w:sz w:val="20"/>
          <w:szCs w:val="20"/>
        </w:rPr>
        <w:t xml:space="preserve">, respondents reporting that </w:t>
      </w:r>
      <w:r w:rsidR="00774633">
        <w:rPr>
          <w:rFonts w:ascii="Arial" w:hAnsi="Arial" w:cs="Arial"/>
          <w:sz w:val="20"/>
          <w:szCs w:val="20"/>
        </w:rPr>
        <w:t>th</w:t>
      </w:r>
      <w:r w:rsidR="00592F3A">
        <w:rPr>
          <w:rFonts w:ascii="Arial" w:hAnsi="Arial" w:cs="Arial"/>
          <w:sz w:val="20"/>
          <w:szCs w:val="20"/>
        </w:rPr>
        <w:t xml:space="preserve">is was </w:t>
      </w:r>
      <w:r>
        <w:rPr>
          <w:rFonts w:ascii="Arial" w:hAnsi="Arial" w:cs="Arial"/>
          <w:sz w:val="20"/>
          <w:szCs w:val="20"/>
        </w:rPr>
        <w:t>‘one of the main inhibitors’ and causes a ‘discontinuity of knowledge</w:t>
      </w:r>
      <w:r w:rsidR="00EF0C09">
        <w:rPr>
          <w:rFonts w:ascii="Arial" w:hAnsi="Arial" w:cs="Arial"/>
          <w:sz w:val="20"/>
          <w:szCs w:val="20"/>
        </w:rPr>
        <w:t>’</w:t>
      </w:r>
      <w:r>
        <w:rPr>
          <w:rFonts w:ascii="Arial" w:hAnsi="Arial" w:cs="Arial"/>
          <w:sz w:val="20"/>
          <w:szCs w:val="20"/>
        </w:rPr>
        <w:t>.</w:t>
      </w:r>
      <w:r w:rsidR="00592F3A">
        <w:rPr>
          <w:rStyle w:val="FootnoteReference"/>
          <w:rFonts w:ascii="Arial" w:hAnsi="Arial" w:cs="Arial"/>
          <w:sz w:val="20"/>
          <w:szCs w:val="20"/>
        </w:rPr>
        <w:footnoteReference w:id="53"/>
      </w:r>
      <w:r>
        <w:rPr>
          <w:rFonts w:ascii="Arial" w:hAnsi="Arial" w:cs="Arial"/>
          <w:sz w:val="20"/>
          <w:szCs w:val="20"/>
        </w:rPr>
        <w:t xml:space="preserve">       </w:t>
      </w:r>
    </w:p>
    <w:p w14:paraId="52EFCB5E" w14:textId="77777777" w:rsidR="002E360D" w:rsidRDefault="002E360D" w:rsidP="002E360D">
      <w:pPr>
        <w:spacing w:line="480" w:lineRule="auto"/>
        <w:rPr>
          <w:rFonts w:ascii="Arial" w:hAnsi="Arial" w:cs="Arial"/>
          <w:sz w:val="20"/>
          <w:szCs w:val="20"/>
        </w:rPr>
      </w:pPr>
    </w:p>
    <w:p w14:paraId="5459BA13" w14:textId="77777777" w:rsidR="002E360D" w:rsidRDefault="002E360D" w:rsidP="002E360D">
      <w:pPr>
        <w:spacing w:line="480" w:lineRule="auto"/>
        <w:rPr>
          <w:rFonts w:ascii="Arial" w:hAnsi="Arial" w:cs="Arial"/>
          <w:sz w:val="20"/>
          <w:szCs w:val="20"/>
        </w:rPr>
      </w:pPr>
    </w:p>
    <w:p w14:paraId="11445E72" w14:textId="40C3AA65" w:rsidR="002E360D" w:rsidRDefault="00966297" w:rsidP="002E360D">
      <w:pPr>
        <w:spacing w:line="480" w:lineRule="auto"/>
        <w:rPr>
          <w:rFonts w:ascii="Arial" w:hAnsi="Arial" w:cs="Arial"/>
          <w:sz w:val="20"/>
          <w:szCs w:val="20"/>
        </w:rPr>
      </w:pPr>
      <w:r w:rsidRPr="00966297">
        <w:rPr>
          <w:rFonts w:ascii="Arial" w:hAnsi="Arial" w:cs="Arial"/>
          <w:noProof/>
          <w:sz w:val="20"/>
          <w:szCs w:val="20"/>
          <w:lang w:eastAsia="en-GB"/>
        </w:rPr>
        <w:lastRenderedPageBreak/>
        <mc:AlternateContent>
          <mc:Choice Requires="wps">
            <w:drawing>
              <wp:anchor distT="0" distB="0" distL="114300" distR="114300" simplePos="0" relativeHeight="251663360" behindDoc="0" locked="0" layoutInCell="1" allowOverlap="1" wp14:anchorId="2D6CAF9F" wp14:editId="17BEB113">
                <wp:simplePos x="0" y="0"/>
                <wp:positionH relativeFrom="column">
                  <wp:posOffset>4549140</wp:posOffset>
                </wp:positionH>
                <wp:positionV relativeFrom="paragraph">
                  <wp:posOffset>4707078</wp:posOffset>
                </wp:positionV>
                <wp:extent cx="425302" cy="244548"/>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02" cy="244548"/>
                        </a:xfrm>
                        <a:prstGeom prst="rect">
                          <a:avLst/>
                        </a:prstGeom>
                        <a:solidFill>
                          <a:srgbClr val="FFFFFF"/>
                        </a:solidFill>
                        <a:ln w="9525">
                          <a:noFill/>
                          <a:miter lim="800000"/>
                          <a:headEnd/>
                          <a:tailEnd/>
                        </a:ln>
                      </wps:spPr>
                      <wps:txbx>
                        <w:txbxContent>
                          <w:p w14:paraId="2BA13F8B" w14:textId="6949FED7" w:rsidR="007B1D1B" w:rsidRPr="00966297" w:rsidRDefault="007B1D1B">
                            <w:pPr>
                              <w:rPr>
                                <w:b/>
                              </w:rPr>
                            </w:pPr>
                            <w:r w:rsidRPr="00966297">
                              <w:rPr>
                                <w:b/>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D6CAF9F" id="_x0000_s1028" type="#_x0000_t202" style="position:absolute;margin-left:358.2pt;margin-top:370.65pt;width:33.5pt;height: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" stroked="f">
                <v:textbox>
                  <w:txbxContent>
                    <w:p w14:paraId="2BA13F8B" w14:textId="6949FED7" w:rsidR="007B1D1B" w:rsidRPr="00966297" w:rsidRDefault="007B1D1B">
                      <w:pPr>
                        <w:rPr>
                          <w:b/>
                        </w:rPr>
                      </w:pPr>
                      <w:r w:rsidRPr="00966297">
                        <w:rPr>
                          <w:b/>
                        </w:rPr>
                        <w:t>=n</w:t>
                      </w:r>
                    </w:p>
                  </w:txbxContent>
                </v:textbox>
              </v:shape>
            </w:pict>
          </mc:Fallback>
        </mc:AlternateContent>
      </w:r>
      <w:r w:rsidR="002E360D">
        <w:rPr>
          <w:rFonts w:ascii="Arial" w:hAnsi="Arial" w:cs="Arial"/>
          <w:noProof/>
          <w:sz w:val="20"/>
          <w:szCs w:val="20"/>
          <w:lang w:eastAsia="en-GB"/>
        </w:rPr>
        <w:drawing>
          <wp:inline distT="0" distB="0" distL="0" distR="0" wp14:anchorId="0B48AC8E" wp14:editId="768DC3DB">
            <wp:extent cx="5486400" cy="5018567"/>
            <wp:effectExtent l="0" t="0" r="19050" b="1079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1A9C60" w14:textId="77777777" w:rsidR="00AD3448" w:rsidRDefault="00AD3448" w:rsidP="008440E2">
      <w:pPr>
        <w:spacing w:line="480" w:lineRule="auto"/>
        <w:rPr>
          <w:rFonts w:ascii="Arial" w:hAnsi="Arial" w:cs="Arial"/>
          <w:sz w:val="20"/>
          <w:szCs w:val="20"/>
        </w:rPr>
      </w:pPr>
    </w:p>
    <w:p w14:paraId="6D6436EC" w14:textId="1D66CF2C" w:rsidR="008440E2" w:rsidRPr="004E1B8D" w:rsidRDefault="008440E2" w:rsidP="008440E2">
      <w:pPr>
        <w:spacing w:line="480" w:lineRule="auto"/>
        <w:rPr>
          <w:rFonts w:ascii="Arial" w:hAnsi="Arial" w:cs="Arial"/>
          <w:sz w:val="20"/>
          <w:szCs w:val="20"/>
        </w:rPr>
      </w:pPr>
      <w:r w:rsidRPr="00493982">
        <w:rPr>
          <w:rFonts w:ascii="Arial" w:hAnsi="Arial" w:cs="Arial"/>
          <w:sz w:val="20"/>
          <w:szCs w:val="20"/>
        </w:rPr>
        <w:t>Just as in the data about early engagement with government, the importance of an established body of research, rather than a particular research output, emerged in this analysis of what legal academics see as helping (or hindering) engagement with governments. Overall, the responses illumina</w:t>
      </w:r>
      <w:r w:rsidRPr="004E1B8D">
        <w:rPr>
          <w:rFonts w:ascii="Arial" w:hAnsi="Arial" w:cs="Arial"/>
          <w:sz w:val="20"/>
          <w:szCs w:val="20"/>
        </w:rPr>
        <w:t xml:space="preserve">te two key challenges. First, the timeline of the research and publication cycle does not always match the policy timeline. Government will often need responses to policy questions on a tighter scale than academics can deliver them. There will be a substantial (even if unplanned) advantage if one has built a body of research that becomes of relevance to government, because it helps provide needed evidence or makes the researcher well placed to address policy questions speedily and authoritatively. It is likely that ‘right place, right time’ has an effect on impact for some or even many researchers. Having said that, as the findings in Figure 4 indicated, academics appear to be more commonly called on to provide expert input into policy based on their general expertise in the field. </w:t>
      </w:r>
    </w:p>
    <w:p w14:paraId="389BEFB9" w14:textId="77777777" w:rsidR="008440E2" w:rsidRPr="004E1B8D" w:rsidRDefault="008440E2" w:rsidP="008440E2">
      <w:pPr>
        <w:spacing w:line="480" w:lineRule="auto"/>
        <w:rPr>
          <w:rFonts w:ascii="Arial" w:hAnsi="Arial" w:cs="Arial"/>
          <w:sz w:val="20"/>
          <w:szCs w:val="20"/>
        </w:rPr>
      </w:pPr>
    </w:p>
    <w:p w14:paraId="51486CF0" w14:textId="3A625BF3" w:rsidR="008440E2" w:rsidRPr="00493982" w:rsidRDefault="008440E2" w:rsidP="008440E2">
      <w:pPr>
        <w:spacing w:line="480" w:lineRule="auto"/>
        <w:rPr>
          <w:rFonts w:ascii="Arial" w:hAnsi="Arial" w:cs="Arial"/>
          <w:sz w:val="20"/>
          <w:szCs w:val="20"/>
        </w:rPr>
      </w:pPr>
      <w:r w:rsidRPr="00493982">
        <w:rPr>
          <w:rFonts w:ascii="Arial" w:hAnsi="Arial" w:cs="Arial"/>
          <w:sz w:val="20"/>
          <w:szCs w:val="20"/>
        </w:rPr>
        <w:lastRenderedPageBreak/>
        <w:t>Second</w:t>
      </w:r>
      <w:r w:rsidR="004B2290" w:rsidRPr="00493982">
        <w:rPr>
          <w:rFonts w:ascii="Arial" w:hAnsi="Arial" w:cs="Arial"/>
          <w:sz w:val="20"/>
          <w:szCs w:val="20"/>
        </w:rPr>
        <w:t>ly</w:t>
      </w:r>
      <w:r w:rsidRPr="00493982">
        <w:rPr>
          <w:rFonts w:ascii="Arial" w:hAnsi="Arial" w:cs="Arial"/>
          <w:sz w:val="20"/>
          <w:szCs w:val="20"/>
        </w:rPr>
        <w:t xml:space="preserve">, there is little to suggest that engagement results from strategy that runs across organisations. Individual researchers may have been systematic and strategic in aims, approaches and the use of time, but open-ended comments did not reveal any systemic or strategic approaches driven by institutions or the bodies they engage with. Faculty, university and funder networks are not especially helpful for most people. Rather, pre-existing contacts and introductions are important, and striking a particularly receptive individual will make a difference.  </w:t>
      </w:r>
    </w:p>
    <w:p w14:paraId="62882022" w14:textId="77777777" w:rsidR="008440E2" w:rsidRPr="00493982" w:rsidRDefault="008440E2" w:rsidP="008440E2">
      <w:pPr>
        <w:spacing w:line="480" w:lineRule="auto"/>
        <w:rPr>
          <w:rFonts w:ascii="Arial" w:hAnsi="Arial" w:cs="Arial"/>
          <w:sz w:val="20"/>
          <w:szCs w:val="20"/>
        </w:rPr>
      </w:pPr>
    </w:p>
    <w:p w14:paraId="1B665C7A" w14:textId="1B45963D" w:rsidR="008440E2" w:rsidRDefault="008440E2" w:rsidP="008440E2">
      <w:pPr>
        <w:spacing w:line="480" w:lineRule="auto"/>
        <w:rPr>
          <w:rFonts w:ascii="Arial" w:hAnsi="Arial" w:cs="Arial"/>
          <w:sz w:val="20"/>
          <w:szCs w:val="20"/>
        </w:rPr>
      </w:pPr>
      <w:r w:rsidRPr="00493982">
        <w:rPr>
          <w:rFonts w:ascii="Arial" w:hAnsi="Arial" w:cs="Arial"/>
          <w:sz w:val="20"/>
          <w:szCs w:val="20"/>
        </w:rPr>
        <w:t>In all, successful engagement with government is highly dependent on individual circumstances, and the individual does not necessarily have a great deal of control over those circumstances.</w:t>
      </w:r>
      <w:r>
        <w:rPr>
          <w:rFonts w:ascii="Arial" w:hAnsi="Arial" w:cs="Arial"/>
          <w:sz w:val="20"/>
          <w:szCs w:val="20"/>
        </w:rPr>
        <w:t xml:space="preserve">  </w:t>
      </w:r>
    </w:p>
    <w:p w14:paraId="49DE98ED" w14:textId="77777777" w:rsidR="008440E2" w:rsidRDefault="008440E2" w:rsidP="00E51F2A">
      <w:pPr>
        <w:spacing w:line="480" w:lineRule="auto"/>
        <w:rPr>
          <w:rFonts w:ascii="Arial" w:hAnsi="Arial" w:cs="Arial"/>
          <w:sz w:val="20"/>
          <w:szCs w:val="20"/>
        </w:rPr>
      </w:pPr>
    </w:p>
    <w:p w14:paraId="623EB829" w14:textId="1EB858AD" w:rsidR="00EC1993" w:rsidRPr="004A0A09" w:rsidRDefault="004E0879" w:rsidP="00E51F2A">
      <w:pPr>
        <w:pStyle w:val="ListParagraph"/>
        <w:numPr>
          <w:ilvl w:val="0"/>
          <w:numId w:val="14"/>
        </w:numPr>
        <w:spacing w:line="480" w:lineRule="auto"/>
        <w:rPr>
          <w:rFonts w:ascii="Arial" w:hAnsi="Arial" w:cs="Arial"/>
          <w:b/>
          <w:sz w:val="20"/>
          <w:szCs w:val="20"/>
        </w:rPr>
      </w:pPr>
      <w:r w:rsidRPr="004A0A09">
        <w:rPr>
          <w:rFonts w:ascii="Arial" w:hAnsi="Arial" w:cs="Arial"/>
          <w:b/>
          <w:sz w:val="20"/>
          <w:szCs w:val="20"/>
        </w:rPr>
        <w:t xml:space="preserve">Establishing </w:t>
      </w:r>
      <w:r w:rsidR="00050D33" w:rsidRPr="004A0A09">
        <w:rPr>
          <w:rFonts w:ascii="Arial" w:hAnsi="Arial" w:cs="Arial"/>
          <w:b/>
          <w:sz w:val="20"/>
          <w:szCs w:val="20"/>
        </w:rPr>
        <w:t>the evidence chain</w:t>
      </w:r>
    </w:p>
    <w:p w14:paraId="28F1B47B" w14:textId="7A5AB4D2" w:rsidR="00627125" w:rsidRDefault="00627125" w:rsidP="00627125">
      <w:pPr>
        <w:spacing w:line="480" w:lineRule="auto"/>
        <w:rPr>
          <w:rFonts w:ascii="Arial" w:hAnsi="Arial" w:cs="Arial"/>
          <w:sz w:val="20"/>
          <w:szCs w:val="20"/>
        </w:rPr>
      </w:pPr>
      <w:r>
        <w:rPr>
          <w:rFonts w:ascii="Arial" w:hAnsi="Arial" w:cs="Arial"/>
          <w:sz w:val="20"/>
          <w:szCs w:val="20"/>
        </w:rPr>
        <w:t>Obtaining evidence of impact is vital for being able to demonstrate impact as part of the REF. This can be straightforward and helpful if research is cited in reports or other materials in the public domain, but on other occasions research that is relied upon may not be directly credited in government documents.</w:t>
      </w:r>
      <w:r>
        <w:rPr>
          <w:rStyle w:val="FootnoteReference"/>
          <w:rFonts w:ascii="Arial" w:hAnsi="Arial" w:cs="Arial"/>
          <w:sz w:val="20"/>
          <w:szCs w:val="20"/>
        </w:rPr>
        <w:footnoteReference w:id="54"/>
      </w:r>
      <w:r>
        <w:rPr>
          <w:rFonts w:ascii="Arial" w:hAnsi="Arial" w:cs="Arial"/>
          <w:sz w:val="20"/>
          <w:szCs w:val="20"/>
        </w:rPr>
        <w:t xml:space="preserve"> Moreover, a reference to research would rarely ‘be clear about how data has been used and provide some narrative as to the benefit of the research to decision making / policy development / practice change</w:t>
      </w:r>
      <w:r w:rsidR="00EF0C09">
        <w:rPr>
          <w:rFonts w:ascii="Arial" w:hAnsi="Arial" w:cs="Arial"/>
          <w:sz w:val="20"/>
          <w:szCs w:val="20"/>
        </w:rPr>
        <w:t>’</w:t>
      </w:r>
      <w:r>
        <w:rPr>
          <w:rFonts w:ascii="Arial" w:hAnsi="Arial" w:cs="Arial"/>
          <w:sz w:val="20"/>
          <w:szCs w:val="20"/>
        </w:rPr>
        <w:t>.</w:t>
      </w:r>
      <w:r>
        <w:rPr>
          <w:rStyle w:val="FootnoteReference"/>
          <w:rFonts w:ascii="Arial" w:hAnsi="Arial" w:cs="Arial"/>
          <w:sz w:val="20"/>
          <w:szCs w:val="20"/>
        </w:rPr>
        <w:footnoteReference w:id="55"/>
      </w:r>
      <w:r>
        <w:rPr>
          <w:rFonts w:ascii="Arial" w:hAnsi="Arial" w:cs="Arial"/>
          <w:sz w:val="20"/>
          <w:szCs w:val="20"/>
        </w:rPr>
        <w:t xml:space="preserve"> These benefits may be complex and nuanced; rather than producing evidence as the basis for policy, </w:t>
      </w:r>
      <w:r w:rsidRPr="00DB068E">
        <w:rPr>
          <w:rFonts w:ascii="Arial" w:hAnsi="Arial" w:cs="Arial"/>
          <w:sz w:val="20"/>
          <w:szCs w:val="20"/>
        </w:rPr>
        <w:t xml:space="preserve">research may change the way </w:t>
      </w:r>
      <w:r>
        <w:rPr>
          <w:rFonts w:ascii="Arial" w:hAnsi="Arial" w:cs="Arial"/>
          <w:sz w:val="20"/>
          <w:szCs w:val="20"/>
        </w:rPr>
        <w:t>issues</w:t>
      </w:r>
      <w:r w:rsidRPr="00DB068E">
        <w:rPr>
          <w:rFonts w:ascii="Arial" w:hAnsi="Arial" w:cs="Arial"/>
          <w:sz w:val="20"/>
          <w:szCs w:val="20"/>
        </w:rPr>
        <w:t xml:space="preserve"> are discussed, alter the terms of debate, </w:t>
      </w:r>
      <w:r>
        <w:rPr>
          <w:rFonts w:ascii="Arial" w:hAnsi="Arial" w:cs="Arial"/>
          <w:sz w:val="20"/>
          <w:szCs w:val="20"/>
        </w:rPr>
        <w:t xml:space="preserve">or </w:t>
      </w:r>
      <w:r w:rsidRPr="00DB068E">
        <w:rPr>
          <w:rFonts w:ascii="Arial" w:hAnsi="Arial" w:cs="Arial"/>
          <w:sz w:val="20"/>
          <w:szCs w:val="20"/>
        </w:rPr>
        <w:t xml:space="preserve">compel stakeholders </w:t>
      </w:r>
      <w:r>
        <w:rPr>
          <w:rFonts w:ascii="Arial" w:hAnsi="Arial" w:cs="Arial"/>
          <w:sz w:val="20"/>
          <w:szCs w:val="20"/>
        </w:rPr>
        <w:t>to look more closely at data or related matters</w:t>
      </w:r>
      <w:r w:rsidRPr="00DB068E">
        <w:rPr>
          <w:rFonts w:ascii="Arial" w:hAnsi="Arial" w:cs="Arial"/>
          <w:sz w:val="20"/>
          <w:szCs w:val="20"/>
        </w:rPr>
        <w:t>.</w:t>
      </w:r>
      <w:r>
        <w:rPr>
          <w:rFonts w:ascii="Arial" w:hAnsi="Arial" w:cs="Arial"/>
          <w:sz w:val="20"/>
          <w:szCs w:val="20"/>
        </w:rPr>
        <w:t xml:space="preserve"> Evidence of that kind might then be in private</w:t>
      </w:r>
      <w:r w:rsidRPr="00D25D1B">
        <w:rPr>
          <w:rFonts w:ascii="Arial" w:hAnsi="Arial" w:cs="Arial"/>
          <w:sz w:val="20"/>
          <w:szCs w:val="20"/>
        </w:rPr>
        <w:t xml:space="preserve"> communications</w:t>
      </w:r>
      <w:r>
        <w:rPr>
          <w:rFonts w:ascii="Arial" w:hAnsi="Arial" w:cs="Arial"/>
          <w:sz w:val="20"/>
          <w:szCs w:val="20"/>
        </w:rPr>
        <w:t xml:space="preserve">, such as a </w:t>
      </w:r>
      <w:r w:rsidRPr="00D25D1B">
        <w:rPr>
          <w:rFonts w:ascii="Arial" w:hAnsi="Arial" w:cs="Arial"/>
          <w:sz w:val="20"/>
          <w:szCs w:val="20"/>
        </w:rPr>
        <w:t>letter from someone in an organisation that used research</w:t>
      </w:r>
      <w:r>
        <w:rPr>
          <w:rFonts w:ascii="Arial" w:hAnsi="Arial" w:cs="Arial"/>
          <w:sz w:val="20"/>
          <w:szCs w:val="20"/>
        </w:rPr>
        <w:t>.</w:t>
      </w:r>
      <w:r>
        <w:rPr>
          <w:rStyle w:val="FootnoteReference"/>
          <w:rFonts w:ascii="Arial" w:hAnsi="Arial" w:cs="Arial"/>
          <w:sz w:val="20"/>
          <w:szCs w:val="20"/>
        </w:rPr>
        <w:footnoteReference w:id="56"/>
      </w:r>
      <w:r>
        <w:rPr>
          <w:rFonts w:ascii="Arial" w:hAnsi="Arial" w:cs="Arial"/>
          <w:sz w:val="20"/>
          <w:szCs w:val="20"/>
        </w:rPr>
        <w:t xml:space="preserve"> As Figure </w:t>
      </w:r>
      <w:r w:rsidR="00ED1F84">
        <w:rPr>
          <w:rFonts w:ascii="Arial" w:hAnsi="Arial" w:cs="Arial"/>
          <w:sz w:val="20"/>
          <w:szCs w:val="20"/>
        </w:rPr>
        <w:t>8</w:t>
      </w:r>
      <w:r>
        <w:rPr>
          <w:rFonts w:ascii="Arial" w:hAnsi="Arial" w:cs="Arial"/>
          <w:sz w:val="20"/>
          <w:szCs w:val="20"/>
        </w:rPr>
        <w:t xml:space="preserve"> shows, very few researchers received useful material for evidence without asking (9% agree / strongly agree). When researchers did ask then they generally – though not always – received helpful documents (71% agree / strongly agree), but comments brought out some of the difficulties researchers faced in securing evidence. </w:t>
      </w:r>
    </w:p>
    <w:p w14:paraId="5BA5AB8C" w14:textId="77777777" w:rsidR="00627125" w:rsidRDefault="00627125" w:rsidP="00627125">
      <w:pPr>
        <w:autoSpaceDE w:val="0"/>
        <w:autoSpaceDN w:val="0"/>
        <w:adjustRightInd w:val="0"/>
        <w:spacing w:line="480" w:lineRule="auto"/>
        <w:rPr>
          <w:rFonts w:ascii="Arial" w:hAnsi="Arial" w:cs="Arial"/>
          <w:sz w:val="20"/>
          <w:szCs w:val="20"/>
        </w:rPr>
      </w:pPr>
    </w:p>
    <w:p w14:paraId="081D8AD0" w14:textId="77777777" w:rsidR="00776E82" w:rsidRDefault="00776E82" w:rsidP="00E51F2A">
      <w:pPr>
        <w:spacing w:line="480" w:lineRule="auto"/>
        <w:rPr>
          <w:rFonts w:ascii="Arial" w:hAnsi="Arial" w:cs="Arial"/>
          <w:sz w:val="20"/>
          <w:szCs w:val="20"/>
        </w:rPr>
      </w:pPr>
    </w:p>
    <w:p w14:paraId="7063157E" w14:textId="243C6B00" w:rsidR="00776E82" w:rsidRDefault="00776E82" w:rsidP="00E51F2A">
      <w:pPr>
        <w:spacing w:line="480" w:lineRule="auto"/>
        <w:rPr>
          <w:rFonts w:ascii="Arial" w:hAnsi="Arial" w:cs="Arial"/>
          <w:sz w:val="20"/>
          <w:szCs w:val="20"/>
        </w:rPr>
      </w:pPr>
      <w:r w:rsidRPr="00E42887">
        <w:rPr>
          <w:rFonts w:ascii="Arial" w:hAnsi="Arial" w:cs="Arial"/>
          <w:noProof/>
          <w:sz w:val="20"/>
          <w:szCs w:val="20"/>
          <w:u w:val="single"/>
          <w:lang w:eastAsia="en-GB"/>
        </w:rPr>
        <w:lastRenderedPageBreak/>
        <w:drawing>
          <wp:inline distT="0" distB="0" distL="0" distR="0" wp14:anchorId="3CE1ABF4" wp14:editId="7623EE21">
            <wp:extent cx="5486400" cy="32004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799007" w14:textId="77777777" w:rsidR="00050D33" w:rsidRDefault="00050D33" w:rsidP="00E51F2A">
      <w:pPr>
        <w:spacing w:line="480" w:lineRule="auto"/>
        <w:rPr>
          <w:rFonts w:ascii="Arial" w:hAnsi="Arial" w:cs="Arial"/>
          <w:sz w:val="20"/>
          <w:szCs w:val="20"/>
        </w:rPr>
      </w:pPr>
    </w:p>
    <w:p w14:paraId="00F6B64D" w14:textId="0D3BDE7A" w:rsidR="00FA1C7F" w:rsidRDefault="00FA1C7F" w:rsidP="00FA1C7F">
      <w:pPr>
        <w:spacing w:line="480" w:lineRule="auto"/>
        <w:rPr>
          <w:rFonts w:ascii="Arial" w:hAnsi="Arial" w:cs="Arial"/>
          <w:sz w:val="20"/>
          <w:szCs w:val="20"/>
        </w:rPr>
      </w:pPr>
      <w:r>
        <w:rPr>
          <w:rFonts w:ascii="Arial" w:hAnsi="Arial" w:cs="Arial"/>
          <w:sz w:val="20"/>
          <w:szCs w:val="20"/>
        </w:rPr>
        <w:t xml:space="preserve">It may not be easy or comfortable to seek evidence, especially where </w:t>
      </w:r>
      <w:r w:rsidR="00A228DA">
        <w:rPr>
          <w:rFonts w:ascii="Arial" w:hAnsi="Arial" w:cs="Arial"/>
          <w:sz w:val="20"/>
          <w:szCs w:val="20"/>
        </w:rPr>
        <w:t>users are not</w:t>
      </w:r>
      <w:r>
        <w:rPr>
          <w:rFonts w:ascii="Arial" w:hAnsi="Arial" w:cs="Arial"/>
          <w:sz w:val="20"/>
          <w:szCs w:val="20"/>
        </w:rPr>
        <w:t xml:space="preserve"> aware why evidence is needed. </w:t>
      </w:r>
      <w:r w:rsidR="004B6261">
        <w:rPr>
          <w:rFonts w:ascii="Arial" w:hAnsi="Arial" w:cs="Arial"/>
          <w:sz w:val="20"/>
          <w:szCs w:val="20"/>
        </w:rPr>
        <w:t>R</w:t>
      </w:r>
      <w:r>
        <w:rPr>
          <w:rFonts w:ascii="Arial" w:hAnsi="Arial" w:cs="Arial"/>
          <w:sz w:val="20"/>
          <w:szCs w:val="20"/>
        </w:rPr>
        <w:t>espondent</w:t>
      </w:r>
      <w:r w:rsidR="004B6261">
        <w:rPr>
          <w:rFonts w:ascii="Arial" w:hAnsi="Arial" w:cs="Arial"/>
          <w:sz w:val="20"/>
          <w:szCs w:val="20"/>
        </w:rPr>
        <w:t>s</w:t>
      </w:r>
      <w:r>
        <w:rPr>
          <w:rFonts w:ascii="Arial" w:hAnsi="Arial" w:cs="Arial"/>
          <w:sz w:val="20"/>
          <w:szCs w:val="20"/>
        </w:rPr>
        <w:t xml:space="preserve"> </w:t>
      </w:r>
      <w:r w:rsidR="009262E5">
        <w:rPr>
          <w:rFonts w:ascii="Arial" w:hAnsi="Arial" w:cs="Arial"/>
          <w:sz w:val="20"/>
          <w:szCs w:val="20"/>
        </w:rPr>
        <w:t xml:space="preserve">reported that </w:t>
      </w:r>
      <w:r>
        <w:rPr>
          <w:rFonts w:ascii="Arial" w:hAnsi="Arial" w:cs="Arial"/>
          <w:sz w:val="20"/>
          <w:szCs w:val="20"/>
        </w:rPr>
        <w:t>they ‘did not like pestering civil servants for evidence’</w:t>
      </w:r>
      <w:r w:rsidR="005C1D81">
        <w:rPr>
          <w:rFonts w:ascii="Arial" w:hAnsi="Arial" w:cs="Arial"/>
          <w:sz w:val="20"/>
          <w:szCs w:val="20"/>
        </w:rPr>
        <w:t>,</w:t>
      </w:r>
      <w:r w:rsidR="009262E5">
        <w:rPr>
          <w:rFonts w:ascii="Arial" w:hAnsi="Arial" w:cs="Arial"/>
          <w:sz w:val="20"/>
          <w:szCs w:val="20"/>
        </w:rPr>
        <w:t xml:space="preserve"> </w:t>
      </w:r>
      <w:r w:rsidR="005C1D81">
        <w:rPr>
          <w:rFonts w:ascii="Arial" w:hAnsi="Arial" w:cs="Arial"/>
          <w:sz w:val="20"/>
          <w:szCs w:val="20"/>
        </w:rPr>
        <w:t xml:space="preserve">or </w:t>
      </w:r>
      <w:r w:rsidR="009262E5">
        <w:rPr>
          <w:rFonts w:ascii="Arial" w:hAnsi="Arial" w:cs="Arial"/>
          <w:sz w:val="20"/>
          <w:szCs w:val="20"/>
        </w:rPr>
        <w:t>found it</w:t>
      </w:r>
      <w:r w:rsidR="004B6261">
        <w:rPr>
          <w:rFonts w:ascii="Arial" w:hAnsi="Arial" w:cs="Arial"/>
          <w:sz w:val="20"/>
          <w:szCs w:val="20"/>
        </w:rPr>
        <w:t xml:space="preserve"> ‘</w:t>
      </w:r>
      <w:r w:rsidR="00E00CB7">
        <w:rPr>
          <w:rFonts w:ascii="Arial" w:hAnsi="Arial" w:cs="Arial"/>
          <w:sz w:val="20"/>
          <w:szCs w:val="20"/>
        </w:rPr>
        <w:t>embarrassing</w:t>
      </w:r>
      <w:r w:rsidR="004B6261">
        <w:rPr>
          <w:rFonts w:ascii="Arial" w:hAnsi="Arial" w:cs="Arial"/>
          <w:sz w:val="20"/>
          <w:szCs w:val="20"/>
        </w:rPr>
        <w:t xml:space="preserve"> [and] didn’</w:t>
      </w:r>
      <w:r w:rsidR="005C1D81">
        <w:rPr>
          <w:rFonts w:ascii="Arial" w:hAnsi="Arial" w:cs="Arial"/>
          <w:sz w:val="20"/>
          <w:szCs w:val="20"/>
        </w:rPr>
        <w:t>t enjoy seeking out the support</w:t>
      </w:r>
      <w:r w:rsidR="00EF0C09">
        <w:rPr>
          <w:rFonts w:ascii="Arial" w:hAnsi="Arial" w:cs="Arial"/>
          <w:sz w:val="20"/>
          <w:szCs w:val="20"/>
        </w:rPr>
        <w:t>’</w:t>
      </w:r>
      <w:r w:rsidR="005C1D81">
        <w:rPr>
          <w:rFonts w:ascii="Arial" w:hAnsi="Arial" w:cs="Arial"/>
          <w:sz w:val="20"/>
          <w:szCs w:val="20"/>
        </w:rPr>
        <w:t>.</w:t>
      </w:r>
      <w:r w:rsidR="004B6261">
        <w:rPr>
          <w:rStyle w:val="FootnoteReference"/>
          <w:rFonts w:ascii="Arial" w:hAnsi="Arial" w:cs="Arial"/>
          <w:sz w:val="20"/>
          <w:szCs w:val="20"/>
        </w:rPr>
        <w:footnoteReference w:id="57"/>
      </w:r>
      <w:r w:rsidR="004B6261">
        <w:rPr>
          <w:rFonts w:ascii="Arial" w:hAnsi="Arial" w:cs="Arial"/>
          <w:sz w:val="20"/>
          <w:szCs w:val="20"/>
        </w:rPr>
        <w:t xml:space="preserve"> </w:t>
      </w:r>
      <w:r w:rsidR="005C1D81">
        <w:rPr>
          <w:rFonts w:ascii="Arial" w:hAnsi="Arial" w:cs="Arial"/>
          <w:sz w:val="20"/>
          <w:szCs w:val="20"/>
        </w:rPr>
        <w:t>There were positive</w:t>
      </w:r>
      <w:r w:rsidR="00E00CB7">
        <w:rPr>
          <w:rFonts w:ascii="Arial" w:hAnsi="Arial" w:cs="Arial"/>
          <w:sz w:val="20"/>
          <w:szCs w:val="20"/>
        </w:rPr>
        <w:t xml:space="preserve"> </w:t>
      </w:r>
      <w:r w:rsidR="005C1D81">
        <w:rPr>
          <w:rFonts w:ascii="Arial" w:hAnsi="Arial" w:cs="Arial"/>
          <w:sz w:val="20"/>
          <w:szCs w:val="20"/>
        </w:rPr>
        <w:t>experiences</w:t>
      </w:r>
      <w:r w:rsidR="001800D6">
        <w:rPr>
          <w:rFonts w:ascii="Arial" w:hAnsi="Arial" w:cs="Arial"/>
          <w:sz w:val="20"/>
          <w:szCs w:val="20"/>
        </w:rPr>
        <w:t xml:space="preserve">: </w:t>
      </w:r>
      <w:r w:rsidR="00BF4BFE">
        <w:rPr>
          <w:rFonts w:ascii="Arial" w:hAnsi="Arial" w:cs="Arial"/>
          <w:sz w:val="20"/>
          <w:szCs w:val="20"/>
        </w:rPr>
        <w:t>‘</w:t>
      </w:r>
      <w:r w:rsidR="005C1D81">
        <w:rPr>
          <w:rFonts w:ascii="Arial" w:hAnsi="Arial" w:cs="Arial"/>
          <w:sz w:val="20"/>
          <w:szCs w:val="20"/>
        </w:rPr>
        <w:t xml:space="preserve">[We] </w:t>
      </w:r>
      <w:r w:rsidRPr="0010721E">
        <w:rPr>
          <w:rFonts w:ascii="Arial" w:hAnsi="Arial" w:cs="Arial"/>
          <w:sz w:val="20"/>
          <w:szCs w:val="20"/>
        </w:rPr>
        <w:t>found that people were happy to provide letters of impact</w:t>
      </w:r>
      <w:r>
        <w:rPr>
          <w:rFonts w:ascii="Arial" w:hAnsi="Arial" w:cs="Arial"/>
          <w:sz w:val="20"/>
          <w:szCs w:val="20"/>
        </w:rPr>
        <w:t xml:space="preserve"> </w:t>
      </w:r>
      <w:r w:rsidRPr="0010721E">
        <w:rPr>
          <w:rFonts w:ascii="Arial" w:hAnsi="Arial" w:cs="Arial"/>
          <w:sz w:val="20"/>
          <w:szCs w:val="20"/>
        </w:rPr>
        <w:t>when asked, and many say wonderful things about you in meetings</w:t>
      </w:r>
      <w:r w:rsidR="00DD7FD4">
        <w:rPr>
          <w:rFonts w:ascii="Arial" w:hAnsi="Arial" w:cs="Arial"/>
          <w:sz w:val="20"/>
          <w:szCs w:val="20"/>
        </w:rPr>
        <w:t xml:space="preserve"> [or] </w:t>
      </w:r>
      <w:r w:rsidRPr="0010721E">
        <w:rPr>
          <w:rFonts w:ascii="Arial" w:hAnsi="Arial" w:cs="Arial"/>
          <w:sz w:val="20"/>
          <w:szCs w:val="20"/>
        </w:rPr>
        <w:t>at events, but few think of putting this in writing.</w:t>
      </w:r>
      <w:r>
        <w:rPr>
          <w:rFonts w:ascii="Arial" w:hAnsi="Arial" w:cs="Arial"/>
          <w:sz w:val="20"/>
          <w:szCs w:val="20"/>
        </w:rPr>
        <w:t xml:space="preserve"> It's </w:t>
      </w:r>
      <w:r w:rsidRPr="0010721E">
        <w:rPr>
          <w:rFonts w:ascii="Arial" w:hAnsi="Arial" w:cs="Arial"/>
          <w:sz w:val="20"/>
          <w:szCs w:val="20"/>
        </w:rPr>
        <w:t>important to be pushing and ask!</w:t>
      </w:r>
      <w:r>
        <w:rPr>
          <w:rFonts w:ascii="Arial" w:hAnsi="Arial" w:cs="Arial"/>
          <w:sz w:val="20"/>
          <w:szCs w:val="20"/>
        </w:rPr>
        <w:t>’</w:t>
      </w:r>
      <w:r w:rsidR="009470A1">
        <w:rPr>
          <w:rFonts w:ascii="Arial" w:hAnsi="Arial" w:cs="Arial"/>
          <w:sz w:val="20"/>
          <w:szCs w:val="20"/>
        </w:rPr>
        <w:t xml:space="preserve"> (</w:t>
      </w:r>
      <w:r w:rsidR="0093129B">
        <w:rPr>
          <w:rFonts w:ascii="Arial" w:hAnsi="Arial" w:cs="Arial"/>
          <w:sz w:val="20"/>
          <w:szCs w:val="20"/>
        </w:rPr>
        <w:t>mid-career</w:t>
      </w:r>
      <w:r w:rsidR="009470A1">
        <w:rPr>
          <w:rFonts w:ascii="Arial" w:hAnsi="Arial" w:cs="Arial"/>
          <w:sz w:val="20"/>
          <w:szCs w:val="20"/>
        </w:rPr>
        <w:t xml:space="preserve"> female </w:t>
      </w:r>
      <w:r w:rsidR="00F91826">
        <w:rPr>
          <w:rFonts w:ascii="Arial" w:hAnsi="Arial" w:cs="Arial"/>
          <w:sz w:val="20"/>
          <w:szCs w:val="20"/>
        </w:rPr>
        <w:t xml:space="preserve">academic </w:t>
      </w:r>
      <w:r w:rsidR="009470A1">
        <w:rPr>
          <w:rFonts w:ascii="Arial" w:hAnsi="Arial" w:cs="Arial"/>
          <w:sz w:val="20"/>
          <w:szCs w:val="20"/>
        </w:rPr>
        <w:t>from a</w:t>
      </w:r>
      <w:r w:rsidR="00F91826">
        <w:rPr>
          <w:rFonts w:ascii="Arial" w:hAnsi="Arial" w:cs="Arial"/>
          <w:sz w:val="20"/>
          <w:szCs w:val="20"/>
        </w:rPr>
        <w:t>n</w:t>
      </w:r>
      <w:r w:rsidR="009470A1">
        <w:rPr>
          <w:rFonts w:ascii="Arial" w:hAnsi="Arial" w:cs="Arial"/>
          <w:sz w:val="20"/>
          <w:szCs w:val="20"/>
        </w:rPr>
        <w:t xml:space="preserve"> RG university)</w:t>
      </w:r>
      <w:r w:rsidR="00ED1F84">
        <w:rPr>
          <w:rFonts w:ascii="Arial" w:hAnsi="Arial" w:cs="Arial"/>
          <w:sz w:val="20"/>
          <w:szCs w:val="20"/>
        </w:rPr>
        <w:t>.</w:t>
      </w:r>
      <w:r w:rsidR="00B5792E">
        <w:rPr>
          <w:rStyle w:val="FootnoteReference"/>
          <w:rFonts w:ascii="Arial" w:hAnsi="Arial" w:cs="Arial"/>
          <w:sz w:val="20"/>
          <w:szCs w:val="20"/>
        </w:rPr>
        <w:footnoteReference w:id="58"/>
      </w:r>
      <w:r w:rsidR="005C1D81">
        <w:rPr>
          <w:rFonts w:ascii="Arial" w:hAnsi="Arial" w:cs="Arial"/>
          <w:sz w:val="20"/>
          <w:szCs w:val="20"/>
        </w:rPr>
        <w:t xml:space="preserve"> </w:t>
      </w:r>
      <w:r w:rsidR="00E00CB7">
        <w:rPr>
          <w:rFonts w:ascii="Arial" w:hAnsi="Arial" w:cs="Arial"/>
          <w:sz w:val="20"/>
          <w:szCs w:val="20"/>
        </w:rPr>
        <w:t>However some experiences were more</w:t>
      </w:r>
      <w:r w:rsidR="005C1D81">
        <w:rPr>
          <w:rFonts w:ascii="Arial" w:hAnsi="Arial" w:cs="Arial"/>
          <w:sz w:val="20"/>
          <w:szCs w:val="20"/>
        </w:rPr>
        <w:t xml:space="preserve"> negative</w:t>
      </w:r>
      <w:r w:rsidR="00F91826">
        <w:rPr>
          <w:rFonts w:ascii="Arial" w:hAnsi="Arial" w:cs="Arial"/>
          <w:sz w:val="20"/>
          <w:szCs w:val="20"/>
        </w:rPr>
        <w:t>;</w:t>
      </w:r>
      <w:r w:rsidR="00E00CB7">
        <w:rPr>
          <w:rFonts w:ascii="Arial" w:hAnsi="Arial" w:cs="Arial"/>
          <w:sz w:val="20"/>
          <w:szCs w:val="20"/>
        </w:rPr>
        <w:t xml:space="preserve"> for example</w:t>
      </w:r>
      <w:r w:rsidR="005C1D81">
        <w:rPr>
          <w:rFonts w:ascii="Arial" w:hAnsi="Arial" w:cs="Arial"/>
          <w:sz w:val="20"/>
          <w:szCs w:val="20"/>
        </w:rPr>
        <w:t xml:space="preserve"> while some agencies were good, ‘central government departments were much worse and didn’t provide evidence even when asked</w:t>
      </w:r>
      <w:r w:rsidR="009470A1">
        <w:rPr>
          <w:rFonts w:ascii="Arial" w:hAnsi="Arial" w:cs="Arial"/>
          <w:sz w:val="20"/>
          <w:szCs w:val="20"/>
        </w:rPr>
        <w:t>’</w:t>
      </w:r>
      <w:r w:rsidR="0093129B">
        <w:rPr>
          <w:rFonts w:ascii="Arial" w:hAnsi="Arial" w:cs="Arial"/>
          <w:sz w:val="20"/>
          <w:szCs w:val="20"/>
        </w:rPr>
        <w:t xml:space="preserve"> (early-career male from a non-RG university)</w:t>
      </w:r>
      <w:r w:rsidR="005C1D81">
        <w:rPr>
          <w:rFonts w:ascii="Arial" w:hAnsi="Arial" w:cs="Arial"/>
          <w:sz w:val="20"/>
          <w:szCs w:val="20"/>
        </w:rPr>
        <w:t>.</w:t>
      </w:r>
      <w:r w:rsidR="005C1D81">
        <w:rPr>
          <w:rStyle w:val="FootnoteReference"/>
          <w:rFonts w:ascii="Arial" w:hAnsi="Arial" w:cs="Arial"/>
          <w:sz w:val="20"/>
          <w:szCs w:val="20"/>
        </w:rPr>
        <w:footnoteReference w:id="59"/>
      </w:r>
      <w:r>
        <w:rPr>
          <w:rFonts w:ascii="Arial" w:hAnsi="Arial" w:cs="Arial"/>
          <w:sz w:val="20"/>
          <w:szCs w:val="20"/>
        </w:rPr>
        <w:t xml:space="preserve"> </w:t>
      </w:r>
      <w:r w:rsidR="005C1D81">
        <w:rPr>
          <w:rFonts w:ascii="Arial" w:hAnsi="Arial" w:cs="Arial"/>
          <w:sz w:val="20"/>
          <w:szCs w:val="20"/>
        </w:rPr>
        <w:t>But e</w:t>
      </w:r>
      <w:r>
        <w:rPr>
          <w:rFonts w:ascii="Arial" w:hAnsi="Arial" w:cs="Arial"/>
          <w:sz w:val="20"/>
          <w:szCs w:val="20"/>
        </w:rPr>
        <w:t>ven if asking, there may be limits</w:t>
      </w:r>
      <w:r w:rsidR="005C1D81">
        <w:rPr>
          <w:rFonts w:ascii="Arial" w:hAnsi="Arial" w:cs="Arial"/>
          <w:sz w:val="20"/>
          <w:szCs w:val="20"/>
        </w:rPr>
        <w:t xml:space="preserve"> to what can be provided. It was </w:t>
      </w:r>
      <w:r>
        <w:rPr>
          <w:rFonts w:ascii="Arial" w:hAnsi="Arial" w:cs="Arial"/>
          <w:sz w:val="20"/>
          <w:szCs w:val="20"/>
        </w:rPr>
        <w:t>noted that ‘</w:t>
      </w:r>
      <w:r w:rsidRPr="0010721E">
        <w:rPr>
          <w:rFonts w:ascii="Arial" w:hAnsi="Arial" w:cs="Arial"/>
          <w:sz w:val="20"/>
          <w:szCs w:val="20"/>
        </w:rPr>
        <w:t>civil service advice to politicians is often confidential so</w:t>
      </w:r>
      <w:r>
        <w:rPr>
          <w:rFonts w:ascii="Arial" w:hAnsi="Arial" w:cs="Arial"/>
          <w:sz w:val="20"/>
          <w:szCs w:val="20"/>
        </w:rPr>
        <w:t xml:space="preserve"> </w:t>
      </w:r>
      <w:r w:rsidRPr="0010721E">
        <w:rPr>
          <w:rFonts w:ascii="Arial" w:hAnsi="Arial" w:cs="Arial"/>
          <w:sz w:val="20"/>
          <w:szCs w:val="20"/>
        </w:rPr>
        <w:t>there is no way of knowing if your research has been used in advice</w:t>
      </w:r>
      <w:r w:rsidR="00EF0C09">
        <w:rPr>
          <w:rFonts w:ascii="Arial" w:hAnsi="Arial" w:cs="Arial"/>
          <w:sz w:val="20"/>
          <w:szCs w:val="20"/>
        </w:rPr>
        <w:t>’</w:t>
      </w:r>
      <w:r>
        <w:rPr>
          <w:rFonts w:ascii="Arial" w:hAnsi="Arial" w:cs="Arial"/>
          <w:sz w:val="20"/>
          <w:szCs w:val="20"/>
        </w:rPr>
        <w:t>.</w:t>
      </w:r>
      <w:r w:rsidR="00B5792E">
        <w:rPr>
          <w:rStyle w:val="FootnoteReference"/>
          <w:rFonts w:ascii="Arial" w:hAnsi="Arial" w:cs="Arial"/>
          <w:sz w:val="20"/>
          <w:szCs w:val="20"/>
        </w:rPr>
        <w:footnoteReference w:id="60"/>
      </w:r>
      <w:r w:rsidR="00CB7206">
        <w:rPr>
          <w:rFonts w:ascii="Arial" w:hAnsi="Arial" w:cs="Arial"/>
          <w:sz w:val="20"/>
          <w:szCs w:val="20"/>
        </w:rPr>
        <w:t xml:space="preserve"> </w:t>
      </w:r>
      <w:r w:rsidR="005D4601">
        <w:rPr>
          <w:rFonts w:ascii="Arial" w:hAnsi="Arial" w:cs="Arial"/>
          <w:sz w:val="20"/>
          <w:szCs w:val="20"/>
        </w:rPr>
        <w:t>Just as staff turnover inhibited engagement, it similarly inhibited evidence gathering.</w:t>
      </w:r>
      <w:r w:rsidR="005C1D81">
        <w:rPr>
          <w:rStyle w:val="FootnoteReference"/>
          <w:rFonts w:ascii="Arial" w:hAnsi="Arial" w:cs="Arial"/>
          <w:sz w:val="20"/>
          <w:szCs w:val="20"/>
        </w:rPr>
        <w:footnoteReference w:id="61"/>
      </w:r>
      <w:r w:rsidR="00391019">
        <w:rPr>
          <w:rFonts w:ascii="Arial" w:hAnsi="Arial" w:cs="Arial"/>
          <w:sz w:val="20"/>
          <w:szCs w:val="20"/>
        </w:rPr>
        <w:t xml:space="preserve"> </w:t>
      </w:r>
      <w:r w:rsidR="005D4601">
        <w:rPr>
          <w:rFonts w:ascii="Arial" w:hAnsi="Arial" w:cs="Arial"/>
          <w:sz w:val="20"/>
          <w:szCs w:val="20"/>
        </w:rPr>
        <w:t>An extension of the turnover problem was that</w:t>
      </w:r>
      <w:r w:rsidR="00391019">
        <w:rPr>
          <w:rFonts w:ascii="Arial" w:hAnsi="Arial" w:cs="Arial"/>
          <w:sz w:val="20"/>
          <w:szCs w:val="20"/>
        </w:rPr>
        <w:t xml:space="preserve"> civil servants </w:t>
      </w:r>
      <w:r w:rsidR="00391019">
        <w:rPr>
          <w:rFonts w:ascii="Arial" w:hAnsi="Arial" w:cs="Arial"/>
          <w:sz w:val="20"/>
          <w:szCs w:val="20"/>
        </w:rPr>
        <w:lastRenderedPageBreak/>
        <w:t>who knew the work but had retired ‘would/could not … give a reference</w:t>
      </w:r>
      <w:r w:rsidR="00EF0C09">
        <w:rPr>
          <w:rFonts w:ascii="Arial" w:hAnsi="Arial" w:cs="Arial"/>
          <w:sz w:val="20"/>
          <w:szCs w:val="20"/>
        </w:rPr>
        <w:t>’</w:t>
      </w:r>
      <w:r w:rsidR="00391019">
        <w:rPr>
          <w:rFonts w:ascii="Arial" w:hAnsi="Arial" w:cs="Arial"/>
          <w:sz w:val="20"/>
          <w:szCs w:val="20"/>
        </w:rPr>
        <w:t>.</w:t>
      </w:r>
      <w:r w:rsidR="00391019">
        <w:rPr>
          <w:rStyle w:val="FootnoteReference"/>
          <w:rFonts w:ascii="Arial" w:hAnsi="Arial" w:cs="Arial"/>
          <w:sz w:val="20"/>
          <w:szCs w:val="20"/>
        </w:rPr>
        <w:footnoteReference w:id="62"/>
      </w:r>
      <w:r w:rsidR="00391019">
        <w:rPr>
          <w:rFonts w:ascii="Arial" w:hAnsi="Arial" w:cs="Arial"/>
          <w:sz w:val="20"/>
          <w:szCs w:val="20"/>
        </w:rPr>
        <w:t xml:space="preserve"> Seeking evidence ‘is time-consuming and [the use made of research is] not always immediately obvious at the time the research is carried out</w:t>
      </w:r>
      <w:r w:rsidR="00EF0C09">
        <w:rPr>
          <w:rFonts w:ascii="Arial" w:hAnsi="Arial" w:cs="Arial"/>
          <w:sz w:val="20"/>
          <w:szCs w:val="20"/>
        </w:rPr>
        <w:t>’</w:t>
      </w:r>
      <w:r w:rsidR="00391019">
        <w:rPr>
          <w:rFonts w:ascii="Arial" w:hAnsi="Arial" w:cs="Arial"/>
          <w:sz w:val="20"/>
          <w:szCs w:val="20"/>
        </w:rPr>
        <w:t>.</w:t>
      </w:r>
      <w:r w:rsidR="00391019">
        <w:rPr>
          <w:rStyle w:val="FootnoteReference"/>
          <w:rFonts w:ascii="Arial" w:hAnsi="Arial" w:cs="Arial"/>
          <w:sz w:val="20"/>
          <w:szCs w:val="20"/>
        </w:rPr>
        <w:footnoteReference w:id="63"/>
      </w:r>
      <w:r w:rsidR="005D4601">
        <w:rPr>
          <w:rFonts w:ascii="Arial" w:hAnsi="Arial" w:cs="Arial"/>
          <w:sz w:val="20"/>
          <w:szCs w:val="20"/>
        </w:rPr>
        <w:t xml:space="preserve"> Concerns were also raised about the difference between what mattered and what constituted impact for government and for academics</w:t>
      </w:r>
      <w:r w:rsidR="00037D8A">
        <w:rPr>
          <w:rFonts w:ascii="Arial" w:hAnsi="Arial" w:cs="Arial"/>
          <w:sz w:val="20"/>
          <w:szCs w:val="20"/>
        </w:rPr>
        <w:t xml:space="preserve">. Media coverage, for example, held different significance: </w:t>
      </w:r>
      <w:r w:rsidR="005D4601">
        <w:rPr>
          <w:rFonts w:ascii="Arial" w:hAnsi="Arial" w:cs="Arial"/>
          <w:sz w:val="20"/>
          <w:szCs w:val="20"/>
        </w:rPr>
        <w:t>‘[The department] view being on TV as [the] main indicator of “impact”, when from a REF point of view unless being on TV led to some policy or real world change, that itself would not be [an] indication of impact</w:t>
      </w:r>
      <w:r w:rsidR="00EF0C09">
        <w:rPr>
          <w:rFonts w:ascii="Arial" w:hAnsi="Arial" w:cs="Arial"/>
          <w:sz w:val="20"/>
          <w:szCs w:val="20"/>
        </w:rPr>
        <w:t>’</w:t>
      </w:r>
      <w:r w:rsidR="005D4601">
        <w:rPr>
          <w:rFonts w:ascii="Arial" w:hAnsi="Arial" w:cs="Arial"/>
          <w:sz w:val="20"/>
          <w:szCs w:val="20"/>
        </w:rPr>
        <w:t>.</w:t>
      </w:r>
      <w:r w:rsidR="005D4601">
        <w:rPr>
          <w:rStyle w:val="FootnoteReference"/>
          <w:rFonts w:ascii="Arial" w:hAnsi="Arial" w:cs="Arial"/>
          <w:sz w:val="20"/>
          <w:szCs w:val="20"/>
        </w:rPr>
        <w:footnoteReference w:id="64"/>
      </w:r>
      <w:r w:rsidR="005D4601">
        <w:rPr>
          <w:rFonts w:ascii="Arial" w:hAnsi="Arial" w:cs="Arial"/>
          <w:sz w:val="20"/>
          <w:szCs w:val="20"/>
        </w:rPr>
        <w:t xml:space="preserve"> </w:t>
      </w:r>
    </w:p>
    <w:p w14:paraId="13BC644B" w14:textId="77777777" w:rsidR="00FA1C7F" w:rsidRDefault="00FA1C7F" w:rsidP="00FA1C7F">
      <w:pPr>
        <w:spacing w:line="480" w:lineRule="auto"/>
        <w:rPr>
          <w:rFonts w:ascii="Arial" w:hAnsi="Arial" w:cs="Arial"/>
          <w:sz w:val="20"/>
          <w:szCs w:val="20"/>
        </w:rPr>
      </w:pPr>
    </w:p>
    <w:p w14:paraId="327E1BC5" w14:textId="494A4A0D" w:rsidR="00FA1C7F" w:rsidRDefault="00E00CB7" w:rsidP="00FA1C7F">
      <w:pPr>
        <w:spacing w:line="480" w:lineRule="auto"/>
        <w:rPr>
          <w:rFonts w:ascii="Arial" w:hAnsi="Arial" w:cs="Arial"/>
          <w:sz w:val="20"/>
          <w:szCs w:val="20"/>
        </w:rPr>
      </w:pPr>
      <w:r>
        <w:rPr>
          <w:rFonts w:ascii="Arial" w:hAnsi="Arial" w:cs="Arial"/>
          <w:sz w:val="20"/>
          <w:szCs w:val="20"/>
        </w:rPr>
        <w:t xml:space="preserve">It is possible that some of the difficulties in obtaining evidence may relate to the low awareness and understanding of the REF in government. Only </w:t>
      </w:r>
      <w:r w:rsidR="00B57990">
        <w:rPr>
          <w:rFonts w:ascii="Arial" w:hAnsi="Arial" w:cs="Arial"/>
          <w:sz w:val="20"/>
          <w:szCs w:val="20"/>
        </w:rPr>
        <w:t>34</w:t>
      </w:r>
      <w:r>
        <w:rPr>
          <w:rFonts w:ascii="Arial" w:hAnsi="Arial" w:cs="Arial"/>
          <w:sz w:val="20"/>
          <w:szCs w:val="20"/>
        </w:rPr>
        <w:t>% of respondents agreed or strongly agreed that the people they dealt with in government were aware of the REF and</w:t>
      </w:r>
      <w:r w:rsidR="00B57990">
        <w:rPr>
          <w:rFonts w:ascii="Arial" w:hAnsi="Arial" w:cs="Arial"/>
          <w:sz w:val="20"/>
          <w:szCs w:val="20"/>
        </w:rPr>
        <w:t xml:space="preserve"> just</w:t>
      </w:r>
      <w:r>
        <w:rPr>
          <w:rFonts w:ascii="Arial" w:hAnsi="Arial" w:cs="Arial"/>
          <w:sz w:val="20"/>
          <w:szCs w:val="20"/>
        </w:rPr>
        <w:t xml:space="preserve"> </w:t>
      </w:r>
      <w:r w:rsidR="00B57990">
        <w:rPr>
          <w:rFonts w:ascii="Arial" w:hAnsi="Arial" w:cs="Arial"/>
          <w:sz w:val="20"/>
          <w:szCs w:val="20"/>
        </w:rPr>
        <w:t>12</w:t>
      </w:r>
      <w:r>
        <w:rPr>
          <w:rFonts w:ascii="Arial" w:hAnsi="Arial" w:cs="Arial"/>
          <w:sz w:val="20"/>
          <w:szCs w:val="20"/>
        </w:rPr>
        <w:t>% agreed or strongly agreed t</w:t>
      </w:r>
      <w:r w:rsidR="009470A1">
        <w:rPr>
          <w:rFonts w:ascii="Arial" w:hAnsi="Arial" w:cs="Arial"/>
          <w:sz w:val="20"/>
          <w:szCs w:val="20"/>
        </w:rPr>
        <w:t>h</w:t>
      </w:r>
      <w:r w:rsidR="00ED1F84">
        <w:rPr>
          <w:rFonts w:ascii="Arial" w:hAnsi="Arial" w:cs="Arial"/>
          <w:sz w:val="20"/>
          <w:szCs w:val="20"/>
        </w:rPr>
        <w:t>at they understood it (Figure 9</w:t>
      </w:r>
      <w:r>
        <w:rPr>
          <w:rFonts w:ascii="Arial" w:hAnsi="Arial" w:cs="Arial"/>
          <w:sz w:val="20"/>
          <w:szCs w:val="20"/>
        </w:rPr>
        <w:t xml:space="preserve">). </w:t>
      </w:r>
      <w:r w:rsidR="004E0879">
        <w:rPr>
          <w:rFonts w:ascii="Arial" w:hAnsi="Arial" w:cs="Arial"/>
          <w:sz w:val="20"/>
          <w:szCs w:val="20"/>
        </w:rPr>
        <w:t>However, t</w:t>
      </w:r>
      <w:r w:rsidR="00FA1C7F">
        <w:rPr>
          <w:rFonts w:ascii="Arial" w:hAnsi="Arial" w:cs="Arial"/>
          <w:sz w:val="20"/>
          <w:szCs w:val="20"/>
        </w:rPr>
        <w:t xml:space="preserve">o some extent </w:t>
      </w:r>
      <w:r w:rsidR="00554DE9">
        <w:rPr>
          <w:rFonts w:ascii="Arial" w:hAnsi="Arial" w:cs="Arial"/>
          <w:sz w:val="20"/>
          <w:szCs w:val="20"/>
        </w:rPr>
        <w:t>the data</w:t>
      </w:r>
      <w:r w:rsidR="00FA1C7F">
        <w:rPr>
          <w:rFonts w:ascii="Arial" w:hAnsi="Arial" w:cs="Arial"/>
          <w:sz w:val="20"/>
          <w:szCs w:val="20"/>
        </w:rPr>
        <w:t xml:space="preserve"> suggests that people in government do not need to understand </w:t>
      </w:r>
      <w:r w:rsidR="004E0879">
        <w:rPr>
          <w:rFonts w:ascii="Arial" w:hAnsi="Arial" w:cs="Arial"/>
          <w:sz w:val="20"/>
          <w:szCs w:val="20"/>
        </w:rPr>
        <w:t xml:space="preserve">or be aware of </w:t>
      </w:r>
      <w:r w:rsidR="00FA1C7F">
        <w:rPr>
          <w:rFonts w:ascii="Arial" w:hAnsi="Arial" w:cs="Arial"/>
          <w:sz w:val="20"/>
          <w:szCs w:val="20"/>
        </w:rPr>
        <w:t>the REF</w:t>
      </w:r>
      <w:r w:rsidR="0013361B">
        <w:rPr>
          <w:rFonts w:ascii="Arial" w:hAnsi="Arial" w:cs="Arial"/>
          <w:sz w:val="20"/>
          <w:szCs w:val="20"/>
        </w:rPr>
        <w:t xml:space="preserve">, but rather that they </w:t>
      </w:r>
      <w:r w:rsidR="00FA1C7F">
        <w:rPr>
          <w:rFonts w:ascii="Arial" w:hAnsi="Arial" w:cs="Arial"/>
          <w:sz w:val="20"/>
          <w:szCs w:val="20"/>
        </w:rPr>
        <w:t>need to understand and respond positively to academic needs for evidence. However, an appreciation of why academics need evidence</w:t>
      </w:r>
      <w:r w:rsidR="0013361B">
        <w:rPr>
          <w:rFonts w:ascii="Arial" w:hAnsi="Arial" w:cs="Arial"/>
          <w:sz w:val="20"/>
          <w:szCs w:val="20"/>
        </w:rPr>
        <w:t>, and what they need evidence of,</w:t>
      </w:r>
      <w:r w:rsidR="00FA1C7F">
        <w:rPr>
          <w:rFonts w:ascii="Arial" w:hAnsi="Arial" w:cs="Arial"/>
          <w:sz w:val="20"/>
          <w:szCs w:val="20"/>
        </w:rPr>
        <w:t xml:space="preserve"> may not only see it provided more readily but may help foster good academic</w:t>
      </w:r>
      <w:r w:rsidR="00F91826">
        <w:rPr>
          <w:rFonts w:ascii="Arial" w:hAnsi="Arial" w:cs="Arial"/>
          <w:sz w:val="20"/>
          <w:szCs w:val="20"/>
        </w:rPr>
        <w:t>–</w:t>
      </w:r>
      <w:r w:rsidR="00FA1C7F">
        <w:rPr>
          <w:rFonts w:ascii="Arial" w:hAnsi="Arial" w:cs="Arial"/>
          <w:sz w:val="20"/>
          <w:szCs w:val="20"/>
        </w:rPr>
        <w:t>government relationships.</w:t>
      </w:r>
      <w:r w:rsidR="00554DE9">
        <w:rPr>
          <w:rFonts w:ascii="Arial" w:hAnsi="Arial" w:cs="Arial"/>
          <w:sz w:val="20"/>
          <w:szCs w:val="20"/>
        </w:rPr>
        <w:t xml:space="preserve"> This will not solve the problems created by personnel changes, but awareness could result in </w:t>
      </w:r>
      <w:r w:rsidR="001A4C3A">
        <w:rPr>
          <w:rFonts w:ascii="Arial" w:hAnsi="Arial" w:cs="Arial"/>
          <w:sz w:val="20"/>
          <w:szCs w:val="20"/>
        </w:rPr>
        <w:t>better</w:t>
      </w:r>
      <w:r w:rsidR="00554DE9">
        <w:rPr>
          <w:rFonts w:ascii="Arial" w:hAnsi="Arial" w:cs="Arial"/>
          <w:sz w:val="20"/>
          <w:szCs w:val="20"/>
        </w:rPr>
        <w:t xml:space="preserve"> responsiveness while an individual is in the relevant post. </w:t>
      </w:r>
      <w:r w:rsidR="00FA1C7F">
        <w:rPr>
          <w:rFonts w:ascii="Arial" w:hAnsi="Arial" w:cs="Arial"/>
          <w:sz w:val="20"/>
          <w:szCs w:val="20"/>
        </w:rPr>
        <w:t xml:space="preserve">  </w:t>
      </w:r>
    </w:p>
    <w:p w14:paraId="4C875F54" w14:textId="6DDD6A3B" w:rsidR="00627125" w:rsidRDefault="00627125" w:rsidP="00FA1C7F">
      <w:pPr>
        <w:spacing w:line="480" w:lineRule="auto"/>
        <w:rPr>
          <w:rFonts w:ascii="Arial" w:hAnsi="Arial" w:cs="Arial"/>
          <w:sz w:val="20"/>
          <w:szCs w:val="20"/>
        </w:rPr>
      </w:pPr>
      <w:r w:rsidRPr="00E42887">
        <w:rPr>
          <w:rFonts w:ascii="Arial" w:hAnsi="Arial" w:cs="Arial"/>
          <w:noProof/>
          <w:sz w:val="20"/>
          <w:szCs w:val="20"/>
          <w:lang w:eastAsia="en-GB"/>
        </w:rPr>
        <w:lastRenderedPageBreak/>
        <w:drawing>
          <wp:inline distT="0" distB="0" distL="0" distR="0" wp14:anchorId="624151C4" wp14:editId="7D4A43EC">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237048" w14:textId="77777777" w:rsidR="00FA1C7F" w:rsidRDefault="00FA1C7F" w:rsidP="00FA1C7F">
      <w:pPr>
        <w:spacing w:line="480" w:lineRule="auto"/>
        <w:rPr>
          <w:rFonts w:ascii="Arial" w:hAnsi="Arial" w:cs="Arial"/>
          <w:sz w:val="20"/>
          <w:szCs w:val="20"/>
        </w:rPr>
      </w:pPr>
    </w:p>
    <w:p w14:paraId="7EE89B41" w14:textId="40C62F76" w:rsidR="00E474A9" w:rsidRPr="00D93109" w:rsidRDefault="00E474A9" w:rsidP="00E474A9">
      <w:pPr>
        <w:spacing w:line="480" w:lineRule="auto"/>
        <w:rPr>
          <w:rFonts w:ascii="Arial" w:hAnsi="Arial" w:cs="Arial"/>
          <w:sz w:val="20"/>
          <w:szCs w:val="20"/>
        </w:rPr>
      </w:pPr>
      <w:r w:rsidRPr="00D93109">
        <w:rPr>
          <w:rFonts w:ascii="Arial" w:hAnsi="Arial" w:cs="Arial"/>
          <w:sz w:val="20"/>
          <w:szCs w:val="20"/>
        </w:rPr>
        <w:t xml:space="preserve">The </w:t>
      </w:r>
      <w:r>
        <w:rPr>
          <w:rFonts w:ascii="Arial" w:hAnsi="Arial" w:cs="Arial"/>
          <w:sz w:val="20"/>
          <w:szCs w:val="20"/>
        </w:rPr>
        <w:t>generally positive response from government when asked by researchers to provide evidence is consistent with the RAND evaluation of the preparation of impact submissions. In that evaluation, universities expressed concerns that obtaining evidence of impact was the most difficult aspect of the process and the impact assessment put a burden on stakeholders, but the RAND team found that this was not borne out in the experience of obtaining evidence and in their interviews with stakeholders.</w:t>
      </w:r>
      <w:r>
        <w:rPr>
          <w:rStyle w:val="FootnoteReference"/>
          <w:rFonts w:ascii="Arial" w:hAnsi="Arial" w:cs="Arial"/>
          <w:sz w:val="20"/>
          <w:szCs w:val="20"/>
        </w:rPr>
        <w:footnoteReference w:id="65"/>
      </w:r>
      <w:r>
        <w:rPr>
          <w:rFonts w:ascii="Arial" w:hAnsi="Arial" w:cs="Arial"/>
          <w:sz w:val="20"/>
          <w:szCs w:val="20"/>
        </w:rPr>
        <w:t xml:space="preserve"> Nonetheless, the academic view was that there needed to be a much greater buy-in to the REF from outside higher education institutions so that evidence was more effectively and systematically recorded and produced.</w:t>
      </w:r>
      <w:r>
        <w:rPr>
          <w:rStyle w:val="FootnoteReference"/>
          <w:rFonts w:ascii="Arial" w:hAnsi="Arial" w:cs="Arial"/>
          <w:sz w:val="20"/>
          <w:szCs w:val="20"/>
        </w:rPr>
        <w:footnoteReference w:id="66"/>
      </w:r>
      <w:r>
        <w:rPr>
          <w:rFonts w:ascii="Arial" w:hAnsi="Arial" w:cs="Arial"/>
          <w:sz w:val="20"/>
          <w:szCs w:val="20"/>
        </w:rPr>
        <w:t xml:space="preserve">      </w:t>
      </w:r>
      <w:r w:rsidRPr="00D93109">
        <w:rPr>
          <w:rFonts w:ascii="Arial" w:hAnsi="Arial" w:cs="Arial"/>
          <w:sz w:val="20"/>
          <w:szCs w:val="20"/>
        </w:rPr>
        <w:t xml:space="preserve"> </w:t>
      </w:r>
    </w:p>
    <w:p w14:paraId="232FDABF" w14:textId="77777777" w:rsidR="00935AE9" w:rsidRDefault="00935AE9" w:rsidP="00E51F2A">
      <w:pPr>
        <w:spacing w:line="480" w:lineRule="auto"/>
        <w:rPr>
          <w:rFonts w:ascii="Arial" w:hAnsi="Arial" w:cs="Arial"/>
          <w:sz w:val="20"/>
          <w:szCs w:val="20"/>
        </w:rPr>
      </w:pPr>
    </w:p>
    <w:p w14:paraId="7DE7998A" w14:textId="01EDFF1F" w:rsidR="00935AE9" w:rsidRPr="004A0A09" w:rsidRDefault="00935AE9" w:rsidP="00E51F2A">
      <w:pPr>
        <w:pStyle w:val="ListParagraph"/>
        <w:numPr>
          <w:ilvl w:val="0"/>
          <w:numId w:val="14"/>
        </w:numPr>
        <w:spacing w:line="480" w:lineRule="auto"/>
        <w:rPr>
          <w:rFonts w:ascii="Arial" w:hAnsi="Arial" w:cs="Arial"/>
          <w:b/>
          <w:sz w:val="20"/>
          <w:szCs w:val="20"/>
        </w:rPr>
      </w:pPr>
      <w:r w:rsidRPr="004A0A09">
        <w:rPr>
          <w:rFonts w:ascii="Arial" w:hAnsi="Arial" w:cs="Arial"/>
          <w:b/>
          <w:sz w:val="20"/>
          <w:szCs w:val="20"/>
        </w:rPr>
        <w:t>Systems</w:t>
      </w:r>
      <w:r w:rsidR="008440E2" w:rsidRPr="004A0A09">
        <w:rPr>
          <w:rFonts w:ascii="Arial" w:hAnsi="Arial" w:cs="Arial"/>
          <w:b/>
          <w:sz w:val="20"/>
          <w:szCs w:val="20"/>
        </w:rPr>
        <w:t xml:space="preserve"> and </w:t>
      </w:r>
      <w:r w:rsidRPr="004A0A09">
        <w:rPr>
          <w:rFonts w:ascii="Arial" w:hAnsi="Arial" w:cs="Arial"/>
          <w:b/>
          <w:sz w:val="20"/>
          <w:szCs w:val="20"/>
        </w:rPr>
        <w:t>chance</w:t>
      </w:r>
      <w:r w:rsidR="008440E2" w:rsidRPr="004A0A09">
        <w:rPr>
          <w:rFonts w:ascii="Arial" w:hAnsi="Arial" w:cs="Arial"/>
          <w:b/>
          <w:sz w:val="20"/>
          <w:szCs w:val="20"/>
        </w:rPr>
        <w:t xml:space="preserve"> in REF 2014</w:t>
      </w:r>
      <w:r w:rsidRPr="004A0A09">
        <w:rPr>
          <w:rFonts w:ascii="Arial" w:hAnsi="Arial" w:cs="Arial"/>
          <w:b/>
          <w:sz w:val="20"/>
          <w:szCs w:val="20"/>
        </w:rPr>
        <w:t xml:space="preserve"> </w:t>
      </w:r>
    </w:p>
    <w:p w14:paraId="4E124585" w14:textId="244F043F" w:rsidR="0041033C" w:rsidRDefault="00690C29" w:rsidP="00E51F2A">
      <w:pPr>
        <w:spacing w:line="480" w:lineRule="auto"/>
        <w:rPr>
          <w:rFonts w:ascii="Arial" w:hAnsi="Arial" w:cs="Arial"/>
          <w:sz w:val="20"/>
          <w:szCs w:val="20"/>
        </w:rPr>
      </w:pPr>
      <w:r>
        <w:rPr>
          <w:rFonts w:ascii="Arial" w:hAnsi="Arial" w:cs="Arial"/>
          <w:sz w:val="20"/>
          <w:szCs w:val="20"/>
        </w:rPr>
        <w:t>R</w:t>
      </w:r>
      <w:r w:rsidR="00935AE9">
        <w:rPr>
          <w:rFonts w:ascii="Arial" w:hAnsi="Arial" w:cs="Arial"/>
          <w:sz w:val="20"/>
          <w:szCs w:val="20"/>
        </w:rPr>
        <w:t>espondents were asked to consider some propositions related to</w:t>
      </w:r>
      <w:r w:rsidR="00DD4262">
        <w:rPr>
          <w:rFonts w:ascii="Arial" w:hAnsi="Arial" w:cs="Arial"/>
          <w:sz w:val="20"/>
          <w:szCs w:val="20"/>
        </w:rPr>
        <w:t xml:space="preserve"> the overall difficulty they experienced</w:t>
      </w:r>
      <w:r w:rsidR="00935AE9">
        <w:rPr>
          <w:rFonts w:ascii="Arial" w:hAnsi="Arial" w:cs="Arial"/>
          <w:sz w:val="20"/>
          <w:szCs w:val="20"/>
        </w:rPr>
        <w:t xml:space="preserve"> </w:t>
      </w:r>
      <w:r>
        <w:rPr>
          <w:rFonts w:ascii="Arial" w:hAnsi="Arial" w:cs="Arial"/>
          <w:sz w:val="20"/>
          <w:szCs w:val="20"/>
        </w:rPr>
        <w:t xml:space="preserve">when </w:t>
      </w:r>
      <w:r w:rsidR="00062939">
        <w:rPr>
          <w:rFonts w:ascii="Arial" w:hAnsi="Arial" w:cs="Arial"/>
          <w:sz w:val="20"/>
          <w:szCs w:val="20"/>
        </w:rPr>
        <w:t>engaging with government</w:t>
      </w:r>
      <w:r w:rsidR="00DD4262">
        <w:rPr>
          <w:rFonts w:ascii="Arial" w:hAnsi="Arial" w:cs="Arial"/>
          <w:sz w:val="20"/>
          <w:szCs w:val="20"/>
        </w:rPr>
        <w:t>, including the role that systems (or conversely chance or good luck) play</w:t>
      </w:r>
      <w:r w:rsidR="00C633E8">
        <w:rPr>
          <w:rFonts w:ascii="Arial" w:hAnsi="Arial" w:cs="Arial"/>
          <w:sz w:val="20"/>
          <w:szCs w:val="20"/>
        </w:rPr>
        <w:t xml:space="preserve">. </w:t>
      </w:r>
      <w:r w:rsidR="00062939">
        <w:rPr>
          <w:rFonts w:ascii="Arial" w:hAnsi="Arial" w:cs="Arial"/>
          <w:sz w:val="20"/>
          <w:szCs w:val="20"/>
        </w:rPr>
        <w:t xml:space="preserve">As </w:t>
      </w:r>
      <w:r>
        <w:rPr>
          <w:rFonts w:ascii="Arial" w:hAnsi="Arial" w:cs="Arial"/>
          <w:sz w:val="20"/>
          <w:szCs w:val="20"/>
        </w:rPr>
        <w:t>Figure 1</w:t>
      </w:r>
      <w:r w:rsidR="00ED1F84">
        <w:rPr>
          <w:rFonts w:ascii="Arial" w:hAnsi="Arial" w:cs="Arial"/>
          <w:sz w:val="20"/>
          <w:szCs w:val="20"/>
        </w:rPr>
        <w:t>0</w:t>
      </w:r>
      <w:r w:rsidR="00935AE9">
        <w:rPr>
          <w:rFonts w:ascii="Arial" w:hAnsi="Arial" w:cs="Arial"/>
          <w:sz w:val="20"/>
          <w:szCs w:val="20"/>
        </w:rPr>
        <w:t xml:space="preserve"> shows</w:t>
      </w:r>
      <w:r w:rsidR="00062939">
        <w:rPr>
          <w:rFonts w:ascii="Arial" w:hAnsi="Arial" w:cs="Arial"/>
          <w:sz w:val="20"/>
          <w:szCs w:val="20"/>
        </w:rPr>
        <w:t xml:space="preserve">, engagement is not easy and </w:t>
      </w:r>
      <w:r w:rsidR="0030692A">
        <w:rPr>
          <w:rFonts w:ascii="Arial" w:hAnsi="Arial" w:cs="Arial"/>
          <w:sz w:val="20"/>
          <w:szCs w:val="20"/>
        </w:rPr>
        <w:t>good fortune</w:t>
      </w:r>
      <w:r w:rsidR="00062939">
        <w:rPr>
          <w:rFonts w:ascii="Arial" w:hAnsi="Arial" w:cs="Arial"/>
          <w:sz w:val="20"/>
          <w:szCs w:val="20"/>
        </w:rPr>
        <w:t xml:space="preserve"> plays an important role</w:t>
      </w:r>
      <w:r w:rsidR="00935AE9">
        <w:rPr>
          <w:rFonts w:ascii="Arial" w:hAnsi="Arial" w:cs="Arial"/>
          <w:sz w:val="20"/>
          <w:szCs w:val="20"/>
        </w:rPr>
        <w:t>.</w:t>
      </w:r>
      <w:r w:rsidR="003A6488">
        <w:rPr>
          <w:rFonts w:ascii="Arial" w:hAnsi="Arial" w:cs="Arial"/>
          <w:sz w:val="20"/>
          <w:szCs w:val="20"/>
        </w:rPr>
        <w:t xml:space="preserve"> </w:t>
      </w:r>
    </w:p>
    <w:p w14:paraId="01E33DC8" w14:textId="77777777" w:rsidR="00935AE9" w:rsidRDefault="00935AE9" w:rsidP="00E51F2A">
      <w:pPr>
        <w:spacing w:line="480" w:lineRule="auto"/>
        <w:rPr>
          <w:rFonts w:ascii="Arial" w:hAnsi="Arial" w:cs="Arial"/>
          <w:sz w:val="20"/>
          <w:szCs w:val="20"/>
        </w:rPr>
      </w:pPr>
    </w:p>
    <w:p w14:paraId="2E01DE54" w14:textId="77777777" w:rsidR="0041033C" w:rsidRDefault="0041033C" w:rsidP="00E51F2A">
      <w:pPr>
        <w:spacing w:line="480" w:lineRule="auto"/>
        <w:rPr>
          <w:rFonts w:ascii="Arial" w:hAnsi="Arial" w:cs="Arial"/>
          <w:sz w:val="20"/>
          <w:szCs w:val="20"/>
        </w:rPr>
      </w:pPr>
    </w:p>
    <w:p w14:paraId="18BB1349" w14:textId="24A22AC8" w:rsidR="0041033C" w:rsidRDefault="00C57F8B" w:rsidP="00E51F2A">
      <w:pPr>
        <w:spacing w:line="480" w:lineRule="auto"/>
        <w:rPr>
          <w:rFonts w:ascii="Arial" w:hAnsi="Arial" w:cs="Arial"/>
          <w:sz w:val="20"/>
          <w:szCs w:val="20"/>
        </w:rPr>
      </w:pPr>
      <w:r w:rsidRPr="00C57F8B">
        <w:rPr>
          <w:rFonts w:ascii="Arial" w:hAnsi="Arial" w:cs="Arial"/>
          <w:noProof/>
          <w:sz w:val="20"/>
          <w:szCs w:val="20"/>
          <w:lang w:eastAsia="en-GB"/>
        </w:rPr>
        <w:lastRenderedPageBreak/>
        <mc:AlternateContent>
          <mc:Choice Requires="wps">
            <w:drawing>
              <wp:anchor distT="0" distB="0" distL="114300" distR="114300" simplePos="0" relativeHeight="251665408" behindDoc="0" locked="0" layoutInCell="1" allowOverlap="1" wp14:anchorId="7C5000B6" wp14:editId="17CBCF3E">
                <wp:simplePos x="0" y="0"/>
                <wp:positionH relativeFrom="column">
                  <wp:posOffset>57150</wp:posOffset>
                </wp:positionH>
                <wp:positionV relativeFrom="paragraph">
                  <wp:posOffset>63500</wp:posOffset>
                </wp:positionV>
                <wp:extent cx="260350" cy="219709"/>
                <wp:effectExtent l="0" t="0" r="635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19709"/>
                        </a:xfrm>
                        <a:prstGeom prst="rect">
                          <a:avLst/>
                        </a:prstGeom>
                        <a:solidFill>
                          <a:srgbClr val="FFFFFF"/>
                        </a:solidFill>
                        <a:ln w="9525">
                          <a:noFill/>
                          <a:miter lim="800000"/>
                          <a:headEnd/>
                          <a:tailEnd/>
                        </a:ln>
                      </wps:spPr>
                      <wps:txbx>
                        <w:txbxContent>
                          <w:p w14:paraId="338AB9DA" w14:textId="05E55007" w:rsidR="007B1D1B" w:rsidRPr="00C57F8B" w:rsidRDefault="007B1D1B" w:rsidP="00C57F8B">
                            <w:pPr>
                              <w:ind w:left="-113"/>
                              <w:jc w:val="right"/>
                              <w:rPr>
                                <w:rFonts w:ascii="Arial" w:hAnsi="Arial" w:cs="Arial"/>
                                <w:b/>
                                <w:sz w:val="16"/>
                                <w:szCs w:val="16"/>
                              </w:rPr>
                            </w:pPr>
                            <w:r w:rsidRPr="00C57F8B">
                              <w:rPr>
                                <w:rFonts w:ascii="Arial" w:hAnsi="Arial" w:cs="Arial"/>
                                <w:b/>
                                <w:sz w:val="16"/>
                                <w:szCs w:val="16"/>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C5000B6" id="_x0000_s1029" type="#_x0000_t202" style="position:absolute;margin-left:4.5pt;margin-top:5pt;width:20.5pt;height:1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" stroked="f">
                <v:textbox>
                  <w:txbxContent>
                    <w:p w14:paraId="338AB9DA" w14:textId="05E55007" w:rsidR="007B1D1B" w:rsidRPr="00C57F8B" w:rsidRDefault="007B1D1B" w:rsidP="00C57F8B">
                      <w:pPr>
                        <w:ind w:left="-113"/>
                        <w:jc w:val="right"/>
                        <w:rPr>
                          <w:rFonts w:ascii="Arial" w:hAnsi="Arial" w:cs="Arial"/>
                          <w:b/>
                          <w:sz w:val="16"/>
                          <w:szCs w:val="16"/>
                        </w:rPr>
                      </w:pPr>
                      <w:r w:rsidRPr="00C57F8B">
                        <w:rPr>
                          <w:rFonts w:ascii="Arial" w:hAnsi="Arial" w:cs="Arial"/>
                          <w:b/>
                          <w:sz w:val="16"/>
                          <w:szCs w:val="16"/>
                        </w:rPr>
                        <w:t>=n</w:t>
                      </w:r>
                    </w:p>
                  </w:txbxContent>
                </v:textbox>
              </v:shape>
            </w:pict>
          </mc:Fallback>
        </mc:AlternateContent>
      </w:r>
      <w:r w:rsidR="00FA1E49" w:rsidRPr="002163AB">
        <w:rPr>
          <w:rFonts w:ascii="Arial" w:hAnsi="Arial" w:cs="Arial"/>
          <w:noProof/>
          <w:sz w:val="20"/>
          <w:szCs w:val="20"/>
          <w:u w:val="single"/>
          <w:lang w:eastAsia="en-GB"/>
        </w:rPr>
        <w:drawing>
          <wp:inline distT="0" distB="0" distL="0" distR="0" wp14:anchorId="41A34AE5" wp14:editId="6BCC5E30">
            <wp:extent cx="5486400" cy="32004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C481E83" w14:textId="55C77EF3" w:rsidR="009470A1" w:rsidRDefault="009470A1" w:rsidP="009470A1">
      <w:pPr>
        <w:spacing w:line="240" w:lineRule="auto"/>
        <w:rPr>
          <w:rFonts w:ascii="Arial" w:hAnsi="Arial" w:cs="Arial"/>
          <w:sz w:val="18"/>
          <w:szCs w:val="18"/>
        </w:rPr>
      </w:pPr>
    </w:p>
    <w:p w14:paraId="615E17AD" w14:textId="77777777" w:rsidR="009470A1" w:rsidRPr="009470A1" w:rsidRDefault="009470A1" w:rsidP="009470A1">
      <w:pPr>
        <w:spacing w:line="240" w:lineRule="auto"/>
        <w:rPr>
          <w:rFonts w:ascii="Arial" w:hAnsi="Arial" w:cs="Arial"/>
          <w:sz w:val="18"/>
          <w:szCs w:val="18"/>
        </w:rPr>
      </w:pPr>
    </w:p>
    <w:p w14:paraId="46559D21" w14:textId="7EBF0916" w:rsidR="0030692A" w:rsidRDefault="0030692A" w:rsidP="00E51F2A">
      <w:pPr>
        <w:spacing w:line="480" w:lineRule="auto"/>
        <w:rPr>
          <w:rFonts w:ascii="Arial" w:hAnsi="Arial" w:cs="Arial"/>
          <w:sz w:val="20"/>
          <w:szCs w:val="20"/>
        </w:rPr>
      </w:pPr>
      <w:r>
        <w:rPr>
          <w:rFonts w:ascii="Arial" w:hAnsi="Arial" w:cs="Arial"/>
          <w:sz w:val="20"/>
          <w:szCs w:val="20"/>
        </w:rPr>
        <w:t xml:space="preserve">RG researchers were more likely to agree/strongly agree that research can be brought to the attention of the relevant people within central government </w:t>
      </w:r>
      <w:r w:rsidR="00FF4FD1">
        <w:rPr>
          <w:rFonts w:ascii="Arial" w:hAnsi="Arial" w:cs="Arial"/>
          <w:sz w:val="20"/>
          <w:szCs w:val="20"/>
        </w:rPr>
        <w:t>‘</w:t>
      </w:r>
      <w:r>
        <w:rPr>
          <w:rFonts w:ascii="Arial" w:hAnsi="Arial" w:cs="Arial"/>
          <w:sz w:val="20"/>
          <w:szCs w:val="20"/>
        </w:rPr>
        <w:t>without too much difficulty</w:t>
      </w:r>
      <w:r w:rsidR="00FF4FD1">
        <w:rPr>
          <w:rFonts w:ascii="Arial" w:hAnsi="Arial" w:cs="Arial"/>
          <w:sz w:val="20"/>
          <w:szCs w:val="20"/>
        </w:rPr>
        <w:t>’</w:t>
      </w:r>
      <w:r>
        <w:rPr>
          <w:rFonts w:ascii="Arial" w:hAnsi="Arial" w:cs="Arial"/>
          <w:sz w:val="20"/>
          <w:szCs w:val="20"/>
        </w:rPr>
        <w:t xml:space="preserve"> (37% as opposed to 20% of non-RG researchers</w:t>
      </w:r>
      <w:r w:rsidR="001065BB">
        <w:rPr>
          <w:rFonts w:ascii="Arial" w:hAnsi="Arial" w:cs="Arial"/>
          <w:sz w:val="20"/>
          <w:szCs w:val="20"/>
        </w:rPr>
        <w:t xml:space="preserve">, and 52% of non-RG disagreed/strongly disagreed as opposed to 37% RG). </w:t>
      </w:r>
      <w:r>
        <w:rPr>
          <w:rFonts w:ascii="Arial" w:hAnsi="Arial" w:cs="Arial"/>
          <w:sz w:val="20"/>
          <w:szCs w:val="20"/>
        </w:rPr>
        <w:t>On clear contact point</w:t>
      </w:r>
      <w:r w:rsidR="001065BB">
        <w:rPr>
          <w:rFonts w:ascii="Arial" w:hAnsi="Arial" w:cs="Arial"/>
          <w:sz w:val="20"/>
          <w:szCs w:val="20"/>
        </w:rPr>
        <w:t>s</w:t>
      </w:r>
      <w:r>
        <w:rPr>
          <w:rFonts w:ascii="Arial" w:hAnsi="Arial" w:cs="Arial"/>
          <w:sz w:val="20"/>
          <w:szCs w:val="20"/>
        </w:rPr>
        <w:t>, non-RG respondents were more inclined to disagree, but the difference was not as noticeab</w:t>
      </w:r>
      <w:r w:rsidR="00D867C6">
        <w:rPr>
          <w:rFonts w:ascii="Arial" w:hAnsi="Arial" w:cs="Arial"/>
          <w:sz w:val="20"/>
          <w:szCs w:val="20"/>
        </w:rPr>
        <w:t>le as for the first proposition</w:t>
      </w:r>
      <w:r>
        <w:rPr>
          <w:rFonts w:ascii="Arial" w:hAnsi="Arial" w:cs="Arial"/>
          <w:sz w:val="20"/>
          <w:szCs w:val="20"/>
        </w:rPr>
        <w:t>.</w:t>
      </w:r>
    </w:p>
    <w:p w14:paraId="5D79D593" w14:textId="77777777" w:rsidR="0030692A" w:rsidRDefault="0030692A" w:rsidP="00E51F2A">
      <w:pPr>
        <w:spacing w:line="480" w:lineRule="auto"/>
        <w:rPr>
          <w:rFonts w:ascii="Arial" w:hAnsi="Arial" w:cs="Arial"/>
          <w:sz w:val="20"/>
          <w:szCs w:val="20"/>
        </w:rPr>
      </w:pPr>
    </w:p>
    <w:p w14:paraId="2F884A56" w14:textId="4207AC77" w:rsidR="0030692A" w:rsidRDefault="001065BB" w:rsidP="00E51F2A">
      <w:pPr>
        <w:spacing w:line="480" w:lineRule="auto"/>
        <w:rPr>
          <w:rFonts w:ascii="Arial" w:hAnsi="Arial" w:cs="Arial"/>
          <w:sz w:val="20"/>
          <w:szCs w:val="20"/>
        </w:rPr>
      </w:pPr>
      <w:r>
        <w:rPr>
          <w:rFonts w:ascii="Arial" w:hAnsi="Arial" w:cs="Arial"/>
          <w:sz w:val="20"/>
          <w:szCs w:val="20"/>
        </w:rPr>
        <w:t>However,</w:t>
      </w:r>
      <w:r w:rsidR="0030692A">
        <w:rPr>
          <w:rFonts w:ascii="Arial" w:hAnsi="Arial" w:cs="Arial"/>
          <w:sz w:val="20"/>
          <w:szCs w:val="20"/>
        </w:rPr>
        <w:t xml:space="preserve"> there was almost no difference </w:t>
      </w:r>
      <w:r>
        <w:rPr>
          <w:rFonts w:ascii="Arial" w:hAnsi="Arial" w:cs="Arial"/>
          <w:sz w:val="20"/>
          <w:szCs w:val="20"/>
        </w:rPr>
        <w:t>in RG and non-RG responses</w:t>
      </w:r>
      <w:r w:rsidR="0030692A">
        <w:rPr>
          <w:rFonts w:ascii="Arial" w:hAnsi="Arial" w:cs="Arial"/>
          <w:sz w:val="20"/>
          <w:szCs w:val="20"/>
        </w:rPr>
        <w:t xml:space="preserve"> to the proposition that </w:t>
      </w:r>
      <w:r w:rsidR="00FF4FD1">
        <w:rPr>
          <w:rFonts w:ascii="Arial" w:hAnsi="Arial" w:cs="Arial"/>
          <w:sz w:val="20"/>
          <w:szCs w:val="20"/>
        </w:rPr>
        <w:t>‘</w:t>
      </w:r>
      <w:r w:rsidR="00EE378E">
        <w:rPr>
          <w:rFonts w:ascii="Arial" w:hAnsi="Arial" w:cs="Arial"/>
          <w:sz w:val="20"/>
          <w:szCs w:val="20"/>
        </w:rPr>
        <w:t>s</w:t>
      </w:r>
      <w:r w:rsidR="0030692A">
        <w:rPr>
          <w:rFonts w:ascii="Arial" w:hAnsi="Arial" w:cs="Arial"/>
          <w:sz w:val="20"/>
          <w:szCs w:val="20"/>
        </w:rPr>
        <w:t>uccessful interaction with government is heavily dependent on chance and good fortune</w:t>
      </w:r>
      <w:r w:rsidR="00F91826">
        <w:rPr>
          <w:rFonts w:ascii="Arial" w:hAnsi="Arial" w:cs="Arial"/>
          <w:sz w:val="20"/>
          <w:szCs w:val="20"/>
        </w:rPr>
        <w:t>’</w:t>
      </w:r>
      <w:r w:rsidR="0030692A">
        <w:rPr>
          <w:rFonts w:ascii="Arial" w:hAnsi="Arial" w:cs="Arial"/>
          <w:sz w:val="20"/>
          <w:szCs w:val="20"/>
        </w:rPr>
        <w:t xml:space="preserve">. Just one of the 97 people who answered that question strongly disagreed with that statement, and only 9 disagreed. Conversely, 69% of respondents agreed (54%) or strongly agreed (15%) with the statement. </w:t>
      </w:r>
    </w:p>
    <w:p w14:paraId="6A38D006" w14:textId="77777777" w:rsidR="0030692A" w:rsidRDefault="0030692A" w:rsidP="00E51F2A">
      <w:pPr>
        <w:spacing w:line="480" w:lineRule="auto"/>
        <w:rPr>
          <w:rFonts w:ascii="Arial" w:hAnsi="Arial" w:cs="Arial"/>
          <w:sz w:val="20"/>
          <w:szCs w:val="20"/>
        </w:rPr>
      </w:pPr>
    </w:p>
    <w:p w14:paraId="61D9CF26" w14:textId="5444A703" w:rsidR="000D572B" w:rsidRDefault="000D572B" w:rsidP="00E51F2A">
      <w:pPr>
        <w:spacing w:line="480" w:lineRule="auto"/>
        <w:rPr>
          <w:rFonts w:ascii="Arial" w:hAnsi="Arial" w:cs="Arial"/>
          <w:sz w:val="20"/>
          <w:szCs w:val="20"/>
        </w:rPr>
      </w:pPr>
      <w:r>
        <w:rPr>
          <w:rFonts w:ascii="Arial" w:hAnsi="Arial" w:cs="Arial"/>
          <w:sz w:val="20"/>
          <w:szCs w:val="20"/>
        </w:rPr>
        <w:t xml:space="preserve">A number of comments addressed these issues, especially in terms of time constraints. </w:t>
      </w:r>
      <w:r w:rsidR="00173864">
        <w:rPr>
          <w:rFonts w:ascii="Arial" w:hAnsi="Arial" w:cs="Arial"/>
          <w:sz w:val="20"/>
          <w:szCs w:val="20"/>
        </w:rPr>
        <w:t xml:space="preserve">For example, one </w:t>
      </w:r>
      <w:r w:rsidR="00022904">
        <w:rPr>
          <w:rFonts w:ascii="Arial" w:hAnsi="Arial" w:cs="Arial"/>
          <w:sz w:val="20"/>
          <w:szCs w:val="20"/>
        </w:rPr>
        <w:t xml:space="preserve">male academic with </w:t>
      </w:r>
      <w:r w:rsidR="0093129B">
        <w:rPr>
          <w:rFonts w:ascii="Arial" w:hAnsi="Arial" w:cs="Arial"/>
          <w:sz w:val="20"/>
          <w:szCs w:val="20"/>
        </w:rPr>
        <w:t>over 20</w:t>
      </w:r>
      <w:r w:rsidR="00022904">
        <w:rPr>
          <w:rFonts w:ascii="Arial" w:hAnsi="Arial" w:cs="Arial"/>
          <w:sz w:val="20"/>
          <w:szCs w:val="20"/>
        </w:rPr>
        <w:t xml:space="preserve"> years</w:t>
      </w:r>
      <w:r w:rsidR="00AA7F33">
        <w:rPr>
          <w:rFonts w:ascii="Arial" w:hAnsi="Arial" w:cs="Arial"/>
          <w:sz w:val="20"/>
          <w:szCs w:val="20"/>
        </w:rPr>
        <w:t>’</w:t>
      </w:r>
      <w:r w:rsidR="00022904">
        <w:rPr>
          <w:rFonts w:ascii="Arial" w:hAnsi="Arial" w:cs="Arial"/>
          <w:sz w:val="20"/>
          <w:szCs w:val="20"/>
        </w:rPr>
        <w:t xml:space="preserve"> experience</w:t>
      </w:r>
      <w:r w:rsidR="003437C6">
        <w:rPr>
          <w:rFonts w:ascii="Arial" w:hAnsi="Arial" w:cs="Arial"/>
          <w:sz w:val="20"/>
          <w:szCs w:val="20"/>
        </w:rPr>
        <w:t xml:space="preserve"> </w:t>
      </w:r>
      <w:r w:rsidR="00173864">
        <w:rPr>
          <w:rFonts w:ascii="Arial" w:hAnsi="Arial" w:cs="Arial"/>
          <w:sz w:val="20"/>
          <w:szCs w:val="20"/>
        </w:rPr>
        <w:t>said</w:t>
      </w:r>
      <w:r>
        <w:rPr>
          <w:rFonts w:ascii="Arial" w:hAnsi="Arial" w:cs="Arial"/>
          <w:sz w:val="20"/>
          <w:szCs w:val="20"/>
        </w:rPr>
        <w:t xml:space="preserve">: </w:t>
      </w:r>
    </w:p>
    <w:p w14:paraId="233741F3" w14:textId="31C84EC6" w:rsidR="000D572B" w:rsidRDefault="000D572B" w:rsidP="00E51F2A">
      <w:pPr>
        <w:spacing w:line="480" w:lineRule="auto"/>
        <w:ind w:left="720"/>
        <w:rPr>
          <w:rFonts w:ascii="Arial" w:hAnsi="Arial" w:cs="Arial"/>
          <w:sz w:val="20"/>
          <w:szCs w:val="20"/>
        </w:rPr>
      </w:pPr>
      <w:r>
        <w:rPr>
          <w:rFonts w:ascii="Arial" w:hAnsi="Arial" w:cs="Arial"/>
          <w:sz w:val="20"/>
          <w:szCs w:val="20"/>
        </w:rPr>
        <w:t>[It is] d</w:t>
      </w:r>
      <w:r w:rsidRPr="000D572B">
        <w:rPr>
          <w:rFonts w:ascii="Arial" w:hAnsi="Arial" w:cs="Arial"/>
          <w:sz w:val="20"/>
          <w:szCs w:val="20"/>
        </w:rPr>
        <w:t>ifficult finding people in the organisations who have time to assist. Cuts mean that government officials have little</w:t>
      </w:r>
      <w:r>
        <w:rPr>
          <w:rFonts w:ascii="Arial" w:hAnsi="Arial" w:cs="Arial"/>
          <w:sz w:val="20"/>
          <w:szCs w:val="20"/>
        </w:rPr>
        <w:t xml:space="preserve"> </w:t>
      </w:r>
      <w:r w:rsidRPr="000D572B">
        <w:rPr>
          <w:rFonts w:ascii="Arial" w:hAnsi="Arial" w:cs="Arial"/>
          <w:sz w:val="20"/>
          <w:szCs w:val="20"/>
        </w:rPr>
        <w:t xml:space="preserve">time to do anything other than core business and fire fighting. </w:t>
      </w:r>
      <w:r w:rsidRPr="000D572B">
        <w:rPr>
          <w:rFonts w:ascii="Arial" w:hAnsi="Arial" w:cs="Arial"/>
          <w:sz w:val="20"/>
          <w:szCs w:val="20"/>
        </w:rPr>
        <w:lastRenderedPageBreak/>
        <w:t>Building up contacts takes a huge amount of time.</w:t>
      </w:r>
      <w:r>
        <w:rPr>
          <w:rFonts w:ascii="Arial" w:hAnsi="Arial" w:cs="Arial"/>
          <w:sz w:val="20"/>
          <w:szCs w:val="20"/>
        </w:rPr>
        <w:t xml:space="preserve"> </w:t>
      </w:r>
      <w:r w:rsidRPr="000D572B">
        <w:rPr>
          <w:rFonts w:ascii="Arial" w:hAnsi="Arial" w:cs="Arial"/>
          <w:sz w:val="20"/>
          <w:szCs w:val="20"/>
        </w:rPr>
        <w:t>Getting to the right person is very hit and miss.</w:t>
      </w:r>
      <w:r w:rsidR="003A6488">
        <w:rPr>
          <w:rStyle w:val="FootnoteReference"/>
          <w:rFonts w:ascii="Arial" w:hAnsi="Arial" w:cs="Arial"/>
          <w:sz w:val="20"/>
          <w:szCs w:val="20"/>
        </w:rPr>
        <w:footnoteReference w:id="67"/>
      </w:r>
      <w:r>
        <w:rPr>
          <w:rFonts w:ascii="Arial" w:hAnsi="Arial" w:cs="Arial"/>
          <w:sz w:val="20"/>
          <w:szCs w:val="20"/>
        </w:rPr>
        <w:t xml:space="preserve"> </w:t>
      </w:r>
    </w:p>
    <w:p w14:paraId="26035965" w14:textId="50FE7467" w:rsidR="0030692A" w:rsidRDefault="000D572B" w:rsidP="00E51F2A">
      <w:pPr>
        <w:spacing w:line="480" w:lineRule="auto"/>
        <w:rPr>
          <w:rFonts w:ascii="Arial" w:hAnsi="Arial" w:cs="Arial"/>
          <w:sz w:val="20"/>
          <w:szCs w:val="20"/>
        </w:rPr>
      </w:pPr>
      <w:r>
        <w:rPr>
          <w:rFonts w:ascii="Arial" w:hAnsi="Arial" w:cs="Arial"/>
          <w:sz w:val="20"/>
          <w:szCs w:val="20"/>
        </w:rPr>
        <w:t xml:space="preserve">The time pressures apply on both sides: </w:t>
      </w:r>
    </w:p>
    <w:p w14:paraId="2046A396" w14:textId="4DA069D2" w:rsidR="000D572B" w:rsidRDefault="000D572B" w:rsidP="00E51F2A">
      <w:pPr>
        <w:spacing w:line="480" w:lineRule="auto"/>
        <w:ind w:left="720"/>
        <w:rPr>
          <w:rFonts w:ascii="Arial" w:hAnsi="Arial" w:cs="Arial"/>
          <w:sz w:val="20"/>
          <w:szCs w:val="20"/>
        </w:rPr>
      </w:pPr>
      <w:r w:rsidRPr="000D572B">
        <w:rPr>
          <w:rFonts w:ascii="Arial" w:hAnsi="Arial" w:cs="Arial"/>
          <w:sz w:val="20"/>
          <w:szCs w:val="20"/>
        </w:rPr>
        <w:t>universities are not always amenable to enabling researchers to spend a long time building up networks and creating</w:t>
      </w:r>
      <w:r>
        <w:rPr>
          <w:rFonts w:ascii="Arial" w:hAnsi="Arial" w:cs="Arial"/>
          <w:sz w:val="20"/>
          <w:szCs w:val="20"/>
        </w:rPr>
        <w:t xml:space="preserve"> </w:t>
      </w:r>
      <w:r w:rsidRPr="000D572B">
        <w:rPr>
          <w:rFonts w:ascii="Arial" w:hAnsi="Arial" w:cs="Arial"/>
          <w:sz w:val="20"/>
          <w:szCs w:val="20"/>
        </w:rPr>
        <w:t>relationships which are necessary to underpinning impactful work</w:t>
      </w:r>
      <w:r w:rsidR="00FF4FD1">
        <w:rPr>
          <w:rFonts w:ascii="Arial" w:hAnsi="Arial" w:cs="Arial"/>
          <w:sz w:val="20"/>
          <w:szCs w:val="20"/>
        </w:rPr>
        <w:t>.</w:t>
      </w:r>
      <w:r w:rsidR="003A6488">
        <w:rPr>
          <w:rStyle w:val="FootnoteReference"/>
          <w:rFonts w:ascii="Arial" w:hAnsi="Arial" w:cs="Arial"/>
          <w:sz w:val="20"/>
          <w:szCs w:val="20"/>
        </w:rPr>
        <w:footnoteReference w:id="68"/>
      </w:r>
      <w:r w:rsidR="00EE378E">
        <w:rPr>
          <w:rFonts w:ascii="Arial" w:hAnsi="Arial" w:cs="Arial"/>
          <w:sz w:val="20"/>
          <w:szCs w:val="20"/>
        </w:rPr>
        <w:t xml:space="preserve"> (</w:t>
      </w:r>
      <w:r w:rsidR="0093129B">
        <w:rPr>
          <w:rFonts w:ascii="Arial" w:hAnsi="Arial" w:cs="Arial"/>
          <w:sz w:val="20"/>
          <w:szCs w:val="20"/>
        </w:rPr>
        <w:t xml:space="preserve">mid-career female </w:t>
      </w:r>
      <w:r w:rsidR="00F91826">
        <w:rPr>
          <w:rFonts w:ascii="Arial" w:hAnsi="Arial" w:cs="Arial"/>
          <w:sz w:val="20"/>
          <w:szCs w:val="20"/>
        </w:rPr>
        <w:t xml:space="preserve">academic </w:t>
      </w:r>
      <w:r w:rsidR="0093129B">
        <w:rPr>
          <w:rFonts w:ascii="Arial" w:hAnsi="Arial" w:cs="Arial"/>
          <w:sz w:val="20"/>
          <w:szCs w:val="20"/>
        </w:rPr>
        <w:t>from a</w:t>
      </w:r>
      <w:r w:rsidR="00F91826">
        <w:rPr>
          <w:rFonts w:ascii="Arial" w:hAnsi="Arial" w:cs="Arial"/>
          <w:sz w:val="20"/>
          <w:szCs w:val="20"/>
        </w:rPr>
        <w:t>n</w:t>
      </w:r>
      <w:r w:rsidR="0093129B">
        <w:rPr>
          <w:rFonts w:ascii="Arial" w:hAnsi="Arial" w:cs="Arial"/>
          <w:sz w:val="20"/>
          <w:szCs w:val="20"/>
        </w:rPr>
        <w:t xml:space="preserve"> RG university</w:t>
      </w:r>
      <w:r w:rsidR="00EE378E">
        <w:rPr>
          <w:rFonts w:ascii="Arial" w:hAnsi="Arial" w:cs="Arial"/>
          <w:sz w:val="20"/>
          <w:szCs w:val="20"/>
        </w:rPr>
        <w:t>)</w:t>
      </w:r>
    </w:p>
    <w:p w14:paraId="1AD308F4" w14:textId="2D0B2DEB" w:rsidR="00484D9F" w:rsidRDefault="00484D9F" w:rsidP="00E51F2A">
      <w:pPr>
        <w:spacing w:line="480" w:lineRule="auto"/>
        <w:ind w:left="720"/>
        <w:rPr>
          <w:rFonts w:ascii="Arial" w:hAnsi="Arial" w:cs="Arial"/>
          <w:sz w:val="20"/>
          <w:szCs w:val="20"/>
        </w:rPr>
      </w:pPr>
    </w:p>
    <w:p w14:paraId="4A2843CE" w14:textId="3B701F9B" w:rsidR="00484D9F" w:rsidRDefault="00484D9F" w:rsidP="00484D9F">
      <w:pPr>
        <w:spacing w:line="480" w:lineRule="auto"/>
        <w:rPr>
          <w:rFonts w:ascii="Arial" w:hAnsi="Arial" w:cs="Arial"/>
          <w:sz w:val="20"/>
          <w:szCs w:val="20"/>
        </w:rPr>
      </w:pPr>
      <w:r w:rsidRPr="00B57990">
        <w:rPr>
          <w:rFonts w:ascii="Arial" w:hAnsi="Arial" w:cs="Arial"/>
          <w:sz w:val="20"/>
          <w:szCs w:val="20"/>
        </w:rPr>
        <w:t>There is wide acknowledgment in the literature that research impact results not merely from systematic and planned engagement, but from good fortune, perhaps in the research itself but also in the serendipity associated with networks and engagement.</w:t>
      </w:r>
      <w:r w:rsidRPr="00B57990">
        <w:rPr>
          <w:rStyle w:val="FootnoteReference"/>
          <w:rFonts w:ascii="Arial" w:hAnsi="Arial" w:cs="Arial"/>
          <w:sz w:val="20"/>
          <w:szCs w:val="20"/>
        </w:rPr>
        <w:footnoteReference w:id="69"/>
      </w:r>
      <w:r w:rsidRPr="00B57990">
        <w:rPr>
          <w:rFonts w:ascii="Arial" w:hAnsi="Arial" w:cs="Arial"/>
          <w:sz w:val="20"/>
          <w:szCs w:val="20"/>
        </w:rPr>
        <w:t xml:space="preserve"> However, the relative importance of chance as it has been experienced by this sample of legal researchers seems quite remarkable given the cohort of respondents is accomplished and experienced in dealing with impact and engagement, including in government. It suggests system</w:t>
      </w:r>
      <w:r w:rsidR="00876281">
        <w:rPr>
          <w:rFonts w:ascii="Arial" w:hAnsi="Arial" w:cs="Arial"/>
          <w:sz w:val="20"/>
          <w:szCs w:val="20"/>
        </w:rPr>
        <w:t>i</w:t>
      </w:r>
      <w:r w:rsidRPr="00B57990">
        <w:rPr>
          <w:rFonts w:ascii="Arial" w:hAnsi="Arial" w:cs="Arial"/>
          <w:sz w:val="20"/>
          <w:szCs w:val="20"/>
        </w:rPr>
        <w:t xml:space="preserve">c engagement with government is more ambition than reality, even for this group. If the significance of chance is applied to the portrayal of department strategies through the templates, it does not necessarily bear out </w:t>
      </w:r>
      <w:r w:rsidR="007B6659">
        <w:rPr>
          <w:rFonts w:ascii="Arial" w:hAnsi="Arial" w:cs="Arial"/>
          <w:sz w:val="20"/>
          <w:szCs w:val="20"/>
        </w:rPr>
        <w:t>some concerns raised by assessors</w:t>
      </w:r>
      <w:r w:rsidR="007B6659" w:rsidRPr="00B57990">
        <w:rPr>
          <w:rFonts w:ascii="Arial" w:hAnsi="Arial" w:cs="Arial"/>
          <w:sz w:val="20"/>
          <w:szCs w:val="20"/>
        </w:rPr>
        <w:t xml:space="preserve"> </w:t>
      </w:r>
      <w:r w:rsidR="007755A6">
        <w:rPr>
          <w:rFonts w:ascii="Arial" w:hAnsi="Arial" w:cs="Arial"/>
          <w:sz w:val="20"/>
          <w:szCs w:val="20"/>
        </w:rPr>
        <w:t xml:space="preserve">across the REF </w:t>
      </w:r>
      <w:r w:rsidRPr="00B57990">
        <w:rPr>
          <w:rFonts w:ascii="Arial" w:hAnsi="Arial" w:cs="Arial"/>
          <w:sz w:val="20"/>
          <w:szCs w:val="20"/>
        </w:rPr>
        <w:t xml:space="preserve">that </w:t>
      </w:r>
      <w:r w:rsidR="007B6659">
        <w:rPr>
          <w:rFonts w:ascii="Arial" w:hAnsi="Arial" w:cs="Arial"/>
          <w:sz w:val="20"/>
          <w:szCs w:val="20"/>
        </w:rPr>
        <w:t xml:space="preserve">some </w:t>
      </w:r>
      <w:r w:rsidRPr="00B57990">
        <w:rPr>
          <w:rFonts w:ascii="Arial" w:hAnsi="Arial" w:cs="Arial"/>
          <w:sz w:val="20"/>
          <w:szCs w:val="20"/>
        </w:rPr>
        <w:t>impact templates were ‘fairy tale-like’</w:t>
      </w:r>
      <w:r w:rsidR="007B6659">
        <w:rPr>
          <w:rFonts w:ascii="Arial" w:hAnsi="Arial" w:cs="Arial"/>
          <w:sz w:val="20"/>
          <w:szCs w:val="20"/>
        </w:rPr>
        <w:t xml:space="preserve">, ‘a cosmetic exercise’, did ‘not reflect reality’ or were </w:t>
      </w:r>
      <w:r w:rsidRPr="00B57990">
        <w:rPr>
          <w:rFonts w:ascii="Arial" w:hAnsi="Arial" w:cs="Arial"/>
          <w:sz w:val="20"/>
          <w:szCs w:val="20"/>
        </w:rPr>
        <w:t>‘a figment of the author’s imagination’, but it would seem consistent with the view expressed that they were ‘little more than aspirational statements’.</w:t>
      </w:r>
      <w:r w:rsidRPr="00B57990">
        <w:rPr>
          <w:rStyle w:val="FootnoteReference"/>
          <w:rFonts w:ascii="Arial" w:hAnsi="Arial" w:cs="Arial"/>
          <w:sz w:val="20"/>
          <w:szCs w:val="20"/>
        </w:rPr>
        <w:footnoteReference w:id="70"/>
      </w:r>
      <w:r w:rsidRPr="00B57990">
        <w:t xml:space="preserve"> </w:t>
      </w:r>
      <w:r w:rsidRPr="00B57990">
        <w:rPr>
          <w:rFonts w:ascii="Arial" w:hAnsi="Arial" w:cs="Arial"/>
          <w:sz w:val="20"/>
          <w:szCs w:val="20"/>
        </w:rPr>
        <w:t>There is nothing to suggest that case study authors were ‘gilding the lily’, but there is everything to suggest that the case studies and the impact templates do not tell us what we need to know if we are to learn how research impact in government can be pursued and enhanced.</w:t>
      </w:r>
      <w:r>
        <w:rPr>
          <w:rFonts w:ascii="Arial" w:hAnsi="Arial" w:cs="Arial"/>
          <w:sz w:val="20"/>
          <w:szCs w:val="20"/>
        </w:rPr>
        <w:t xml:space="preserve">   </w:t>
      </w:r>
    </w:p>
    <w:p w14:paraId="05BE0D0E" w14:textId="77777777" w:rsidR="00484D9F" w:rsidRDefault="00484D9F" w:rsidP="00484D9F">
      <w:pPr>
        <w:spacing w:line="480" w:lineRule="auto"/>
        <w:rPr>
          <w:rFonts w:ascii="Arial" w:hAnsi="Arial" w:cs="Arial"/>
          <w:sz w:val="20"/>
          <w:szCs w:val="20"/>
        </w:rPr>
      </w:pPr>
    </w:p>
    <w:p w14:paraId="41E600A7" w14:textId="733C4865" w:rsidR="00EE378E" w:rsidRDefault="00EE378E" w:rsidP="00E51F2A">
      <w:pPr>
        <w:spacing w:line="480" w:lineRule="auto"/>
        <w:rPr>
          <w:rFonts w:ascii="Arial" w:hAnsi="Arial" w:cs="Arial"/>
          <w:sz w:val="20"/>
          <w:szCs w:val="20"/>
        </w:rPr>
      </w:pPr>
      <w:r>
        <w:rPr>
          <w:rFonts w:ascii="Arial" w:hAnsi="Arial" w:cs="Arial"/>
          <w:sz w:val="20"/>
          <w:szCs w:val="20"/>
        </w:rPr>
        <w:t xml:space="preserve">Before considering what these findings may suggest for how law academics could engage with governments going forward, I will turn first </w:t>
      </w:r>
      <w:r w:rsidR="00F92435">
        <w:rPr>
          <w:rFonts w:ascii="Arial" w:hAnsi="Arial" w:cs="Arial"/>
          <w:sz w:val="20"/>
          <w:szCs w:val="20"/>
        </w:rPr>
        <w:t xml:space="preserve">to </w:t>
      </w:r>
      <w:r>
        <w:rPr>
          <w:rFonts w:ascii="Arial" w:hAnsi="Arial" w:cs="Arial"/>
          <w:sz w:val="20"/>
          <w:szCs w:val="20"/>
        </w:rPr>
        <w:t xml:space="preserve">the survey of research directors, which explored issues of engagement post-REF 2014 from a law school perspective.  </w:t>
      </w:r>
    </w:p>
    <w:p w14:paraId="0C161704" w14:textId="3DEBF4AD" w:rsidR="00A70EF5" w:rsidRDefault="00A70EF5" w:rsidP="00E51F2A">
      <w:pPr>
        <w:spacing w:line="480" w:lineRule="auto"/>
        <w:rPr>
          <w:rFonts w:ascii="Arial" w:hAnsi="Arial" w:cs="Arial"/>
          <w:sz w:val="20"/>
          <w:szCs w:val="20"/>
        </w:rPr>
      </w:pPr>
    </w:p>
    <w:p w14:paraId="3BA4E235" w14:textId="4A09060C" w:rsidR="00177FE7" w:rsidRDefault="00177FE7" w:rsidP="00E51F2A">
      <w:pPr>
        <w:spacing w:line="480" w:lineRule="auto"/>
        <w:rPr>
          <w:rFonts w:ascii="Arial" w:hAnsi="Arial" w:cs="Arial"/>
          <w:sz w:val="20"/>
          <w:szCs w:val="20"/>
        </w:rPr>
      </w:pPr>
      <w:r>
        <w:rPr>
          <w:rFonts w:ascii="Arial" w:hAnsi="Arial" w:cs="Arial"/>
          <w:sz w:val="20"/>
          <w:szCs w:val="20"/>
        </w:rPr>
        <w:lastRenderedPageBreak/>
        <w:t xml:space="preserve">  </w:t>
      </w:r>
    </w:p>
    <w:p w14:paraId="3F86D4FC" w14:textId="2FFCE481" w:rsidR="00177FE7" w:rsidRPr="001120B9" w:rsidRDefault="00B904C7" w:rsidP="001120B9">
      <w:pPr>
        <w:spacing w:line="480" w:lineRule="auto"/>
        <w:jc w:val="center"/>
        <w:rPr>
          <w:rFonts w:ascii="Arial" w:hAnsi="Arial" w:cs="Arial"/>
          <w:b/>
          <w:sz w:val="24"/>
          <w:szCs w:val="24"/>
        </w:rPr>
      </w:pPr>
      <w:r w:rsidRPr="001120B9">
        <w:rPr>
          <w:rFonts w:ascii="Arial" w:hAnsi="Arial" w:cs="Arial"/>
          <w:b/>
          <w:sz w:val="24"/>
          <w:szCs w:val="24"/>
        </w:rPr>
        <w:t xml:space="preserve">AFTER REF 2014: IMPACT IN LAW SCHOOLS FOR </w:t>
      </w:r>
      <w:r w:rsidR="00E50297" w:rsidRPr="001120B9">
        <w:rPr>
          <w:rFonts w:ascii="Arial" w:hAnsi="Arial" w:cs="Arial"/>
          <w:b/>
          <w:sz w:val="24"/>
          <w:szCs w:val="24"/>
        </w:rPr>
        <w:t>REF</w:t>
      </w:r>
      <w:r w:rsidR="000A46CE" w:rsidRPr="001120B9">
        <w:rPr>
          <w:rFonts w:ascii="Arial" w:hAnsi="Arial" w:cs="Arial"/>
          <w:b/>
          <w:sz w:val="24"/>
          <w:szCs w:val="24"/>
        </w:rPr>
        <w:t xml:space="preserve"> 2021</w:t>
      </w:r>
    </w:p>
    <w:p w14:paraId="41B696AE" w14:textId="577956FF" w:rsidR="008B2792" w:rsidRDefault="008B2792" w:rsidP="00E51F2A">
      <w:pPr>
        <w:spacing w:line="480" w:lineRule="auto"/>
        <w:rPr>
          <w:rFonts w:ascii="Arial" w:hAnsi="Arial" w:cs="Arial"/>
          <w:sz w:val="20"/>
          <w:szCs w:val="20"/>
        </w:rPr>
      </w:pPr>
      <w:r>
        <w:rPr>
          <w:rFonts w:ascii="Arial" w:hAnsi="Arial" w:cs="Arial"/>
          <w:sz w:val="20"/>
          <w:szCs w:val="20"/>
        </w:rPr>
        <w:t>Strategic changes in universities emerged quickly in response to the inclusion of impact in the REF.</w:t>
      </w:r>
      <w:r w:rsidRPr="00EA3369">
        <w:rPr>
          <w:rStyle w:val="FootnoteReference"/>
          <w:rFonts w:ascii="Arial" w:hAnsi="Arial" w:cs="Arial"/>
          <w:sz w:val="20"/>
          <w:szCs w:val="20"/>
        </w:rPr>
        <w:footnoteReference w:id="71"/>
      </w:r>
      <w:r>
        <w:rPr>
          <w:rFonts w:ascii="Arial" w:hAnsi="Arial" w:cs="Arial"/>
          <w:sz w:val="20"/>
          <w:szCs w:val="20"/>
        </w:rPr>
        <w:t xml:space="preserve"> </w:t>
      </w:r>
      <w:r w:rsidR="003437C6">
        <w:rPr>
          <w:rFonts w:ascii="Arial" w:hAnsi="Arial" w:cs="Arial"/>
          <w:sz w:val="20"/>
          <w:szCs w:val="20"/>
        </w:rPr>
        <w:t xml:space="preserve">This might be partly due to the </w:t>
      </w:r>
      <w:r>
        <w:rPr>
          <w:rFonts w:ascii="Arial" w:hAnsi="Arial" w:cs="Arial"/>
          <w:sz w:val="20"/>
          <w:szCs w:val="20"/>
        </w:rPr>
        <w:t>weighting of impact</w:t>
      </w:r>
      <w:r w:rsidR="003437C6">
        <w:rPr>
          <w:rFonts w:ascii="Arial" w:hAnsi="Arial" w:cs="Arial"/>
          <w:sz w:val="20"/>
          <w:szCs w:val="20"/>
        </w:rPr>
        <w:t xml:space="preserve"> in the REF</w:t>
      </w:r>
      <w:r w:rsidR="001E3162">
        <w:rPr>
          <w:rFonts w:ascii="Arial" w:hAnsi="Arial" w:cs="Arial"/>
          <w:sz w:val="20"/>
          <w:szCs w:val="20"/>
        </w:rPr>
        <w:t xml:space="preserve"> and its significance for </w:t>
      </w:r>
      <w:r w:rsidR="003437C6">
        <w:rPr>
          <w:rFonts w:ascii="Arial" w:hAnsi="Arial" w:cs="Arial"/>
          <w:sz w:val="20"/>
          <w:szCs w:val="20"/>
        </w:rPr>
        <w:t>QR funding</w:t>
      </w:r>
      <w:r w:rsidR="001E3162">
        <w:rPr>
          <w:rFonts w:ascii="Arial" w:hAnsi="Arial" w:cs="Arial"/>
          <w:sz w:val="20"/>
          <w:szCs w:val="20"/>
        </w:rPr>
        <w:t>.</w:t>
      </w:r>
      <w:r w:rsidR="003437C6">
        <w:rPr>
          <w:rFonts w:ascii="Arial" w:hAnsi="Arial" w:cs="Arial"/>
          <w:sz w:val="20"/>
          <w:szCs w:val="20"/>
        </w:rPr>
        <w:t xml:space="preserve"> </w:t>
      </w:r>
      <w:r w:rsidR="001E3162">
        <w:rPr>
          <w:rFonts w:ascii="Arial" w:hAnsi="Arial" w:cs="Arial"/>
          <w:sz w:val="20"/>
          <w:szCs w:val="20"/>
        </w:rPr>
        <w:t xml:space="preserve">While REF 2021 will differ from REF 2014 in terms of both specific weightings and the shape of submissions, putting energy and resources into impact, and especially into case studies, will still yield rewards comparatively far greater than those that come from improving outputs. For example, a </w:t>
      </w:r>
      <w:r w:rsidR="00477738">
        <w:rPr>
          <w:rFonts w:ascii="Arial" w:hAnsi="Arial" w:cs="Arial"/>
          <w:sz w:val="20"/>
          <w:szCs w:val="20"/>
        </w:rPr>
        <w:t xml:space="preserve">4* case study is worth over four times as much as </w:t>
      </w:r>
      <w:r w:rsidR="001E3162">
        <w:rPr>
          <w:rFonts w:ascii="Arial" w:hAnsi="Arial" w:cs="Arial"/>
          <w:sz w:val="20"/>
          <w:szCs w:val="20"/>
        </w:rPr>
        <w:t xml:space="preserve">a </w:t>
      </w:r>
      <w:r w:rsidR="00477738">
        <w:rPr>
          <w:rFonts w:ascii="Arial" w:hAnsi="Arial" w:cs="Arial"/>
          <w:sz w:val="20"/>
          <w:szCs w:val="20"/>
        </w:rPr>
        <w:t>4* output</w:t>
      </w:r>
      <w:r w:rsidR="001E3162">
        <w:rPr>
          <w:rFonts w:ascii="Arial" w:hAnsi="Arial" w:cs="Arial"/>
          <w:sz w:val="20"/>
          <w:szCs w:val="20"/>
        </w:rPr>
        <w:t xml:space="preserve">, or for a moderately performing </w:t>
      </w:r>
      <w:r w:rsidR="00477738">
        <w:rPr>
          <w:rFonts w:ascii="Arial" w:hAnsi="Arial" w:cs="Arial"/>
          <w:sz w:val="20"/>
          <w:szCs w:val="20"/>
        </w:rPr>
        <w:t xml:space="preserve">school </w:t>
      </w:r>
      <w:r w:rsidR="001E3162">
        <w:rPr>
          <w:rFonts w:ascii="Arial" w:hAnsi="Arial" w:cs="Arial"/>
          <w:sz w:val="20"/>
          <w:szCs w:val="20"/>
        </w:rPr>
        <w:t xml:space="preserve">seeking to improve </w:t>
      </w:r>
      <w:r w:rsidR="00716928">
        <w:rPr>
          <w:rFonts w:ascii="Arial" w:hAnsi="Arial" w:cs="Arial"/>
          <w:sz w:val="20"/>
          <w:szCs w:val="20"/>
        </w:rPr>
        <w:t>performance</w:t>
      </w:r>
      <w:r w:rsidR="001E3162">
        <w:rPr>
          <w:rFonts w:ascii="Arial" w:hAnsi="Arial" w:cs="Arial"/>
          <w:sz w:val="20"/>
          <w:szCs w:val="20"/>
        </w:rPr>
        <w:t>,</w:t>
      </w:r>
      <w:r w:rsidR="00716928">
        <w:rPr>
          <w:rFonts w:ascii="Arial" w:hAnsi="Arial" w:cs="Arial"/>
          <w:sz w:val="20"/>
          <w:szCs w:val="20"/>
        </w:rPr>
        <w:t xml:space="preserve"> </w:t>
      </w:r>
      <w:r w:rsidR="00513FEB">
        <w:rPr>
          <w:rFonts w:ascii="Arial" w:hAnsi="Arial" w:cs="Arial"/>
          <w:sz w:val="20"/>
          <w:szCs w:val="20"/>
        </w:rPr>
        <w:t xml:space="preserve">17 </w:t>
      </w:r>
      <w:r w:rsidR="00477738">
        <w:rPr>
          <w:rFonts w:ascii="Arial" w:hAnsi="Arial" w:cs="Arial"/>
          <w:sz w:val="20"/>
          <w:szCs w:val="20"/>
        </w:rPr>
        <w:t xml:space="preserve">of its 2* publications would need to become 3* for roughly the same benefit as </w:t>
      </w:r>
      <w:r w:rsidR="001E3162">
        <w:rPr>
          <w:rFonts w:ascii="Arial" w:hAnsi="Arial" w:cs="Arial"/>
          <w:sz w:val="20"/>
          <w:szCs w:val="20"/>
        </w:rPr>
        <w:t xml:space="preserve">one impact case study that went from 2* to </w:t>
      </w:r>
      <w:r w:rsidR="00477738">
        <w:rPr>
          <w:rFonts w:ascii="Arial" w:hAnsi="Arial" w:cs="Arial"/>
          <w:sz w:val="20"/>
          <w:szCs w:val="20"/>
        </w:rPr>
        <w:t>4*.</w:t>
      </w:r>
      <w:r w:rsidR="001E3162">
        <w:rPr>
          <w:rStyle w:val="FootnoteReference"/>
          <w:rFonts w:ascii="Arial" w:hAnsi="Arial" w:cs="Arial"/>
          <w:sz w:val="20"/>
          <w:szCs w:val="20"/>
        </w:rPr>
        <w:footnoteReference w:id="72"/>
      </w:r>
      <w:r w:rsidR="00477738">
        <w:rPr>
          <w:rFonts w:ascii="Arial" w:hAnsi="Arial" w:cs="Arial"/>
          <w:sz w:val="20"/>
          <w:szCs w:val="20"/>
        </w:rPr>
        <w:t xml:space="preserve">  </w:t>
      </w:r>
      <w:r>
        <w:rPr>
          <w:rFonts w:ascii="Arial" w:hAnsi="Arial" w:cs="Arial"/>
          <w:sz w:val="20"/>
          <w:szCs w:val="20"/>
        </w:rPr>
        <w:t xml:space="preserve"> </w:t>
      </w:r>
    </w:p>
    <w:p w14:paraId="79C47D59" w14:textId="77777777" w:rsidR="00E40320" w:rsidRDefault="00E40320" w:rsidP="00E51F2A">
      <w:pPr>
        <w:spacing w:line="480" w:lineRule="auto"/>
        <w:rPr>
          <w:rFonts w:ascii="Arial" w:hAnsi="Arial" w:cs="Arial"/>
          <w:sz w:val="20"/>
          <w:szCs w:val="20"/>
        </w:rPr>
      </w:pPr>
    </w:p>
    <w:p w14:paraId="2D6FB9AE" w14:textId="3D35A899" w:rsidR="00E30D83" w:rsidRDefault="000C7ABB" w:rsidP="00E51F2A">
      <w:pPr>
        <w:spacing w:line="480" w:lineRule="auto"/>
        <w:rPr>
          <w:rFonts w:ascii="Arial" w:hAnsi="Arial" w:cs="Arial"/>
          <w:sz w:val="20"/>
          <w:szCs w:val="20"/>
        </w:rPr>
      </w:pPr>
      <w:r>
        <w:rPr>
          <w:rFonts w:ascii="Arial" w:hAnsi="Arial" w:cs="Arial"/>
          <w:sz w:val="20"/>
          <w:szCs w:val="20"/>
        </w:rPr>
        <w:t xml:space="preserve">This study’s </w:t>
      </w:r>
      <w:r w:rsidR="00E9249B">
        <w:rPr>
          <w:rFonts w:ascii="Arial" w:hAnsi="Arial" w:cs="Arial"/>
          <w:sz w:val="20"/>
          <w:szCs w:val="20"/>
        </w:rPr>
        <w:t xml:space="preserve">survey of law school research directors in mid-2016 – just a year and a half after publication of the REF 2014 results, and around five years before the next REF was expected – </w:t>
      </w:r>
      <w:r>
        <w:rPr>
          <w:rFonts w:ascii="Arial" w:hAnsi="Arial" w:cs="Arial"/>
          <w:sz w:val="20"/>
          <w:szCs w:val="20"/>
        </w:rPr>
        <w:t xml:space="preserve">reveals </w:t>
      </w:r>
      <w:r w:rsidR="002204B9">
        <w:rPr>
          <w:rFonts w:ascii="Arial" w:hAnsi="Arial" w:cs="Arial"/>
          <w:sz w:val="20"/>
          <w:szCs w:val="20"/>
        </w:rPr>
        <w:t xml:space="preserve">how law school resources have been committed to impact from </w:t>
      </w:r>
      <w:r w:rsidR="00137FA2">
        <w:rPr>
          <w:rFonts w:ascii="Arial" w:hAnsi="Arial" w:cs="Arial"/>
          <w:sz w:val="20"/>
          <w:szCs w:val="20"/>
        </w:rPr>
        <w:t xml:space="preserve">very early in the REF cycle and </w:t>
      </w:r>
      <w:r>
        <w:rPr>
          <w:rFonts w:ascii="Arial" w:hAnsi="Arial" w:cs="Arial"/>
          <w:sz w:val="20"/>
          <w:szCs w:val="20"/>
        </w:rPr>
        <w:t xml:space="preserve">explores </w:t>
      </w:r>
      <w:r w:rsidR="00137FA2">
        <w:rPr>
          <w:rFonts w:ascii="Arial" w:hAnsi="Arial" w:cs="Arial"/>
          <w:sz w:val="20"/>
          <w:szCs w:val="20"/>
        </w:rPr>
        <w:t>the extent to which schools could position or support researcher engagement with government</w:t>
      </w:r>
      <w:r w:rsidR="00E9249B">
        <w:rPr>
          <w:rFonts w:ascii="Arial" w:hAnsi="Arial" w:cs="Arial"/>
          <w:sz w:val="20"/>
          <w:szCs w:val="20"/>
        </w:rPr>
        <w:t>.</w:t>
      </w:r>
      <w:r>
        <w:rPr>
          <w:rFonts w:ascii="Arial" w:hAnsi="Arial" w:cs="Arial"/>
          <w:sz w:val="20"/>
          <w:szCs w:val="20"/>
        </w:rPr>
        <w:t xml:space="preserve"> </w:t>
      </w:r>
      <w:r w:rsidR="00C9767B">
        <w:rPr>
          <w:rFonts w:ascii="Arial" w:hAnsi="Arial" w:cs="Arial"/>
          <w:sz w:val="20"/>
          <w:szCs w:val="20"/>
        </w:rPr>
        <w:t xml:space="preserve">The challenges faced by researchers in the last REF and the weighting of impact make it important that the prospects of successful engagement are improved as we move ahead. </w:t>
      </w:r>
      <w:r w:rsidR="001536B3">
        <w:rPr>
          <w:rFonts w:ascii="Arial" w:hAnsi="Arial" w:cs="Arial"/>
          <w:sz w:val="20"/>
          <w:szCs w:val="20"/>
        </w:rPr>
        <w:t xml:space="preserve">It was important to </w:t>
      </w:r>
      <w:r w:rsidR="00022904">
        <w:rPr>
          <w:rFonts w:ascii="Arial" w:hAnsi="Arial" w:cs="Arial"/>
          <w:sz w:val="20"/>
          <w:szCs w:val="20"/>
        </w:rPr>
        <w:t>seek information from</w:t>
      </w:r>
      <w:r w:rsidR="001536B3">
        <w:rPr>
          <w:rFonts w:ascii="Arial" w:hAnsi="Arial" w:cs="Arial"/>
          <w:sz w:val="20"/>
          <w:szCs w:val="20"/>
        </w:rPr>
        <w:t xml:space="preserve"> research directors</w:t>
      </w:r>
      <w:r w:rsidR="00022904">
        <w:rPr>
          <w:rFonts w:ascii="Arial" w:hAnsi="Arial" w:cs="Arial"/>
          <w:sz w:val="20"/>
          <w:szCs w:val="20"/>
        </w:rPr>
        <w:t xml:space="preserve"> to get</w:t>
      </w:r>
      <w:r w:rsidR="001536B3">
        <w:rPr>
          <w:rFonts w:ascii="Arial" w:hAnsi="Arial" w:cs="Arial"/>
          <w:sz w:val="20"/>
          <w:szCs w:val="20"/>
        </w:rPr>
        <w:t xml:space="preserve"> a sense of school-level approaches. </w:t>
      </w:r>
      <w:r w:rsidR="00022904">
        <w:rPr>
          <w:rFonts w:ascii="Arial" w:hAnsi="Arial" w:cs="Arial"/>
          <w:sz w:val="20"/>
          <w:szCs w:val="20"/>
        </w:rPr>
        <w:t>Perspectives</w:t>
      </w:r>
      <w:r w:rsidR="001536B3">
        <w:rPr>
          <w:rFonts w:ascii="Arial" w:hAnsi="Arial" w:cs="Arial"/>
          <w:sz w:val="20"/>
          <w:szCs w:val="20"/>
        </w:rPr>
        <w:t xml:space="preserve"> from a school level </w:t>
      </w:r>
      <w:r w:rsidR="00022904">
        <w:rPr>
          <w:rFonts w:ascii="Arial" w:hAnsi="Arial" w:cs="Arial"/>
          <w:sz w:val="20"/>
          <w:szCs w:val="20"/>
        </w:rPr>
        <w:t>can reveal information that may not be available from individual researchers about s</w:t>
      </w:r>
      <w:r w:rsidR="001536B3">
        <w:rPr>
          <w:rFonts w:ascii="Arial" w:hAnsi="Arial" w:cs="Arial"/>
          <w:sz w:val="20"/>
          <w:szCs w:val="20"/>
        </w:rPr>
        <w:t>ystematic approach</w:t>
      </w:r>
      <w:r w:rsidR="00022904">
        <w:rPr>
          <w:rFonts w:ascii="Arial" w:hAnsi="Arial" w:cs="Arial"/>
          <w:sz w:val="20"/>
          <w:szCs w:val="20"/>
        </w:rPr>
        <w:t>es</w:t>
      </w:r>
      <w:r w:rsidR="001536B3">
        <w:rPr>
          <w:rFonts w:ascii="Arial" w:hAnsi="Arial" w:cs="Arial"/>
          <w:sz w:val="20"/>
          <w:szCs w:val="20"/>
        </w:rPr>
        <w:t xml:space="preserve"> </w:t>
      </w:r>
      <w:r w:rsidR="00022904">
        <w:rPr>
          <w:rFonts w:ascii="Arial" w:hAnsi="Arial" w:cs="Arial"/>
          <w:sz w:val="20"/>
          <w:szCs w:val="20"/>
        </w:rPr>
        <w:t xml:space="preserve">to engaging with governments, including a consideration of the broader </w:t>
      </w:r>
      <w:r w:rsidR="001536B3">
        <w:rPr>
          <w:rFonts w:ascii="Arial" w:hAnsi="Arial" w:cs="Arial"/>
          <w:sz w:val="20"/>
          <w:szCs w:val="20"/>
        </w:rPr>
        <w:t>spectrum of school and uni</w:t>
      </w:r>
      <w:r w:rsidR="00022904">
        <w:rPr>
          <w:rFonts w:ascii="Arial" w:hAnsi="Arial" w:cs="Arial"/>
          <w:sz w:val="20"/>
          <w:szCs w:val="20"/>
        </w:rPr>
        <w:t>versity-wide</w:t>
      </w:r>
      <w:r w:rsidR="001536B3">
        <w:rPr>
          <w:rFonts w:ascii="Arial" w:hAnsi="Arial" w:cs="Arial"/>
          <w:sz w:val="20"/>
          <w:szCs w:val="20"/>
        </w:rPr>
        <w:t xml:space="preserve"> resources. </w:t>
      </w:r>
    </w:p>
    <w:p w14:paraId="622BC8A4" w14:textId="77777777" w:rsidR="00824265" w:rsidRDefault="00824265" w:rsidP="00E51F2A">
      <w:pPr>
        <w:spacing w:line="480" w:lineRule="auto"/>
        <w:rPr>
          <w:rFonts w:ascii="Arial" w:hAnsi="Arial" w:cs="Arial"/>
          <w:sz w:val="20"/>
          <w:szCs w:val="20"/>
        </w:rPr>
      </w:pPr>
    </w:p>
    <w:p w14:paraId="44BD1B90" w14:textId="584B6A36" w:rsidR="00824265" w:rsidRPr="004A0A09" w:rsidRDefault="005B7545" w:rsidP="00E51F2A">
      <w:pPr>
        <w:pStyle w:val="ListParagraph"/>
        <w:numPr>
          <w:ilvl w:val="0"/>
          <w:numId w:val="15"/>
        </w:numPr>
        <w:spacing w:line="480" w:lineRule="auto"/>
        <w:rPr>
          <w:rFonts w:ascii="Arial" w:hAnsi="Arial" w:cs="Arial"/>
          <w:b/>
          <w:sz w:val="20"/>
          <w:szCs w:val="20"/>
        </w:rPr>
      </w:pPr>
      <w:r w:rsidRPr="004A0A09">
        <w:rPr>
          <w:rFonts w:ascii="Arial" w:hAnsi="Arial" w:cs="Arial"/>
          <w:b/>
          <w:sz w:val="20"/>
          <w:szCs w:val="20"/>
        </w:rPr>
        <w:t>R</w:t>
      </w:r>
      <w:r w:rsidR="00906CED" w:rsidRPr="004A0A09">
        <w:rPr>
          <w:rFonts w:ascii="Arial" w:hAnsi="Arial" w:cs="Arial"/>
          <w:b/>
          <w:sz w:val="20"/>
          <w:szCs w:val="20"/>
        </w:rPr>
        <w:t>esearch directors</w:t>
      </w:r>
      <w:r w:rsidRPr="004A0A09">
        <w:rPr>
          <w:rFonts w:ascii="Arial" w:hAnsi="Arial" w:cs="Arial"/>
          <w:b/>
          <w:sz w:val="20"/>
          <w:szCs w:val="20"/>
        </w:rPr>
        <w:t>: respondent profile</w:t>
      </w:r>
    </w:p>
    <w:p w14:paraId="48B8B4AD" w14:textId="28564EDF" w:rsidR="008E20CE" w:rsidRDefault="000C7ABB" w:rsidP="00E51F2A">
      <w:pPr>
        <w:spacing w:line="480" w:lineRule="auto"/>
        <w:rPr>
          <w:rFonts w:ascii="Arial" w:hAnsi="Arial" w:cs="Arial"/>
          <w:sz w:val="20"/>
          <w:szCs w:val="20"/>
        </w:rPr>
      </w:pPr>
      <w:r>
        <w:rPr>
          <w:rFonts w:ascii="Arial" w:hAnsi="Arial" w:cs="Arial"/>
          <w:sz w:val="20"/>
          <w:szCs w:val="20"/>
        </w:rPr>
        <w:t>Of the 34 survey responses receive</w:t>
      </w:r>
      <w:r w:rsidR="00323E8F">
        <w:rPr>
          <w:rFonts w:ascii="Arial" w:hAnsi="Arial" w:cs="Arial"/>
          <w:sz w:val="20"/>
          <w:szCs w:val="20"/>
        </w:rPr>
        <w:t>d</w:t>
      </w:r>
      <w:r>
        <w:rPr>
          <w:rFonts w:ascii="Arial" w:hAnsi="Arial" w:cs="Arial"/>
          <w:sz w:val="20"/>
          <w:szCs w:val="20"/>
        </w:rPr>
        <w:t>, 9</w:t>
      </w:r>
      <w:r w:rsidR="00F130A7">
        <w:rPr>
          <w:rFonts w:ascii="Arial" w:hAnsi="Arial" w:cs="Arial"/>
          <w:sz w:val="20"/>
          <w:szCs w:val="20"/>
        </w:rPr>
        <w:t xml:space="preserve"> respondents </w:t>
      </w:r>
      <w:r w:rsidR="00A8413D">
        <w:rPr>
          <w:rFonts w:ascii="Arial" w:hAnsi="Arial" w:cs="Arial"/>
          <w:sz w:val="20"/>
          <w:szCs w:val="20"/>
        </w:rPr>
        <w:t xml:space="preserve">were </w:t>
      </w:r>
      <w:r w:rsidR="00F130A7">
        <w:rPr>
          <w:rFonts w:ascii="Arial" w:hAnsi="Arial" w:cs="Arial"/>
          <w:sz w:val="20"/>
          <w:szCs w:val="20"/>
        </w:rPr>
        <w:t xml:space="preserve">from RG universities, 24 from non-RG, and one chose not to say. </w:t>
      </w:r>
      <w:r w:rsidR="00A8413D">
        <w:rPr>
          <w:rFonts w:ascii="Arial" w:hAnsi="Arial" w:cs="Arial"/>
          <w:sz w:val="20"/>
          <w:szCs w:val="20"/>
        </w:rPr>
        <w:t>Half</w:t>
      </w:r>
      <w:r w:rsidR="00E21231">
        <w:rPr>
          <w:rFonts w:ascii="Arial" w:hAnsi="Arial" w:cs="Arial"/>
          <w:sz w:val="20"/>
          <w:szCs w:val="20"/>
        </w:rPr>
        <w:t xml:space="preserve"> the respondents</w:t>
      </w:r>
      <w:r w:rsidR="00A8413D">
        <w:rPr>
          <w:rFonts w:ascii="Arial" w:hAnsi="Arial" w:cs="Arial"/>
          <w:sz w:val="20"/>
          <w:szCs w:val="20"/>
        </w:rPr>
        <w:t xml:space="preserve"> </w:t>
      </w:r>
      <w:r w:rsidR="00E21231">
        <w:rPr>
          <w:rFonts w:ascii="Arial" w:hAnsi="Arial" w:cs="Arial"/>
          <w:sz w:val="20"/>
          <w:szCs w:val="20"/>
        </w:rPr>
        <w:t xml:space="preserve">had </w:t>
      </w:r>
      <w:r w:rsidR="00A8413D">
        <w:rPr>
          <w:rFonts w:ascii="Arial" w:hAnsi="Arial" w:cs="Arial"/>
          <w:sz w:val="20"/>
          <w:szCs w:val="20"/>
        </w:rPr>
        <w:t>academic careers of 11</w:t>
      </w:r>
      <w:r w:rsidR="005B7545">
        <w:rPr>
          <w:rFonts w:ascii="Arial" w:hAnsi="Arial" w:cs="Arial"/>
          <w:sz w:val="20"/>
          <w:szCs w:val="20"/>
        </w:rPr>
        <w:t>–</w:t>
      </w:r>
      <w:r w:rsidR="00A8413D">
        <w:rPr>
          <w:rFonts w:ascii="Arial" w:hAnsi="Arial" w:cs="Arial"/>
          <w:sz w:val="20"/>
          <w:szCs w:val="20"/>
        </w:rPr>
        <w:t>20 years</w:t>
      </w:r>
      <w:r w:rsidR="00E21231">
        <w:rPr>
          <w:rFonts w:ascii="Arial" w:hAnsi="Arial" w:cs="Arial"/>
          <w:sz w:val="20"/>
          <w:szCs w:val="20"/>
        </w:rPr>
        <w:t xml:space="preserve"> and a third more </w:t>
      </w:r>
      <w:r w:rsidR="00E21231">
        <w:rPr>
          <w:rFonts w:ascii="Arial" w:hAnsi="Arial" w:cs="Arial"/>
          <w:sz w:val="20"/>
          <w:szCs w:val="20"/>
        </w:rPr>
        <w:lastRenderedPageBreak/>
        <w:t xml:space="preserve">than 20 years. The gender split was even. </w:t>
      </w:r>
      <w:r>
        <w:rPr>
          <w:rFonts w:ascii="Arial" w:hAnsi="Arial" w:cs="Arial"/>
          <w:sz w:val="20"/>
          <w:szCs w:val="20"/>
        </w:rPr>
        <w:t>T</w:t>
      </w:r>
      <w:r w:rsidR="00E21231">
        <w:rPr>
          <w:rFonts w:ascii="Arial" w:hAnsi="Arial" w:cs="Arial"/>
          <w:sz w:val="20"/>
          <w:szCs w:val="20"/>
        </w:rPr>
        <w:t xml:space="preserve">he RG respondents tended to have had careers </w:t>
      </w:r>
      <w:r w:rsidR="009F1803">
        <w:rPr>
          <w:rFonts w:ascii="Arial" w:hAnsi="Arial" w:cs="Arial"/>
          <w:sz w:val="20"/>
          <w:szCs w:val="20"/>
        </w:rPr>
        <w:t>longer</w:t>
      </w:r>
      <w:r w:rsidR="00E21231">
        <w:rPr>
          <w:rFonts w:ascii="Arial" w:hAnsi="Arial" w:cs="Arial"/>
          <w:sz w:val="20"/>
          <w:szCs w:val="20"/>
        </w:rPr>
        <w:t xml:space="preserve"> than 20 years and</w:t>
      </w:r>
      <w:r w:rsidR="00485CA5">
        <w:rPr>
          <w:rFonts w:ascii="Arial" w:hAnsi="Arial" w:cs="Arial"/>
          <w:sz w:val="20"/>
          <w:szCs w:val="20"/>
        </w:rPr>
        <w:t xml:space="preserve"> about two-thirds were female. </w:t>
      </w:r>
    </w:p>
    <w:p w14:paraId="7DA6DB4B" w14:textId="77777777" w:rsidR="008E20CE" w:rsidRDefault="008E20CE" w:rsidP="00E51F2A">
      <w:pPr>
        <w:spacing w:line="480" w:lineRule="auto"/>
        <w:rPr>
          <w:rFonts w:ascii="Arial" w:hAnsi="Arial" w:cs="Arial"/>
          <w:sz w:val="20"/>
          <w:szCs w:val="20"/>
        </w:rPr>
      </w:pPr>
    </w:p>
    <w:p w14:paraId="0A552700" w14:textId="5C9A8EEC" w:rsidR="002D13A8" w:rsidRDefault="002D13A8" w:rsidP="00E51F2A">
      <w:pPr>
        <w:spacing w:line="480" w:lineRule="auto"/>
        <w:rPr>
          <w:rFonts w:ascii="Arial" w:hAnsi="Arial" w:cs="Arial"/>
          <w:sz w:val="20"/>
          <w:szCs w:val="20"/>
        </w:rPr>
      </w:pPr>
      <w:r>
        <w:rPr>
          <w:rFonts w:ascii="Arial" w:hAnsi="Arial" w:cs="Arial"/>
          <w:sz w:val="20"/>
          <w:szCs w:val="20"/>
        </w:rPr>
        <w:t>The law school sizes were evenly balanced, with 16 responses from schools with 16</w:t>
      </w:r>
      <w:r w:rsidR="005B7545">
        <w:rPr>
          <w:rFonts w:ascii="Arial" w:hAnsi="Arial" w:cs="Arial"/>
          <w:sz w:val="20"/>
          <w:szCs w:val="20"/>
        </w:rPr>
        <w:t>–</w:t>
      </w:r>
      <w:r>
        <w:rPr>
          <w:rFonts w:ascii="Arial" w:hAnsi="Arial" w:cs="Arial"/>
          <w:sz w:val="20"/>
          <w:szCs w:val="20"/>
        </w:rPr>
        <w:t>40 FTE staff, 16 responses from schools with 41 or more staff, and two responses from schools with fewer than 16 staff.</w:t>
      </w:r>
      <w:r w:rsidR="00ED30EA">
        <w:rPr>
          <w:rFonts w:ascii="Arial" w:hAnsi="Arial" w:cs="Arial"/>
          <w:sz w:val="20"/>
          <w:szCs w:val="20"/>
        </w:rPr>
        <w:t xml:space="preserve"> There was a spread of rankings of law schools</w:t>
      </w:r>
      <w:r w:rsidR="000C7ABB">
        <w:rPr>
          <w:rFonts w:ascii="Arial" w:hAnsi="Arial" w:cs="Arial"/>
          <w:sz w:val="20"/>
          <w:szCs w:val="20"/>
        </w:rPr>
        <w:t xml:space="preserve"> (as shown in Figure 1</w:t>
      </w:r>
      <w:r w:rsidR="005B7545">
        <w:rPr>
          <w:rFonts w:ascii="Arial" w:hAnsi="Arial" w:cs="Arial"/>
          <w:sz w:val="20"/>
          <w:szCs w:val="20"/>
        </w:rPr>
        <w:t>1</w:t>
      </w:r>
      <w:r w:rsidR="000C7ABB">
        <w:rPr>
          <w:rFonts w:ascii="Arial" w:hAnsi="Arial" w:cs="Arial"/>
          <w:sz w:val="20"/>
          <w:szCs w:val="20"/>
        </w:rPr>
        <w:t>)</w:t>
      </w:r>
      <w:r w:rsidR="00ED30EA">
        <w:rPr>
          <w:rFonts w:ascii="Arial" w:hAnsi="Arial" w:cs="Arial"/>
          <w:sz w:val="20"/>
          <w:szCs w:val="20"/>
        </w:rPr>
        <w:t>.</w:t>
      </w:r>
      <w:r w:rsidR="006359A9">
        <w:rPr>
          <w:rFonts w:ascii="Arial" w:hAnsi="Arial" w:cs="Arial"/>
          <w:sz w:val="20"/>
          <w:szCs w:val="20"/>
        </w:rPr>
        <w:t xml:space="preserve"> </w:t>
      </w:r>
      <w:r w:rsidR="008E20CE">
        <w:rPr>
          <w:rFonts w:ascii="Arial" w:hAnsi="Arial" w:cs="Arial"/>
          <w:sz w:val="20"/>
          <w:szCs w:val="20"/>
        </w:rPr>
        <w:t>RG responses were unsurprisingly ranked at the upper end but there were still 9 non-RG responses from the top 30.</w:t>
      </w:r>
    </w:p>
    <w:p w14:paraId="6564DAF2" w14:textId="77777777" w:rsidR="002D13A8" w:rsidRDefault="002D13A8" w:rsidP="00E51F2A">
      <w:pPr>
        <w:spacing w:line="480" w:lineRule="auto"/>
        <w:rPr>
          <w:rFonts w:ascii="Arial" w:hAnsi="Arial" w:cs="Arial"/>
          <w:sz w:val="20"/>
          <w:szCs w:val="20"/>
        </w:rPr>
      </w:pPr>
    </w:p>
    <w:p w14:paraId="45849877" w14:textId="5A37604E" w:rsidR="006359A9" w:rsidRDefault="000C20E6" w:rsidP="00E51F2A">
      <w:pPr>
        <w:spacing w:line="480" w:lineRule="auto"/>
        <w:rPr>
          <w:rFonts w:ascii="Arial" w:hAnsi="Arial" w:cs="Arial"/>
          <w:sz w:val="20"/>
          <w:szCs w:val="20"/>
        </w:rPr>
      </w:pPr>
      <w:r w:rsidRPr="000C20E6">
        <w:rPr>
          <w:rFonts w:ascii="Arial" w:hAnsi="Arial" w:cs="Arial"/>
          <w:noProof/>
          <w:sz w:val="20"/>
          <w:szCs w:val="20"/>
          <w:lang w:eastAsia="en-GB"/>
        </w:rPr>
        <mc:AlternateContent>
          <mc:Choice Requires="wps">
            <w:drawing>
              <wp:anchor distT="0" distB="0" distL="114300" distR="114300" simplePos="0" relativeHeight="251667456" behindDoc="0" locked="0" layoutInCell="1" allowOverlap="1" wp14:anchorId="19767711" wp14:editId="23B9AAA0">
                <wp:simplePos x="0" y="0"/>
                <wp:positionH relativeFrom="column">
                  <wp:posOffset>4919980</wp:posOffset>
                </wp:positionH>
                <wp:positionV relativeFrom="paragraph">
                  <wp:posOffset>4178138</wp:posOffset>
                </wp:positionV>
                <wp:extent cx="404037" cy="276447"/>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7" cy="276447"/>
                        </a:xfrm>
                        <a:prstGeom prst="rect">
                          <a:avLst/>
                        </a:prstGeom>
                        <a:solidFill>
                          <a:srgbClr val="FFFFFF"/>
                        </a:solidFill>
                        <a:ln w="9525">
                          <a:noFill/>
                          <a:miter lim="800000"/>
                          <a:headEnd/>
                          <a:tailEnd/>
                        </a:ln>
                      </wps:spPr>
                      <wps:txbx>
                        <w:txbxContent>
                          <w:p w14:paraId="4FF50905" w14:textId="3D8CA01E" w:rsidR="007B1D1B" w:rsidRPr="000C20E6" w:rsidRDefault="007B1D1B">
                            <w:pPr>
                              <w:rPr>
                                <w:rFonts w:ascii="Arial" w:hAnsi="Arial" w:cs="Arial"/>
                                <w:b/>
                                <w:sz w:val="16"/>
                                <w:szCs w:val="16"/>
                              </w:rPr>
                            </w:pPr>
                            <w:r w:rsidRPr="000C20E6">
                              <w:rPr>
                                <w:rFonts w:ascii="Arial" w:hAnsi="Arial" w:cs="Arial"/>
                                <w:b/>
                                <w:sz w:val="16"/>
                                <w:szCs w:val="16"/>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9767711" id="_x0000_s1030" type="#_x0000_t202" style="position:absolute;margin-left:387.4pt;margin-top:329pt;width:31.8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" stroked="f">
                <v:textbox>
                  <w:txbxContent>
                    <w:p w14:paraId="4FF50905" w14:textId="3D8CA01E" w:rsidR="007B1D1B" w:rsidRPr="000C20E6" w:rsidRDefault="007B1D1B">
                      <w:pPr>
                        <w:rPr>
                          <w:rFonts w:ascii="Arial" w:hAnsi="Arial" w:cs="Arial"/>
                          <w:b/>
                          <w:sz w:val="16"/>
                          <w:szCs w:val="16"/>
                        </w:rPr>
                      </w:pPr>
                      <w:r w:rsidRPr="000C20E6">
                        <w:rPr>
                          <w:rFonts w:ascii="Arial" w:hAnsi="Arial" w:cs="Arial"/>
                          <w:b/>
                          <w:sz w:val="16"/>
                          <w:szCs w:val="16"/>
                        </w:rPr>
                        <w:t>=n</w:t>
                      </w:r>
                    </w:p>
                  </w:txbxContent>
                </v:textbox>
              </v:shape>
            </w:pict>
          </mc:Fallback>
        </mc:AlternateContent>
      </w:r>
      <w:r w:rsidR="00D57176" w:rsidRPr="000C20E6">
        <w:rPr>
          <w:rFonts w:ascii="Arial" w:hAnsi="Arial" w:cs="Arial"/>
          <w:noProof/>
          <w:sz w:val="20"/>
          <w:szCs w:val="20"/>
          <w:u w:val="single"/>
          <w:lang w:eastAsia="en-GB"/>
        </w:rPr>
        <w:drawing>
          <wp:inline distT="0" distB="0" distL="0" distR="0" wp14:anchorId="57D56BE6" wp14:editId="075B8603">
            <wp:extent cx="5486400" cy="4735902"/>
            <wp:effectExtent l="0" t="0" r="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737470B" w14:textId="121C7C35" w:rsidR="006359A9" w:rsidRPr="000C20E6" w:rsidRDefault="001536B3" w:rsidP="00022904">
      <w:pPr>
        <w:spacing w:line="240" w:lineRule="auto"/>
        <w:rPr>
          <w:rFonts w:ascii="Arial" w:hAnsi="Arial" w:cs="Arial"/>
          <w:i/>
          <w:sz w:val="18"/>
          <w:szCs w:val="18"/>
        </w:rPr>
      </w:pPr>
      <w:r w:rsidRPr="000C20E6">
        <w:rPr>
          <w:rFonts w:ascii="Arial" w:hAnsi="Arial" w:cs="Arial"/>
          <w:i/>
          <w:sz w:val="18"/>
          <w:szCs w:val="18"/>
        </w:rPr>
        <w:t xml:space="preserve">Note: Overlaps </w:t>
      </w:r>
      <w:r w:rsidR="00022904" w:rsidRPr="000C20E6">
        <w:rPr>
          <w:rFonts w:ascii="Arial" w:hAnsi="Arial" w:cs="Arial"/>
          <w:i/>
          <w:sz w:val="18"/>
          <w:szCs w:val="18"/>
        </w:rPr>
        <w:t>were</w:t>
      </w:r>
      <w:r w:rsidRPr="000C20E6">
        <w:rPr>
          <w:rFonts w:ascii="Arial" w:hAnsi="Arial" w:cs="Arial"/>
          <w:i/>
          <w:sz w:val="18"/>
          <w:szCs w:val="18"/>
        </w:rPr>
        <w:t xml:space="preserve"> provided</w:t>
      </w:r>
      <w:r w:rsidR="00022904" w:rsidRPr="000C20E6">
        <w:rPr>
          <w:rFonts w:ascii="Arial" w:hAnsi="Arial" w:cs="Arial"/>
          <w:i/>
          <w:sz w:val="18"/>
          <w:szCs w:val="18"/>
        </w:rPr>
        <w:t xml:space="preserve"> between the bands on this survey question </w:t>
      </w:r>
      <w:r w:rsidRPr="000C20E6">
        <w:rPr>
          <w:rFonts w:ascii="Arial" w:hAnsi="Arial" w:cs="Arial"/>
          <w:i/>
          <w:sz w:val="18"/>
          <w:szCs w:val="18"/>
        </w:rPr>
        <w:t>because of the variation in rankings in different publi</w:t>
      </w:r>
      <w:r w:rsidR="00F92435" w:rsidRPr="000C20E6">
        <w:rPr>
          <w:rFonts w:ascii="Arial" w:hAnsi="Arial" w:cs="Arial"/>
          <w:i/>
          <w:sz w:val="18"/>
          <w:szCs w:val="18"/>
        </w:rPr>
        <w:t>shed tables</w:t>
      </w:r>
      <w:r w:rsidRPr="000C20E6">
        <w:rPr>
          <w:rFonts w:ascii="Arial" w:hAnsi="Arial" w:cs="Arial"/>
          <w:i/>
          <w:sz w:val="18"/>
          <w:szCs w:val="18"/>
        </w:rPr>
        <w:t>.</w:t>
      </w:r>
    </w:p>
    <w:p w14:paraId="325860E9" w14:textId="77777777" w:rsidR="00ED30EA" w:rsidRDefault="00ED30EA" w:rsidP="00E51F2A">
      <w:pPr>
        <w:spacing w:line="480" w:lineRule="auto"/>
        <w:rPr>
          <w:rFonts w:ascii="Arial" w:hAnsi="Arial" w:cs="Arial"/>
          <w:sz w:val="20"/>
          <w:szCs w:val="20"/>
        </w:rPr>
      </w:pPr>
    </w:p>
    <w:p w14:paraId="780D2AEF" w14:textId="77777777" w:rsidR="00ED2B1D" w:rsidRPr="00876281" w:rsidRDefault="00ED2B1D" w:rsidP="00E51F2A">
      <w:pPr>
        <w:spacing w:line="480" w:lineRule="auto"/>
        <w:rPr>
          <w:rFonts w:ascii="Arial" w:hAnsi="Arial" w:cs="Arial"/>
          <w:i/>
          <w:sz w:val="20"/>
          <w:szCs w:val="20"/>
        </w:rPr>
      </w:pPr>
    </w:p>
    <w:p w14:paraId="3273CA61" w14:textId="523801DC" w:rsidR="00406D25" w:rsidRPr="004A0A09" w:rsidRDefault="00060245" w:rsidP="00E51F2A">
      <w:pPr>
        <w:pStyle w:val="ListParagraph"/>
        <w:numPr>
          <w:ilvl w:val="0"/>
          <w:numId w:val="15"/>
        </w:numPr>
        <w:spacing w:line="480" w:lineRule="auto"/>
        <w:rPr>
          <w:rFonts w:ascii="Arial" w:hAnsi="Arial" w:cs="Arial"/>
          <w:b/>
          <w:sz w:val="20"/>
          <w:szCs w:val="20"/>
        </w:rPr>
      </w:pPr>
      <w:r w:rsidRPr="004A0A09">
        <w:rPr>
          <w:rFonts w:ascii="Arial" w:hAnsi="Arial" w:cs="Arial"/>
          <w:b/>
          <w:sz w:val="20"/>
          <w:szCs w:val="20"/>
        </w:rPr>
        <w:t>I</w:t>
      </w:r>
      <w:r w:rsidR="00906CED" w:rsidRPr="004A0A09">
        <w:rPr>
          <w:rFonts w:ascii="Arial" w:hAnsi="Arial" w:cs="Arial"/>
          <w:b/>
          <w:sz w:val="20"/>
          <w:szCs w:val="20"/>
        </w:rPr>
        <w:t>mpact preparation</w:t>
      </w:r>
      <w:r w:rsidRPr="004A0A09">
        <w:rPr>
          <w:rFonts w:ascii="Arial" w:hAnsi="Arial" w:cs="Arial"/>
          <w:b/>
          <w:sz w:val="20"/>
          <w:szCs w:val="20"/>
        </w:rPr>
        <w:t xml:space="preserve"> for the next REF</w:t>
      </w:r>
    </w:p>
    <w:p w14:paraId="535C6E70" w14:textId="650B5EBC" w:rsidR="00B65170" w:rsidRDefault="009344E6" w:rsidP="00876281">
      <w:pPr>
        <w:spacing w:line="480" w:lineRule="auto"/>
        <w:rPr>
          <w:rFonts w:ascii="Arial" w:hAnsi="Arial" w:cs="Arial"/>
          <w:sz w:val="20"/>
          <w:szCs w:val="20"/>
        </w:rPr>
      </w:pPr>
      <w:r>
        <w:rPr>
          <w:rFonts w:ascii="Arial" w:hAnsi="Arial" w:cs="Arial"/>
          <w:sz w:val="20"/>
          <w:szCs w:val="20"/>
        </w:rPr>
        <w:t>Respondents were aske</w:t>
      </w:r>
      <w:r w:rsidR="00CB0FEE">
        <w:rPr>
          <w:rFonts w:ascii="Arial" w:hAnsi="Arial" w:cs="Arial"/>
          <w:sz w:val="20"/>
          <w:szCs w:val="20"/>
        </w:rPr>
        <w:t>d how far along, in mid-2016, was</w:t>
      </w:r>
      <w:r>
        <w:rPr>
          <w:rFonts w:ascii="Arial" w:hAnsi="Arial" w:cs="Arial"/>
          <w:sz w:val="20"/>
          <w:szCs w:val="20"/>
        </w:rPr>
        <w:t xml:space="preserve"> their law school in preparation fo</w:t>
      </w:r>
      <w:r w:rsidR="00C85260">
        <w:rPr>
          <w:rFonts w:ascii="Arial" w:hAnsi="Arial" w:cs="Arial"/>
          <w:sz w:val="20"/>
          <w:szCs w:val="20"/>
        </w:rPr>
        <w:t xml:space="preserve">r the impact for the </w:t>
      </w:r>
      <w:r w:rsidR="004726E3">
        <w:rPr>
          <w:rFonts w:ascii="Arial" w:hAnsi="Arial" w:cs="Arial"/>
          <w:sz w:val="20"/>
          <w:szCs w:val="20"/>
        </w:rPr>
        <w:t>next</w:t>
      </w:r>
      <w:r w:rsidR="00C85260">
        <w:rPr>
          <w:rFonts w:ascii="Arial" w:hAnsi="Arial" w:cs="Arial"/>
          <w:sz w:val="20"/>
          <w:szCs w:val="20"/>
        </w:rPr>
        <w:t xml:space="preserve"> REF</w:t>
      </w:r>
      <w:r w:rsidR="00FA4131">
        <w:rPr>
          <w:rFonts w:ascii="Arial" w:hAnsi="Arial" w:cs="Arial"/>
          <w:sz w:val="20"/>
          <w:szCs w:val="20"/>
        </w:rPr>
        <w:t xml:space="preserve">. </w:t>
      </w:r>
      <w:r w:rsidR="00556820">
        <w:rPr>
          <w:rFonts w:ascii="Arial" w:hAnsi="Arial" w:cs="Arial"/>
          <w:sz w:val="20"/>
          <w:szCs w:val="20"/>
        </w:rPr>
        <w:t xml:space="preserve">The results indicate that impact was a very prominent consideration for law </w:t>
      </w:r>
      <w:r w:rsidR="00556820">
        <w:rPr>
          <w:rFonts w:ascii="Arial" w:hAnsi="Arial" w:cs="Arial"/>
          <w:sz w:val="20"/>
          <w:szCs w:val="20"/>
        </w:rPr>
        <w:lastRenderedPageBreak/>
        <w:t xml:space="preserve">schools as far as five years before the next REF. </w:t>
      </w:r>
      <w:r w:rsidR="0028088B">
        <w:rPr>
          <w:rFonts w:ascii="Arial" w:hAnsi="Arial" w:cs="Arial"/>
          <w:sz w:val="20"/>
          <w:szCs w:val="20"/>
        </w:rPr>
        <w:t>Thirty-six per cent</w:t>
      </w:r>
      <w:r w:rsidR="00FA4131">
        <w:rPr>
          <w:rFonts w:ascii="Arial" w:hAnsi="Arial" w:cs="Arial"/>
          <w:sz w:val="20"/>
          <w:szCs w:val="20"/>
        </w:rPr>
        <w:t xml:space="preserve"> reported being ‘very advanced’, having an impact lead or group targeting potential case studi</w:t>
      </w:r>
      <w:r w:rsidR="00AD3448">
        <w:rPr>
          <w:rFonts w:ascii="Arial" w:hAnsi="Arial" w:cs="Arial"/>
          <w:sz w:val="20"/>
          <w:szCs w:val="20"/>
        </w:rPr>
        <w:t>es, providing teaching relief or</w:t>
      </w:r>
      <w:r w:rsidR="00FA4131">
        <w:rPr>
          <w:rFonts w:ascii="Arial" w:hAnsi="Arial" w:cs="Arial"/>
          <w:sz w:val="20"/>
          <w:szCs w:val="20"/>
        </w:rPr>
        <w:t xml:space="preserve"> funding for likely case study researchers, and strategic development of impact support across the school. A further 30% identified as ‘advanced’, with one or two of those things in place. Almost all the remaining respondents reported that moves in these directions were underway.</w:t>
      </w:r>
      <w:r w:rsidR="00556820">
        <w:rPr>
          <w:rFonts w:ascii="Arial" w:hAnsi="Arial" w:cs="Arial"/>
          <w:sz w:val="20"/>
          <w:szCs w:val="20"/>
        </w:rPr>
        <w:t xml:space="preserve"> No respondents reported little or no preparation. All RG respondents reported being very advanced or advanced in preparation. Outside the RG there was greater variation, but half of those law schools were just as prepared as those in the RG, and most others not far behind. </w:t>
      </w:r>
    </w:p>
    <w:p w14:paraId="0FC583B2" w14:textId="77777777" w:rsidR="0061738E" w:rsidRDefault="0061738E" w:rsidP="00E51F2A">
      <w:pPr>
        <w:spacing w:after="120" w:line="480" w:lineRule="auto"/>
        <w:rPr>
          <w:rFonts w:ascii="Arial" w:hAnsi="Arial" w:cs="Arial"/>
          <w:sz w:val="20"/>
          <w:szCs w:val="20"/>
        </w:rPr>
      </w:pPr>
    </w:p>
    <w:p w14:paraId="10DEA7E8" w14:textId="7F986338" w:rsidR="0068061C" w:rsidRDefault="00F72BD1" w:rsidP="00E51F2A">
      <w:pPr>
        <w:spacing w:line="480" w:lineRule="auto"/>
        <w:rPr>
          <w:rFonts w:ascii="Arial" w:hAnsi="Arial" w:cs="Arial"/>
          <w:sz w:val="20"/>
          <w:szCs w:val="20"/>
        </w:rPr>
      </w:pPr>
      <w:r>
        <w:rPr>
          <w:rFonts w:ascii="Arial" w:hAnsi="Arial" w:cs="Arial"/>
          <w:sz w:val="20"/>
          <w:szCs w:val="20"/>
        </w:rPr>
        <w:t xml:space="preserve">It makes sense for </w:t>
      </w:r>
      <w:r w:rsidR="00094541">
        <w:rPr>
          <w:rFonts w:ascii="Arial" w:hAnsi="Arial" w:cs="Arial"/>
          <w:sz w:val="20"/>
          <w:szCs w:val="20"/>
        </w:rPr>
        <w:t xml:space="preserve">schools </w:t>
      </w:r>
      <w:r>
        <w:rPr>
          <w:rFonts w:ascii="Arial" w:hAnsi="Arial" w:cs="Arial"/>
          <w:sz w:val="20"/>
          <w:szCs w:val="20"/>
        </w:rPr>
        <w:t xml:space="preserve">to put </w:t>
      </w:r>
      <w:r w:rsidR="00094541">
        <w:rPr>
          <w:rFonts w:ascii="Arial" w:hAnsi="Arial" w:cs="Arial"/>
          <w:sz w:val="20"/>
          <w:szCs w:val="20"/>
        </w:rPr>
        <w:t>substantial time and resources into impact preparations</w:t>
      </w:r>
      <w:r>
        <w:rPr>
          <w:rFonts w:ascii="Arial" w:hAnsi="Arial" w:cs="Arial"/>
          <w:sz w:val="20"/>
          <w:szCs w:val="20"/>
        </w:rPr>
        <w:t xml:space="preserve"> because of the </w:t>
      </w:r>
      <w:r w:rsidR="0068061C">
        <w:rPr>
          <w:rFonts w:ascii="Arial" w:hAnsi="Arial" w:cs="Arial"/>
          <w:sz w:val="20"/>
          <w:szCs w:val="20"/>
        </w:rPr>
        <w:t xml:space="preserve">financial benefits a </w:t>
      </w:r>
      <w:r w:rsidR="002244A5">
        <w:rPr>
          <w:rFonts w:ascii="Arial" w:hAnsi="Arial" w:cs="Arial"/>
          <w:sz w:val="20"/>
          <w:szCs w:val="20"/>
        </w:rPr>
        <w:t>strong impact case study can bring</w:t>
      </w:r>
      <w:r>
        <w:rPr>
          <w:rFonts w:ascii="Arial" w:hAnsi="Arial" w:cs="Arial"/>
          <w:sz w:val="20"/>
          <w:szCs w:val="20"/>
        </w:rPr>
        <w:t>. Importantly</w:t>
      </w:r>
      <w:r w:rsidR="005B20D9">
        <w:rPr>
          <w:rFonts w:ascii="Arial" w:hAnsi="Arial" w:cs="Arial"/>
          <w:sz w:val="20"/>
          <w:szCs w:val="20"/>
        </w:rPr>
        <w:t>, as it is inherently uncertain</w:t>
      </w:r>
      <w:r w:rsidR="0068061C">
        <w:rPr>
          <w:rFonts w:ascii="Arial" w:hAnsi="Arial" w:cs="Arial"/>
          <w:sz w:val="20"/>
          <w:szCs w:val="20"/>
        </w:rPr>
        <w:t xml:space="preserve"> </w:t>
      </w:r>
      <w:r w:rsidR="0094305D">
        <w:rPr>
          <w:rFonts w:ascii="Arial" w:hAnsi="Arial" w:cs="Arial"/>
          <w:sz w:val="20"/>
          <w:szCs w:val="20"/>
        </w:rPr>
        <w:t>what</w:t>
      </w:r>
      <w:r w:rsidR="0068061C">
        <w:rPr>
          <w:rFonts w:ascii="Arial" w:hAnsi="Arial" w:cs="Arial"/>
          <w:sz w:val="20"/>
          <w:szCs w:val="20"/>
        </w:rPr>
        <w:t xml:space="preserve"> research will have impact</w:t>
      </w:r>
      <w:r w:rsidR="005B20D9">
        <w:rPr>
          <w:rFonts w:ascii="Arial" w:hAnsi="Arial" w:cs="Arial"/>
          <w:sz w:val="20"/>
          <w:szCs w:val="20"/>
        </w:rPr>
        <w:t>, m</w:t>
      </w:r>
      <w:r w:rsidR="0068061C">
        <w:rPr>
          <w:rFonts w:ascii="Arial" w:hAnsi="Arial" w:cs="Arial"/>
          <w:sz w:val="20"/>
          <w:szCs w:val="20"/>
        </w:rPr>
        <w:t xml:space="preserve">ore potential case studies </w:t>
      </w:r>
      <w:r w:rsidR="005B20D9">
        <w:rPr>
          <w:rFonts w:ascii="Arial" w:hAnsi="Arial" w:cs="Arial"/>
          <w:sz w:val="20"/>
          <w:szCs w:val="20"/>
        </w:rPr>
        <w:t xml:space="preserve">need to be </w:t>
      </w:r>
      <w:r>
        <w:rPr>
          <w:rFonts w:ascii="Arial" w:hAnsi="Arial" w:cs="Arial"/>
          <w:sz w:val="20"/>
          <w:szCs w:val="20"/>
        </w:rPr>
        <w:t xml:space="preserve">supported </w:t>
      </w:r>
      <w:r w:rsidR="005B20D9">
        <w:rPr>
          <w:rFonts w:ascii="Arial" w:hAnsi="Arial" w:cs="Arial"/>
          <w:sz w:val="20"/>
          <w:szCs w:val="20"/>
        </w:rPr>
        <w:t xml:space="preserve">than can </w:t>
      </w:r>
      <w:r w:rsidR="0068061C">
        <w:rPr>
          <w:rFonts w:ascii="Arial" w:hAnsi="Arial" w:cs="Arial"/>
          <w:sz w:val="20"/>
          <w:szCs w:val="20"/>
        </w:rPr>
        <w:t xml:space="preserve">ultimately be </w:t>
      </w:r>
      <w:r w:rsidR="005B20D9">
        <w:rPr>
          <w:rFonts w:ascii="Arial" w:hAnsi="Arial" w:cs="Arial"/>
          <w:sz w:val="20"/>
          <w:szCs w:val="20"/>
        </w:rPr>
        <w:t>s</w:t>
      </w:r>
      <w:r w:rsidR="0068061C">
        <w:rPr>
          <w:rFonts w:ascii="Arial" w:hAnsi="Arial" w:cs="Arial"/>
          <w:sz w:val="20"/>
          <w:szCs w:val="20"/>
        </w:rPr>
        <w:t>ubmit</w:t>
      </w:r>
      <w:r w:rsidR="005B20D9">
        <w:rPr>
          <w:rFonts w:ascii="Arial" w:hAnsi="Arial" w:cs="Arial"/>
          <w:sz w:val="20"/>
          <w:szCs w:val="20"/>
        </w:rPr>
        <w:t>ted</w:t>
      </w:r>
      <w:r w:rsidR="0068061C">
        <w:rPr>
          <w:rFonts w:ascii="Arial" w:hAnsi="Arial" w:cs="Arial"/>
          <w:sz w:val="20"/>
          <w:szCs w:val="20"/>
        </w:rPr>
        <w:t>.</w:t>
      </w:r>
    </w:p>
    <w:p w14:paraId="203C0E92" w14:textId="77777777" w:rsidR="00907AB7" w:rsidRDefault="00907AB7" w:rsidP="00E51F2A">
      <w:pPr>
        <w:spacing w:line="480" w:lineRule="auto"/>
        <w:rPr>
          <w:rFonts w:ascii="Arial" w:hAnsi="Arial" w:cs="Arial"/>
          <w:sz w:val="20"/>
          <w:szCs w:val="20"/>
        </w:rPr>
      </w:pPr>
    </w:p>
    <w:p w14:paraId="3B07BFF2" w14:textId="1BAD1E2F" w:rsidR="00907AB7" w:rsidRPr="004A0A09" w:rsidRDefault="00906CED" w:rsidP="00E51F2A">
      <w:pPr>
        <w:pStyle w:val="ListParagraph"/>
        <w:numPr>
          <w:ilvl w:val="0"/>
          <w:numId w:val="15"/>
        </w:numPr>
        <w:spacing w:line="480" w:lineRule="auto"/>
        <w:rPr>
          <w:rFonts w:ascii="Arial" w:hAnsi="Arial" w:cs="Arial"/>
          <w:b/>
          <w:sz w:val="20"/>
          <w:szCs w:val="20"/>
        </w:rPr>
      </w:pPr>
      <w:r w:rsidRPr="004A0A09">
        <w:rPr>
          <w:rFonts w:ascii="Arial" w:hAnsi="Arial" w:cs="Arial"/>
          <w:b/>
          <w:sz w:val="20"/>
          <w:szCs w:val="20"/>
        </w:rPr>
        <w:t>Staff e</w:t>
      </w:r>
      <w:r w:rsidR="00907AB7" w:rsidRPr="004A0A09">
        <w:rPr>
          <w:rFonts w:ascii="Arial" w:hAnsi="Arial" w:cs="Arial"/>
          <w:b/>
          <w:sz w:val="20"/>
          <w:szCs w:val="20"/>
        </w:rPr>
        <w:t>xpertise in engaging with government</w:t>
      </w:r>
    </w:p>
    <w:p w14:paraId="42B5010D" w14:textId="3069DC8F" w:rsidR="0068061C" w:rsidRDefault="00A55892" w:rsidP="00E51F2A">
      <w:pPr>
        <w:spacing w:line="480" w:lineRule="auto"/>
        <w:rPr>
          <w:rFonts w:ascii="Arial" w:hAnsi="Arial" w:cs="Arial"/>
          <w:sz w:val="20"/>
          <w:szCs w:val="20"/>
        </w:rPr>
      </w:pPr>
      <w:r>
        <w:rPr>
          <w:rFonts w:ascii="Arial" w:hAnsi="Arial" w:cs="Arial"/>
          <w:sz w:val="20"/>
          <w:szCs w:val="20"/>
        </w:rPr>
        <w:t>Two questions were asked to</w:t>
      </w:r>
      <w:r w:rsidR="00907AB7" w:rsidRPr="00A55892">
        <w:rPr>
          <w:rFonts w:ascii="Arial" w:hAnsi="Arial" w:cs="Arial"/>
          <w:sz w:val="20"/>
          <w:szCs w:val="20"/>
        </w:rPr>
        <w:t xml:space="preserve"> gauge expertise in government</w:t>
      </w:r>
      <w:r>
        <w:rPr>
          <w:rFonts w:ascii="Arial" w:hAnsi="Arial" w:cs="Arial"/>
          <w:sz w:val="20"/>
          <w:szCs w:val="20"/>
        </w:rPr>
        <w:t xml:space="preserve"> engagement, especially so that </w:t>
      </w:r>
      <w:r w:rsidR="00907AB7">
        <w:rPr>
          <w:rFonts w:ascii="Arial" w:hAnsi="Arial" w:cs="Arial"/>
          <w:sz w:val="20"/>
          <w:szCs w:val="20"/>
        </w:rPr>
        <w:t xml:space="preserve">researchers with less exposure to government might benefit </w:t>
      </w:r>
      <w:r w:rsidR="007E2BC1">
        <w:rPr>
          <w:rFonts w:ascii="Arial" w:hAnsi="Arial" w:cs="Arial"/>
          <w:sz w:val="20"/>
          <w:szCs w:val="20"/>
        </w:rPr>
        <w:t xml:space="preserve">and </w:t>
      </w:r>
      <w:r>
        <w:rPr>
          <w:rFonts w:ascii="Arial" w:hAnsi="Arial" w:cs="Arial"/>
          <w:sz w:val="20"/>
          <w:szCs w:val="20"/>
        </w:rPr>
        <w:t xml:space="preserve">so that </w:t>
      </w:r>
      <w:r w:rsidR="007E2BC1">
        <w:rPr>
          <w:rFonts w:ascii="Arial" w:hAnsi="Arial" w:cs="Arial"/>
          <w:sz w:val="20"/>
          <w:szCs w:val="20"/>
        </w:rPr>
        <w:t>good, policy-relevant researc</w:t>
      </w:r>
      <w:r>
        <w:rPr>
          <w:rFonts w:ascii="Arial" w:hAnsi="Arial" w:cs="Arial"/>
          <w:sz w:val="20"/>
          <w:szCs w:val="20"/>
        </w:rPr>
        <w:t xml:space="preserve">h might better reach </w:t>
      </w:r>
      <w:r w:rsidRPr="004B2290">
        <w:rPr>
          <w:rFonts w:ascii="Arial" w:hAnsi="Arial" w:cs="Arial"/>
          <w:sz w:val="20"/>
          <w:szCs w:val="20"/>
        </w:rPr>
        <w:t>government. First</w:t>
      </w:r>
      <w:r w:rsidR="007E2BC1" w:rsidRPr="004B2290">
        <w:rPr>
          <w:rFonts w:ascii="Arial" w:hAnsi="Arial" w:cs="Arial"/>
          <w:sz w:val="20"/>
          <w:szCs w:val="20"/>
        </w:rPr>
        <w:t>:</w:t>
      </w:r>
      <w:r w:rsidR="007E2BC1">
        <w:rPr>
          <w:rFonts w:ascii="Arial" w:hAnsi="Arial" w:cs="Arial"/>
          <w:sz w:val="20"/>
          <w:szCs w:val="20"/>
        </w:rPr>
        <w:t xml:space="preserve"> </w:t>
      </w:r>
    </w:p>
    <w:p w14:paraId="57FCE6EC" w14:textId="1D6559F9" w:rsidR="007E2BC1" w:rsidRPr="007E2BC1" w:rsidRDefault="007E2BC1" w:rsidP="00E51F2A">
      <w:pPr>
        <w:spacing w:line="480" w:lineRule="auto"/>
        <w:ind w:left="720"/>
        <w:rPr>
          <w:rFonts w:ascii="Arial" w:hAnsi="Arial" w:cs="Arial"/>
          <w:i/>
          <w:sz w:val="20"/>
          <w:szCs w:val="20"/>
        </w:rPr>
      </w:pPr>
      <w:r w:rsidRPr="007E2BC1">
        <w:rPr>
          <w:rFonts w:ascii="Arial" w:hAnsi="Arial" w:cs="Arial"/>
          <w:i/>
          <w:sz w:val="20"/>
          <w:szCs w:val="20"/>
        </w:rPr>
        <w:t>If an early career researcher in your law school was seeking advice about how</w:t>
      </w:r>
      <w:r w:rsidR="009C6E13">
        <w:rPr>
          <w:rFonts w:ascii="Arial" w:hAnsi="Arial" w:cs="Arial"/>
          <w:i/>
          <w:sz w:val="20"/>
          <w:szCs w:val="20"/>
        </w:rPr>
        <w:t xml:space="preserve"> </w:t>
      </w:r>
      <w:r w:rsidRPr="007E2BC1">
        <w:rPr>
          <w:rFonts w:ascii="Arial" w:hAnsi="Arial" w:cs="Arial"/>
          <w:i/>
          <w:sz w:val="20"/>
          <w:szCs w:val="20"/>
        </w:rPr>
        <w:t>to bring their research to the attention of people in a UK government department, how many academic staff in the law school</w:t>
      </w:r>
      <w:r>
        <w:rPr>
          <w:rFonts w:ascii="Arial" w:hAnsi="Arial" w:cs="Arial"/>
          <w:i/>
          <w:sz w:val="20"/>
          <w:szCs w:val="20"/>
        </w:rPr>
        <w:t xml:space="preserve"> </w:t>
      </w:r>
      <w:r w:rsidRPr="007E2BC1">
        <w:rPr>
          <w:rFonts w:ascii="Arial" w:hAnsi="Arial" w:cs="Arial"/>
          <w:i/>
          <w:sz w:val="20"/>
          <w:szCs w:val="20"/>
        </w:rPr>
        <w:t>would be able to provide good and well informed advice about the best ways to access and engage with government?</w:t>
      </w:r>
    </w:p>
    <w:p w14:paraId="43B3A3B6" w14:textId="77777777" w:rsidR="00907AB7" w:rsidRDefault="00907AB7" w:rsidP="00E51F2A">
      <w:pPr>
        <w:spacing w:line="480" w:lineRule="auto"/>
        <w:rPr>
          <w:rFonts w:ascii="Arial" w:hAnsi="Arial" w:cs="Arial"/>
          <w:sz w:val="20"/>
          <w:szCs w:val="20"/>
        </w:rPr>
      </w:pPr>
    </w:p>
    <w:p w14:paraId="6BAA77CF" w14:textId="003E33EF" w:rsidR="00362F4A" w:rsidRDefault="00362F4A" w:rsidP="00E51F2A">
      <w:pPr>
        <w:spacing w:line="480" w:lineRule="auto"/>
        <w:rPr>
          <w:rFonts w:ascii="Arial" w:hAnsi="Arial" w:cs="Arial"/>
          <w:sz w:val="20"/>
          <w:szCs w:val="20"/>
        </w:rPr>
      </w:pPr>
      <w:r>
        <w:rPr>
          <w:rFonts w:ascii="Arial" w:hAnsi="Arial" w:cs="Arial"/>
          <w:sz w:val="20"/>
          <w:szCs w:val="20"/>
        </w:rPr>
        <w:t>The responses</w:t>
      </w:r>
      <w:r w:rsidR="005B7545">
        <w:rPr>
          <w:rFonts w:ascii="Arial" w:hAnsi="Arial" w:cs="Arial"/>
          <w:sz w:val="20"/>
          <w:szCs w:val="20"/>
        </w:rPr>
        <w:t xml:space="preserve"> (Figure 1</w:t>
      </w:r>
      <w:r w:rsidR="0061738E">
        <w:rPr>
          <w:rFonts w:ascii="Arial" w:hAnsi="Arial" w:cs="Arial"/>
          <w:sz w:val="20"/>
          <w:szCs w:val="20"/>
        </w:rPr>
        <w:t>2</w:t>
      </w:r>
      <w:r w:rsidR="005B7545">
        <w:rPr>
          <w:rFonts w:ascii="Arial" w:hAnsi="Arial" w:cs="Arial"/>
          <w:sz w:val="20"/>
          <w:szCs w:val="20"/>
        </w:rPr>
        <w:t>)</w:t>
      </w:r>
      <w:r>
        <w:rPr>
          <w:rFonts w:ascii="Arial" w:hAnsi="Arial" w:cs="Arial"/>
          <w:sz w:val="20"/>
          <w:szCs w:val="20"/>
        </w:rPr>
        <w:t xml:space="preserve"> revealed that good advice could be found in all law schools, though </w:t>
      </w:r>
      <w:r w:rsidR="00A55892">
        <w:rPr>
          <w:rFonts w:ascii="Arial" w:hAnsi="Arial" w:cs="Arial"/>
          <w:sz w:val="20"/>
          <w:szCs w:val="20"/>
        </w:rPr>
        <w:t xml:space="preserve">those </w:t>
      </w:r>
      <w:r w:rsidR="002B47F6">
        <w:rPr>
          <w:rFonts w:ascii="Arial" w:hAnsi="Arial" w:cs="Arial"/>
          <w:sz w:val="20"/>
          <w:szCs w:val="20"/>
        </w:rPr>
        <w:t>i</w:t>
      </w:r>
      <w:r w:rsidR="00992F21">
        <w:rPr>
          <w:rFonts w:ascii="Arial" w:hAnsi="Arial" w:cs="Arial"/>
          <w:sz w:val="20"/>
          <w:szCs w:val="20"/>
        </w:rPr>
        <w:t>n RG univers</w:t>
      </w:r>
      <w:r w:rsidR="002B47F6">
        <w:rPr>
          <w:rFonts w:ascii="Arial" w:hAnsi="Arial" w:cs="Arial"/>
          <w:sz w:val="20"/>
          <w:szCs w:val="20"/>
        </w:rPr>
        <w:t>ities</w:t>
      </w:r>
      <w:r w:rsidR="00A55892">
        <w:rPr>
          <w:rFonts w:ascii="Arial" w:hAnsi="Arial" w:cs="Arial"/>
          <w:sz w:val="20"/>
          <w:szCs w:val="20"/>
        </w:rPr>
        <w:t xml:space="preserve"> were often better positioned</w:t>
      </w:r>
      <w:r w:rsidR="002B47F6">
        <w:rPr>
          <w:rFonts w:ascii="Arial" w:hAnsi="Arial" w:cs="Arial"/>
          <w:sz w:val="20"/>
          <w:szCs w:val="20"/>
        </w:rPr>
        <w:t xml:space="preserve">. </w:t>
      </w:r>
    </w:p>
    <w:p w14:paraId="5675437A" w14:textId="77777777" w:rsidR="00362F4A" w:rsidRDefault="00362F4A" w:rsidP="00E51F2A">
      <w:pPr>
        <w:spacing w:line="480" w:lineRule="auto"/>
        <w:rPr>
          <w:rFonts w:ascii="Arial" w:hAnsi="Arial" w:cs="Arial"/>
          <w:sz w:val="20"/>
          <w:szCs w:val="20"/>
        </w:rPr>
      </w:pPr>
    </w:p>
    <w:p w14:paraId="2A191034" w14:textId="15B445A5" w:rsidR="00FA36F2" w:rsidRDefault="00BF79C9" w:rsidP="00E51F2A">
      <w:pPr>
        <w:spacing w:line="480" w:lineRule="auto"/>
        <w:rPr>
          <w:rFonts w:ascii="Arial" w:hAnsi="Arial" w:cs="Arial"/>
          <w:sz w:val="20"/>
          <w:szCs w:val="20"/>
        </w:rPr>
      </w:pPr>
      <w:r w:rsidRPr="00BF79C9">
        <w:rPr>
          <w:rFonts w:ascii="Arial" w:hAnsi="Arial" w:cs="Arial"/>
          <w:noProof/>
          <w:sz w:val="20"/>
          <w:szCs w:val="20"/>
          <w:lang w:eastAsia="en-GB"/>
        </w:rPr>
        <w:lastRenderedPageBreak/>
        <mc:AlternateContent>
          <mc:Choice Requires="wps">
            <w:drawing>
              <wp:anchor distT="0" distB="0" distL="114300" distR="114300" simplePos="0" relativeHeight="251671552" behindDoc="0" locked="0" layoutInCell="1" allowOverlap="1" wp14:anchorId="3FE076ED" wp14:editId="75085E14">
                <wp:simplePos x="0" y="0"/>
                <wp:positionH relativeFrom="column">
                  <wp:posOffset>4401820</wp:posOffset>
                </wp:positionH>
                <wp:positionV relativeFrom="paragraph">
                  <wp:posOffset>2913188</wp:posOffset>
                </wp:positionV>
                <wp:extent cx="340241" cy="233916"/>
                <wp:effectExtent l="0" t="0" r="317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41" cy="233916"/>
                        </a:xfrm>
                        <a:prstGeom prst="rect">
                          <a:avLst/>
                        </a:prstGeom>
                        <a:solidFill>
                          <a:srgbClr val="FFFFFF"/>
                        </a:solidFill>
                        <a:ln w="9525">
                          <a:noFill/>
                          <a:miter lim="800000"/>
                          <a:headEnd/>
                          <a:tailEnd/>
                        </a:ln>
                      </wps:spPr>
                      <wps:txbx>
                        <w:txbxContent>
                          <w:p w14:paraId="4C5E690B" w14:textId="7D3C6D46" w:rsidR="007B1D1B" w:rsidRPr="00BF79C9" w:rsidRDefault="007B1D1B">
                            <w:pPr>
                              <w:rPr>
                                <w:rFonts w:ascii="Arial" w:hAnsi="Arial" w:cs="Arial"/>
                                <w:b/>
                                <w:sz w:val="16"/>
                                <w:szCs w:val="16"/>
                              </w:rPr>
                            </w:pPr>
                            <w:r w:rsidRPr="00BF79C9">
                              <w:rPr>
                                <w:rFonts w:ascii="Arial" w:hAnsi="Arial" w:cs="Arial"/>
                                <w:b/>
                                <w:sz w:val="16"/>
                                <w:szCs w:val="16"/>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FE076ED" id="_x0000_s1031" type="#_x0000_t202" style="position:absolute;margin-left:346.6pt;margin-top:229.4pt;width:26.8pt;height:1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" stroked="f">
                <v:textbox>
                  <w:txbxContent>
                    <w:p w14:paraId="4C5E690B" w14:textId="7D3C6D46" w:rsidR="007B1D1B" w:rsidRPr="00BF79C9" w:rsidRDefault="007B1D1B">
                      <w:pPr>
                        <w:rPr>
                          <w:rFonts w:ascii="Arial" w:hAnsi="Arial" w:cs="Arial"/>
                          <w:b/>
                          <w:sz w:val="16"/>
                          <w:szCs w:val="16"/>
                        </w:rPr>
                      </w:pPr>
                      <w:r w:rsidRPr="00BF79C9">
                        <w:rPr>
                          <w:rFonts w:ascii="Arial" w:hAnsi="Arial" w:cs="Arial"/>
                          <w:b/>
                          <w:sz w:val="16"/>
                          <w:szCs w:val="16"/>
                        </w:rPr>
                        <w:t>=n</w:t>
                      </w:r>
                    </w:p>
                  </w:txbxContent>
                </v:textbox>
              </v:shape>
            </w:pict>
          </mc:Fallback>
        </mc:AlternateContent>
      </w:r>
      <w:r w:rsidR="005D0C53">
        <w:rPr>
          <w:rFonts w:ascii="Arial" w:hAnsi="Arial" w:cs="Arial"/>
          <w:noProof/>
          <w:sz w:val="20"/>
          <w:szCs w:val="20"/>
          <w:lang w:eastAsia="en-GB"/>
        </w:rPr>
        <w:drawing>
          <wp:inline distT="0" distB="0" distL="0" distR="0" wp14:anchorId="56F49B35" wp14:editId="638C4AF0">
            <wp:extent cx="5486400" cy="32004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E8F54BD" w14:textId="77777777" w:rsidR="00FA36F2" w:rsidRDefault="00FA36F2" w:rsidP="00E51F2A">
      <w:pPr>
        <w:spacing w:line="480" w:lineRule="auto"/>
        <w:rPr>
          <w:rFonts w:ascii="Arial" w:hAnsi="Arial" w:cs="Arial"/>
          <w:sz w:val="20"/>
          <w:szCs w:val="20"/>
        </w:rPr>
      </w:pPr>
    </w:p>
    <w:p w14:paraId="74F3E667" w14:textId="5AAE9C33" w:rsidR="00E227CA" w:rsidRDefault="002007B7" w:rsidP="00E51F2A">
      <w:pPr>
        <w:spacing w:line="480" w:lineRule="auto"/>
        <w:rPr>
          <w:rFonts w:ascii="Arial" w:hAnsi="Arial" w:cs="Arial"/>
          <w:sz w:val="20"/>
          <w:szCs w:val="20"/>
        </w:rPr>
      </w:pPr>
      <w:r>
        <w:rPr>
          <w:rFonts w:ascii="Arial" w:hAnsi="Arial" w:cs="Arial"/>
          <w:sz w:val="20"/>
          <w:szCs w:val="20"/>
        </w:rPr>
        <w:t>Secondly,</w:t>
      </w:r>
      <w:r w:rsidR="00B0789E">
        <w:rPr>
          <w:rFonts w:ascii="Arial" w:hAnsi="Arial" w:cs="Arial"/>
          <w:sz w:val="20"/>
          <w:szCs w:val="20"/>
        </w:rPr>
        <w:t xml:space="preserve"> staff training</w:t>
      </w:r>
      <w:r>
        <w:rPr>
          <w:rFonts w:ascii="Arial" w:hAnsi="Arial" w:cs="Arial"/>
          <w:sz w:val="20"/>
          <w:szCs w:val="20"/>
        </w:rPr>
        <w:t xml:space="preserve"> and development were explored</w:t>
      </w:r>
      <w:r w:rsidR="00B0789E">
        <w:rPr>
          <w:rFonts w:ascii="Arial" w:hAnsi="Arial" w:cs="Arial"/>
          <w:sz w:val="20"/>
          <w:szCs w:val="20"/>
        </w:rPr>
        <w:t xml:space="preserve">. </w:t>
      </w:r>
      <w:r>
        <w:rPr>
          <w:rFonts w:ascii="Arial" w:hAnsi="Arial" w:cs="Arial"/>
          <w:sz w:val="20"/>
          <w:szCs w:val="20"/>
        </w:rPr>
        <w:t>A</w:t>
      </w:r>
      <w:r w:rsidR="00374C8D">
        <w:rPr>
          <w:rFonts w:ascii="Arial" w:hAnsi="Arial" w:cs="Arial"/>
          <w:sz w:val="20"/>
          <w:szCs w:val="20"/>
        </w:rPr>
        <w:t xml:space="preserve">ll law schools </w:t>
      </w:r>
      <w:r>
        <w:rPr>
          <w:rFonts w:ascii="Arial" w:hAnsi="Arial" w:cs="Arial"/>
          <w:sz w:val="20"/>
          <w:szCs w:val="20"/>
        </w:rPr>
        <w:t xml:space="preserve">had access to university </w:t>
      </w:r>
      <w:r w:rsidR="00374C8D">
        <w:rPr>
          <w:rFonts w:ascii="Arial" w:hAnsi="Arial" w:cs="Arial"/>
          <w:sz w:val="20"/>
          <w:szCs w:val="20"/>
        </w:rPr>
        <w:t xml:space="preserve">training </w:t>
      </w:r>
      <w:r>
        <w:rPr>
          <w:rFonts w:ascii="Arial" w:hAnsi="Arial" w:cs="Arial"/>
          <w:sz w:val="20"/>
          <w:szCs w:val="20"/>
        </w:rPr>
        <w:t xml:space="preserve">on </w:t>
      </w:r>
      <w:r w:rsidR="00374C8D">
        <w:rPr>
          <w:rFonts w:ascii="Arial" w:hAnsi="Arial" w:cs="Arial"/>
          <w:sz w:val="20"/>
          <w:szCs w:val="20"/>
        </w:rPr>
        <w:t>impact skills and strategies generally</w:t>
      </w:r>
      <w:r>
        <w:rPr>
          <w:rFonts w:ascii="Arial" w:hAnsi="Arial" w:cs="Arial"/>
          <w:sz w:val="20"/>
          <w:szCs w:val="20"/>
        </w:rPr>
        <w:t xml:space="preserve">, but government engagement was not a regular focus. </w:t>
      </w:r>
      <w:r w:rsidR="00E227CA">
        <w:rPr>
          <w:rFonts w:ascii="Arial" w:hAnsi="Arial" w:cs="Arial"/>
          <w:sz w:val="20"/>
          <w:szCs w:val="20"/>
        </w:rPr>
        <w:t xml:space="preserve">Outside the RG, </w:t>
      </w:r>
      <w:r w:rsidR="0003049D">
        <w:rPr>
          <w:rFonts w:ascii="Arial" w:hAnsi="Arial" w:cs="Arial"/>
          <w:sz w:val="20"/>
          <w:szCs w:val="20"/>
        </w:rPr>
        <w:t xml:space="preserve">7 out of 24 respondents chose the option of </w:t>
      </w:r>
      <w:r>
        <w:rPr>
          <w:rFonts w:ascii="Arial" w:hAnsi="Arial" w:cs="Arial"/>
          <w:sz w:val="20"/>
          <w:szCs w:val="20"/>
        </w:rPr>
        <w:t>‘an occasional or ad hoc session’ with substantial attention to government</w:t>
      </w:r>
      <w:r w:rsidR="0003049D">
        <w:rPr>
          <w:rFonts w:ascii="Arial" w:hAnsi="Arial" w:cs="Arial"/>
          <w:sz w:val="20"/>
          <w:szCs w:val="20"/>
        </w:rPr>
        <w:t>, and another 9 reported that</w:t>
      </w:r>
      <w:r>
        <w:rPr>
          <w:rFonts w:ascii="Arial" w:hAnsi="Arial" w:cs="Arial"/>
          <w:sz w:val="20"/>
          <w:szCs w:val="20"/>
        </w:rPr>
        <w:t xml:space="preserve"> such a session had run </w:t>
      </w:r>
      <w:r w:rsidR="00FF4FD1">
        <w:rPr>
          <w:rFonts w:ascii="Arial" w:hAnsi="Arial" w:cs="Arial"/>
          <w:sz w:val="20"/>
          <w:szCs w:val="20"/>
        </w:rPr>
        <w:t>‘</w:t>
      </w:r>
      <w:r w:rsidR="00E227CA">
        <w:rPr>
          <w:rFonts w:ascii="Arial" w:hAnsi="Arial" w:cs="Arial"/>
          <w:sz w:val="20"/>
          <w:szCs w:val="20"/>
        </w:rPr>
        <w:t>rarely or never in the last five years</w:t>
      </w:r>
      <w:r w:rsidR="00FF4FD1">
        <w:rPr>
          <w:rFonts w:ascii="Arial" w:hAnsi="Arial" w:cs="Arial"/>
          <w:sz w:val="20"/>
          <w:szCs w:val="20"/>
        </w:rPr>
        <w:t>’</w:t>
      </w:r>
      <w:r>
        <w:rPr>
          <w:rFonts w:ascii="Arial" w:hAnsi="Arial" w:cs="Arial"/>
          <w:sz w:val="20"/>
          <w:szCs w:val="20"/>
        </w:rPr>
        <w:t xml:space="preserve"> </w:t>
      </w:r>
      <w:r w:rsidR="00E227CA">
        <w:rPr>
          <w:rFonts w:ascii="Arial" w:hAnsi="Arial" w:cs="Arial"/>
          <w:sz w:val="20"/>
          <w:szCs w:val="20"/>
        </w:rPr>
        <w:t>.</w:t>
      </w:r>
    </w:p>
    <w:p w14:paraId="4484792B" w14:textId="77777777" w:rsidR="00406D25" w:rsidRDefault="00406D25" w:rsidP="00E51F2A">
      <w:pPr>
        <w:spacing w:line="480" w:lineRule="auto"/>
        <w:rPr>
          <w:rFonts w:ascii="Arial" w:hAnsi="Arial" w:cs="Arial"/>
          <w:sz w:val="20"/>
          <w:szCs w:val="20"/>
        </w:rPr>
      </w:pPr>
    </w:p>
    <w:p w14:paraId="4B5A3A0B" w14:textId="7A36779F" w:rsidR="00374C8D" w:rsidRPr="004A0A09" w:rsidRDefault="003A3295" w:rsidP="00E51F2A">
      <w:pPr>
        <w:pStyle w:val="ListParagraph"/>
        <w:numPr>
          <w:ilvl w:val="0"/>
          <w:numId w:val="15"/>
        </w:numPr>
        <w:spacing w:line="480" w:lineRule="auto"/>
        <w:rPr>
          <w:rFonts w:ascii="Arial" w:hAnsi="Arial" w:cs="Arial"/>
          <w:b/>
          <w:sz w:val="20"/>
          <w:szCs w:val="20"/>
        </w:rPr>
      </w:pPr>
      <w:r w:rsidRPr="004A0A09">
        <w:rPr>
          <w:rFonts w:ascii="Arial" w:hAnsi="Arial" w:cs="Arial"/>
          <w:b/>
          <w:sz w:val="20"/>
          <w:szCs w:val="20"/>
        </w:rPr>
        <w:t>Government outreach</w:t>
      </w:r>
    </w:p>
    <w:p w14:paraId="504606DA" w14:textId="046533D2" w:rsidR="0075295F" w:rsidRDefault="00124070">
      <w:pPr>
        <w:spacing w:line="480" w:lineRule="auto"/>
        <w:rPr>
          <w:rFonts w:ascii="Arial" w:hAnsi="Arial" w:cs="Arial"/>
          <w:sz w:val="20"/>
          <w:szCs w:val="20"/>
        </w:rPr>
      </w:pPr>
      <w:r>
        <w:rPr>
          <w:rFonts w:ascii="Arial" w:hAnsi="Arial" w:cs="Arial"/>
          <w:sz w:val="20"/>
          <w:szCs w:val="20"/>
        </w:rPr>
        <w:t>To what extent does gove</w:t>
      </w:r>
      <w:r w:rsidR="00A4445B">
        <w:rPr>
          <w:rFonts w:ascii="Arial" w:hAnsi="Arial" w:cs="Arial"/>
          <w:sz w:val="20"/>
          <w:szCs w:val="20"/>
        </w:rPr>
        <w:t xml:space="preserve">rnment make itself accessible? </w:t>
      </w:r>
      <w:r w:rsidR="00556820">
        <w:rPr>
          <w:rFonts w:ascii="Arial" w:hAnsi="Arial" w:cs="Arial"/>
          <w:sz w:val="20"/>
          <w:szCs w:val="20"/>
        </w:rPr>
        <w:t xml:space="preserve">The issue of access and identifying the right people, which the researcher survey had revealed to be so problematic, was explored in several questions. Only around 27% of respondents said they were aware of a department or agency that had </w:t>
      </w:r>
      <w:r w:rsidR="00FC7EB0">
        <w:rPr>
          <w:rFonts w:ascii="Arial" w:hAnsi="Arial" w:cs="Arial"/>
          <w:sz w:val="20"/>
          <w:szCs w:val="20"/>
        </w:rPr>
        <w:t>‘</w:t>
      </w:r>
      <w:r w:rsidR="00556820">
        <w:rPr>
          <w:rFonts w:ascii="Arial" w:hAnsi="Arial" w:cs="Arial"/>
          <w:sz w:val="20"/>
          <w:szCs w:val="20"/>
        </w:rPr>
        <w:t>good information and clear contact points that would enable an academic to bring research to the attention of relevant people</w:t>
      </w:r>
      <w:r w:rsidR="00FC7EB0">
        <w:rPr>
          <w:rFonts w:ascii="Arial" w:hAnsi="Arial" w:cs="Arial"/>
          <w:sz w:val="20"/>
          <w:szCs w:val="20"/>
        </w:rPr>
        <w:t xml:space="preserve">’. Most respondents reported that ‘maybe once a year’ or a little less often a programme would include a government speaker who would speak to how academic work could inform government and what government needed. </w:t>
      </w:r>
    </w:p>
    <w:p w14:paraId="3981B0AB" w14:textId="77777777" w:rsidR="00BF2EED" w:rsidRDefault="00BF2EED">
      <w:pPr>
        <w:spacing w:line="480" w:lineRule="auto"/>
        <w:rPr>
          <w:rFonts w:ascii="Arial" w:hAnsi="Arial" w:cs="Arial"/>
          <w:sz w:val="20"/>
          <w:szCs w:val="20"/>
        </w:rPr>
      </w:pPr>
    </w:p>
    <w:p w14:paraId="772D43D6" w14:textId="7F7ED42F" w:rsidR="00B0789E" w:rsidRDefault="00896F74" w:rsidP="00E51F2A">
      <w:pPr>
        <w:spacing w:line="480" w:lineRule="auto"/>
        <w:rPr>
          <w:rFonts w:ascii="Arial" w:hAnsi="Arial" w:cs="Arial"/>
          <w:sz w:val="20"/>
          <w:szCs w:val="20"/>
        </w:rPr>
      </w:pPr>
      <w:r>
        <w:rPr>
          <w:rFonts w:ascii="Arial" w:hAnsi="Arial" w:cs="Arial"/>
          <w:sz w:val="20"/>
          <w:szCs w:val="20"/>
        </w:rPr>
        <w:t xml:space="preserve">Prompted by a comparison with the resources available to journalists, </w:t>
      </w:r>
      <w:r w:rsidR="0009395B">
        <w:rPr>
          <w:rFonts w:ascii="Arial" w:hAnsi="Arial" w:cs="Arial"/>
          <w:sz w:val="20"/>
          <w:szCs w:val="20"/>
        </w:rPr>
        <w:t>who can readily access</w:t>
      </w:r>
      <w:r>
        <w:rPr>
          <w:rFonts w:ascii="Arial" w:hAnsi="Arial" w:cs="Arial"/>
          <w:sz w:val="20"/>
          <w:szCs w:val="20"/>
        </w:rPr>
        <w:t xml:space="preserve"> </w:t>
      </w:r>
      <w:r w:rsidR="00EE6375">
        <w:rPr>
          <w:rFonts w:ascii="Arial" w:hAnsi="Arial" w:cs="Arial"/>
          <w:sz w:val="20"/>
          <w:szCs w:val="20"/>
        </w:rPr>
        <w:t xml:space="preserve">media contacts for every government department and agency, </w:t>
      </w:r>
      <w:r>
        <w:rPr>
          <w:rFonts w:ascii="Arial" w:hAnsi="Arial" w:cs="Arial"/>
          <w:sz w:val="20"/>
          <w:szCs w:val="20"/>
        </w:rPr>
        <w:t xml:space="preserve">respondents were asked two questions about whether a source that provided systematic access </w:t>
      </w:r>
      <w:r w:rsidR="00824E8E">
        <w:rPr>
          <w:rFonts w:ascii="Arial" w:hAnsi="Arial" w:cs="Arial"/>
          <w:sz w:val="20"/>
          <w:szCs w:val="20"/>
        </w:rPr>
        <w:t>could be useful for academics.</w:t>
      </w:r>
      <w:r w:rsidR="00EE6375">
        <w:rPr>
          <w:rFonts w:ascii="Arial" w:hAnsi="Arial" w:cs="Arial"/>
          <w:sz w:val="20"/>
          <w:szCs w:val="20"/>
        </w:rPr>
        <w:t xml:space="preserve"> </w:t>
      </w:r>
    </w:p>
    <w:p w14:paraId="2405C9E0" w14:textId="77777777" w:rsidR="00B0789E" w:rsidRPr="00824E8E" w:rsidRDefault="00EE6375" w:rsidP="00824E8E">
      <w:pPr>
        <w:spacing w:line="480" w:lineRule="auto"/>
        <w:ind w:left="360"/>
        <w:rPr>
          <w:rFonts w:ascii="Arial" w:hAnsi="Arial" w:cs="Arial"/>
          <w:i/>
          <w:sz w:val="20"/>
          <w:szCs w:val="20"/>
        </w:rPr>
      </w:pPr>
      <w:r w:rsidRPr="00EE6375">
        <w:rPr>
          <w:rFonts w:ascii="Arial" w:hAnsi="Arial" w:cs="Arial"/>
          <w:i/>
          <w:sz w:val="20"/>
          <w:szCs w:val="20"/>
        </w:rPr>
        <w:lastRenderedPageBreak/>
        <w:t>Are you aware of a list of contacts for HMG government departments &amp; agencies (or a devolved government &amp; agencies) that is available to academics wanting to bring research to the attention of</w:t>
      </w:r>
      <w:r>
        <w:rPr>
          <w:rFonts w:ascii="Arial" w:hAnsi="Arial" w:cs="Arial"/>
          <w:i/>
          <w:sz w:val="20"/>
          <w:szCs w:val="20"/>
        </w:rPr>
        <w:t xml:space="preserve"> </w:t>
      </w:r>
      <w:r w:rsidRPr="00EE6375">
        <w:rPr>
          <w:rFonts w:ascii="Arial" w:hAnsi="Arial" w:cs="Arial"/>
          <w:i/>
          <w:sz w:val="20"/>
          <w:szCs w:val="20"/>
        </w:rPr>
        <w:t>Government?</w:t>
      </w:r>
      <w:r w:rsidRPr="00824E8E">
        <w:rPr>
          <w:rFonts w:ascii="Arial" w:hAnsi="Arial" w:cs="Arial"/>
          <w:i/>
          <w:sz w:val="20"/>
          <w:szCs w:val="20"/>
        </w:rPr>
        <w:t xml:space="preserve">  </w:t>
      </w:r>
    </w:p>
    <w:p w14:paraId="5F209510" w14:textId="6D5AFEEF" w:rsidR="00B0789E" w:rsidRDefault="00EE6375" w:rsidP="00E51F2A">
      <w:pPr>
        <w:spacing w:line="480" w:lineRule="auto"/>
        <w:rPr>
          <w:rFonts w:ascii="Arial" w:hAnsi="Arial" w:cs="Arial"/>
          <w:sz w:val="20"/>
          <w:szCs w:val="20"/>
        </w:rPr>
      </w:pPr>
      <w:r>
        <w:rPr>
          <w:rFonts w:ascii="Arial" w:hAnsi="Arial" w:cs="Arial"/>
          <w:sz w:val="20"/>
          <w:szCs w:val="20"/>
        </w:rPr>
        <w:t xml:space="preserve">Three respondents had seen a resource for a single department or agency, but 30 chose the option, </w:t>
      </w:r>
      <w:r w:rsidR="00FF4FD1">
        <w:rPr>
          <w:rFonts w:ascii="Arial" w:hAnsi="Arial" w:cs="Arial"/>
          <w:sz w:val="20"/>
          <w:szCs w:val="20"/>
        </w:rPr>
        <w:t>‘</w:t>
      </w:r>
      <w:r>
        <w:rPr>
          <w:rFonts w:ascii="Arial" w:hAnsi="Arial" w:cs="Arial"/>
          <w:sz w:val="20"/>
          <w:szCs w:val="20"/>
        </w:rPr>
        <w:t>I have not seen any such resource, either consolidated or for a single agency.</w:t>
      </w:r>
      <w:r w:rsidR="00FF4FD1">
        <w:rPr>
          <w:rFonts w:ascii="Arial" w:hAnsi="Arial" w:cs="Arial"/>
          <w:sz w:val="20"/>
          <w:szCs w:val="20"/>
        </w:rPr>
        <w:t>’</w:t>
      </w:r>
      <w:r>
        <w:rPr>
          <w:rFonts w:ascii="Arial" w:hAnsi="Arial" w:cs="Arial"/>
          <w:sz w:val="20"/>
          <w:szCs w:val="20"/>
        </w:rPr>
        <w:t xml:space="preserve"> </w:t>
      </w:r>
      <w:r w:rsidR="00EB1677">
        <w:rPr>
          <w:rFonts w:ascii="Arial" w:hAnsi="Arial" w:cs="Arial"/>
          <w:sz w:val="20"/>
          <w:szCs w:val="20"/>
        </w:rPr>
        <w:t xml:space="preserve">When asked whether such a list would be of use, 65% said ‘very useful’ and the remaining 35% said ‘somewhat useful’. None </w:t>
      </w:r>
      <w:r w:rsidR="00BF2EED">
        <w:rPr>
          <w:rFonts w:ascii="Arial" w:hAnsi="Arial" w:cs="Arial"/>
          <w:sz w:val="20"/>
          <w:szCs w:val="20"/>
        </w:rPr>
        <w:t>s</w:t>
      </w:r>
      <w:r w:rsidR="00EB1677">
        <w:rPr>
          <w:rFonts w:ascii="Arial" w:hAnsi="Arial" w:cs="Arial"/>
          <w:sz w:val="20"/>
          <w:szCs w:val="20"/>
        </w:rPr>
        <w:t>elected the ‘not very useful’ option.</w:t>
      </w:r>
    </w:p>
    <w:p w14:paraId="03094366" w14:textId="706E5E70" w:rsidR="00765389" w:rsidRDefault="00765389" w:rsidP="00E51F2A">
      <w:pPr>
        <w:spacing w:line="480" w:lineRule="auto"/>
        <w:rPr>
          <w:rFonts w:ascii="Arial" w:hAnsi="Arial" w:cs="Arial"/>
          <w:sz w:val="20"/>
          <w:szCs w:val="20"/>
        </w:rPr>
      </w:pPr>
    </w:p>
    <w:p w14:paraId="5529F1BC" w14:textId="21AEA2DA" w:rsidR="00484D9F" w:rsidRPr="004A0A09" w:rsidRDefault="00484D9F" w:rsidP="00B57990">
      <w:pPr>
        <w:pStyle w:val="ListParagraph"/>
        <w:numPr>
          <w:ilvl w:val="0"/>
          <w:numId w:val="15"/>
        </w:numPr>
        <w:spacing w:line="480" w:lineRule="auto"/>
        <w:rPr>
          <w:rFonts w:ascii="Arial" w:hAnsi="Arial" w:cs="Arial"/>
          <w:b/>
          <w:sz w:val="20"/>
          <w:szCs w:val="20"/>
        </w:rPr>
      </w:pPr>
      <w:r w:rsidRPr="004A0A09">
        <w:rPr>
          <w:rFonts w:ascii="Arial" w:hAnsi="Arial" w:cs="Arial"/>
          <w:b/>
          <w:sz w:val="20"/>
          <w:szCs w:val="20"/>
        </w:rPr>
        <w:t>Systems and chance: redressing the imbalance</w:t>
      </w:r>
    </w:p>
    <w:p w14:paraId="230B9E90" w14:textId="3D8AABA6" w:rsidR="005E2732" w:rsidRDefault="00E474A9" w:rsidP="005E2732">
      <w:pPr>
        <w:spacing w:line="480" w:lineRule="auto"/>
        <w:rPr>
          <w:rFonts w:ascii="Arial" w:hAnsi="Arial" w:cs="Arial"/>
          <w:sz w:val="20"/>
          <w:szCs w:val="20"/>
        </w:rPr>
      </w:pPr>
      <w:r>
        <w:rPr>
          <w:rFonts w:ascii="Arial" w:hAnsi="Arial" w:cs="Arial"/>
          <w:sz w:val="20"/>
          <w:szCs w:val="20"/>
        </w:rPr>
        <w:t xml:space="preserve">In considering how law schools might balance the role that chance and good fortune seem to play in engagement with governments, results from the survey of research directors are illuminating. </w:t>
      </w:r>
      <w:r w:rsidR="00C37941">
        <w:rPr>
          <w:rFonts w:ascii="Arial" w:hAnsi="Arial" w:cs="Arial"/>
          <w:sz w:val="20"/>
          <w:szCs w:val="20"/>
        </w:rPr>
        <w:t>For example, while successful engagement and impact requires much more than identifying the right contact person, systems enabling academics to identify the right people in government could be vastly improved. Similarly, despite generally v</w:t>
      </w:r>
      <w:r w:rsidR="005E2732">
        <w:rPr>
          <w:rFonts w:ascii="Arial" w:hAnsi="Arial" w:cs="Arial"/>
          <w:sz w:val="20"/>
          <w:szCs w:val="20"/>
        </w:rPr>
        <w:t xml:space="preserve">ery high awareness in law schools of the significance of impact, and substantial resources </w:t>
      </w:r>
      <w:r w:rsidR="00C37941">
        <w:rPr>
          <w:rFonts w:ascii="Arial" w:hAnsi="Arial" w:cs="Arial"/>
          <w:sz w:val="20"/>
          <w:szCs w:val="20"/>
        </w:rPr>
        <w:t xml:space="preserve">that </w:t>
      </w:r>
      <w:r w:rsidR="005E2732">
        <w:rPr>
          <w:rFonts w:ascii="Arial" w:hAnsi="Arial" w:cs="Arial"/>
          <w:sz w:val="20"/>
          <w:szCs w:val="20"/>
        </w:rPr>
        <w:t>are being devoted to increasing impact</w:t>
      </w:r>
      <w:r w:rsidR="00C37941">
        <w:rPr>
          <w:rFonts w:ascii="Arial" w:hAnsi="Arial" w:cs="Arial"/>
          <w:sz w:val="20"/>
          <w:szCs w:val="20"/>
        </w:rPr>
        <w:t>,</w:t>
      </w:r>
      <w:r w:rsidR="005E2732">
        <w:rPr>
          <w:rFonts w:ascii="Arial" w:hAnsi="Arial" w:cs="Arial"/>
          <w:sz w:val="20"/>
          <w:szCs w:val="20"/>
        </w:rPr>
        <w:t xml:space="preserve"> it is not clear that there is concomitant development of systemic improvements in the networks or frameworks that will enhance opportunities for impact in government. However, one significant development has followed the UK government’s acceptance of recommendations of the 2015 Nurse Review of Research Councils.</w:t>
      </w:r>
      <w:r w:rsidR="005E2732">
        <w:rPr>
          <w:rStyle w:val="FootnoteReference"/>
          <w:rFonts w:ascii="Arial" w:hAnsi="Arial" w:cs="Arial"/>
          <w:sz w:val="20"/>
          <w:szCs w:val="20"/>
        </w:rPr>
        <w:footnoteReference w:id="73"/>
      </w:r>
      <w:r w:rsidR="005E2732">
        <w:rPr>
          <w:rFonts w:ascii="Arial" w:hAnsi="Arial" w:cs="Arial"/>
          <w:sz w:val="20"/>
          <w:szCs w:val="20"/>
        </w:rPr>
        <w:t xml:space="preserve"> The recommendation was to provide a more strategic approach to research and development programmes, a more sophisticated dialogue with academia, and documents that set out the most important research questions facing each department.</w:t>
      </w:r>
      <w:r w:rsidR="005E2732">
        <w:rPr>
          <w:rStyle w:val="FootnoteReference"/>
          <w:rFonts w:ascii="Arial" w:hAnsi="Arial" w:cs="Arial"/>
          <w:sz w:val="20"/>
          <w:szCs w:val="20"/>
        </w:rPr>
        <w:footnoteReference w:id="74"/>
      </w:r>
      <w:r w:rsidR="005E2732">
        <w:rPr>
          <w:rFonts w:ascii="Arial" w:hAnsi="Arial" w:cs="Arial"/>
          <w:sz w:val="20"/>
          <w:szCs w:val="20"/>
        </w:rPr>
        <w:t xml:space="preserve"> In May 2017 central government departments began publishing areas of research interest with specific contact details for the department. At the time of writing, over a dozen departments have published such documents.</w:t>
      </w:r>
      <w:r w:rsidR="005E2732">
        <w:rPr>
          <w:rStyle w:val="FootnoteReference"/>
          <w:rFonts w:ascii="Arial" w:hAnsi="Arial" w:cs="Arial"/>
          <w:sz w:val="20"/>
          <w:szCs w:val="20"/>
        </w:rPr>
        <w:footnoteReference w:id="75"/>
      </w:r>
      <w:r w:rsidR="005E2732">
        <w:rPr>
          <w:rFonts w:ascii="Arial" w:hAnsi="Arial" w:cs="Arial"/>
          <w:sz w:val="20"/>
          <w:szCs w:val="20"/>
        </w:rPr>
        <w:t xml:space="preserve"> This </w:t>
      </w:r>
      <w:r w:rsidR="00BF2EED">
        <w:rPr>
          <w:rFonts w:ascii="Arial" w:hAnsi="Arial" w:cs="Arial"/>
          <w:sz w:val="20"/>
          <w:szCs w:val="20"/>
        </w:rPr>
        <w:t xml:space="preserve">is </w:t>
      </w:r>
      <w:r w:rsidR="005E2732">
        <w:rPr>
          <w:rFonts w:ascii="Arial" w:hAnsi="Arial" w:cs="Arial"/>
          <w:sz w:val="20"/>
          <w:szCs w:val="20"/>
        </w:rPr>
        <w:t xml:space="preserve">a welcome, and the survey data suggests, much needed step forward, but it is just a step on a longer path. It remains to be seen what effects these will have.   </w:t>
      </w:r>
    </w:p>
    <w:p w14:paraId="10FE808B" w14:textId="77777777" w:rsidR="00C82B97" w:rsidRPr="00C82B97" w:rsidRDefault="00C82B97" w:rsidP="00C82B97">
      <w:pPr>
        <w:spacing w:line="480" w:lineRule="auto"/>
        <w:rPr>
          <w:rFonts w:ascii="Arial" w:hAnsi="Arial" w:cs="Arial"/>
          <w:sz w:val="20"/>
          <w:szCs w:val="20"/>
        </w:rPr>
      </w:pPr>
    </w:p>
    <w:p w14:paraId="77F46C48" w14:textId="275286DC" w:rsidR="00EE6375" w:rsidRPr="001120B9" w:rsidRDefault="00D07485" w:rsidP="001120B9">
      <w:pPr>
        <w:spacing w:line="480" w:lineRule="auto"/>
        <w:jc w:val="center"/>
        <w:rPr>
          <w:rFonts w:ascii="Arial" w:hAnsi="Arial" w:cs="Arial"/>
          <w:b/>
          <w:sz w:val="24"/>
          <w:szCs w:val="24"/>
        </w:rPr>
      </w:pPr>
      <w:r w:rsidRPr="001120B9">
        <w:rPr>
          <w:rFonts w:ascii="Arial" w:hAnsi="Arial" w:cs="Arial"/>
          <w:b/>
          <w:sz w:val="24"/>
          <w:szCs w:val="24"/>
        </w:rPr>
        <w:lastRenderedPageBreak/>
        <w:t>CONCLUSION</w:t>
      </w:r>
      <w:r w:rsidR="00BD5607" w:rsidRPr="001120B9">
        <w:rPr>
          <w:rFonts w:ascii="Arial" w:hAnsi="Arial" w:cs="Arial"/>
          <w:b/>
          <w:sz w:val="24"/>
          <w:szCs w:val="24"/>
        </w:rPr>
        <w:t>S</w:t>
      </w:r>
    </w:p>
    <w:p w14:paraId="418B2574" w14:textId="26C3F225" w:rsidR="000668B6" w:rsidRDefault="000A4573" w:rsidP="00E51F2A">
      <w:pPr>
        <w:spacing w:line="480" w:lineRule="auto"/>
        <w:rPr>
          <w:rFonts w:ascii="Arial" w:hAnsi="Arial" w:cs="Arial"/>
          <w:sz w:val="20"/>
          <w:szCs w:val="20"/>
        </w:rPr>
      </w:pPr>
      <w:r>
        <w:rPr>
          <w:rFonts w:ascii="Arial" w:hAnsi="Arial" w:cs="Arial"/>
          <w:sz w:val="20"/>
          <w:szCs w:val="20"/>
        </w:rPr>
        <w:t>It is increasingly</w:t>
      </w:r>
      <w:r w:rsidR="00BD5607">
        <w:rPr>
          <w:rFonts w:ascii="Arial" w:hAnsi="Arial" w:cs="Arial"/>
          <w:sz w:val="20"/>
          <w:szCs w:val="20"/>
        </w:rPr>
        <w:t xml:space="preserve"> important that we understand how </w:t>
      </w:r>
      <w:r w:rsidR="001C4F47">
        <w:rPr>
          <w:rFonts w:ascii="Arial" w:hAnsi="Arial" w:cs="Arial"/>
          <w:sz w:val="20"/>
          <w:szCs w:val="20"/>
        </w:rPr>
        <w:t>impact occurs</w:t>
      </w:r>
      <w:r w:rsidR="00C91BDE">
        <w:rPr>
          <w:rFonts w:ascii="Arial" w:hAnsi="Arial" w:cs="Arial"/>
          <w:sz w:val="20"/>
          <w:szCs w:val="20"/>
        </w:rPr>
        <w:t xml:space="preserve"> within our disciplines</w:t>
      </w:r>
      <w:r w:rsidR="001C4F47">
        <w:rPr>
          <w:rFonts w:ascii="Arial" w:hAnsi="Arial" w:cs="Arial"/>
          <w:sz w:val="20"/>
          <w:szCs w:val="20"/>
        </w:rPr>
        <w:t xml:space="preserve">. This article </w:t>
      </w:r>
      <w:r w:rsidR="00BA3C31">
        <w:rPr>
          <w:rFonts w:ascii="Arial" w:hAnsi="Arial" w:cs="Arial"/>
          <w:sz w:val="20"/>
          <w:szCs w:val="20"/>
        </w:rPr>
        <w:t xml:space="preserve">has sought to enhance </w:t>
      </w:r>
      <w:r>
        <w:rPr>
          <w:rFonts w:ascii="Arial" w:hAnsi="Arial" w:cs="Arial"/>
          <w:sz w:val="20"/>
          <w:szCs w:val="20"/>
        </w:rPr>
        <w:t>that</w:t>
      </w:r>
      <w:r w:rsidR="00BA3C31">
        <w:rPr>
          <w:rFonts w:ascii="Arial" w:hAnsi="Arial" w:cs="Arial"/>
          <w:sz w:val="20"/>
          <w:szCs w:val="20"/>
        </w:rPr>
        <w:t xml:space="preserve"> understanding</w:t>
      </w:r>
      <w:r>
        <w:rPr>
          <w:rFonts w:ascii="Arial" w:hAnsi="Arial" w:cs="Arial"/>
          <w:sz w:val="20"/>
          <w:szCs w:val="20"/>
        </w:rPr>
        <w:t xml:space="preserve"> </w:t>
      </w:r>
      <w:r w:rsidR="001C4F47">
        <w:rPr>
          <w:rFonts w:ascii="Arial" w:hAnsi="Arial" w:cs="Arial"/>
          <w:sz w:val="20"/>
          <w:szCs w:val="20"/>
        </w:rPr>
        <w:t>methodologically and substantively</w:t>
      </w:r>
      <w:r w:rsidR="00D07FDE">
        <w:rPr>
          <w:rFonts w:ascii="Arial" w:hAnsi="Arial" w:cs="Arial"/>
          <w:sz w:val="20"/>
          <w:szCs w:val="20"/>
        </w:rPr>
        <w:t xml:space="preserve"> by studying </w:t>
      </w:r>
      <w:r w:rsidR="00C91BDE">
        <w:rPr>
          <w:rFonts w:ascii="Arial" w:hAnsi="Arial" w:cs="Arial"/>
          <w:sz w:val="20"/>
          <w:szCs w:val="20"/>
        </w:rPr>
        <w:t xml:space="preserve">legal </w:t>
      </w:r>
      <w:r w:rsidR="00D07FDE">
        <w:rPr>
          <w:rFonts w:ascii="Arial" w:hAnsi="Arial" w:cs="Arial"/>
          <w:sz w:val="20"/>
          <w:szCs w:val="20"/>
        </w:rPr>
        <w:t>academic</w:t>
      </w:r>
      <w:r w:rsidR="00C91BDE">
        <w:rPr>
          <w:rFonts w:ascii="Arial" w:hAnsi="Arial" w:cs="Arial"/>
          <w:sz w:val="20"/>
          <w:szCs w:val="20"/>
        </w:rPr>
        <w:t>s’</w:t>
      </w:r>
      <w:r w:rsidR="00D07FDE">
        <w:rPr>
          <w:rFonts w:ascii="Arial" w:hAnsi="Arial" w:cs="Arial"/>
          <w:sz w:val="20"/>
          <w:szCs w:val="20"/>
        </w:rPr>
        <w:t xml:space="preserve"> engagement </w:t>
      </w:r>
      <w:r w:rsidR="000668B6">
        <w:rPr>
          <w:rFonts w:ascii="Arial" w:hAnsi="Arial" w:cs="Arial"/>
          <w:sz w:val="20"/>
          <w:szCs w:val="20"/>
        </w:rPr>
        <w:t xml:space="preserve">with UK governments. </w:t>
      </w:r>
      <w:r w:rsidR="006C7CC6">
        <w:rPr>
          <w:rFonts w:ascii="Arial" w:hAnsi="Arial" w:cs="Arial"/>
          <w:sz w:val="20"/>
          <w:szCs w:val="20"/>
        </w:rPr>
        <w:t xml:space="preserve"> </w:t>
      </w:r>
    </w:p>
    <w:p w14:paraId="3D02708C" w14:textId="77777777" w:rsidR="000668B6" w:rsidRDefault="000668B6" w:rsidP="00E51F2A">
      <w:pPr>
        <w:spacing w:line="480" w:lineRule="auto"/>
        <w:rPr>
          <w:rFonts w:ascii="Arial" w:hAnsi="Arial" w:cs="Arial"/>
          <w:sz w:val="20"/>
          <w:szCs w:val="20"/>
        </w:rPr>
      </w:pPr>
    </w:p>
    <w:p w14:paraId="6541419D" w14:textId="167B6C15" w:rsidR="00E666E2" w:rsidRDefault="00E666E2" w:rsidP="00E666E2">
      <w:pPr>
        <w:spacing w:line="480" w:lineRule="auto"/>
        <w:rPr>
          <w:rFonts w:ascii="Arial" w:hAnsi="Arial" w:cs="Arial"/>
          <w:sz w:val="20"/>
          <w:szCs w:val="20"/>
        </w:rPr>
      </w:pPr>
      <w:r>
        <w:rPr>
          <w:rFonts w:ascii="Arial" w:hAnsi="Arial" w:cs="Arial"/>
          <w:sz w:val="20"/>
          <w:szCs w:val="20"/>
        </w:rPr>
        <w:t xml:space="preserve">The inclusion of impact in the REF has in some ways compelled a better understanding of these matters. The best example of this </w:t>
      </w:r>
      <w:r w:rsidR="00565DC9">
        <w:rPr>
          <w:rFonts w:ascii="Arial" w:hAnsi="Arial" w:cs="Arial"/>
          <w:sz w:val="20"/>
          <w:szCs w:val="20"/>
        </w:rPr>
        <w:t xml:space="preserve">is the REF 2021 </w:t>
      </w:r>
      <w:r>
        <w:rPr>
          <w:rFonts w:ascii="Arial" w:hAnsi="Arial" w:cs="Arial"/>
          <w:sz w:val="20"/>
          <w:szCs w:val="20"/>
        </w:rPr>
        <w:t>decoupling of impact from specific outputs</w:t>
      </w:r>
      <w:r w:rsidR="00A2653F">
        <w:rPr>
          <w:rFonts w:ascii="Arial" w:hAnsi="Arial" w:cs="Arial"/>
          <w:sz w:val="20"/>
          <w:szCs w:val="20"/>
        </w:rPr>
        <w:t>.</w:t>
      </w:r>
      <w:r>
        <w:rPr>
          <w:rFonts w:ascii="Arial" w:hAnsi="Arial" w:cs="Arial"/>
          <w:sz w:val="20"/>
          <w:szCs w:val="20"/>
        </w:rPr>
        <w:t xml:space="preserve"> As the experience of law researchers shows, approaches by government were often made not because any specific research was relevant to current policy needs, but because the academic’s expertise meant they were well-placed to address policy questions that government wanted answered. This ‘researcher impact’ – rather than ‘research impact’ – is a crucial dimension of understanding both engagement and impact.</w:t>
      </w:r>
      <w:r w:rsidR="00103627">
        <w:rPr>
          <w:rFonts w:ascii="Arial" w:hAnsi="Arial" w:cs="Arial"/>
          <w:sz w:val="20"/>
          <w:szCs w:val="20"/>
        </w:rPr>
        <w:t xml:space="preserve"> The REF change goes a considerable way towards recognising that</w:t>
      </w:r>
      <w:r w:rsidR="00ED4636">
        <w:rPr>
          <w:rFonts w:ascii="Arial" w:hAnsi="Arial" w:cs="Arial"/>
          <w:sz w:val="20"/>
          <w:szCs w:val="20"/>
        </w:rPr>
        <w:t>,</w:t>
      </w:r>
      <w:r w:rsidR="007F1E1C">
        <w:rPr>
          <w:rFonts w:ascii="Arial" w:hAnsi="Arial" w:cs="Arial"/>
          <w:sz w:val="20"/>
          <w:szCs w:val="20"/>
        </w:rPr>
        <w:t xml:space="preserve"> but the submissions in REF 2021 and further survey work around the ex</w:t>
      </w:r>
      <w:bookmarkStart w:id="0" w:name="_GoBack"/>
      <w:bookmarkEnd w:id="0"/>
      <w:r w:rsidR="007F1E1C">
        <w:rPr>
          <w:rFonts w:ascii="Arial" w:hAnsi="Arial" w:cs="Arial"/>
          <w:sz w:val="20"/>
          <w:szCs w:val="20"/>
        </w:rPr>
        <w:t xml:space="preserve">perience of researchers in undertaking impact and in drafting case studies could be a fruitful source of data to see how effectively this change maps on to the researcher experience. </w:t>
      </w:r>
      <w:r w:rsidR="008D1CCD">
        <w:rPr>
          <w:rFonts w:ascii="Arial" w:hAnsi="Arial" w:cs="Arial"/>
          <w:sz w:val="20"/>
          <w:szCs w:val="20"/>
        </w:rPr>
        <w:t xml:space="preserve"> </w:t>
      </w:r>
    </w:p>
    <w:p w14:paraId="5CB07562" w14:textId="77777777" w:rsidR="00E666E2" w:rsidRDefault="00E666E2" w:rsidP="00E51F2A">
      <w:pPr>
        <w:spacing w:line="480" w:lineRule="auto"/>
        <w:rPr>
          <w:rFonts w:ascii="Arial" w:hAnsi="Arial" w:cs="Arial"/>
          <w:sz w:val="20"/>
          <w:szCs w:val="20"/>
        </w:rPr>
      </w:pPr>
    </w:p>
    <w:p w14:paraId="439F8ECE" w14:textId="72D4B7B6" w:rsidR="00062802" w:rsidRDefault="00605A4B" w:rsidP="00E51F2A">
      <w:pPr>
        <w:spacing w:line="480" w:lineRule="auto"/>
        <w:rPr>
          <w:rFonts w:ascii="Arial" w:hAnsi="Arial" w:cs="Arial"/>
          <w:sz w:val="20"/>
          <w:szCs w:val="20"/>
        </w:rPr>
      </w:pPr>
      <w:r>
        <w:rPr>
          <w:rFonts w:ascii="Arial" w:hAnsi="Arial" w:cs="Arial"/>
          <w:sz w:val="20"/>
          <w:szCs w:val="20"/>
        </w:rPr>
        <w:t>There is much about engagement and impact in law that remains to be understood and addressed. C</w:t>
      </w:r>
      <w:r w:rsidR="000A4573">
        <w:rPr>
          <w:rFonts w:ascii="Arial" w:hAnsi="Arial" w:cs="Arial"/>
          <w:sz w:val="20"/>
          <w:szCs w:val="20"/>
        </w:rPr>
        <w:t xml:space="preserve">hief among the </w:t>
      </w:r>
      <w:r>
        <w:rPr>
          <w:rFonts w:ascii="Arial" w:hAnsi="Arial" w:cs="Arial"/>
          <w:sz w:val="20"/>
          <w:szCs w:val="20"/>
        </w:rPr>
        <w:t>concerns is the extent to which chance plays a role.</w:t>
      </w:r>
      <w:r w:rsidR="00812DBF">
        <w:rPr>
          <w:rFonts w:ascii="Arial" w:hAnsi="Arial" w:cs="Arial"/>
          <w:sz w:val="20"/>
          <w:szCs w:val="20"/>
        </w:rPr>
        <w:t xml:space="preserve"> </w:t>
      </w:r>
      <w:r>
        <w:rPr>
          <w:rFonts w:ascii="Arial" w:hAnsi="Arial" w:cs="Arial"/>
          <w:sz w:val="20"/>
          <w:szCs w:val="20"/>
        </w:rPr>
        <w:t>While t</w:t>
      </w:r>
      <w:r w:rsidR="000668B6">
        <w:rPr>
          <w:rFonts w:ascii="Arial" w:hAnsi="Arial" w:cs="Arial"/>
          <w:sz w:val="20"/>
          <w:szCs w:val="20"/>
        </w:rPr>
        <w:t xml:space="preserve">he respondent researchers </w:t>
      </w:r>
      <w:r w:rsidR="00812DBF">
        <w:rPr>
          <w:rFonts w:ascii="Arial" w:hAnsi="Arial" w:cs="Arial"/>
          <w:sz w:val="20"/>
          <w:szCs w:val="20"/>
        </w:rPr>
        <w:t xml:space="preserve">might have </w:t>
      </w:r>
      <w:r w:rsidR="000668B6">
        <w:rPr>
          <w:rFonts w:ascii="Arial" w:hAnsi="Arial" w:cs="Arial"/>
          <w:sz w:val="20"/>
          <w:szCs w:val="20"/>
        </w:rPr>
        <w:t>underestimate</w:t>
      </w:r>
      <w:r w:rsidR="00812DBF">
        <w:rPr>
          <w:rFonts w:ascii="Arial" w:hAnsi="Arial" w:cs="Arial"/>
          <w:sz w:val="20"/>
          <w:szCs w:val="20"/>
        </w:rPr>
        <w:t>d</w:t>
      </w:r>
      <w:r w:rsidR="000668B6">
        <w:rPr>
          <w:rFonts w:ascii="Arial" w:hAnsi="Arial" w:cs="Arial"/>
          <w:sz w:val="20"/>
          <w:szCs w:val="20"/>
        </w:rPr>
        <w:t xml:space="preserve"> the </w:t>
      </w:r>
      <w:proofErr w:type="gramStart"/>
      <w:r w:rsidR="000668B6">
        <w:rPr>
          <w:rFonts w:ascii="Arial" w:hAnsi="Arial" w:cs="Arial"/>
          <w:sz w:val="20"/>
          <w:szCs w:val="20"/>
        </w:rPr>
        <w:t>extent</w:t>
      </w:r>
      <w:proofErr w:type="gramEnd"/>
      <w:r w:rsidR="000668B6">
        <w:rPr>
          <w:rFonts w:ascii="Arial" w:hAnsi="Arial" w:cs="Arial"/>
          <w:sz w:val="20"/>
          <w:szCs w:val="20"/>
        </w:rPr>
        <w:t xml:space="preserve"> to which their own outreach and energies were important</w:t>
      </w:r>
      <w:r>
        <w:rPr>
          <w:rFonts w:ascii="Arial" w:hAnsi="Arial" w:cs="Arial"/>
          <w:sz w:val="20"/>
          <w:szCs w:val="20"/>
        </w:rPr>
        <w:t xml:space="preserve">, and individuals can and do plan engagement as far as they can, and </w:t>
      </w:r>
      <w:r w:rsidR="00201F9A">
        <w:rPr>
          <w:rFonts w:ascii="Arial" w:hAnsi="Arial" w:cs="Arial"/>
          <w:sz w:val="20"/>
          <w:szCs w:val="20"/>
        </w:rPr>
        <w:t>chance</w:t>
      </w:r>
      <w:r>
        <w:rPr>
          <w:rFonts w:ascii="Arial" w:hAnsi="Arial" w:cs="Arial"/>
          <w:sz w:val="20"/>
          <w:szCs w:val="20"/>
        </w:rPr>
        <w:t xml:space="preserve"> will always </w:t>
      </w:r>
      <w:r w:rsidR="00201F9A">
        <w:rPr>
          <w:rFonts w:ascii="Arial" w:hAnsi="Arial" w:cs="Arial"/>
          <w:sz w:val="20"/>
          <w:szCs w:val="20"/>
        </w:rPr>
        <w:t>be a factor</w:t>
      </w:r>
      <w:r>
        <w:rPr>
          <w:rFonts w:ascii="Arial" w:hAnsi="Arial" w:cs="Arial"/>
          <w:sz w:val="20"/>
          <w:szCs w:val="20"/>
        </w:rPr>
        <w:t>,</w:t>
      </w:r>
      <w:r w:rsidR="000668B6">
        <w:rPr>
          <w:rFonts w:ascii="Arial" w:hAnsi="Arial" w:cs="Arial"/>
          <w:sz w:val="20"/>
          <w:szCs w:val="20"/>
        </w:rPr>
        <w:t xml:space="preserve"> it </w:t>
      </w:r>
      <w:r w:rsidR="00CD4B8E">
        <w:rPr>
          <w:rFonts w:ascii="Arial" w:hAnsi="Arial" w:cs="Arial"/>
          <w:sz w:val="20"/>
          <w:szCs w:val="20"/>
        </w:rPr>
        <w:t>is</w:t>
      </w:r>
      <w:r w:rsidR="000668B6">
        <w:rPr>
          <w:rFonts w:ascii="Arial" w:hAnsi="Arial" w:cs="Arial"/>
          <w:sz w:val="20"/>
          <w:szCs w:val="20"/>
        </w:rPr>
        <w:t xml:space="preserve"> unsatisfactory </w:t>
      </w:r>
      <w:r w:rsidR="00201F9A">
        <w:rPr>
          <w:rFonts w:ascii="Arial" w:hAnsi="Arial" w:cs="Arial"/>
          <w:sz w:val="20"/>
          <w:szCs w:val="20"/>
        </w:rPr>
        <w:t xml:space="preserve">and unnecessary </w:t>
      </w:r>
      <w:r w:rsidR="000668B6">
        <w:rPr>
          <w:rFonts w:ascii="Arial" w:hAnsi="Arial" w:cs="Arial"/>
          <w:sz w:val="20"/>
          <w:szCs w:val="20"/>
        </w:rPr>
        <w:t>that</w:t>
      </w:r>
      <w:r w:rsidR="00812DBF">
        <w:rPr>
          <w:rFonts w:ascii="Arial" w:hAnsi="Arial" w:cs="Arial"/>
          <w:sz w:val="20"/>
          <w:szCs w:val="20"/>
        </w:rPr>
        <w:t xml:space="preserve"> </w:t>
      </w:r>
      <w:r w:rsidR="000668B6">
        <w:rPr>
          <w:rFonts w:ascii="Arial" w:hAnsi="Arial" w:cs="Arial"/>
          <w:sz w:val="20"/>
          <w:szCs w:val="20"/>
        </w:rPr>
        <w:t xml:space="preserve">the prospects of successful engagement and impact are so dependent on </w:t>
      </w:r>
      <w:r>
        <w:rPr>
          <w:rFonts w:ascii="Arial" w:hAnsi="Arial" w:cs="Arial"/>
          <w:sz w:val="20"/>
          <w:szCs w:val="20"/>
        </w:rPr>
        <w:t>good fortune</w:t>
      </w:r>
      <w:r w:rsidR="00D4316B">
        <w:rPr>
          <w:rFonts w:ascii="Arial" w:hAnsi="Arial" w:cs="Arial"/>
          <w:sz w:val="20"/>
          <w:szCs w:val="20"/>
        </w:rPr>
        <w:t>.</w:t>
      </w:r>
      <w:r w:rsidR="00CD4B8E">
        <w:rPr>
          <w:rFonts w:ascii="Arial" w:hAnsi="Arial" w:cs="Arial"/>
          <w:sz w:val="20"/>
          <w:szCs w:val="20"/>
        </w:rPr>
        <w:t xml:space="preserve"> </w:t>
      </w:r>
      <w:r w:rsidR="00812DBF">
        <w:rPr>
          <w:rFonts w:ascii="Arial" w:hAnsi="Arial" w:cs="Arial"/>
          <w:sz w:val="20"/>
          <w:szCs w:val="20"/>
        </w:rPr>
        <w:t>T</w:t>
      </w:r>
      <w:r w:rsidR="00732091">
        <w:rPr>
          <w:rFonts w:ascii="Arial" w:hAnsi="Arial" w:cs="Arial"/>
          <w:sz w:val="20"/>
          <w:szCs w:val="20"/>
        </w:rPr>
        <w:t>he development of clear and</w:t>
      </w:r>
      <w:r w:rsidR="00CD4B8E">
        <w:rPr>
          <w:rFonts w:ascii="Arial" w:hAnsi="Arial" w:cs="Arial"/>
          <w:sz w:val="20"/>
          <w:szCs w:val="20"/>
        </w:rPr>
        <w:t xml:space="preserve"> system</w:t>
      </w:r>
      <w:r w:rsidR="00732091">
        <w:rPr>
          <w:rFonts w:ascii="Arial" w:hAnsi="Arial" w:cs="Arial"/>
          <w:sz w:val="20"/>
          <w:szCs w:val="20"/>
        </w:rPr>
        <w:t>at</w:t>
      </w:r>
      <w:r w:rsidR="00CD4B8E">
        <w:rPr>
          <w:rFonts w:ascii="Arial" w:hAnsi="Arial" w:cs="Arial"/>
          <w:sz w:val="20"/>
          <w:szCs w:val="20"/>
        </w:rPr>
        <w:t>ic pathways between government and academics</w:t>
      </w:r>
      <w:r w:rsidR="00FF520E">
        <w:rPr>
          <w:rFonts w:ascii="Arial" w:hAnsi="Arial" w:cs="Arial"/>
          <w:sz w:val="20"/>
          <w:szCs w:val="20"/>
        </w:rPr>
        <w:t xml:space="preserve"> </w:t>
      </w:r>
      <w:r w:rsidR="00CD4B8E">
        <w:rPr>
          <w:rFonts w:ascii="Arial" w:hAnsi="Arial" w:cs="Arial"/>
          <w:sz w:val="20"/>
          <w:szCs w:val="20"/>
        </w:rPr>
        <w:t>should be a priority for both communities.</w:t>
      </w:r>
      <w:r w:rsidR="00462C11">
        <w:rPr>
          <w:rFonts w:ascii="Arial" w:hAnsi="Arial" w:cs="Arial"/>
          <w:sz w:val="20"/>
          <w:szCs w:val="20"/>
        </w:rPr>
        <w:t xml:space="preserve"> </w:t>
      </w:r>
      <w:r w:rsidR="006E46DF">
        <w:rPr>
          <w:rFonts w:ascii="Arial" w:hAnsi="Arial" w:cs="Arial"/>
          <w:sz w:val="20"/>
          <w:szCs w:val="20"/>
        </w:rPr>
        <w:t xml:space="preserve">The publication of Areas of Research Interest by UK government departments is a positive step, but nobody </w:t>
      </w:r>
      <w:r w:rsidR="007F1E1C">
        <w:rPr>
          <w:rFonts w:ascii="Arial" w:hAnsi="Arial" w:cs="Arial"/>
          <w:sz w:val="20"/>
          <w:szCs w:val="20"/>
        </w:rPr>
        <w:t>c</w:t>
      </w:r>
      <w:r w:rsidR="006E46DF">
        <w:rPr>
          <w:rFonts w:ascii="Arial" w:hAnsi="Arial" w:cs="Arial"/>
          <w:sz w:val="20"/>
          <w:szCs w:val="20"/>
        </w:rPr>
        <w:t xml:space="preserve">ould claim it is a panacea. There is strong evidence that buy-in from government needs to be increased, especially in enabling access and providing evidence of impact for researchers. On the academic side, </w:t>
      </w:r>
      <w:r w:rsidR="00B026AC">
        <w:rPr>
          <w:rFonts w:ascii="Arial" w:hAnsi="Arial" w:cs="Arial"/>
          <w:sz w:val="20"/>
          <w:szCs w:val="20"/>
        </w:rPr>
        <w:t>more work in b</w:t>
      </w:r>
      <w:r w:rsidR="00B026AC">
        <w:rPr>
          <w:rFonts w:ascii="Arial" w:hAnsi="Arial" w:cs="Arial"/>
          <w:sz w:val="20"/>
          <w:szCs w:val="20"/>
        </w:rPr>
        <w:t xml:space="preserve">uilding or using informal legal academic networks that provide a pathway into government departments is </w:t>
      </w:r>
      <w:r w:rsidR="00B026AC">
        <w:rPr>
          <w:rFonts w:ascii="Arial" w:hAnsi="Arial" w:cs="Arial"/>
          <w:sz w:val="20"/>
          <w:szCs w:val="20"/>
        </w:rPr>
        <w:t>a</w:t>
      </w:r>
      <w:r w:rsidR="00B026AC">
        <w:rPr>
          <w:rFonts w:ascii="Arial" w:hAnsi="Arial" w:cs="Arial"/>
          <w:sz w:val="20"/>
          <w:szCs w:val="20"/>
        </w:rPr>
        <w:t xml:space="preserve"> potent</w:t>
      </w:r>
      <w:r w:rsidR="00B026AC">
        <w:rPr>
          <w:rFonts w:ascii="Arial" w:hAnsi="Arial" w:cs="Arial"/>
          <w:sz w:val="20"/>
          <w:szCs w:val="20"/>
        </w:rPr>
        <w:t>ially fruitful avenue, but more systematic approaches are likely to have greater effect</w:t>
      </w:r>
      <w:r w:rsidR="00B026AC">
        <w:rPr>
          <w:rFonts w:ascii="Arial" w:hAnsi="Arial" w:cs="Arial"/>
          <w:sz w:val="20"/>
          <w:szCs w:val="20"/>
        </w:rPr>
        <w:t>.</w:t>
      </w:r>
      <w:r w:rsidR="00B026AC">
        <w:rPr>
          <w:rFonts w:ascii="Arial" w:hAnsi="Arial" w:cs="Arial"/>
          <w:sz w:val="20"/>
          <w:szCs w:val="20"/>
        </w:rPr>
        <w:t xml:space="preserve"> I</w:t>
      </w:r>
      <w:r w:rsidR="006E46DF">
        <w:rPr>
          <w:rFonts w:ascii="Arial" w:hAnsi="Arial" w:cs="Arial"/>
          <w:sz w:val="20"/>
          <w:szCs w:val="20"/>
        </w:rPr>
        <w:t xml:space="preserve">n law, scholarly </w:t>
      </w:r>
      <w:r w:rsidR="0083048F">
        <w:rPr>
          <w:rFonts w:ascii="Arial" w:hAnsi="Arial" w:cs="Arial"/>
          <w:sz w:val="20"/>
          <w:szCs w:val="20"/>
        </w:rPr>
        <w:t>associations might well do more to facilitate government access to expertise.</w:t>
      </w:r>
      <w:r w:rsidR="00A935E7">
        <w:rPr>
          <w:rFonts w:ascii="Arial" w:hAnsi="Arial" w:cs="Arial"/>
          <w:sz w:val="20"/>
          <w:szCs w:val="20"/>
        </w:rPr>
        <w:t xml:space="preserve"> </w:t>
      </w:r>
      <w:r w:rsidR="00E81375">
        <w:rPr>
          <w:rFonts w:ascii="Arial" w:hAnsi="Arial" w:cs="Arial"/>
          <w:sz w:val="20"/>
          <w:szCs w:val="20"/>
        </w:rPr>
        <w:t xml:space="preserve">At a discipline level this would be especially valuable because while universities have outward-facing </w:t>
      </w:r>
      <w:r w:rsidR="00E81375">
        <w:rPr>
          <w:rFonts w:ascii="Arial" w:hAnsi="Arial" w:cs="Arial"/>
          <w:sz w:val="20"/>
          <w:szCs w:val="20"/>
        </w:rPr>
        <w:lastRenderedPageBreak/>
        <w:t xml:space="preserve">expertise databases </w:t>
      </w:r>
      <w:r w:rsidR="00B026AC">
        <w:rPr>
          <w:rFonts w:ascii="Arial" w:hAnsi="Arial" w:cs="Arial"/>
          <w:sz w:val="20"/>
          <w:szCs w:val="20"/>
        </w:rPr>
        <w:t xml:space="preserve">that list their own experts </w:t>
      </w:r>
      <w:r w:rsidR="00E81375">
        <w:rPr>
          <w:rFonts w:ascii="Arial" w:hAnsi="Arial" w:cs="Arial"/>
          <w:sz w:val="20"/>
          <w:szCs w:val="20"/>
        </w:rPr>
        <w:t xml:space="preserve">(often to provide access for journalists seeking comment), there is no </w:t>
      </w:r>
      <w:r w:rsidR="00B026AC">
        <w:rPr>
          <w:rFonts w:ascii="Arial" w:hAnsi="Arial" w:cs="Arial"/>
          <w:sz w:val="20"/>
          <w:szCs w:val="20"/>
        </w:rPr>
        <w:t xml:space="preserve">discipline-based </w:t>
      </w:r>
      <w:r w:rsidR="00E81375">
        <w:rPr>
          <w:rFonts w:ascii="Arial" w:hAnsi="Arial" w:cs="Arial"/>
          <w:sz w:val="20"/>
          <w:szCs w:val="20"/>
        </w:rPr>
        <w:t xml:space="preserve">access point </w:t>
      </w:r>
      <w:r w:rsidR="00B026AC">
        <w:rPr>
          <w:rFonts w:ascii="Arial" w:hAnsi="Arial" w:cs="Arial"/>
          <w:sz w:val="20"/>
          <w:szCs w:val="20"/>
        </w:rPr>
        <w:t>to expertise</w:t>
      </w:r>
      <w:r w:rsidR="00E81375">
        <w:rPr>
          <w:rFonts w:ascii="Arial" w:hAnsi="Arial" w:cs="Arial"/>
          <w:sz w:val="20"/>
          <w:szCs w:val="20"/>
        </w:rPr>
        <w:t>.</w:t>
      </w:r>
      <w:r w:rsidR="00D4316B">
        <w:rPr>
          <w:rFonts w:ascii="Arial" w:hAnsi="Arial" w:cs="Arial"/>
          <w:sz w:val="20"/>
          <w:szCs w:val="20"/>
        </w:rPr>
        <w:t xml:space="preserve"> For exam</w:t>
      </w:r>
      <w:r w:rsidR="00B026AC">
        <w:rPr>
          <w:rFonts w:ascii="Arial" w:hAnsi="Arial" w:cs="Arial"/>
          <w:sz w:val="20"/>
          <w:szCs w:val="20"/>
        </w:rPr>
        <w:t xml:space="preserve">ple, </w:t>
      </w:r>
      <w:r w:rsidR="00D4316B">
        <w:rPr>
          <w:rFonts w:ascii="Arial" w:hAnsi="Arial" w:cs="Arial"/>
          <w:sz w:val="20"/>
          <w:szCs w:val="20"/>
        </w:rPr>
        <w:t>if people in government could access an SLS or SLSA database</w:t>
      </w:r>
      <w:r w:rsidR="00B026AC">
        <w:rPr>
          <w:rFonts w:ascii="Arial" w:hAnsi="Arial" w:cs="Arial"/>
          <w:sz w:val="20"/>
          <w:szCs w:val="20"/>
        </w:rPr>
        <w:t xml:space="preserve"> of academics where expertise is identified by subject area then that is likely to more effectively and efficiently provide government and other research users with a wide, accessible range of relevant experts</w:t>
      </w:r>
      <w:r w:rsidR="00D4316B">
        <w:rPr>
          <w:rFonts w:ascii="Arial" w:hAnsi="Arial" w:cs="Arial"/>
          <w:sz w:val="20"/>
          <w:szCs w:val="20"/>
        </w:rPr>
        <w:t xml:space="preserve">. </w:t>
      </w:r>
    </w:p>
    <w:p w14:paraId="4DD3F040" w14:textId="77777777" w:rsidR="00062802" w:rsidRDefault="00062802" w:rsidP="00E51F2A">
      <w:pPr>
        <w:spacing w:line="480" w:lineRule="auto"/>
        <w:rPr>
          <w:rFonts w:ascii="Arial" w:hAnsi="Arial" w:cs="Arial"/>
          <w:sz w:val="20"/>
          <w:szCs w:val="20"/>
        </w:rPr>
      </w:pPr>
    </w:p>
    <w:p w14:paraId="0E81D1F0" w14:textId="731AA8C0" w:rsidR="00C91BDE" w:rsidRPr="00651668" w:rsidRDefault="00904ABE" w:rsidP="00651668">
      <w:pPr>
        <w:spacing w:line="480" w:lineRule="auto"/>
        <w:rPr>
          <w:rFonts w:ascii="Arial" w:hAnsi="Arial" w:cs="Arial"/>
          <w:sz w:val="20"/>
          <w:szCs w:val="20"/>
        </w:rPr>
      </w:pPr>
      <w:r w:rsidRPr="00651668">
        <w:rPr>
          <w:rFonts w:ascii="Arial" w:hAnsi="Arial" w:cs="Arial"/>
          <w:sz w:val="20"/>
          <w:szCs w:val="20"/>
        </w:rPr>
        <w:t xml:space="preserve">Academic outputs sometimes need to be in formats that suit the needs of research users, </w:t>
      </w:r>
      <w:r w:rsidR="00C37941" w:rsidRPr="00651668">
        <w:rPr>
          <w:rFonts w:ascii="Arial" w:hAnsi="Arial" w:cs="Arial"/>
          <w:sz w:val="20"/>
          <w:szCs w:val="20"/>
        </w:rPr>
        <w:t xml:space="preserve">and may need to address policy issues of importance to government, </w:t>
      </w:r>
      <w:r w:rsidRPr="00651668">
        <w:rPr>
          <w:rFonts w:ascii="Arial" w:hAnsi="Arial" w:cs="Arial"/>
          <w:sz w:val="20"/>
          <w:szCs w:val="20"/>
        </w:rPr>
        <w:t xml:space="preserve">if they are to have impact. </w:t>
      </w:r>
      <w:r w:rsidR="0037000B">
        <w:rPr>
          <w:rFonts w:ascii="Arial" w:hAnsi="Arial" w:cs="Arial"/>
          <w:sz w:val="20"/>
          <w:szCs w:val="20"/>
        </w:rPr>
        <w:t>Both t</w:t>
      </w:r>
      <w:r w:rsidR="00C37941" w:rsidRPr="00651668">
        <w:rPr>
          <w:rFonts w:ascii="Arial" w:hAnsi="Arial" w:cs="Arial"/>
          <w:sz w:val="20"/>
          <w:szCs w:val="20"/>
        </w:rPr>
        <w:t>hese problems are well-recognised in the literature. As Stevens has noted, with so much material available – an ‘oversaturation of evidence’ – and much academic work not suitable for answering policy questions, it is likely that these are among the reasons why engagement could be less than expected or less than possible.</w:t>
      </w:r>
      <w:r w:rsidR="00C37941">
        <w:rPr>
          <w:rStyle w:val="FootnoteReference"/>
          <w:rFonts w:ascii="Arial" w:hAnsi="Arial" w:cs="Arial"/>
          <w:sz w:val="20"/>
          <w:szCs w:val="20"/>
        </w:rPr>
        <w:footnoteReference w:id="76"/>
      </w:r>
      <w:r w:rsidR="00651668" w:rsidRPr="00651668">
        <w:rPr>
          <w:rFonts w:ascii="Arial" w:hAnsi="Arial" w:cs="Arial"/>
          <w:sz w:val="20"/>
          <w:szCs w:val="20"/>
        </w:rPr>
        <w:t xml:space="preserve"> Addressing this issue</w:t>
      </w:r>
      <w:r w:rsidRPr="00651668">
        <w:rPr>
          <w:rFonts w:ascii="Arial" w:hAnsi="Arial" w:cs="Arial"/>
          <w:sz w:val="20"/>
          <w:szCs w:val="20"/>
        </w:rPr>
        <w:t xml:space="preserve"> may require significant time and perhaps also </w:t>
      </w:r>
      <w:r w:rsidR="008D1CCD" w:rsidRPr="00651668">
        <w:rPr>
          <w:rFonts w:ascii="Arial" w:hAnsi="Arial" w:cs="Arial"/>
          <w:sz w:val="20"/>
          <w:szCs w:val="20"/>
        </w:rPr>
        <w:t xml:space="preserve">further </w:t>
      </w:r>
      <w:r w:rsidRPr="00651668">
        <w:rPr>
          <w:rFonts w:ascii="Arial" w:hAnsi="Arial" w:cs="Arial"/>
          <w:sz w:val="20"/>
          <w:szCs w:val="20"/>
        </w:rPr>
        <w:t xml:space="preserve">development or a new application of findings to make them more directly policy-relevant. </w:t>
      </w:r>
      <w:r w:rsidR="006E46DF" w:rsidRPr="00651668">
        <w:rPr>
          <w:rFonts w:ascii="Arial" w:hAnsi="Arial" w:cs="Arial"/>
          <w:sz w:val="20"/>
          <w:szCs w:val="20"/>
        </w:rPr>
        <w:t>Th</w:t>
      </w:r>
      <w:r w:rsidR="00A53801" w:rsidRPr="00651668">
        <w:rPr>
          <w:rFonts w:ascii="Arial" w:hAnsi="Arial" w:cs="Arial"/>
          <w:sz w:val="20"/>
          <w:szCs w:val="20"/>
        </w:rPr>
        <w:t>ere is a need</w:t>
      </w:r>
      <w:r w:rsidR="006E46DF" w:rsidRPr="00651668">
        <w:rPr>
          <w:rFonts w:ascii="Arial" w:hAnsi="Arial" w:cs="Arial"/>
          <w:sz w:val="20"/>
          <w:szCs w:val="20"/>
        </w:rPr>
        <w:t>, though,</w:t>
      </w:r>
      <w:r w:rsidR="00A53801" w:rsidRPr="00651668">
        <w:rPr>
          <w:rFonts w:ascii="Arial" w:hAnsi="Arial" w:cs="Arial"/>
          <w:sz w:val="20"/>
          <w:szCs w:val="20"/>
        </w:rPr>
        <w:t xml:space="preserve"> to be cautious and aware of the burden on users and the possibility of user fatigue; increased burdens and </w:t>
      </w:r>
      <w:r w:rsidR="00155B2C">
        <w:rPr>
          <w:rFonts w:ascii="Arial" w:hAnsi="Arial" w:cs="Arial"/>
          <w:sz w:val="20"/>
          <w:szCs w:val="20"/>
        </w:rPr>
        <w:t xml:space="preserve">poorly </w:t>
      </w:r>
      <w:r w:rsidR="00A53801" w:rsidRPr="00651668">
        <w:rPr>
          <w:rFonts w:ascii="Arial" w:hAnsi="Arial" w:cs="Arial"/>
          <w:sz w:val="20"/>
          <w:szCs w:val="20"/>
        </w:rPr>
        <w:t xml:space="preserve">directed engagement attempts may risk disengagement with the academic community or </w:t>
      </w:r>
      <w:r w:rsidR="006E46DF" w:rsidRPr="00651668">
        <w:rPr>
          <w:rFonts w:ascii="Arial" w:hAnsi="Arial" w:cs="Arial"/>
          <w:sz w:val="20"/>
          <w:szCs w:val="20"/>
        </w:rPr>
        <w:t xml:space="preserve">increase </w:t>
      </w:r>
      <w:r w:rsidR="00A53801" w:rsidRPr="00651668">
        <w:rPr>
          <w:rFonts w:ascii="Arial" w:hAnsi="Arial" w:cs="Arial"/>
          <w:sz w:val="20"/>
          <w:szCs w:val="20"/>
        </w:rPr>
        <w:t>gatekeeping that makes access to government more difficult.</w:t>
      </w:r>
      <w:r w:rsidR="00F30131" w:rsidRPr="00651668">
        <w:rPr>
          <w:rFonts w:ascii="Arial" w:hAnsi="Arial" w:cs="Arial"/>
          <w:sz w:val="20"/>
          <w:szCs w:val="20"/>
        </w:rPr>
        <w:t xml:space="preserve"> </w:t>
      </w:r>
    </w:p>
    <w:p w14:paraId="46FA619D" w14:textId="77777777" w:rsidR="00A30DF1" w:rsidRDefault="00A30DF1" w:rsidP="00E51F2A">
      <w:pPr>
        <w:spacing w:line="480" w:lineRule="auto"/>
        <w:rPr>
          <w:rFonts w:ascii="Arial" w:hAnsi="Arial" w:cs="Arial"/>
          <w:sz w:val="20"/>
          <w:szCs w:val="20"/>
        </w:rPr>
      </w:pPr>
    </w:p>
    <w:p w14:paraId="199EA52C" w14:textId="60C8B167" w:rsidR="00E0563F" w:rsidRDefault="00695030" w:rsidP="00E51F2A">
      <w:pPr>
        <w:spacing w:line="480" w:lineRule="auto"/>
        <w:rPr>
          <w:rFonts w:ascii="Arial" w:hAnsi="Arial" w:cs="Arial"/>
          <w:sz w:val="20"/>
          <w:szCs w:val="20"/>
        </w:rPr>
      </w:pPr>
      <w:r>
        <w:rPr>
          <w:rFonts w:ascii="Arial" w:hAnsi="Arial" w:cs="Arial"/>
          <w:sz w:val="20"/>
          <w:szCs w:val="20"/>
        </w:rPr>
        <w:t xml:space="preserve">Engagement should not be a substitute or a proxy for impact outcomes, but it deserves more attention than it has received. </w:t>
      </w:r>
      <w:r w:rsidR="00F30131">
        <w:rPr>
          <w:rFonts w:ascii="Arial" w:hAnsi="Arial" w:cs="Arial"/>
          <w:sz w:val="20"/>
          <w:szCs w:val="20"/>
        </w:rPr>
        <w:t>Examining impact through a</w:t>
      </w:r>
      <w:r w:rsidR="00466AF1">
        <w:rPr>
          <w:rFonts w:ascii="Arial" w:hAnsi="Arial" w:cs="Arial"/>
          <w:sz w:val="20"/>
          <w:szCs w:val="20"/>
        </w:rPr>
        <w:t xml:space="preserve">n </w:t>
      </w:r>
      <w:r w:rsidR="00F30131">
        <w:rPr>
          <w:rFonts w:ascii="Arial" w:hAnsi="Arial" w:cs="Arial"/>
          <w:sz w:val="20"/>
          <w:szCs w:val="20"/>
        </w:rPr>
        <w:t>engagement</w:t>
      </w:r>
      <w:r w:rsidR="00E0563F">
        <w:rPr>
          <w:rFonts w:ascii="Arial" w:hAnsi="Arial" w:cs="Arial"/>
          <w:sz w:val="20"/>
          <w:szCs w:val="20"/>
        </w:rPr>
        <w:t xml:space="preserve"> model draws attention not merely to the importance of interaction, but on what might be a </w:t>
      </w:r>
      <w:r w:rsidR="00E0563F">
        <w:rPr>
          <w:rFonts w:ascii="Arial" w:hAnsi="Arial" w:cs="Arial"/>
          <w:i/>
          <w:sz w:val="20"/>
          <w:szCs w:val="20"/>
        </w:rPr>
        <w:t>productive</w:t>
      </w:r>
      <w:r w:rsidR="00E0563F">
        <w:rPr>
          <w:rFonts w:ascii="Arial" w:hAnsi="Arial" w:cs="Arial"/>
          <w:sz w:val="20"/>
          <w:szCs w:val="20"/>
        </w:rPr>
        <w:t xml:space="preserve"> interaction. </w:t>
      </w:r>
      <w:r>
        <w:rPr>
          <w:rFonts w:ascii="Arial" w:hAnsi="Arial" w:cs="Arial"/>
          <w:sz w:val="20"/>
          <w:szCs w:val="20"/>
        </w:rPr>
        <w:t xml:space="preserve">The insights that can be derived from applying an engagement methodology provide the basis for enhancing impact and evidence of impact, with benefits flowing to academic and government communities and to the public at large as research informs policy more effectively. </w:t>
      </w:r>
      <w:r w:rsidR="00D92BDB">
        <w:rPr>
          <w:rFonts w:ascii="Arial" w:hAnsi="Arial" w:cs="Arial"/>
          <w:sz w:val="20"/>
          <w:szCs w:val="20"/>
        </w:rPr>
        <w:t xml:space="preserve">That in turn draws attention to </w:t>
      </w:r>
      <w:r w:rsidR="00C717E6">
        <w:rPr>
          <w:rFonts w:ascii="Arial" w:hAnsi="Arial" w:cs="Arial"/>
          <w:sz w:val="20"/>
          <w:szCs w:val="20"/>
        </w:rPr>
        <w:t xml:space="preserve">the scope of this study and </w:t>
      </w:r>
      <w:r w:rsidR="00D92BDB">
        <w:rPr>
          <w:rFonts w:ascii="Arial" w:hAnsi="Arial" w:cs="Arial"/>
          <w:sz w:val="20"/>
          <w:szCs w:val="20"/>
        </w:rPr>
        <w:t xml:space="preserve">further </w:t>
      </w:r>
      <w:r w:rsidR="00C717E6">
        <w:rPr>
          <w:rFonts w:ascii="Arial" w:hAnsi="Arial" w:cs="Arial"/>
          <w:sz w:val="20"/>
          <w:szCs w:val="20"/>
        </w:rPr>
        <w:t>research questions it prompts</w:t>
      </w:r>
      <w:r w:rsidR="00D92BDB">
        <w:rPr>
          <w:rFonts w:ascii="Arial" w:hAnsi="Arial" w:cs="Arial"/>
          <w:sz w:val="20"/>
          <w:szCs w:val="20"/>
        </w:rPr>
        <w:t xml:space="preserve">. </w:t>
      </w:r>
      <w:r w:rsidR="00C717E6">
        <w:rPr>
          <w:rFonts w:ascii="Arial" w:hAnsi="Arial" w:cs="Arial"/>
          <w:sz w:val="20"/>
          <w:szCs w:val="20"/>
        </w:rPr>
        <w:t xml:space="preserve">First, </w:t>
      </w:r>
      <w:r w:rsidR="00E0563F">
        <w:rPr>
          <w:rFonts w:ascii="Arial" w:hAnsi="Arial" w:cs="Arial"/>
          <w:sz w:val="20"/>
          <w:szCs w:val="20"/>
        </w:rPr>
        <w:t xml:space="preserve">this study focused on the experience of academics. A study of how government research users engage with </w:t>
      </w:r>
      <w:r w:rsidR="00B72B05">
        <w:rPr>
          <w:rFonts w:ascii="Arial" w:hAnsi="Arial" w:cs="Arial"/>
          <w:sz w:val="20"/>
          <w:szCs w:val="20"/>
        </w:rPr>
        <w:t xml:space="preserve">legal </w:t>
      </w:r>
      <w:r w:rsidR="00E0563F">
        <w:rPr>
          <w:rFonts w:ascii="Arial" w:hAnsi="Arial" w:cs="Arial"/>
          <w:sz w:val="20"/>
          <w:szCs w:val="20"/>
        </w:rPr>
        <w:t>academic research and researchers would</w:t>
      </w:r>
      <w:r w:rsidR="00F30131">
        <w:rPr>
          <w:rFonts w:ascii="Arial" w:hAnsi="Arial" w:cs="Arial"/>
          <w:sz w:val="20"/>
          <w:szCs w:val="20"/>
        </w:rPr>
        <w:t xml:space="preserve"> further</w:t>
      </w:r>
      <w:r w:rsidR="00E0563F">
        <w:rPr>
          <w:rFonts w:ascii="Arial" w:hAnsi="Arial" w:cs="Arial"/>
          <w:sz w:val="20"/>
          <w:szCs w:val="20"/>
        </w:rPr>
        <w:t xml:space="preserve"> enrich our understanding of how impact occurs and might be enhanced in discipline-specific ways.</w:t>
      </w:r>
      <w:r w:rsidR="00B72B05">
        <w:rPr>
          <w:rStyle w:val="FootnoteReference"/>
          <w:rFonts w:ascii="Arial" w:hAnsi="Arial" w:cs="Arial"/>
          <w:sz w:val="20"/>
          <w:szCs w:val="20"/>
        </w:rPr>
        <w:footnoteReference w:id="77"/>
      </w:r>
      <w:r w:rsidR="00E0563F">
        <w:rPr>
          <w:rFonts w:ascii="Arial" w:hAnsi="Arial" w:cs="Arial"/>
          <w:sz w:val="20"/>
          <w:szCs w:val="20"/>
        </w:rPr>
        <w:t xml:space="preserve"> </w:t>
      </w:r>
      <w:r w:rsidR="00651668">
        <w:rPr>
          <w:rFonts w:ascii="Arial" w:hAnsi="Arial" w:cs="Arial"/>
          <w:sz w:val="20"/>
          <w:szCs w:val="20"/>
        </w:rPr>
        <w:t xml:space="preserve">This could include an examination of what lies behind the apparent lack of </w:t>
      </w:r>
      <w:r w:rsidR="00651668">
        <w:rPr>
          <w:rFonts w:ascii="Arial" w:hAnsi="Arial" w:cs="Arial"/>
          <w:sz w:val="20"/>
          <w:szCs w:val="20"/>
        </w:rPr>
        <w:lastRenderedPageBreak/>
        <w:t xml:space="preserve">outreach by UK government entities to legal academics, exploring from a government perspective the level of awareness of what legal academics may have to offer, why they would offer it, and the ways government </w:t>
      </w:r>
      <w:r w:rsidR="00651668" w:rsidRPr="004B2290">
        <w:rPr>
          <w:rFonts w:ascii="Arial" w:hAnsi="Arial" w:cs="Arial"/>
          <w:sz w:val="20"/>
          <w:szCs w:val="20"/>
        </w:rPr>
        <w:t xml:space="preserve">could benefit. </w:t>
      </w:r>
      <w:r w:rsidR="00C717E6" w:rsidRPr="004B2290">
        <w:rPr>
          <w:rFonts w:ascii="Arial" w:hAnsi="Arial" w:cs="Arial"/>
          <w:sz w:val="20"/>
          <w:szCs w:val="20"/>
        </w:rPr>
        <w:t xml:space="preserve">Secondly, </w:t>
      </w:r>
      <w:r w:rsidR="00942F6E" w:rsidRPr="004B2290">
        <w:rPr>
          <w:rFonts w:ascii="Arial" w:hAnsi="Arial" w:cs="Arial"/>
          <w:sz w:val="20"/>
          <w:szCs w:val="20"/>
        </w:rPr>
        <w:t>this study examine</w:t>
      </w:r>
      <w:r w:rsidR="0037000B" w:rsidRPr="004B2290">
        <w:rPr>
          <w:rFonts w:ascii="Arial" w:hAnsi="Arial" w:cs="Arial"/>
          <w:sz w:val="20"/>
          <w:szCs w:val="20"/>
        </w:rPr>
        <w:t>d</w:t>
      </w:r>
      <w:r w:rsidR="00942F6E">
        <w:rPr>
          <w:rFonts w:ascii="Arial" w:hAnsi="Arial" w:cs="Arial"/>
          <w:sz w:val="20"/>
          <w:szCs w:val="20"/>
        </w:rPr>
        <w:t xml:space="preserve"> the </w:t>
      </w:r>
      <w:r w:rsidR="00C717E6" w:rsidRPr="003222FC">
        <w:rPr>
          <w:rFonts w:ascii="Arial" w:hAnsi="Arial" w:cs="Arial"/>
          <w:sz w:val="20"/>
          <w:szCs w:val="20"/>
        </w:rPr>
        <w:t xml:space="preserve">experience of engaging </w:t>
      </w:r>
      <w:r w:rsidR="00942F6E">
        <w:rPr>
          <w:rFonts w:ascii="Arial" w:hAnsi="Arial" w:cs="Arial"/>
          <w:sz w:val="20"/>
          <w:szCs w:val="20"/>
        </w:rPr>
        <w:t xml:space="preserve">with UK </w:t>
      </w:r>
      <w:r w:rsidR="00942F6E" w:rsidRPr="00AD3448">
        <w:rPr>
          <w:rFonts w:ascii="Arial" w:hAnsi="Arial" w:cs="Arial"/>
          <w:sz w:val="20"/>
          <w:szCs w:val="20"/>
        </w:rPr>
        <w:t xml:space="preserve">governments. </w:t>
      </w:r>
      <w:r w:rsidR="00C83D24" w:rsidRPr="00AD3448">
        <w:rPr>
          <w:rFonts w:ascii="Arial" w:hAnsi="Arial" w:cs="Arial"/>
          <w:sz w:val="20"/>
          <w:szCs w:val="20"/>
        </w:rPr>
        <w:t>T</w:t>
      </w:r>
      <w:r w:rsidR="00942F6E" w:rsidRPr="00AD3448">
        <w:rPr>
          <w:rFonts w:ascii="Arial" w:hAnsi="Arial" w:cs="Arial"/>
          <w:sz w:val="20"/>
          <w:szCs w:val="20"/>
        </w:rPr>
        <w:t>here is room to drill further into that experience and a study of engagement with other</w:t>
      </w:r>
      <w:r w:rsidR="00942F6E">
        <w:rPr>
          <w:rFonts w:ascii="Arial" w:hAnsi="Arial" w:cs="Arial"/>
          <w:sz w:val="20"/>
          <w:szCs w:val="20"/>
        </w:rPr>
        <w:t xml:space="preserve"> UK sectors (such as parliament, civil society, or business) could yield rich insights. In the same vein, the experience of engaging with UK governments </w:t>
      </w:r>
      <w:r w:rsidR="00017BB6">
        <w:rPr>
          <w:rFonts w:ascii="Arial" w:hAnsi="Arial" w:cs="Arial"/>
          <w:sz w:val="20"/>
          <w:szCs w:val="20"/>
        </w:rPr>
        <w:t>should not be extrapolated to apply</w:t>
      </w:r>
      <w:r w:rsidR="00942F6E">
        <w:rPr>
          <w:rFonts w:ascii="Arial" w:hAnsi="Arial" w:cs="Arial"/>
          <w:sz w:val="20"/>
          <w:szCs w:val="20"/>
        </w:rPr>
        <w:t xml:space="preserve"> to engagement with </w:t>
      </w:r>
      <w:r w:rsidR="00C717E6" w:rsidRPr="003222FC">
        <w:rPr>
          <w:rFonts w:ascii="Arial" w:hAnsi="Arial" w:cs="Arial"/>
          <w:sz w:val="20"/>
          <w:szCs w:val="20"/>
        </w:rPr>
        <w:t xml:space="preserve">foreign governments or </w:t>
      </w:r>
      <w:r w:rsidR="00942F6E">
        <w:rPr>
          <w:rFonts w:ascii="Arial" w:hAnsi="Arial" w:cs="Arial"/>
          <w:sz w:val="20"/>
          <w:szCs w:val="20"/>
        </w:rPr>
        <w:t>international bodies.</w:t>
      </w:r>
      <w:r w:rsidR="00C717E6" w:rsidRPr="003222FC">
        <w:rPr>
          <w:rStyle w:val="FootnoteReference"/>
          <w:rFonts w:ascii="Arial" w:hAnsi="Arial" w:cs="Arial"/>
          <w:sz w:val="20"/>
          <w:szCs w:val="20"/>
        </w:rPr>
        <w:footnoteReference w:id="78"/>
      </w:r>
      <w:r w:rsidR="00942F6E">
        <w:rPr>
          <w:rFonts w:ascii="Arial" w:hAnsi="Arial" w:cs="Arial"/>
          <w:sz w:val="20"/>
          <w:szCs w:val="20"/>
        </w:rPr>
        <w:t xml:space="preserve"> </w:t>
      </w:r>
      <w:r w:rsidR="00E0563F">
        <w:rPr>
          <w:rFonts w:ascii="Arial" w:hAnsi="Arial" w:cs="Arial"/>
          <w:sz w:val="20"/>
          <w:szCs w:val="20"/>
        </w:rPr>
        <w:t xml:space="preserve">However, even absent such </w:t>
      </w:r>
      <w:r>
        <w:rPr>
          <w:rFonts w:ascii="Arial" w:hAnsi="Arial" w:cs="Arial"/>
          <w:sz w:val="20"/>
          <w:szCs w:val="20"/>
        </w:rPr>
        <w:t>further research</w:t>
      </w:r>
      <w:r w:rsidR="00E0563F">
        <w:rPr>
          <w:rFonts w:ascii="Arial" w:hAnsi="Arial" w:cs="Arial"/>
          <w:sz w:val="20"/>
          <w:szCs w:val="20"/>
        </w:rPr>
        <w:t>, it is clear that without effective avenues in place for engagement, and without a strong understanding – and meeting – of mutual needs and of what makes interactions productive, it seems an inescapable conclusion that the public benefit of research is not what it could be.</w:t>
      </w:r>
    </w:p>
    <w:p w14:paraId="0D929755" w14:textId="57E97C55" w:rsidR="001D183C" w:rsidRPr="001D183C" w:rsidRDefault="001D183C" w:rsidP="00B029F0">
      <w:pPr>
        <w:spacing w:line="480" w:lineRule="auto"/>
        <w:rPr>
          <w:rFonts w:ascii="Arial" w:hAnsi="Arial" w:cs="Arial"/>
          <w:sz w:val="20"/>
          <w:szCs w:val="20"/>
        </w:rPr>
      </w:pPr>
    </w:p>
    <w:p w14:paraId="459CC772" w14:textId="77777777" w:rsidR="001D183C" w:rsidRPr="001D183C" w:rsidRDefault="001D183C" w:rsidP="001D183C">
      <w:pPr>
        <w:rPr>
          <w:rFonts w:ascii="Arial" w:hAnsi="Arial" w:cs="Arial"/>
          <w:sz w:val="20"/>
          <w:szCs w:val="20"/>
        </w:rPr>
      </w:pPr>
    </w:p>
    <w:p w14:paraId="45348FA4" w14:textId="77777777" w:rsidR="001D183C" w:rsidRPr="001D183C" w:rsidRDefault="001D183C" w:rsidP="001D183C">
      <w:pPr>
        <w:rPr>
          <w:rFonts w:ascii="Arial" w:hAnsi="Arial" w:cs="Arial"/>
          <w:sz w:val="20"/>
          <w:szCs w:val="20"/>
        </w:rPr>
      </w:pPr>
    </w:p>
    <w:p w14:paraId="5A39605C" w14:textId="77777777" w:rsidR="001D183C" w:rsidRPr="001D183C" w:rsidRDefault="001D183C" w:rsidP="001D183C">
      <w:pPr>
        <w:rPr>
          <w:rFonts w:ascii="Arial" w:hAnsi="Arial" w:cs="Arial"/>
          <w:sz w:val="20"/>
          <w:szCs w:val="20"/>
        </w:rPr>
      </w:pPr>
    </w:p>
    <w:p w14:paraId="16A26C69" w14:textId="6632A2CE" w:rsidR="001D183C" w:rsidRDefault="001D183C" w:rsidP="001D183C">
      <w:pPr>
        <w:rPr>
          <w:rFonts w:ascii="Arial" w:hAnsi="Arial" w:cs="Arial"/>
          <w:sz w:val="20"/>
          <w:szCs w:val="20"/>
        </w:rPr>
      </w:pPr>
    </w:p>
    <w:p w14:paraId="3F9C9C91" w14:textId="77777777" w:rsidR="00E00EC2" w:rsidRPr="001D183C" w:rsidRDefault="00E00EC2" w:rsidP="001D183C">
      <w:pPr>
        <w:rPr>
          <w:rFonts w:ascii="Arial" w:hAnsi="Arial" w:cs="Arial"/>
          <w:sz w:val="20"/>
          <w:szCs w:val="20"/>
        </w:rPr>
      </w:pPr>
    </w:p>
    <w:sectPr w:rsidR="00E00EC2" w:rsidRPr="001D183C" w:rsidSect="00A13A09">
      <w:footerReference w:type="default" r:id="rId21"/>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24DAF0" w15:done="0"/>
  <w15:commentEx w15:paraId="0BEC08A8" w15:done="0"/>
  <w15:commentEx w15:paraId="33D9D03C" w15:done="0"/>
  <w15:commentEx w15:paraId="2CBBB683" w15:done="0"/>
  <w15:commentEx w15:paraId="360A1849" w15:done="0"/>
  <w15:commentEx w15:paraId="401EAC8E" w15:done="0"/>
  <w15:commentEx w15:paraId="0C8D532F" w15:done="0"/>
  <w15:commentEx w15:paraId="7A429998" w15:done="0"/>
  <w15:commentEx w15:paraId="29603DC4" w15:done="0"/>
  <w15:commentEx w15:paraId="5343C6FC" w15:done="0"/>
  <w15:commentEx w15:paraId="41C0D527" w15:done="0"/>
  <w15:commentEx w15:paraId="1819DF8F" w15:done="0"/>
  <w15:commentEx w15:paraId="6DB79E7B" w15:done="0"/>
  <w15:commentEx w15:paraId="1BD2422E" w15:done="0"/>
  <w15:commentEx w15:paraId="1E0877F4" w15:done="0"/>
  <w15:commentEx w15:paraId="672EAC76" w15:done="0"/>
  <w15:commentEx w15:paraId="35FE48D9" w15:done="0"/>
  <w15:commentEx w15:paraId="6294B176" w15:done="0"/>
  <w15:commentEx w15:paraId="31C229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24DAF0" w16cid:durableId="1F3C1D14"/>
  <w16cid:commentId w16cid:paraId="0BEC08A8" w16cid:durableId="1F3E2F78"/>
  <w16cid:commentId w16cid:paraId="33D9D03C" w16cid:durableId="1F3C2731"/>
  <w16cid:commentId w16cid:paraId="2CBBB683" w16cid:durableId="1F3C213A"/>
  <w16cid:commentId w16cid:paraId="360A1849" w16cid:durableId="1F3C21CC"/>
  <w16cid:commentId w16cid:paraId="401EAC8E" w16cid:durableId="1F3C2232"/>
  <w16cid:commentId w16cid:paraId="0C8D532F" w16cid:durableId="1F3C2372"/>
  <w16cid:commentId w16cid:paraId="7A429998" w16cid:durableId="1F3C251A"/>
  <w16cid:commentId w16cid:paraId="29603DC4" w16cid:durableId="1F3E2D63"/>
  <w16cid:commentId w16cid:paraId="5343C6FC" w16cid:durableId="1F3C2701"/>
  <w16cid:commentId w16cid:paraId="41C0D527" w16cid:durableId="1F3E2608"/>
  <w16cid:commentId w16cid:paraId="6DB79E7B" w16cid:durableId="1F3E2E75"/>
  <w16cid:commentId w16cid:paraId="1BD2422E" w16cid:durableId="1F3E2832"/>
  <w16cid:commentId w16cid:paraId="1E0877F4" w16cid:durableId="1F3E2934"/>
  <w16cid:commentId w16cid:paraId="672EAC76" w16cid:durableId="1F3E2965"/>
  <w16cid:commentId w16cid:paraId="35FE48D9" w16cid:durableId="1F3E2EF2"/>
  <w16cid:commentId w16cid:paraId="6294B176" w16cid:durableId="1F3E2A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6B0CD" w14:textId="77777777" w:rsidR="008C4ABB" w:rsidRDefault="008C4ABB" w:rsidP="00A70EE3">
      <w:pPr>
        <w:spacing w:line="240" w:lineRule="auto"/>
      </w:pPr>
      <w:r>
        <w:separator/>
      </w:r>
    </w:p>
  </w:endnote>
  <w:endnote w:type="continuationSeparator" w:id="0">
    <w:p w14:paraId="20E06920" w14:textId="77777777" w:rsidR="008C4ABB" w:rsidRDefault="008C4ABB" w:rsidP="00A70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664963"/>
      <w:docPartObj>
        <w:docPartGallery w:val="Page Numbers (Bottom of Page)"/>
        <w:docPartUnique/>
      </w:docPartObj>
    </w:sdtPr>
    <w:sdtEndPr>
      <w:rPr>
        <w:rFonts w:ascii="Arial" w:hAnsi="Arial" w:cs="Arial"/>
        <w:noProof/>
        <w:sz w:val="18"/>
        <w:szCs w:val="18"/>
      </w:rPr>
    </w:sdtEndPr>
    <w:sdtContent>
      <w:p w14:paraId="5A26DA97" w14:textId="5FC0B951" w:rsidR="007B1D1B" w:rsidRPr="00A13A09" w:rsidRDefault="007B1D1B">
        <w:pPr>
          <w:pStyle w:val="Footer"/>
          <w:jc w:val="center"/>
          <w:rPr>
            <w:rFonts w:ascii="Arial" w:hAnsi="Arial" w:cs="Arial"/>
            <w:sz w:val="18"/>
            <w:szCs w:val="18"/>
          </w:rPr>
        </w:pPr>
        <w:r w:rsidRPr="00A13A09">
          <w:rPr>
            <w:rFonts w:ascii="Arial" w:hAnsi="Arial" w:cs="Arial"/>
            <w:sz w:val="18"/>
            <w:szCs w:val="18"/>
          </w:rPr>
          <w:fldChar w:fldCharType="begin"/>
        </w:r>
        <w:r w:rsidRPr="00A13A09">
          <w:rPr>
            <w:rFonts w:ascii="Arial" w:hAnsi="Arial" w:cs="Arial"/>
            <w:sz w:val="18"/>
            <w:szCs w:val="18"/>
          </w:rPr>
          <w:instrText xml:space="preserve"> PAGE   \* MERGEFORMAT </w:instrText>
        </w:r>
        <w:r w:rsidRPr="00A13A09">
          <w:rPr>
            <w:rFonts w:ascii="Arial" w:hAnsi="Arial" w:cs="Arial"/>
            <w:sz w:val="18"/>
            <w:szCs w:val="18"/>
          </w:rPr>
          <w:fldChar w:fldCharType="separate"/>
        </w:r>
        <w:r w:rsidR="00B026AC">
          <w:rPr>
            <w:rFonts w:ascii="Arial" w:hAnsi="Arial" w:cs="Arial"/>
            <w:noProof/>
            <w:sz w:val="18"/>
            <w:szCs w:val="18"/>
          </w:rPr>
          <w:t>40</w:t>
        </w:r>
        <w:r w:rsidRPr="00A13A09">
          <w:rPr>
            <w:rFonts w:ascii="Arial" w:hAnsi="Arial" w:cs="Arial"/>
            <w:noProof/>
            <w:sz w:val="18"/>
            <w:szCs w:val="18"/>
          </w:rPr>
          <w:fldChar w:fldCharType="end"/>
        </w:r>
      </w:p>
    </w:sdtContent>
  </w:sdt>
  <w:p w14:paraId="1F9CAC79" w14:textId="77777777" w:rsidR="007B1D1B" w:rsidRDefault="007B1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92ED7" w14:textId="77777777" w:rsidR="008C4ABB" w:rsidRDefault="008C4ABB" w:rsidP="00A70EE3">
      <w:pPr>
        <w:spacing w:line="240" w:lineRule="auto"/>
      </w:pPr>
      <w:r>
        <w:separator/>
      </w:r>
    </w:p>
  </w:footnote>
  <w:footnote w:type="continuationSeparator" w:id="0">
    <w:p w14:paraId="771F7538" w14:textId="77777777" w:rsidR="008C4ABB" w:rsidRDefault="008C4ABB" w:rsidP="00A70EE3">
      <w:pPr>
        <w:spacing w:line="240" w:lineRule="auto"/>
      </w:pPr>
      <w:r>
        <w:continuationSeparator/>
      </w:r>
    </w:p>
  </w:footnote>
  <w:footnote w:id="1">
    <w:p w14:paraId="7EEC3929" w14:textId="590A1F15"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r w:rsidR="00A76AC7">
        <w:rPr>
          <w:rFonts w:ascii="Arial" w:hAnsi="Arial" w:cs="Arial"/>
          <w:sz w:val="16"/>
          <w:szCs w:val="16"/>
        </w:rPr>
        <w:t xml:space="preserve">York Law School, University of York, and Bingham Centre for the Rule of Law, </w:t>
      </w:r>
      <w:r w:rsidR="00FC22C9">
        <w:rPr>
          <w:rFonts w:ascii="Arial" w:hAnsi="Arial" w:cs="Arial"/>
          <w:sz w:val="16"/>
          <w:szCs w:val="16"/>
        </w:rPr>
        <w:t>BIICL</w:t>
      </w:r>
      <w:r w:rsidR="00A76AC7">
        <w:rPr>
          <w:rFonts w:ascii="Arial" w:hAnsi="Arial" w:cs="Arial"/>
          <w:sz w:val="16"/>
          <w:szCs w:val="16"/>
        </w:rPr>
        <w:t xml:space="preserve">.  Email: </w:t>
      </w:r>
      <w:hyperlink r:id="rId1" w:history="1">
        <w:r w:rsidR="00A76AC7" w:rsidRPr="001B1D29">
          <w:rPr>
            <w:rStyle w:val="Hyperlink"/>
            <w:rFonts w:ascii="Arial" w:hAnsi="Arial" w:cs="Arial"/>
            <w:sz w:val="16"/>
            <w:szCs w:val="16"/>
          </w:rPr>
          <w:t>lawrence.mcnamara@york.ac.uk</w:t>
        </w:r>
      </w:hyperlink>
      <w:r w:rsidR="00A76AC7">
        <w:rPr>
          <w:rFonts w:ascii="Arial" w:hAnsi="Arial" w:cs="Arial"/>
          <w:sz w:val="16"/>
          <w:szCs w:val="16"/>
        </w:rPr>
        <w:t xml:space="preserve">.  I </w:t>
      </w:r>
      <w:r w:rsidRPr="00B10D13">
        <w:rPr>
          <w:rFonts w:ascii="Arial" w:hAnsi="Arial" w:cs="Arial"/>
          <w:sz w:val="16"/>
          <w:szCs w:val="16"/>
        </w:rPr>
        <w:t xml:space="preserve">am grateful to </w:t>
      </w:r>
      <w:r w:rsidR="00A76AC7">
        <w:rPr>
          <w:rFonts w:ascii="Arial" w:hAnsi="Arial" w:cs="Arial"/>
          <w:sz w:val="16"/>
          <w:szCs w:val="16"/>
        </w:rPr>
        <w:t xml:space="preserve">Rosemary Auchmuty, Tracey Booth, Rob Gleave, Simon Halliday, Chris </w:t>
      </w:r>
      <w:proofErr w:type="spellStart"/>
      <w:r w:rsidR="00A76AC7">
        <w:rPr>
          <w:rFonts w:ascii="Arial" w:hAnsi="Arial" w:cs="Arial"/>
          <w:sz w:val="16"/>
          <w:szCs w:val="16"/>
        </w:rPr>
        <w:t>Hilson</w:t>
      </w:r>
      <w:proofErr w:type="spellEnd"/>
      <w:r w:rsidR="00A76AC7">
        <w:rPr>
          <w:rFonts w:ascii="Arial" w:hAnsi="Arial" w:cs="Arial"/>
          <w:sz w:val="16"/>
          <w:szCs w:val="16"/>
        </w:rPr>
        <w:t xml:space="preserve">, Robert </w:t>
      </w:r>
      <w:proofErr w:type="spellStart"/>
      <w:r w:rsidR="00A76AC7">
        <w:rPr>
          <w:rFonts w:ascii="Arial" w:hAnsi="Arial" w:cs="Arial"/>
          <w:sz w:val="16"/>
          <w:szCs w:val="16"/>
        </w:rPr>
        <w:t>McCorquodale</w:t>
      </w:r>
      <w:proofErr w:type="spellEnd"/>
      <w:r w:rsidR="007B2440">
        <w:rPr>
          <w:rFonts w:ascii="Arial" w:hAnsi="Arial" w:cs="Arial"/>
          <w:sz w:val="16"/>
          <w:szCs w:val="16"/>
        </w:rPr>
        <w:t>, Justine McNamara</w:t>
      </w:r>
      <w:r w:rsidR="00A76AC7">
        <w:rPr>
          <w:rFonts w:ascii="Arial" w:hAnsi="Arial" w:cs="Arial"/>
          <w:sz w:val="16"/>
          <w:szCs w:val="16"/>
        </w:rPr>
        <w:t xml:space="preserve"> and Jenny Steele </w:t>
      </w:r>
      <w:r w:rsidRPr="00B10D13">
        <w:rPr>
          <w:rFonts w:ascii="Arial" w:hAnsi="Arial" w:cs="Arial"/>
          <w:sz w:val="16"/>
          <w:szCs w:val="16"/>
        </w:rPr>
        <w:t xml:space="preserve"> for comments; to </w:t>
      </w:r>
      <w:r w:rsidR="00A76AC7">
        <w:rPr>
          <w:rFonts w:ascii="Arial" w:hAnsi="Arial" w:cs="Arial"/>
          <w:sz w:val="16"/>
          <w:szCs w:val="16"/>
        </w:rPr>
        <w:t>Sapna Raheem</w:t>
      </w:r>
      <w:r w:rsidRPr="00B10D13">
        <w:rPr>
          <w:rFonts w:ascii="Arial" w:hAnsi="Arial" w:cs="Arial"/>
          <w:sz w:val="16"/>
          <w:szCs w:val="16"/>
        </w:rPr>
        <w:t xml:space="preserve">  for research assistance; and to all the survey respondents for their time and willingness to complete the survey. The usual caveat applies. All URLs were </w:t>
      </w:r>
      <w:r w:rsidR="00A76AC7">
        <w:rPr>
          <w:rFonts w:ascii="Arial" w:hAnsi="Arial" w:cs="Arial"/>
          <w:sz w:val="16"/>
          <w:szCs w:val="16"/>
        </w:rPr>
        <w:t>accessed and current at</w:t>
      </w:r>
      <w:r w:rsidRPr="00B10D13">
        <w:rPr>
          <w:rFonts w:ascii="Arial" w:hAnsi="Arial" w:cs="Arial"/>
          <w:sz w:val="16"/>
          <w:szCs w:val="16"/>
        </w:rPr>
        <w:t xml:space="preserve"> </w:t>
      </w:r>
      <w:r>
        <w:rPr>
          <w:rFonts w:ascii="Arial" w:hAnsi="Arial" w:cs="Arial"/>
          <w:sz w:val="16"/>
          <w:szCs w:val="16"/>
        </w:rPr>
        <w:t>August</w:t>
      </w:r>
      <w:r w:rsidRPr="00B10D13">
        <w:rPr>
          <w:rFonts w:ascii="Arial" w:hAnsi="Arial" w:cs="Arial"/>
          <w:sz w:val="16"/>
          <w:szCs w:val="16"/>
        </w:rPr>
        <w:t xml:space="preserve"> 2018 unless otherwise indicated.</w:t>
      </w:r>
    </w:p>
  </w:footnote>
  <w:footnote w:id="2">
    <w:p w14:paraId="5332B7A2" w14:textId="363A4BF4"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r>
        <w:rPr>
          <w:rFonts w:ascii="Arial" w:hAnsi="Arial" w:cs="Arial"/>
          <w:sz w:val="16"/>
          <w:szCs w:val="16"/>
        </w:rPr>
        <w:t>N.</w:t>
      </w:r>
      <w:r w:rsidRPr="00B10D13">
        <w:rPr>
          <w:rFonts w:ascii="Arial" w:hAnsi="Arial" w:cs="Arial"/>
          <w:sz w:val="16"/>
          <w:szCs w:val="16"/>
        </w:rPr>
        <w:t xml:space="preserve"> Stern, </w:t>
      </w:r>
      <w:r w:rsidRPr="00B10D13">
        <w:rPr>
          <w:rFonts w:ascii="Arial" w:hAnsi="Arial" w:cs="Arial"/>
          <w:i/>
          <w:sz w:val="16"/>
          <w:szCs w:val="16"/>
        </w:rPr>
        <w:t>Building on Success and Learning from Experience: An Independent Review of the Research Excellence Framework</w:t>
      </w:r>
      <w:r>
        <w:rPr>
          <w:rFonts w:ascii="Arial" w:hAnsi="Arial" w:cs="Arial"/>
          <w:sz w:val="16"/>
          <w:szCs w:val="16"/>
        </w:rPr>
        <w:t xml:space="preserve"> (</w:t>
      </w:r>
      <w:r w:rsidRPr="00B10D13">
        <w:rPr>
          <w:rFonts w:ascii="Arial" w:hAnsi="Arial" w:cs="Arial"/>
          <w:sz w:val="16"/>
          <w:szCs w:val="16"/>
        </w:rPr>
        <w:t>2016</w:t>
      </w:r>
      <w:r>
        <w:rPr>
          <w:rFonts w:ascii="Arial" w:hAnsi="Arial" w:cs="Arial"/>
          <w:sz w:val="16"/>
          <w:szCs w:val="16"/>
        </w:rPr>
        <w:t>)</w:t>
      </w:r>
      <w:r w:rsidRPr="00B10D13">
        <w:rPr>
          <w:rFonts w:ascii="Arial" w:hAnsi="Arial" w:cs="Arial"/>
          <w:sz w:val="16"/>
          <w:szCs w:val="16"/>
        </w:rPr>
        <w:t xml:space="preserve">, 21-22, 27; HEFCE, </w:t>
      </w:r>
      <w:r w:rsidRPr="00B10D13">
        <w:rPr>
          <w:rFonts w:ascii="Arial" w:hAnsi="Arial" w:cs="Arial"/>
          <w:i/>
          <w:sz w:val="16"/>
          <w:szCs w:val="16"/>
        </w:rPr>
        <w:t xml:space="preserve">Consultation on the Second Research Excellence Framework 2016/36, </w:t>
      </w:r>
      <w:r w:rsidRPr="00B10D13">
        <w:rPr>
          <w:rFonts w:ascii="Arial" w:hAnsi="Arial" w:cs="Arial"/>
          <w:sz w:val="16"/>
          <w:szCs w:val="16"/>
        </w:rPr>
        <w:t>December 2016, [126]</w:t>
      </w:r>
      <w:r>
        <w:rPr>
          <w:rFonts w:ascii="Arial" w:hAnsi="Arial" w:cs="Arial"/>
          <w:sz w:val="16"/>
          <w:szCs w:val="16"/>
        </w:rPr>
        <w:t xml:space="preserve">; </w:t>
      </w:r>
      <w:r w:rsidRPr="00B10D13">
        <w:rPr>
          <w:rFonts w:ascii="Arial" w:hAnsi="Arial" w:cs="Arial"/>
          <w:sz w:val="16"/>
          <w:szCs w:val="16"/>
        </w:rPr>
        <w:t>REF 2021</w:t>
      </w:r>
      <w:r>
        <w:rPr>
          <w:rFonts w:ascii="Arial" w:hAnsi="Arial" w:cs="Arial"/>
          <w:sz w:val="16"/>
          <w:szCs w:val="16"/>
        </w:rPr>
        <w:t xml:space="preserve">, </w:t>
      </w:r>
      <w:r w:rsidRPr="00B10D13">
        <w:rPr>
          <w:rFonts w:ascii="Arial" w:hAnsi="Arial" w:cs="Arial"/>
          <w:i/>
          <w:sz w:val="16"/>
          <w:szCs w:val="16"/>
        </w:rPr>
        <w:t>Draft Guidance on Submissions</w:t>
      </w:r>
      <w:r w:rsidRPr="00B10D13">
        <w:rPr>
          <w:rFonts w:ascii="Arial" w:hAnsi="Arial" w:cs="Arial"/>
          <w:sz w:val="16"/>
          <w:szCs w:val="16"/>
        </w:rPr>
        <w:t xml:space="preserve"> </w:t>
      </w:r>
      <w:r>
        <w:rPr>
          <w:rFonts w:ascii="Arial" w:hAnsi="Arial" w:cs="Arial"/>
          <w:sz w:val="16"/>
          <w:szCs w:val="16"/>
        </w:rPr>
        <w:t>(2018),</w:t>
      </w:r>
      <w:r w:rsidRPr="00B10D13">
        <w:rPr>
          <w:rFonts w:ascii="Arial" w:hAnsi="Arial" w:cs="Arial"/>
          <w:sz w:val="16"/>
          <w:szCs w:val="16"/>
        </w:rPr>
        <w:t xml:space="preserve"> [58], [117].</w:t>
      </w:r>
    </w:p>
  </w:footnote>
  <w:footnote w:id="3">
    <w:p w14:paraId="0A10657D" w14:textId="12E40AB2"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HEFCE, </w:t>
      </w:r>
      <w:r w:rsidRPr="00B10D13">
        <w:rPr>
          <w:rFonts w:ascii="Arial" w:hAnsi="Arial" w:cs="Arial"/>
          <w:i/>
          <w:sz w:val="16"/>
          <w:szCs w:val="16"/>
        </w:rPr>
        <w:t>Annual Funding Allocations for 2015-16, ‘</w:t>
      </w:r>
      <w:r w:rsidRPr="00B10D13">
        <w:rPr>
          <w:rFonts w:ascii="Arial" w:hAnsi="Arial" w:cs="Arial"/>
          <w:sz w:val="16"/>
          <w:szCs w:val="16"/>
        </w:rPr>
        <w:t xml:space="preserve">Quality-related funding data 2015-16’, ‘Mainstream QR funding broken down by institution and subject’, </w:t>
      </w:r>
      <w:hyperlink r:id="rId2" w:history="1">
        <w:r w:rsidRPr="00B10D13">
          <w:rPr>
            <w:rStyle w:val="Hyperlink"/>
            <w:rFonts w:ascii="Arial" w:hAnsi="Arial" w:cs="Arial"/>
            <w:sz w:val="16"/>
            <w:szCs w:val="16"/>
          </w:rPr>
          <w:t>http://www.hefce.ac.uk/funding/annallocns/1516/research/</w:t>
        </w:r>
      </w:hyperlink>
      <w:r w:rsidRPr="00B10D13">
        <w:rPr>
          <w:rFonts w:ascii="Arial" w:hAnsi="Arial" w:cs="Arial"/>
          <w:sz w:val="16"/>
          <w:szCs w:val="16"/>
        </w:rPr>
        <w:t xml:space="preserve"> (filtered by impact and UoA). </w:t>
      </w:r>
    </w:p>
  </w:footnote>
  <w:footnote w:id="4">
    <w:p w14:paraId="71B14738" w14:textId="799BAD72"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C</w:t>
      </w:r>
      <w:r>
        <w:rPr>
          <w:rFonts w:ascii="Arial" w:hAnsi="Arial" w:cs="Arial"/>
          <w:sz w:val="16"/>
          <w:szCs w:val="16"/>
        </w:rPr>
        <w:t>.</w:t>
      </w:r>
      <w:r w:rsidRPr="00B10D13">
        <w:rPr>
          <w:rFonts w:ascii="Arial" w:hAnsi="Arial" w:cs="Arial"/>
          <w:sz w:val="16"/>
          <w:szCs w:val="16"/>
        </w:rPr>
        <w:t xml:space="preserve"> Manville </w:t>
      </w:r>
      <w:r>
        <w:rPr>
          <w:rFonts w:ascii="Arial" w:hAnsi="Arial" w:cs="Arial"/>
          <w:sz w:val="16"/>
          <w:szCs w:val="16"/>
        </w:rPr>
        <w:t>et al.</w:t>
      </w:r>
      <w:r w:rsidRPr="00B10D13">
        <w:rPr>
          <w:rFonts w:ascii="Arial" w:hAnsi="Arial" w:cs="Arial"/>
          <w:sz w:val="16"/>
          <w:szCs w:val="16"/>
        </w:rPr>
        <w:t xml:space="preserve">, </w:t>
      </w:r>
      <w:r w:rsidRPr="00B10D13">
        <w:rPr>
          <w:rFonts w:ascii="Arial" w:hAnsi="Arial" w:cs="Arial"/>
          <w:i/>
          <w:sz w:val="16"/>
          <w:szCs w:val="16"/>
        </w:rPr>
        <w:t>Preparing impact submissions for REF 2014: An evaluation – findings and observations</w:t>
      </w:r>
      <w:r>
        <w:rPr>
          <w:rFonts w:ascii="Arial" w:hAnsi="Arial" w:cs="Arial"/>
          <w:sz w:val="16"/>
          <w:szCs w:val="16"/>
        </w:rPr>
        <w:t xml:space="preserve"> (RAND Europe, </w:t>
      </w:r>
      <w:r w:rsidRPr="00B10D13">
        <w:rPr>
          <w:rFonts w:ascii="Arial" w:hAnsi="Arial" w:cs="Arial"/>
          <w:sz w:val="16"/>
          <w:szCs w:val="16"/>
        </w:rPr>
        <w:t>2015</w:t>
      </w:r>
      <w:r>
        <w:rPr>
          <w:rFonts w:ascii="Arial" w:hAnsi="Arial" w:cs="Arial"/>
          <w:sz w:val="16"/>
          <w:szCs w:val="16"/>
        </w:rPr>
        <w:t>), 9-11 on media</w:t>
      </w:r>
      <w:r w:rsidR="00876281">
        <w:rPr>
          <w:rFonts w:ascii="Arial" w:hAnsi="Arial" w:cs="Arial"/>
          <w:sz w:val="16"/>
          <w:szCs w:val="16"/>
        </w:rPr>
        <w:t>n</w:t>
      </w:r>
      <w:r>
        <w:rPr>
          <w:rFonts w:ascii="Arial" w:hAnsi="Arial" w:cs="Arial"/>
          <w:sz w:val="16"/>
          <w:szCs w:val="16"/>
        </w:rPr>
        <w:t xml:space="preserve"> cost</w:t>
      </w:r>
      <w:r w:rsidRPr="00B10D13">
        <w:rPr>
          <w:rFonts w:ascii="Arial" w:hAnsi="Arial" w:cs="Arial"/>
          <w:sz w:val="16"/>
          <w:szCs w:val="16"/>
        </w:rPr>
        <w:t>. Calculation extrapolated based on 175 case studies submitted by English law schools.</w:t>
      </w:r>
    </w:p>
  </w:footnote>
  <w:footnote w:id="5">
    <w:p w14:paraId="66160931" w14:textId="69AE6BC1"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Research Councils UK</w:t>
      </w:r>
      <w:r>
        <w:rPr>
          <w:rFonts w:ascii="Arial" w:hAnsi="Arial" w:cs="Arial"/>
          <w:sz w:val="16"/>
          <w:szCs w:val="16"/>
        </w:rPr>
        <w:t>,</w:t>
      </w:r>
      <w:r w:rsidRPr="00B10D13">
        <w:rPr>
          <w:rFonts w:ascii="Arial" w:hAnsi="Arial" w:cs="Arial"/>
          <w:sz w:val="16"/>
          <w:szCs w:val="16"/>
        </w:rPr>
        <w:t xml:space="preserve"> ‘Pathways to Impact’ </w:t>
      </w:r>
      <w:hyperlink r:id="rId3" w:history="1">
        <w:r w:rsidRPr="00254965">
          <w:rPr>
            <w:rStyle w:val="Hyperlink"/>
            <w:rFonts w:ascii="Arial" w:hAnsi="Arial" w:cs="Arial"/>
            <w:sz w:val="16"/>
            <w:szCs w:val="16"/>
          </w:rPr>
          <w:t>https://www.ukri.org/innovation/excellence-with-impact/</w:t>
        </w:r>
      </w:hyperlink>
      <w:r w:rsidRPr="00B10D13">
        <w:rPr>
          <w:rFonts w:ascii="Arial" w:hAnsi="Arial" w:cs="Arial"/>
          <w:sz w:val="16"/>
          <w:szCs w:val="16"/>
        </w:rPr>
        <w:t>; T</w:t>
      </w:r>
      <w:r>
        <w:rPr>
          <w:rFonts w:ascii="Arial" w:hAnsi="Arial" w:cs="Arial"/>
          <w:sz w:val="16"/>
          <w:szCs w:val="16"/>
        </w:rPr>
        <w:t>.</w:t>
      </w:r>
      <w:r w:rsidRPr="00B10D13">
        <w:rPr>
          <w:rFonts w:ascii="Arial" w:hAnsi="Arial" w:cs="Arial"/>
          <w:sz w:val="16"/>
          <w:szCs w:val="16"/>
        </w:rPr>
        <w:t xml:space="preserve"> Penfield </w:t>
      </w:r>
      <w:r>
        <w:rPr>
          <w:rFonts w:ascii="Arial" w:hAnsi="Arial" w:cs="Arial"/>
          <w:sz w:val="16"/>
          <w:szCs w:val="16"/>
        </w:rPr>
        <w:t>et al.</w:t>
      </w:r>
      <w:r w:rsidRPr="00B10D13">
        <w:rPr>
          <w:rFonts w:ascii="Arial" w:hAnsi="Arial" w:cs="Arial"/>
          <w:sz w:val="16"/>
          <w:szCs w:val="16"/>
        </w:rPr>
        <w:t xml:space="preserve">, ‘Assessment, evaluations, and definitions of research impact: A review’ (2014) 23 </w:t>
      </w:r>
      <w:r w:rsidRPr="00B10D13">
        <w:rPr>
          <w:rFonts w:ascii="Arial" w:hAnsi="Arial" w:cs="Arial"/>
          <w:i/>
          <w:sz w:val="16"/>
          <w:szCs w:val="16"/>
        </w:rPr>
        <w:t>Research Evaluation</w:t>
      </w:r>
      <w:r w:rsidRPr="00B10D13">
        <w:rPr>
          <w:rFonts w:ascii="Arial" w:hAnsi="Arial" w:cs="Arial"/>
          <w:sz w:val="16"/>
          <w:szCs w:val="16"/>
        </w:rPr>
        <w:t xml:space="preserve"> 21, 30; Manville,</w:t>
      </w:r>
      <w:r>
        <w:rPr>
          <w:rFonts w:ascii="Arial" w:hAnsi="Arial" w:cs="Arial"/>
          <w:sz w:val="16"/>
          <w:szCs w:val="16"/>
        </w:rPr>
        <w:t xml:space="preserve"> id., </w:t>
      </w:r>
      <w:r w:rsidRPr="00B10D13">
        <w:rPr>
          <w:rFonts w:ascii="Arial" w:hAnsi="Arial" w:cs="Arial"/>
          <w:sz w:val="16"/>
          <w:szCs w:val="16"/>
        </w:rPr>
        <w:t>23.</w:t>
      </w:r>
    </w:p>
  </w:footnote>
  <w:footnote w:id="6">
    <w:p w14:paraId="64E92B17" w14:textId="41842B31"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Pr>
          <w:rFonts w:ascii="Arial" w:hAnsi="Arial" w:cs="Arial"/>
          <w:sz w:val="16"/>
          <w:szCs w:val="16"/>
        </w:rPr>
        <w:t xml:space="preserve"> K. Campbell et al.</w:t>
      </w:r>
      <w:r w:rsidRPr="00B10D13">
        <w:rPr>
          <w:rFonts w:ascii="Arial" w:hAnsi="Arial" w:cs="Arial"/>
          <w:sz w:val="16"/>
          <w:szCs w:val="16"/>
        </w:rPr>
        <w:t xml:space="preserve">, ‘Ranking of United Kingdom law journals: An analysis of the Research Assessment Exercise 2001 submissions and results’ (2006) 33 </w:t>
      </w:r>
      <w:r>
        <w:rPr>
          <w:rFonts w:ascii="Arial" w:hAnsi="Arial" w:cs="Arial"/>
          <w:i/>
          <w:sz w:val="16"/>
          <w:szCs w:val="16"/>
        </w:rPr>
        <w:t>J</w:t>
      </w:r>
      <w:r w:rsidRPr="00B10D13">
        <w:rPr>
          <w:rFonts w:ascii="Arial" w:hAnsi="Arial" w:cs="Arial"/>
          <w:i/>
          <w:sz w:val="16"/>
          <w:szCs w:val="16"/>
        </w:rPr>
        <w:t xml:space="preserve"> of Law and Society</w:t>
      </w:r>
      <w:r w:rsidRPr="00B10D13">
        <w:rPr>
          <w:rFonts w:ascii="Arial" w:hAnsi="Arial" w:cs="Arial"/>
          <w:sz w:val="16"/>
          <w:szCs w:val="16"/>
        </w:rPr>
        <w:t xml:space="preserve"> 335.</w:t>
      </w:r>
    </w:p>
  </w:footnote>
  <w:footnote w:id="7">
    <w:p w14:paraId="145C2B78" w14:textId="22D1A410"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The pilot case studies ahead of the REF did not include any from law: </w:t>
      </w:r>
      <w:r>
        <w:rPr>
          <w:rFonts w:ascii="Arial" w:hAnsi="Arial" w:cs="Arial"/>
          <w:sz w:val="16"/>
          <w:szCs w:val="16"/>
        </w:rPr>
        <w:t xml:space="preserve">HEFCE et al., </w:t>
      </w:r>
      <w:r w:rsidRPr="00B10D13">
        <w:rPr>
          <w:rFonts w:ascii="Arial" w:hAnsi="Arial" w:cs="Arial"/>
          <w:sz w:val="16"/>
          <w:szCs w:val="16"/>
        </w:rPr>
        <w:t>‘</w:t>
      </w:r>
      <w:r>
        <w:rPr>
          <w:rFonts w:ascii="Arial" w:hAnsi="Arial" w:cs="Arial"/>
          <w:sz w:val="16"/>
          <w:szCs w:val="16"/>
        </w:rPr>
        <w:t>Research Excellence Framework impact pilot e</w:t>
      </w:r>
      <w:r w:rsidRPr="00B10D13">
        <w:rPr>
          <w:rFonts w:ascii="Arial" w:hAnsi="Arial" w:cs="Arial"/>
          <w:sz w:val="16"/>
          <w:szCs w:val="16"/>
        </w:rPr>
        <w:t>xercise</w:t>
      </w:r>
      <w:r>
        <w:rPr>
          <w:rFonts w:ascii="Arial" w:hAnsi="Arial" w:cs="Arial"/>
          <w:sz w:val="16"/>
          <w:szCs w:val="16"/>
        </w:rPr>
        <w:t>: Findings of the Expert Panels</w:t>
      </w:r>
      <w:r w:rsidRPr="00B10D13">
        <w:rPr>
          <w:rFonts w:ascii="Arial" w:hAnsi="Arial" w:cs="Arial"/>
          <w:sz w:val="16"/>
          <w:szCs w:val="16"/>
        </w:rPr>
        <w:t xml:space="preserve">’, </w:t>
      </w:r>
      <w:r>
        <w:rPr>
          <w:rFonts w:ascii="Arial" w:hAnsi="Arial" w:cs="Arial"/>
          <w:sz w:val="16"/>
          <w:szCs w:val="16"/>
        </w:rPr>
        <w:t xml:space="preserve">November </w:t>
      </w:r>
      <w:r w:rsidRPr="00B10D13">
        <w:rPr>
          <w:rFonts w:ascii="Arial" w:hAnsi="Arial" w:cs="Arial"/>
          <w:sz w:val="16"/>
          <w:szCs w:val="16"/>
        </w:rPr>
        <w:t>2010</w:t>
      </w:r>
      <w:r>
        <w:rPr>
          <w:rFonts w:ascii="Arial" w:hAnsi="Arial" w:cs="Arial"/>
          <w:sz w:val="16"/>
          <w:szCs w:val="16"/>
        </w:rPr>
        <w:t xml:space="preserve">, Annex A. </w:t>
      </w:r>
      <w:r w:rsidRPr="00B10D13">
        <w:rPr>
          <w:rFonts w:ascii="Arial" w:hAnsi="Arial" w:cs="Arial"/>
          <w:sz w:val="16"/>
          <w:szCs w:val="16"/>
        </w:rPr>
        <w:t xml:space="preserve">Law was among the </w:t>
      </w:r>
      <w:r>
        <w:rPr>
          <w:rFonts w:ascii="Arial" w:hAnsi="Arial" w:cs="Arial"/>
          <w:sz w:val="16"/>
          <w:szCs w:val="16"/>
        </w:rPr>
        <w:t>disciplines examined by S. Bastow et al.</w:t>
      </w:r>
      <w:r w:rsidRPr="00B10D13">
        <w:rPr>
          <w:rFonts w:ascii="Arial" w:hAnsi="Arial" w:cs="Arial"/>
          <w:sz w:val="16"/>
          <w:szCs w:val="16"/>
        </w:rPr>
        <w:t xml:space="preserve">, </w:t>
      </w:r>
      <w:r w:rsidRPr="00B10D13">
        <w:rPr>
          <w:rFonts w:ascii="Arial" w:hAnsi="Arial" w:cs="Arial"/>
          <w:i/>
          <w:sz w:val="16"/>
          <w:szCs w:val="16"/>
        </w:rPr>
        <w:t>The Impact of the Social Sciences: How Academics and their Research Make a Difference</w:t>
      </w:r>
      <w:r w:rsidRPr="00B10D13">
        <w:rPr>
          <w:rFonts w:ascii="Arial" w:hAnsi="Arial" w:cs="Arial"/>
          <w:sz w:val="16"/>
          <w:szCs w:val="16"/>
        </w:rPr>
        <w:t xml:space="preserve"> (2014), but only one law academic was included at the detailed stage. A </w:t>
      </w:r>
      <w:r>
        <w:rPr>
          <w:rFonts w:ascii="Arial" w:hAnsi="Arial" w:cs="Arial"/>
          <w:sz w:val="16"/>
          <w:szCs w:val="16"/>
        </w:rPr>
        <w:t xml:space="preserve">Dutch </w:t>
      </w:r>
      <w:r w:rsidRPr="00B10D13">
        <w:rPr>
          <w:rFonts w:ascii="Arial" w:hAnsi="Arial" w:cs="Arial"/>
          <w:sz w:val="16"/>
          <w:szCs w:val="16"/>
        </w:rPr>
        <w:t xml:space="preserve">pilot study </w:t>
      </w:r>
      <w:r>
        <w:rPr>
          <w:rFonts w:ascii="Arial" w:hAnsi="Arial" w:cs="Arial"/>
          <w:sz w:val="16"/>
          <w:szCs w:val="16"/>
        </w:rPr>
        <w:t>considered law</w:t>
      </w:r>
      <w:r w:rsidRPr="00B10D13">
        <w:rPr>
          <w:rFonts w:ascii="Arial" w:hAnsi="Arial" w:cs="Arial"/>
          <w:sz w:val="16"/>
          <w:szCs w:val="16"/>
        </w:rPr>
        <w:t xml:space="preserve">: M Pen and J Spaapen, </w:t>
      </w:r>
      <w:r w:rsidRPr="00B10D13">
        <w:rPr>
          <w:rFonts w:ascii="Arial" w:hAnsi="Arial" w:cs="Arial"/>
          <w:i/>
          <w:sz w:val="16"/>
          <w:szCs w:val="16"/>
        </w:rPr>
        <w:t xml:space="preserve">ERiC – Evaluating Research in Context: Pilot Studie Faculteit Rechtsgerleerdheid VU – </w:t>
      </w:r>
      <w:proofErr w:type="spellStart"/>
      <w:r w:rsidRPr="00B10D13">
        <w:rPr>
          <w:rFonts w:ascii="Arial" w:hAnsi="Arial" w:cs="Arial"/>
          <w:i/>
          <w:sz w:val="16"/>
          <w:szCs w:val="16"/>
        </w:rPr>
        <w:t>Eind</w:t>
      </w:r>
      <w:proofErr w:type="spellEnd"/>
      <w:r w:rsidRPr="00B10D13">
        <w:rPr>
          <w:rFonts w:ascii="Arial" w:hAnsi="Arial" w:cs="Arial"/>
          <w:i/>
          <w:sz w:val="16"/>
          <w:szCs w:val="16"/>
        </w:rPr>
        <w:t xml:space="preserve"> rapport – </w:t>
      </w:r>
      <w:proofErr w:type="spellStart"/>
      <w:r w:rsidRPr="00B10D13">
        <w:rPr>
          <w:rFonts w:ascii="Arial" w:hAnsi="Arial" w:cs="Arial"/>
          <w:i/>
          <w:sz w:val="16"/>
          <w:szCs w:val="16"/>
        </w:rPr>
        <w:t>vertrouwelijk</w:t>
      </w:r>
      <w:proofErr w:type="spellEnd"/>
      <w:r w:rsidRPr="00B10D13">
        <w:rPr>
          <w:rFonts w:ascii="Arial" w:hAnsi="Arial" w:cs="Arial"/>
          <w:i/>
          <w:sz w:val="16"/>
          <w:szCs w:val="16"/>
        </w:rPr>
        <w:t xml:space="preserve"> [Final Report – confidential</w:t>
      </w:r>
      <w:r w:rsidRPr="00B10D13">
        <w:rPr>
          <w:rFonts w:ascii="Arial" w:hAnsi="Arial" w:cs="Arial"/>
          <w:sz w:val="16"/>
          <w:szCs w:val="16"/>
        </w:rPr>
        <w:t>], March 2010 (in Dutch</w:t>
      </w:r>
      <w:r>
        <w:rPr>
          <w:rFonts w:ascii="Arial" w:hAnsi="Arial" w:cs="Arial"/>
          <w:sz w:val="16"/>
          <w:szCs w:val="16"/>
        </w:rPr>
        <w:t>) (cited with the author’s</w:t>
      </w:r>
      <w:r w:rsidRPr="00B10D13">
        <w:rPr>
          <w:rFonts w:ascii="Arial" w:hAnsi="Arial" w:cs="Arial"/>
          <w:sz w:val="16"/>
          <w:szCs w:val="16"/>
        </w:rPr>
        <w:t xml:space="preserve"> permission</w:t>
      </w:r>
      <w:r>
        <w:rPr>
          <w:rFonts w:ascii="Arial" w:hAnsi="Arial" w:cs="Arial"/>
          <w:sz w:val="16"/>
          <w:szCs w:val="16"/>
        </w:rPr>
        <w:t xml:space="preserve">); in </w:t>
      </w:r>
      <w:r w:rsidRPr="00B10D13">
        <w:rPr>
          <w:rFonts w:ascii="Arial" w:hAnsi="Arial" w:cs="Arial"/>
          <w:sz w:val="16"/>
          <w:szCs w:val="16"/>
        </w:rPr>
        <w:t xml:space="preserve">English, see S de Jong </w:t>
      </w:r>
      <w:r>
        <w:rPr>
          <w:rFonts w:ascii="Arial" w:hAnsi="Arial" w:cs="Arial"/>
          <w:sz w:val="16"/>
          <w:szCs w:val="16"/>
        </w:rPr>
        <w:t>et al.</w:t>
      </w:r>
      <w:r w:rsidRPr="00B10D13">
        <w:rPr>
          <w:rFonts w:ascii="Arial" w:hAnsi="Arial" w:cs="Arial"/>
          <w:sz w:val="16"/>
          <w:szCs w:val="16"/>
        </w:rPr>
        <w:t xml:space="preserve">, ‘Evaluation of research in context: an approach and two cases’ (2011) 20(1) </w:t>
      </w:r>
      <w:r w:rsidRPr="00B10D13">
        <w:rPr>
          <w:rFonts w:ascii="Arial" w:hAnsi="Arial" w:cs="Arial"/>
          <w:i/>
          <w:sz w:val="16"/>
          <w:szCs w:val="16"/>
        </w:rPr>
        <w:t xml:space="preserve">Research Evaluation </w:t>
      </w:r>
      <w:r w:rsidRPr="00B10D13">
        <w:rPr>
          <w:rFonts w:ascii="Arial" w:hAnsi="Arial" w:cs="Arial"/>
          <w:sz w:val="16"/>
          <w:szCs w:val="16"/>
        </w:rPr>
        <w:t xml:space="preserve">61, 63, 66-71. In Australia, pilot work in 2006 </w:t>
      </w:r>
      <w:r>
        <w:rPr>
          <w:rFonts w:ascii="Arial" w:hAnsi="Arial" w:cs="Arial"/>
          <w:sz w:val="16"/>
          <w:szCs w:val="16"/>
        </w:rPr>
        <w:t>d</w:t>
      </w:r>
      <w:r w:rsidRPr="00B10D13">
        <w:rPr>
          <w:rFonts w:ascii="Arial" w:hAnsi="Arial" w:cs="Arial"/>
          <w:sz w:val="16"/>
          <w:szCs w:val="16"/>
        </w:rPr>
        <w:t xml:space="preserve">id not progress to discipline case studies (J Grant </w:t>
      </w:r>
      <w:r>
        <w:rPr>
          <w:rFonts w:ascii="Arial" w:hAnsi="Arial" w:cs="Arial"/>
          <w:sz w:val="16"/>
          <w:szCs w:val="16"/>
        </w:rPr>
        <w:t>et al.</w:t>
      </w:r>
      <w:r w:rsidRPr="00B10D13">
        <w:rPr>
          <w:rFonts w:ascii="Arial" w:hAnsi="Arial" w:cs="Arial"/>
          <w:sz w:val="16"/>
          <w:szCs w:val="16"/>
        </w:rPr>
        <w:t xml:space="preserve">, </w:t>
      </w:r>
      <w:r w:rsidRPr="00B10D13">
        <w:rPr>
          <w:rFonts w:ascii="Arial" w:hAnsi="Arial" w:cs="Arial"/>
          <w:i/>
          <w:sz w:val="16"/>
          <w:szCs w:val="16"/>
        </w:rPr>
        <w:t>Capturing Research Impacts: A review of international practice</w:t>
      </w:r>
      <w:r w:rsidRPr="00B10D13">
        <w:rPr>
          <w:rFonts w:ascii="Arial" w:hAnsi="Arial" w:cs="Arial"/>
          <w:sz w:val="16"/>
          <w:szCs w:val="16"/>
        </w:rPr>
        <w:t>, RAND Europe, 2010, 8)</w:t>
      </w:r>
      <w:r>
        <w:rPr>
          <w:rFonts w:ascii="Arial" w:hAnsi="Arial" w:cs="Arial"/>
          <w:sz w:val="16"/>
          <w:szCs w:val="16"/>
        </w:rPr>
        <w:t xml:space="preserve"> and a 2017 </w:t>
      </w:r>
      <w:r w:rsidRPr="00B10D13">
        <w:rPr>
          <w:rFonts w:ascii="Arial" w:hAnsi="Arial" w:cs="Arial"/>
          <w:sz w:val="16"/>
          <w:szCs w:val="16"/>
        </w:rPr>
        <w:t xml:space="preserve">pilot </w:t>
      </w:r>
      <w:r>
        <w:rPr>
          <w:rFonts w:ascii="Arial" w:hAnsi="Arial" w:cs="Arial"/>
          <w:sz w:val="16"/>
          <w:szCs w:val="16"/>
        </w:rPr>
        <w:t>did</w:t>
      </w:r>
      <w:r w:rsidRPr="00B10D13">
        <w:rPr>
          <w:rFonts w:ascii="Arial" w:hAnsi="Arial" w:cs="Arial"/>
          <w:sz w:val="16"/>
          <w:szCs w:val="16"/>
        </w:rPr>
        <w:t xml:space="preserve"> not include law</w:t>
      </w:r>
      <w:r>
        <w:rPr>
          <w:rFonts w:ascii="Arial" w:hAnsi="Arial" w:cs="Arial"/>
          <w:sz w:val="16"/>
          <w:szCs w:val="16"/>
        </w:rPr>
        <w:t xml:space="preserve"> (</w:t>
      </w:r>
      <w:r w:rsidRPr="00B10D13">
        <w:rPr>
          <w:rFonts w:ascii="Arial" w:hAnsi="Arial" w:cs="Arial"/>
          <w:sz w:val="16"/>
          <w:szCs w:val="16"/>
        </w:rPr>
        <w:t xml:space="preserve">‘EI: Pilot Overview’ </w:t>
      </w:r>
      <w:hyperlink r:id="rId4" w:history="1">
        <w:r w:rsidRPr="00B10D13">
          <w:rPr>
            <w:rStyle w:val="Hyperlink"/>
            <w:rFonts w:ascii="Arial" w:hAnsi="Arial" w:cs="Arial"/>
            <w:sz w:val="16"/>
            <w:szCs w:val="16"/>
          </w:rPr>
          <w:t>http://www.arc.gov.au/ei-pilot-overview</w:t>
        </w:r>
      </w:hyperlink>
      <w:r>
        <w:rPr>
          <w:rFonts w:ascii="Arial" w:hAnsi="Arial" w:cs="Arial"/>
          <w:sz w:val="16"/>
          <w:szCs w:val="16"/>
        </w:rPr>
        <w:t>).</w:t>
      </w:r>
    </w:p>
  </w:footnote>
  <w:footnote w:id="8">
    <w:p w14:paraId="4004C250" w14:textId="33C18E69"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M</w:t>
      </w:r>
      <w:r>
        <w:rPr>
          <w:rFonts w:ascii="Arial" w:hAnsi="Arial" w:cs="Arial"/>
          <w:sz w:val="16"/>
          <w:szCs w:val="16"/>
        </w:rPr>
        <w:t>.</w:t>
      </w:r>
      <w:r w:rsidRPr="00B10D13">
        <w:rPr>
          <w:rFonts w:ascii="Arial" w:hAnsi="Arial" w:cs="Arial"/>
          <w:sz w:val="16"/>
          <w:szCs w:val="16"/>
        </w:rPr>
        <w:t xml:space="preserve"> Lemay and C</w:t>
      </w:r>
      <w:r>
        <w:rPr>
          <w:rFonts w:ascii="Arial" w:hAnsi="Arial" w:cs="Arial"/>
          <w:sz w:val="16"/>
          <w:szCs w:val="16"/>
        </w:rPr>
        <w:t>.</w:t>
      </w:r>
      <w:r w:rsidRPr="00B10D13">
        <w:rPr>
          <w:rFonts w:ascii="Arial" w:hAnsi="Arial" w:cs="Arial"/>
          <w:sz w:val="16"/>
          <w:szCs w:val="16"/>
        </w:rPr>
        <w:t xml:space="preserve"> Sá, ‘The use of academic research in public health policy and practice’ (2014) 23 </w:t>
      </w:r>
      <w:r w:rsidRPr="00B10D13">
        <w:rPr>
          <w:rFonts w:ascii="Arial" w:hAnsi="Arial" w:cs="Arial"/>
          <w:i/>
          <w:sz w:val="16"/>
          <w:szCs w:val="16"/>
        </w:rPr>
        <w:t xml:space="preserve">Research Evaluation </w:t>
      </w:r>
      <w:r w:rsidRPr="00B10D13">
        <w:rPr>
          <w:rFonts w:ascii="Arial" w:hAnsi="Arial" w:cs="Arial"/>
          <w:sz w:val="16"/>
          <w:szCs w:val="16"/>
        </w:rPr>
        <w:t>79</w:t>
      </w:r>
      <w:r>
        <w:rPr>
          <w:rFonts w:ascii="Arial" w:hAnsi="Arial" w:cs="Arial"/>
          <w:sz w:val="16"/>
          <w:szCs w:val="16"/>
        </w:rPr>
        <w:t xml:space="preserve">; </w:t>
      </w:r>
      <w:r w:rsidRPr="00B10D13">
        <w:rPr>
          <w:rFonts w:ascii="Arial" w:hAnsi="Arial" w:cs="Arial"/>
          <w:sz w:val="16"/>
          <w:szCs w:val="16"/>
        </w:rPr>
        <w:t>S</w:t>
      </w:r>
      <w:r>
        <w:rPr>
          <w:rFonts w:ascii="Arial" w:hAnsi="Arial" w:cs="Arial"/>
          <w:sz w:val="16"/>
          <w:szCs w:val="16"/>
        </w:rPr>
        <w:t>.</w:t>
      </w:r>
      <w:r w:rsidRPr="00B10D13">
        <w:rPr>
          <w:rFonts w:ascii="Arial" w:hAnsi="Arial" w:cs="Arial"/>
          <w:sz w:val="16"/>
          <w:szCs w:val="16"/>
        </w:rPr>
        <w:t xml:space="preserve"> de Jong </w:t>
      </w:r>
      <w:r>
        <w:rPr>
          <w:rFonts w:ascii="Arial" w:hAnsi="Arial" w:cs="Arial"/>
          <w:sz w:val="16"/>
          <w:szCs w:val="16"/>
        </w:rPr>
        <w:t>et al.</w:t>
      </w:r>
      <w:r w:rsidRPr="00B10D13">
        <w:rPr>
          <w:rFonts w:ascii="Arial" w:hAnsi="Arial" w:cs="Arial"/>
          <w:sz w:val="16"/>
          <w:szCs w:val="16"/>
        </w:rPr>
        <w:t xml:space="preserve">, ‘Understanding societal impact through productive interactions: ICT research as a case’ (2014) 23(2) </w:t>
      </w:r>
      <w:r w:rsidRPr="00B10D13">
        <w:rPr>
          <w:rFonts w:ascii="Arial" w:hAnsi="Arial" w:cs="Arial"/>
          <w:i/>
          <w:sz w:val="16"/>
          <w:szCs w:val="16"/>
        </w:rPr>
        <w:t>Research Evaluation</w:t>
      </w:r>
      <w:r w:rsidRPr="00B10D13">
        <w:rPr>
          <w:rFonts w:ascii="Arial" w:hAnsi="Arial" w:cs="Arial"/>
          <w:sz w:val="16"/>
          <w:szCs w:val="16"/>
        </w:rPr>
        <w:t xml:space="preserve"> 89, 91.</w:t>
      </w:r>
      <w:r>
        <w:rPr>
          <w:rFonts w:ascii="Arial" w:hAnsi="Arial" w:cs="Arial"/>
          <w:sz w:val="16"/>
          <w:szCs w:val="16"/>
        </w:rPr>
        <w:t xml:space="preserve"> </w:t>
      </w:r>
      <w:r w:rsidRPr="00B10D13">
        <w:rPr>
          <w:rFonts w:ascii="Arial" w:hAnsi="Arial" w:cs="Arial"/>
          <w:sz w:val="16"/>
          <w:szCs w:val="16"/>
        </w:rPr>
        <w:t>See also K</w:t>
      </w:r>
      <w:r>
        <w:rPr>
          <w:rFonts w:ascii="Arial" w:hAnsi="Arial" w:cs="Arial"/>
          <w:sz w:val="16"/>
          <w:szCs w:val="16"/>
        </w:rPr>
        <w:t>.</w:t>
      </w:r>
      <w:r w:rsidRPr="00B10D13">
        <w:rPr>
          <w:rFonts w:ascii="Arial" w:hAnsi="Arial" w:cs="Arial"/>
          <w:sz w:val="16"/>
          <w:szCs w:val="16"/>
        </w:rPr>
        <w:t xml:space="preserve"> Husbands–</w:t>
      </w:r>
      <w:proofErr w:type="spellStart"/>
      <w:r w:rsidRPr="00B10D13">
        <w:rPr>
          <w:rFonts w:ascii="Arial" w:hAnsi="Arial" w:cs="Arial"/>
          <w:sz w:val="16"/>
          <w:szCs w:val="16"/>
        </w:rPr>
        <w:t>Fealing</w:t>
      </w:r>
      <w:proofErr w:type="spellEnd"/>
      <w:r w:rsidRPr="00B10D13">
        <w:rPr>
          <w:rFonts w:ascii="Arial" w:hAnsi="Arial" w:cs="Arial"/>
          <w:sz w:val="16"/>
          <w:szCs w:val="16"/>
        </w:rPr>
        <w:t>, ‘Assessing impacts of higher education institutions’ in A</w:t>
      </w:r>
      <w:r>
        <w:rPr>
          <w:rFonts w:ascii="Arial" w:hAnsi="Arial" w:cs="Arial"/>
          <w:sz w:val="16"/>
          <w:szCs w:val="16"/>
        </w:rPr>
        <w:t>.</w:t>
      </w:r>
      <w:r w:rsidRPr="00B10D13">
        <w:rPr>
          <w:rFonts w:ascii="Arial" w:hAnsi="Arial" w:cs="Arial"/>
          <w:sz w:val="16"/>
          <w:szCs w:val="16"/>
        </w:rPr>
        <w:t xml:space="preserve"> Dean </w:t>
      </w:r>
      <w:r>
        <w:rPr>
          <w:rFonts w:ascii="Arial" w:hAnsi="Arial" w:cs="Arial"/>
          <w:sz w:val="16"/>
          <w:szCs w:val="16"/>
        </w:rPr>
        <w:t>et al.,</w:t>
      </w:r>
      <w:r w:rsidRPr="00B10D13">
        <w:rPr>
          <w:rFonts w:ascii="Arial" w:hAnsi="Arial" w:cs="Arial"/>
          <w:sz w:val="16"/>
          <w:szCs w:val="16"/>
        </w:rPr>
        <w:t xml:space="preserve"> (eds</w:t>
      </w:r>
      <w:r w:rsidR="00BD72AA">
        <w:rPr>
          <w:rFonts w:ascii="Arial" w:hAnsi="Arial" w:cs="Arial"/>
          <w:sz w:val="16"/>
          <w:szCs w:val="16"/>
        </w:rPr>
        <w:t>.</w:t>
      </w:r>
      <w:r w:rsidRPr="00B10D13">
        <w:rPr>
          <w:rFonts w:ascii="Arial" w:hAnsi="Arial" w:cs="Arial"/>
          <w:sz w:val="16"/>
          <w:szCs w:val="16"/>
        </w:rPr>
        <w:t xml:space="preserve">), </w:t>
      </w:r>
      <w:r w:rsidRPr="00B10D13">
        <w:rPr>
          <w:rFonts w:ascii="Arial" w:hAnsi="Arial" w:cs="Arial"/>
          <w:i/>
          <w:sz w:val="16"/>
          <w:szCs w:val="16"/>
        </w:rPr>
        <w:t>7 Essays on Impact: DESCRIBE Project Report for JISC</w:t>
      </w:r>
      <w:r>
        <w:rPr>
          <w:rFonts w:ascii="Arial" w:hAnsi="Arial" w:cs="Arial"/>
          <w:sz w:val="16"/>
          <w:szCs w:val="16"/>
        </w:rPr>
        <w:t xml:space="preserve"> (</w:t>
      </w:r>
      <w:r w:rsidRPr="00B10D13">
        <w:rPr>
          <w:rFonts w:ascii="Arial" w:hAnsi="Arial" w:cs="Arial"/>
          <w:sz w:val="16"/>
          <w:szCs w:val="16"/>
        </w:rPr>
        <w:t>2013</w:t>
      </w:r>
      <w:r>
        <w:rPr>
          <w:rFonts w:ascii="Arial" w:hAnsi="Arial" w:cs="Arial"/>
          <w:sz w:val="16"/>
          <w:szCs w:val="16"/>
        </w:rPr>
        <w:t>)</w:t>
      </w:r>
      <w:r w:rsidRPr="00B10D13">
        <w:rPr>
          <w:rFonts w:ascii="Arial" w:hAnsi="Arial" w:cs="Arial"/>
          <w:sz w:val="16"/>
          <w:szCs w:val="16"/>
        </w:rPr>
        <w:t xml:space="preserve">, 46; Penfield, </w:t>
      </w:r>
      <w:r>
        <w:rPr>
          <w:rFonts w:ascii="Arial" w:hAnsi="Arial" w:cs="Arial"/>
          <w:sz w:val="16"/>
          <w:szCs w:val="16"/>
        </w:rPr>
        <w:t>op. cit., n 5</w:t>
      </w:r>
      <w:r w:rsidRPr="00B10D13">
        <w:rPr>
          <w:rFonts w:ascii="Arial" w:hAnsi="Arial" w:cs="Arial"/>
          <w:sz w:val="16"/>
          <w:szCs w:val="16"/>
        </w:rPr>
        <w:t>, 26; L</w:t>
      </w:r>
      <w:r>
        <w:rPr>
          <w:rFonts w:ascii="Arial" w:hAnsi="Arial" w:cs="Arial"/>
          <w:sz w:val="16"/>
          <w:szCs w:val="16"/>
        </w:rPr>
        <w:t>.</w:t>
      </w:r>
      <w:r w:rsidRPr="00B10D13">
        <w:rPr>
          <w:rFonts w:ascii="Arial" w:hAnsi="Arial" w:cs="Arial"/>
          <w:sz w:val="16"/>
          <w:szCs w:val="16"/>
        </w:rPr>
        <w:t xml:space="preserve"> </w:t>
      </w:r>
      <w:proofErr w:type="spellStart"/>
      <w:r w:rsidRPr="00B10D13">
        <w:rPr>
          <w:rFonts w:ascii="Arial" w:hAnsi="Arial" w:cs="Arial"/>
          <w:sz w:val="16"/>
          <w:szCs w:val="16"/>
        </w:rPr>
        <w:t>Bornmann</w:t>
      </w:r>
      <w:proofErr w:type="spellEnd"/>
      <w:r w:rsidRPr="00B10D13">
        <w:rPr>
          <w:rFonts w:ascii="Arial" w:hAnsi="Arial" w:cs="Arial"/>
          <w:sz w:val="16"/>
          <w:szCs w:val="16"/>
        </w:rPr>
        <w:t xml:space="preserve">, ‘What is societal impact of research and how can it be assessed? </w:t>
      </w:r>
      <w:proofErr w:type="gramStart"/>
      <w:r w:rsidRPr="00B10D13">
        <w:rPr>
          <w:rFonts w:ascii="Arial" w:hAnsi="Arial" w:cs="Arial"/>
          <w:sz w:val="16"/>
          <w:szCs w:val="16"/>
        </w:rPr>
        <w:t xml:space="preserve">A literature survey’ (2013) 64 </w:t>
      </w:r>
      <w:r w:rsidRPr="00B10D13">
        <w:rPr>
          <w:rFonts w:ascii="Arial" w:hAnsi="Arial" w:cs="Arial"/>
          <w:i/>
          <w:sz w:val="16"/>
          <w:szCs w:val="16"/>
        </w:rPr>
        <w:t>Journal of the American Society for Information Science and Technology</w:t>
      </w:r>
      <w:r w:rsidRPr="00B10D13">
        <w:rPr>
          <w:rFonts w:ascii="Arial" w:hAnsi="Arial" w:cs="Arial"/>
          <w:sz w:val="16"/>
          <w:szCs w:val="16"/>
        </w:rPr>
        <w:t xml:space="preserve"> 217.</w:t>
      </w:r>
      <w:proofErr w:type="gramEnd"/>
      <w:r w:rsidRPr="00B10D13">
        <w:rPr>
          <w:rFonts w:ascii="Arial" w:hAnsi="Arial" w:cs="Arial"/>
          <w:sz w:val="16"/>
          <w:szCs w:val="16"/>
        </w:rPr>
        <w:t xml:space="preserve">  </w:t>
      </w:r>
    </w:p>
  </w:footnote>
  <w:footnote w:id="9">
    <w:p w14:paraId="59D8104A" w14:textId="1729355E"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J</w:t>
      </w:r>
      <w:r>
        <w:rPr>
          <w:rFonts w:ascii="Arial" w:hAnsi="Arial" w:cs="Arial"/>
          <w:sz w:val="16"/>
          <w:szCs w:val="16"/>
        </w:rPr>
        <w:t>.</w:t>
      </w:r>
      <w:r w:rsidRPr="00B10D13">
        <w:rPr>
          <w:rFonts w:ascii="Arial" w:hAnsi="Arial" w:cs="Arial"/>
          <w:sz w:val="16"/>
          <w:szCs w:val="16"/>
        </w:rPr>
        <w:t xml:space="preserve"> Spaapen and L</w:t>
      </w:r>
      <w:r>
        <w:rPr>
          <w:rFonts w:ascii="Arial" w:hAnsi="Arial" w:cs="Arial"/>
          <w:sz w:val="16"/>
          <w:szCs w:val="16"/>
        </w:rPr>
        <w:t>.</w:t>
      </w:r>
      <w:r w:rsidRPr="00B10D13">
        <w:rPr>
          <w:rFonts w:ascii="Arial" w:hAnsi="Arial" w:cs="Arial"/>
          <w:sz w:val="16"/>
          <w:szCs w:val="16"/>
        </w:rPr>
        <w:t xml:space="preserve"> van Drooge, ‘Introducing ‘productive interactions’ in social impact assessment’, (2011</w:t>
      </w:r>
      <w:r>
        <w:rPr>
          <w:rFonts w:ascii="Arial" w:hAnsi="Arial" w:cs="Arial"/>
          <w:sz w:val="16"/>
          <w:szCs w:val="16"/>
        </w:rPr>
        <w:t xml:space="preserve">) 20(3) </w:t>
      </w:r>
      <w:r w:rsidRPr="00876281">
        <w:rPr>
          <w:rFonts w:ascii="Arial" w:hAnsi="Arial" w:cs="Arial"/>
          <w:i/>
          <w:sz w:val="16"/>
          <w:szCs w:val="16"/>
        </w:rPr>
        <w:t xml:space="preserve">Research </w:t>
      </w:r>
      <w:proofErr w:type="gramStart"/>
      <w:r w:rsidRPr="00876281">
        <w:rPr>
          <w:rFonts w:ascii="Arial" w:hAnsi="Arial" w:cs="Arial"/>
          <w:i/>
          <w:sz w:val="16"/>
          <w:szCs w:val="16"/>
        </w:rPr>
        <w:t>Evaluation</w:t>
      </w:r>
      <w:proofErr w:type="gramEnd"/>
      <w:r>
        <w:rPr>
          <w:rFonts w:ascii="Arial" w:hAnsi="Arial" w:cs="Arial"/>
          <w:sz w:val="16"/>
          <w:szCs w:val="16"/>
        </w:rPr>
        <w:t xml:space="preserve"> 211</w:t>
      </w:r>
      <w:r w:rsidRPr="00B10D13">
        <w:rPr>
          <w:rFonts w:ascii="Arial" w:hAnsi="Arial" w:cs="Arial"/>
          <w:sz w:val="16"/>
          <w:szCs w:val="16"/>
        </w:rPr>
        <w:t>, 212.</w:t>
      </w:r>
    </w:p>
  </w:footnote>
  <w:footnote w:id="10">
    <w:p w14:paraId="397E7FD1" w14:textId="29E8AFD8"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Kings College London and Digital Science, </w:t>
      </w:r>
      <w:r w:rsidRPr="00B10D13">
        <w:rPr>
          <w:rFonts w:ascii="Arial" w:hAnsi="Arial" w:cs="Arial"/>
          <w:i/>
          <w:sz w:val="16"/>
          <w:szCs w:val="16"/>
        </w:rPr>
        <w:t>The nature, scale and beneficiaries of research impact: an initial analysis of Research Excellence Framework (REF) 2014 impact case studies</w:t>
      </w:r>
      <w:r>
        <w:rPr>
          <w:rFonts w:ascii="Arial" w:hAnsi="Arial" w:cs="Arial"/>
          <w:sz w:val="16"/>
          <w:szCs w:val="16"/>
        </w:rPr>
        <w:t xml:space="preserve"> (</w:t>
      </w:r>
      <w:r w:rsidRPr="00B10D13">
        <w:rPr>
          <w:rFonts w:ascii="Arial" w:hAnsi="Arial" w:cs="Arial"/>
          <w:sz w:val="16"/>
          <w:szCs w:val="16"/>
        </w:rPr>
        <w:t>2015</w:t>
      </w:r>
      <w:r>
        <w:rPr>
          <w:rFonts w:ascii="Arial" w:hAnsi="Arial" w:cs="Arial"/>
          <w:sz w:val="16"/>
          <w:szCs w:val="16"/>
        </w:rPr>
        <w:t>)</w:t>
      </w:r>
      <w:r w:rsidRPr="00B10D13">
        <w:rPr>
          <w:rFonts w:ascii="Arial" w:hAnsi="Arial" w:cs="Arial"/>
          <w:sz w:val="16"/>
          <w:szCs w:val="16"/>
        </w:rPr>
        <w:t>, 56</w:t>
      </w:r>
      <w:r w:rsidRPr="000E28F1">
        <w:rPr>
          <w:rFonts w:ascii="Arial" w:hAnsi="Arial" w:cs="Arial"/>
          <w:sz w:val="16"/>
          <w:szCs w:val="16"/>
        </w:rPr>
        <w:t>. REF</w:t>
      </w:r>
      <w:r w:rsidRPr="00B10D13">
        <w:rPr>
          <w:rFonts w:ascii="Arial" w:hAnsi="Arial" w:cs="Arial"/>
          <w:sz w:val="16"/>
          <w:szCs w:val="16"/>
        </w:rPr>
        <w:t xml:space="preserve"> guidelines do not privilege any particular type of impact and assessors were very conscious that all impact types should be assessed equally: C</w:t>
      </w:r>
      <w:r>
        <w:rPr>
          <w:rFonts w:ascii="Arial" w:hAnsi="Arial" w:cs="Arial"/>
          <w:sz w:val="16"/>
          <w:szCs w:val="16"/>
        </w:rPr>
        <w:t>.</w:t>
      </w:r>
      <w:r w:rsidRPr="00B10D13">
        <w:rPr>
          <w:rFonts w:ascii="Arial" w:hAnsi="Arial" w:cs="Arial"/>
          <w:sz w:val="16"/>
          <w:szCs w:val="16"/>
        </w:rPr>
        <w:t xml:space="preserve"> Manville </w:t>
      </w:r>
      <w:r>
        <w:rPr>
          <w:rFonts w:ascii="Arial" w:hAnsi="Arial" w:cs="Arial"/>
          <w:sz w:val="16"/>
          <w:szCs w:val="16"/>
        </w:rPr>
        <w:t>et al.</w:t>
      </w:r>
      <w:r w:rsidRPr="00B10D13">
        <w:rPr>
          <w:rFonts w:ascii="Arial" w:hAnsi="Arial" w:cs="Arial"/>
          <w:sz w:val="16"/>
          <w:szCs w:val="16"/>
        </w:rPr>
        <w:t xml:space="preserve">, </w:t>
      </w:r>
      <w:r w:rsidRPr="00B10D13">
        <w:rPr>
          <w:rFonts w:ascii="Arial" w:hAnsi="Arial" w:cs="Arial"/>
          <w:i/>
          <w:sz w:val="16"/>
          <w:szCs w:val="16"/>
        </w:rPr>
        <w:t>Assessing Impact Submissions for REF 2014: An Evaluation</w:t>
      </w:r>
      <w:r>
        <w:rPr>
          <w:rFonts w:ascii="Arial" w:hAnsi="Arial" w:cs="Arial"/>
          <w:sz w:val="16"/>
          <w:szCs w:val="16"/>
        </w:rPr>
        <w:t xml:space="preserve"> (</w:t>
      </w:r>
      <w:r w:rsidRPr="00B10D13">
        <w:rPr>
          <w:rFonts w:ascii="Arial" w:hAnsi="Arial" w:cs="Arial"/>
          <w:sz w:val="16"/>
          <w:szCs w:val="16"/>
        </w:rPr>
        <w:t>RAND Europe, 2015</w:t>
      </w:r>
      <w:r>
        <w:rPr>
          <w:rFonts w:ascii="Arial" w:hAnsi="Arial" w:cs="Arial"/>
          <w:sz w:val="16"/>
          <w:szCs w:val="16"/>
        </w:rPr>
        <w:t>)</w:t>
      </w:r>
      <w:r w:rsidRPr="00B10D13">
        <w:rPr>
          <w:rFonts w:ascii="Arial" w:hAnsi="Arial" w:cs="Arial"/>
          <w:sz w:val="16"/>
          <w:szCs w:val="16"/>
        </w:rPr>
        <w:t>, 30</w:t>
      </w:r>
      <w:r>
        <w:rPr>
          <w:rFonts w:ascii="Arial" w:hAnsi="Arial" w:cs="Arial"/>
          <w:sz w:val="16"/>
          <w:szCs w:val="16"/>
        </w:rPr>
        <w:t>.</w:t>
      </w:r>
    </w:p>
  </w:footnote>
  <w:footnote w:id="11">
    <w:p w14:paraId="3824AC2C" w14:textId="275951A6" w:rsidR="007B1D1B" w:rsidRPr="00B10D13" w:rsidRDefault="007B1D1B" w:rsidP="0095077D">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There is an emerging body of work on </w:t>
      </w:r>
      <w:r>
        <w:rPr>
          <w:rFonts w:ascii="Arial" w:hAnsi="Arial" w:cs="Arial"/>
          <w:sz w:val="16"/>
          <w:szCs w:val="16"/>
        </w:rPr>
        <w:t xml:space="preserve">research </w:t>
      </w:r>
      <w:r w:rsidRPr="00B10D13">
        <w:rPr>
          <w:rFonts w:ascii="Arial" w:hAnsi="Arial" w:cs="Arial"/>
          <w:sz w:val="16"/>
          <w:szCs w:val="16"/>
        </w:rPr>
        <w:t>impact in parliament (C</w:t>
      </w:r>
      <w:r>
        <w:rPr>
          <w:rFonts w:ascii="Arial" w:hAnsi="Arial" w:cs="Arial"/>
          <w:sz w:val="16"/>
          <w:szCs w:val="16"/>
        </w:rPr>
        <w:t>.</w:t>
      </w:r>
      <w:r w:rsidRPr="00B10D13">
        <w:rPr>
          <w:rFonts w:ascii="Arial" w:hAnsi="Arial" w:cs="Arial"/>
          <w:sz w:val="16"/>
          <w:szCs w:val="16"/>
        </w:rPr>
        <w:t xml:space="preserve"> Kenny, ‘The impact of academia on parliament’ LSE Impact Blog, 19 October 2015, </w:t>
      </w:r>
      <w:hyperlink r:id="rId5" w:history="1">
        <w:r w:rsidRPr="000E28F1">
          <w:rPr>
            <w:rStyle w:val="Hyperlink"/>
            <w:rFonts w:ascii="Arial" w:hAnsi="Arial" w:cs="Arial"/>
            <w:sz w:val="16"/>
            <w:szCs w:val="16"/>
          </w:rPr>
          <w:t>http://blogs.lse.ac.uk/impactofsocialsciences/2015/10/19/the-impact-of-uk-academia-on-parliament/</w:t>
        </w:r>
      </w:hyperlink>
      <w:r w:rsidRPr="000E28F1">
        <w:rPr>
          <w:rStyle w:val="Hyperlink"/>
          <w:rFonts w:ascii="Arial" w:hAnsi="Arial" w:cs="Arial"/>
          <w:sz w:val="16"/>
          <w:szCs w:val="16"/>
        </w:rPr>
        <w:t>)</w:t>
      </w:r>
      <w:r>
        <w:rPr>
          <w:rStyle w:val="Hyperlink"/>
          <w:rFonts w:ascii="Arial" w:hAnsi="Arial" w:cs="Arial"/>
          <w:sz w:val="16"/>
          <w:szCs w:val="16"/>
        </w:rPr>
        <w:t>;</w:t>
      </w:r>
      <w:r w:rsidRPr="000E28F1">
        <w:rPr>
          <w:rFonts w:ascii="Arial" w:hAnsi="Arial" w:cs="Arial"/>
          <w:sz w:val="16"/>
          <w:szCs w:val="16"/>
        </w:rPr>
        <w:t xml:space="preserve"> K. </w:t>
      </w:r>
      <w:proofErr w:type="spellStart"/>
      <w:r w:rsidRPr="000E28F1">
        <w:rPr>
          <w:rFonts w:ascii="Arial" w:hAnsi="Arial" w:cs="Arial"/>
          <w:sz w:val="16"/>
          <w:szCs w:val="16"/>
        </w:rPr>
        <w:t>Dommett</w:t>
      </w:r>
      <w:proofErr w:type="spellEnd"/>
      <w:r w:rsidRPr="000E28F1">
        <w:rPr>
          <w:rFonts w:ascii="Arial" w:hAnsi="Arial" w:cs="Arial"/>
          <w:sz w:val="16"/>
          <w:szCs w:val="16"/>
        </w:rPr>
        <w:t xml:space="preserve"> </w:t>
      </w:r>
      <w:r>
        <w:rPr>
          <w:rFonts w:ascii="Arial" w:hAnsi="Arial" w:cs="Arial"/>
          <w:sz w:val="16"/>
          <w:szCs w:val="16"/>
        </w:rPr>
        <w:t>et al.</w:t>
      </w:r>
      <w:r w:rsidRPr="000E28F1">
        <w:rPr>
          <w:rFonts w:ascii="Arial" w:hAnsi="Arial" w:cs="Arial"/>
          <w:sz w:val="16"/>
          <w:szCs w:val="16"/>
        </w:rPr>
        <w:t xml:space="preserve">, </w:t>
      </w:r>
      <w:r w:rsidRPr="000E28F1">
        <w:rPr>
          <w:rFonts w:ascii="Arial" w:hAnsi="Arial" w:cs="Arial"/>
          <w:i/>
          <w:sz w:val="16"/>
          <w:szCs w:val="16"/>
        </w:rPr>
        <w:t xml:space="preserve">A Recipe for Parliamentary Impact? </w:t>
      </w:r>
      <w:proofErr w:type="gramStart"/>
      <w:r w:rsidRPr="000E28F1">
        <w:rPr>
          <w:rFonts w:ascii="Arial" w:hAnsi="Arial" w:cs="Arial"/>
          <w:i/>
          <w:sz w:val="16"/>
          <w:szCs w:val="16"/>
        </w:rPr>
        <w:t>An Academic Guide to Effective Engagement</w:t>
      </w:r>
      <w:r>
        <w:rPr>
          <w:rFonts w:ascii="Arial" w:hAnsi="Arial" w:cs="Arial"/>
          <w:sz w:val="16"/>
          <w:szCs w:val="16"/>
        </w:rPr>
        <w:t xml:space="preserve"> (2016))</w:t>
      </w:r>
      <w:r w:rsidRPr="000E28F1">
        <w:rPr>
          <w:rFonts w:ascii="Arial" w:hAnsi="Arial" w:cs="Arial"/>
          <w:sz w:val="16"/>
          <w:szCs w:val="16"/>
        </w:rPr>
        <w:t>.</w:t>
      </w:r>
      <w:proofErr w:type="gramEnd"/>
    </w:p>
  </w:footnote>
  <w:footnote w:id="12">
    <w:p w14:paraId="65A87CB9" w14:textId="2F5F0585"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F943E3">
        <w:rPr>
          <w:rFonts w:ascii="Arial" w:hAnsi="Arial" w:cs="Arial"/>
          <w:sz w:val="16"/>
          <w:szCs w:val="16"/>
        </w:rPr>
        <w:t>REF 2021,</w:t>
      </w:r>
      <w:r w:rsidRPr="00B10D13">
        <w:rPr>
          <w:rFonts w:ascii="Arial" w:hAnsi="Arial" w:cs="Arial"/>
          <w:sz w:val="16"/>
          <w:szCs w:val="16"/>
        </w:rPr>
        <w:t xml:space="preserve"> </w:t>
      </w:r>
      <w:r>
        <w:rPr>
          <w:rFonts w:ascii="Arial" w:hAnsi="Arial" w:cs="Arial"/>
          <w:sz w:val="16"/>
          <w:szCs w:val="16"/>
        </w:rPr>
        <w:t xml:space="preserve">op. cit., n 2, [291]; </w:t>
      </w:r>
      <w:r w:rsidRPr="00B10D13">
        <w:rPr>
          <w:rFonts w:ascii="Arial" w:hAnsi="Arial" w:cs="Arial"/>
          <w:sz w:val="16"/>
          <w:szCs w:val="16"/>
        </w:rPr>
        <w:t xml:space="preserve">HEFCE, </w:t>
      </w:r>
      <w:r w:rsidRPr="00B10D13">
        <w:rPr>
          <w:rFonts w:ascii="Arial" w:hAnsi="Arial" w:cs="Arial"/>
          <w:i/>
          <w:sz w:val="16"/>
          <w:szCs w:val="16"/>
        </w:rPr>
        <w:t>Assessment Framework and Guidance on Submissions</w:t>
      </w:r>
      <w:r w:rsidRPr="00B10D13">
        <w:rPr>
          <w:rFonts w:ascii="Arial" w:hAnsi="Arial" w:cs="Arial"/>
          <w:sz w:val="16"/>
          <w:szCs w:val="16"/>
        </w:rPr>
        <w:t>, (updated Jan 2012), Annex C, 48.</w:t>
      </w:r>
      <w:proofErr w:type="gramEnd"/>
    </w:p>
  </w:footnote>
  <w:footnote w:id="13">
    <w:p w14:paraId="10693ABB" w14:textId="7D4888E2"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F943E3">
        <w:rPr>
          <w:rFonts w:ascii="Arial" w:hAnsi="Arial" w:cs="Arial"/>
          <w:sz w:val="16"/>
          <w:szCs w:val="16"/>
        </w:rPr>
        <w:t>REF 2021</w:t>
      </w:r>
      <w:r w:rsidRPr="00B10D13">
        <w:rPr>
          <w:rFonts w:ascii="Arial" w:hAnsi="Arial" w:cs="Arial"/>
          <w:sz w:val="16"/>
          <w:szCs w:val="16"/>
        </w:rPr>
        <w:t xml:space="preserve">, </w:t>
      </w:r>
      <w:r>
        <w:rPr>
          <w:rFonts w:ascii="Arial" w:hAnsi="Arial" w:cs="Arial"/>
          <w:sz w:val="16"/>
          <w:szCs w:val="16"/>
        </w:rPr>
        <w:t xml:space="preserve">id, </w:t>
      </w:r>
      <w:r w:rsidRPr="00B10D13">
        <w:rPr>
          <w:rFonts w:ascii="Arial" w:hAnsi="Arial" w:cs="Arial"/>
          <w:sz w:val="16"/>
          <w:szCs w:val="16"/>
        </w:rPr>
        <w:t>[292].</w:t>
      </w:r>
      <w:proofErr w:type="gramEnd"/>
    </w:p>
  </w:footnote>
  <w:footnote w:id="14">
    <w:p w14:paraId="504C4F7B" w14:textId="108B24ED"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ESRC, ‘Types of Impact?’ </w:t>
      </w:r>
      <w:proofErr w:type="gramStart"/>
      <w:r w:rsidRPr="00B10D13">
        <w:rPr>
          <w:rFonts w:ascii="Arial" w:hAnsi="Arial" w:cs="Arial"/>
          <w:sz w:val="16"/>
          <w:szCs w:val="16"/>
        </w:rPr>
        <w:t xml:space="preserve">Impact Toolkit, </w:t>
      </w:r>
      <w:hyperlink r:id="rId6" w:history="1">
        <w:r w:rsidRPr="00B10D13">
          <w:rPr>
            <w:rStyle w:val="Hyperlink"/>
            <w:rFonts w:ascii="Arial" w:hAnsi="Arial" w:cs="Arial"/>
            <w:sz w:val="16"/>
            <w:szCs w:val="16"/>
          </w:rPr>
          <w:t>http://www.esrc.ukri.org/research/impact-toolkit/what-is-impact/</w:t>
        </w:r>
      </w:hyperlink>
      <w:r w:rsidRPr="00B10D13">
        <w:rPr>
          <w:rFonts w:ascii="Arial" w:hAnsi="Arial" w:cs="Arial"/>
          <w:sz w:val="16"/>
          <w:szCs w:val="16"/>
        </w:rPr>
        <w:t>.</w:t>
      </w:r>
      <w:proofErr w:type="gramEnd"/>
    </w:p>
  </w:footnote>
  <w:footnote w:id="15">
    <w:p w14:paraId="2DD78023" w14:textId="5505F6FC"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Public engagement is of itself seen as </w:t>
      </w:r>
      <w:r>
        <w:rPr>
          <w:rFonts w:ascii="Arial" w:hAnsi="Arial" w:cs="Arial"/>
          <w:sz w:val="16"/>
          <w:szCs w:val="16"/>
        </w:rPr>
        <w:t xml:space="preserve">a </w:t>
      </w:r>
      <w:r w:rsidRPr="00B10D13">
        <w:rPr>
          <w:rFonts w:ascii="Arial" w:hAnsi="Arial" w:cs="Arial"/>
          <w:sz w:val="16"/>
          <w:szCs w:val="16"/>
        </w:rPr>
        <w:t>form of impact but is not address</w:t>
      </w:r>
      <w:r>
        <w:rPr>
          <w:rFonts w:ascii="Arial" w:hAnsi="Arial" w:cs="Arial"/>
          <w:sz w:val="16"/>
          <w:szCs w:val="16"/>
        </w:rPr>
        <w:t>ed</w:t>
      </w:r>
      <w:r w:rsidRPr="00B10D13">
        <w:rPr>
          <w:rFonts w:ascii="Arial" w:hAnsi="Arial" w:cs="Arial"/>
          <w:sz w:val="16"/>
          <w:szCs w:val="16"/>
        </w:rPr>
        <w:t xml:space="preserve"> here as it raises myriad issues beyond the scope of this study; </w:t>
      </w:r>
      <w:r w:rsidRPr="00502021">
        <w:rPr>
          <w:rFonts w:ascii="Arial" w:hAnsi="Arial" w:cs="Arial"/>
          <w:sz w:val="16"/>
          <w:szCs w:val="16"/>
        </w:rPr>
        <w:t>HEFCE, o</w:t>
      </w:r>
      <w:r>
        <w:rPr>
          <w:rFonts w:ascii="Arial" w:hAnsi="Arial" w:cs="Arial"/>
          <w:sz w:val="16"/>
          <w:szCs w:val="16"/>
        </w:rPr>
        <w:t xml:space="preserve">p. cit., </w:t>
      </w:r>
      <w:r w:rsidRPr="00B10D13">
        <w:rPr>
          <w:rFonts w:ascii="Arial" w:hAnsi="Arial" w:cs="Arial"/>
          <w:sz w:val="16"/>
          <w:szCs w:val="16"/>
        </w:rPr>
        <w:t>n</w:t>
      </w:r>
      <w:r>
        <w:rPr>
          <w:rFonts w:ascii="Arial" w:hAnsi="Arial" w:cs="Arial"/>
          <w:sz w:val="16"/>
          <w:szCs w:val="16"/>
        </w:rPr>
        <w:t>.</w:t>
      </w:r>
      <w:r w:rsidRPr="00B10D13">
        <w:rPr>
          <w:rFonts w:ascii="Arial" w:hAnsi="Arial" w:cs="Arial"/>
          <w:sz w:val="16"/>
          <w:szCs w:val="16"/>
        </w:rPr>
        <w:t xml:space="preserve"> 2, [78], [81]; </w:t>
      </w:r>
      <w:r w:rsidRPr="00825E3E">
        <w:rPr>
          <w:rFonts w:ascii="Arial" w:hAnsi="Arial" w:cs="Arial"/>
          <w:sz w:val="16"/>
          <w:szCs w:val="16"/>
        </w:rPr>
        <w:t xml:space="preserve">HEFCE </w:t>
      </w:r>
      <w:r w:rsidRPr="00825E3E">
        <w:rPr>
          <w:rFonts w:ascii="Arial" w:hAnsi="Arial" w:cs="Arial"/>
          <w:i/>
          <w:sz w:val="16"/>
          <w:szCs w:val="16"/>
        </w:rPr>
        <w:t>Initial Decisions on the Research Excellence Framework 2021</w:t>
      </w:r>
      <w:r>
        <w:rPr>
          <w:rFonts w:ascii="Arial" w:hAnsi="Arial" w:cs="Arial"/>
          <w:sz w:val="16"/>
          <w:szCs w:val="16"/>
        </w:rPr>
        <w:t xml:space="preserve"> (2017),</w:t>
      </w:r>
      <w:r w:rsidRPr="00825E3E">
        <w:rPr>
          <w:rFonts w:ascii="Arial" w:hAnsi="Arial" w:cs="Arial"/>
          <w:sz w:val="16"/>
          <w:szCs w:val="16"/>
        </w:rPr>
        <w:t xml:space="preserve"> [21]</w:t>
      </w:r>
      <w:r w:rsidRPr="00B10D13">
        <w:rPr>
          <w:rFonts w:ascii="Arial" w:hAnsi="Arial" w:cs="Arial"/>
          <w:sz w:val="16"/>
          <w:szCs w:val="16"/>
        </w:rPr>
        <w:t>.</w:t>
      </w:r>
    </w:p>
  </w:footnote>
  <w:footnote w:id="16">
    <w:p w14:paraId="595E4E9B" w14:textId="15C4AACC" w:rsidR="007B1D1B" w:rsidRPr="00B10D13" w:rsidRDefault="007B1D1B" w:rsidP="0055158B">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 xml:space="preserve">Lemay </w:t>
      </w:r>
      <w:r>
        <w:rPr>
          <w:rFonts w:ascii="Arial" w:hAnsi="Arial" w:cs="Arial"/>
          <w:sz w:val="16"/>
          <w:szCs w:val="16"/>
        </w:rPr>
        <w:t>and Sá, op. cit., n. 8</w:t>
      </w:r>
      <w:r w:rsidRPr="00B10D13">
        <w:rPr>
          <w:rFonts w:ascii="Arial" w:hAnsi="Arial" w:cs="Arial"/>
          <w:sz w:val="16"/>
          <w:szCs w:val="16"/>
        </w:rPr>
        <w:t>, 80.</w:t>
      </w:r>
      <w:proofErr w:type="gramEnd"/>
    </w:p>
  </w:footnote>
  <w:footnote w:id="17">
    <w:p w14:paraId="72098418" w14:textId="10C92101"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 xml:space="preserve">Bastow, </w:t>
      </w:r>
      <w:r>
        <w:rPr>
          <w:rFonts w:ascii="Arial" w:hAnsi="Arial" w:cs="Arial"/>
          <w:sz w:val="16"/>
          <w:szCs w:val="16"/>
        </w:rPr>
        <w:t>op. cit., n. 7</w:t>
      </w:r>
      <w:r w:rsidRPr="00B10D13">
        <w:rPr>
          <w:rFonts w:ascii="Arial" w:hAnsi="Arial" w:cs="Arial"/>
          <w:sz w:val="16"/>
          <w:szCs w:val="16"/>
        </w:rPr>
        <w:t>, 37.</w:t>
      </w:r>
      <w:proofErr w:type="gramEnd"/>
    </w:p>
  </w:footnote>
  <w:footnote w:id="18">
    <w:p w14:paraId="63C163C3" w14:textId="60E1087F" w:rsidR="007B1D1B" w:rsidRDefault="007B1D1B" w:rsidP="003C28E1">
      <w:pPr>
        <w:pStyle w:val="FootnoteText"/>
        <w:spacing w:after="120" w:line="312" w:lineRule="auto"/>
      </w:pPr>
      <w:r w:rsidRPr="003C28E1">
        <w:rPr>
          <w:rStyle w:val="FootnoteReference"/>
          <w:rFonts w:ascii="Arial" w:hAnsi="Arial" w:cs="Arial"/>
          <w:sz w:val="16"/>
          <w:szCs w:val="16"/>
        </w:rPr>
        <w:footnoteRef/>
      </w:r>
      <w:r w:rsidRPr="003C28E1">
        <w:rPr>
          <w:rStyle w:val="FootnoteReference"/>
          <w:rFonts w:ascii="Arial" w:hAnsi="Arial" w:cs="Arial"/>
          <w:sz w:val="16"/>
          <w:szCs w:val="16"/>
        </w:rPr>
        <w:t xml:space="preserve"> </w:t>
      </w:r>
      <w:r>
        <w:rPr>
          <w:rFonts w:ascii="Arial" w:hAnsi="Arial" w:cs="Arial"/>
          <w:sz w:val="16"/>
          <w:szCs w:val="16"/>
        </w:rPr>
        <w:t xml:space="preserve">Id., </w:t>
      </w:r>
      <w:r w:rsidRPr="00B10D13">
        <w:rPr>
          <w:rFonts w:ascii="Arial" w:hAnsi="Arial" w:cs="Arial"/>
          <w:sz w:val="16"/>
          <w:szCs w:val="16"/>
        </w:rPr>
        <w:t>53 (emphasis in original); L</w:t>
      </w:r>
      <w:r>
        <w:rPr>
          <w:rFonts w:ascii="Arial" w:hAnsi="Arial" w:cs="Arial"/>
          <w:sz w:val="16"/>
          <w:szCs w:val="16"/>
        </w:rPr>
        <w:t>.</w:t>
      </w:r>
      <w:r w:rsidRPr="00B10D13">
        <w:rPr>
          <w:rFonts w:ascii="Arial" w:hAnsi="Arial" w:cs="Arial"/>
          <w:sz w:val="16"/>
          <w:szCs w:val="16"/>
        </w:rPr>
        <w:t xml:space="preserve"> Meagher</w:t>
      </w:r>
      <w:r>
        <w:rPr>
          <w:rFonts w:ascii="Arial" w:hAnsi="Arial" w:cs="Arial"/>
          <w:sz w:val="16"/>
          <w:szCs w:val="16"/>
        </w:rPr>
        <w:t xml:space="preserve"> et al.</w:t>
      </w:r>
      <w:r w:rsidRPr="00B10D13">
        <w:rPr>
          <w:rFonts w:ascii="Arial" w:hAnsi="Arial" w:cs="Arial"/>
          <w:sz w:val="16"/>
          <w:szCs w:val="16"/>
        </w:rPr>
        <w:t xml:space="preserve">, ‘Flows of knowledge, expertise and influence: a method for assessing policy and practice impacts from social science research’ (2008) 17 </w:t>
      </w:r>
      <w:r w:rsidRPr="00876281">
        <w:rPr>
          <w:rFonts w:ascii="Arial" w:hAnsi="Arial" w:cs="Arial"/>
          <w:i/>
          <w:sz w:val="16"/>
          <w:szCs w:val="16"/>
        </w:rPr>
        <w:t>Research Evaluation</w:t>
      </w:r>
      <w:r w:rsidRPr="003C28E1">
        <w:rPr>
          <w:rFonts w:ascii="Arial" w:hAnsi="Arial" w:cs="Arial"/>
          <w:sz w:val="16"/>
          <w:szCs w:val="16"/>
        </w:rPr>
        <w:t xml:space="preserve"> </w:t>
      </w:r>
      <w:r w:rsidRPr="00B10D13">
        <w:rPr>
          <w:rFonts w:ascii="Arial" w:hAnsi="Arial" w:cs="Arial"/>
          <w:sz w:val="16"/>
          <w:szCs w:val="16"/>
        </w:rPr>
        <w:t>163</w:t>
      </w:r>
      <w:r>
        <w:rPr>
          <w:rFonts w:ascii="Arial" w:hAnsi="Arial" w:cs="Arial"/>
          <w:sz w:val="16"/>
          <w:szCs w:val="16"/>
        </w:rPr>
        <w:t xml:space="preserve">. </w:t>
      </w:r>
    </w:p>
  </w:footnote>
  <w:footnote w:id="19">
    <w:p w14:paraId="7C55D5C6" w14:textId="1BAD7365"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Pr>
          <w:rFonts w:ascii="Arial" w:hAnsi="Arial" w:cs="Arial"/>
          <w:sz w:val="16"/>
          <w:szCs w:val="16"/>
        </w:rPr>
        <w:t xml:space="preserve"> Australian Government et al.</w:t>
      </w:r>
      <w:r w:rsidRPr="00B10D13">
        <w:rPr>
          <w:rFonts w:ascii="Arial" w:hAnsi="Arial" w:cs="Arial"/>
          <w:sz w:val="16"/>
          <w:szCs w:val="16"/>
        </w:rPr>
        <w:t xml:space="preserve">, </w:t>
      </w:r>
      <w:r w:rsidRPr="00B10D13">
        <w:rPr>
          <w:rFonts w:ascii="Arial" w:hAnsi="Arial" w:cs="Arial"/>
          <w:i/>
          <w:sz w:val="16"/>
          <w:szCs w:val="16"/>
        </w:rPr>
        <w:t>Engagement and Impact Assessment Consultation Paper</w:t>
      </w:r>
      <w:r>
        <w:rPr>
          <w:rFonts w:ascii="Arial" w:hAnsi="Arial" w:cs="Arial"/>
          <w:sz w:val="16"/>
          <w:szCs w:val="16"/>
        </w:rPr>
        <w:t xml:space="preserve"> (</w:t>
      </w:r>
      <w:r w:rsidRPr="00B10D13">
        <w:rPr>
          <w:rFonts w:ascii="Arial" w:hAnsi="Arial" w:cs="Arial"/>
          <w:sz w:val="16"/>
          <w:szCs w:val="16"/>
        </w:rPr>
        <w:t>2016</w:t>
      </w:r>
      <w:r>
        <w:rPr>
          <w:rFonts w:ascii="Arial" w:hAnsi="Arial" w:cs="Arial"/>
          <w:sz w:val="16"/>
          <w:szCs w:val="16"/>
        </w:rPr>
        <w:t>)</w:t>
      </w:r>
      <w:r w:rsidRPr="00B10D13">
        <w:rPr>
          <w:rFonts w:ascii="Arial" w:hAnsi="Arial" w:cs="Arial"/>
          <w:sz w:val="16"/>
          <w:szCs w:val="16"/>
        </w:rPr>
        <w:t xml:space="preserve">, 6, citing Academy of Technological Sciences and Engineering, </w:t>
      </w:r>
      <w:r w:rsidRPr="00B10D13">
        <w:rPr>
          <w:rFonts w:ascii="Arial" w:hAnsi="Arial" w:cs="Arial"/>
          <w:i/>
          <w:sz w:val="16"/>
          <w:szCs w:val="16"/>
        </w:rPr>
        <w:t xml:space="preserve">Research Engagement for Australia: Measuring Research Engagement </w:t>
      </w:r>
      <w:proofErr w:type="gramStart"/>
      <w:r w:rsidRPr="00B10D13">
        <w:rPr>
          <w:rFonts w:ascii="Arial" w:hAnsi="Arial" w:cs="Arial"/>
          <w:i/>
          <w:sz w:val="16"/>
          <w:szCs w:val="16"/>
        </w:rPr>
        <w:t>Between</w:t>
      </w:r>
      <w:proofErr w:type="gramEnd"/>
      <w:r w:rsidRPr="00B10D13">
        <w:rPr>
          <w:rFonts w:ascii="Arial" w:hAnsi="Arial" w:cs="Arial"/>
          <w:i/>
          <w:sz w:val="16"/>
          <w:szCs w:val="16"/>
        </w:rPr>
        <w:t xml:space="preserve"> Universities and End Users</w:t>
      </w:r>
      <w:r>
        <w:rPr>
          <w:rFonts w:ascii="Arial" w:hAnsi="Arial" w:cs="Arial"/>
          <w:sz w:val="16"/>
          <w:szCs w:val="16"/>
        </w:rPr>
        <w:t xml:space="preserve"> (</w:t>
      </w:r>
      <w:r w:rsidRPr="00B10D13">
        <w:rPr>
          <w:rFonts w:ascii="Arial" w:hAnsi="Arial" w:cs="Arial"/>
          <w:sz w:val="16"/>
          <w:szCs w:val="16"/>
        </w:rPr>
        <w:t>2015</w:t>
      </w:r>
      <w:r>
        <w:rPr>
          <w:rFonts w:ascii="Arial" w:hAnsi="Arial" w:cs="Arial"/>
          <w:sz w:val="16"/>
          <w:szCs w:val="16"/>
        </w:rPr>
        <w:t>)</w:t>
      </w:r>
      <w:r w:rsidRPr="00B10D13">
        <w:rPr>
          <w:rFonts w:ascii="Arial" w:hAnsi="Arial" w:cs="Arial"/>
          <w:sz w:val="16"/>
          <w:szCs w:val="16"/>
        </w:rPr>
        <w:t>, 7.</w:t>
      </w:r>
    </w:p>
  </w:footnote>
  <w:footnote w:id="20">
    <w:p w14:paraId="6724E05F" w14:textId="45B913AF" w:rsidR="007B1D1B" w:rsidRPr="00B10D13" w:rsidRDefault="007B1D1B" w:rsidP="00B3391A">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 xml:space="preserve">‘The SIAMPI approach’, 24 July 2012 </w:t>
      </w:r>
      <w:hyperlink r:id="rId7" w:history="1">
        <w:r w:rsidRPr="00B10D13">
          <w:rPr>
            <w:rStyle w:val="Hyperlink"/>
            <w:rFonts w:ascii="Arial" w:hAnsi="Arial" w:cs="Arial"/>
            <w:sz w:val="16"/>
            <w:szCs w:val="16"/>
          </w:rPr>
          <w:t>http://www.siampi.eu/642.bGFuZz1FTkc.html</w:t>
        </w:r>
      </w:hyperlink>
      <w:r w:rsidRPr="00B10D13">
        <w:rPr>
          <w:rFonts w:ascii="Arial" w:hAnsi="Arial" w:cs="Arial"/>
          <w:sz w:val="16"/>
          <w:szCs w:val="16"/>
        </w:rPr>
        <w:t xml:space="preserve">; J Spaapen </w:t>
      </w:r>
      <w:r>
        <w:rPr>
          <w:rFonts w:ascii="Arial" w:hAnsi="Arial" w:cs="Arial"/>
          <w:sz w:val="16"/>
          <w:szCs w:val="16"/>
        </w:rPr>
        <w:t>et al.</w:t>
      </w:r>
      <w:r w:rsidRPr="00B10D13">
        <w:rPr>
          <w:rFonts w:ascii="Arial" w:hAnsi="Arial" w:cs="Arial"/>
          <w:sz w:val="16"/>
          <w:szCs w:val="16"/>
        </w:rPr>
        <w:t xml:space="preserve">, </w:t>
      </w:r>
      <w:r w:rsidRPr="00B10D13">
        <w:rPr>
          <w:rFonts w:ascii="Arial" w:hAnsi="Arial" w:cs="Arial"/>
          <w:i/>
          <w:sz w:val="16"/>
          <w:szCs w:val="16"/>
        </w:rPr>
        <w:t>SIAMPI final report</w:t>
      </w:r>
      <w:r>
        <w:rPr>
          <w:rFonts w:ascii="Arial" w:hAnsi="Arial" w:cs="Arial"/>
          <w:sz w:val="16"/>
          <w:szCs w:val="16"/>
        </w:rPr>
        <w:t xml:space="preserve"> (c</w:t>
      </w:r>
      <w:r w:rsidRPr="00B10D13">
        <w:rPr>
          <w:rFonts w:ascii="Arial" w:hAnsi="Arial" w:cs="Arial"/>
          <w:sz w:val="16"/>
          <w:szCs w:val="16"/>
        </w:rPr>
        <w:t>2012</w:t>
      </w:r>
      <w:r>
        <w:rPr>
          <w:rFonts w:ascii="Arial" w:hAnsi="Arial" w:cs="Arial"/>
          <w:sz w:val="16"/>
          <w:szCs w:val="16"/>
        </w:rPr>
        <w:t>)</w:t>
      </w:r>
      <w:r w:rsidRPr="00B10D13">
        <w:rPr>
          <w:rFonts w:ascii="Arial" w:hAnsi="Arial" w:cs="Arial"/>
          <w:sz w:val="16"/>
          <w:szCs w:val="16"/>
        </w:rPr>
        <w:t xml:space="preserve">, </w:t>
      </w:r>
      <w:hyperlink r:id="rId8" w:history="1">
        <w:r w:rsidRPr="00B10D13">
          <w:rPr>
            <w:rStyle w:val="Hyperlink"/>
            <w:rFonts w:ascii="Arial" w:hAnsi="Arial" w:cs="Arial"/>
            <w:sz w:val="16"/>
            <w:szCs w:val="16"/>
          </w:rPr>
          <w:t>http://www.siampi.eu/Content/SIAMPI_Final%20report.pdf</w:t>
        </w:r>
      </w:hyperlink>
      <w:r w:rsidRPr="00B10D13">
        <w:rPr>
          <w:rFonts w:ascii="Arial" w:hAnsi="Arial" w:cs="Arial"/>
          <w:sz w:val="16"/>
          <w:szCs w:val="16"/>
        </w:rPr>
        <w:t>.</w:t>
      </w:r>
      <w:proofErr w:type="gramEnd"/>
      <w:r w:rsidRPr="00B10D13">
        <w:rPr>
          <w:rFonts w:ascii="Arial" w:hAnsi="Arial" w:cs="Arial"/>
          <w:sz w:val="16"/>
          <w:szCs w:val="16"/>
        </w:rPr>
        <w:t xml:space="preserve"> </w:t>
      </w:r>
    </w:p>
  </w:footnote>
  <w:footnote w:id="21">
    <w:p w14:paraId="7EA7FC5B" w14:textId="0DE2C77D"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Pr>
          <w:rFonts w:ascii="Arial" w:hAnsi="Arial" w:cs="Arial"/>
          <w:sz w:val="16"/>
          <w:szCs w:val="16"/>
        </w:rPr>
        <w:t xml:space="preserve"> </w:t>
      </w:r>
      <w:proofErr w:type="gramStart"/>
      <w:r>
        <w:rPr>
          <w:rFonts w:ascii="Arial" w:hAnsi="Arial" w:cs="Arial"/>
          <w:sz w:val="16"/>
          <w:szCs w:val="16"/>
        </w:rPr>
        <w:t xml:space="preserve">Spaapen and </w:t>
      </w:r>
      <w:r w:rsidRPr="00B10D13">
        <w:rPr>
          <w:rFonts w:ascii="Arial" w:hAnsi="Arial" w:cs="Arial"/>
          <w:sz w:val="16"/>
          <w:szCs w:val="16"/>
        </w:rPr>
        <w:t xml:space="preserve">van Drooge, </w:t>
      </w:r>
      <w:r>
        <w:rPr>
          <w:rFonts w:ascii="Arial" w:hAnsi="Arial" w:cs="Arial"/>
          <w:sz w:val="16"/>
          <w:szCs w:val="16"/>
        </w:rPr>
        <w:t xml:space="preserve">op. cit., n 9, 212 (emphasis in original); </w:t>
      </w:r>
      <w:r w:rsidRPr="00B10D13">
        <w:rPr>
          <w:rFonts w:ascii="Arial" w:hAnsi="Arial" w:cs="Arial"/>
          <w:sz w:val="16"/>
          <w:szCs w:val="16"/>
        </w:rPr>
        <w:t>Spaapen</w:t>
      </w:r>
      <w:r>
        <w:rPr>
          <w:rFonts w:ascii="Arial" w:hAnsi="Arial" w:cs="Arial"/>
          <w:sz w:val="16"/>
          <w:szCs w:val="16"/>
        </w:rPr>
        <w:t xml:space="preserve"> et al.</w:t>
      </w:r>
      <w:r w:rsidRPr="00B10D13">
        <w:rPr>
          <w:rFonts w:ascii="Arial" w:hAnsi="Arial" w:cs="Arial"/>
          <w:sz w:val="16"/>
          <w:szCs w:val="16"/>
        </w:rPr>
        <w:t xml:space="preserve">, </w:t>
      </w:r>
      <w:r>
        <w:rPr>
          <w:rFonts w:ascii="Arial" w:hAnsi="Arial" w:cs="Arial"/>
          <w:sz w:val="16"/>
          <w:szCs w:val="16"/>
        </w:rPr>
        <w:t>id</w:t>
      </w:r>
      <w:r w:rsidRPr="00B10D13">
        <w:rPr>
          <w:rFonts w:ascii="Arial" w:hAnsi="Arial" w:cs="Arial"/>
          <w:sz w:val="16"/>
          <w:szCs w:val="16"/>
        </w:rPr>
        <w:t>, 2-4.</w:t>
      </w:r>
      <w:proofErr w:type="gramEnd"/>
    </w:p>
  </w:footnote>
  <w:footnote w:id="22">
    <w:p w14:paraId="2E6CA8DB" w14:textId="16BB5005"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 xml:space="preserve">Spaapen and van Drooge, </w:t>
      </w:r>
      <w:r>
        <w:rPr>
          <w:rFonts w:ascii="Arial" w:hAnsi="Arial" w:cs="Arial"/>
          <w:sz w:val="16"/>
          <w:szCs w:val="16"/>
        </w:rPr>
        <w:t>id.</w:t>
      </w:r>
      <w:r w:rsidRPr="00B10D13">
        <w:rPr>
          <w:rFonts w:ascii="Arial" w:hAnsi="Arial" w:cs="Arial"/>
          <w:sz w:val="16"/>
          <w:szCs w:val="16"/>
        </w:rPr>
        <w:t>, 213.</w:t>
      </w:r>
      <w:proofErr w:type="gramEnd"/>
    </w:p>
  </w:footnote>
  <w:footnote w:id="23">
    <w:p w14:paraId="65B5F1FE" w14:textId="2AF99919" w:rsidR="007B1D1B" w:rsidRPr="00B10D13" w:rsidRDefault="007B1D1B" w:rsidP="00B3391A">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Pr>
          <w:rFonts w:ascii="Arial" w:hAnsi="Arial" w:cs="Arial"/>
          <w:sz w:val="16"/>
          <w:szCs w:val="16"/>
        </w:rPr>
        <w:t xml:space="preserve"> </w:t>
      </w:r>
      <w:proofErr w:type="gramStart"/>
      <w:r>
        <w:rPr>
          <w:rFonts w:ascii="Arial" w:hAnsi="Arial" w:cs="Arial"/>
          <w:sz w:val="16"/>
          <w:szCs w:val="16"/>
        </w:rPr>
        <w:t>I</w:t>
      </w:r>
      <w:r w:rsidRPr="00B10D13">
        <w:rPr>
          <w:rFonts w:ascii="Arial" w:hAnsi="Arial" w:cs="Arial"/>
          <w:sz w:val="16"/>
          <w:szCs w:val="16"/>
        </w:rPr>
        <w:t>d</w:t>
      </w:r>
      <w:r>
        <w:rPr>
          <w:rFonts w:ascii="Arial" w:hAnsi="Arial" w:cs="Arial"/>
          <w:sz w:val="16"/>
          <w:szCs w:val="16"/>
        </w:rPr>
        <w:t>.</w:t>
      </w:r>
      <w:r w:rsidRPr="00B10D13">
        <w:rPr>
          <w:rFonts w:ascii="Arial" w:hAnsi="Arial" w:cs="Arial"/>
          <w:sz w:val="16"/>
          <w:szCs w:val="16"/>
        </w:rPr>
        <w:t>, 216.</w:t>
      </w:r>
      <w:proofErr w:type="gramEnd"/>
    </w:p>
  </w:footnote>
  <w:footnote w:id="24">
    <w:p w14:paraId="7239D6A8" w14:textId="4727CEA3"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Cf. the de Jong SIAMPI study, </w:t>
      </w:r>
      <w:r>
        <w:rPr>
          <w:rFonts w:ascii="Arial" w:hAnsi="Arial" w:cs="Arial"/>
          <w:sz w:val="16"/>
          <w:szCs w:val="16"/>
        </w:rPr>
        <w:t>op. cit., n 7</w:t>
      </w:r>
      <w:r w:rsidRPr="00B10D13">
        <w:rPr>
          <w:rFonts w:ascii="Arial" w:hAnsi="Arial" w:cs="Arial"/>
          <w:sz w:val="16"/>
          <w:szCs w:val="16"/>
        </w:rPr>
        <w:t xml:space="preserve">, which took one academic department, interviewed 22 researchers and 8 stakeholders, and conducted document analysis. </w:t>
      </w:r>
    </w:p>
  </w:footnote>
  <w:footnote w:id="25">
    <w:p w14:paraId="0553579D" w14:textId="62B03969"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Manville, </w:t>
      </w:r>
      <w:r>
        <w:rPr>
          <w:rFonts w:ascii="Arial" w:hAnsi="Arial" w:cs="Arial"/>
          <w:sz w:val="16"/>
          <w:szCs w:val="16"/>
        </w:rPr>
        <w:t>op. cit., n. 10</w:t>
      </w:r>
      <w:r w:rsidRPr="00B10D13">
        <w:rPr>
          <w:rFonts w:ascii="Arial" w:hAnsi="Arial" w:cs="Arial"/>
          <w:sz w:val="16"/>
          <w:szCs w:val="16"/>
        </w:rPr>
        <w:t xml:space="preserve">, 34 </w:t>
      </w:r>
    </w:p>
  </w:footnote>
  <w:footnote w:id="26">
    <w:p w14:paraId="7E05EDDD" w14:textId="6834F1F2"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 xml:space="preserve">Spaapen and van Drooge, </w:t>
      </w:r>
      <w:r>
        <w:rPr>
          <w:rFonts w:ascii="Arial" w:hAnsi="Arial" w:cs="Arial"/>
          <w:sz w:val="16"/>
          <w:szCs w:val="16"/>
        </w:rPr>
        <w:t xml:space="preserve">op. cit., n 9, </w:t>
      </w:r>
      <w:r w:rsidRPr="00B10D13">
        <w:rPr>
          <w:rFonts w:ascii="Arial" w:hAnsi="Arial" w:cs="Arial"/>
          <w:sz w:val="16"/>
          <w:szCs w:val="16"/>
        </w:rPr>
        <w:t>213.</w:t>
      </w:r>
      <w:proofErr w:type="gramEnd"/>
    </w:p>
  </w:footnote>
  <w:footnote w:id="27">
    <w:p w14:paraId="3BD5D57A" w14:textId="2CDD90EB"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7E780C">
        <w:rPr>
          <w:rFonts w:ascii="Arial" w:hAnsi="Arial" w:cs="Arial"/>
          <w:sz w:val="16"/>
          <w:szCs w:val="16"/>
        </w:rPr>
        <w:t>Stern</w:t>
      </w:r>
      <w:r w:rsidRPr="00B10D13">
        <w:rPr>
          <w:rFonts w:ascii="Arial" w:hAnsi="Arial" w:cs="Arial"/>
          <w:sz w:val="16"/>
          <w:szCs w:val="16"/>
        </w:rPr>
        <w:t xml:space="preserve">, </w:t>
      </w:r>
      <w:r>
        <w:rPr>
          <w:rFonts w:ascii="Arial" w:hAnsi="Arial" w:cs="Arial"/>
          <w:sz w:val="16"/>
          <w:szCs w:val="16"/>
        </w:rPr>
        <w:t xml:space="preserve">op. cit., </w:t>
      </w:r>
      <w:r w:rsidRPr="00B10D13">
        <w:rPr>
          <w:rFonts w:ascii="Arial" w:hAnsi="Arial" w:cs="Arial"/>
          <w:sz w:val="16"/>
          <w:szCs w:val="16"/>
        </w:rPr>
        <w:t>n</w:t>
      </w:r>
      <w:r>
        <w:rPr>
          <w:rFonts w:ascii="Arial" w:hAnsi="Arial" w:cs="Arial"/>
          <w:sz w:val="16"/>
          <w:szCs w:val="16"/>
        </w:rPr>
        <w:t>.</w:t>
      </w:r>
      <w:r w:rsidRPr="00B10D13">
        <w:rPr>
          <w:rFonts w:ascii="Arial" w:hAnsi="Arial" w:cs="Arial"/>
          <w:sz w:val="16"/>
          <w:szCs w:val="16"/>
        </w:rPr>
        <w:t xml:space="preserve"> 2, 9.</w:t>
      </w:r>
      <w:proofErr w:type="gramEnd"/>
    </w:p>
  </w:footnote>
  <w:footnote w:id="28">
    <w:p w14:paraId="7FC3300C" w14:textId="321A04A1"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Bastow, </w:t>
      </w:r>
      <w:r>
        <w:rPr>
          <w:rFonts w:ascii="Arial" w:hAnsi="Arial" w:cs="Arial"/>
          <w:sz w:val="16"/>
          <w:szCs w:val="16"/>
        </w:rPr>
        <w:t>op. cit., n. 7</w:t>
      </w:r>
      <w:r w:rsidRPr="00B10D13">
        <w:rPr>
          <w:rFonts w:ascii="Arial" w:hAnsi="Arial" w:cs="Arial"/>
          <w:sz w:val="16"/>
          <w:szCs w:val="16"/>
        </w:rPr>
        <w:t xml:space="preserve">, 66; Kings College </w:t>
      </w:r>
      <w:r>
        <w:rPr>
          <w:rFonts w:ascii="Arial" w:hAnsi="Arial" w:cs="Arial"/>
          <w:sz w:val="16"/>
          <w:szCs w:val="16"/>
        </w:rPr>
        <w:t>London and Digital Science, op. cit</w:t>
      </w:r>
      <w:r w:rsidR="00BD72AA">
        <w:rPr>
          <w:rFonts w:ascii="Arial" w:hAnsi="Arial" w:cs="Arial"/>
          <w:sz w:val="16"/>
          <w:szCs w:val="16"/>
        </w:rPr>
        <w:t>.</w:t>
      </w:r>
      <w:r>
        <w:rPr>
          <w:rFonts w:ascii="Arial" w:hAnsi="Arial" w:cs="Arial"/>
          <w:sz w:val="16"/>
          <w:szCs w:val="16"/>
        </w:rPr>
        <w:t>, n. 10</w:t>
      </w:r>
      <w:r w:rsidRPr="00B10D13">
        <w:rPr>
          <w:rFonts w:ascii="Arial" w:hAnsi="Arial" w:cs="Arial"/>
          <w:sz w:val="16"/>
          <w:szCs w:val="16"/>
        </w:rPr>
        <w:t>, 59.</w:t>
      </w:r>
    </w:p>
  </w:footnote>
  <w:footnote w:id="29">
    <w:p w14:paraId="5966B176" w14:textId="25E0C64A" w:rsidR="007B1D1B" w:rsidRPr="002F73D9"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T</w:t>
      </w:r>
      <w:r>
        <w:rPr>
          <w:rFonts w:ascii="Arial" w:hAnsi="Arial" w:cs="Arial"/>
          <w:sz w:val="16"/>
          <w:szCs w:val="16"/>
        </w:rPr>
        <w:t>.</w:t>
      </w:r>
      <w:r w:rsidRPr="00B10D13">
        <w:rPr>
          <w:rFonts w:ascii="Arial" w:hAnsi="Arial" w:cs="Arial"/>
          <w:sz w:val="16"/>
          <w:szCs w:val="16"/>
        </w:rPr>
        <w:t xml:space="preserve"> </w:t>
      </w:r>
      <w:proofErr w:type="spellStart"/>
      <w:r w:rsidRPr="00B10D13">
        <w:rPr>
          <w:rFonts w:ascii="Arial" w:hAnsi="Arial" w:cs="Arial"/>
          <w:sz w:val="16"/>
          <w:szCs w:val="16"/>
        </w:rPr>
        <w:t>Greenhalgh</w:t>
      </w:r>
      <w:proofErr w:type="spellEnd"/>
      <w:r w:rsidRPr="00B10D13">
        <w:rPr>
          <w:rFonts w:ascii="Arial" w:hAnsi="Arial" w:cs="Arial"/>
          <w:sz w:val="16"/>
          <w:szCs w:val="16"/>
        </w:rPr>
        <w:t xml:space="preserve"> and N</w:t>
      </w:r>
      <w:r>
        <w:rPr>
          <w:rFonts w:ascii="Arial" w:hAnsi="Arial" w:cs="Arial"/>
          <w:sz w:val="16"/>
          <w:szCs w:val="16"/>
        </w:rPr>
        <w:t>.</w:t>
      </w:r>
      <w:r w:rsidRPr="00B10D13">
        <w:rPr>
          <w:rFonts w:ascii="Arial" w:hAnsi="Arial" w:cs="Arial"/>
          <w:sz w:val="16"/>
          <w:szCs w:val="16"/>
        </w:rPr>
        <w:t xml:space="preserve"> </w:t>
      </w:r>
      <w:proofErr w:type="spellStart"/>
      <w:r w:rsidRPr="00B10D13">
        <w:rPr>
          <w:rFonts w:ascii="Arial" w:hAnsi="Arial" w:cs="Arial"/>
          <w:sz w:val="16"/>
          <w:szCs w:val="16"/>
        </w:rPr>
        <w:t>Fahy</w:t>
      </w:r>
      <w:proofErr w:type="spellEnd"/>
      <w:r w:rsidRPr="00B10D13">
        <w:rPr>
          <w:rFonts w:ascii="Arial" w:hAnsi="Arial" w:cs="Arial"/>
          <w:sz w:val="16"/>
          <w:szCs w:val="16"/>
        </w:rPr>
        <w:t xml:space="preserve">, ‘Research impact in the community-based health sciences: an analysis of 162 case studies from the 2014 UK Research Excellence Framework’ (2015) 13 </w:t>
      </w:r>
      <w:r w:rsidRPr="00B10D13">
        <w:rPr>
          <w:rFonts w:ascii="Arial" w:hAnsi="Arial" w:cs="Arial"/>
          <w:i/>
          <w:sz w:val="16"/>
          <w:szCs w:val="16"/>
        </w:rPr>
        <w:t xml:space="preserve">BMC Medicine </w:t>
      </w:r>
      <w:r w:rsidRPr="00B10D13">
        <w:rPr>
          <w:rFonts w:ascii="Arial" w:hAnsi="Arial" w:cs="Arial"/>
          <w:sz w:val="16"/>
          <w:szCs w:val="16"/>
        </w:rPr>
        <w:t>232; D</w:t>
      </w:r>
      <w:r>
        <w:rPr>
          <w:rFonts w:ascii="Arial" w:hAnsi="Arial" w:cs="Arial"/>
          <w:sz w:val="16"/>
          <w:szCs w:val="16"/>
        </w:rPr>
        <w:t>.</w:t>
      </w:r>
      <w:r w:rsidRPr="00B10D13">
        <w:rPr>
          <w:rFonts w:ascii="Arial" w:hAnsi="Arial" w:cs="Arial"/>
          <w:sz w:val="16"/>
          <w:szCs w:val="16"/>
        </w:rPr>
        <w:t xml:space="preserve"> Kelly </w:t>
      </w:r>
      <w:r>
        <w:rPr>
          <w:rFonts w:ascii="Arial" w:hAnsi="Arial" w:cs="Arial"/>
          <w:sz w:val="16"/>
          <w:szCs w:val="16"/>
        </w:rPr>
        <w:t>et al.</w:t>
      </w:r>
      <w:r w:rsidRPr="00B10D13">
        <w:rPr>
          <w:rFonts w:ascii="Arial" w:hAnsi="Arial" w:cs="Arial"/>
          <w:sz w:val="16"/>
          <w:szCs w:val="16"/>
        </w:rPr>
        <w:t xml:space="preserve">, ‘Impact case studies submitted to REF 2014: The hidden impact of nursing research’ (2016) 21 </w:t>
      </w:r>
      <w:r w:rsidRPr="00B10D13">
        <w:rPr>
          <w:rFonts w:ascii="Arial" w:hAnsi="Arial" w:cs="Arial"/>
          <w:i/>
          <w:sz w:val="16"/>
          <w:szCs w:val="16"/>
        </w:rPr>
        <w:t xml:space="preserve">Journal of Research in Nursing </w:t>
      </w:r>
      <w:r w:rsidRPr="00B10D13">
        <w:rPr>
          <w:rFonts w:ascii="Arial" w:hAnsi="Arial" w:cs="Arial"/>
          <w:sz w:val="16"/>
          <w:szCs w:val="16"/>
        </w:rPr>
        <w:t>256; G</w:t>
      </w:r>
      <w:r>
        <w:rPr>
          <w:rFonts w:ascii="Arial" w:hAnsi="Arial" w:cs="Arial"/>
          <w:sz w:val="16"/>
          <w:szCs w:val="16"/>
        </w:rPr>
        <w:t>.</w:t>
      </w:r>
      <w:r w:rsidRPr="00B10D13">
        <w:rPr>
          <w:rFonts w:ascii="Arial" w:hAnsi="Arial" w:cs="Arial"/>
          <w:sz w:val="16"/>
          <w:szCs w:val="16"/>
        </w:rPr>
        <w:t xml:space="preserve"> Samuel and G</w:t>
      </w:r>
      <w:r>
        <w:rPr>
          <w:rFonts w:ascii="Arial" w:hAnsi="Arial" w:cs="Arial"/>
          <w:sz w:val="16"/>
          <w:szCs w:val="16"/>
        </w:rPr>
        <w:t>.</w:t>
      </w:r>
      <w:r w:rsidRPr="00B10D13">
        <w:rPr>
          <w:rFonts w:ascii="Arial" w:hAnsi="Arial" w:cs="Arial"/>
          <w:sz w:val="16"/>
          <w:szCs w:val="16"/>
        </w:rPr>
        <w:t xml:space="preserve"> Derrick, ‘Societal impact evaluation: Exploring evaluator perceptions of the characterization of impact under the REF 2014’ (2015) 24 </w:t>
      </w:r>
      <w:r w:rsidRPr="00B10D13">
        <w:rPr>
          <w:rFonts w:ascii="Arial" w:hAnsi="Arial" w:cs="Arial"/>
          <w:i/>
          <w:sz w:val="16"/>
          <w:szCs w:val="16"/>
        </w:rPr>
        <w:t xml:space="preserve">Research Evaluation </w:t>
      </w:r>
      <w:r w:rsidRPr="00B10D13">
        <w:rPr>
          <w:rFonts w:ascii="Arial" w:hAnsi="Arial" w:cs="Arial"/>
          <w:sz w:val="16"/>
          <w:szCs w:val="16"/>
        </w:rPr>
        <w:t>229</w:t>
      </w:r>
      <w:r>
        <w:rPr>
          <w:rFonts w:ascii="Arial" w:hAnsi="Arial" w:cs="Arial"/>
          <w:sz w:val="16"/>
          <w:szCs w:val="16"/>
        </w:rPr>
        <w:t xml:space="preserve">; T. Baguley, </w:t>
      </w:r>
      <w:r>
        <w:rPr>
          <w:rFonts w:ascii="Arial" w:hAnsi="Arial" w:cs="Arial"/>
          <w:i/>
          <w:sz w:val="16"/>
          <w:szCs w:val="16"/>
        </w:rPr>
        <w:t xml:space="preserve">Psychology Research Excellence Framework 2014 Impact </w:t>
      </w:r>
      <w:r w:rsidRPr="006746D2">
        <w:rPr>
          <w:rFonts w:ascii="Arial" w:hAnsi="Arial" w:cs="Arial"/>
          <w:i/>
          <w:sz w:val="16"/>
          <w:szCs w:val="16"/>
        </w:rPr>
        <w:t>Analysis</w:t>
      </w:r>
      <w:r>
        <w:rPr>
          <w:rFonts w:ascii="Arial" w:hAnsi="Arial" w:cs="Arial"/>
          <w:sz w:val="16"/>
          <w:szCs w:val="16"/>
        </w:rPr>
        <w:t xml:space="preserve"> (British Psychological Society, 2017); P. Robbins et al., ‘Mapping Engineering and Development Research in the UK: An Analysis of REF 2014 Impact Case Studies’ (2017) 29(1) </w:t>
      </w:r>
      <w:r>
        <w:rPr>
          <w:rFonts w:ascii="Arial" w:hAnsi="Arial" w:cs="Arial"/>
          <w:i/>
          <w:sz w:val="16"/>
          <w:szCs w:val="16"/>
        </w:rPr>
        <w:t xml:space="preserve">Journal of International Development </w:t>
      </w:r>
      <w:r>
        <w:rPr>
          <w:rFonts w:ascii="Arial" w:hAnsi="Arial" w:cs="Arial"/>
          <w:sz w:val="16"/>
          <w:szCs w:val="16"/>
        </w:rPr>
        <w:t xml:space="preserve">89; R. Marcella et al., ‘Beyond REF 2014: The impact of impact assessment on the future of information research’ (2016) 42(3) </w:t>
      </w:r>
      <w:r>
        <w:rPr>
          <w:rFonts w:ascii="Arial" w:hAnsi="Arial" w:cs="Arial"/>
          <w:i/>
          <w:sz w:val="16"/>
          <w:szCs w:val="16"/>
        </w:rPr>
        <w:t xml:space="preserve">Journal of Information Science </w:t>
      </w:r>
      <w:r>
        <w:rPr>
          <w:rFonts w:ascii="Arial" w:hAnsi="Arial" w:cs="Arial"/>
          <w:sz w:val="16"/>
          <w:szCs w:val="16"/>
        </w:rPr>
        <w:t xml:space="preserve">369; R. </w:t>
      </w:r>
      <w:proofErr w:type="spellStart"/>
      <w:r>
        <w:rPr>
          <w:rFonts w:ascii="Arial" w:hAnsi="Arial" w:cs="Arial"/>
          <w:sz w:val="16"/>
          <w:szCs w:val="16"/>
        </w:rPr>
        <w:t>Pullinger</w:t>
      </w:r>
      <w:proofErr w:type="spellEnd"/>
      <w:r>
        <w:rPr>
          <w:rFonts w:ascii="Arial" w:hAnsi="Arial" w:cs="Arial"/>
          <w:sz w:val="16"/>
          <w:szCs w:val="16"/>
        </w:rPr>
        <w:t xml:space="preserve"> and O. Varley-Winter, </w:t>
      </w:r>
      <w:r w:rsidRPr="003561D3">
        <w:rPr>
          <w:rFonts w:ascii="Arial" w:hAnsi="Arial" w:cs="Arial"/>
          <w:i/>
          <w:sz w:val="16"/>
          <w:szCs w:val="16"/>
        </w:rPr>
        <w:t>The impact of academic statistics as shown through “impact case studies” submitted to the 2014 REF</w:t>
      </w:r>
      <w:r>
        <w:rPr>
          <w:rFonts w:ascii="Arial" w:hAnsi="Arial" w:cs="Arial"/>
          <w:sz w:val="16"/>
          <w:szCs w:val="16"/>
        </w:rPr>
        <w:t xml:space="preserve"> (Royal Statistical Society, 2017); </w:t>
      </w:r>
      <w:r w:rsidRPr="006746D2">
        <w:rPr>
          <w:rFonts w:ascii="Arial" w:hAnsi="Arial" w:cs="Arial"/>
          <w:sz w:val="16"/>
          <w:szCs w:val="16"/>
        </w:rPr>
        <w:t>G</w:t>
      </w:r>
      <w:r w:rsidR="006B4E43">
        <w:rPr>
          <w:rFonts w:ascii="Arial" w:hAnsi="Arial" w:cs="Arial"/>
          <w:sz w:val="16"/>
          <w:szCs w:val="16"/>
        </w:rPr>
        <w:t>.</w:t>
      </w:r>
      <w:r>
        <w:rPr>
          <w:rFonts w:ascii="Arial" w:hAnsi="Arial" w:cs="Arial"/>
          <w:sz w:val="16"/>
          <w:szCs w:val="16"/>
        </w:rPr>
        <w:t xml:space="preserve"> Chowdhury et al., ‘Measuring the Impact of Research: Lessons from the UK’s Research Excellence Framework 2014’ (2016) 11 (6) </w:t>
      </w:r>
      <w:r w:rsidRPr="002F73D9">
        <w:rPr>
          <w:rFonts w:ascii="Arial" w:hAnsi="Arial" w:cs="Arial"/>
          <w:i/>
          <w:sz w:val="16"/>
          <w:szCs w:val="16"/>
        </w:rPr>
        <w:t>PLOS ONE</w:t>
      </w:r>
      <w:r>
        <w:rPr>
          <w:rFonts w:ascii="Arial" w:hAnsi="Arial" w:cs="Arial"/>
          <w:sz w:val="16"/>
          <w:szCs w:val="16"/>
        </w:rPr>
        <w:t xml:space="preserve"> e0156978, </w:t>
      </w:r>
      <w:hyperlink r:id="rId9" w:history="1">
        <w:r w:rsidRPr="00254965">
          <w:rPr>
            <w:rStyle w:val="Hyperlink"/>
            <w:rFonts w:ascii="Arial" w:hAnsi="Arial" w:cs="Arial"/>
            <w:sz w:val="16"/>
            <w:szCs w:val="16"/>
          </w:rPr>
          <w:t>https://doi.org/10.1371/journal.pone.0156978</w:t>
        </w:r>
      </w:hyperlink>
      <w:r w:rsidRPr="002F73D9">
        <w:rPr>
          <w:rFonts w:ascii="Arial" w:hAnsi="Arial" w:cs="Arial"/>
          <w:sz w:val="16"/>
          <w:szCs w:val="16"/>
        </w:rPr>
        <w:t xml:space="preserve">. </w:t>
      </w:r>
    </w:p>
  </w:footnote>
  <w:footnote w:id="30">
    <w:p w14:paraId="1196CEFE" w14:textId="534C4084"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r w:rsidRPr="00B10D13">
        <w:rPr>
          <w:rFonts w:ascii="Arial" w:eastAsia="Times New Roman" w:hAnsi="Arial" w:cs="Arial"/>
          <w:sz w:val="16"/>
          <w:szCs w:val="16"/>
          <w:lang w:eastAsia="en-GB"/>
        </w:rPr>
        <w:t xml:space="preserve">HEFCE, </w:t>
      </w:r>
      <w:r>
        <w:rPr>
          <w:rFonts w:ascii="Arial" w:eastAsia="Times New Roman" w:hAnsi="Arial" w:cs="Arial"/>
          <w:sz w:val="16"/>
          <w:szCs w:val="16"/>
          <w:lang w:eastAsia="en-GB"/>
        </w:rPr>
        <w:t>op. cit., n 12</w:t>
      </w:r>
      <w:r w:rsidRPr="00B10D13">
        <w:rPr>
          <w:rFonts w:ascii="Arial" w:eastAsia="Times New Roman" w:hAnsi="Arial" w:cs="Arial"/>
          <w:sz w:val="16"/>
          <w:szCs w:val="16"/>
          <w:lang w:eastAsia="en-GB"/>
        </w:rPr>
        <w:t xml:space="preserve">, 28; cf. Stern on ‘gaming’ to maximise staff returned for the fewest impact case studies, </w:t>
      </w:r>
      <w:r>
        <w:rPr>
          <w:rFonts w:ascii="Arial" w:eastAsia="Times New Roman" w:hAnsi="Arial" w:cs="Arial"/>
          <w:sz w:val="16"/>
          <w:szCs w:val="16"/>
          <w:lang w:eastAsia="en-GB"/>
        </w:rPr>
        <w:t xml:space="preserve">op. cit., </w:t>
      </w:r>
      <w:r w:rsidRPr="00B10D13">
        <w:rPr>
          <w:rFonts w:ascii="Arial" w:eastAsia="Times New Roman" w:hAnsi="Arial" w:cs="Arial"/>
          <w:sz w:val="16"/>
          <w:szCs w:val="16"/>
          <w:lang w:eastAsia="en-GB"/>
        </w:rPr>
        <w:t>n</w:t>
      </w:r>
      <w:r>
        <w:rPr>
          <w:rFonts w:ascii="Arial" w:eastAsia="Times New Roman" w:hAnsi="Arial" w:cs="Arial"/>
          <w:sz w:val="16"/>
          <w:szCs w:val="16"/>
          <w:lang w:eastAsia="en-GB"/>
        </w:rPr>
        <w:t>.</w:t>
      </w:r>
      <w:r w:rsidRPr="00B10D13">
        <w:rPr>
          <w:rFonts w:ascii="Arial" w:eastAsia="Times New Roman" w:hAnsi="Arial" w:cs="Arial"/>
          <w:sz w:val="16"/>
          <w:szCs w:val="16"/>
          <w:lang w:eastAsia="en-GB"/>
        </w:rPr>
        <w:t xml:space="preserve"> 2, 13, 17</w:t>
      </w:r>
      <w:r w:rsidRPr="00B10D13">
        <w:rPr>
          <w:rFonts w:ascii="Arial" w:hAnsi="Arial" w:cs="Arial"/>
          <w:sz w:val="16"/>
          <w:szCs w:val="16"/>
        </w:rPr>
        <w:t xml:space="preserve">.        </w:t>
      </w:r>
    </w:p>
  </w:footnote>
  <w:footnote w:id="31">
    <w:p w14:paraId="618F910E" w14:textId="77777777"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hyperlink r:id="rId10" w:history="1">
        <w:r w:rsidRPr="00B10D13">
          <w:rPr>
            <w:rStyle w:val="Hyperlink"/>
            <w:rFonts w:ascii="Arial" w:hAnsi="Arial" w:cs="Arial"/>
            <w:sz w:val="16"/>
            <w:szCs w:val="16"/>
          </w:rPr>
          <w:t>http://impact.ref.ac.uk/CaseStudies/Search1.aspx</w:t>
        </w:r>
      </w:hyperlink>
      <w:r w:rsidRPr="00B10D13">
        <w:rPr>
          <w:rFonts w:ascii="Arial" w:hAnsi="Arial" w:cs="Arial"/>
          <w:sz w:val="16"/>
          <w:szCs w:val="16"/>
        </w:rPr>
        <w:t xml:space="preserve"> </w:t>
      </w:r>
    </w:p>
  </w:footnote>
  <w:footnote w:id="32">
    <w:p w14:paraId="5BBCBB6C" w14:textId="77777777"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REF 2014 Results and Submissions: </w:t>
      </w:r>
      <w:hyperlink r:id="rId11" w:history="1">
        <w:r w:rsidRPr="00B10D13">
          <w:rPr>
            <w:rStyle w:val="Hyperlink"/>
            <w:rFonts w:ascii="Arial" w:hAnsi="Arial" w:cs="Arial"/>
            <w:sz w:val="16"/>
            <w:szCs w:val="16"/>
          </w:rPr>
          <w:t>http://results.ref.ac.uk/Results</w:t>
        </w:r>
      </w:hyperlink>
      <w:r w:rsidRPr="00B10D13">
        <w:rPr>
          <w:rFonts w:ascii="Arial" w:hAnsi="Arial" w:cs="Arial"/>
          <w:sz w:val="16"/>
          <w:szCs w:val="16"/>
        </w:rPr>
        <w:t xml:space="preserve"> </w:t>
      </w:r>
    </w:p>
  </w:footnote>
  <w:footnote w:id="33">
    <w:p w14:paraId="071BF3D5" w14:textId="0E5713FA" w:rsidR="007B1D1B" w:rsidRPr="00B10D13" w:rsidRDefault="007B1D1B" w:rsidP="00B10D13">
      <w:pPr>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Nine case studies were not published </w:t>
      </w:r>
      <w:r>
        <w:rPr>
          <w:rFonts w:ascii="Arial" w:hAnsi="Arial" w:cs="Arial"/>
          <w:sz w:val="16"/>
          <w:szCs w:val="16"/>
        </w:rPr>
        <w:t>for</w:t>
      </w:r>
      <w:r w:rsidRPr="00B10D13">
        <w:rPr>
          <w:rFonts w:ascii="Arial" w:hAnsi="Arial" w:cs="Arial"/>
          <w:sz w:val="16"/>
          <w:szCs w:val="16"/>
        </w:rPr>
        <w:t xml:space="preserve"> confidentiality reasons. </w:t>
      </w:r>
    </w:p>
  </w:footnote>
  <w:footnote w:id="34">
    <w:p w14:paraId="0F060FA6" w14:textId="3C6C66F7" w:rsidR="007B1D1B" w:rsidRPr="00B10D13" w:rsidRDefault="007B1D1B" w:rsidP="00B10D13">
      <w:pPr>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A</w:t>
      </w:r>
      <w:r>
        <w:rPr>
          <w:rFonts w:ascii="Arial" w:hAnsi="Arial" w:cs="Arial"/>
          <w:sz w:val="16"/>
          <w:szCs w:val="16"/>
        </w:rPr>
        <w:t>.</w:t>
      </w:r>
      <w:r w:rsidRPr="00B10D13">
        <w:rPr>
          <w:rFonts w:ascii="Arial" w:hAnsi="Arial" w:cs="Arial"/>
          <w:sz w:val="16"/>
          <w:szCs w:val="16"/>
        </w:rPr>
        <w:t xml:space="preserve"> </w:t>
      </w:r>
      <w:proofErr w:type="spellStart"/>
      <w:r w:rsidRPr="00B10D13">
        <w:rPr>
          <w:rFonts w:ascii="Arial" w:hAnsi="Arial" w:cs="Arial"/>
          <w:sz w:val="16"/>
          <w:szCs w:val="16"/>
        </w:rPr>
        <w:t>Milat</w:t>
      </w:r>
      <w:proofErr w:type="spellEnd"/>
      <w:r w:rsidRPr="00B10D13">
        <w:rPr>
          <w:rFonts w:ascii="Arial" w:hAnsi="Arial" w:cs="Arial"/>
          <w:sz w:val="16"/>
          <w:szCs w:val="16"/>
        </w:rPr>
        <w:t xml:space="preserve"> </w:t>
      </w:r>
      <w:r>
        <w:rPr>
          <w:rFonts w:ascii="Arial" w:hAnsi="Arial" w:cs="Arial"/>
          <w:sz w:val="16"/>
          <w:szCs w:val="16"/>
        </w:rPr>
        <w:t>et al.</w:t>
      </w:r>
      <w:r w:rsidRPr="00B10D13">
        <w:rPr>
          <w:rFonts w:ascii="Arial" w:hAnsi="Arial" w:cs="Arial"/>
          <w:sz w:val="16"/>
          <w:szCs w:val="16"/>
        </w:rPr>
        <w:t xml:space="preserve">, ‘A narrative review of research impact assessment models and methods’ (2015) 13 </w:t>
      </w:r>
      <w:r w:rsidRPr="00B10D13">
        <w:rPr>
          <w:rFonts w:ascii="Arial" w:hAnsi="Arial" w:cs="Arial"/>
          <w:i/>
          <w:sz w:val="16"/>
          <w:szCs w:val="16"/>
        </w:rPr>
        <w:t>Health Research and Policy Systems</w:t>
      </w:r>
      <w:r w:rsidRPr="00B10D13">
        <w:rPr>
          <w:rFonts w:ascii="Arial" w:hAnsi="Arial" w:cs="Arial"/>
          <w:sz w:val="16"/>
          <w:szCs w:val="16"/>
        </w:rPr>
        <w:t xml:space="preserve"> 18, 22. Templates were especially problematic, described as often ‘rather unsophisticated’ by </w:t>
      </w:r>
      <w:r w:rsidR="006B4E43">
        <w:rPr>
          <w:rFonts w:ascii="Arial" w:hAnsi="Arial" w:cs="Arial"/>
          <w:sz w:val="16"/>
          <w:szCs w:val="16"/>
        </w:rPr>
        <w:t xml:space="preserve">the </w:t>
      </w:r>
      <w:r w:rsidRPr="00B10D13">
        <w:rPr>
          <w:rFonts w:ascii="Arial" w:hAnsi="Arial" w:cs="Arial"/>
          <w:sz w:val="16"/>
          <w:szCs w:val="16"/>
        </w:rPr>
        <w:t xml:space="preserve">Law sub-panel (REF 2014 </w:t>
      </w:r>
      <w:r w:rsidRPr="00B10D13">
        <w:rPr>
          <w:rFonts w:ascii="Arial" w:hAnsi="Arial" w:cs="Arial"/>
          <w:i/>
          <w:sz w:val="16"/>
          <w:szCs w:val="16"/>
        </w:rPr>
        <w:t>Overview report by Main Panel C and Sub-panels 16 to 26</w:t>
      </w:r>
      <w:r w:rsidRPr="00B10D13">
        <w:rPr>
          <w:rFonts w:ascii="Arial" w:hAnsi="Arial" w:cs="Arial"/>
          <w:sz w:val="16"/>
          <w:szCs w:val="16"/>
        </w:rPr>
        <w:t>, 2015, 73).</w:t>
      </w:r>
    </w:p>
  </w:footnote>
  <w:footnote w:id="35">
    <w:p w14:paraId="13F66634" w14:textId="18475A64"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A survey respondent (</w:t>
      </w:r>
      <w:r>
        <w:rPr>
          <w:rFonts w:ascii="Arial" w:hAnsi="Arial" w:cs="Arial"/>
          <w:sz w:val="16"/>
          <w:szCs w:val="16"/>
        </w:rPr>
        <w:t>respondent number 64 (</w:t>
      </w:r>
      <w:r w:rsidRPr="00B10D13">
        <w:rPr>
          <w:rFonts w:ascii="Arial" w:hAnsi="Arial" w:cs="Arial"/>
          <w:sz w:val="16"/>
          <w:szCs w:val="16"/>
        </w:rPr>
        <w:t>R64</w:t>
      </w:r>
      <w:r>
        <w:rPr>
          <w:rFonts w:ascii="Arial" w:hAnsi="Arial" w:cs="Arial"/>
          <w:sz w:val="16"/>
          <w:szCs w:val="16"/>
        </w:rPr>
        <w:t>)</w:t>
      </w:r>
      <w:r w:rsidRPr="00B10D13">
        <w:rPr>
          <w:rFonts w:ascii="Arial" w:hAnsi="Arial" w:cs="Arial"/>
          <w:sz w:val="16"/>
          <w:szCs w:val="16"/>
        </w:rPr>
        <w:t xml:space="preserve">, </w:t>
      </w:r>
      <w:r>
        <w:rPr>
          <w:rFonts w:ascii="Arial" w:hAnsi="Arial" w:cs="Arial"/>
          <w:sz w:val="16"/>
          <w:szCs w:val="16"/>
        </w:rPr>
        <w:t>from a non-Russell Group university (n</w:t>
      </w:r>
      <w:r w:rsidRPr="00B10D13">
        <w:rPr>
          <w:rFonts w:ascii="Arial" w:hAnsi="Arial" w:cs="Arial"/>
          <w:sz w:val="16"/>
          <w:szCs w:val="16"/>
        </w:rPr>
        <w:t>on-RG)</w:t>
      </w:r>
      <w:r>
        <w:rPr>
          <w:rFonts w:ascii="Arial" w:hAnsi="Arial" w:cs="Arial"/>
          <w:sz w:val="16"/>
          <w:szCs w:val="16"/>
        </w:rPr>
        <w:t>)</w:t>
      </w:r>
      <w:r w:rsidRPr="00B10D13">
        <w:rPr>
          <w:rFonts w:ascii="Arial" w:hAnsi="Arial" w:cs="Arial"/>
          <w:sz w:val="16"/>
          <w:szCs w:val="16"/>
        </w:rPr>
        <w:t xml:space="preserve"> suggested that with fewer civil servants than in Westminster, devolved governments often ‘rely heavily on input from academics’.</w:t>
      </w:r>
    </w:p>
  </w:footnote>
  <w:footnote w:id="36">
    <w:p w14:paraId="52D3ED2A" w14:textId="0AE6BA08"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The methodology, however, may also explain the pattern; a mention of the Scottish government in a template was counted only once even if there were multiple mentions. </w:t>
      </w:r>
    </w:p>
  </w:footnote>
  <w:footnote w:id="37">
    <w:p w14:paraId="450B9028" w14:textId="1EDA55D7" w:rsidR="007B1D1B" w:rsidRPr="00665A23" w:rsidRDefault="007B1D1B" w:rsidP="00627125">
      <w:pPr>
        <w:pStyle w:val="FootnoteText"/>
        <w:spacing w:after="120" w:line="312" w:lineRule="auto"/>
        <w:rPr>
          <w:lang w:val="en-AU"/>
        </w:rPr>
      </w:pPr>
      <w:r>
        <w:rPr>
          <w:rStyle w:val="FootnoteReference"/>
        </w:rPr>
        <w:footnoteRef/>
      </w:r>
      <w:r>
        <w:t xml:space="preserve"> </w:t>
      </w:r>
      <w:r>
        <w:rPr>
          <w:rFonts w:ascii="Arial" w:hAnsi="Arial" w:cs="Arial"/>
          <w:sz w:val="16"/>
          <w:szCs w:val="16"/>
        </w:rPr>
        <w:t>L.</w:t>
      </w:r>
      <w:r w:rsidRPr="00E1651E">
        <w:rPr>
          <w:rFonts w:ascii="Arial" w:hAnsi="Arial" w:cs="Arial"/>
          <w:sz w:val="16"/>
          <w:szCs w:val="16"/>
        </w:rPr>
        <w:t xml:space="preserve"> </w:t>
      </w:r>
      <w:r w:rsidRPr="00627125">
        <w:rPr>
          <w:rFonts w:ascii="Arial" w:hAnsi="Arial" w:cs="Arial"/>
          <w:sz w:val="16"/>
          <w:szCs w:val="16"/>
        </w:rPr>
        <w:t>McNamara</w:t>
      </w:r>
      <w:r>
        <w:rPr>
          <w:rFonts w:ascii="Arial" w:hAnsi="Arial" w:cs="Arial"/>
          <w:sz w:val="16"/>
          <w:szCs w:val="16"/>
        </w:rPr>
        <w:t xml:space="preserve">, </w:t>
      </w:r>
      <w:r>
        <w:rPr>
          <w:rFonts w:ascii="Arial" w:hAnsi="Arial" w:cs="Arial"/>
          <w:i/>
          <w:sz w:val="16"/>
          <w:szCs w:val="16"/>
        </w:rPr>
        <w:t>Engaging legal academics in law and development programming: opportunities, challenges, strategies</w:t>
      </w:r>
      <w:r>
        <w:rPr>
          <w:rFonts w:ascii="Arial" w:hAnsi="Arial" w:cs="Arial"/>
          <w:sz w:val="16"/>
          <w:szCs w:val="16"/>
        </w:rPr>
        <w:t xml:space="preserve">, ROLE UK Lessons Learned Paper (2015). </w:t>
      </w:r>
      <w:r w:rsidRPr="00627125">
        <w:rPr>
          <w:rFonts w:ascii="Arial" w:hAnsi="Arial" w:cs="Arial"/>
          <w:sz w:val="16"/>
          <w:szCs w:val="16"/>
        </w:rPr>
        <w:t>This analysis found that of 6,975 case studies in REF 2014, 226 mention</w:t>
      </w:r>
      <w:r>
        <w:rPr>
          <w:rFonts w:ascii="Arial" w:hAnsi="Arial" w:cs="Arial"/>
          <w:sz w:val="16"/>
          <w:szCs w:val="16"/>
        </w:rPr>
        <w:t>ed</w:t>
      </w:r>
      <w:r w:rsidRPr="00627125">
        <w:rPr>
          <w:rFonts w:ascii="Arial" w:hAnsi="Arial" w:cs="Arial"/>
          <w:sz w:val="16"/>
          <w:szCs w:val="16"/>
        </w:rPr>
        <w:t xml:space="preserve"> DFID but just nine case studies from the Law UoA mentioned engagement with DFID. That is, less than 4% of academic engagement with DFID came from Law, despite </w:t>
      </w:r>
      <w:r>
        <w:rPr>
          <w:rFonts w:ascii="Arial" w:hAnsi="Arial" w:cs="Arial"/>
          <w:sz w:val="16"/>
          <w:szCs w:val="16"/>
        </w:rPr>
        <w:t xml:space="preserve">37 Law case studies mentioning DFID priority countries on 75 occasions. </w:t>
      </w:r>
    </w:p>
  </w:footnote>
  <w:footnote w:id="38">
    <w:p w14:paraId="7F7E230E" w14:textId="77777777"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Russell Group, </w:t>
      </w:r>
      <w:r w:rsidRPr="00B10D13">
        <w:rPr>
          <w:rFonts w:ascii="Arial" w:hAnsi="Arial" w:cs="Arial"/>
          <w:i/>
          <w:sz w:val="16"/>
          <w:szCs w:val="16"/>
        </w:rPr>
        <w:t>Profile</w:t>
      </w:r>
      <w:r w:rsidRPr="00B10D13">
        <w:rPr>
          <w:rFonts w:ascii="Arial" w:hAnsi="Arial" w:cs="Arial"/>
          <w:sz w:val="16"/>
          <w:szCs w:val="16"/>
        </w:rPr>
        <w:t xml:space="preserve">, October 2014, p 7. </w:t>
      </w:r>
    </w:p>
  </w:footnote>
  <w:footnote w:id="39">
    <w:p w14:paraId="1EA70731" w14:textId="353A44DD"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E</w:t>
      </w:r>
      <w:r>
        <w:rPr>
          <w:rFonts w:ascii="Arial" w:hAnsi="Arial" w:cs="Arial"/>
          <w:sz w:val="16"/>
          <w:szCs w:val="16"/>
        </w:rPr>
        <w:t>.</w:t>
      </w:r>
      <w:r w:rsidRPr="00B10D13">
        <w:rPr>
          <w:rFonts w:ascii="Arial" w:hAnsi="Arial" w:cs="Arial"/>
          <w:sz w:val="16"/>
          <w:szCs w:val="16"/>
        </w:rPr>
        <w:t>g</w:t>
      </w:r>
      <w:r>
        <w:rPr>
          <w:rFonts w:ascii="Arial" w:hAnsi="Arial" w:cs="Arial"/>
          <w:sz w:val="16"/>
          <w:szCs w:val="16"/>
        </w:rPr>
        <w:t>.</w:t>
      </w:r>
      <w:r w:rsidRPr="00B10D13">
        <w:rPr>
          <w:rFonts w:ascii="Arial" w:hAnsi="Arial" w:cs="Arial"/>
          <w:sz w:val="16"/>
          <w:szCs w:val="16"/>
        </w:rPr>
        <w:t>,</w:t>
      </w:r>
      <w:r>
        <w:rPr>
          <w:rFonts w:ascii="Arial" w:hAnsi="Arial" w:cs="Arial"/>
          <w:sz w:val="16"/>
          <w:szCs w:val="16"/>
        </w:rPr>
        <w:t xml:space="preserve"> Respondent number 79, from a Russell Group university (</w:t>
      </w:r>
      <w:r w:rsidRPr="00B10D13">
        <w:rPr>
          <w:rFonts w:ascii="Arial" w:hAnsi="Arial" w:cs="Arial"/>
          <w:sz w:val="16"/>
          <w:szCs w:val="16"/>
        </w:rPr>
        <w:t>R79 (RG)</w:t>
      </w:r>
      <w:r>
        <w:rPr>
          <w:rFonts w:ascii="Arial" w:hAnsi="Arial" w:cs="Arial"/>
          <w:sz w:val="16"/>
          <w:szCs w:val="16"/>
        </w:rPr>
        <w:t>)</w:t>
      </w:r>
      <w:r w:rsidRPr="00B10D13">
        <w:rPr>
          <w:rFonts w:ascii="Arial" w:hAnsi="Arial" w:cs="Arial"/>
          <w:sz w:val="16"/>
          <w:szCs w:val="16"/>
        </w:rPr>
        <w:t>; also R12, R19, R33, R48, R120 (all RG), R16, R54, R65 (all non-RG).</w:t>
      </w:r>
      <w:proofErr w:type="gramEnd"/>
    </w:p>
  </w:footnote>
  <w:footnote w:id="40">
    <w:p w14:paraId="362575A3" w14:textId="4760C6BB"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R107 (RG)</w:t>
      </w:r>
      <w:r>
        <w:rPr>
          <w:rFonts w:ascii="Arial" w:hAnsi="Arial" w:cs="Arial"/>
          <w:sz w:val="16"/>
          <w:szCs w:val="16"/>
        </w:rPr>
        <w:t>.</w:t>
      </w:r>
      <w:proofErr w:type="gramEnd"/>
    </w:p>
  </w:footnote>
  <w:footnote w:id="41">
    <w:p w14:paraId="1C943A6F" w14:textId="02E5DB66"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R16 (non-RG).</w:t>
      </w:r>
      <w:proofErr w:type="gramEnd"/>
    </w:p>
  </w:footnote>
  <w:footnote w:id="42">
    <w:p w14:paraId="0138A069" w14:textId="7580A20F" w:rsidR="007B1D1B" w:rsidRPr="00B10D13" w:rsidRDefault="007B1D1B" w:rsidP="00CD5DAD">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r w:rsidRPr="007E780C">
        <w:rPr>
          <w:rFonts w:ascii="Arial" w:hAnsi="Arial" w:cs="Arial"/>
          <w:sz w:val="16"/>
          <w:szCs w:val="16"/>
        </w:rPr>
        <w:t>Stern,</w:t>
      </w:r>
      <w:r w:rsidRPr="00B10D13">
        <w:rPr>
          <w:rFonts w:ascii="Arial" w:hAnsi="Arial" w:cs="Arial"/>
          <w:sz w:val="16"/>
          <w:szCs w:val="16"/>
        </w:rPr>
        <w:t xml:space="preserve"> </w:t>
      </w:r>
      <w:r>
        <w:rPr>
          <w:rFonts w:ascii="Arial" w:hAnsi="Arial" w:cs="Arial"/>
          <w:sz w:val="16"/>
          <w:szCs w:val="16"/>
        </w:rPr>
        <w:t xml:space="preserve">op. cit., </w:t>
      </w:r>
      <w:r w:rsidRPr="00B10D13">
        <w:rPr>
          <w:rFonts w:ascii="Arial" w:hAnsi="Arial" w:cs="Arial"/>
          <w:sz w:val="16"/>
          <w:szCs w:val="16"/>
        </w:rPr>
        <w:t>n</w:t>
      </w:r>
      <w:r>
        <w:rPr>
          <w:rFonts w:ascii="Arial" w:hAnsi="Arial" w:cs="Arial"/>
          <w:sz w:val="16"/>
          <w:szCs w:val="16"/>
        </w:rPr>
        <w:t>. 2, [51],</w:t>
      </w:r>
      <w:r w:rsidRPr="00B10D13">
        <w:rPr>
          <w:rFonts w:ascii="Arial" w:hAnsi="Arial" w:cs="Arial"/>
          <w:sz w:val="16"/>
          <w:szCs w:val="16"/>
        </w:rPr>
        <w:t xml:space="preserve"> recommendation 6; Manville, </w:t>
      </w:r>
      <w:r>
        <w:rPr>
          <w:rFonts w:ascii="Arial" w:hAnsi="Arial" w:cs="Arial"/>
          <w:sz w:val="16"/>
          <w:szCs w:val="16"/>
        </w:rPr>
        <w:t>op. cit., n. 10</w:t>
      </w:r>
      <w:r w:rsidRPr="00B10D13">
        <w:rPr>
          <w:rFonts w:ascii="Arial" w:hAnsi="Arial" w:cs="Arial"/>
          <w:sz w:val="16"/>
          <w:szCs w:val="16"/>
        </w:rPr>
        <w:t xml:space="preserve">, 33; </w:t>
      </w:r>
      <w:r w:rsidRPr="00502021">
        <w:rPr>
          <w:rFonts w:ascii="Arial" w:hAnsi="Arial" w:cs="Arial"/>
          <w:sz w:val="16"/>
          <w:szCs w:val="16"/>
        </w:rPr>
        <w:t>HEFCE</w:t>
      </w:r>
      <w:r w:rsidRPr="00B10D13">
        <w:rPr>
          <w:rFonts w:ascii="Arial" w:hAnsi="Arial" w:cs="Arial"/>
          <w:sz w:val="16"/>
          <w:szCs w:val="16"/>
        </w:rPr>
        <w:t xml:space="preserve">, </w:t>
      </w:r>
      <w:r>
        <w:rPr>
          <w:rFonts w:ascii="Arial" w:hAnsi="Arial" w:cs="Arial"/>
          <w:sz w:val="16"/>
          <w:szCs w:val="16"/>
        </w:rPr>
        <w:t xml:space="preserve">op. cit., </w:t>
      </w:r>
      <w:r w:rsidRPr="00B10D13">
        <w:rPr>
          <w:rFonts w:ascii="Arial" w:hAnsi="Arial" w:cs="Arial"/>
          <w:sz w:val="16"/>
          <w:szCs w:val="16"/>
        </w:rPr>
        <w:t>n</w:t>
      </w:r>
      <w:r>
        <w:rPr>
          <w:rFonts w:ascii="Arial" w:hAnsi="Arial" w:cs="Arial"/>
          <w:sz w:val="16"/>
          <w:szCs w:val="16"/>
        </w:rPr>
        <w:t>.</w:t>
      </w:r>
      <w:r w:rsidRPr="00B10D13">
        <w:rPr>
          <w:rFonts w:ascii="Arial" w:hAnsi="Arial" w:cs="Arial"/>
          <w:sz w:val="16"/>
          <w:szCs w:val="16"/>
        </w:rPr>
        <w:t xml:space="preserve"> 2, [98]-[100]; </w:t>
      </w:r>
      <w:r w:rsidRPr="00502021">
        <w:rPr>
          <w:rFonts w:ascii="Arial" w:hAnsi="Arial" w:cs="Arial"/>
          <w:sz w:val="16"/>
          <w:szCs w:val="16"/>
        </w:rPr>
        <w:t>HEFCE,</w:t>
      </w:r>
      <w:r w:rsidRPr="00825E3E">
        <w:rPr>
          <w:rFonts w:ascii="Arial" w:hAnsi="Arial" w:cs="Arial"/>
          <w:sz w:val="16"/>
          <w:szCs w:val="16"/>
        </w:rPr>
        <w:t xml:space="preserve"> </w:t>
      </w:r>
      <w:r>
        <w:rPr>
          <w:rFonts w:ascii="Arial" w:hAnsi="Arial" w:cs="Arial"/>
          <w:sz w:val="16"/>
          <w:szCs w:val="16"/>
        </w:rPr>
        <w:t xml:space="preserve">op. cit., </w:t>
      </w:r>
      <w:r w:rsidRPr="00B10D13">
        <w:rPr>
          <w:rFonts w:ascii="Arial" w:hAnsi="Arial" w:cs="Arial"/>
          <w:sz w:val="16"/>
          <w:szCs w:val="16"/>
        </w:rPr>
        <w:t>n</w:t>
      </w:r>
      <w:r>
        <w:rPr>
          <w:rFonts w:ascii="Arial" w:hAnsi="Arial" w:cs="Arial"/>
          <w:sz w:val="16"/>
          <w:szCs w:val="16"/>
        </w:rPr>
        <w:t>. 15</w:t>
      </w:r>
      <w:r w:rsidRPr="00825E3E">
        <w:rPr>
          <w:rFonts w:ascii="Arial" w:hAnsi="Arial" w:cs="Arial"/>
          <w:sz w:val="16"/>
          <w:szCs w:val="16"/>
        </w:rPr>
        <w:t>, [26]</w:t>
      </w:r>
      <w:r w:rsidRPr="00B10D13">
        <w:rPr>
          <w:rFonts w:ascii="Arial" w:hAnsi="Arial" w:cs="Arial"/>
          <w:sz w:val="16"/>
          <w:szCs w:val="16"/>
        </w:rPr>
        <w:t xml:space="preserve">; </w:t>
      </w:r>
      <w:r w:rsidRPr="00F943E3">
        <w:rPr>
          <w:rFonts w:ascii="Arial" w:hAnsi="Arial" w:cs="Arial"/>
          <w:sz w:val="16"/>
          <w:szCs w:val="16"/>
        </w:rPr>
        <w:t>REF 2021</w:t>
      </w:r>
      <w:r w:rsidRPr="00B10D13">
        <w:rPr>
          <w:rFonts w:ascii="Arial" w:hAnsi="Arial" w:cs="Arial"/>
          <w:sz w:val="16"/>
          <w:szCs w:val="16"/>
        </w:rPr>
        <w:t xml:space="preserve">, </w:t>
      </w:r>
      <w:r>
        <w:rPr>
          <w:rFonts w:ascii="Arial" w:hAnsi="Arial" w:cs="Arial"/>
          <w:sz w:val="16"/>
          <w:szCs w:val="16"/>
        </w:rPr>
        <w:t xml:space="preserve">op. cit., n. 2, </w:t>
      </w:r>
      <w:r w:rsidRPr="00B10D13">
        <w:rPr>
          <w:rFonts w:ascii="Arial" w:hAnsi="Arial" w:cs="Arial"/>
          <w:sz w:val="16"/>
          <w:szCs w:val="16"/>
        </w:rPr>
        <w:t>[117],</w:t>
      </w:r>
      <w:r>
        <w:rPr>
          <w:rFonts w:ascii="Arial" w:hAnsi="Arial" w:cs="Arial"/>
          <w:sz w:val="16"/>
          <w:szCs w:val="16"/>
        </w:rPr>
        <w:t xml:space="preserve"> [</w:t>
      </w:r>
      <w:r w:rsidRPr="00B10D13">
        <w:rPr>
          <w:rFonts w:ascii="Arial" w:hAnsi="Arial" w:cs="Arial"/>
          <w:sz w:val="16"/>
          <w:szCs w:val="16"/>
        </w:rPr>
        <w:t>297]-[298].</w:t>
      </w:r>
    </w:p>
  </w:footnote>
  <w:footnote w:id="43">
    <w:p w14:paraId="746E7D0A" w14:textId="60118CF4" w:rsidR="007B1D1B" w:rsidRPr="00B10D13" w:rsidRDefault="007B1D1B" w:rsidP="00CD5DAD">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 xml:space="preserve">Bastow, </w:t>
      </w:r>
      <w:r>
        <w:rPr>
          <w:rFonts w:ascii="Arial" w:hAnsi="Arial" w:cs="Arial"/>
          <w:sz w:val="16"/>
          <w:szCs w:val="16"/>
        </w:rPr>
        <w:t>op. cit., n 7</w:t>
      </w:r>
      <w:r w:rsidRPr="00B10D13">
        <w:rPr>
          <w:rFonts w:ascii="Arial" w:hAnsi="Arial" w:cs="Arial"/>
          <w:sz w:val="16"/>
          <w:szCs w:val="16"/>
        </w:rPr>
        <w:t>, 26.</w:t>
      </w:r>
      <w:proofErr w:type="gramEnd"/>
      <w:r w:rsidRPr="00B10D13">
        <w:rPr>
          <w:rFonts w:ascii="Arial" w:hAnsi="Arial" w:cs="Arial"/>
          <w:sz w:val="16"/>
          <w:szCs w:val="16"/>
        </w:rPr>
        <w:t xml:space="preserve"> </w:t>
      </w:r>
    </w:p>
  </w:footnote>
  <w:footnote w:id="44">
    <w:p w14:paraId="4DBFCF81" w14:textId="5232B4CB" w:rsidR="007B1D1B" w:rsidRPr="00B10D13" w:rsidRDefault="007B1D1B" w:rsidP="00CD5DAD">
      <w:pPr>
        <w:pStyle w:val="FootnoteText"/>
        <w:spacing w:after="120" w:line="312" w:lineRule="auto"/>
        <w:rPr>
          <w:rFonts w:ascii="Arial" w:hAnsi="Arial" w:cs="Arial"/>
          <w:sz w:val="16"/>
          <w:szCs w:val="16"/>
        </w:rPr>
      </w:pPr>
      <w:r w:rsidRPr="008B296C">
        <w:rPr>
          <w:rStyle w:val="FootnoteReference"/>
          <w:rFonts w:ascii="Arial" w:hAnsi="Arial" w:cs="Arial"/>
          <w:sz w:val="16"/>
          <w:szCs w:val="16"/>
        </w:rPr>
        <w:footnoteRef/>
      </w:r>
      <w:r>
        <w:rPr>
          <w:rFonts w:ascii="Arial" w:hAnsi="Arial" w:cs="Arial"/>
          <w:sz w:val="16"/>
          <w:szCs w:val="16"/>
        </w:rPr>
        <w:t xml:space="preserve"> I</w:t>
      </w:r>
      <w:r w:rsidRPr="008B296C">
        <w:rPr>
          <w:rFonts w:ascii="Arial" w:hAnsi="Arial" w:cs="Arial"/>
          <w:sz w:val="16"/>
          <w:szCs w:val="16"/>
        </w:rPr>
        <w:t>d</w:t>
      </w:r>
      <w:r w:rsidR="006B4E43">
        <w:rPr>
          <w:rFonts w:ascii="Arial" w:hAnsi="Arial" w:cs="Arial"/>
          <w:sz w:val="16"/>
          <w:szCs w:val="16"/>
        </w:rPr>
        <w:t>.</w:t>
      </w:r>
      <w:r w:rsidRPr="008B296C">
        <w:rPr>
          <w:rFonts w:ascii="Arial" w:hAnsi="Arial" w:cs="Arial"/>
          <w:sz w:val="16"/>
          <w:szCs w:val="16"/>
        </w:rPr>
        <w:t>, 166</w:t>
      </w:r>
      <w:r w:rsidR="006B4E43">
        <w:rPr>
          <w:rFonts w:ascii="Arial" w:hAnsi="Arial" w:cs="Arial"/>
          <w:sz w:val="16"/>
          <w:szCs w:val="16"/>
        </w:rPr>
        <w:t>–</w:t>
      </w:r>
      <w:r w:rsidRPr="008B296C">
        <w:rPr>
          <w:rFonts w:ascii="Arial" w:hAnsi="Arial" w:cs="Arial"/>
          <w:sz w:val="16"/>
          <w:szCs w:val="16"/>
        </w:rPr>
        <w:t>167.</w:t>
      </w:r>
    </w:p>
  </w:footnote>
  <w:footnote w:id="45">
    <w:p w14:paraId="573DC5C1" w14:textId="593E3464"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Professor Mark Elliott’s </w:t>
      </w:r>
      <w:r w:rsidRPr="00B10D13">
        <w:rPr>
          <w:rFonts w:ascii="Arial" w:hAnsi="Arial" w:cs="Arial"/>
          <w:i/>
          <w:sz w:val="16"/>
          <w:szCs w:val="16"/>
        </w:rPr>
        <w:t>Public Law for Everyone</w:t>
      </w:r>
      <w:r w:rsidRPr="00B10D13">
        <w:rPr>
          <w:rFonts w:ascii="Arial" w:hAnsi="Arial" w:cs="Arial"/>
          <w:sz w:val="16"/>
          <w:szCs w:val="16"/>
        </w:rPr>
        <w:t xml:space="preserve"> blog is widely read. It had 66,913 page views in 2013 rising to 610,231 in 2016 (personal communication with the author). In </w:t>
      </w:r>
      <w:r w:rsidRPr="00B10D13">
        <w:rPr>
          <w:rFonts w:ascii="Arial" w:hAnsi="Arial" w:cs="Arial"/>
          <w:i/>
          <w:sz w:val="16"/>
          <w:szCs w:val="16"/>
        </w:rPr>
        <w:t>Miller</w:t>
      </w:r>
      <w:r w:rsidRPr="00B10D13">
        <w:rPr>
          <w:rFonts w:ascii="Arial" w:hAnsi="Arial" w:cs="Arial"/>
          <w:sz w:val="16"/>
          <w:szCs w:val="16"/>
        </w:rPr>
        <w:t xml:space="preserve">, the Supreme Court stated that the debate on blogs had been valuable: [2017] UKSC 5, [274] (Lord </w:t>
      </w:r>
      <w:proofErr w:type="spellStart"/>
      <w:r w:rsidRPr="00B10D13">
        <w:rPr>
          <w:rFonts w:ascii="Arial" w:hAnsi="Arial" w:cs="Arial"/>
          <w:sz w:val="16"/>
          <w:szCs w:val="16"/>
        </w:rPr>
        <w:t>Carnwath</w:t>
      </w:r>
      <w:proofErr w:type="spellEnd"/>
      <w:r w:rsidRPr="00B10D13">
        <w:rPr>
          <w:rFonts w:ascii="Arial" w:hAnsi="Arial" w:cs="Arial"/>
          <w:sz w:val="16"/>
          <w:szCs w:val="16"/>
        </w:rPr>
        <w:t>).</w:t>
      </w:r>
    </w:p>
  </w:footnote>
  <w:footnote w:id="46">
    <w:p w14:paraId="38046C42" w14:textId="56CB1C35"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 xml:space="preserve">E.g., ESRC, ‘Influencing policymakers’, Impact Toolkit, </w:t>
      </w:r>
      <w:hyperlink r:id="rId12" w:history="1">
        <w:r w:rsidRPr="00B10D13">
          <w:rPr>
            <w:rStyle w:val="Hyperlink"/>
            <w:rFonts w:ascii="Arial" w:hAnsi="Arial" w:cs="Arial"/>
            <w:sz w:val="16"/>
            <w:szCs w:val="16"/>
          </w:rPr>
          <w:t>https://esrc.ukri.org/research/impact-toolkit/influencing-policymakers/</w:t>
        </w:r>
      </w:hyperlink>
      <w:r w:rsidRPr="00B10D13">
        <w:rPr>
          <w:rFonts w:ascii="Arial" w:hAnsi="Arial" w:cs="Arial"/>
          <w:sz w:val="16"/>
          <w:szCs w:val="16"/>
        </w:rPr>
        <w:t>.</w:t>
      </w:r>
      <w:proofErr w:type="gramEnd"/>
      <w:r w:rsidRPr="00B10D13">
        <w:rPr>
          <w:rFonts w:ascii="Arial" w:hAnsi="Arial" w:cs="Arial"/>
          <w:sz w:val="16"/>
          <w:szCs w:val="16"/>
        </w:rPr>
        <w:t xml:space="preserve">  </w:t>
      </w:r>
    </w:p>
  </w:footnote>
  <w:footnote w:id="47">
    <w:p w14:paraId="6E85F9A2" w14:textId="2464A8A4"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R107 (RG)</w:t>
      </w:r>
      <w:r w:rsidR="006B4E43">
        <w:rPr>
          <w:rFonts w:ascii="Arial" w:hAnsi="Arial" w:cs="Arial"/>
          <w:sz w:val="16"/>
          <w:szCs w:val="16"/>
        </w:rPr>
        <w:t>.</w:t>
      </w:r>
      <w:proofErr w:type="gramEnd"/>
    </w:p>
  </w:footnote>
  <w:footnote w:id="48">
    <w:p w14:paraId="65472E7A" w14:textId="46B69C6F"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7E780C">
        <w:rPr>
          <w:rFonts w:ascii="Arial" w:hAnsi="Arial" w:cs="Arial"/>
          <w:sz w:val="16"/>
          <w:szCs w:val="16"/>
        </w:rPr>
        <w:t>Stern,</w:t>
      </w:r>
      <w:r w:rsidRPr="00B10D13">
        <w:rPr>
          <w:rFonts w:ascii="Arial" w:hAnsi="Arial" w:cs="Arial"/>
          <w:sz w:val="16"/>
          <w:szCs w:val="16"/>
        </w:rPr>
        <w:t xml:space="preserve"> </w:t>
      </w:r>
      <w:r>
        <w:rPr>
          <w:rFonts w:ascii="Arial" w:hAnsi="Arial" w:cs="Arial"/>
          <w:sz w:val="16"/>
          <w:szCs w:val="16"/>
        </w:rPr>
        <w:t xml:space="preserve">op. cit., </w:t>
      </w:r>
      <w:r w:rsidRPr="00B10D13">
        <w:rPr>
          <w:rFonts w:ascii="Arial" w:hAnsi="Arial" w:cs="Arial"/>
          <w:sz w:val="16"/>
          <w:szCs w:val="16"/>
        </w:rPr>
        <w:t>n</w:t>
      </w:r>
      <w:r>
        <w:rPr>
          <w:rFonts w:ascii="Arial" w:hAnsi="Arial" w:cs="Arial"/>
          <w:sz w:val="16"/>
          <w:szCs w:val="16"/>
        </w:rPr>
        <w:t>.</w:t>
      </w:r>
      <w:r w:rsidRPr="00B10D13">
        <w:rPr>
          <w:rFonts w:ascii="Arial" w:hAnsi="Arial" w:cs="Arial"/>
          <w:sz w:val="16"/>
          <w:szCs w:val="16"/>
        </w:rPr>
        <w:t xml:space="preserve"> 2, [43]; Manville, </w:t>
      </w:r>
      <w:r>
        <w:rPr>
          <w:rFonts w:ascii="Arial" w:hAnsi="Arial" w:cs="Arial"/>
          <w:sz w:val="16"/>
          <w:szCs w:val="16"/>
        </w:rPr>
        <w:t xml:space="preserve">op. cit., </w:t>
      </w:r>
      <w:r w:rsidRPr="00B10D13">
        <w:rPr>
          <w:rFonts w:ascii="Arial" w:hAnsi="Arial" w:cs="Arial"/>
          <w:sz w:val="16"/>
          <w:szCs w:val="16"/>
        </w:rPr>
        <w:t>n</w:t>
      </w:r>
      <w:r>
        <w:rPr>
          <w:rFonts w:ascii="Arial" w:hAnsi="Arial" w:cs="Arial"/>
          <w:sz w:val="16"/>
          <w:szCs w:val="16"/>
        </w:rPr>
        <w:t>. 4</w:t>
      </w:r>
      <w:r w:rsidRPr="00B10D13">
        <w:rPr>
          <w:rFonts w:ascii="Arial" w:hAnsi="Arial" w:cs="Arial"/>
          <w:sz w:val="16"/>
          <w:szCs w:val="16"/>
        </w:rPr>
        <w:t>, 15.</w:t>
      </w:r>
      <w:proofErr w:type="gramEnd"/>
    </w:p>
  </w:footnote>
  <w:footnote w:id="49">
    <w:p w14:paraId="767B41C6" w14:textId="52AA4D4B"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F943E3">
        <w:rPr>
          <w:rFonts w:ascii="Arial" w:hAnsi="Arial" w:cs="Arial"/>
          <w:sz w:val="16"/>
          <w:szCs w:val="16"/>
        </w:rPr>
        <w:t>REF 2021</w:t>
      </w:r>
      <w:r w:rsidRPr="00B10D13">
        <w:rPr>
          <w:rFonts w:ascii="Arial" w:hAnsi="Arial" w:cs="Arial"/>
          <w:sz w:val="16"/>
          <w:szCs w:val="16"/>
        </w:rPr>
        <w:t xml:space="preserve">, </w:t>
      </w:r>
      <w:r>
        <w:rPr>
          <w:rFonts w:ascii="Arial" w:hAnsi="Arial" w:cs="Arial"/>
          <w:sz w:val="16"/>
          <w:szCs w:val="16"/>
        </w:rPr>
        <w:t>op. cit., n. 2,</w:t>
      </w:r>
      <w:r w:rsidRPr="00B10D13">
        <w:rPr>
          <w:rFonts w:ascii="Arial" w:hAnsi="Arial" w:cs="Arial"/>
          <w:sz w:val="16"/>
          <w:szCs w:val="16"/>
        </w:rPr>
        <w:t xml:space="preserve"> [58].</w:t>
      </w:r>
      <w:proofErr w:type="gramEnd"/>
    </w:p>
  </w:footnote>
  <w:footnote w:id="50">
    <w:p w14:paraId="41E53840" w14:textId="2A62E8F1"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RG researchers reported higher percentages in all categories, suggesting slightly better access to government. In NGO and civil society contacts, more RG researchers made use of the</w:t>
      </w:r>
      <w:r>
        <w:rPr>
          <w:rFonts w:ascii="Arial" w:hAnsi="Arial" w:cs="Arial"/>
          <w:sz w:val="16"/>
          <w:szCs w:val="16"/>
        </w:rPr>
        <w:t>se</w:t>
      </w:r>
      <w:r w:rsidRPr="00B10D13">
        <w:rPr>
          <w:rFonts w:ascii="Arial" w:hAnsi="Arial" w:cs="Arial"/>
          <w:sz w:val="16"/>
          <w:szCs w:val="16"/>
        </w:rPr>
        <w:t xml:space="preserve"> in some way (68% as opposed to 54%), and </w:t>
      </w:r>
      <w:r>
        <w:rPr>
          <w:rFonts w:ascii="Arial" w:hAnsi="Arial" w:cs="Arial"/>
          <w:sz w:val="16"/>
          <w:szCs w:val="16"/>
        </w:rPr>
        <w:t xml:space="preserve">more </w:t>
      </w:r>
      <w:r w:rsidRPr="00B10D13">
        <w:rPr>
          <w:rFonts w:ascii="Arial" w:hAnsi="Arial" w:cs="Arial"/>
          <w:sz w:val="16"/>
          <w:szCs w:val="16"/>
        </w:rPr>
        <w:t xml:space="preserve">RG researchers found them helpful/very helpful (43% as opposed to 21%). </w:t>
      </w:r>
      <w:r>
        <w:rPr>
          <w:rFonts w:ascii="Arial" w:hAnsi="Arial" w:cs="Arial"/>
          <w:sz w:val="16"/>
          <w:szCs w:val="16"/>
        </w:rPr>
        <w:t>This</w:t>
      </w:r>
      <w:r w:rsidRPr="00B10D13">
        <w:rPr>
          <w:rFonts w:ascii="Arial" w:hAnsi="Arial" w:cs="Arial"/>
          <w:sz w:val="16"/>
          <w:szCs w:val="16"/>
        </w:rPr>
        <w:t xml:space="preserve"> </w:t>
      </w:r>
      <w:r>
        <w:rPr>
          <w:rFonts w:ascii="Arial" w:hAnsi="Arial" w:cs="Arial"/>
          <w:sz w:val="16"/>
          <w:szCs w:val="16"/>
        </w:rPr>
        <w:t xml:space="preserve">may </w:t>
      </w:r>
      <w:r w:rsidRPr="00B10D13">
        <w:rPr>
          <w:rFonts w:ascii="Arial" w:hAnsi="Arial" w:cs="Arial"/>
          <w:sz w:val="16"/>
          <w:szCs w:val="16"/>
        </w:rPr>
        <w:t>suggest</w:t>
      </w:r>
      <w:r>
        <w:rPr>
          <w:rFonts w:ascii="Arial" w:hAnsi="Arial" w:cs="Arial"/>
          <w:sz w:val="16"/>
          <w:szCs w:val="16"/>
        </w:rPr>
        <w:t xml:space="preserve"> that</w:t>
      </w:r>
      <w:r w:rsidRPr="00B10D13">
        <w:rPr>
          <w:rFonts w:ascii="Arial" w:hAnsi="Arial" w:cs="Arial"/>
          <w:sz w:val="16"/>
          <w:szCs w:val="16"/>
        </w:rPr>
        <w:t xml:space="preserve"> NGOs that are better connected to government tend to work with </w:t>
      </w:r>
      <w:r>
        <w:rPr>
          <w:rFonts w:ascii="Arial" w:hAnsi="Arial" w:cs="Arial"/>
          <w:sz w:val="16"/>
          <w:szCs w:val="16"/>
        </w:rPr>
        <w:t xml:space="preserve">RG </w:t>
      </w:r>
      <w:r w:rsidRPr="00B10D13">
        <w:rPr>
          <w:rFonts w:ascii="Arial" w:hAnsi="Arial" w:cs="Arial"/>
          <w:sz w:val="16"/>
          <w:szCs w:val="16"/>
        </w:rPr>
        <w:t>universities.</w:t>
      </w:r>
    </w:p>
  </w:footnote>
  <w:footnote w:id="51">
    <w:p w14:paraId="6DE289AF" w14:textId="432D3B31"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R6 (non-RG).</w:t>
      </w:r>
      <w:proofErr w:type="gramEnd"/>
    </w:p>
  </w:footnote>
  <w:footnote w:id="52">
    <w:p w14:paraId="58F96F61" w14:textId="219AE1E8"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The Ministry of Justice, for instance, has 6 named contacts with specialist areas: </w:t>
      </w:r>
      <w:hyperlink r:id="rId13" w:history="1">
        <w:r w:rsidRPr="00B10D13">
          <w:rPr>
            <w:rStyle w:val="Hyperlink"/>
            <w:rFonts w:ascii="Arial" w:hAnsi="Arial" w:cs="Arial"/>
            <w:sz w:val="16"/>
            <w:szCs w:val="16"/>
          </w:rPr>
          <w:t>https://www.gov.uk/government/organisations/ministry-of-justice/about/media-enquiries</w:t>
        </w:r>
      </w:hyperlink>
      <w:r w:rsidRPr="00B10D13">
        <w:rPr>
          <w:rFonts w:ascii="Arial" w:hAnsi="Arial" w:cs="Arial"/>
          <w:sz w:val="16"/>
          <w:szCs w:val="16"/>
        </w:rPr>
        <w:t xml:space="preserve">. In April 2017 the same page had 21 named contacts, each with phone number. Before online access, there were for many years named contacts available to journalists in the regularly updated </w:t>
      </w:r>
      <w:r w:rsidRPr="00B10D13">
        <w:rPr>
          <w:rFonts w:ascii="Arial" w:hAnsi="Arial" w:cs="Arial"/>
          <w:i/>
          <w:sz w:val="16"/>
          <w:szCs w:val="16"/>
        </w:rPr>
        <w:t>White Book of Contacts in Government Departments and Agencies</w:t>
      </w:r>
      <w:r w:rsidRPr="00B10D13">
        <w:rPr>
          <w:rFonts w:ascii="Arial" w:hAnsi="Arial" w:cs="Arial"/>
          <w:sz w:val="16"/>
          <w:szCs w:val="16"/>
        </w:rPr>
        <w:t xml:space="preserve">: House of Lords Select Committee on Communications, </w:t>
      </w:r>
      <w:r w:rsidRPr="00B10D13">
        <w:rPr>
          <w:rFonts w:ascii="Arial" w:hAnsi="Arial" w:cs="Arial"/>
          <w:i/>
          <w:sz w:val="16"/>
          <w:szCs w:val="16"/>
        </w:rPr>
        <w:t>Government Communications</w:t>
      </w:r>
      <w:r w:rsidRPr="00B10D13">
        <w:rPr>
          <w:rFonts w:ascii="Arial" w:hAnsi="Arial" w:cs="Arial"/>
          <w:sz w:val="16"/>
          <w:szCs w:val="16"/>
        </w:rPr>
        <w:t>, 1</w:t>
      </w:r>
      <w:r w:rsidRPr="00B10D13">
        <w:rPr>
          <w:rFonts w:ascii="Arial" w:hAnsi="Arial" w:cs="Arial"/>
          <w:sz w:val="16"/>
          <w:szCs w:val="16"/>
          <w:vertAlign w:val="superscript"/>
        </w:rPr>
        <w:t>st</w:t>
      </w:r>
      <w:r w:rsidRPr="00B10D13">
        <w:rPr>
          <w:rFonts w:ascii="Arial" w:hAnsi="Arial" w:cs="Arial"/>
          <w:sz w:val="16"/>
          <w:szCs w:val="16"/>
        </w:rPr>
        <w:t xml:space="preserve"> Report of Session 2008-09, HL Paper 7, [131].</w:t>
      </w:r>
      <w:r w:rsidRPr="00B10D13">
        <w:rPr>
          <w:rFonts w:ascii="Arial" w:hAnsi="Arial" w:cs="Arial"/>
          <w:i/>
          <w:sz w:val="16"/>
          <w:szCs w:val="16"/>
        </w:rPr>
        <w:t xml:space="preserve"> </w:t>
      </w:r>
    </w:p>
  </w:footnote>
  <w:footnote w:id="53">
    <w:p w14:paraId="1722339C" w14:textId="355B9F99"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R17 (non-RG), R78 (RG)</w:t>
      </w:r>
      <w:r>
        <w:rPr>
          <w:rFonts w:ascii="Arial" w:hAnsi="Arial" w:cs="Arial"/>
          <w:sz w:val="16"/>
          <w:szCs w:val="16"/>
        </w:rPr>
        <w:t>.</w:t>
      </w:r>
      <w:proofErr w:type="gramEnd"/>
    </w:p>
  </w:footnote>
  <w:footnote w:id="54">
    <w:p w14:paraId="7DB30408" w14:textId="66CD3C84" w:rsidR="007B1D1B" w:rsidRPr="00B10D13" w:rsidRDefault="007B1D1B" w:rsidP="00627125">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R6 (non-RG), R26 (non-RG), R87 (RG); cf. positive experiences reported in comments – e</w:t>
      </w:r>
      <w:r>
        <w:rPr>
          <w:rFonts w:ascii="Arial" w:hAnsi="Arial" w:cs="Arial"/>
          <w:sz w:val="16"/>
          <w:szCs w:val="16"/>
        </w:rPr>
        <w:t>.</w:t>
      </w:r>
      <w:r w:rsidRPr="00B10D13">
        <w:rPr>
          <w:rFonts w:ascii="Arial" w:hAnsi="Arial" w:cs="Arial"/>
          <w:sz w:val="16"/>
          <w:szCs w:val="16"/>
        </w:rPr>
        <w:t>g</w:t>
      </w:r>
      <w:r>
        <w:rPr>
          <w:rFonts w:ascii="Arial" w:hAnsi="Arial" w:cs="Arial"/>
          <w:sz w:val="16"/>
          <w:szCs w:val="16"/>
        </w:rPr>
        <w:t>.</w:t>
      </w:r>
      <w:r w:rsidRPr="00B10D13">
        <w:rPr>
          <w:rFonts w:ascii="Arial" w:hAnsi="Arial" w:cs="Arial"/>
          <w:sz w:val="16"/>
          <w:szCs w:val="16"/>
        </w:rPr>
        <w:t>, R107 (RG), R46 (RG).</w:t>
      </w:r>
    </w:p>
  </w:footnote>
  <w:footnote w:id="55">
    <w:p w14:paraId="57AE8F81" w14:textId="77777777" w:rsidR="007B1D1B" w:rsidRPr="00B10D13" w:rsidRDefault="007B1D1B" w:rsidP="00627125">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R87 (RG).</w:t>
      </w:r>
      <w:proofErr w:type="gramEnd"/>
    </w:p>
  </w:footnote>
  <w:footnote w:id="56">
    <w:p w14:paraId="5EC43794" w14:textId="444831AB" w:rsidR="007B1D1B" w:rsidRPr="00B10D13" w:rsidRDefault="007B1D1B" w:rsidP="00627125">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eastAsia="Times New Roman" w:hAnsi="Arial" w:cs="Arial"/>
          <w:sz w:val="16"/>
          <w:szCs w:val="16"/>
          <w:lang w:eastAsia="en-GB"/>
        </w:rPr>
        <w:t xml:space="preserve">HEFCE, </w:t>
      </w:r>
      <w:r>
        <w:rPr>
          <w:rFonts w:ascii="Arial" w:eastAsia="Times New Roman" w:hAnsi="Arial" w:cs="Arial"/>
          <w:sz w:val="16"/>
          <w:szCs w:val="16"/>
          <w:lang w:eastAsia="en-GB"/>
        </w:rPr>
        <w:t>op. cit., n 12</w:t>
      </w:r>
      <w:r w:rsidRPr="00B10D13">
        <w:rPr>
          <w:rFonts w:ascii="Arial" w:eastAsia="Times New Roman" w:hAnsi="Arial" w:cs="Arial"/>
          <w:sz w:val="16"/>
          <w:szCs w:val="16"/>
          <w:lang w:eastAsia="en-GB"/>
        </w:rPr>
        <w:t>, Annex G, 54.</w:t>
      </w:r>
      <w:proofErr w:type="gramEnd"/>
    </w:p>
  </w:footnote>
  <w:footnote w:id="57">
    <w:p w14:paraId="6B569181" w14:textId="0702663A"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R5 (non-RG), R54 (non-RG).</w:t>
      </w:r>
      <w:proofErr w:type="gramEnd"/>
    </w:p>
  </w:footnote>
  <w:footnote w:id="58">
    <w:p w14:paraId="3A38DDA8" w14:textId="7C685CC9"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R87 (RG).</w:t>
      </w:r>
      <w:proofErr w:type="gramEnd"/>
    </w:p>
  </w:footnote>
  <w:footnote w:id="59">
    <w:p w14:paraId="5D18488D" w14:textId="5019625F"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R26 (non-RG)</w:t>
      </w:r>
      <w:r>
        <w:rPr>
          <w:rFonts w:ascii="Arial" w:hAnsi="Arial" w:cs="Arial"/>
          <w:sz w:val="16"/>
          <w:szCs w:val="16"/>
        </w:rPr>
        <w:t>.</w:t>
      </w:r>
      <w:proofErr w:type="gramEnd"/>
    </w:p>
  </w:footnote>
  <w:footnote w:id="60">
    <w:p w14:paraId="0EDA3483" w14:textId="78DFBD4F"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R5 (non-RG)</w:t>
      </w:r>
      <w:r>
        <w:rPr>
          <w:rFonts w:ascii="Arial" w:hAnsi="Arial" w:cs="Arial"/>
          <w:sz w:val="16"/>
          <w:szCs w:val="16"/>
        </w:rPr>
        <w:t>.</w:t>
      </w:r>
      <w:proofErr w:type="gramEnd"/>
    </w:p>
  </w:footnote>
  <w:footnote w:id="61">
    <w:p w14:paraId="254BA39E" w14:textId="67C9947A"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R17 (non-RG), also R78 (RG)</w:t>
      </w:r>
      <w:r>
        <w:rPr>
          <w:rFonts w:ascii="Arial" w:hAnsi="Arial" w:cs="Arial"/>
          <w:sz w:val="16"/>
          <w:szCs w:val="16"/>
        </w:rPr>
        <w:t>.</w:t>
      </w:r>
      <w:proofErr w:type="gramEnd"/>
    </w:p>
  </w:footnote>
  <w:footnote w:id="62">
    <w:p w14:paraId="5BB17C26" w14:textId="3D6404B3"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R8 (non-RG)</w:t>
      </w:r>
      <w:r>
        <w:rPr>
          <w:rFonts w:ascii="Arial" w:hAnsi="Arial" w:cs="Arial"/>
          <w:sz w:val="16"/>
          <w:szCs w:val="16"/>
        </w:rPr>
        <w:t>.</w:t>
      </w:r>
      <w:proofErr w:type="gramEnd"/>
    </w:p>
  </w:footnote>
  <w:footnote w:id="63">
    <w:p w14:paraId="3AE578FD" w14:textId="3B51FE10"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R6 (non-RG</w:t>
      </w:r>
      <w:r>
        <w:rPr>
          <w:rFonts w:ascii="Arial" w:hAnsi="Arial" w:cs="Arial"/>
          <w:sz w:val="16"/>
          <w:szCs w:val="16"/>
        </w:rPr>
        <w:t>).</w:t>
      </w:r>
      <w:proofErr w:type="gramEnd"/>
    </w:p>
  </w:footnote>
  <w:footnote w:id="64">
    <w:p w14:paraId="1C2891F3" w14:textId="601F72E6"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R33 (RG)</w:t>
      </w:r>
      <w:r>
        <w:rPr>
          <w:rFonts w:ascii="Arial" w:hAnsi="Arial" w:cs="Arial"/>
          <w:sz w:val="16"/>
          <w:szCs w:val="16"/>
        </w:rPr>
        <w:t>.</w:t>
      </w:r>
      <w:proofErr w:type="gramEnd"/>
    </w:p>
  </w:footnote>
  <w:footnote w:id="65">
    <w:p w14:paraId="07D51AA2" w14:textId="036C009A" w:rsidR="007B1D1B" w:rsidRPr="00B10D13" w:rsidRDefault="007B1D1B" w:rsidP="00E474A9">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Manville, </w:t>
      </w:r>
      <w:r>
        <w:rPr>
          <w:rFonts w:ascii="Arial" w:hAnsi="Arial" w:cs="Arial"/>
          <w:sz w:val="16"/>
          <w:szCs w:val="16"/>
        </w:rPr>
        <w:t xml:space="preserve">op. cit., </w:t>
      </w:r>
      <w:r w:rsidRPr="00B10D13">
        <w:rPr>
          <w:rFonts w:ascii="Arial" w:hAnsi="Arial" w:cs="Arial"/>
          <w:sz w:val="16"/>
          <w:szCs w:val="16"/>
        </w:rPr>
        <w:t>n</w:t>
      </w:r>
      <w:r>
        <w:rPr>
          <w:rFonts w:ascii="Arial" w:hAnsi="Arial" w:cs="Arial"/>
          <w:sz w:val="16"/>
          <w:szCs w:val="16"/>
        </w:rPr>
        <w:t>. 4</w:t>
      </w:r>
      <w:r w:rsidRPr="00B10D13">
        <w:rPr>
          <w:rFonts w:ascii="Arial" w:hAnsi="Arial" w:cs="Arial"/>
          <w:sz w:val="16"/>
          <w:szCs w:val="16"/>
        </w:rPr>
        <w:t xml:space="preserve">, 14-20. </w:t>
      </w:r>
    </w:p>
  </w:footnote>
  <w:footnote w:id="66">
    <w:p w14:paraId="156B6463" w14:textId="44A65E1D" w:rsidR="007B1D1B" w:rsidRPr="00B10D13" w:rsidRDefault="007B1D1B" w:rsidP="00E474A9">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Pr>
          <w:rFonts w:ascii="Arial" w:hAnsi="Arial" w:cs="Arial"/>
          <w:sz w:val="16"/>
          <w:szCs w:val="16"/>
        </w:rPr>
        <w:t xml:space="preserve"> </w:t>
      </w:r>
      <w:proofErr w:type="gramStart"/>
      <w:r>
        <w:rPr>
          <w:rFonts w:ascii="Arial" w:hAnsi="Arial" w:cs="Arial"/>
          <w:sz w:val="16"/>
          <w:szCs w:val="16"/>
        </w:rPr>
        <w:t>I</w:t>
      </w:r>
      <w:r w:rsidRPr="00B10D13">
        <w:rPr>
          <w:rFonts w:ascii="Arial" w:hAnsi="Arial" w:cs="Arial"/>
          <w:sz w:val="16"/>
          <w:szCs w:val="16"/>
        </w:rPr>
        <w:t>d</w:t>
      </w:r>
      <w:r w:rsidR="006B4E43">
        <w:rPr>
          <w:rFonts w:ascii="Arial" w:hAnsi="Arial" w:cs="Arial"/>
          <w:sz w:val="16"/>
          <w:szCs w:val="16"/>
        </w:rPr>
        <w:t>.</w:t>
      </w:r>
      <w:r w:rsidRPr="00B10D13">
        <w:rPr>
          <w:rFonts w:ascii="Arial" w:hAnsi="Arial" w:cs="Arial"/>
          <w:sz w:val="16"/>
          <w:szCs w:val="16"/>
        </w:rPr>
        <w:t>, 30.</w:t>
      </w:r>
      <w:proofErr w:type="gramEnd"/>
    </w:p>
  </w:footnote>
  <w:footnote w:id="67">
    <w:p w14:paraId="6C82DAB8" w14:textId="3E1A3B6A"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R63 (</w:t>
      </w:r>
      <w:r>
        <w:rPr>
          <w:rFonts w:ascii="Arial" w:hAnsi="Arial" w:cs="Arial"/>
          <w:sz w:val="16"/>
          <w:szCs w:val="16"/>
        </w:rPr>
        <w:t>preferred not to say</w:t>
      </w:r>
      <w:r w:rsidRPr="00B10D13">
        <w:rPr>
          <w:rFonts w:ascii="Arial" w:hAnsi="Arial" w:cs="Arial"/>
          <w:sz w:val="16"/>
          <w:szCs w:val="16"/>
        </w:rPr>
        <w:t xml:space="preserve"> whether RG / non-RG)</w:t>
      </w:r>
      <w:r>
        <w:rPr>
          <w:rFonts w:ascii="Arial" w:hAnsi="Arial" w:cs="Arial"/>
          <w:sz w:val="16"/>
          <w:szCs w:val="16"/>
        </w:rPr>
        <w:t>.</w:t>
      </w:r>
    </w:p>
  </w:footnote>
  <w:footnote w:id="68">
    <w:p w14:paraId="53ED164F" w14:textId="6EF69A0E"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R87 (RG)</w:t>
      </w:r>
      <w:r>
        <w:rPr>
          <w:rFonts w:ascii="Arial" w:hAnsi="Arial" w:cs="Arial"/>
          <w:sz w:val="16"/>
          <w:szCs w:val="16"/>
        </w:rPr>
        <w:t>.</w:t>
      </w:r>
      <w:proofErr w:type="gramEnd"/>
    </w:p>
  </w:footnote>
  <w:footnote w:id="69">
    <w:p w14:paraId="29141A89" w14:textId="0996549E" w:rsidR="007B1D1B" w:rsidRPr="00B10D13" w:rsidRDefault="007B1D1B" w:rsidP="00484D9F">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 xml:space="preserve">Penfield, </w:t>
      </w:r>
      <w:r>
        <w:rPr>
          <w:rFonts w:ascii="Arial" w:hAnsi="Arial" w:cs="Arial"/>
          <w:sz w:val="16"/>
          <w:szCs w:val="16"/>
        </w:rPr>
        <w:t>op. cit., n 5</w:t>
      </w:r>
      <w:r w:rsidRPr="00B10D13">
        <w:rPr>
          <w:rFonts w:ascii="Arial" w:hAnsi="Arial" w:cs="Arial"/>
          <w:sz w:val="16"/>
          <w:szCs w:val="16"/>
        </w:rPr>
        <w:t xml:space="preserve">, 26; Spaapen and van Drooge, </w:t>
      </w:r>
      <w:r>
        <w:rPr>
          <w:rFonts w:ascii="Arial" w:hAnsi="Arial" w:cs="Arial"/>
          <w:sz w:val="16"/>
          <w:szCs w:val="16"/>
        </w:rPr>
        <w:t>op. cit., n 9</w:t>
      </w:r>
      <w:r w:rsidRPr="00B10D13">
        <w:rPr>
          <w:rFonts w:ascii="Arial" w:hAnsi="Arial" w:cs="Arial"/>
          <w:sz w:val="16"/>
          <w:szCs w:val="16"/>
        </w:rPr>
        <w:t>.</w:t>
      </w:r>
      <w:proofErr w:type="gramEnd"/>
      <w:r w:rsidRPr="00B10D13">
        <w:rPr>
          <w:rFonts w:ascii="Arial" w:hAnsi="Arial" w:cs="Arial"/>
          <w:sz w:val="16"/>
          <w:szCs w:val="16"/>
        </w:rPr>
        <w:t xml:space="preserve"> 213</w:t>
      </w:r>
      <w:r w:rsidR="006B4E43">
        <w:rPr>
          <w:rFonts w:ascii="Arial" w:hAnsi="Arial" w:cs="Arial"/>
          <w:sz w:val="16"/>
          <w:szCs w:val="16"/>
        </w:rPr>
        <w:t>–</w:t>
      </w:r>
      <w:r w:rsidRPr="00B10D13">
        <w:rPr>
          <w:rFonts w:ascii="Arial" w:hAnsi="Arial" w:cs="Arial"/>
          <w:sz w:val="16"/>
          <w:szCs w:val="16"/>
        </w:rPr>
        <w:t xml:space="preserve">215; Bastow, </w:t>
      </w:r>
      <w:r>
        <w:rPr>
          <w:rFonts w:ascii="Arial" w:hAnsi="Arial" w:cs="Arial"/>
          <w:sz w:val="16"/>
          <w:szCs w:val="16"/>
        </w:rPr>
        <w:t>op. cit., n 7</w:t>
      </w:r>
      <w:r w:rsidRPr="00B10D13">
        <w:rPr>
          <w:rFonts w:ascii="Arial" w:hAnsi="Arial" w:cs="Arial"/>
          <w:sz w:val="16"/>
          <w:szCs w:val="16"/>
        </w:rPr>
        <w:t xml:space="preserve">, 168, 171 (though they go on to argue that academics need ‘strategies to put themselves in those situations that may seem “serendipitous”’ and to ‘contrive to maximize the potential opportunities for impact </w:t>
      </w:r>
      <w:r w:rsidR="006B4E43">
        <w:rPr>
          <w:rFonts w:ascii="Arial" w:hAnsi="Arial" w:cs="Arial"/>
          <w:sz w:val="16"/>
          <w:szCs w:val="16"/>
        </w:rPr>
        <w:t>–</w:t>
      </w:r>
      <w:r w:rsidR="006B4E43" w:rsidRPr="00B10D13">
        <w:rPr>
          <w:rFonts w:ascii="Arial" w:hAnsi="Arial" w:cs="Arial"/>
          <w:sz w:val="16"/>
          <w:szCs w:val="16"/>
        </w:rPr>
        <w:t xml:space="preserve"> </w:t>
      </w:r>
      <w:r w:rsidRPr="00B10D13">
        <w:rPr>
          <w:rFonts w:ascii="Arial" w:hAnsi="Arial" w:cs="Arial"/>
          <w:sz w:val="16"/>
          <w:szCs w:val="16"/>
        </w:rPr>
        <w:t>in the hope that this will increase the chances of serendipitous outcomes</w:t>
      </w:r>
      <w:r w:rsidR="006B4E43">
        <w:rPr>
          <w:rFonts w:ascii="Arial" w:hAnsi="Arial" w:cs="Arial"/>
          <w:sz w:val="16"/>
          <w:szCs w:val="16"/>
        </w:rPr>
        <w:t>’</w:t>
      </w:r>
      <w:r w:rsidRPr="00B10D13">
        <w:rPr>
          <w:rFonts w:ascii="Arial" w:hAnsi="Arial" w:cs="Arial"/>
          <w:sz w:val="16"/>
          <w:szCs w:val="16"/>
        </w:rPr>
        <w:t xml:space="preserve">.)   </w:t>
      </w:r>
    </w:p>
  </w:footnote>
  <w:footnote w:id="70">
    <w:p w14:paraId="034ABAE3" w14:textId="2BE00821" w:rsidR="007B1D1B" w:rsidRPr="00B10D13" w:rsidRDefault="007B1D1B" w:rsidP="00484D9F">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 xml:space="preserve">Manville, </w:t>
      </w:r>
      <w:r>
        <w:rPr>
          <w:rFonts w:ascii="Arial" w:hAnsi="Arial" w:cs="Arial"/>
          <w:sz w:val="16"/>
          <w:szCs w:val="16"/>
        </w:rPr>
        <w:t>op. cit., n 10, 38</w:t>
      </w:r>
      <w:r w:rsidRPr="00B10D13">
        <w:rPr>
          <w:rFonts w:ascii="Arial" w:hAnsi="Arial" w:cs="Arial"/>
          <w:sz w:val="16"/>
          <w:szCs w:val="16"/>
        </w:rPr>
        <w:t>.</w:t>
      </w:r>
      <w:proofErr w:type="gramEnd"/>
      <w:r w:rsidRPr="00B10D13">
        <w:rPr>
          <w:rFonts w:ascii="Arial" w:hAnsi="Arial" w:cs="Arial"/>
          <w:sz w:val="16"/>
          <w:szCs w:val="16"/>
        </w:rPr>
        <w:t xml:space="preserve"> </w:t>
      </w:r>
    </w:p>
  </w:footnote>
  <w:footnote w:id="71">
    <w:p w14:paraId="7F708459" w14:textId="27B5A704"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 xml:space="preserve">Manville, </w:t>
      </w:r>
      <w:r>
        <w:rPr>
          <w:rFonts w:ascii="Arial" w:hAnsi="Arial" w:cs="Arial"/>
          <w:sz w:val="16"/>
          <w:szCs w:val="16"/>
        </w:rPr>
        <w:t xml:space="preserve">op. cit., </w:t>
      </w:r>
      <w:r w:rsidRPr="00B10D13">
        <w:rPr>
          <w:rFonts w:ascii="Arial" w:hAnsi="Arial" w:cs="Arial"/>
          <w:sz w:val="16"/>
          <w:szCs w:val="16"/>
        </w:rPr>
        <w:t>n</w:t>
      </w:r>
      <w:r>
        <w:rPr>
          <w:rFonts w:ascii="Arial" w:hAnsi="Arial" w:cs="Arial"/>
          <w:sz w:val="16"/>
          <w:szCs w:val="16"/>
        </w:rPr>
        <w:t>. 4</w:t>
      </w:r>
      <w:r w:rsidRPr="00B10D13">
        <w:rPr>
          <w:rFonts w:ascii="Arial" w:hAnsi="Arial" w:cs="Arial"/>
          <w:sz w:val="16"/>
          <w:szCs w:val="16"/>
        </w:rPr>
        <w:t>, 23.</w:t>
      </w:r>
      <w:proofErr w:type="gramEnd"/>
    </w:p>
  </w:footnote>
  <w:footnote w:id="72">
    <w:p w14:paraId="2F0C5AA7" w14:textId="35231942" w:rsidR="007B1D1B" w:rsidRPr="00B10D13" w:rsidRDefault="007B1D1B" w:rsidP="001E3162">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The calculations cannot predict </w:t>
      </w:r>
      <w:r>
        <w:rPr>
          <w:rFonts w:ascii="Arial" w:hAnsi="Arial" w:cs="Arial"/>
          <w:sz w:val="16"/>
          <w:szCs w:val="16"/>
        </w:rPr>
        <w:t>precise</w:t>
      </w:r>
      <w:r w:rsidRPr="00B10D13">
        <w:rPr>
          <w:rFonts w:ascii="Arial" w:hAnsi="Arial" w:cs="Arial"/>
          <w:sz w:val="16"/>
          <w:szCs w:val="16"/>
        </w:rPr>
        <w:t xml:space="preserve"> changes because altering the balance of quality in one school would also alter the overall weighted volume measure and the £ per weighted point. M</w:t>
      </w:r>
      <w:r>
        <w:rPr>
          <w:rFonts w:ascii="Arial" w:hAnsi="Arial" w:cs="Arial"/>
          <w:sz w:val="16"/>
          <w:szCs w:val="16"/>
        </w:rPr>
        <w:t>.</w:t>
      </w:r>
      <w:r w:rsidRPr="00B10D13">
        <w:rPr>
          <w:rFonts w:ascii="Arial" w:hAnsi="Arial" w:cs="Arial"/>
          <w:sz w:val="16"/>
          <w:szCs w:val="16"/>
        </w:rPr>
        <w:t xml:space="preserve"> Reed and S</w:t>
      </w:r>
      <w:r>
        <w:rPr>
          <w:rFonts w:ascii="Arial" w:hAnsi="Arial" w:cs="Arial"/>
          <w:sz w:val="16"/>
          <w:szCs w:val="16"/>
        </w:rPr>
        <w:t>.</w:t>
      </w:r>
      <w:r w:rsidRPr="00B10D13">
        <w:rPr>
          <w:rFonts w:ascii="Arial" w:hAnsi="Arial" w:cs="Arial"/>
          <w:sz w:val="16"/>
          <w:szCs w:val="16"/>
        </w:rPr>
        <w:t xml:space="preserve"> </w:t>
      </w:r>
      <w:proofErr w:type="spellStart"/>
      <w:r w:rsidRPr="00B10D13">
        <w:rPr>
          <w:rFonts w:ascii="Arial" w:hAnsi="Arial" w:cs="Arial"/>
          <w:sz w:val="16"/>
          <w:szCs w:val="16"/>
        </w:rPr>
        <w:t>Kerridge</w:t>
      </w:r>
      <w:proofErr w:type="spellEnd"/>
      <w:r w:rsidRPr="00B10D13">
        <w:rPr>
          <w:rFonts w:ascii="Arial" w:hAnsi="Arial" w:cs="Arial"/>
          <w:sz w:val="16"/>
          <w:szCs w:val="16"/>
        </w:rPr>
        <w:t xml:space="preserve"> have recently looked at the financial rewards of impact case studies more widely. Value varies across disciplines but they noted that ‘we can expect similar levels of funding per case study’: ‘How much was an impact case study worth in the UK Research Excellence Framework?, Fast Track Impact, 1 February 2017, </w:t>
      </w:r>
      <w:hyperlink r:id="rId14" w:history="1">
        <w:r w:rsidRPr="00B10D13">
          <w:rPr>
            <w:rStyle w:val="Hyperlink"/>
            <w:rFonts w:ascii="Arial" w:hAnsi="Arial" w:cs="Arial"/>
            <w:sz w:val="16"/>
            <w:szCs w:val="16"/>
          </w:rPr>
          <w:t>http://www.fasttrackimpact.com/single-post/2017/02/01/How-much-was-an-impact-case-study-worth-in-the-UK-Research-Excellence-Framework</w:t>
        </w:r>
      </w:hyperlink>
      <w:r w:rsidRPr="00B10D13">
        <w:rPr>
          <w:rFonts w:ascii="Arial" w:hAnsi="Arial" w:cs="Arial"/>
          <w:sz w:val="16"/>
          <w:szCs w:val="16"/>
        </w:rPr>
        <w:t xml:space="preserve">.   </w:t>
      </w:r>
    </w:p>
  </w:footnote>
  <w:footnote w:id="73">
    <w:p w14:paraId="0FCEB703" w14:textId="2195FD7B" w:rsidR="007B1D1B" w:rsidRPr="00B10D13" w:rsidRDefault="007B1D1B" w:rsidP="005E2732">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Pr>
          <w:rFonts w:ascii="Arial" w:hAnsi="Arial" w:cs="Arial"/>
          <w:sz w:val="16"/>
          <w:szCs w:val="16"/>
        </w:rPr>
        <w:t xml:space="preserve"> P.</w:t>
      </w:r>
      <w:r w:rsidRPr="00B10D13">
        <w:rPr>
          <w:rFonts w:ascii="Arial" w:hAnsi="Arial" w:cs="Arial"/>
          <w:sz w:val="16"/>
          <w:szCs w:val="16"/>
        </w:rPr>
        <w:t xml:space="preserve"> Nurse, </w:t>
      </w:r>
      <w:r w:rsidRPr="00B10D13">
        <w:rPr>
          <w:rFonts w:ascii="Arial" w:hAnsi="Arial" w:cs="Arial"/>
          <w:i/>
          <w:sz w:val="16"/>
          <w:szCs w:val="16"/>
        </w:rPr>
        <w:t>Ensuring a successful UK research endeavour: A review of UK research councils</w:t>
      </w:r>
      <w:r w:rsidRPr="00B10D13">
        <w:rPr>
          <w:rFonts w:ascii="Arial" w:hAnsi="Arial" w:cs="Arial"/>
          <w:sz w:val="16"/>
          <w:szCs w:val="16"/>
        </w:rPr>
        <w:t>, Department of Business, Industry &amp; Skills, BIS/15/625, 2015.</w:t>
      </w:r>
    </w:p>
  </w:footnote>
  <w:footnote w:id="74">
    <w:p w14:paraId="084F9727" w14:textId="1C4E21A1" w:rsidR="007B1D1B" w:rsidRPr="00B10D13" w:rsidRDefault="007B1D1B" w:rsidP="005E2732">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proofErr w:type="gramStart"/>
      <w:r w:rsidRPr="00B10D13">
        <w:rPr>
          <w:rFonts w:ascii="Arial" w:hAnsi="Arial" w:cs="Arial"/>
          <w:sz w:val="16"/>
          <w:szCs w:val="16"/>
        </w:rPr>
        <w:t xml:space="preserve">Government Office for Science and Cabinet Office, </w:t>
      </w:r>
      <w:r w:rsidRPr="00B10D13">
        <w:rPr>
          <w:rFonts w:ascii="Arial" w:hAnsi="Arial" w:cs="Arial"/>
          <w:i/>
          <w:sz w:val="16"/>
          <w:szCs w:val="16"/>
        </w:rPr>
        <w:t>Areas of Research Interest</w:t>
      </w:r>
      <w:r w:rsidRPr="00B10D13">
        <w:rPr>
          <w:rFonts w:ascii="Arial" w:hAnsi="Arial" w:cs="Arial"/>
          <w:sz w:val="16"/>
          <w:szCs w:val="16"/>
        </w:rPr>
        <w:t xml:space="preserve"> </w:t>
      </w:r>
      <w:hyperlink r:id="rId15" w:history="1">
        <w:r w:rsidRPr="00B10D13">
          <w:rPr>
            <w:rStyle w:val="Hyperlink"/>
            <w:rFonts w:ascii="Arial" w:hAnsi="Arial" w:cs="Arial"/>
            <w:sz w:val="16"/>
            <w:szCs w:val="16"/>
          </w:rPr>
          <w:t>https://www.gov.uk/government/collections/areas-of-research-interest</w:t>
        </w:r>
      </w:hyperlink>
      <w:r w:rsidRPr="00B10D13">
        <w:rPr>
          <w:rFonts w:ascii="Arial" w:hAnsi="Arial" w:cs="Arial"/>
          <w:sz w:val="16"/>
          <w:szCs w:val="16"/>
        </w:rPr>
        <w:t xml:space="preserve">; </w:t>
      </w:r>
      <w:r>
        <w:rPr>
          <w:rFonts w:ascii="Arial" w:hAnsi="Arial" w:cs="Arial"/>
          <w:sz w:val="16"/>
          <w:szCs w:val="16"/>
        </w:rPr>
        <w:t xml:space="preserve">Id., </w:t>
      </w:r>
      <w:r w:rsidRPr="00B10D13">
        <w:rPr>
          <w:rFonts w:ascii="Arial" w:hAnsi="Arial" w:cs="Arial"/>
          <w:sz w:val="16"/>
          <w:szCs w:val="16"/>
        </w:rPr>
        <w:t>23.</w:t>
      </w:r>
      <w:proofErr w:type="gramEnd"/>
    </w:p>
  </w:footnote>
  <w:footnote w:id="75">
    <w:p w14:paraId="70667B52" w14:textId="77777777" w:rsidR="007B1D1B" w:rsidRPr="00B10D13" w:rsidRDefault="007B1D1B" w:rsidP="005E2732">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Areas of Research Interest (ARI) collection: </w:t>
      </w:r>
      <w:hyperlink r:id="rId16" w:history="1">
        <w:r w:rsidRPr="00B10D13">
          <w:rPr>
            <w:rStyle w:val="Hyperlink"/>
            <w:rFonts w:ascii="Arial" w:hAnsi="Arial" w:cs="Arial"/>
            <w:sz w:val="16"/>
            <w:szCs w:val="16"/>
          </w:rPr>
          <w:t>https://www.gov.uk/government/collections/areas-of-research-interest</w:t>
        </w:r>
      </w:hyperlink>
      <w:r w:rsidRPr="00B10D13">
        <w:rPr>
          <w:rFonts w:ascii="Arial" w:hAnsi="Arial" w:cs="Arial"/>
          <w:sz w:val="16"/>
          <w:szCs w:val="16"/>
        </w:rPr>
        <w:t>.</w:t>
      </w:r>
    </w:p>
  </w:footnote>
  <w:footnote w:id="76">
    <w:p w14:paraId="3D7F2230" w14:textId="7C6CE857" w:rsidR="007B1D1B" w:rsidRPr="00B10D13" w:rsidRDefault="007B1D1B" w:rsidP="00C37941">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A</w:t>
      </w:r>
      <w:r>
        <w:rPr>
          <w:rFonts w:ascii="Arial" w:hAnsi="Arial" w:cs="Arial"/>
          <w:sz w:val="16"/>
          <w:szCs w:val="16"/>
        </w:rPr>
        <w:t>.</w:t>
      </w:r>
      <w:r w:rsidRPr="00B10D13">
        <w:rPr>
          <w:rFonts w:ascii="Arial" w:hAnsi="Arial" w:cs="Arial"/>
          <w:sz w:val="16"/>
          <w:szCs w:val="16"/>
        </w:rPr>
        <w:t xml:space="preserve"> Stevens, ‘Telling policy stories: an ethnographic study of the use of evidence in policy-making in the UK’ (2011) 40 </w:t>
      </w:r>
      <w:r w:rsidRPr="00876281">
        <w:rPr>
          <w:rFonts w:ascii="Arial" w:hAnsi="Arial" w:cs="Arial"/>
          <w:i/>
          <w:sz w:val="16"/>
          <w:szCs w:val="16"/>
        </w:rPr>
        <w:t>Journal of Social Policy</w:t>
      </w:r>
      <w:r w:rsidRPr="00B10D13">
        <w:rPr>
          <w:rFonts w:ascii="Arial" w:hAnsi="Arial" w:cs="Arial"/>
          <w:sz w:val="16"/>
          <w:szCs w:val="16"/>
        </w:rPr>
        <w:t xml:space="preserve"> 237, 242. </w:t>
      </w:r>
    </w:p>
  </w:footnote>
  <w:footnote w:id="77">
    <w:p w14:paraId="7BD8673F" w14:textId="1AAEC68C"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E.g. M</w:t>
      </w:r>
      <w:r>
        <w:rPr>
          <w:rFonts w:ascii="Arial" w:hAnsi="Arial" w:cs="Arial"/>
          <w:sz w:val="16"/>
          <w:szCs w:val="16"/>
        </w:rPr>
        <w:t>.</w:t>
      </w:r>
      <w:r w:rsidRPr="00B10D13">
        <w:rPr>
          <w:rFonts w:ascii="Arial" w:hAnsi="Arial" w:cs="Arial"/>
          <w:sz w:val="16"/>
          <w:szCs w:val="16"/>
        </w:rPr>
        <w:t xml:space="preserve"> Reed </w:t>
      </w:r>
      <w:r>
        <w:rPr>
          <w:rFonts w:ascii="Arial" w:hAnsi="Arial" w:cs="Arial"/>
          <w:sz w:val="16"/>
          <w:szCs w:val="16"/>
        </w:rPr>
        <w:t>et al.</w:t>
      </w:r>
      <w:r w:rsidRPr="00B10D13">
        <w:rPr>
          <w:rFonts w:ascii="Arial" w:hAnsi="Arial" w:cs="Arial"/>
          <w:sz w:val="16"/>
          <w:szCs w:val="16"/>
        </w:rPr>
        <w:t xml:space="preserve">, ‘Five principles for the practice of knowledge exchange in environmental management’ (2014) 146 </w:t>
      </w:r>
      <w:r w:rsidRPr="00B10D13">
        <w:rPr>
          <w:rFonts w:ascii="Arial" w:hAnsi="Arial" w:cs="Arial"/>
          <w:i/>
          <w:sz w:val="16"/>
          <w:szCs w:val="16"/>
        </w:rPr>
        <w:t>Journal of Environmental Management</w:t>
      </w:r>
      <w:r w:rsidRPr="00B10D13">
        <w:rPr>
          <w:rFonts w:ascii="Arial" w:hAnsi="Arial" w:cs="Arial"/>
          <w:sz w:val="16"/>
          <w:szCs w:val="16"/>
        </w:rPr>
        <w:t xml:space="preserve"> 337. More generally, J</w:t>
      </w:r>
      <w:r>
        <w:rPr>
          <w:rFonts w:ascii="Arial" w:hAnsi="Arial" w:cs="Arial"/>
          <w:sz w:val="16"/>
          <w:szCs w:val="16"/>
        </w:rPr>
        <w:t>.</w:t>
      </w:r>
      <w:r w:rsidRPr="00B10D13">
        <w:rPr>
          <w:rFonts w:ascii="Arial" w:hAnsi="Arial" w:cs="Arial"/>
          <w:sz w:val="16"/>
          <w:szCs w:val="16"/>
        </w:rPr>
        <w:t xml:space="preserve"> </w:t>
      </w:r>
      <w:proofErr w:type="spellStart"/>
      <w:r w:rsidRPr="00B10D13">
        <w:rPr>
          <w:rFonts w:ascii="Arial" w:hAnsi="Arial" w:cs="Arial"/>
          <w:sz w:val="16"/>
          <w:szCs w:val="16"/>
        </w:rPr>
        <w:t>Ingold</w:t>
      </w:r>
      <w:proofErr w:type="spellEnd"/>
      <w:r w:rsidRPr="00B10D13">
        <w:rPr>
          <w:rFonts w:ascii="Arial" w:hAnsi="Arial" w:cs="Arial"/>
          <w:sz w:val="16"/>
          <w:szCs w:val="16"/>
        </w:rPr>
        <w:t xml:space="preserve"> and M</w:t>
      </w:r>
      <w:r>
        <w:rPr>
          <w:rFonts w:ascii="Arial" w:hAnsi="Arial" w:cs="Arial"/>
          <w:sz w:val="16"/>
          <w:szCs w:val="16"/>
        </w:rPr>
        <w:t>.</w:t>
      </w:r>
      <w:r w:rsidRPr="00B10D13">
        <w:rPr>
          <w:rFonts w:ascii="Arial" w:hAnsi="Arial" w:cs="Arial"/>
          <w:sz w:val="16"/>
          <w:szCs w:val="16"/>
        </w:rPr>
        <w:t xml:space="preserve"> Monaghan, ‘E</w:t>
      </w:r>
      <w:r w:rsidRPr="00B10D13">
        <w:rPr>
          <w:rFonts w:ascii="Arial" w:hAnsi="Arial" w:cs="Arial"/>
          <w:iCs/>
          <w:sz w:val="16"/>
          <w:szCs w:val="16"/>
        </w:rPr>
        <w:t xml:space="preserve">vidence translation: an exploration of policy makers' use of evidence’ (2016) 44 </w:t>
      </w:r>
      <w:r w:rsidRPr="00B10D13">
        <w:rPr>
          <w:rFonts w:ascii="Arial" w:hAnsi="Arial" w:cs="Arial"/>
          <w:i/>
          <w:sz w:val="16"/>
          <w:szCs w:val="16"/>
        </w:rPr>
        <w:t xml:space="preserve">Policy and Politics </w:t>
      </w:r>
      <w:r w:rsidRPr="00B10D13">
        <w:rPr>
          <w:rFonts w:ascii="Arial" w:hAnsi="Arial" w:cs="Arial"/>
          <w:sz w:val="16"/>
          <w:szCs w:val="16"/>
        </w:rPr>
        <w:t>171.</w:t>
      </w:r>
    </w:p>
  </w:footnote>
  <w:footnote w:id="78">
    <w:p w14:paraId="7E0E93F8" w14:textId="33300728" w:rsidR="007B1D1B" w:rsidRPr="00B10D13" w:rsidRDefault="007B1D1B" w:rsidP="00B10D13">
      <w:pPr>
        <w:pStyle w:val="FootnoteText"/>
        <w:spacing w:after="120" w:line="312" w:lineRule="auto"/>
        <w:rPr>
          <w:rFonts w:ascii="Arial" w:hAnsi="Arial" w:cs="Arial"/>
          <w:sz w:val="16"/>
          <w:szCs w:val="16"/>
        </w:rPr>
      </w:pPr>
      <w:r w:rsidRPr="00B10D13">
        <w:rPr>
          <w:rStyle w:val="FootnoteReference"/>
          <w:rFonts w:ascii="Arial" w:hAnsi="Arial" w:cs="Arial"/>
          <w:sz w:val="16"/>
          <w:szCs w:val="16"/>
        </w:rPr>
        <w:footnoteRef/>
      </w:r>
      <w:r w:rsidRPr="00B10D13">
        <w:rPr>
          <w:rFonts w:ascii="Arial" w:hAnsi="Arial" w:cs="Arial"/>
          <w:sz w:val="16"/>
          <w:szCs w:val="16"/>
        </w:rPr>
        <w:t xml:space="preserve"> </w:t>
      </w:r>
      <w:r>
        <w:rPr>
          <w:rFonts w:ascii="Arial" w:hAnsi="Arial" w:cs="Arial"/>
          <w:sz w:val="16"/>
          <w:szCs w:val="16"/>
        </w:rPr>
        <w:t xml:space="preserve">This point was made in survey responses – e.g., </w:t>
      </w:r>
      <w:r w:rsidRPr="00B10D13">
        <w:rPr>
          <w:rFonts w:ascii="Arial" w:hAnsi="Arial" w:cs="Arial"/>
          <w:sz w:val="16"/>
          <w:szCs w:val="16"/>
        </w:rPr>
        <w:t>R114 (RG</w:t>
      </w:r>
      <w:r>
        <w:rPr>
          <w:rFonts w:ascii="Arial" w:hAnsi="Arial" w:cs="Arial"/>
          <w:sz w:val="16"/>
          <w:szCs w:val="16"/>
        </w:rPr>
        <w:t>)</w:t>
      </w:r>
      <w:r w:rsidRPr="00B10D13">
        <w:rPr>
          <w:rFonts w:ascii="Arial" w:hAnsi="Arial" w:cs="Arial"/>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D10"/>
    <w:multiLevelType w:val="hybridMultilevel"/>
    <w:tmpl w:val="D7F0C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B1745B"/>
    <w:multiLevelType w:val="hybridMultilevel"/>
    <w:tmpl w:val="42ECD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9D2284"/>
    <w:multiLevelType w:val="hybridMultilevel"/>
    <w:tmpl w:val="D5CA5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DD6840"/>
    <w:multiLevelType w:val="hybridMultilevel"/>
    <w:tmpl w:val="7226A330"/>
    <w:lvl w:ilvl="0" w:tplc="28721454">
      <w:start w:val="1"/>
      <w:numFmt w:val="decimal"/>
      <w:lvlText w:val="%1."/>
      <w:lvlJc w:val="left"/>
      <w:pPr>
        <w:ind w:left="360" w:hanging="360"/>
      </w:pPr>
      <w:rPr>
        <w:rFonts w:ascii="Arial" w:hAnsi="Aria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4F22ECA"/>
    <w:multiLevelType w:val="hybridMultilevel"/>
    <w:tmpl w:val="6F42CFA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5504C29"/>
    <w:multiLevelType w:val="hybridMultilevel"/>
    <w:tmpl w:val="0284D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BD2F5E"/>
    <w:multiLevelType w:val="hybridMultilevel"/>
    <w:tmpl w:val="10B8B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5F6841"/>
    <w:multiLevelType w:val="hybridMultilevel"/>
    <w:tmpl w:val="BB1CB7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9682FD5"/>
    <w:multiLevelType w:val="hybridMultilevel"/>
    <w:tmpl w:val="BF886EEE"/>
    <w:lvl w:ilvl="0" w:tplc="28721454">
      <w:start w:val="1"/>
      <w:numFmt w:val="decimal"/>
      <w:lvlText w:val="%1."/>
      <w:lvlJc w:val="left"/>
      <w:pPr>
        <w:ind w:left="360" w:hanging="360"/>
      </w:pPr>
      <w:rPr>
        <w:rFonts w:ascii="Arial" w:hAnsi="Aria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B6570B2"/>
    <w:multiLevelType w:val="hybridMultilevel"/>
    <w:tmpl w:val="5700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AF0D47"/>
    <w:multiLevelType w:val="hybridMultilevel"/>
    <w:tmpl w:val="6F44E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CC2D87"/>
    <w:multiLevelType w:val="hybridMultilevel"/>
    <w:tmpl w:val="79FE8EAE"/>
    <w:lvl w:ilvl="0" w:tplc="1B96AD26">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FB2BA9"/>
    <w:multiLevelType w:val="hybridMultilevel"/>
    <w:tmpl w:val="5082DABA"/>
    <w:lvl w:ilvl="0" w:tplc="50787152">
      <w:start w:val="1"/>
      <w:numFmt w:val="decimal"/>
      <w:lvlText w:val="%1."/>
      <w:lvlJc w:val="left"/>
      <w:pPr>
        <w:ind w:left="360" w:hanging="360"/>
      </w:pPr>
      <w:rPr>
        <w:rFonts w:ascii="Arial" w:hAnsi="Arial" w:cs="Arial" w:hint="default"/>
        <w:color w:val="auto"/>
        <w:sz w:val="24"/>
        <w:szCs w:val="24"/>
      </w:rPr>
    </w:lvl>
    <w:lvl w:ilvl="1" w:tplc="0C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E3F0313"/>
    <w:multiLevelType w:val="hybridMultilevel"/>
    <w:tmpl w:val="19A6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0206E6"/>
    <w:multiLevelType w:val="hybridMultilevel"/>
    <w:tmpl w:val="3B301E2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031784D"/>
    <w:multiLevelType w:val="hybridMultilevel"/>
    <w:tmpl w:val="BDFAA4BE"/>
    <w:lvl w:ilvl="0" w:tplc="28721454">
      <w:start w:val="1"/>
      <w:numFmt w:val="decimal"/>
      <w:lvlText w:val="%1."/>
      <w:lvlJc w:val="left"/>
      <w:pPr>
        <w:ind w:left="360" w:hanging="360"/>
      </w:pPr>
      <w:rPr>
        <w:rFonts w:ascii="Arial" w:hAnsi="Aria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0F843EC"/>
    <w:multiLevelType w:val="hybridMultilevel"/>
    <w:tmpl w:val="281C2DD6"/>
    <w:lvl w:ilvl="0" w:tplc="999EE5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3ED41A1"/>
    <w:multiLevelType w:val="hybridMultilevel"/>
    <w:tmpl w:val="EB585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52D2F36"/>
    <w:multiLevelType w:val="hybridMultilevel"/>
    <w:tmpl w:val="A6B4FC16"/>
    <w:lvl w:ilvl="0" w:tplc="28721454">
      <w:start w:val="1"/>
      <w:numFmt w:val="decimal"/>
      <w:lvlText w:val="%1."/>
      <w:lvlJc w:val="left"/>
      <w:pPr>
        <w:ind w:left="360" w:hanging="360"/>
      </w:pPr>
      <w:rPr>
        <w:rFonts w:ascii="Arial" w:hAnsi="Arial" w:hint="default"/>
        <w:b/>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83E6BCC"/>
    <w:multiLevelType w:val="hybridMultilevel"/>
    <w:tmpl w:val="5AA6EE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A690210"/>
    <w:multiLevelType w:val="hybridMultilevel"/>
    <w:tmpl w:val="7B6C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1F7186"/>
    <w:multiLevelType w:val="multilevel"/>
    <w:tmpl w:val="F122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954AB0"/>
    <w:multiLevelType w:val="hybridMultilevel"/>
    <w:tmpl w:val="4B1604DA"/>
    <w:lvl w:ilvl="0" w:tplc="7026BA88">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EBA7232"/>
    <w:multiLevelType w:val="hybridMultilevel"/>
    <w:tmpl w:val="249A7814"/>
    <w:lvl w:ilvl="0" w:tplc="50787152">
      <w:start w:val="1"/>
      <w:numFmt w:val="decimal"/>
      <w:lvlText w:val="%1."/>
      <w:lvlJc w:val="left"/>
      <w:pPr>
        <w:ind w:left="360" w:hanging="360"/>
      </w:pPr>
      <w:rPr>
        <w:rFonts w:ascii="Arial" w:hAnsi="Arial" w:cs="Arial" w:hint="default"/>
        <w:color w:val="auto"/>
        <w:sz w:val="24"/>
        <w:szCs w:val="24"/>
      </w:rPr>
    </w:lvl>
    <w:lvl w:ilvl="1" w:tplc="F4A4D450">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21"/>
  </w:num>
  <w:num w:numId="3">
    <w:abstractNumId w:val="5"/>
  </w:num>
  <w:num w:numId="4">
    <w:abstractNumId w:val="13"/>
  </w:num>
  <w:num w:numId="5">
    <w:abstractNumId w:val="19"/>
  </w:num>
  <w:num w:numId="6">
    <w:abstractNumId w:val="7"/>
  </w:num>
  <w:num w:numId="7">
    <w:abstractNumId w:val="11"/>
  </w:num>
  <w:num w:numId="8">
    <w:abstractNumId w:val="10"/>
  </w:num>
  <w:num w:numId="9">
    <w:abstractNumId w:val="6"/>
  </w:num>
  <w:num w:numId="10">
    <w:abstractNumId w:val="1"/>
  </w:num>
  <w:num w:numId="11">
    <w:abstractNumId w:val="23"/>
  </w:num>
  <w:num w:numId="12">
    <w:abstractNumId w:val="3"/>
  </w:num>
  <w:num w:numId="13">
    <w:abstractNumId w:val="4"/>
  </w:num>
  <w:num w:numId="14">
    <w:abstractNumId w:val="8"/>
  </w:num>
  <w:num w:numId="15">
    <w:abstractNumId w:val="15"/>
  </w:num>
  <w:num w:numId="16">
    <w:abstractNumId w:val="17"/>
  </w:num>
  <w:num w:numId="17">
    <w:abstractNumId w:val="20"/>
  </w:num>
  <w:num w:numId="18">
    <w:abstractNumId w:val="2"/>
  </w:num>
  <w:num w:numId="19">
    <w:abstractNumId w:val="16"/>
  </w:num>
  <w:num w:numId="20">
    <w:abstractNumId w:val="22"/>
  </w:num>
  <w:num w:numId="21">
    <w:abstractNumId w:val="14"/>
  </w:num>
  <w:num w:numId="22">
    <w:abstractNumId w:val="18"/>
  </w:num>
  <w:num w:numId="23">
    <w:abstractNumId w:val="0"/>
  </w:num>
  <w:num w:numId="24">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TINE">
    <w15:presenceInfo w15:providerId="None" w15:userId="JUST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6A"/>
    <w:rsid w:val="00000726"/>
    <w:rsid w:val="00000D57"/>
    <w:rsid w:val="000012D1"/>
    <w:rsid w:val="000017BE"/>
    <w:rsid w:val="0000183B"/>
    <w:rsid w:val="00002BF3"/>
    <w:rsid w:val="00003263"/>
    <w:rsid w:val="0000374F"/>
    <w:rsid w:val="000044A8"/>
    <w:rsid w:val="00004D44"/>
    <w:rsid w:val="00005444"/>
    <w:rsid w:val="00006172"/>
    <w:rsid w:val="0000642B"/>
    <w:rsid w:val="00006F1C"/>
    <w:rsid w:val="000070C0"/>
    <w:rsid w:val="00010909"/>
    <w:rsid w:val="00010D5E"/>
    <w:rsid w:val="00010FA3"/>
    <w:rsid w:val="00011A0B"/>
    <w:rsid w:val="00012537"/>
    <w:rsid w:val="0001276D"/>
    <w:rsid w:val="00012C1D"/>
    <w:rsid w:val="00012F46"/>
    <w:rsid w:val="00013216"/>
    <w:rsid w:val="000148EC"/>
    <w:rsid w:val="000149C6"/>
    <w:rsid w:val="00014B57"/>
    <w:rsid w:val="000151D2"/>
    <w:rsid w:val="0001538C"/>
    <w:rsid w:val="00015A24"/>
    <w:rsid w:val="00016465"/>
    <w:rsid w:val="00017BB6"/>
    <w:rsid w:val="00017C1F"/>
    <w:rsid w:val="00020B04"/>
    <w:rsid w:val="00020BFD"/>
    <w:rsid w:val="00022207"/>
    <w:rsid w:val="00022904"/>
    <w:rsid w:val="000238D4"/>
    <w:rsid w:val="00023AC9"/>
    <w:rsid w:val="00023C75"/>
    <w:rsid w:val="00024161"/>
    <w:rsid w:val="0002498F"/>
    <w:rsid w:val="00024A1E"/>
    <w:rsid w:val="00025610"/>
    <w:rsid w:val="000258C1"/>
    <w:rsid w:val="000258FF"/>
    <w:rsid w:val="000259F5"/>
    <w:rsid w:val="00025C9F"/>
    <w:rsid w:val="0002641B"/>
    <w:rsid w:val="000268BA"/>
    <w:rsid w:val="000272BA"/>
    <w:rsid w:val="000272EC"/>
    <w:rsid w:val="00027F09"/>
    <w:rsid w:val="00030088"/>
    <w:rsid w:val="0003049D"/>
    <w:rsid w:val="00030794"/>
    <w:rsid w:val="00030DB7"/>
    <w:rsid w:val="000311E0"/>
    <w:rsid w:val="000329E0"/>
    <w:rsid w:val="00033100"/>
    <w:rsid w:val="000342F4"/>
    <w:rsid w:val="0003565C"/>
    <w:rsid w:val="00035A47"/>
    <w:rsid w:val="00035D3F"/>
    <w:rsid w:val="00035F2D"/>
    <w:rsid w:val="00036447"/>
    <w:rsid w:val="00036504"/>
    <w:rsid w:val="00036641"/>
    <w:rsid w:val="00036F73"/>
    <w:rsid w:val="000370E0"/>
    <w:rsid w:val="00037D8A"/>
    <w:rsid w:val="0004084C"/>
    <w:rsid w:val="00041548"/>
    <w:rsid w:val="0004158E"/>
    <w:rsid w:val="000415D6"/>
    <w:rsid w:val="00041E13"/>
    <w:rsid w:val="000421B0"/>
    <w:rsid w:val="000426FE"/>
    <w:rsid w:val="00042F5C"/>
    <w:rsid w:val="00043708"/>
    <w:rsid w:val="0004524D"/>
    <w:rsid w:val="000456D1"/>
    <w:rsid w:val="00045818"/>
    <w:rsid w:val="00047E3F"/>
    <w:rsid w:val="0005097F"/>
    <w:rsid w:val="000509C7"/>
    <w:rsid w:val="00050D33"/>
    <w:rsid w:val="00051EBE"/>
    <w:rsid w:val="00051F27"/>
    <w:rsid w:val="00052B1B"/>
    <w:rsid w:val="00052D2D"/>
    <w:rsid w:val="00052EBD"/>
    <w:rsid w:val="0005364C"/>
    <w:rsid w:val="000540FE"/>
    <w:rsid w:val="0005512B"/>
    <w:rsid w:val="00055414"/>
    <w:rsid w:val="00055A12"/>
    <w:rsid w:val="00055F1C"/>
    <w:rsid w:val="0005657D"/>
    <w:rsid w:val="00056C9B"/>
    <w:rsid w:val="00056F39"/>
    <w:rsid w:val="000572C4"/>
    <w:rsid w:val="000574EC"/>
    <w:rsid w:val="00057646"/>
    <w:rsid w:val="0005779F"/>
    <w:rsid w:val="00060245"/>
    <w:rsid w:val="0006065D"/>
    <w:rsid w:val="0006065E"/>
    <w:rsid w:val="00061C57"/>
    <w:rsid w:val="00062111"/>
    <w:rsid w:val="00062369"/>
    <w:rsid w:val="0006248A"/>
    <w:rsid w:val="00062802"/>
    <w:rsid w:val="00062939"/>
    <w:rsid w:val="00062C8E"/>
    <w:rsid w:val="00062DA5"/>
    <w:rsid w:val="00063FB8"/>
    <w:rsid w:val="00064452"/>
    <w:rsid w:val="00064714"/>
    <w:rsid w:val="00064ACA"/>
    <w:rsid w:val="000654C9"/>
    <w:rsid w:val="000662E7"/>
    <w:rsid w:val="000666D3"/>
    <w:rsid w:val="000668B6"/>
    <w:rsid w:val="000669E4"/>
    <w:rsid w:val="00066EF2"/>
    <w:rsid w:val="00067B7C"/>
    <w:rsid w:val="00067DE5"/>
    <w:rsid w:val="0007083D"/>
    <w:rsid w:val="00070F56"/>
    <w:rsid w:val="000713A7"/>
    <w:rsid w:val="00071C56"/>
    <w:rsid w:val="00072CDD"/>
    <w:rsid w:val="000735AA"/>
    <w:rsid w:val="0007419C"/>
    <w:rsid w:val="00076305"/>
    <w:rsid w:val="000763BD"/>
    <w:rsid w:val="000772C0"/>
    <w:rsid w:val="00080BBA"/>
    <w:rsid w:val="00081E69"/>
    <w:rsid w:val="00082B4B"/>
    <w:rsid w:val="0008345A"/>
    <w:rsid w:val="000838ED"/>
    <w:rsid w:val="00085BB6"/>
    <w:rsid w:val="000864E9"/>
    <w:rsid w:val="00086512"/>
    <w:rsid w:val="000866A5"/>
    <w:rsid w:val="000869CE"/>
    <w:rsid w:val="000872C2"/>
    <w:rsid w:val="00087A75"/>
    <w:rsid w:val="00087D1F"/>
    <w:rsid w:val="00090BF5"/>
    <w:rsid w:val="00091496"/>
    <w:rsid w:val="0009395B"/>
    <w:rsid w:val="00093D6D"/>
    <w:rsid w:val="000942FA"/>
    <w:rsid w:val="00094541"/>
    <w:rsid w:val="000954D6"/>
    <w:rsid w:val="00095BC6"/>
    <w:rsid w:val="000960CD"/>
    <w:rsid w:val="00096622"/>
    <w:rsid w:val="00096B01"/>
    <w:rsid w:val="00096B89"/>
    <w:rsid w:val="00096F6F"/>
    <w:rsid w:val="000974A9"/>
    <w:rsid w:val="000A028F"/>
    <w:rsid w:val="000A06C1"/>
    <w:rsid w:val="000A1358"/>
    <w:rsid w:val="000A1368"/>
    <w:rsid w:val="000A1CCD"/>
    <w:rsid w:val="000A1D8A"/>
    <w:rsid w:val="000A2534"/>
    <w:rsid w:val="000A262E"/>
    <w:rsid w:val="000A2D88"/>
    <w:rsid w:val="000A314D"/>
    <w:rsid w:val="000A39CA"/>
    <w:rsid w:val="000A3C1B"/>
    <w:rsid w:val="000A4352"/>
    <w:rsid w:val="000A4573"/>
    <w:rsid w:val="000A46CE"/>
    <w:rsid w:val="000A49A1"/>
    <w:rsid w:val="000A569E"/>
    <w:rsid w:val="000A596B"/>
    <w:rsid w:val="000A5E21"/>
    <w:rsid w:val="000A607D"/>
    <w:rsid w:val="000A68BE"/>
    <w:rsid w:val="000A6F82"/>
    <w:rsid w:val="000A6FF7"/>
    <w:rsid w:val="000A7CAD"/>
    <w:rsid w:val="000A7F79"/>
    <w:rsid w:val="000B01C9"/>
    <w:rsid w:val="000B0D89"/>
    <w:rsid w:val="000B1EAC"/>
    <w:rsid w:val="000B1EED"/>
    <w:rsid w:val="000B2269"/>
    <w:rsid w:val="000B29FA"/>
    <w:rsid w:val="000B37F7"/>
    <w:rsid w:val="000B3DC5"/>
    <w:rsid w:val="000B4224"/>
    <w:rsid w:val="000B468B"/>
    <w:rsid w:val="000B46A0"/>
    <w:rsid w:val="000B492C"/>
    <w:rsid w:val="000B5778"/>
    <w:rsid w:val="000B6969"/>
    <w:rsid w:val="000C015C"/>
    <w:rsid w:val="000C09AC"/>
    <w:rsid w:val="000C2097"/>
    <w:rsid w:val="000C20E6"/>
    <w:rsid w:val="000C299B"/>
    <w:rsid w:val="000C2CF4"/>
    <w:rsid w:val="000C3D3B"/>
    <w:rsid w:val="000C465A"/>
    <w:rsid w:val="000C4CEB"/>
    <w:rsid w:val="000C5096"/>
    <w:rsid w:val="000C5325"/>
    <w:rsid w:val="000C652E"/>
    <w:rsid w:val="000C6ABF"/>
    <w:rsid w:val="000C715F"/>
    <w:rsid w:val="000C7ABB"/>
    <w:rsid w:val="000D163A"/>
    <w:rsid w:val="000D1765"/>
    <w:rsid w:val="000D1A46"/>
    <w:rsid w:val="000D296C"/>
    <w:rsid w:val="000D2CBC"/>
    <w:rsid w:val="000D31C3"/>
    <w:rsid w:val="000D330B"/>
    <w:rsid w:val="000D355C"/>
    <w:rsid w:val="000D3A30"/>
    <w:rsid w:val="000D3F4D"/>
    <w:rsid w:val="000D490F"/>
    <w:rsid w:val="000D572B"/>
    <w:rsid w:val="000D5B9C"/>
    <w:rsid w:val="000D5BE5"/>
    <w:rsid w:val="000D5C2C"/>
    <w:rsid w:val="000D72C3"/>
    <w:rsid w:val="000D72C6"/>
    <w:rsid w:val="000D770A"/>
    <w:rsid w:val="000D7A00"/>
    <w:rsid w:val="000E0E0A"/>
    <w:rsid w:val="000E2217"/>
    <w:rsid w:val="000E28F1"/>
    <w:rsid w:val="000E47BB"/>
    <w:rsid w:val="000E4F4C"/>
    <w:rsid w:val="000E5545"/>
    <w:rsid w:val="000E5CAE"/>
    <w:rsid w:val="000E61D1"/>
    <w:rsid w:val="000E6B8C"/>
    <w:rsid w:val="000E7660"/>
    <w:rsid w:val="000F0221"/>
    <w:rsid w:val="000F036A"/>
    <w:rsid w:val="000F0734"/>
    <w:rsid w:val="000F122A"/>
    <w:rsid w:val="000F1265"/>
    <w:rsid w:val="000F138A"/>
    <w:rsid w:val="000F208E"/>
    <w:rsid w:val="000F21FB"/>
    <w:rsid w:val="000F267A"/>
    <w:rsid w:val="000F284C"/>
    <w:rsid w:val="000F2D99"/>
    <w:rsid w:val="000F30A3"/>
    <w:rsid w:val="000F3508"/>
    <w:rsid w:val="000F4762"/>
    <w:rsid w:val="000F4E74"/>
    <w:rsid w:val="000F51A3"/>
    <w:rsid w:val="000F53DE"/>
    <w:rsid w:val="000F6B88"/>
    <w:rsid w:val="0010012A"/>
    <w:rsid w:val="00100418"/>
    <w:rsid w:val="00100B2D"/>
    <w:rsid w:val="00100DC9"/>
    <w:rsid w:val="001025D1"/>
    <w:rsid w:val="00102ABC"/>
    <w:rsid w:val="00102EE5"/>
    <w:rsid w:val="0010317E"/>
    <w:rsid w:val="00103363"/>
    <w:rsid w:val="00103627"/>
    <w:rsid w:val="001037D6"/>
    <w:rsid w:val="00103E5B"/>
    <w:rsid w:val="00104DC7"/>
    <w:rsid w:val="0010545E"/>
    <w:rsid w:val="00105D80"/>
    <w:rsid w:val="001062AB"/>
    <w:rsid w:val="001065BB"/>
    <w:rsid w:val="0010677E"/>
    <w:rsid w:val="00106BEB"/>
    <w:rsid w:val="0010721E"/>
    <w:rsid w:val="00107E1D"/>
    <w:rsid w:val="00107E6C"/>
    <w:rsid w:val="001101D4"/>
    <w:rsid w:val="00110263"/>
    <w:rsid w:val="00110AEF"/>
    <w:rsid w:val="00111051"/>
    <w:rsid w:val="00111499"/>
    <w:rsid w:val="00111FBC"/>
    <w:rsid w:val="001120B9"/>
    <w:rsid w:val="001123C1"/>
    <w:rsid w:val="001128B1"/>
    <w:rsid w:val="001129ED"/>
    <w:rsid w:val="00112E64"/>
    <w:rsid w:val="0011308E"/>
    <w:rsid w:val="00114AEA"/>
    <w:rsid w:val="00115477"/>
    <w:rsid w:val="00115510"/>
    <w:rsid w:val="00116D59"/>
    <w:rsid w:val="001172D0"/>
    <w:rsid w:val="0011734A"/>
    <w:rsid w:val="00120A5B"/>
    <w:rsid w:val="00121159"/>
    <w:rsid w:val="001231D8"/>
    <w:rsid w:val="0012374E"/>
    <w:rsid w:val="001237D4"/>
    <w:rsid w:val="001238A9"/>
    <w:rsid w:val="00124028"/>
    <w:rsid w:val="00124070"/>
    <w:rsid w:val="00124DE0"/>
    <w:rsid w:val="00126282"/>
    <w:rsid w:val="001262E9"/>
    <w:rsid w:val="0012646B"/>
    <w:rsid w:val="0012660E"/>
    <w:rsid w:val="00126B1A"/>
    <w:rsid w:val="0012782C"/>
    <w:rsid w:val="00127D9B"/>
    <w:rsid w:val="0013019A"/>
    <w:rsid w:val="00131247"/>
    <w:rsid w:val="00132027"/>
    <w:rsid w:val="001321A1"/>
    <w:rsid w:val="0013253B"/>
    <w:rsid w:val="001326DB"/>
    <w:rsid w:val="0013277E"/>
    <w:rsid w:val="00133476"/>
    <w:rsid w:val="0013361B"/>
    <w:rsid w:val="0013369A"/>
    <w:rsid w:val="00133ED0"/>
    <w:rsid w:val="00135CC0"/>
    <w:rsid w:val="00136E2C"/>
    <w:rsid w:val="001376D8"/>
    <w:rsid w:val="0013783F"/>
    <w:rsid w:val="00137FA2"/>
    <w:rsid w:val="0014091A"/>
    <w:rsid w:val="00140C1B"/>
    <w:rsid w:val="00141B55"/>
    <w:rsid w:val="00141CB0"/>
    <w:rsid w:val="0014420C"/>
    <w:rsid w:val="00144E2C"/>
    <w:rsid w:val="00145B04"/>
    <w:rsid w:val="00147A8D"/>
    <w:rsid w:val="00147DD3"/>
    <w:rsid w:val="00150949"/>
    <w:rsid w:val="001509AB"/>
    <w:rsid w:val="00151786"/>
    <w:rsid w:val="00151877"/>
    <w:rsid w:val="001524A0"/>
    <w:rsid w:val="0015307F"/>
    <w:rsid w:val="00153281"/>
    <w:rsid w:val="00153468"/>
    <w:rsid w:val="001536B3"/>
    <w:rsid w:val="001548F3"/>
    <w:rsid w:val="00154D5A"/>
    <w:rsid w:val="00155734"/>
    <w:rsid w:val="00155B2C"/>
    <w:rsid w:val="00155EC6"/>
    <w:rsid w:val="00156714"/>
    <w:rsid w:val="0015672E"/>
    <w:rsid w:val="00156795"/>
    <w:rsid w:val="00157980"/>
    <w:rsid w:val="001579B0"/>
    <w:rsid w:val="0016069E"/>
    <w:rsid w:val="001610E1"/>
    <w:rsid w:val="00162291"/>
    <w:rsid w:val="001625A6"/>
    <w:rsid w:val="001627F9"/>
    <w:rsid w:val="00162EBE"/>
    <w:rsid w:val="0016366A"/>
    <w:rsid w:val="001636AC"/>
    <w:rsid w:val="001636CF"/>
    <w:rsid w:val="001638FF"/>
    <w:rsid w:val="0016482B"/>
    <w:rsid w:val="0016491A"/>
    <w:rsid w:val="0016588A"/>
    <w:rsid w:val="00165891"/>
    <w:rsid w:val="00166931"/>
    <w:rsid w:val="00166BAE"/>
    <w:rsid w:val="00167A99"/>
    <w:rsid w:val="001708BA"/>
    <w:rsid w:val="00172379"/>
    <w:rsid w:val="00172B33"/>
    <w:rsid w:val="00173864"/>
    <w:rsid w:val="00174445"/>
    <w:rsid w:val="00174945"/>
    <w:rsid w:val="00174E1B"/>
    <w:rsid w:val="00175136"/>
    <w:rsid w:val="001758B6"/>
    <w:rsid w:val="00175F30"/>
    <w:rsid w:val="0017610D"/>
    <w:rsid w:val="001761ED"/>
    <w:rsid w:val="001763DB"/>
    <w:rsid w:val="0017673D"/>
    <w:rsid w:val="00177291"/>
    <w:rsid w:val="00177FE7"/>
    <w:rsid w:val="001800D6"/>
    <w:rsid w:val="00180BB8"/>
    <w:rsid w:val="00182BAE"/>
    <w:rsid w:val="00182BC8"/>
    <w:rsid w:val="001830FF"/>
    <w:rsid w:val="001836F5"/>
    <w:rsid w:val="00183894"/>
    <w:rsid w:val="001838A7"/>
    <w:rsid w:val="00183A53"/>
    <w:rsid w:val="00183B66"/>
    <w:rsid w:val="0018415D"/>
    <w:rsid w:val="00184166"/>
    <w:rsid w:val="00184826"/>
    <w:rsid w:val="00184AD9"/>
    <w:rsid w:val="00184E5C"/>
    <w:rsid w:val="00184F55"/>
    <w:rsid w:val="00185EB4"/>
    <w:rsid w:val="001860DD"/>
    <w:rsid w:val="0018698D"/>
    <w:rsid w:val="00187C26"/>
    <w:rsid w:val="00187FF9"/>
    <w:rsid w:val="001902CA"/>
    <w:rsid w:val="0019096E"/>
    <w:rsid w:val="00190F8A"/>
    <w:rsid w:val="00191267"/>
    <w:rsid w:val="001921C6"/>
    <w:rsid w:val="001932E7"/>
    <w:rsid w:val="0019374F"/>
    <w:rsid w:val="00193815"/>
    <w:rsid w:val="00193B39"/>
    <w:rsid w:val="00193E32"/>
    <w:rsid w:val="00194FB8"/>
    <w:rsid w:val="001950B2"/>
    <w:rsid w:val="00195858"/>
    <w:rsid w:val="00195872"/>
    <w:rsid w:val="00195CBF"/>
    <w:rsid w:val="00196161"/>
    <w:rsid w:val="00196974"/>
    <w:rsid w:val="00196E11"/>
    <w:rsid w:val="001A0390"/>
    <w:rsid w:val="001A0BB8"/>
    <w:rsid w:val="001A126B"/>
    <w:rsid w:val="001A1A25"/>
    <w:rsid w:val="001A22DC"/>
    <w:rsid w:val="001A2876"/>
    <w:rsid w:val="001A2C96"/>
    <w:rsid w:val="001A2E5E"/>
    <w:rsid w:val="001A33FC"/>
    <w:rsid w:val="001A3FF3"/>
    <w:rsid w:val="001A4168"/>
    <w:rsid w:val="001A4C3A"/>
    <w:rsid w:val="001A55DA"/>
    <w:rsid w:val="001A5605"/>
    <w:rsid w:val="001A5CCC"/>
    <w:rsid w:val="001A6318"/>
    <w:rsid w:val="001A64C1"/>
    <w:rsid w:val="001B0637"/>
    <w:rsid w:val="001B0A9A"/>
    <w:rsid w:val="001B0BD7"/>
    <w:rsid w:val="001B1513"/>
    <w:rsid w:val="001B1B9D"/>
    <w:rsid w:val="001B1D2E"/>
    <w:rsid w:val="001B1DEA"/>
    <w:rsid w:val="001B2CD9"/>
    <w:rsid w:val="001B30A6"/>
    <w:rsid w:val="001B3B92"/>
    <w:rsid w:val="001B450A"/>
    <w:rsid w:val="001B4788"/>
    <w:rsid w:val="001B4AA7"/>
    <w:rsid w:val="001B5045"/>
    <w:rsid w:val="001B5399"/>
    <w:rsid w:val="001B655E"/>
    <w:rsid w:val="001B657E"/>
    <w:rsid w:val="001B6FA7"/>
    <w:rsid w:val="001B7817"/>
    <w:rsid w:val="001C0222"/>
    <w:rsid w:val="001C0B7D"/>
    <w:rsid w:val="001C44F2"/>
    <w:rsid w:val="001C44FE"/>
    <w:rsid w:val="001C4F47"/>
    <w:rsid w:val="001C53B1"/>
    <w:rsid w:val="001C53DD"/>
    <w:rsid w:val="001C725E"/>
    <w:rsid w:val="001C7ACA"/>
    <w:rsid w:val="001C7DC1"/>
    <w:rsid w:val="001D0B04"/>
    <w:rsid w:val="001D0D37"/>
    <w:rsid w:val="001D183C"/>
    <w:rsid w:val="001D1BBA"/>
    <w:rsid w:val="001D2A4A"/>
    <w:rsid w:val="001D2C0B"/>
    <w:rsid w:val="001D336B"/>
    <w:rsid w:val="001D47B3"/>
    <w:rsid w:val="001D56FE"/>
    <w:rsid w:val="001D5961"/>
    <w:rsid w:val="001D59C1"/>
    <w:rsid w:val="001D5CD8"/>
    <w:rsid w:val="001D601E"/>
    <w:rsid w:val="001D6755"/>
    <w:rsid w:val="001D70BE"/>
    <w:rsid w:val="001D7155"/>
    <w:rsid w:val="001D7481"/>
    <w:rsid w:val="001D7596"/>
    <w:rsid w:val="001E04FD"/>
    <w:rsid w:val="001E05E9"/>
    <w:rsid w:val="001E0F7A"/>
    <w:rsid w:val="001E1138"/>
    <w:rsid w:val="001E1BE3"/>
    <w:rsid w:val="001E1DA1"/>
    <w:rsid w:val="001E21A4"/>
    <w:rsid w:val="001E2924"/>
    <w:rsid w:val="001E2FC9"/>
    <w:rsid w:val="001E3162"/>
    <w:rsid w:val="001E324B"/>
    <w:rsid w:val="001E3A0A"/>
    <w:rsid w:val="001E4625"/>
    <w:rsid w:val="001E47BB"/>
    <w:rsid w:val="001E51FC"/>
    <w:rsid w:val="001E5397"/>
    <w:rsid w:val="001E63B2"/>
    <w:rsid w:val="001E6D8A"/>
    <w:rsid w:val="001E7358"/>
    <w:rsid w:val="001E76BE"/>
    <w:rsid w:val="001E7A2E"/>
    <w:rsid w:val="001E7A34"/>
    <w:rsid w:val="001F17EE"/>
    <w:rsid w:val="001F183E"/>
    <w:rsid w:val="001F1DE5"/>
    <w:rsid w:val="001F24F9"/>
    <w:rsid w:val="001F2B77"/>
    <w:rsid w:val="001F3968"/>
    <w:rsid w:val="001F4501"/>
    <w:rsid w:val="001F487C"/>
    <w:rsid w:val="001F4E20"/>
    <w:rsid w:val="001F4E83"/>
    <w:rsid w:val="001F5092"/>
    <w:rsid w:val="001F5383"/>
    <w:rsid w:val="001F6977"/>
    <w:rsid w:val="0020038B"/>
    <w:rsid w:val="002007B7"/>
    <w:rsid w:val="00200932"/>
    <w:rsid w:val="00201F9A"/>
    <w:rsid w:val="00201FDE"/>
    <w:rsid w:val="002028DA"/>
    <w:rsid w:val="00202C50"/>
    <w:rsid w:val="00204506"/>
    <w:rsid w:val="00204C54"/>
    <w:rsid w:val="00204E4E"/>
    <w:rsid w:val="0020500F"/>
    <w:rsid w:val="00205616"/>
    <w:rsid w:val="0020602C"/>
    <w:rsid w:val="00206E53"/>
    <w:rsid w:val="00207067"/>
    <w:rsid w:val="002071D1"/>
    <w:rsid w:val="00207794"/>
    <w:rsid w:val="002077EF"/>
    <w:rsid w:val="002079CD"/>
    <w:rsid w:val="00210C27"/>
    <w:rsid w:val="00211645"/>
    <w:rsid w:val="00211E5D"/>
    <w:rsid w:val="0021290D"/>
    <w:rsid w:val="00212E69"/>
    <w:rsid w:val="0021323C"/>
    <w:rsid w:val="0021338A"/>
    <w:rsid w:val="00213D47"/>
    <w:rsid w:val="002140D9"/>
    <w:rsid w:val="00214778"/>
    <w:rsid w:val="00214973"/>
    <w:rsid w:val="00215F4D"/>
    <w:rsid w:val="0021639A"/>
    <w:rsid w:val="002163AB"/>
    <w:rsid w:val="002163E8"/>
    <w:rsid w:val="002165C7"/>
    <w:rsid w:val="00217A92"/>
    <w:rsid w:val="00217AC3"/>
    <w:rsid w:val="002204B9"/>
    <w:rsid w:val="002205AF"/>
    <w:rsid w:val="00220600"/>
    <w:rsid w:val="00220FFE"/>
    <w:rsid w:val="00221CC7"/>
    <w:rsid w:val="00222AA9"/>
    <w:rsid w:val="002232E2"/>
    <w:rsid w:val="00223413"/>
    <w:rsid w:val="002237C3"/>
    <w:rsid w:val="00223AE3"/>
    <w:rsid w:val="002240FE"/>
    <w:rsid w:val="002244A5"/>
    <w:rsid w:val="00225272"/>
    <w:rsid w:val="00225ECF"/>
    <w:rsid w:val="00227D2F"/>
    <w:rsid w:val="00227E2C"/>
    <w:rsid w:val="0023004D"/>
    <w:rsid w:val="0023015D"/>
    <w:rsid w:val="002310F8"/>
    <w:rsid w:val="002314D3"/>
    <w:rsid w:val="002334C5"/>
    <w:rsid w:val="002337A9"/>
    <w:rsid w:val="00233905"/>
    <w:rsid w:val="00233AA3"/>
    <w:rsid w:val="00233EB5"/>
    <w:rsid w:val="002343CE"/>
    <w:rsid w:val="00234AE6"/>
    <w:rsid w:val="00234FA1"/>
    <w:rsid w:val="00235FB8"/>
    <w:rsid w:val="00236263"/>
    <w:rsid w:val="002364AD"/>
    <w:rsid w:val="00237768"/>
    <w:rsid w:val="00237C38"/>
    <w:rsid w:val="00240DDC"/>
    <w:rsid w:val="002410E0"/>
    <w:rsid w:val="002415FC"/>
    <w:rsid w:val="00241974"/>
    <w:rsid w:val="0024244D"/>
    <w:rsid w:val="00243794"/>
    <w:rsid w:val="00244356"/>
    <w:rsid w:val="002443E4"/>
    <w:rsid w:val="002445BC"/>
    <w:rsid w:val="002449CF"/>
    <w:rsid w:val="00245531"/>
    <w:rsid w:val="00246AEF"/>
    <w:rsid w:val="00246CC4"/>
    <w:rsid w:val="00247557"/>
    <w:rsid w:val="00247701"/>
    <w:rsid w:val="00247853"/>
    <w:rsid w:val="00247CCC"/>
    <w:rsid w:val="002502A2"/>
    <w:rsid w:val="00250465"/>
    <w:rsid w:val="00250E85"/>
    <w:rsid w:val="00250ECA"/>
    <w:rsid w:val="00250FE7"/>
    <w:rsid w:val="0025177D"/>
    <w:rsid w:val="00251BC0"/>
    <w:rsid w:val="002520EA"/>
    <w:rsid w:val="002522D9"/>
    <w:rsid w:val="002526DB"/>
    <w:rsid w:val="00252F2E"/>
    <w:rsid w:val="00253408"/>
    <w:rsid w:val="002548C3"/>
    <w:rsid w:val="002559AF"/>
    <w:rsid w:val="00255AA6"/>
    <w:rsid w:val="00255FFC"/>
    <w:rsid w:val="00256BD1"/>
    <w:rsid w:val="002602FB"/>
    <w:rsid w:val="00260908"/>
    <w:rsid w:val="002614C8"/>
    <w:rsid w:val="00261B5A"/>
    <w:rsid w:val="00261C53"/>
    <w:rsid w:val="00261CAB"/>
    <w:rsid w:val="002623CC"/>
    <w:rsid w:val="002624C8"/>
    <w:rsid w:val="0026284D"/>
    <w:rsid w:val="002629EE"/>
    <w:rsid w:val="002630C1"/>
    <w:rsid w:val="002641C4"/>
    <w:rsid w:val="00264316"/>
    <w:rsid w:val="002651F2"/>
    <w:rsid w:val="00265996"/>
    <w:rsid w:val="00265D98"/>
    <w:rsid w:val="002665D5"/>
    <w:rsid w:val="00266D24"/>
    <w:rsid w:val="002672C5"/>
    <w:rsid w:val="00267307"/>
    <w:rsid w:val="00267A4A"/>
    <w:rsid w:val="00267E5F"/>
    <w:rsid w:val="00270423"/>
    <w:rsid w:val="002704B6"/>
    <w:rsid w:val="00270CAF"/>
    <w:rsid w:val="00271185"/>
    <w:rsid w:val="00271566"/>
    <w:rsid w:val="0027158A"/>
    <w:rsid w:val="00271A71"/>
    <w:rsid w:val="00271FF5"/>
    <w:rsid w:val="002730D5"/>
    <w:rsid w:val="002737EE"/>
    <w:rsid w:val="00273994"/>
    <w:rsid w:val="0027563F"/>
    <w:rsid w:val="002767FF"/>
    <w:rsid w:val="0028088B"/>
    <w:rsid w:val="00280AA8"/>
    <w:rsid w:val="00281243"/>
    <w:rsid w:val="0028256C"/>
    <w:rsid w:val="00282589"/>
    <w:rsid w:val="0028285E"/>
    <w:rsid w:val="00282A0D"/>
    <w:rsid w:val="002858C4"/>
    <w:rsid w:val="002867B7"/>
    <w:rsid w:val="002902B6"/>
    <w:rsid w:val="00290521"/>
    <w:rsid w:val="00291604"/>
    <w:rsid w:val="00291D50"/>
    <w:rsid w:val="00292051"/>
    <w:rsid w:val="002925B6"/>
    <w:rsid w:val="00292737"/>
    <w:rsid w:val="00292B22"/>
    <w:rsid w:val="00292CD1"/>
    <w:rsid w:val="00293586"/>
    <w:rsid w:val="0029413C"/>
    <w:rsid w:val="00294EA9"/>
    <w:rsid w:val="00294EC0"/>
    <w:rsid w:val="00295CE4"/>
    <w:rsid w:val="002978B0"/>
    <w:rsid w:val="002A11EB"/>
    <w:rsid w:val="002A136B"/>
    <w:rsid w:val="002A13C0"/>
    <w:rsid w:val="002A1C0F"/>
    <w:rsid w:val="002A415F"/>
    <w:rsid w:val="002A4417"/>
    <w:rsid w:val="002A4515"/>
    <w:rsid w:val="002A4B37"/>
    <w:rsid w:val="002A6051"/>
    <w:rsid w:val="002A7128"/>
    <w:rsid w:val="002A7421"/>
    <w:rsid w:val="002A7A9C"/>
    <w:rsid w:val="002B0812"/>
    <w:rsid w:val="002B0F19"/>
    <w:rsid w:val="002B125E"/>
    <w:rsid w:val="002B1E5F"/>
    <w:rsid w:val="002B22BE"/>
    <w:rsid w:val="002B272C"/>
    <w:rsid w:val="002B2B8C"/>
    <w:rsid w:val="002B33D6"/>
    <w:rsid w:val="002B44F6"/>
    <w:rsid w:val="002B47F6"/>
    <w:rsid w:val="002B4A0D"/>
    <w:rsid w:val="002B5F97"/>
    <w:rsid w:val="002B63C8"/>
    <w:rsid w:val="002B655C"/>
    <w:rsid w:val="002B7B8F"/>
    <w:rsid w:val="002B7BF7"/>
    <w:rsid w:val="002B7FA2"/>
    <w:rsid w:val="002C0269"/>
    <w:rsid w:val="002C2221"/>
    <w:rsid w:val="002C23A4"/>
    <w:rsid w:val="002C2474"/>
    <w:rsid w:val="002C37AE"/>
    <w:rsid w:val="002C3B5D"/>
    <w:rsid w:val="002C3F81"/>
    <w:rsid w:val="002C4236"/>
    <w:rsid w:val="002C4AB1"/>
    <w:rsid w:val="002C4DA8"/>
    <w:rsid w:val="002C4FF9"/>
    <w:rsid w:val="002C55AC"/>
    <w:rsid w:val="002C6196"/>
    <w:rsid w:val="002C6B10"/>
    <w:rsid w:val="002C6F38"/>
    <w:rsid w:val="002C70E6"/>
    <w:rsid w:val="002D0D9A"/>
    <w:rsid w:val="002D13A8"/>
    <w:rsid w:val="002D2BBB"/>
    <w:rsid w:val="002D32E8"/>
    <w:rsid w:val="002D36A9"/>
    <w:rsid w:val="002D39E7"/>
    <w:rsid w:val="002D3C7B"/>
    <w:rsid w:val="002D458B"/>
    <w:rsid w:val="002D45F5"/>
    <w:rsid w:val="002D51EA"/>
    <w:rsid w:val="002D53FE"/>
    <w:rsid w:val="002D5ACE"/>
    <w:rsid w:val="002D5CEF"/>
    <w:rsid w:val="002D676F"/>
    <w:rsid w:val="002D6C45"/>
    <w:rsid w:val="002D78E6"/>
    <w:rsid w:val="002D7E61"/>
    <w:rsid w:val="002E018B"/>
    <w:rsid w:val="002E07A4"/>
    <w:rsid w:val="002E0B6D"/>
    <w:rsid w:val="002E128A"/>
    <w:rsid w:val="002E2F7A"/>
    <w:rsid w:val="002E312F"/>
    <w:rsid w:val="002E33D4"/>
    <w:rsid w:val="002E360D"/>
    <w:rsid w:val="002E39C2"/>
    <w:rsid w:val="002E4A03"/>
    <w:rsid w:val="002E5183"/>
    <w:rsid w:val="002E5B06"/>
    <w:rsid w:val="002E727B"/>
    <w:rsid w:val="002E7A69"/>
    <w:rsid w:val="002E7B7B"/>
    <w:rsid w:val="002F0262"/>
    <w:rsid w:val="002F068B"/>
    <w:rsid w:val="002F152D"/>
    <w:rsid w:val="002F1559"/>
    <w:rsid w:val="002F2AFC"/>
    <w:rsid w:val="002F3626"/>
    <w:rsid w:val="002F444E"/>
    <w:rsid w:val="002F4891"/>
    <w:rsid w:val="002F4956"/>
    <w:rsid w:val="002F5159"/>
    <w:rsid w:val="002F52E0"/>
    <w:rsid w:val="002F58AA"/>
    <w:rsid w:val="002F631A"/>
    <w:rsid w:val="002F6507"/>
    <w:rsid w:val="002F6DD8"/>
    <w:rsid w:val="002F73D9"/>
    <w:rsid w:val="0030005D"/>
    <w:rsid w:val="00300717"/>
    <w:rsid w:val="00301614"/>
    <w:rsid w:val="00301972"/>
    <w:rsid w:val="00302D60"/>
    <w:rsid w:val="00303CE6"/>
    <w:rsid w:val="003044CA"/>
    <w:rsid w:val="003045DA"/>
    <w:rsid w:val="0030474B"/>
    <w:rsid w:val="00304AC1"/>
    <w:rsid w:val="00304E8D"/>
    <w:rsid w:val="0030537F"/>
    <w:rsid w:val="00305B9E"/>
    <w:rsid w:val="00306204"/>
    <w:rsid w:val="003062DD"/>
    <w:rsid w:val="003062F3"/>
    <w:rsid w:val="003068A9"/>
    <w:rsid w:val="0030692A"/>
    <w:rsid w:val="00306AE9"/>
    <w:rsid w:val="00306B3F"/>
    <w:rsid w:val="00306F67"/>
    <w:rsid w:val="00307973"/>
    <w:rsid w:val="0031024A"/>
    <w:rsid w:val="003111A2"/>
    <w:rsid w:val="003114FD"/>
    <w:rsid w:val="003116AD"/>
    <w:rsid w:val="00311B2D"/>
    <w:rsid w:val="0031221E"/>
    <w:rsid w:val="00312F4E"/>
    <w:rsid w:val="00316008"/>
    <w:rsid w:val="003160BD"/>
    <w:rsid w:val="00316503"/>
    <w:rsid w:val="00317530"/>
    <w:rsid w:val="00317AD6"/>
    <w:rsid w:val="00321072"/>
    <w:rsid w:val="00321287"/>
    <w:rsid w:val="00321901"/>
    <w:rsid w:val="00322248"/>
    <w:rsid w:val="003222FC"/>
    <w:rsid w:val="00322C2D"/>
    <w:rsid w:val="00323014"/>
    <w:rsid w:val="0032344D"/>
    <w:rsid w:val="00323973"/>
    <w:rsid w:val="00323E8F"/>
    <w:rsid w:val="00324497"/>
    <w:rsid w:val="00324D19"/>
    <w:rsid w:val="00324F82"/>
    <w:rsid w:val="003252EB"/>
    <w:rsid w:val="00325384"/>
    <w:rsid w:val="0032547B"/>
    <w:rsid w:val="00325C93"/>
    <w:rsid w:val="00327229"/>
    <w:rsid w:val="003277F6"/>
    <w:rsid w:val="0033031C"/>
    <w:rsid w:val="0033037D"/>
    <w:rsid w:val="003303F5"/>
    <w:rsid w:val="00331249"/>
    <w:rsid w:val="00331D29"/>
    <w:rsid w:val="00331E7F"/>
    <w:rsid w:val="0033232B"/>
    <w:rsid w:val="0033299D"/>
    <w:rsid w:val="00332B97"/>
    <w:rsid w:val="0033300D"/>
    <w:rsid w:val="003339B8"/>
    <w:rsid w:val="00333ED1"/>
    <w:rsid w:val="00334270"/>
    <w:rsid w:val="003345BA"/>
    <w:rsid w:val="00334754"/>
    <w:rsid w:val="00334E93"/>
    <w:rsid w:val="003359B4"/>
    <w:rsid w:val="00335C36"/>
    <w:rsid w:val="00336A58"/>
    <w:rsid w:val="00336D02"/>
    <w:rsid w:val="003370C9"/>
    <w:rsid w:val="00337B43"/>
    <w:rsid w:val="00337CA3"/>
    <w:rsid w:val="00340C2E"/>
    <w:rsid w:val="003417C0"/>
    <w:rsid w:val="00341EA0"/>
    <w:rsid w:val="00342549"/>
    <w:rsid w:val="00342D2B"/>
    <w:rsid w:val="003432D4"/>
    <w:rsid w:val="003437C6"/>
    <w:rsid w:val="00343FDB"/>
    <w:rsid w:val="003441CF"/>
    <w:rsid w:val="00344A35"/>
    <w:rsid w:val="00345198"/>
    <w:rsid w:val="0034551A"/>
    <w:rsid w:val="00346160"/>
    <w:rsid w:val="0034677E"/>
    <w:rsid w:val="00347901"/>
    <w:rsid w:val="0035078B"/>
    <w:rsid w:val="00350894"/>
    <w:rsid w:val="00350D4B"/>
    <w:rsid w:val="00351080"/>
    <w:rsid w:val="003517A0"/>
    <w:rsid w:val="00352B70"/>
    <w:rsid w:val="00352CDD"/>
    <w:rsid w:val="00352E43"/>
    <w:rsid w:val="00353DCC"/>
    <w:rsid w:val="00353E4A"/>
    <w:rsid w:val="00353E67"/>
    <w:rsid w:val="003558C8"/>
    <w:rsid w:val="00355D8B"/>
    <w:rsid w:val="00355F75"/>
    <w:rsid w:val="003561D3"/>
    <w:rsid w:val="003563AC"/>
    <w:rsid w:val="003573B6"/>
    <w:rsid w:val="003573D6"/>
    <w:rsid w:val="003577FA"/>
    <w:rsid w:val="00361753"/>
    <w:rsid w:val="0036183C"/>
    <w:rsid w:val="0036200C"/>
    <w:rsid w:val="00362AF9"/>
    <w:rsid w:val="00362C5E"/>
    <w:rsid w:val="00362CDD"/>
    <w:rsid w:val="00362D1B"/>
    <w:rsid w:val="00362D8A"/>
    <w:rsid w:val="00362F4A"/>
    <w:rsid w:val="00363BB7"/>
    <w:rsid w:val="00363E34"/>
    <w:rsid w:val="00364A01"/>
    <w:rsid w:val="00364BE5"/>
    <w:rsid w:val="00364C86"/>
    <w:rsid w:val="003650D5"/>
    <w:rsid w:val="0036566E"/>
    <w:rsid w:val="00366512"/>
    <w:rsid w:val="00366E68"/>
    <w:rsid w:val="003676FD"/>
    <w:rsid w:val="00367896"/>
    <w:rsid w:val="00367C58"/>
    <w:rsid w:val="0037000B"/>
    <w:rsid w:val="0037067A"/>
    <w:rsid w:val="003712CC"/>
    <w:rsid w:val="00372114"/>
    <w:rsid w:val="00372ACE"/>
    <w:rsid w:val="00372B39"/>
    <w:rsid w:val="003730BE"/>
    <w:rsid w:val="00373D58"/>
    <w:rsid w:val="003743F0"/>
    <w:rsid w:val="00374C8D"/>
    <w:rsid w:val="00376185"/>
    <w:rsid w:val="003761C5"/>
    <w:rsid w:val="00376DA2"/>
    <w:rsid w:val="00380664"/>
    <w:rsid w:val="00380FAB"/>
    <w:rsid w:val="003823F1"/>
    <w:rsid w:val="00382B55"/>
    <w:rsid w:val="00383B70"/>
    <w:rsid w:val="00385073"/>
    <w:rsid w:val="00385C0B"/>
    <w:rsid w:val="00387560"/>
    <w:rsid w:val="003876CC"/>
    <w:rsid w:val="00387A6E"/>
    <w:rsid w:val="0039010C"/>
    <w:rsid w:val="00391019"/>
    <w:rsid w:val="0039104B"/>
    <w:rsid w:val="003913FF"/>
    <w:rsid w:val="003914C7"/>
    <w:rsid w:val="00393F29"/>
    <w:rsid w:val="00393F53"/>
    <w:rsid w:val="00395E94"/>
    <w:rsid w:val="00396FCF"/>
    <w:rsid w:val="00397EE5"/>
    <w:rsid w:val="003A04E8"/>
    <w:rsid w:val="003A0D1B"/>
    <w:rsid w:val="003A131B"/>
    <w:rsid w:val="003A1CAD"/>
    <w:rsid w:val="003A2424"/>
    <w:rsid w:val="003A2FC4"/>
    <w:rsid w:val="003A3295"/>
    <w:rsid w:val="003A32EC"/>
    <w:rsid w:val="003A3482"/>
    <w:rsid w:val="003A352F"/>
    <w:rsid w:val="003A4819"/>
    <w:rsid w:val="003A4F0E"/>
    <w:rsid w:val="003A5081"/>
    <w:rsid w:val="003A51AC"/>
    <w:rsid w:val="003A6488"/>
    <w:rsid w:val="003B0151"/>
    <w:rsid w:val="003B07C1"/>
    <w:rsid w:val="003B0939"/>
    <w:rsid w:val="003B1F8C"/>
    <w:rsid w:val="003B2397"/>
    <w:rsid w:val="003B2617"/>
    <w:rsid w:val="003B2936"/>
    <w:rsid w:val="003B2D9F"/>
    <w:rsid w:val="003B41B0"/>
    <w:rsid w:val="003B4BAC"/>
    <w:rsid w:val="003B4E4C"/>
    <w:rsid w:val="003B4EE0"/>
    <w:rsid w:val="003B5341"/>
    <w:rsid w:val="003B6028"/>
    <w:rsid w:val="003C01D0"/>
    <w:rsid w:val="003C0B5E"/>
    <w:rsid w:val="003C12BA"/>
    <w:rsid w:val="003C1752"/>
    <w:rsid w:val="003C2064"/>
    <w:rsid w:val="003C232C"/>
    <w:rsid w:val="003C283E"/>
    <w:rsid w:val="003C28E1"/>
    <w:rsid w:val="003C297B"/>
    <w:rsid w:val="003C2C19"/>
    <w:rsid w:val="003C2F7C"/>
    <w:rsid w:val="003C3323"/>
    <w:rsid w:val="003C3A66"/>
    <w:rsid w:val="003C3C74"/>
    <w:rsid w:val="003C3F3C"/>
    <w:rsid w:val="003C52F7"/>
    <w:rsid w:val="003C64D6"/>
    <w:rsid w:val="003C73FB"/>
    <w:rsid w:val="003D0351"/>
    <w:rsid w:val="003D08B2"/>
    <w:rsid w:val="003D146F"/>
    <w:rsid w:val="003D1FA5"/>
    <w:rsid w:val="003D243F"/>
    <w:rsid w:val="003D35C6"/>
    <w:rsid w:val="003D3A39"/>
    <w:rsid w:val="003D4543"/>
    <w:rsid w:val="003D48A1"/>
    <w:rsid w:val="003D4FCC"/>
    <w:rsid w:val="003D581F"/>
    <w:rsid w:val="003D6694"/>
    <w:rsid w:val="003D68FF"/>
    <w:rsid w:val="003D6A2E"/>
    <w:rsid w:val="003D701F"/>
    <w:rsid w:val="003D71DE"/>
    <w:rsid w:val="003D7692"/>
    <w:rsid w:val="003D7A10"/>
    <w:rsid w:val="003D7B75"/>
    <w:rsid w:val="003D7E1D"/>
    <w:rsid w:val="003E0530"/>
    <w:rsid w:val="003E0643"/>
    <w:rsid w:val="003E0AD3"/>
    <w:rsid w:val="003E0CA6"/>
    <w:rsid w:val="003E0E05"/>
    <w:rsid w:val="003E0E57"/>
    <w:rsid w:val="003E11F9"/>
    <w:rsid w:val="003E1D5C"/>
    <w:rsid w:val="003E342F"/>
    <w:rsid w:val="003E3CAE"/>
    <w:rsid w:val="003E545E"/>
    <w:rsid w:val="003E5F84"/>
    <w:rsid w:val="003E61A3"/>
    <w:rsid w:val="003E65C3"/>
    <w:rsid w:val="003F048C"/>
    <w:rsid w:val="003F08A4"/>
    <w:rsid w:val="003F1CC9"/>
    <w:rsid w:val="003F3CD2"/>
    <w:rsid w:val="003F3F73"/>
    <w:rsid w:val="003F4838"/>
    <w:rsid w:val="003F71C1"/>
    <w:rsid w:val="0040002B"/>
    <w:rsid w:val="00400B0B"/>
    <w:rsid w:val="00400B77"/>
    <w:rsid w:val="00400DD5"/>
    <w:rsid w:val="004010EF"/>
    <w:rsid w:val="00401A8F"/>
    <w:rsid w:val="00401ECF"/>
    <w:rsid w:val="00402212"/>
    <w:rsid w:val="00402661"/>
    <w:rsid w:val="00403FEF"/>
    <w:rsid w:val="00404686"/>
    <w:rsid w:val="004059F5"/>
    <w:rsid w:val="00405CF6"/>
    <w:rsid w:val="00406442"/>
    <w:rsid w:val="00406BB0"/>
    <w:rsid w:val="00406C15"/>
    <w:rsid w:val="00406CC3"/>
    <w:rsid w:val="00406D25"/>
    <w:rsid w:val="00407956"/>
    <w:rsid w:val="004100D2"/>
    <w:rsid w:val="0041033C"/>
    <w:rsid w:val="00411093"/>
    <w:rsid w:val="004115B3"/>
    <w:rsid w:val="00411EE1"/>
    <w:rsid w:val="0041237A"/>
    <w:rsid w:val="00412DBA"/>
    <w:rsid w:val="004145B0"/>
    <w:rsid w:val="00414A01"/>
    <w:rsid w:val="00414F2F"/>
    <w:rsid w:val="004151C4"/>
    <w:rsid w:val="004154B6"/>
    <w:rsid w:val="004155ED"/>
    <w:rsid w:val="00415620"/>
    <w:rsid w:val="00416C7F"/>
    <w:rsid w:val="00417914"/>
    <w:rsid w:val="00417EFF"/>
    <w:rsid w:val="0042040C"/>
    <w:rsid w:val="00420414"/>
    <w:rsid w:val="004215DF"/>
    <w:rsid w:val="0042167D"/>
    <w:rsid w:val="00421930"/>
    <w:rsid w:val="00421C87"/>
    <w:rsid w:val="00421F1F"/>
    <w:rsid w:val="00422A9B"/>
    <w:rsid w:val="004236A5"/>
    <w:rsid w:val="0042370F"/>
    <w:rsid w:val="00423E60"/>
    <w:rsid w:val="004241CF"/>
    <w:rsid w:val="004244A3"/>
    <w:rsid w:val="00424EE9"/>
    <w:rsid w:val="004251AA"/>
    <w:rsid w:val="00425ED4"/>
    <w:rsid w:val="004260D2"/>
    <w:rsid w:val="00430A16"/>
    <w:rsid w:val="00430BF7"/>
    <w:rsid w:val="00430D5C"/>
    <w:rsid w:val="00431306"/>
    <w:rsid w:val="00431B9B"/>
    <w:rsid w:val="00432C5B"/>
    <w:rsid w:val="0043386A"/>
    <w:rsid w:val="004338FB"/>
    <w:rsid w:val="0043393E"/>
    <w:rsid w:val="00433D04"/>
    <w:rsid w:val="00434147"/>
    <w:rsid w:val="00434FAE"/>
    <w:rsid w:val="0043594C"/>
    <w:rsid w:val="00435EA1"/>
    <w:rsid w:val="0043655C"/>
    <w:rsid w:val="00436FD3"/>
    <w:rsid w:val="0043726B"/>
    <w:rsid w:val="00437919"/>
    <w:rsid w:val="00437D32"/>
    <w:rsid w:val="00437E41"/>
    <w:rsid w:val="00441522"/>
    <w:rsid w:val="004418BA"/>
    <w:rsid w:val="00441AD9"/>
    <w:rsid w:val="00441E10"/>
    <w:rsid w:val="0044208A"/>
    <w:rsid w:val="004425EA"/>
    <w:rsid w:val="00442934"/>
    <w:rsid w:val="00442A56"/>
    <w:rsid w:val="00442F22"/>
    <w:rsid w:val="00442F4F"/>
    <w:rsid w:val="00443AFB"/>
    <w:rsid w:val="00443DD4"/>
    <w:rsid w:val="00444335"/>
    <w:rsid w:val="004446F5"/>
    <w:rsid w:val="00444B00"/>
    <w:rsid w:val="00444CCF"/>
    <w:rsid w:val="00444E67"/>
    <w:rsid w:val="0044501C"/>
    <w:rsid w:val="00445C66"/>
    <w:rsid w:val="00445E21"/>
    <w:rsid w:val="0044602F"/>
    <w:rsid w:val="00446EE4"/>
    <w:rsid w:val="0044708B"/>
    <w:rsid w:val="004473FA"/>
    <w:rsid w:val="00447413"/>
    <w:rsid w:val="0044751B"/>
    <w:rsid w:val="0044799A"/>
    <w:rsid w:val="004479CF"/>
    <w:rsid w:val="00447E08"/>
    <w:rsid w:val="004503BB"/>
    <w:rsid w:val="004504B0"/>
    <w:rsid w:val="00451B69"/>
    <w:rsid w:val="004521F8"/>
    <w:rsid w:val="00452A2F"/>
    <w:rsid w:val="00452B13"/>
    <w:rsid w:val="004535E9"/>
    <w:rsid w:val="004536E9"/>
    <w:rsid w:val="00453A11"/>
    <w:rsid w:val="00454495"/>
    <w:rsid w:val="00454547"/>
    <w:rsid w:val="00454853"/>
    <w:rsid w:val="004549E9"/>
    <w:rsid w:val="004549FF"/>
    <w:rsid w:val="00454DE1"/>
    <w:rsid w:val="00454E44"/>
    <w:rsid w:val="00455318"/>
    <w:rsid w:val="00455EF3"/>
    <w:rsid w:val="004566FE"/>
    <w:rsid w:val="00456992"/>
    <w:rsid w:val="0045778D"/>
    <w:rsid w:val="00457870"/>
    <w:rsid w:val="00457D97"/>
    <w:rsid w:val="00457FE8"/>
    <w:rsid w:val="00460950"/>
    <w:rsid w:val="004611A4"/>
    <w:rsid w:val="00461B3F"/>
    <w:rsid w:val="00461B5F"/>
    <w:rsid w:val="004620DA"/>
    <w:rsid w:val="00462651"/>
    <w:rsid w:val="00462C11"/>
    <w:rsid w:val="00463875"/>
    <w:rsid w:val="00463C02"/>
    <w:rsid w:val="00463FC6"/>
    <w:rsid w:val="00466AF1"/>
    <w:rsid w:val="00466B6E"/>
    <w:rsid w:val="00467114"/>
    <w:rsid w:val="00467643"/>
    <w:rsid w:val="00470626"/>
    <w:rsid w:val="0047189A"/>
    <w:rsid w:val="00471C0E"/>
    <w:rsid w:val="00472636"/>
    <w:rsid w:val="004726E3"/>
    <w:rsid w:val="00472BAB"/>
    <w:rsid w:val="00472F2E"/>
    <w:rsid w:val="00473082"/>
    <w:rsid w:val="00474E4F"/>
    <w:rsid w:val="004758FA"/>
    <w:rsid w:val="004766DF"/>
    <w:rsid w:val="00476DE7"/>
    <w:rsid w:val="004774CE"/>
    <w:rsid w:val="00477738"/>
    <w:rsid w:val="00477A84"/>
    <w:rsid w:val="00480BED"/>
    <w:rsid w:val="00480E82"/>
    <w:rsid w:val="0048154C"/>
    <w:rsid w:val="00481C90"/>
    <w:rsid w:val="00482190"/>
    <w:rsid w:val="00483047"/>
    <w:rsid w:val="004830E8"/>
    <w:rsid w:val="00483446"/>
    <w:rsid w:val="004836D8"/>
    <w:rsid w:val="004849E8"/>
    <w:rsid w:val="004849FB"/>
    <w:rsid w:val="00484CB9"/>
    <w:rsid w:val="00484D9F"/>
    <w:rsid w:val="00485009"/>
    <w:rsid w:val="004851E0"/>
    <w:rsid w:val="0048545E"/>
    <w:rsid w:val="00485CA5"/>
    <w:rsid w:val="00485FB8"/>
    <w:rsid w:val="00486812"/>
    <w:rsid w:val="00486A0B"/>
    <w:rsid w:val="0048779E"/>
    <w:rsid w:val="00490E6B"/>
    <w:rsid w:val="00490E9D"/>
    <w:rsid w:val="004915BC"/>
    <w:rsid w:val="00491A5A"/>
    <w:rsid w:val="00491DD2"/>
    <w:rsid w:val="00492691"/>
    <w:rsid w:val="004933A3"/>
    <w:rsid w:val="00493982"/>
    <w:rsid w:val="00493BED"/>
    <w:rsid w:val="00494F9D"/>
    <w:rsid w:val="004951E6"/>
    <w:rsid w:val="0049545B"/>
    <w:rsid w:val="0049627C"/>
    <w:rsid w:val="004968AD"/>
    <w:rsid w:val="00496C93"/>
    <w:rsid w:val="004971D9"/>
    <w:rsid w:val="00497D82"/>
    <w:rsid w:val="004A0A09"/>
    <w:rsid w:val="004A1BD7"/>
    <w:rsid w:val="004A2781"/>
    <w:rsid w:val="004A297A"/>
    <w:rsid w:val="004A4397"/>
    <w:rsid w:val="004A44A0"/>
    <w:rsid w:val="004A46D8"/>
    <w:rsid w:val="004A4A83"/>
    <w:rsid w:val="004A643E"/>
    <w:rsid w:val="004A768E"/>
    <w:rsid w:val="004A7AEA"/>
    <w:rsid w:val="004B0353"/>
    <w:rsid w:val="004B2078"/>
    <w:rsid w:val="004B2290"/>
    <w:rsid w:val="004B27F4"/>
    <w:rsid w:val="004B3551"/>
    <w:rsid w:val="004B4D06"/>
    <w:rsid w:val="004B53B7"/>
    <w:rsid w:val="004B580D"/>
    <w:rsid w:val="004B5958"/>
    <w:rsid w:val="004B5EE8"/>
    <w:rsid w:val="004B6261"/>
    <w:rsid w:val="004B7467"/>
    <w:rsid w:val="004C00B7"/>
    <w:rsid w:val="004C0113"/>
    <w:rsid w:val="004C0BBF"/>
    <w:rsid w:val="004C12B5"/>
    <w:rsid w:val="004C3CF4"/>
    <w:rsid w:val="004C4A76"/>
    <w:rsid w:val="004C5104"/>
    <w:rsid w:val="004C5DC1"/>
    <w:rsid w:val="004C71D6"/>
    <w:rsid w:val="004C77D8"/>
    <w:rsid w:val="004D071B"/>
    <w:rsid w:val="004D1819"/>
    <w:rsid w:val="004D1E3F"/>
    <w:rsid w:val="004D3310"/>
    <w:rsid w:val="004D3627"/>
    <w:rsid w:val="004D3905"/>
    <w:rsid w:val="004D3D69"/>
    <w:rsid w:val="004D42C7"/>
    <w:rsid w:val="004D4498"/>
    <w:rsid w:val="004D4F1C"/>
    <w:rsid w:val="004D5148"/>
    <w:rsid w:val="004D5B0C"/>
    <w:rsid w:val="004D6AE7"/>
    <w:rsid w:val="004D6BE4"/>
    <w:rsid w:val="004E074A"/>
    <w:rsid w:val="004E080C"/>
    <w:rsid w:val="004E0879"/>
    <w:rsid w:val="004E1460"/>
    <w:rsid w:val="004E1B32"/>
    <w:rsid w:val="004E1B8D"/>
    <w:rsid w:val="004E1FAE"/>
    <w:rsid w:val="004E25BA"/>
    <w:rsid w:val="004E3104"/>
    <w:rsid w:val="004E409E"/>
    <w:rsid w:val="004E5C25"/>
    <w:rsid w:val="004E620E"/>
    <w:rsid w:val="004F18B9"/>
    <w:rsid w:val="004F1FE5"/>
    <w:rsid w:val="004F3AEF"/>
    <w:rsid w:val="004F4DC9"/>
    <w:rsid w:val="004F5281"/>
    <w:rsid w:val="004F65AF"/>
    <w:rsid w:val="004F6E29"/>
    <w:rsid w:val="004F7742"/>
    <w:rsid w:val="004F7B65"/>
    <w:rsid w:val="004F7F26"/>
    <w:rsid w:val="004F7FE7"/>
    <w:rsid w:val="0050011E"/>
    <w:rsid w:val="00500CD8"/>
    <w:rsid w:val="00501A7D"/>
    <w:rsid w:val="00502021"/>
    <w:rsid w:val="00502495"/>
    <w:rsid w:val="00502730"/>
    <w:rsid w:val="0050430F"/>
    <w:rsid w:val="00504718"/>
    <w:rsid w:val="005053C6"/>
    <w:rsid w:val="00505618"/>
    <w:rsid w:val="00505CCD"/>
    <w:rsid w:val="00505D24"/>
    <w:rsid w:val="00505FE7"/>
    <w:rsid w:val="00506511"/>
    <w:rsid w:val="00507413"/>
    <w:rsid w:val="00507638"/>
    <w:rsid w:val="005109B9"/>
    <w:rsid w:val="00510A94"/>
    <w:rsid w:val="00510EC9"/>
    <w:rsid w:val="0051127E"/>
    <w:rsid w:val="00511EA0"/>
    <w:rsid w:val="005121F4"/>
    <w:rsid w:val="005122EC"/>
    <w:rsid w:val="0051345B"/>
    <w:rsid w:val="005134D3"/>
    <w:rsid w:val="00513FEB"/>
    <w:rsid w:val="0051459C"/>
    <w:rsid w:val="005145B1"/>
    <w:rsid w:val="00515160"/>
    <w:rsid w:val="00515C4E"/>
    <w:rsid w:val="00516248"/>
    <w:rsid w:val="00516805"/>
    <w:rsid w:val="00516BCE"/>
    <w:rsid w:val="0051706C"/>
    <w:rsid w:val="00517294"/>
    <w:rsid w:val="005204A5"/>
    <w:rsid w:val="00520E51"/>
    <w:rsid w:val="00521959"/>
    <w:rsid w:val="00522674"/>
    <w:rsid w:val="00522F56"/>
    <w:rsid w:val="00522FF1"/>
    <w:rsid w:val="00524E64"/>
    <w:rsid w:val="00524FCA"/>
    <w:rsid w:val="00525EFB"/>
    <w:rsid w:val="00530D05"/>
    <w:rsid w:val="00531239"/>
    <w:rsid w:val="0053138D"/>
    <w:rsid w:val="005319C9"/>
    <w:rsid w:val="005327E3"/>
    <w:rsid w:val="00532880"/>
    <w:rsid w:val="005338AA"/>
    <w:rsid w:val="00533D0D"/>
    <w:rsid w:val="00534015"/>
    <w:rsid w:val="005343FA"/>
    <w:rsid w:val="005347F1"/>
    <w:rsid w:val="00534DD2"/>
    <w:rsid w:val="005355D3"/>
    <w:rsid w:val="00535862"/>
    <w:rsid w:val="00535D88"/>
    <w:rsid w:val="00535E44"/>
    <w:rsid w:val="00536023"/>
    <w:rsid w:val="005362E9"/>
    <w:rsid w:val="0053639D"/>
    <w:rsid w:val="00536A21"/>
    <w:rsid w:val="0053771A"/>
    <w:rsid w:val="00537CB9"/>
    <w:rsid w:val="00537FEE"/>
    <w:rsid w:val="00540EBD"/>
    <w:rsid w:val="0054142C"/>
    <w:rsid w:val="00542642"/>
    <w:rsid w:val="00542BC6"/>
    <w:rsid w:val="00543203"/>
    <w:rsid w:val="0054338E"/>
    <w:rsid w:val="0054384D"/>
    <w:rsid w:val="00543A15"/>
    <w:rsid w:val="005447E4"/>
    <w:rsid w:val="00544931"/>
    <w:rsid w:val="00544B25"/>
    <w:rsid w:val="005450E0"/>
    <w:rsid w:val="005451BE"/>
    <w:rsid w:val="005454F9"/>
    <w:rsid w:val="0054583F"/>
    <w:rsid w:val="00545C24"/>
    <w:rsid w:val="00546DA7"/>
    <w:rsid w:val="0054762A"/>
    <w:rsid w:val="00547822"/>
    <w:rsid w:val="00550950"/>
    <w:rsid w:val="0055158B"/>
    <w:rsid w:val="0055226A"/>
    <w:rsid w:val="00552E05"/>
    <w:rsid w:val="00553148"/>
    <w:rsid w:val="005542E1"/>
    <w:rsid w:val="00554763"/>
    <w:rsid w:val="00554BA7"/>
    <w:rsid w:val="00554C5F"/>
    <w:rsid w:val="00554DE9"/>
    <w:rsid w:val="0055570B"/>
    <w:rsid w:val="00555CB1"/>
    <w:rsid w:val="0055648D"/>
    <w:rsid w:val="005567DD"/>
    <w:rsid w:val="00556820"/>
    <w:rsid w:val="00556FD5"/>
    <w:rsid w:val="00557114"/>
    <w:rsid w:val="00557600"/>
    <w:rsid w:val="00557850"/>
    <w:rsid w:val="00557F97"/>
    <w:rsid w:val="005603DE"/>
    <w:rsid w:val="00560952"/>
    <w:rsid w:val="005614D4"/>
    <w:rsid w:val="005617BC"/>
    <w:rsid w:val="00561C3A"/>
    <w:rsid w:val="00561F9D"/>
    <w:rsid w:val="005622DE"/>
    <w:rsid w:val="00562345"/>
    <w:rsid w:val="00562C7F"/>
    <w:rsid w:val="0056367A"/>
    <w:rsid w:val="00563858"/>
    <w:rsid w:val="00563865"/>
    <w:rsid w:val="0056416E"/>
    <w:rsid w:val="00565744"/>
    <w:rsid w:val="005659E4"/>
    <w:rsid w:val="00565CD3"/>
    <w:rsid w:val="00565DC9"/>
    <w:rsid w:val="00565FD3"/>
    <w:rsid w:val="0056681D"/>
    <w:rsid w:val="00566D01"/>
    <w:rsid w:val="005673DF"/>
    <w:rsid w:val="005676E5"/>
    <w:rsid w:val="00571B56"/>
    <w:rsid w:val="005727A3"/>
    <w:rsid w:val="00572A64"/>
    <w:rsid w:val="005734E3"/>
    <w:rsid w:val="00573B1E"/>
    <w:rsid w:val="00573E28"/>
    <w:rsid w:val="00574E77"/>
    <w:rsid w:val="005750D3"/>
    <w:rsid w:val="00575300"/>
    <w:rsid w:val="00576891"/>
    <w:rsid w:val="0057747B"/>
    <w:rsid w:val="005774EE"/>
    <w:rsid w:val="00577A0D"/>
    <w:rsid w:val="00580EE0"/>
    <w:rsid w:val="00581163"/>
    <w:rsid w:val="00582009"/>
    <w:rsid w:val="005827CB"/>
    <w:rsid w:val="00582AB3"/>
    <w:rsid w:val="00582BCA"/>
    <w:rsid w:val="0058332A"/>
    <w:rsid w:val="005833F6"/>
    <w:rsid w:val="0058375E"/>
    <w:rsid w:val="005839E2"/>
    <w:rsid w:val="00584BDE"/>
    <w:rsid w:val="0058505F"/>
    <w:rsid w:val="0058627D"/>
    <w:rsid w:val="00586E0E"/>
    <w:rsid w:val="00587AD2"/>
    <w:rsid w:val="0059122C"/>
    <w:rsid w:val="00591638"/>
    <w:rsid w:val="00591E4F"/>
    <w:rsid w:val="00592064"/>
    <w:rsid w:val="00592110"/>
    <w:rsid w:val="00592F3A"/>
    <w:rsid w:val="00593C79"/>
    <w:rsid w:val="00594580"/>
    <w:rsid w:val="005945EE"/>
    <w:rsid w:val="00596AF1"/>
    <w:rsid w:val="005972A6"/>
    <w:rsid w:val="005A0030"/>
    <w:rsid w:val="005A081F"/>
    <w:rsid w:val="005A0BE8"/>
    <w:rsid w:val="005A15D9"/>
    <w:rsid w:val="005A18EC"/>
    <w:rsid w:val="005A1B34"/>
    <w:rsid w:val="005A1C49"/>
    <w:rsid w:val="005A1FA6"/>
    <w:rsid w:val="005A237C"/>
    <w:rsid w:val="005A2697"/>
    <w:rsid w:val="005A2D23"/>
    <w:rsid w:val="005A2FE8"/>
    <w:rsid w:val="005A3193"/>
    <w:rsid w:val="005A3863"/>
    <w:rsid w:val="005A4014"/>
    <w:rsid w:val="005A4220"/>
    <w:rsid w:val="005A43A2"/>
    <w:rsid w:val="005A4810"/>
    <w:rsid w:val="005A4B9E"/>
    <w:rsid w:val="005A60FE"/>
    <w:rsid w:val="005A6166"/>
    <w:rsid w:val="005A68BD"/>
    <w:rsid w:val="005A700E"/>
    <w:rsid w:val="005A7BE1"/>
    <w:rsid w:val="005A7DF3"/>
    <w:rsid w:val="005B0C9A"/>
    <w:rsid w:val="005B1227"/>
    <w:rsid w:val="005B12DD"/>
    <w:rsid w:val="005B18AA"/>
    <w:rsid w:val="005B1A16"/>
    <w:rsid w:val="005B20D9"/>
    <w:rsid w:val="005B20DC"/>
    <w:rsid w:val="005B2211"/>
    <w:rsid w:val="005B282A"/>
    <w:rsid w:val="005B2C9A"/>
    <w:rsid w:val="005B314F"/>
    <w:rsid w:val="005B4407"/>
    <w:rsid w:val="005B52B7"/>
    <w:rsid w:val="005B55D3"/>
    <w:rsid w:val="005B72E2"/>
    <w:rsid w:val="005B7545"/>
    <w:rsid w:val="005C0853"/>
    <w:rsid w:val="005C086D"/>
    <w:rsid w:val="005C14AE"/>
    <w:rsid w:val="005C1C49"/>
    <w:rsid w:val="005C1D81"/>
    <w:rsid w:val="005C1E24"/>
    <w:rsid w:val="005C2992"/>
    <w:rsid w:val="005C2F81"/>
    <w:rsid w:val="005C31FB"/>
    <w:rsid w:val="005C3351"/>
    <w:rsid w:val="005C33E1"/>
    <w:rsid w:val="005C498E"/>
    <w:rsid w:val="005C4A47"/>
    <w:rsid w:val="005C4BA8"/>
    <w:rsid w:val="005C549D"/>
    <w:rsid w:val="005C5780"/>
    <w:rsid w:val="005C5892"/>
    <w:rsid w:val="005C58B4"/>
    <w:rsid w:val="005C59D9"/>
    <w:rsid w:val="005C5D2B"/>
    <w:rsid w:val="005C5FE8"/>
    <w:rsid w:val="005C6261"/>
    <w:rsid w:val="005C7683"/>
    <w:rsid w:val="005D0C53"/>
    <w:rsid w:val="005D0DC2"/>
    <w:rsid w:val="005D1010"/>
    <w:rsid w:val="005D111A"/>
    <w:rsid w:val="005D1337"/>
    <w:rsid w:val="005D1832"/>
    <w:rsid w:val="005D18D6"/>
    <w:rsid w:val="005D1E6B"/>
    <w:rsid w:val="005D247F"/>
    <w:rsid w:val="005D27B5"/>
    <w:rsid w:val="005D28A1"/>
    <w:rsid w:val="005D2CD3"/>
    <w:rsid w:val="005D2EF6"/>
    <w:rsid w:val="005D34D7"/>
    <w:rsid w:val="005D3AE7"/>
    <w:rsid w:val="005D4601"/>
    <w:rsid w:val="005D4819"/>
    <w:rsid w:val="005D52BD"/>
    <w:rsid w:val="005D6032"/>
    <w:rsid w:val="005D682F"/>
    <w:rsid w:val="005D6C88"/>
    <w:rsid w:val="005D6DC3"/>
    <w:rsid w:val="005D7301"/>
    <w:rsid w:val="005E0193"/>
    <w:rsid w:val="005E1930"/>
    <w:rsid w:val="005E1BC2"/>
    <w:rsid w:val="005E20C7"/>
    <w:rsid w:val="005E2732"/>
    <w:rsid w:val="005E273C"/>
    <w:rsid w:val="005E2900"/>
    <w:rsid w:val="005E438C"/>
    <w:rsid w:val="005E441F"/>
    <w:rsid w:val="005E4E5A"/>
    <w:rsid w:val="005E5070"/>
    <w:rsid w:val="005E5517"/>
    <w:rsid w:val="005E799E"/>
    <w:rsid w:val="005F0197"/>
    <w:rsid w:val="005F0900"/>
    <w:rsid w:val="005F0A62"/>
    <w:rsid w:val="005F13DA"/>
    <w:rsid w:val="005F1564"/>
    <w:rsid w:val="005F1571"/>
    <w:rsid w:val="005F1F7C"/>
    <w:rsid w:val="005F22C9"/>
    <w:rsid w:val="005F2FDD"/>
    <w:rsid w:val="005F3807"/>
    <w:rsid w:val="005F5307"/>
    <w:rsid w:val="005F533D"/>
    <w:rsid w:val="005F56E9"/>
    <w:rsid w:val="005F73C9"/>
    <w:rsid w:val="00600220"/>
    <w:rsid w:val="00600577"/>
    <w:rsid w:val="00600936"/>
    <w:rsid w:val="0060120B"/>
    <w:rsid w:val="00601FF5"/>
    <w:rsid w:val="00602652"/>
    <w:rsid w:val="00602BCC"/>
    <w:rsid w:val="0060434E"/>
    <w:rsid w:val="00605A4B"/>
    <w:rsid w:val="0060634D"/>
    <w:rsid w:val="00607877"/>
    <w:rsid w:val="00607F2A"/>
    <w:rsid w:val="00607F98"/>
    <w:rsid w:val="00610187"/>
    <w:rsid w:val="0061074D"/>
    <w:rsid w:val="006108D2"/>
    <w:rsid w:val="00610AAA"/>
    <w:rsid w:val="00610E6A"/>
    <w:rsid w:val="00610FB2"/>
    <w:rsid w:val="00612E69"/>
    <w:rsid w:val="0061318F"/>
    <w:rsid w:val="006135D9"/>
    <w:rsid w:val="006138C1"/>
    <w:rsid w:val="00613DC7"/>
    <w:rsid w:val="00615C4E"/>
    <w:rsid w:val="00616D9B"/>
    <w:rsid w:val="00616F33"/>
    <w:rsid w:val="00617166"/>
    <w:rsid w:val="0061738E"/>
    <w:rsid w:val="006175E2"/>
    <w:rsid w:val="00620063"/>
    <w:rsid w:val="00620396"/>
    <w:rsid w:val="006204F4"/>
    <w:rsid w:val="00620B28"/>
    <w:rsid w:val="006218D3"/>
    <w:rsid w:val="00622436"/>
    <w:rsid w:val="006226C0"/>
    <w:rsid w:val="006249E6"/>
    <w:rsid w:val="0062614F"/>
    <w:rsid w:val="00626770"/>
    <w:rsid w:val="006269F0"/>
    <w:rsid w:val="00626CE5"/>
    <w:rsid w:val="00627125"/>
    <w:rsid w:val="006308CA"/>
    <w:rsid w:val="0063314A"/>
    <w:rsid w:val="006333AC"/>
    <w:rsid w:val="00633509"/>
    <w:rsid w:val="00633DF1"/>
    <w:rsid w:val="00633FE8"/>
    <w:rsid w:val="00634F00"/>
    <w:rsid w:val="006350AC"/>
    <w:rsid w:val="006351EA"/>
    <w:rsid w:val="00635659"/>
    <w:rsid w:val="006359A9"/>
    <w:rsid w:val="006359D2"/>
    <w:rsid w:val="0063631E"/>
    <w:rsid w:val="00636F39"/>
    <w:rsid w:val="0063766D"/>
    <w:rsid w:val="00637C8F"/>
    <w:rsid w:val="0064019F"/>
    <w:rsid w:val="0064033E"/>
    <w:rsid w:val="00641111"/>
    <w:rsid w:val="00641176"/>
    <w:rsid w:val="006411B1"/>
    <w:rsid w:val="00641629"/>
    <w:rsid w:val="006423E1"/>
    <w:rsid w:val="00642693"/>
    <w:rsid w:val="00642AD4"/>
    <w:rsid w:val="00642B44"/>
    <w:rsid w:val="00643457"/>
    <w:rsid w:val="0064354E"/>
    <w:rsid w:val="006441CD"/>
    <w:rsid w:val="00644561"/>
    <w:rsid w:val="00644625"/>
    <w:rsid w:val="00645231"/>
    <w:rsid w:val="0064549A"/>
    <w:rsid w:val="006460B7"/>
    <w:rsid w:val="00646612"/>
    <w:rsid w:val="00646635"/>
    <w:rsid w:val="006479B6"/>
    <w:rsid w:val="00647D2E"/>
    <w:rsid w:val="0065090A"/>
    <w:rsid w:val="00651668"/>
    <w:rsid w:val="00652499"/>
    <w:rsid w:val="00652FC2"/>
    <w:rsid w:val="006532F2"/>
    <w:rsid w:val="00654496"/>
    <w:rsid w:val="00654F6F"/>
    <w:rsid w:val="00654F95"/>
    <w:rsid w:val="0065530D"/>
    <w:rsid w:val="0065620D"/>
    <w:rsid w:val="00657E9B"/>
    <w:rsid w:val="006602A7"/>
    <w:rsid w:val="00660398"/>
    <w:rsid w:val="006609ED"/>
    <w:rsid w:val="00660B7A"/>
    <w:rsid w:val="0066277A"/>
    <w:rsid w:val="00663211"/>
    <w:rsid w:val="00663998"/>
    <w:rsid w:val="00663D7C"/>
    <w:rsid w:val="006640AE"/>
    <w:rsid w:val="0066414E"/>
    <w:rsid w:val="006644B9"/>
    <w:rsid w:val="0066585B"/>
    <w:rsid w:val="00665A23"/>
    <w:rsid w:val="006666C7"/>
    <w:rsid w:val="006670D6"/>
    <w:rsid w:val="006670F0"/>
    <w:rsid w:val="00670005"/>
    <w:rsid w:val="006719DD"/>
    <w:rsid w:val="00671B06"/>
    <w:rsid w:val="00671BFF"/>
    <w:rsid w:val="00674183"/>
    <w:rsid w:val="006746D2"/>
    <w:rsid w:val="006761FB"/>
    <w:rsid w:val="00677F53"/>
    <w:rsid w:val="006803DB"/>
    <w:rsid w:val="0068061C"/>
    <w:rsid w:val="006809F3"/>
    <w:rsid w:val="0068157C"/>
    <w:rsid w:val="006816E6"/>
    <w:rsid w:val="006818F2"/>
    <w:rsid w:val="00681BF0"/>
    <w:rsid w:val="00681ED4"/>
    <w:rsid w:val="00682846"/>
    <w:rsid w:val="00683340"/>
    <w:rsid w:val="0068469B"/>
    <w:rsid w:val="00684921"/>
    <w:rsid w:val="0068523A"/>
    <w:rsid w:val="00686873"/>
    <w:rsid w:val="006870B1"/>
    <w:rsid w:val="006874C5"/>
    <w:rsid w:val="0068752A"/>
    <w:rsid w:val="00687A51"/>
    <w:rsid w:val="00690C29"/>
    <w:rsid w:val="00690D80"/>
    <w:rsid w:val="00690DB0"/>
    <w:rsid w:val="00693789"/>
    <w:rsid w:val="00693D2A"/>
    <w:rsid w:val="00695030"/>
    <w:rsid w:val="006958A0"/>
    <w:rsid w:val="00695D01"/>
    <w:rsid w:val="0069627F"/>
    <w:rsid w:val="006963B8"/>
    <w:rsid w:val="006966FB"/>
    <w:rsid w:val="00697116"/>
    <w:rsid w:val="0069778D"/>
    <w:rsid w:val="006A020A"/>
    <w:rsid w:val="006A0F87"/>
    <w:rsid w:val="006A1872"/>
    <w:rsid w:val="006A22F3"/>
    <w:rsid w:val="006A29E4"/>
    <w:rsid w:val="006A317D"/>
    <w:rsid w:val="006A45F7"/>
    <w:rsid w:val="006A4B90"/>
    <w:rsid w:val="006A4E72"/>
    <w:rsid w:val="006A57B7"/>
    <w:rsid w:val="006A5ACF"/>
    <w:rsid w:val="006A5DD5"/>
    <w:rsid w:val="006A66FB"/>
    <w:rsid w:val="006A6C9D"/>
    <w:rsid w:val="006A79FD"/>
    <w:rsid w:val="006B055D"/>
    <w:rsid w:val="006B0E88"/>
    <w:rsid w:val="006B165E"/>
    <w:rsid w:val="006B1B26"/>
    <w:rsid w:val="006B2F96"/>
    <w:rsid w:val="006B33C3"/>
    <w:rsid w:val="006B3793"/>
    <w:rsid w:val="006B4195"/>
    <w:rsid w:val="006B480C"/>
    <w:rsid w:val="006B4E43"/>
    <w:rsid w:val="006B559A"/>
    <w:rsid w:val="006B5D03"/>
    <w:rsid w:val="006B6B94"/>
    <w:rsid w:val="006B77CE"/>
    <w:rsid w:val="006C090F"/>
    <w:rsid w:val="006C0963"/>
    <w:rsid w:val="006C19B3"/>
    <w:rsid w:val="006C25DF"/>
    <w:rsid w:val="006C2742"/>
    <w:rsid w:val="006C2C2F"/>
    <w:rsid w:val="006C37C3"/>
    <w:rsid w:val="006C3B48"/>
    <w:rsid w:val="006C3D69"/>
    <w:rsid w:val="006C4AFC"/>
    <w:rsid w:val="006C4D29"/>
    <w:rsid w:val="006C534E"/>
    <w:rsid w:val="006C58E2"/>
    <w:rsid w:val="006C5DB4"/>
    <w:rsid w:val="006C6312"/>
    <w:rsid w:val="006C6753"/>
    <w:rsid w:val="006C6E8E"/>
    <w:rsid w:val="006C7C0A"/>
    <w:rsid w:val="006C7CC6"/>
    <w:rsid w:val="006D078A"/>
    <w:rsid w:val="006D17B0"/>
    <w:rsid w:val="006D189B"/>
    <w:rsid w:val="006D1D10"/>
    <w:rsid w:val="006D27C0"/>
    <w:rsid w:val="006D2D80"/>
    <w:rsid w:val="006D2DF9"/>
    <w:rsid w:val="006D3E8F"/>
    <w:rsid w:val="006D4653"/>
    <w:rsid w:val="006D4A6F"/>
    <w:rsid w:val="006D4A78"/>
    <w:rsid w:val="006D4F05"/>
    <w:rsid w:val="006D537F"/>
    <w:rsid w:val="006D5467"/>
    <w:rsid w:val="006D561F"/>
    <w:rsid w:val="006D5CF9"/>
    <w:rsid w:val="006D61D2"/>
    <w:rsid w:val="006D656D"/>
    <w:rsid w:val="006D686D"/>
    <w:rsid w:val="006D6B9C"/>
    <w:rsid w:val="006D6F6B"/>
    <w:rsid w:val="006D7230"/>
    <w:rsid w:val="006D73B9"/>
    <w:rsid w:val="006E0010"/>
    <w:rsid w:val="006E00FB"/>
    <w:rsid w:val="006E095C"/>
    <w:rsid w:val="006E2915"/>
    <w:rsid w:val="006E2CA4"/>
    <w:rsid w:val="006E2D8E"/>
    <w:rsid w:val="006E38C3"/>
    <w:rsid w:val="006E46DF"/>
    <w:rsid w:val="006E49F6"/>
    <w:rsid w:val="006E5544"/>
    <w:rsid w:val="006E5C90"/>
    <w:rsid w:val="006E6B1C"/>
    <w:rsid w:val="006E6B55"/>
    <w:rsid w:val="006E6D05"/>
    <w:rsid w:val="006F040E"/>
    <w:rsid w:val="006F04CD"/>
    <w:rsid w:val="006F0C74"/>
    <w:rsid w:val="006F0F8D"/>
    <w:rsid w:val="006F14AA"/>
    <w:rsid w:val="006F2F42"/>
    <w:rsid w:val="006F301F"/>
    <w:rsid w:val="006F3254"/>
    <w:rsid w:val="006F3EED"/>
    <w:rsid w:val="006F46BA"/>
    <w:rsid w:val="006F537A"/>
    <w:rsid w:val="006F5384"/>
    <w:rsid w:val="006F5E6A"/>
    <w:rsid w:val="006F76F6"/>
    <w:rsid w:val="007009E7"/>
    <w:rsid w:val="0070172C"/>
    <w:rsid w:val="00701A60"/>
    <w:rsid w:val="00702448"/>
    <w:rsid w:val="00702518"/>
    <w:rsid w:val="00702731"/>
    <w:rsid w:val="00703E1C"/>
    <w:rsid w:val="00703F4F"/>
    <w:rsid w:val="00705697"/>
    <w:rsid w:val="00705BB0"/>
    <w:rsid w:val="00706353"/>
    <w:rsid w:val="00707188"/>
    <w:rsid w:val="00707302"/>
    <w:rsid w:val="00707AFB"/>
    <w:rsid w:val="0071013F"/>
    <w:rsid w:val="0071019C"/>
    <w:rsid w:val="00712437"/>
    <w:rsid w:val="00712564"/>
    <w:rsid w:val="00713B33"/>
    <w:rsid w:val="007146BA"/>
    <w:rsid w:val="0071490B"/>
    <w:rsid w:val="007149FF"/>
    <w:rsid w:val="00714AC1"/>
    <w:rsid w:val="00715460"/>
    <w:rsid w:val="00715598"/>
    <w:rsid w:val="0071675C"/>
    <w:rsid w:val="00716928"/>
    <w:rsid w:val="00716C8E"/>
    <w:rsid w:val="00716F9C"/>
    <w:rsid w:val="00717CD6"/>
    <w:rsid w:val="007206FC"/>
    <w:rsid w:val="00721573"/>
    <w:rsid w:val="0072178F"/>
    <w:rsid w:val="00721962"/>
    <w:rsid w:val="00721F68"/>
    <w:rsid w:val="007220AF"/>
    <w:rsid w:val="007224AE"/>
    <w:rsid w:val="007227ED"/>
    <w:rsid w:val="007234A1"/>
    <w:rsid w:val="00723896"/>
    <w:rsid w:val="00723F51"/>
    <w:rsid w:val="007248E9"/>
    <w:rsid w:val="00724CF7"/>
    <w:rsid w:val="00724F62"/>
    <w:rsid w:val="007270CB"/>
    <w:rsid w:val="007270CE"/>
    <w:rsid w:val="007270D5"/>
    <w:rsid w:val="00727359"/>
    <w:rsid w:val="00727936"/>
    <w:rsid w:val="00730468"/>
    <w:rsid w:val="007311DD"/>
    <w:rsid w:val="00731405"/>
    <w:rsid w:val="00731FBC"/>
    <w:rsid w:val="00732091"/>
    <w:rsid w:val="00732750"/>
    <w:rsid w:val="00733417"/>
    <w:rsid w:val="007337EA"/>
    <w:rsid w:val="007350A6"/>
    <w:rsid w:val="00735905"/>
    <w:rsid w:val="00735D08"/>
    <w:rsid w:val="0073605A"/>
    <w:rsid w:val="00737BA6"/>
    <w:rsid w:val="00737EF8"/>
    <w:rsid w:val="007400DE"/>
    <w:rsid w:val="007403A5"/>
    <w:rsid w:val="007405FD"/>
    <w:rsid w:val="00741147"/>
    <w:rsid w:val="00741FDD"/>
    <w:rsid w:val="007420AB"/>
    <w:rsid w:val="00743EF8"/>
    <w:rsid w:val="0074435D"/>
    <w:rsid w:val="007443BF"/>
    <w:rsid w:val="00744762"/>
    <w:rsid w:val="00744CE5"/>
    <w:rsid w:val="0074506C"/>
    <w:rsid w:val="007459C7"/>
    <w:rsid w:val="00745DD5"/>
    <w:rsid w:val="00746466"/>
    <w:rsid w:val="00746A84"/>
    <w:rsid w:val="00746F55"/>
    <w:rsid w:val="0074722C"/>
    <w:rsid w:val="00747B12"/>
    <w:rsid w:val="00747EB1"/>
    <w:rsid w:val="00751129"/>
    <w:rsid w:val="007511CB"/>
    <w:rsid w:val="00751567"/>
    <w:rsid w:val="00751591"/>
    <w:rsid w:val="007516B7"/>
    <w:rsid w:val="00751D6A"/>
    <w:rsid w:val="0075295F"/>
    <w:rsid w:val="0075347A"/>
    <w:rsid w:val="0075349D"/>
    <w:rsid w:val="007542D3"/>
    <w:rsid w:val="00754437"/>
    <w:rsid w:val="0075570B"/>
    <w:rsid w:val="007558A8"/>
    <w:rsid w:val="00755B88"/>
    <w:rsid w:val="007563F4"/>
    <w:rsid w:val="00756DC5"/>
    <w:rsid w:val="007574C2"/>
    <w:rsid w:val="00757E51"/>
    <w:rsid w:val="007622C5"/>
    <w:rsid w:val="00762755"/>
    <w:rsid w:val="00762DE5"/>
    <w:rsid w:val="007635EB"/>
    <w:rsid w:val="0076371D"/>
    <w:rsid w:val="00763CE5"/>
    <w:rsid w:val="007642F5"/>
    <w:rsid w:val="007645CB"/>
    <w:rsid w:val="00764BE8"/>
    <w:rsid w:val="00765389"/>
    <w:rsid w:val="00765786"/>
    <w:rsid w:val="00765969"/>
    <w:rsid w:val="00766CCE"/>
    <w:rsid w:val="00766E89"/>
    <w:rsid w:val="00767E6A"/>
    <w:rsid w:val="007701C9"/>
    <w:rsid w:val="00770EC6"/>
    <w:rsid w:val="00771836"/>
    <w:rsid w:val="007727BE"/>
    <w:rsid w:val="007733F9"/>
    <w:rsid w:val="00773AAA"/>
    <w:rsid w:val="00774633"/>
    <w:rsid w:val="007748FA"/>
    <w:rsid w:val="00774D02"/>
    <w:rsid w:val="0077550A"/>
    <w:rsid w:val="007755A6"/>
    <w:rsid w:val="00775F64"/>
    <w:rsid w:val="007763A8"/>
    <w:rsid w:val="00776E82"/>
    <w:rsid w:val="00777801"/>
    <w:rsid w:val="00781964"/>
    <w:rsid w:val="00781BB2"/>
    <w:rsid w:val="007836B2"/>
    <w:rsid w:val="007843DB"/>
    <w:rsid w:val="0078491E"/>
    <w:rsid w:val="0078566F"/>
    <w:rsid w:val="00785B19"/>
    <w:rsid w:val="00785FDF"/>
    <w:rsid w:val="007861DD"/>
    <w:rsid w:val="0078637A"/>
    <w:rsid w:val="007870AE"/>
    <w:rsid w:val="00787DB8"/>
    <w:rsid w:val="00791346"/>
    <w:rsid w:val="007914F2"/>
    <w:rsid w:val="00791C74"/>
    <w:rsid w:val="007921DB"/>
    <w:rsid w:val="00792FC8"/>
    <w:rsid w:val="0079332C"/>
    <w:rsid w:val="007933B5"/>
    <w:rsid w:val="00793779"/>
    <w:rsid w:val="007939A5"/>
    <w:rsid w:val="00793C73"/>
    <w:rsid w:val="00794347"/>
    <w:rsid w:val="007946C7"/>
    <w:rsid w:val="00795101"/>
    <w:rsid w:val="007953A7"/>
    <w:rsid w:val="00795BAD"/>
    <w:rsid w:val="00795C50"/>
    <w:rsid w:val="00796204"/>
    <w:rsid w:val="007964DB"/>
    <w:rsid w:val="00796774"/>
    <w:rsid w:val="007A08F2"/>
    <w:rsid w:val="007A199E"/>
    <w:rsid w:val="007A20D9"/>
    <w:rsid w:val="007A2589"/>
    <w:rsid w:val="007A2784"/>
    <w:rsid w:val="007A2A92"/>
    <w:rsid w:val="007A2AB6"/>
    <w:rsid w:val="007A4541"/>
    <w:rsid w:val="007A5B27"/>
    <w:rsid w:val="007A6113"/>
    <w:rsid w:val="007A63E9"/>
    <w:rsid w:val="007A6893"/>
    <w:rsid w:val="007A6C60"/>
    <w:rsid w:val="007A6F40"/>
    <w:rsid w:val="007A717E"/>
    <w:rsid w:val="007A719F"/>
    <w:rsid w:val="007A776D"/>
    <w:rsid w:val="007A7F26"/>
    <w:rsid w:val="007B005A"/>
    <w:rsid w:val="007B0DE4"/>
    <w:rsid w:val="007B16F8"/>
    <w:rsid w:val="007B180A"/>
    <w:rsid w:val="007B1D1B"/>
    <w:rsid w:val="007B2440"/>
    <w:rsid w:val="007B4142"/>
    <w:rsid w:val="007B49CE"/>
    <w:rsid w:val="007B4F45"/>
    <w:rsid w:val="007B6032"/>
    <w:rsid w:val="007B6659"/>
    <w:rsid w:val="007B7089"/>
    <w:rsid w:val="007B7214"/>
    <w:rsid w:val="007B74CB"/>
    <w:rsid w:val="007B7A94"/>
    <w:rsid w:val="007B7FB1"/>
    <w:rsid w:val="007C06E8"/>
    <w:rsid w:val="007C1DD4"/>
    <w:rsid w:val="007C1E1A"/>
    <w:rsid w:val="007C2358"/>
    <w:rsid w:val="007C2FFB"/>
    <w:rsid w:val="007C347C"/>
    <w:rsid w:val="007C419C"/>
    <w:rsid w:val="007C47DA"/>
    <w:rsid w:val="007C4D02"/>
    <w:rsid w:val="007C4FCE"/>
    <w:rsid w:val="007C5F49"/>
    <w:rsid w:val="007C61CF"/>
    <w:rsid w:val="007C64EB"/>
    <w:rsid w:val="007C6E97"/>
    <w:rsid w:val="007C73F7"/>
    <w:rsid w:val="007C7401"/>
    <w:rsid w:val="007C78E5"/>
    <w:rsid w:val="007C7C12"/>
    <w:rsid w:val="007D14F3"/>
    <w:rsid w:val="007D1854"/>
    <w:rsid w:val="007D18CC"/>
    <w:rsid w:val="007D1C54"/>
    <w:rsid w:val="007D1ED0"/>
    <w:rsid w:val="007D1F1B"/>
    <w:rsid w:val="007D2ACF"/>
    <w:rsid w:val="007D2C04"/>
    <w:rsid w:val="007D3C48"/>
    <w:rsid w:val="007D3C74"/>
    <w:rsid w:val="007D3D9E"/>
    <w:rsid w:val="007D5C4A"/>
    <w:rsid w:val="007D5F7D"/>
    <w:rsid w:val="007D5FB5"/>
    <w:rsid w:val="007D75F9"/>
    <w:rsid w:val="007D7B7C"/>
    <w:rsid w:val="007D7C6F"/>
    <w:rsid w:val="007E012B"/>
    <w:rsid w:val="007E03DA"/>
    <w:rsid w:val="007E09D4"/>
    <w:rsid w:val="007E112A"/>
    <w:rsid w:val="007E1640"/>
    <w:rsid w:val="007E177B"/>
    <w:rsid w:val="007E1862"/>
    <w:rsid w:val="007E1976"/>
    <w:rsid w:val="007E25ED"/>
    <w:rsid w:val="007E28EB"/>
    <w:rsid w:val="007E2BC1"/>
    <w:rsid w:val="007E4361"/>
    <w:rsid w:val="007E44D1"/>
    <w:rsid w:val="007E4D26"/>
    <w:rsid w:val="007E5705"/>
    <w:rsid w:val="007E58F8"/>
    <w:rsid w:val="007E59A4"/>
    <w:rsid w:val="007E6CF7"/>
    <w:rsid w:val="007E76D9"/>
    <w:rsid w:val="007E780C"/>
    <w:rsid w:val="007F0225"/>
    <w:rsid w:val="007F172E"/>
    <w:rsid w:val="007F1E1C"/>
    <w:rsid w:val="007F26A2"/>
    <w:rsid w:val="007F4ACC"/>
    <w:rsid w:val="007F5898"/>
    <w:rsid w:val="007F599A"/>
    <w:rsid w:val="007F5E5D"/>
    <w:rsid w:val="007F60F6"/>
    <w:rsid w:val="007F7896"/>
    <w:rsid w:val="00800ABD"/>
    <w:rsid w:val="008010FE"/>
    <w:rsid w:val="008014B5"/>
    <w:rsid w:val="008025FA"/>
    <w:rsid w:val="0080260A"/>
    <w:rsid w:val="00802D9B"/>
    <w:rsid w:val="008034A4"/>
    <w:rsid w:val="008034AD"/>
    <w:rsid w:val="00804146"/>
    <w:rsid w:val="008046F9"/>
    <w:rsid w:val="008049E3"/>
    <w:rsid w:val="00804E69"/>
    <w:rsid w:val="00804E70"/>
    <w:rsid w:val="008055B4"/>
    <w:rsid w:val="00806C7B"/>
    <w:rsid w:val="008074F9"/>
    <w:rsid w:val="00807FE3"/>
    <w:rsid w:val="0081050A"/>
    <w:rsid w:val="00811105"/>
    <w:rsid w:val="00811B27"/>
    <w:rsid w:val="00812DBF"/>
    <w:rsid w:val="00813959"/>
    <w:rsid w:val="00815294"/>
    <w:rsid w:val="00815DAA"/>
    <w:rsid w:val="00815DE3"/>
    <w:rsid w:val="008164AE"/>
    <w:rsid w:val="00816CED"/>
    <w:rsid w:val="0081702D"/>
    <w:rsid w:val="008175D1"/>
    <w:rsid w:val="00817F2B"/>
    <w:rsid w:val="00820CE4"/>
    <w:rsid w:val="00821BF2"/>
    <w:rsid w:val="0082241B"/>
    <w:rsid w:val="00822785"/>
    <w:rsid w:val="00822BC7"/>
    <w:rsid w:val="00822E2F"/>
    <w:rsid w:val="00823BA4"/>
    <w:rsid w:val="00823E3C"/>
    <w:rsid w:val="00823E55"/>
    <w:rsid w:val="00824265"/>
    <w:rsid w:val="00824E8E"/>
    <w:rsid w:val="00824FBE"/>
    <w:rsid w:val="008252B7"/>
    <w:rsid w:val="0082586C"/>
    <w:rsid w:val="00825E3E"/>
    <w:rsid w:val="0083048F"/>
    <w:rsid w:val="00830A46"/>
    <w:rsid w:val="00831425"/>
    <w:rsid w:val="00831C41"/>
    <w:rsid w:val="00831FF6"/>
    <w:rsid w:val="0083250D"/>
    <w:rsid w:val="00832E03"/>
    <w:rsid w:val="00833B6A"/>
    <w:rsid w:val="0083507F"/>
    <w:rsid w:val="008363D0"/>
    <w:rsid w:val="00837326"/>
    <w:rsid w:val="00837A22"/>
    <w:rsid w:val="00837A9E"/>
    <w:rsid w:val="008402CB"/>
    <w:rsid w:val="00841144"/>
    <w:rsid w:val="0084148E"/>
    <w:rsid w:val="00842358"/>
    <w:rsid w:val="008429A5"/>
    <w:rsid w:val="00842C5C"/>
    <w:rsid w:val="008432AD"/>
    <w:rsid w:val="008432CB"/>
    <w:rsid w:val="00843778"/>
    <w:rsid w:val="008437E6"/>
    <w:rsid w:val="0084399D"/>
    <w:rsid w:val="00843AB3"/>
    <w:rsid w:val="00843B30"/>
    <w:rsid w:val="0084402E"/>
    <w:rsid w:val="008440E2"/>
    <w:rsid w:val="008446DE"/>
    <w:rsid w:val="00845899"/>
    <w:rsid w:val="00845D1E"/>
    <w:rsid w:val="00846868"/>
    <w:rsid w:val="0084705B"/>
    <w:rsid w:val="00847761"/>
    <w:rsid w:val="00847A6D"/>
    <w:rsid w:val="00851FC0"/>
    <w:rsid w:val="00852591"/>
    <w:rsid w:val="00852716"/>
    <w:rsid w:val="00852773"/>
    <w:rsid w:val="00852DBD"/>
    <w:rsid w:val="00853555"/>
    <w:rsid w:val="008536CC"/>
    <w:rsid w:val="00853EBA"/>
    <w:rsid w:val="0085480D"/>
    <w:rsid w:val="00854855"/>
    <w:rsid w:val="00854D15"/>
    <w:rsid w:val="00855E62"/>
    <w:rsid w:val="008564BC"/>
    <w:rsid w:val="00856BF4"/>
    <w:rsid w:val="00857106"/>
    <w:rsid w:val="00860C0F"/>
    <w:rsid w:val="00861CEB"/>
    <w:rsid w:val="008621F1"/>
    <w:rsid w:val="008630B3"/>
    <w:rsid w:val="00863C44"/>
    <w:rsid w:val="00863CAD"/>
    <w:rsid w:val="0086452B"/>
    <w:rsid w:val="00864825"/>
    <w:rsid w:val="00864C4A"/>
    <w:rsid w:val="00865007"/>
    <w:rsid w:val="0086680B"/>
    <w:rsid w:val="0087025C"/>
    <w:rsid w:val="0087036C"/>
    <w:rsid w:val="00871C59"/>
    <w:rsid w:val="00871D26"/>
    <w:rsid w:val="008727B5"/>
    <w:rsid w:val="008730E5"/>
    <w:rsid w:val="00873884"/>
    <w:rsid w:val="00874B4E"/>
    <w:rsid w:val="00874E2A"/>
    <w:rsid w:val="008753DE"/>
    <w:rsid w:val="00875729"/>
    <w:rsid w:val="00876281"/>
    <w:rsid w:val="0087742C"/>
    <w:rsid w:val="00877A9F"/>
    <w:rsid w:val="00881C43"/>
    <w:rsid w:val="0088221E"/>
    <w:rsid w:val="00883350"/>
    <w:rsid w:val="00883E17"/>
    <w:rsid w:val="00884371"/>
    <w:rsid w:val="008845A5"/>
    <w:rsid w:val="00884963"/>
    <w:rsid w:val="00885271"/>
    <w:rsid w:val="00885463"/>
    <w:rsid w:val="00886078"/>
    <w:rsid w:val="008860C1"/>
    <w:rsid w:val="00886B9D"/>
    <w:rsid w:val="00887B5D"/>
    <w:rsid w:val="00887BE4"/>
    <w:rsid w:val="0089128E"/>
    <w:rsid w:val="00891766"/>
    <w:rsid w:val="00891AD9"/>
    <w:rsid w:val="00891C99"/>
    <w:rsid w:val="00891FE7"/>
    <w:rsid w:val="00891FEE"/>
    <w:rsid w:val="00892533"/>
    <w:rsid w:val="00892B32"/>
    <w:rsid w:val="00892B77"/>
    <w:rsid w:val="00892BE2"/>
    <w:rsid w:val="00892DD4"/>
    <w:rsid w:val="00893568"/>
    <w:rsid w:val="00894794"/>
    <w:rsid w:val="00894842"/>
    <w:rsid w:val="00894BD1"/>
    <w:rsid w:val="00894C2A"/>
    <w:rsid w:val="00896265"/>
    <w:rsid w:val="00896F74"/>
    <w:rsid w:val="008976E3"/>
    <w:rsid w:val="008A04E0"/>
    <w:rsid w:val="008A07F0"/>
    <w:rsid w:val="008A111E"/>
    <w:rsid w:val="008A149F"/>
    <w:rsid w:val="008A16C5"/>
    <w:rsid w:val="008A1A8E"/>
    <w:rsid w:val="008A3BAD"/>
    <w:rsid w:val="008A4012"/>
    <w:rsid w:val="008A4479"/>
    <w:rsid w:val="008A468B"/>
    <w:rsid w:val="008A5583"/>
    <w:rsid w:val="008A5961"/>
    <w:rsid w:val="008A5F50"/>
    <w:rsid w:val="008A6253"/>
    <w:rsid w:val="008A6685"/>
    <w:rsid w:val="008A6D2B"/>
    <w:rsid w:val="008A72A9"/>
    <w:rsid w:val="008B0B2C"/>
    <w:rsid w:val="008B0BEB"/>
    <w:rsid w:val="008B0E03"/>
    <w:rsid w:val="008B1A5B"/>
    <w:rsid w:val="008B2792"/>
    <w:rsid w:val="008B296C"/>
    <w:rsid w:val="008B39F3"/>
    <w:rsid w:val="008B3D57"/>
    <w:rsid w:val="008B3FF2"/>
    <w:rsid w:val="008B418E"/>
    <w:rsid w:val="008B4596"/>
    <w:rsid w:val="008B46EF"/>
    <w:rsid w:val="008B4A44"/>
    <w:rsid w:val="008B4DF8"/>
    <w:rsid w:val="008B5018"/>
    <w:rsid w:val="008B5E04"/>
    <w:rsid w:val="008B647F"/>
    <w:rsid w:val="008B653B"/>
    <w:rsid w:val="008B6863"/>
    <w:rsid w:val="008B72E0"/>
    <w:rsid w:val="008B78A0"/>
    <w:rsid w:val="008C0C02"/>
    <w:rsid w:val="008C1D51"/>
    <w:rsid w:val="008C235D"/>
    <w:rsid w:val="008C2AE0"/>
    <w:rsid w:val="008C2F99"/>
    <w:rsid w:val="008C303B"/>
    <w:rsid w:val="008C3B36"/>
    <w:rsid w:val="008C48F3"/>
    <w:rsid w:val="008C4ABB"/>
    <w:rsid w:val="008C4BC6"/>
    <w:rsid w:val="008C513D"/>
    <w:rsid w:val="008C51C5"/>
    <w:rsid w:val="008C5C22"/>
    <w:rsid w:val="008C5E77"/>
    <w:rsid w:val="008C6417"/>
    <w:rsid w:val="008C6A66"/>
    <w:rsid w:val="008C6E0B"/>
    <w:rsid w:val="008C774E"/>
    <w:rsid w:val="008C793F"/>
    <w:rsid w:val="008D082C"/>
    <w:rsid w:val="008D0AE8"/>
    <w:rsid w:val="008D0FD8"/>
    <w:rsid w:val="008D1247"/>
    <w:rsid w:val="008D19B4"/>
    <w:rsid w:val="008D1A52"/>
    <w:rsid w:val="008D1C4D"/>
    <w:rsid w:val="008D1CCD"/>
    <w:rsid w:val="008D2031"/>
    <w:rsid w:val="008D217B"/>
    <w:rsid w:val="008D2826"/>
    <w:rsid w:val="008D3095"/>
    <w:rsid w:val="008D38BC"/>
    <w:rsid w:val="008D39F0"/>
    <w:rsid w:val="008D40F8"/>
    <w:rsid w:val="008D422F"/>
    <w:rsid w:val="008D4860"/>
    <w:rsid w:val="008D4959"/>
    <w:rsid w:val="008D4FE4"/>
    <w:rsid w:val="008D50AD"/>
    <w:rsid w:val="008D5D58"/>
    <w:rsid w:val="008D6ADF"/>
    <w:rsid w:val="008D6CB6"/>
    <w:rsid w:val="008D710E"/>
    <w:rsid w:val="008D76D9"/>
    <w:rsid w:val="008D7B8D"/>
    <w:rsid w:val="008D7DCF"/>
    <w:rsid w:val="008E02C6"/>
    <w:rsid w:val="008E0656"/>
    <w:rsid w:val="008E0A58"/>
    <w:rsid w:val="008E0B26"/>
    <w:rsid w:val="008E1007"/>
    <w:rsid w:val="008E120A"/>
    <w:rsid w:val="008E20CE"/>
    <w:rsid w:val="008E24E5"/>
    <w:rsid w:val="008E28EA"/>
    <w:rsid w:val="008E3C85"/>
    <w:rsid w:val="008E423D"/>
    <w:rsid w:val="008E52A3"/>
    <w:rsid w:val="008E58BC"/>
    <w:rsid w:val="008E5EC3"/>
    <w:rsid w:val="008E642A"/>
    <w:rsid w:val="008E72BA"/>
    <w:rsid w:val="008E755A"/>
    <w:rsid w:val="008E7A78"/>
    <w:rsid w:val="008F0479"/>
    <w:rsid w:val="008F0865"/>
    <w:rsid w:val="008F0DF5"/>
    <w:rsid w:val="008F1508"/>
    <w:rsid w:val="008F1654"/>
    <w:rsid w:val="008F1DB4"/>
    <w:rsid w:val="008F212B"/>
    <w:rsid w:val="008F24A4"/>
    <w:rsid w:val="008F2CF4"/>
    <w:rsid w:val="008F3BF5"/>
    <w:rsid w:val="008F3C1B"/>
    <w:rsid w:val="008F4118"/>
    <w:rsid w:val="008F426D"/>
    <w:rsid w:val="008F5D0B"/>
    <w:rsid w:val="008F6226"/>
    <w:rsid w:val="008F6C1D"/>
    <w:rsid w:val="008F7CEB"/>
    <w:rsid w:val="00900DBC"/>
    <w:rsid w:val="0090187B"/>
    <w:rsid w:val="009019A9"/>
    <w:rsid w:val="00901D7D"/>
    <w:rsid w:val="009027D6"/>
    <w:rsid w:val="0090291E"/>
    <w:rsid w:val="00902AAD"/>
    <w:rsid w:val="0090350D"/>
    <w:rsid w:val="009036E2"/>
    <w:rsid w:val="00903D9A"/>
    <w:rsid w:val="00903FA1"/>
    <w:rsid w:val="00904799"/>
    <w:rsid w:val="009048B5"/>
    <w:rsid w:val="00904ABE"/>
    <w:rsid w:val="00904B81"/>
    <w:rsid w:val="0090585D"/>
    <w:rsid w:val="00906CED"/>
    <w:rsid w:val="00906F88"/>
    <w:rsid w:val="00907565"/>
    <w:rsid w:val="00907754"/>
    <w:rsid w:val="0090785F"/>
    <w:rsid w:val="00907AB7"/>
    <w:rsid w:val="009102A4"/>
    <w:rsid w:val="0091087B"/>
    <w:rsid w:val="0091112D"/>
    <w:rsid w:val="009119C4"/>
    <w:rsid w:val="00911C56"/>
    <w:rsid w:val="009128CD"/>
    <w:rsid w:val="00912961"/>
    <w:rsid w:val="009135C9"/>
    <w:rsid w:val="00913D4E"/>
    <w:rsid w:val="00914B7A"/>
    <w:rsid w:val="00914CE3"/>
    <w:rsid w:val="0091573B"/>
    <w:rsid w:val="00915B86"/>
    <w:rsid w:val="0091628F"/>
    <w:rsid w:val="0091655A"/>
    <w:rsid w:val="00917537"/>
    <w:rsid w:val="0091770A"/>
    <w:rsid w:val="0091776C"/>
    <w:rsid w:val="00917DE4"/>
    <w:rsid w:val="00920241"/>
    <w:rsid w:val="00920755"/>
    <w:rsid w:val="009212A2"/>
    <w:rsid w:val="00922FED"/>
    <w:rsid w:val="0092317C"/>
    <w:rsid w:val="009242FD"/>
    <w:rsid w:val="00925134"/>
    <w:rsid w:val="00925726"/>
    <w:rsid w:val="00925B69"/>
    <w:rsid w:val="00926212"/>
    <w:rsid w:val="00926238"/>
    <w:rsid w:val="009262E5"/>
    <w:rsid w:val="009272DD"/>
    <w:rsid w:val="009275A4"/>
    <w:rsid w:val="0092788B"/>
    <w:rsid w:val="00927CB3"/>
    <w:rsid w:val="0093129B"/>
    <w:rsid w:val="00931847"/>
    <w:rsid w:val="00931CF5"/>
    <w:rsid w:val="009322BE"/>
    <w:rsid w:val="009327DE"/>
    <w:rsid w:val="00933954"/>
    <w:rsid w:val="009344E6"/>
    <w:rsid w:val="009346F2"/>
    <w:rsid w:val="00934A8C"/>
    <w:rsid w:val="00934D5E"/>
    <w:rsid w:val="0093561C"/>
    <w:rsid w:val="00935888"/>
    <w:rsid w:val="00935AE9"/>
    <w:rsid w:val="00935E06"/>
    <w:rsid w:val="00935F31"/>
    <w:rsid w:val="009360AF"/>
    <w:rsid w:val="00936738"/>
    <w:rsid w:val="009373F3"/>
    <w:rsid w:val="009408A5"/>
    <w:rsid w:val="00940983"/>
    <w:rsid w:val="00941165"/>
    <w:rsid w:val="00941218"/>
    <w:rsid w:val="0094174A"/>
    <w:rsid w:val="00941B52"/>
    <w:rsid w:val="00941C16"/>
    <w:rsid w:val="00942F6E"/>
    <w:rsid w:val="0094305D"/>
    <w:rsid w:val="009438F3"/>
    <w:rsid w:val="0094392B"/>
    <w:rsid w:val="00943B37"/>
    <w:rsid w:val="0094583F"/>
    <w:rsid w:val="009463E9"/>
    <w:rsid w:val="009470A1"/>
    <w:rsid w:val="0094798D"/>
    <w:rsid w:val="00950777"/>
    <w:rsid w:val="0095077D"/>
    <w:rsid w:val="009507B3"/>
    <w:rsid w:val="0095141E"/>
    <w:rsid w:val="009515CF"/>
    <w:rsid w:val="00952541"/>
    <w:rsid w:val="009527CD"/>
    <w:rsid w:val="009528F0"/>
    <w:rsid w:val="009529D9"/>
    <w:rsid w:val="00952A8F"/>
    <w:rsid w:val="00952B9B"/>
    <w:rsid w:val="00952C76"/>
    <w:rsid w:val="00954209"/>
    <w:rsid w:val="009546E7"/>
    <w:rsid w:val="00955016"/>
    <w:rsid w:val="00955301"/>
    <w:rsid w:val="00955583"/>
    <w:rsid w:val="00955B32"/>
    <w:rsid w:val="00955BCB"/>
    <w:rsid w:val="00956CF7"/>
    <w:rsid w:val="00960563"/>
    <w:rsid w:val="00961593"/>
    <w:rsid w:val="009616B2"/>
    <w:rsid w:val="00962B9F"/>
    <w:rsid w:val="00962ECE"/>
    <w:rsid w:val="0096342D"/>
    <w:rsid w:val="009661DD"/>
    <w:rsid w:val="00966297"/>
    <w:rsid w:val="00966839"/>
    <w:rsid w:val="0096689F"/>
    <w:rsid w:val="00967190"/>
    <w:rsid w:val="009678DA"/>
    <w:rsid w:val="0096792F"/>
    <w:rsid w:val="00967C79"/>
    <w:rsid w:val="00967D40"/>
    <w:rsid w:val="0097007B"/>
    <w:rsid w:val="009706C2"/>
    <w:rsid w:val="00971406"/>
    <w:rsid w:val="009728FF"/>
    <w:rsid w:val="00972A89"/>
    <w:rsid w:val="0097369E"/>
    <w:rsid w:val="009739C8"/>
    <w:rsid w:val="00973F71"/>
    <w:rsid w:val="009741D7"/>
    <w:rsid w:val="00974B91"/>
    <w:rsid w:val="00975937"/>
    <w:rsid w:val="00975941"/>
    <w:rsid w:val="00975A0F"/>
    <w:rsid w:val="009765C0"/>
    <w:rsid w:val="00976B08"/>
    <w:rsid w:val="00977EAC"/>
    <w:rsid w:val="009804FE"/>
    <w:rsid w:val="009810B5"/>
    <w:rsid w:val="0098364F"/>
    <w:rsid w:val="00984243"/>
    <w:rsid w:val="00984476"/>
    <w:rsid w:val="00985BC3"/>
    <w:rsid w:val="00985DE6"/>
    <w:rsid w:val="00986ADD"/>
    <w:rsid w:val="00986D0B"/>
    <w:rsid w:val="009870D7"/>
    <w:rsid w:val="00987256"/>
    <w:rsid w:val="009874C1"/>
    <w:rsid w:val="0099004E"/>
    <w:rsid w:val="0099032F"/>
    <w:rsid w:val="009903D0"/>
    <w:rsid w:val="00990665"/>
    <w:rsid w:val="00990A0D"/>
    <w:rsid w:val="00990B2F"/>
    <w:rsid w:val="00991C1A"/>
    <w:rsid w:val="00991CC0"/>
    <w:rsid w:val="00992E8A"/>
    <w:rsid w:val="00992F21"/>
    <w:rsid w:val="00993634"/>
    <w:rsid w:val="0099374E"/>
    <w:rsid w:val="00993C3C"/>
    <w:rsid w:val="00994546"/>
    <w:rsid w:val="009950D7"/>
    <w:rsid w:val="0099513A"/>
    <w:rsid w:val="00995191"/>
    <w:rsid w:val="00995EBF"/>
    <w:rsid w:val="00995FD5"/>
    <w:rsid w:val="00996087"/>
    <w:rsid w:val="0099781A"/>
    <w:rsid w:val="00997E43"/>
    <w:rsid w:val="009A15D9"/>
    <w:rsid w:val="009A273A"/>
    <w:rsid w:val="009A2A5F"/>
    <w:rsid w:val="009A2C96"/>
    <w:rsid w:val="009A41A0"/>
    <w:rsid w:val="009A43AE"/>
    <w:rsid w:val="009A460C"/>
    <w:rsid w:val="009A4900"/>
    <w:rsid w:val="009A4AB3"/>
    <w:rsid w:val="009A531D"/>
    <w:rsid w:val="009A62AE"/>
    <w:rsid w:val="009A62ED"/>
    <w:rsid w:val="009A72B0"/>
    <w:rsid w:val="009A75F2"/>
    <w:rsid w:val="009A78BB"/>
    <w:rsid w:val="009A7ABF"/>
    <w:rsid w:val="009B0860"/>
    <w:rsid w:val="009B095A"/>
    <w:rsid w:val="009B0A3B"/>
    <w:rsid w:val="009B0C43"/>
    <w:rsid w:val="009B0F8B"/>
    <w:rsid w:val="009B2831"/>
    <w:rsid w:val="009B31C4"/>
    <w:rsid w:val="009B3E4A"/>
    <w:rsid w:val="009B3FF5"/>
    <w:rsid w:val="009B4346"/>
    <w:rsid w:val="009B4A3A"/>
    <w:rsid w:val="009B4E8A"/>
    <w:rsid w:val="009B4FA1"/>
    <w:rsid w:val="009B5E58"/>
    <w:rsid w:val="009B70D9"/>
    <w:rsid w:val="009B71A5"/>
    <w:rsid w:val="009B7260"/>
    <w:rsid w:val="009B765B"/>
    <w:rsid w:val="009C13A2"/>
    <w:rsid w:val="009C19CB"/>
    <w:rsid w:val="009C1A48"/>
    <w:rsid w:val="009C26B6"/>
    <w:rsid w:val="009C2D21"/>
    <w:rsid w:val="009C3821"/>
    <w:rsid w:val="009C39D3"/>
    <w:rsid w:val="009C48F4"/>
    <w:rsid w:val="009C492C"/>
    <w:rsid w:val="009C5011"/>
    <w:rsid w:val="009C52D5"/>
    <w:rsid w:val="009C548A"/>
    <w:rsid w:val="009C5717"/>
    <w:rsid w:val="009C5E21"/>
    <w:rsid w:val="009C6E13"/>
    <w:rsid w:val="009C7CDE"/>
    <w:rsid w:val="009D12D8"/>
    <w:rsid w:val="009D1343"/>
    <w:rsid w:val="009D144B"/>
    <w:rsid w:val="009D23E0"/>
    <w:rsid w:val="009D2F20"/>
    <w:rsid w:val="009D3E47"/>
    <w:rsid w:val="009D417B"/>
    <w:rsid w:val="009D47F4"/>
    <w:rsid w:val="009D577F"/>
    <w:rsid w:val="009D5EDF"/>
    <w:rsid w:val="009D679A"/>
    <w:rsid w:val="009E0FB0"/>
    <w:rsid w:val="009E1129"/>
    <w:rsid w:val="009E12B8"/>
    <w:rsid w:val="009E15F3"/>
    <w:rsid w:val="009E1B96"/>
    <w:rsid w:val="009E1D9F"/>
    <w:rsid w:val="009E1F5B"/>
    <w:rsid w:val="009E20B1"/>
    <w:rsid w:val="009E26CC"/>
    <w:rsid w:val="009E3903"/>
    <w:rsid w:val="009E3ACC"/>
    <w:rsid w:val="009E3F29"/>
    <w:rsid w:val="009E6AF0"/>
    <w:rsid w:val="009E7556"/>
    <w:rsid w:val="009E7D9F"/>
    <w:rsid w:val="009E7EBE"/>
    <w:rsid w:val="009F0A14"/>
    <w:rsid w:val="009F165E"/>
    <w:rsid w:val="009F1803"/>
    <w:rsid w:val="009F1EDA"/>
    <w:rsid w:val="009F359A"/>
    <w:rsid w:val="009F42BA"/>
    <w:rsid w:val="009F5E22"/>
    <w:rsid w:val="009F5E6F"/>
    <w:rsid w:val="009F664F"/>
    <w:rsid w:val="009F67C5"/>
    <w:rsid w:val="009F6B91"/>
    <w:rsid w:val="009F6CAF"/>
    <w:rsid w:val="009F6CF6"/>
    <w:rsid w:val="009F6D1B"/>
    <w:rsid w:val="009F71C5"/>
    <w:rsid w:val="009F7D99"/>
    <w:rsid w:val="00A00BF1"/>
    <w:rsid w:val="00A010B1"/>
    <w:rsid w:val="00A012D6"/>
    <w:rsid w:val="00A017AF"/>
    <w:rsid w:val="00A019BB"/>
    <w:rsid w:val="00A019F3"/>
    <w:rsid w:val="00A01FCB"/>
    <w:rsid w:val="00A022BF"/>
    <w:rsid w:val="00A02B9E"/>
    <w:rsid w:val="00A02C36"/>
    <w:rsid w:val="00A04412"/>
    <w:rsid w:val="00A05741"/>
    <w:rsid w:val="00A0590E"/>
    <w:rsid w:val="00A05EE4"/>
    <w:rsid w:val="00A061C7"/>
    <w:rsid w:val="00A06350"/>
    <w:rsid w:val="00A06533"/>
    <w:rsid w:val="00A0789C"/>
    <w:rsid w:val="00A10930"/>
    <w:rsid w:val="00A10CD4"/>
    <w:rsid w:val="00A10D2E"/>
    <w:rsid w:val="00A115E2"/>
    <w:rsid w:val="00A11621"/>
    <w:rsid w:val="00A12C68"/>
    <w:rsid w:val="00A13A09"/>
    <w:rsid w:val="00A142BD"/>
    <w:rsid w:val="00A149E2"/>
    <w:rsid w:val="00A15069"/>
    <w:rsid w:val="00A1531C"/>
    <w:rsid w:val="00A16130"/>
    <w:rsid w:val="00A1627A"/>
    <w:rsid w:val="00A16323"/>
    <w:rsid w:val="00A1634C"/>
    <w:rsid w:val="00A164C0"/>
    <w:rsid w:val="00A16642"/>
    <w:rsid w:val="00A17561"/>
    <w:rsid w:val="00A20235"/>
    <w:rsid w:val="00A206A1"/>
    <w:rsid w:val="00A218D3"/>
    <w:rsid w:val="00A21C1D"/>
    <w:rsid w:val="00A21FC3"/>
    <w:rsid w:val="00A228DA"/>
    <w:rsid w:val="00A22F85"/>
    <w:rsid w:val="00A23A82"/>
    <w:rsid w:val="00A24058"/>
    <w:rsid w:val="00A24B97"/>
    <w:rsid w:val="00A24D20"/>
    <w:rsid w:val="00A25231"/>
    <w:rsid w:val="00A260C0"/>
    <w:rsid w:val="00A2653F"/>
    <w:rsid w:val="00A272FB"/>
    <w:rsid w:val="00A2765D"/>
    <w:rsid w:val="00A27CF6"/>
    <w:rsid w:val="00A30DF1"/>
    <w:rsid w:val="00A3109A"/>
    <w:rsid w:val="00A3213F"/>
    <w:rsid w:val="00A32578"/>
    <w:rsid w:val="00A32DF6"/>
    <w:rsid w:val="00A32E6F"/>
    <w:rsid w:val="00A3304D"/>
    <w:rsid w:val="00A3320D"/>
    <w:rsid w:val="00A342BE"/>
    <w:rsid w:val="00A34DFC"/>
    <w:rsid w:val="00A35828"/>
    <w:rsid w:val="00A35875"/>
    <w:rsid w:val="00A35A8E"/>
    <w:rsid w:val="00A35B60"/>
    <w:rsid w:val="00A3754A"/>
    <w:rsid w:val="00A412AB"/>
    <w:rsid w:val="00A41CC2"/>
    <w:rsid w:val="00A42538"/>
    <w:rsid w:val="00A4299D"/>
    <w:rsid w:val="00A43078"/>
    <w:rsid w:val="00A439B1"/>
    <w:rsid w:val="00A4445B"/>
    <w:rsid w:val="00A449CD"/>
    <w:rsid w:val="00A44E9B"/>
    <w:rsid w:val="00A4505B"/>
    <w:rsid w:val="00A459EB"/>
    <w:rsid w:val="00A45B09"/>
    <w:rsid w:val="00A463E9"/>
    <w:rsid w:val="00A4684E"/>
    <w:rsid w:val="00A46B9F"/>
    <w:rsid w:val="00A5094F"/>
    <w:rsid w:val="00A50E58"/>
    <w:rsid w:val="00A51230"/>
    <w:rsid w:val="00A514D2"/>
    <w:rsid w:val="00A534DF"/>
    <w:rsid w:val="00A53801"/>
    <w:rsid w:val="00A53F1C"/>
    <w:rsid w:val="00A541BE"/>
    <w:rsid w:val="00A545D0"/>
    <w:rsid w:val="00A54DA0"/>
    <w:rsid w:val="00A54F0D"/>
    <w:rsid w:val="00A555BD"/>
    <w:rsid w:val="00A55892"/>
    <w:rsid w:val="00A566CE"/>
    <w:rsid w:val="00A57476"/>
    <w:rsid w:val="00A57B4C"/>
    <w:rsid w:val="00A601DD"/>
    <w:rsid w:val="00A6046D"/>
    <w:rsid w:val="00A60995"/>
    <w:rsid w:val="00A60A86"/>
    <w:rsid w:val="00A60C75"/>
    <w:rsid w:val="00A60F30"/>
    <w:rsid w:val="00A61267"/>
    <w:rsid w:val="00A6132E"/>
    <w:rsid w:val="00A61486"/>
    <w:rsid w:val="00A61FF0"/>
    <w:rsid w:val="00A629C4"/>
    <w:rsid w:val="00A62A09"/>
    <w:rsid w:val="00A62D7A"/>
    <w:rsid w:val="00A63B3F"/>
    <w:rsid w:val="00A643F4"/>
    <w:rsid w:val="00A65580"/>
    <w:rsid w:val="00A6622C"/>
    <w:rsid w:val="00A6669D"/>
    <w:rsid w:val="00A67749"/>
    <w:rsid w:val="00A67D2A"/>
    <w:rsid w:val="00A70EE3"/>
    <w:rsid w:val="00A70EF5"/>
    <w:rsid w:val="00A7193B"/>
    <w:rsid w:val="00A71D5D"/>
    <w:rsid w:val="00A71E34"/>
    <w:rsid w:val="00A7201F"/>
    <w:rsid w:val="00A72062"/>
    <w:rsid w:val="00A72674"/>
    <w:rsid w:val="00A72CEF"/>
    <w:rsid w:val="00A74C36"/>
    <w:rsid w:val="00A75F7E"/>
    <w:rsid w:val="00A76137"/>
    <w:rsid w:val="00A76148"/>
    <w:rsid w:val="00A76737"/>
    <w:rsid w:val="00A76AC7"/>
    <w:rsid w:val="00A76E83"/>
    <w:rsid w:val="00A7764B"/>
    <w:rsid w:val="00A7766A"/>
    <w:rsid w:val="00A77730"/>
    <w:rsid w:val="00A808D0"/>
    <w:rsid w:val="00A8104A"/>
    <w:rsid w:val="00A83078"/>
    <w:rsid w:val="00A8347A"/>
    <w:rsid w:val="00A83610"/>
    <w:rsid w:val="00A8413D"/>
    <w:rsid w:val="00A84A8F"/>
    <w:rsid w:val="00A84B79"/>
    <w:rsid w:val="00A84DAD"/>
    <w:rsid w:val="00A84DF9"/>
    <w:rsid w:val="00A85038"/>
    <w:rsid w:val="00A85211"/>
    <w:rsid w:val="00A85B98"/>
    <w:rsid w:val="00A85E51"/>
    <w:rsid w:val="00A864BD"/>
    <w:rsid w:val="00A9080E"/>
    <w:rsid w:val="00A90B3B"/>
    <w:rsid w:val="00A91098"/>
    <w:rsid w:val="00A9178C"/>
    <w:rsid w:val="00A91FF4"/>
    <w:rsid w:val="00A9317C"/>
    <w:rsid w:val="00A93496"/>
    <w:rsid w:val="00A935E7"/>
    <w:rsid w:val="00A937FF"/>
    <w:rsid w:val="00A93C45"/>
    <w:rsid w:val="00A93DCD"/>
    <w:rsid w:val="00A942DB"/>
    <w:rsid w:val="00A9457C"/>
    <w:rsid w:val="00A94884"/>
    <w:rsid w:val="00A95379"/>
    <w:rsid w:val="00A958DA"/>
    <w:rsid w:val="00A959A7"/>
    <w:rsid w:val="00A95F14"/>
    <w:rsid w:val="00A967C0"/>
    <w:rsid w:val="00A97430"/>
    <w:rsid w:val="00A97436"/>
    <w:rsid w:val="00A9794F"/>
    <w:rsid w:val="00A97D24"/>
    <w:rsid w:val="00AA052E"/>
    <w:rsid w:val="00AA08FB"/>
    <w:rsid w:val="00AA1A2D"/>
    <w:rsid w:val="00AA1B40"/>
    <w:rsid w:val="00AA2215"/>
    <w:rsid w:val="00AA23D0"/>
    <w:rsid w:val="00AA26AE"/>
    <w:rsid w:val="00AA3482"/>
    <w:rsid w:val="00AA3FCF"/>
    <w:rsid w:val="00AA4B36"/>
    <w:rsid w:val="00AA4F1C"/>
    <w:rsid w:val="00AA5196"/>
    <w:rsid w:val="00AA58B8"/>
    <w:rsid w:val="00AA60D2"/>
    <w:rsid w:val="00AA628B"/>
    <w:rsid w:val="00AA66E3"/>
    <w:rsid w:val="00AA6A57"/>
    <w:rsid w:val="00AA7248"/>
    <w:rsid w:val="00AA74C9"/>
    <w:rsid w:val="00AA79ED"/>
    <w:rsid w:val="00AA7D77"/>
    <w:rsid w:val="00AA7F33"/>
    <w:rsid w:val="00AB065F"/>
    <w:rsid w:val="00AB07AD"/>
    <w:rsid w:val="00AB0984"/>
    <w:rsid w:val="00AB0A5B"/>
    <w:rsid w:val="00AB0BB5"/>
    <w:rsid w:val="00AB1028"/>
    <w:rsid w:val="00AB23CE"/>
    <w:rsid w:val="00AB2B8C"/>
    <w:rsid w:val="00AB3887"/>
    <w:rsid w:val="00AB3AF4"/>
    <w:rsid w:val="00AB46D4"/>
    <w:rsid w:val="00AB4843"/>
    <w:rsid w:val="00AB520D"/>
    <w:rsid w:val="00AB5FD2"/>
    <w:rsid w:val="00AB62FF"/>
    <w:rsid w:val="00AB762F"/>
    <w:rsid w:val="00AB7DD9"/>
    <w:rsid w:val="00AC0FB4"/>
    <w:rsid w:val="00AC14D6"/>
    <w:rsid w:val="00AC197B"/>
    <w:rsid w:val="00AC2404"/>
    <w:rsid w:val="00AC31BF"/>
    <w:rsid w:val="00AC34BF"/>
    <w:rsid w:val="00AC3E35"/>
    <w:rsid w:val="00AC44CF"/>
    <w:rsid w:val="00AC47C5"/>
    <w:rsid w:val="00AC5141"/>
    <w:rsid w:val="00AC569D"/>
    <w:rsid w:val="00AC5C44"/>
    <w:rsid w:val="00AC6236"/>
    <w:rsid w:val="00AC7556"/>
    <w:rsid w:val="00AC7C46"/>
    <w:rsid w:val="00AD10A6"/>
    <w:rsid w:val="00AD10B4"/>
    <w:rsid w:val="00AD28AF"/>
    <w:rsid w:val="00AD2934"/>
    <w:rsid w:val="00AD3448"/>
    <w:rsid w:val="00AD41CF"/>
    <w:rsid w:val="00AD4614"/>
    <w:rsid w:val="00AD4949"/>
    <w:rsid w:val="00AD4AB4"/>
    <w:rsid w:val="00AD4E7E"/>
    <w:rsid w:val="00AD4F5D"/>
    <w:rsid w:val="00AD7AF1"/>
    <w:rsid w:val="00AE02F2"/>
    <w:rsid w:val="00AE0978"/>
    <w:rsid w:val="00AE0A89"/>
    <w:rsid w:val="00AE11B2"/>
    <w:rsid w:val="00AE2CCB"/>
    <w:rsid w:val="00AE3580"/>
    <w:rsid w:val="00AE3F51"/>
    <w:rsid w:val="00AE405A"/>
    <w:rsid w:val="00AE7931"/>
    <w:rsid w:val="00AE7C8D"/>
    <w:rsid w:val="00AF1184"/>
    <w:rsid w:val="00AF2193"/>
    <w:rsid w:val="00AF2432"/>
    <w:rsid w:val="00AF24D4"/>
    <w:rsid w:val="00AF293E"/>
    <w:rsid w:val="00AF29BF"/>
    <w:rsid w:val="00AF35E2"/>
    <w:rsid w:val="00AF37C1"/>
    <w:rsid w:val="00AF3FF9"/>
    <w:rsid w:val="00AF5486"/>
    <w:rsid w:val="00AF6189"/>
    <w:rsid w:val="00AF69C3"/>
    <w:rsid w:val="00AF706C"/>
    <w:rsid w:val="00AF7379"/>
    <w:rsid w:val="00AF78E1"/>
    <w:rsid w:val="00AF79B1"/>
    <w:rsid w:val="00B00C25"/>
    <w:rsid w:val="00B015AB"/>
    <w:rsid w:val="00B01613"/>
    <w:rsid w:val="00B018DF"/>
    <w:rsid w:val="00B026AC"/>
    <w:rsid w:val="00B029F0"/>
    <w:rsid w:val="00B02AF0"/>
    <w:rsid w:val="00B04739"/>
    <w:rsid w:val="00B05708"/>
    <w:rsid w:val="00B05F5B"/>
    <w:rsid w:val="00B0789E"/>
    <w:rsid w:val="00B079C1"/>
    <w:rsid w:val="00B07D88"/>
    <w:rsid w:val="00B1017A"/>
    <w:rsid w:val="00B10AC8"/>
    <w:rsid w:val="00B10D13"/>
    <w:rsid w:val="00B10DD9"/>
    <w:rsid w:val="00B1151C"/>
    <w:rsid w:val="00B11632"/>
    <w:rsid w:val="00B131A8"/>
    <w:rsid w:val="00B1347C"/>
    <w:rsid w:val="00B14076"/>
    <w:rsid w:val="00B145F8"/>
    <w:rsid w:val="00B15046"/>
    <w:rsid w:val="00B15525"/>
    <w:rsid w:val="00B15CF8"/>
    <w:rsid w:val="00B16848"/>
    <w:rsid w:val="00B17429"/>
    <w:rsid w:val="00B175B9"/>
    <w:rsid w:val="00B178C1"/>
    <w:rsid w:val="00B17D5B"/>
    <w:rsid w:val="00B202B8"/>
    <w:rsid w:val="00B203F6"/>
    <w:rsid w:val="00B20992"/>
    <w:rsid w:val="00B20D82"/>
    <w:rsid w:val="00B232B5"/>
    <w:rsid w:val="00B237F1"/>
    <w:rsid w:val="00B239D0"/>
    <w:rsid w:val="00B23BBE"/>
    <w:rsid w:val="00B24148"/>
    <w:rsid w:val="00B24973"/>
    <w:rsid w:val="00B25ED2"/>
    <w:rsid w:val="00B25F59"/>
    <w:rsid w:val="00B30EBA"/>
    <w:rsid w:val="00B315DC"/>
    <w:rsid w:val="00B31C5F"/>
    <w:rsid w:val="00B32632"/>
    <w:rsid w:val="00B32745"/>
    <w:rsid w:val="00B32838"/>
    <w:rsid w:val="00B328CA"/>
    <w:rsid w:val="00B32D23"/>
    <w:rsid w:val="00B332F8"/>
    <w:rsid w:val="00B3344A"/>
    <w:rsid w:val="00B3391A"/>
    <w:rsid w:val="00B343D2"/>
    <w:rsid w:val="00B34FBB"/>
    <w:rsid w:val="00B35FD8"/>
    <w:rsid w:val="00B36577"/>
    <w:rsid w:val="00B3752E"/>
    <w:rsid w:val="00B4029F"/>
    <w:rsid w:val="00B40AFD"/>
    <w:rsid w:val="00B40CAA"/>
    <w:rsid w:val="00B41544"/>
    <w:rsid w:val="00B41966"/>
    <w:rsid w:val="00B4255B"/>
    <w:rsid w:val="00B42AAF"/>
    <w:rsid w:val="00B46AD4"/>
    <w:rsid w:val="00B47150"/>
    <w:rsid w:val="00B471F2"/>
    <w:rsid w:val="00B47231"/>
    <w:rsid w:val="00B47F0B"/>
    <w:rsid w:val="00B508D8"/>
    <w:rsid w:val="00B50FCC"/>
    <w:rsid w:val="00B517C0"/>
    <w:rsid w:val="00B519CE"/>
    <w:rsid w:val="00B52ADD"/>
    <w:rsid w:val="00B52D00"/>
    <w:rsid w:val="00B52D7F"/>
    <w:rsid w:val="00B5327F"/>
    <w:rsid w:val="00B5689D"/>
    <w:rsid w:val="00B56E0E"/>
    <w:rsid w:val="00B578A5"/>
    <w:rsid w:val="00B5792E"/>
    <w:rsid w:val="00B57990"/>
    <w:rsid w:val="00B60830"/>
    <w:rsid w:val="00B60E6A"/>
    <w:rsid w:val="00B60EDE"/>
    <w:rsid w:val="00B61510"/>
    <w:rsid w:val="00B61ADF"/>
    <w:rsid w:val="00B61DDE"/>
    <w:rsid w:val="00B62050"/>
    <w:rsid w:val="00B62289"/>
    <w:rsid w:val="00B627CC"/>
    <w:rsid w:val="00B6287B"/>
    <w:rsid w:val="00B63CAA"/>
    <w:rsid w:val="00B63CDB"/>
    <w:rsid w:val="00B64208"/>
    <w:rsid w:val="00B64649"/>
    <w:rsid w:val="00B64E76"/>
    <w:rsid w:val="00B65170"/>
    <w:rsid w:val="00B65900"/>
    <w:rsid w:val="00B65941"/>
    <w:rsid w:val="00B65B75"/>
    <w:rsid w:val="00B65EF7"/>
    <w:rsid w:val="00B663B4"/>
    <w:rsid w:val="00B666B0"/>
    <w:rsid w:val="00B67194"/>
    <w:rsid w:val="00B67571"/>
    <w:rsid w:val="00B67882"/>
    <w:rsid w:val="00B67993"/>
    <w:rsid w:val="00B67AFF"/>
    <w:rsid w:val="00B704A4"/>
    <w:rsid w:val="00B7067E"/>
    <w:rsid w:val="00B70BF9"/>
    <w:rsid w:val="00B71705"/>
    <w:rsid w:val="00B71E60"/>
    <w:rsid w:val="00B72661"/>
    <w:rsid w:val="00B72B05"/>
    <w:rsid w:val="00B7400E"/>
    <w:rsid w:val="00B7480E"/>
    <w:rsid w:val="00B75214"/>
    <w:rsid w:val="00B75EDE"/>
    <w:rsid w:val="00B7604D"/>
    <w:rsid w:val="00B763C7"/>
    <w:rsid w:val="00B76CA2"/>
    <w:rsid w:val="00B775E6"/>
    <w:rsid w:val="00B77DE3"/>
    <w:rsid w:val="00B77FEA"/>
    <w:rsid w:val="00B80ACF"/>
    <w:rsid w:val="00B818FB"/>
    <w:rsid w:val="00B81B92"/>
    <w:rsid w:val="00B830BE"/>
    <w:rsid w:val="00B836D4"/>
    <w:rsid w:val="00B83760"/>
    <w:rsid w:val="00B839E7"/>
    <w:rsid w:val="00B84379"/>
    <w:rsid w:val="00B85089"/>
    <w:rsid w:val="00B85564"/>
    <w:rsid w:val="00B86A10"/>
    <w:rsid w:val="00B86A65"/>
    <w:rsid w:val="00B86A94"/>
    <w:rsid w:val="00B86D24"/>
    <w:rsid w:val="00B86D34"/>
    <w:rsid w:val="00B871A5"/>
    <w:rsid w:val="00B87CA4"/>
    <w:rsid w:val="00B9027B"/>
    <w:rsid w:val="00B904C7"/>
    <w:rsid w:val="00B91003"/>
    <w:rsid w:val="00B91D74"/>
    <w:rsid w:val="00B91EFE"/>
    <w:rsid w:val="00B921CD"/>
    <w:rsid w:val="00B9277D"/>
    <w:rsid w:val="00B92CD5"/>
    <w:rsid w:val="00B92DFB"/>
    <w:rsid w:val="00B93706"/>
    <w:rsid w:val="00B94F57"/>
    <w:rsid w:val="00B95AEC"/>
    <w:rsid w:val="00B95E42"/>
    <w:rsid w:val="00B95FFC"/>
    <w:rsid w:val="00B96B15"/>
    <w:rsid w:val="00B972A1"/>
    <w:rsid w:val="00B97F40"/>
    <w:rsid w:val="00BA0992"/>
    <w:rsid w:val="00BA0D2C"/>
    <w:rsid w:val="00BA0DE4"/>
    <w:rsid w:val="00BA151F"/>
    <w:rsid w:val="00BA1675"/>
    <w:rsid w:val="00BA1796"/>
    <w:rsid w:val="00BA2DDD"/>
    <w:rsid w:val="00BA3C31"/>
    <w:rsid w:val="00BA48C9"/>
    <w:rsid w:val="00BA497D"/>
    <w:rsid w:val="00BA5684"/>
    <w:rsid w:val="00BA6357"/>
    <w:rsid w:val="00BA6363"/>
    <w:rsid w:val="00BA6C2D"/>
    <w:rsid w:val="00BA70AB"/>
    <w:rsid w:val="00BA70DD"/>
    <w:rsid w:val="00BA7390"/>
    <w:rsid w:val="00BB0234"/>
    <w:rsid w:val="00BB09E6"/>
    <w:rsid w:val="00BB0C22"/>
    <w:rsid w:val="00BB1A40"/>
    <w:rsid w:val="00BB1AC8"/>
    <w:rsid w:val="00BB1EF5"/>
    <w:rsid w:val="00BB21C7"/>
    <w:rsid w:val="00BB23A2"/>
    <w:rsid w:val="00BB2E66"/>
    <w:rsid w:val="00BB30EC"/>
    <w:rsid w:val="00BB38CB"/>
    <w:rsid w:val="00BB4D03"/>
    <w:rsid w:val="00BB519E"/>
    <w:rsid w:val="00BB5300"/>
    <w:rsid w:val="00BB6066"/>
    <w:rsid w:val="00BB6AFE"/>
    <w:rsid w:val="00BB6CBA"/>
    <w:rsid w:val="00BB6E9D"/>
    <w:rsid w:val="00BB79C3"/>
    <w:rsid w:val="00BC007B"/>
    <w:rsid w:val="00BC074B"/>
    <w:rsid w:val="00BC0EFE"/>
    <w:rsid w:val="00BC2B26"/>
    <w:rsid w:val="00BC2D5D"/>
    <w:rsid w:val="00BC4000"/>
    <w:rsid w:val="00BC4024"/>
    <w:rsid w:val="00BC4812"/>
    <w:rsid w:val="00BC5BC0"/>
    <w:rsid w:val="00BC6DD7"/>
    <w:rsid w:val="00BD1A81"/>
    <w:rsid w:val="00BD1D34"/>
    <w:rsid w:val="00BD1D3F"/>
    <w:rsid w:val="00BD1EE8"/>
    <w:rsid w:val="00BD25FE"/>
    <w:rsid w:val="00BD26A1"/>
    <w:rsid w:val="00BD411C"/>
    <w:rsid w:val="00BD4216"/>
    <w:rsid w:val="00BD4669"/>
    <w:rsid w:val="00BD5114"/>
    <w:rsid w:val="00BD544F"/>
    <w:rsid w:val="00BD5547"/>
    <w:rsid w:val="00BD55EB"/>
    <w:rsid w:val="00BD5607"/>
    <w:rsid w:val="00BD6800"/>
    <w:rsid w:val="00BD72AA"/>
    <w:rsid w:val="00BD7D41"/>
    <w:rsid w:val="00BE017C"/>
    <w:rsid w:val="00BE04E1"/>
    <w:rsid w:val="00BE0562"/>
    <w:rsid w:val="00BE0995"/>
    <w:rsid w:val="00BE1285"/>
    <w:rsid w:val="00BE1EFC"/>
    <w:rsid w:val="00BE2081"/>
    <w:rsid w:val="00BE2D9E"/>
    <w:rsid w:val="00BE3593"/>
    <w:rsid w:val="00BE3B29"/>
    <w:rsid w:val="00BE41AE"/>
    <w:rsid w:val="00BE47AA"/>
    <w:rsid w:val="00BE4B44"/>
    <w:rsid w:val="00BE5571"/>
    <w:rsid w:val="00BE64C2"/>
    <w:rsid w:val="00BE7581"/>
    <w:rsid w:val="00BE7C83"/>
    <w:rsid w:val="00BF0CD4"/>
    <w:rsid w:val="00BF1477"/>
    <w:rsid w:val="00BF1E5B"/>
    <w:rsid w:val="00BF22A3"/>
    <w:rsid w:val="00BF2DC8"/>
    <w:rsid w:val="00BF2EA1"/>
    <w:rsid w:val="00BF2EED"/>
    <w:rsid w:val="00BF3C28"/>
    <w:rsid w:val="00BF4BFE"/>
    <w:rsid w:val="00BF520F"/>
    <w:rsid w:val="00BF5547"/>
    <w:rsid w:val="00BF5575"/>
    <w:rsid w:val="00BF6284"/>
    <w:rsid w:val="00BF62B5"/>
    <w:rsid w:val="00BF64C2"/>
    <w:rsid w:val="00BF690C"/>
    <w:rsid w:val="00BF6EA2"/>
    <w:rsid w:val="00BF7021"/>
    <w:rsid w:val="00BF70EA"/>
    <w:rsid w:val="00BF79C9"/>
    <w:rsid w:val="00BF7D0E"/>
    <w:rsid w:val="00BF7D3A"/>
    <w:rsid w:val="00C00E9C"/>
    <w:rsid w:val="00C01609"/>
    <w:rsid w:val="00C01D85"/>
    <w:rsid w:val="00C01FA7"/>
    <w:rsid w:val="00C03596"/>
    <w:rsid w:val="00C03F20"/>
    <w:rsid w:val="00C04C78"/>
    <w:rsid w:val="00C05A5D"/>
    <w:rsid w:val="00C05F17"/>
    <w:rsid w:val="00C071E6"/>
    <w:rsid w:val="00C07DCE"/>
    <w:rsid w:val="00C1000A"/>
    <w:rsid w:val="00C10B9D"/>
    <w:rsid w:val="00C10FD6"/>
    <w:rsid w:val="00C1124B"/>
    <w:rsid w:val="00C112AE"/>
    <w:rsid w:val="00C117F1"/>
    <w:rsid w:val="00C11885"/>
    <w:rsid w:val="00C1189A"/>
    <w:rsid w:val="00C119FA"/>
    <w:rsid w:val="00C120E2"/>
    <w:rsid w:val="00C12439"/>
    <w:rsid w:val="00C13D2D"/>
    <w:rsid w:val="00C15614"/>
    <w:rsid w:val="00C15731"/>
    <w:rsid w:val="00C15D59"/>
    <w:rsid w:val="00C15EE1"/>
    <w:rsid w:val="00C15F5B"/>
    <w:rsid w:val="00C16670"/>
    <w:rsid w:val="00C173E2"/>
    <w:rsid w:val="00C205DB"/>
    <w:rsid w:val="00C20D55"/>
    <w:rsid w:val="00C21223"/>
    <w:rsid w:val="00C21C2C"/>
    <w:rsid w:val="00C21D26"/>
    <w:rsid w:val="00C21F33"/>
    <w:rsid w:val="00C22181"/>
    <w:rsid w:val="00C22532"/>
    <w:rsid w:val="00C2290E"/>
    <w:rsid w:val="00C22BF7"/>
    <w:rsid w:val="00C22E94"/>
    <w:rsid w:val="00C23138"/>
    <w:rsid w:val="00C23AF8"/>
    <w:rsid w:val="00C23EE9"/>
    <w:rsid w:val="00C2563D"/>
    <w:rsid w:val="00C26453"/>
    <w:rsid w:val="00C268A6"/>
    <w:rsid w:val="00C2736E"/>
    <w:rsid w:val="00C2793C"/>
    <w:rsid w:val="00C27995"/>
    <w:rsid w:val="00C27FF5"/>
    <w:rsid w:val="00C30D62"/>
    <w:rsid w:val="00C31550"/>
    <w:rsid w:val="00C316D2"/>
    <w:rsid w:val="00C31FAF"/>
    <w:rsid w:val="00C321DE"/>
    <w:rsid w:val="00C327E0"/>
    <w:rsid w:val="00C332EC"/>
    <w:rsid w:val="00C33BED"/>
    <w:rsid w:val="00C33F82"/>
    <w:rsid w:val="00C3406F"/>
    <w:rsid w:val="00C3441D"/>
    <w:rsid w:val="00C35171"/>
    <w:rsid w:val="00C35605"/>
    <w:rsid w:val="00C3654C"/>
    <w:rsid w:val="00C3665E"/>
    <w:rsid w:val="00C366AD"/>
    <w:rsid w:val="00C36934"/>
    <w:rsid w:val="00C36B5E"/>
    <w:rsid w:val="00C36B86"/>
    <w:rsid w:val="00C370A1"/>
    <w:rsid w:val="00C3743D"/>
    <w:rsid w:val="00C37941"/>
    <w:rsid w:val="00C40051"/>
    <w:rsid w:val="00C40101"/>
    <w:rsid w:val="00C40CB7"/>
    <w:rsid w:val="00C4116A"/>
    <w:rsid w:val="00C41317"/>
    <w:rsid w:val="00C417F5"/>
    <w:rsid w:val="00C41A8E"/>
    <w:rsid w:val="00C42444"/>
    <w:rsid w:val="00C42514"/>
    <w:rsid w:val="00C43552"/>
    <w:rsid w:val="00C437AB"/>
    <w:rsid w:val="00C43D12"/>
    <w:rsid w:val="00C43E0B"/>
    <w:rsid w:val="00C449A6"/>
    <w:rsid w:val="00C45880"/>
    <w:rsid w:val="00C46B13"/>
    <w:rsid w:val="00C471E2"/>
    <w:rsid w:val="00C50FE9"/>
    <w:rsid w:val="00C51223"/>
    <w:rsid w:val="00C5155F"/>
    <w:rsid w:val="00C51BB4"/>
    <w:rsid w:val="00C5232D"/>
    <w:rsid w:val="00C53824"/>
    <w:rsid w:val="00C53F0A"/>
    <w:rsid w:val="00C54580"/>
    <w:rsid w:val="00C54F7C"/>
    <w:rsid w:val="00C55142"/>
    <w:rsid w:val="00C552FF"/>
    <w:rsid w:val="00C555DC"/>
    <w:rsid w:val="00C55D0A"/>
    <w:rsid w:val="00C56B76"/>
    <w:rsid w:val="00C57F8B"/>
    <w:rsid w:val="00C60F22"/>
    <w:rsid w:val="00C61A37"/>
    <w:rsid w:val="00C61C33"/>
    <w:rsid w:val="00C633E8"/>
    <w:rsid w:val="00C6344C"/>
    <w:rsid w:val="00C63479"/>
    <w:rsid w:val="00C63A62"/>
    <w:rsid w:val="00C63DF4"/>
    <w:rsid w:val="00C64064"/>
    <w:rsid w:val="00C64B7A"/>
    <w:rsid w:val="00C64FF6"/>
    <w:rsid w:val="00C65C5A"/>
    <w:rsid w:val="00C6647C"/>
    <w:rsid w:val="00C66B3A"/>
    <w:rsid w:val="00C6781D"/>
    <w:rsid w:val="00C701FE"/>
    <w:rsid w:val="00C704E4"/>
    <w:rsid w:val="00C705A6"/>
    <w:rsid w:val="00C70833"/>
    <w:rsid w:val="00C71248"/>
    <w:rsid w:val="00C71716"/>
    <w:rsid w:val="00C717E6"/>
    <w:rsid w:val="00C7246D"/>
    <w:rsid w:val="00C726A5"/>
    <w:rsid w:val="00C72712"/>
    <w:rsid w:val="00C7322B"/>
    <w:rsid w:val="00C73351"/>
    <w:rsid w:val="00C73A92"/>
    <w:rsid w:val="00C73C8D"/>
    <w:rsid w:val="00C74635"/>
    <w:rsid w:val="00C74955"/>
    <w:rsid w:val="00C74FF2"/>
    <w:rsid w:val="00C75441"/>
    <w:rsid w:val="00C75B40"/>
    <w:rsid w:val="00C7601D"/>
    <w:rsid w:val="00C765BD"/>
    <w:rsid w:val="00C76ACD"/>
    <w:rsid w:val="00C76C2A"/>
    <w:rsid w:val="00C76E5E"/>
    <w:rsid w:val="00C778BE"/>
    <w:rsid w:val="00C77A57"/>
    <w:rsid w:val="00C809A6"/>
    <w:rsid w:val="00C815F4"/>
    <w:rsid w:val="00C818E2"/>
    <w:rsid w:val="00C81C1C"/>
    <w:rsid w:val="00C82228"/>
    <w:rsid w:val="00C82B97"/>
    <w:rsid w:val="00C82ED9"/>
    <w:rsid w:val="00C831DF"/>
    <w:rsid w:val="00C83D24"/>
    <w:rsid w:val="00C85260"/>
    <w:rsid w:val="00C855BA"/>
    <w:rsid w:val="00C85665"/>
    <w:rsid w:val="00C86AEE"/>
    <w:rsid w:val="00C86FD0"/>
    <w:rsid w:val="00C87091"/>
    <w:rsid w:val="00C8786F"/>
    <w:rsid w:val="00C87AD4"/>
    <w:rsid w:val="00C90D9F"/>
    <w:rsid w:val="00C910E2"/>
    <w:rsid w:val="00C91BDE"/>
    <w:rsid w:val="00C920BD"/>
    <w:rsid w:val="00C92698"/>
    <w:rsid w:val="00C92E26"/>
    <w:rsid w:val="00C93F00"/>
    <w:rsid w:val="00C94040"/>
    <w:rsid w:val="00C940A2"/>
    <w:rsid w:val="00C954BF"/>
    <w:rsid w:val="00C955E4"/>
    <w:rsid w:val="00C957D3"/>
    <w:rsid w:val="00C969AE"/>
    <w:rsid w:val="00C9708F"/>
    <w:rsid w:val="00C974EF"/>
    <w:rsid w:val="00C9767B"/>
    <w:rsid w:val="00C97E6C"/>
    <w:rsid w:val="00CA0D74"/>
    <w:rsid w:val="00CA16FE"/>
    <w:rsid w:val="00CA204C"/>
    <w:rsid w:val="00CA22E8"/>
    <w:rsid w:val="00CA2654"/>
    <w:rsid w:val="00CA2856"/>
    <w:rsid w:val="00CA32E2"/>
    <w:rsid w:val="00CA370D"/>
    <w:rsid w:val="00CA38B7"/>
    <w:rsid w:val="00CA4964"/>
    <w:rsid w:val="00CA4984"/>
    <w:rsid w:val="00CA5584"/>
    <w:rsid w:val="00CA5C62"/>
    <w:rsid w:val="00CA673F"/>
    <w:rsid w:val="00CA6C5C"/>
    <w:rsid w:val="00CA6E62"/>
    <w:rsid w:val="00CA7D16"/>
    <w:rsid w:val="00CB00B5"/>
    <w:rsid w:val="00CB0FEE"/>
    <w:rsid w:val="00CB10E3"/>
    <w:rsid w:val="00CB21E4"/>
    <w:rsid w:val="00CB316B"/>
    <w:rsid w:val="00CB38EC"/>
    <w:rsid w:val="00CB3DD8"/>
    <w:rsid w:val="00CB43D7"/>
    <w:rsid w:val="00CB4504"/>
    <w:rsid w:val="00CB4F69"/>
    <w:rsid w:val="00CB56CE"/>
    <w:rsid w:val="00CB595B"/>
    <w:rsid w:val="00CB5FD8"/>
    <w:rsid w:val="00CB7206"/>
    <w:rsid w:val="00CB7403"/>
    <w:rsid w:val="00CC0275"/>
    <w:rsid w:val="00CC1ABC"/>
    <w:rsid w:val="00CC283F"/>
    <w:rsid w:val="00CC28C8"/>
    <w:rsid w:val="00CC2AB5"/>
    <w:rsid w:val="00CC2D77"/>
    <w:rsid w:val="00CC3149"/>
    <w:rsid w:val="00CC39D7"/>
    <w:rsid w:val="00CC4BEE"/>
    <w:rsid w:val="00CC4E1B"/>
    <w:rsid w:val="00CC56E4"/>
    <w:rsid w:val="00CC5879"/>
    <w:rsid w:val="00CC5FCB"/>
    <w:rsid w:val="00CC6501"/>
    <w:rsid w:val="00CC654D"/>
    <w:rsid w:val="00CC6877"/>
    <w:rsid w:val="00CC76D5"/>
    <w:rsid w:val="00CC791F"/>
    <w:rsid w:val="00CD0634"/>
    <w:rsid w:val="00CD0A69"/>
    <w:rsid w:val="00CD0ADB"/>
    <w:rsid w:val="00CD0E9B"/>
    <w:rsid w:val="00CD0FF8"/>
    <w:rsid w:val="00CD31F3"/>
    <w:rsid w:val="00CD3520"/>
    <w:rsid w:val="00CD4B8E"/>
    <w:rsid w:val="00CD55F3"/>
    <w:rsid w:val="00CD5741"/>
    <w:rsid w:val="00CD5A41"/>
    <w:rsid w:val="00CD5DAD"/>
    <w:rsid w:val="00CD6054"/>
    <w:rsid w:val="00CE064F"/>
    <w:rsid w:val="00CE06D1"/>
    <w:rsid w:val="00CE1052"/>
    <w:rsid w:val="00CE1E84"/>
    <w:rsid w:val="00CE2692"/>
    <w:rsid w:val="00CE26DA"/>
    <w:rsid w:val="00CE3B76"/>
    <w:rsid w:val="00CE3E22"/>
    <w:rsid w:val="00CE428C"/>
    <w:rsid w:val="00CE435E"/>
    <w:rsid w:val="00CE4B55"/>
    <w:rsid w:val="00CE6223"/>
    <w:rsid w:val="00CE62D1"/>
    <w:rsid w:val="00CE6A93"/>
    <w:rsid w:val="00CE6D0A"/>
    <w:rsid w:val="00CE6EEA"/>
    <w:rsid w:val="00CE7453"/>
    <w:rsid w:val="00CE7854"/>
    <w:rsid w:val="00CF0B29"/>
    <w:rsid w:val="00CF0B57"/>
    <w:rsid w:val="00CF1852"/>
    <w:rsid w:val="00CF1D2C"/>
    <w:rsid w:val="00CF1FA5"/>
    <w:rsid w:val="00CF22B1"/>
    <w:rsid w:val="00CF259B"/>
    <w:rsid w:val="00CF281C"/>
    <w:rsid w:val="00CF2BC2"/>
    <w:rsid w:val="00CF312C"/>
    <w:rsid w:val="00CF3C09"/>
    <w:rsid w:val="00CF4F02"/>
    <w:rsid w:val="00CF577A"/>
    <w:rsid w:val="00CF6075"/>
    <w:rsid w:val="00CF62F6"/>
    <w:rsid w:val="00CF6861"/>
    <w:rsid w:val="00CF7363"/>
    <w:rsid w:val="00CF7C88"/>
    <w:rsid w:val="00D00AD6"/>
    <w:rsid w:val="00D00C15"/>
    <w:rsid w:val="00D00EB7"/>
    <w:rsid w:val="00D020C9"/>
    <w:rsid w:val="00D0210C"/>
    <w:rsid w:val="00D03209"/>
    <w:rsid w:val="00D03D2E"/>
    <w:rsid w:val="00D04046"/>
    <w:rsid w:val="00D04B38"/>
    <w:rsid w:val="00D05646"/>
    <w:rsid w:val="00D05C0B"/>
    <w:rsid w:val="00D0635B"/>
    <w:rsid w:val="00D06A41"/>
    <w:rsid w:val="00D06C38"/>
    <w:rsid w:val="00D06FAA"/>
    <w:rsid w:val="00D07485"/>
    <w:rsid w:val="00D07F0A"/>
    <w:rsid w:val="00D07FDE"/>
    <w:rsid w:val="00D101A6"/>
    <w:rsid w:val="00D1021F"/>
    <w:rsid w:val="00D1072E"/>
    <w:rsid w:val="00D10EB4"/>
    <w:rsid w:val="00D119BD"/>
    <w:rsid w:val="00D11B63"/>
    <w:rsid w:val="00D11EDB"/>
    <w:rsid w:val="00D12036"/>
    <w:rsid w:val="00D1236D"/>
    <w:rsid w:val="00D12441"/>
    <w:rsid w:val="00D13FA8"/>
    <w:rsid w:val="00D14A6A"/>
    <w:rsid w:val="00D14B28"/>
    <w:rsid w:val="00D14C77"/>
    <w:rsid w:val="00D15CB8"/>
    <w:rsid w:val="00D15F46"/>
    <w:rsid w:val="00D1660C"/>
    <w:rsid w:val="00D1680C"/>
    <w:rsid w:val="00D16E21"/>
    <w:rsid w:val="00D172BA"/>
    <w:rsid w:val="00D20058"/>
    <w:rsid w:val="00D202E9"/>
    <w:rsid w:val="00D207A2"/>
    <w:rsid w:val="00D2088E"/>
    <w:rsid w:val="00D2094C"/>
    <w:rsid w:val="00D210CD"/>
    <w:rsid w:val="00D212E1"/>
    <w:rsid w:val="00D218F6"/>
    <w:rsid w:val="00D23B54"/>
    <w:rsid w:val="00D242C4"/>
    <w:rsid w:val="00D24B58"/>
    <w:rsid w:val="00D24DF1"/>
    <w:rsid w:val="00D25121"/>
    <w:rsid w:val="00D25C31"/>
    <w:rsid w:val="00D25D1B"/>
    <w:rsid w:val="00D261ED"/>
    <w:rsid w:val="00D272FC"/>
    <w:rsid w:val="00D27341"/>
    <w:rsid w:val="00D278B7"/>
    <w:rsid w:val="00D30513"/>
    <w:rsid w:val="00D30CFC"/>
    <w:rsid w:val="00D30CFE"/>
    <w:rsid w:val="00D326F3"/>
    <w:rsid w:val="00D33666"/>
    <w:rsid w:val="00D33EC3"/>
    <w:rsid w:val="00D348D8"/>
    <w:rsid w:val="00D36068"/>
    <w:rsid w:val="00D360C3"/>
    <w:rsid w:val="00D3644A"/>
    <w:rsid w:val="00D364DB"/>
    <w:rsid w:val="00D3668E"/>
    <w:rsid w:val="00D37869"/>
    <w:rsid w:val="00D40677"/>
    <w:rsid w:val="00D40E29"/>
    <w:rsid w:val="00D411C2"/>
    <w:rsid w:val="00D41A28"/>
    <w:rsid w:val="00D42288"/>
    <w:rsid w:val="00D424E1"/>
    <w:rsid w:val="00D42663"/>
    <w:rsid w:val="00D42ABF"/>
    <w:rsid w:val="00D42EDF"/>
    <w:rsid w:val="00D4316B"/>
    <w:rsid w:val="00D43648"/>
    <w:rsid w:val="00D4461F"/>
    <w:rsid w:val="00D44773"/>
    <w:rsid w:val="00D4504D"/>
    <w:rsid w:val="00D460BD"/>
    <w:rsid w:val="00D46530"/>
    <w:rsid w:val="00D466C5"/>
    <w:rsid w:val="00D4693C"/>
    <w:rsid w:val="00D47B38"/>
    <w:rsid w:val="00D5086F"/>
    <w:rsid w:val="00D50998"/>
    <w:rsid w:val="00D50E4D"/>
    <w:rsid w:val="00D51157"/>
    <w:rsid w:val="00D5148F"/>
    <w:rsid w:val="00D52FFE"/>
    <w:rsid w:val="00D53B9A"/>
    <w:rsid w:val="00D5501E"/>
    <w:rsid w:val="00D55BF0"/>
    <w:rsid w:val="00D5608C"/>
    <w:rsid w:val="00D56BB9"/>
    <w:rsid w:val="00D57026"/>
    <w:rsid w:val="00D57176"/>
    <w:rsid w:val="00D578D2"/>
    <w:rsid w:val="00D603DB"/>
    <w:rsid w:val="00D6145A"/>
    <w:rsid w:val="00D61A86"/>
    <w:rsid w:val="00D6240F"/>
    <w:rsid w:val="00D62E97"/>
    <w:rsid w:val="00D631FA"/>
    <w:rsid w:val="00D634E5"/>
    <w:rsid w:val="00D63AE9"/>
    <w:rsid w:val="00D63D99"/>
    <w:rsid w:val="00D6404A"/>
    <w:rsid w:val="00D64369"/>
    <w:rsid w:val="00D65301"/>
    <w:rsid w:val="00D65803"/>
    <w:rsid w:val="00D65D0A"/>
    <w:rsid w:val="00D65E15"/>
    <w:rsid w:val="00D664EA"/>
    <w:rsid w:val="00D66B74"/>
    <w:rsid w:val="00D66EE5"/>
    <w:rsid w:val="00D67225"/>
    <w:rsid w:val="00D673B1"/>
    <w:rsid w:val="00D679BF"/>
    <w:rsid w:val="00D67B2F"/>
    <w:rsid w:val="00D7081C"/>
    <w:rsid w:val="00D718A5"/>
    <w:rsid w:val="00D7195D"/>
    <w:rsid w:val="00D71B04"/>
    <w:rsid w:val="00D73613"/>
    <w:rsid w:val="00D7413F"/>
    <w:rsid w:val="00D75079"/>
    <w:rsid w:val="00D750A2"/>
    <w:rsid w:val="00D750BB"/>
    <w:rsid w:val="00D76847"/>
    <w:rsid w:val="00D77AA1"/>
    <w:rsid w:val="00D80847"/>
    <w:rsid w:val="00D81890"/>
    <w:rsid w:val="00D81AC2"/>
    <w:rsid w:val="00D81E15"/>
    <w:rsid w:val="00D8320F"/>
    <w:rsid w:val="00D835D8"/>
    <w:rsid w:val="00D8366E"/>
    <w:rsid w:val="00D836F3"/>
    <w:rsid w:val="00D8432F"/>
    <w:rsid w:val="00D843E0"/>
    <w:rsid w:val="00D84DA6"/>
    <w:rsid w:val="00D84ECD"/>
    <w:rsid w:val="00D85575"/>
    <w:rsid w:val="00D86041"/>
    <w:rsid w:val="00D86507"/>
    <w:rsid w:val="00D8656B"/>
    <w:rsid w:val="00D867C6"/>
    <w:rsid w:val="00D86CA3"/>
    <w:rsid w:val="00D8702D"/>
    <w:rsid w:val="00D8709F"/>
    <w:rsid w:val="00D87132"/>
    <w:rsid w:val="00D8787C"/>
    <w:rsid w:val="00D90142"/>
    <w:rsid w:val="00D90974"/>
    <w:rsid w:val="00D913C7"/>
    <w:rsid w:val="00D92595"/>
    <w:rsid w:val="00D92BDB"/>
    <w:rsid w:val="00D92CF1"/>
    <w:rsid w:val="00D92D40"/>
    <w:rsid w:val="00D92EA8"/>
    <w:rsid w:val="00D93109"/>
    <w:rsid w:val="00D93144"/>
    <w:rsid w:val="00D9361A"/>
    <w:rsid w:val="00D9381D"/>
    <w:rsid w:val="00D93BEE"/>
    <w:rsid w:val="00D93FE0"/>
    <w:rsid w:val="00D94138"/>
    <w:rsid w:val="00D942FC"/>
    <w:rsid w:val="00D94332"/>
    <w:rsid w:val="00D94420"/>
    <w:rsid w:val="00D94B0B"/>
    <w:rsid w:val="00D94DA8"/>
    <w:rsid w:val="00D9532C"/>
    <w:rsid w:val="00D9577F"/>
    <w:rsid w:val="00D95D05"/>
    <w:rsid w:val="00D9796B"/>
    <w:rsid w:val="00DA039A"/>
    <w:rsid w:val="00DA18FC"/>
    <w:rsid w:val="00DA35A2"/>
    <w:rsid w:val="00DA38A2"/>
    <w:rsid w:val="00DA3A5C"/>
    <w:rsid w:val="00DA3FE4"/>
    <w:rsid w:val="00DA62F5"/>
    <w:rsid w:val="00DA6DE1"/>
    <w:rsid w:val="00DA7286"/>
    <w:rsid w:val="00DA7926"/>
    <w:rsid w:val="00DA793A"/>
    <w:rsid w:val="00DA7A6B"/>
    <w:rsid w:val="00DA7E38"/>
    <w:rsid w:val="00DB068E"/>
    <w:rsid w:val="00DB10F8"/>
    <w:rsid w:val="00DB1E2C"/>
    <w:rsid w:val="00DB1EE0"/>
    <w:rsid w:val="00DB2390"/>
    <w:rsid w:val="00DB2E3F"/>
    <w:rsid w:val="00DB375F"/>
    <w:rsid w:val="00DB39D3"/>
    <w:rsid w:val="00DB3D99"/>
    <w:rsid w:val="00DB44F9"/>
    <w:rsid w:val="00DB5909"/>
    <w:rsid w:val="00DB673A"/>
    <w:rsid w:val="00DC0401"/>
    <w:rsid w:val="00DC043E"/>
    <w:rsid w:val="00DC0D21"/>
    <w:rsid w:val="00DC0D5D"/>
    <w:rsid w:val="00DC0E2C"/>
    <w:rsid w:val="00DC1463"/>
    <w:rsid w:val="00DC1692"/>
    <w:rsid w:val="00DC1A07"/>
    <w:rsid w:val="00DC2A16"/>
    <w:rsid w:val="00DC315C"/>
    <w:rsid w:val="00DC33D9"/>
    <w:rsid w:val="00DC3BF7"/>
    <w:rsid w:val="00DC3C24"/>
    <w:rsid w:val="00DC4120"/>
    <w:rsid w:val="00DC4B60"/>
    <w:rsid w:val="00DC4BD7"/>
    <w:rsid w:val="00DC6E01"/>
    <w:rsid w:val="00DC737A"/>
    <w:rsid w:val="00DC7545"/>
    <w:rsid w:val="00DC7C2F"/>
    <w:rsid w:val="00DD0396"/>
    <w:rsid w:val="00DD0C8C"/>
    <w:rsid w:val="00DD0E22"/>
    <w:rsid w:val="00DD277A"/>
    <w:rsid w:val="00DD289C"/>
    <w:rsid w:val="00DD3252"/>
    <w:rsid w:val="00DD3D1C"/>
    <w:rsid w:val="00DD4262"/>
    <w:rsid w:val="00DD457F"/>
    <w:rsid w:val="00DD5B7E"/>
    <w:rsid w:val="00DD6028"/>
    <w:rsid w:val="00DD7020"/>
    <w:rsid w:val="00DD7FD4"/>
    <w:rsid w:val="00DE0125"/>
    <w:rsid w:val="00DE01E9"/>
    <w:rsid w:val="00DE0A14"/>
    <w:rsid w:val="00DE0B81"/>
    <w:rsid w:val="00DE0DBA"/>
    <w:rsid w:val="00DE0F27"/>
    <w:rsid w:val="00DE13B3"/>
    <w:rsid w:val="00DE377E"/>
    <w:rsid w:val="00DE3E80"/>
    <w:rsid w:val="00DE4981"/>
    <w:rsid w:val="00DE4B4F"/>
    <w:rsid w:val="00DE5038"/>
    <w:rsid w:val="00DE575B"/>
    <w:rsid w:val="00DE5D45"/>
    <w:rsid w:val="00DE5F5A"/>
    <w:rsid w:val="00DE75A6"/>
    <w:rsid w:val="00DE7AED"/>
    <w:rsid w:val="00DE7B33"/>
    <w:rsid w:val="00DE7B6C"/>
    <w:rsid w:val="00DF0BEF"/>
    <w:rsid w:val="00DF11E2"/>
    <w:rsid w:val="00DF1676"/>
    <w:rsid w:val="00DF197F"/>
    <w:rsid w:val="00DF3C75"/>
    <w:rsid w:val="00DF420A"/>
    <w:rsid w:val="00DF4575"/>
    <w:rsid w:val="00DF63C9"/>
    <w:rsid w:val="00DF7D39"/>
    <w:rsid w:val="00E0064D"/>
    <w:rsid w:val="00E00665"/>
    <w:rsid w:val="00E00897"/>
    <w:rsid w:val="00E00CB7"/>
    <w:rsid w:val="00E00EC2"/>
    <w:rsid w:val="00E0123B"/>
    <w:rsid w:val="00E02C1C"/>
    <w:rsid w:val="00E0405B"/>
    <w:rsid w:val="00E045C2"/>
    <w:rsid w:val="00E0563F"/>
    <w:rsid w:val="00E06762"/>
    <w:rsid w:val="00E10D0D"/>
    <w:rsid w:val="00E10FF6"/>
    <w:rsid w:val="00E1128A"/>
    <w:rsid w:val="00E11662"/>
    <w:rsid w:val="00E12660"/>
    <w:rsid w:val="00E12CE2"/>
    <w:rsid w:val="00E1342F"/>
    <w:rsid w:val="00E13533"/>
    <w:rsid w:val="00E1384C"/>
    <w:rsid w:val="00E14C32"/>
    <w:rsid w:val="00E151A0"/>
    <w:rsid w:val="00E152FF"/>
    <w:rsid w:val="00E153A7"/>
    <w:rsid w:val="00E15B22"/>
    <w:rsid w:val="00E160B8"/>
    <w:rsid w:val="00E16232"/>
    <w:rsid w:val="00E1651E"/>
    <w:rsid w:val="00E16F20"/>
    <w:rsid w:val="00E171AC"/>
    <w:rsid w:val="00E17A20"/>
    <w:rsid w:val="00E206C7"/>
    <w:rsid w:val="00E20B32"/>
    <w:rsid w:val="00E20EA0"/>
    <w:rsid w:val="00E211FF"/>
    <w:rsid w:val="00E21231"/>
    <w:rsid w:val="00E2139E"/>
    <w:rsid w:val="00E213CC"/>
    <w:rsid w:val="00E219B6"/>
    <w:rsid w:val="00E21CE6"/>
    <w:rsid w:val="00E22180"/>
    <w:rsid w:val="00E221C3"/>
    <w:rsid w:val="00E221DB"/>
    <w:rsid w:val="00E227B8"/>
    <w:rsid w:val="00E227CA"/>
    <w:rsid w:val="00E22AC7"/>
    <w:rsid w:val="00E23142"/>
    <w:rsid w:val="00E236B3"/>
    <w:rsid w:val="00E246E3"/>
    <w:rsid w:val="00E248A9"/>
    <w:rsid w:val="00E24B71"/>
    <w:rsid w:val="00E24FAD"/>
    <w:rsid w:val="00E250E6"/>
    <w:rsid w:val="00E25263"/>
    <w:rsid w:val="00E25397"/>
    <w:rsid w:val="00E259F5"/>
    <w:rsid w:val="00E268DD"/>
    <w:rsid w:val="00E27153"/>
    <w:rsid w:val="00E27422"/>
    <w:rsid w:val="00E27667"/>
    <w:rsid w:val="00E27778"/>
    <w:rsid w:val="00E304B1"/>
    <w:rsid w:val="00E307EA"/>
    <w:rsid w:val="00E30D83"/>
    <w:rsid w:val="00E30E04"/>
    <w:rsid w:val="00E311A5"/>
    <w:rsid w:val="00E31604"/>
    <w:rsid w:val="00E32B31"/>
    <w:rsid w:val="00E33278"/>
    <w:rsid w:val="00E335B6"/>
    <w:rsid w:val="00E347D5"/>
    <w:rsid w:val="00E34F09"/>
    <w:rsid w:val="00E35B86"/>
    <w:rsid w:val="00E36AAE"/>
    <w:rsid w:val="00E36FD4"/>
    <w:rsid w:val="00E3714B"/>
    <w:rsid w:val="00E371D4"/>
    <w:rsid w:val="00E40320"/>
    <w:rsid w:val="00E422DC"/>
    <w:rsid w:val="00E427EC"/>
    <w:rsid w:val="00E42847"/>
    <w:rsid w:val="00E42887"/>
    <w:rsid w:val="00E42A08"/>
    <w:rsid w:val="00E434E1"/>
    <w:rsid w:val="00E437F9"/>
    <w:rsid w:val="00E43D98"/>
    <w:rsid w:val="00E44CF2"/>
    <w:rsid w:val="00E44FF4"/>
    <w:rsid w:val="00E4556B"/>
    <w:rsid w:val="00E46704"/>
    <w:rsid w:val="00E474A9"/>
    <w:rsid w:val="00E476E4"/>
    <w:rsid w:val="00E47AAD"/>
    <w:rsid w:val="00E47FA7"/>
    <w:rsid w:val="00E50297"/>
    <w:rsid w:val="00E50E5F"/>
    <w:rsid w:val="00E51E5C"/>
    <w:rsid w:val="00E51F2A"/>
    <w:rsid w:val="00E52007"/>
    <w:rsid w:val="00E52342"/>
    <w:rsid w:val="00E52742"/>
    <w:rsid w:val="00E5366C"/>
    <w:rsid w:val="00E53E0B"/>
    <w:rsid w:val="00E53FCB"/>
    <w:rsid w:val="00E544BB"/>
    <w:rsid w:val="00E5615C"/>
    <w:rsid w:val="00E56208"/>
    <w:rsid w:val="00E56CFD"/>
    <w:rsid w:val="00E56E03"/>
    <w:rsid w:val="00E56F7B"/>
    <w:rsid w:val="00E572AA"/>
    <w:rsid w:val="00E57B9B"/>
    <w:rsid w:val="00E6039D"/>
    <w:rsid w:val="00E615D2"/>
    <w:rsid w:val="00E62795"/>
    <w:rsid w:val="00E62807"/>
    <w:rsid w:val="00E62D2D"/>
    <w:rsid w:val="00E6318A"/>
    <w:rsid w:val="00E6443C"/>
    <w:rsid w:val="00E646E7"/>
    <w:rsid w:val="00E65328"/>
    <w:rsid w:val="00E655ED"/>
    <w:rsid w:val="00E66296"/>
    <w:rsid w:val="00E666E2"/>
    <w:rsid w:val="00E66EE9"/>
    <w:rsid w:val="00E677EA"/>
    <w:rsid w:val="00E700E9"/>
    <w:rsid w:val="00E70744"/>
    <w:rsid w:val="00E70795"/>
    <w:rsid w:val="00E707CD"/>
    <w:rsid w:val="00E70ADB"/>
    <w:rsid w:val="00E71F10"/>
    <w:rsid w:val="00E71F68"/>
    <w:rsid w:val="00E723D6"/>
    <w:rsid w:val="00E72493"/>
    <w:rsid w:val="00E72500"/>
    <w:rsid w:val="00E736EC"/>
    <w:rsid w:val="00E74681"/>
    <w:rsid w:val="00E76165"/>
    <w:rsid w:val="00E7667D"/>
    <w:rsid w:val="00E768AB"/>
    <w:rsid w:val="00E7736A"/>
    <w:rsid w:val="00E77934"/>
    <w:rsid w:val="00E80B19"/>
    <w:rsid w:val="00E80E79"/>
    <w:rsid w:val="00E81375"/>
    <w:rsid w:val="00E82D8E"/>
    <w:rsid w:val="00E831CA"/>
    <w:rsid w:val="00E8371B"/>
    <w:rsid w:val="00E84742"/>
    <w:rsid w:val="00E84866"/>
    <w:rsid w:val="00E8681F"/>
    <w:rsid w:val="00E870B9"/>
    <w:rsid w:val="00E87BBF"/>
    <w:rsid w:val="00E91BC8"/>
    <w:rsid w:val="00E9249B"/>
    <w:rsid w:val="00E93943"/>
    <w:rsid w:val="00E941BE"/>
    <w:rsid w:val="00E94679"/>
    <w:rsid w:val="00E95852"/>
    <w:rsid w:val="00E95F79"/>
    <w:rsid w:val="00E96386"/>
    <w:rsid w:val="00E96BB1"/>
    <w:rsid w:val="00E96C78"/>
    <w:rsid w:val="00E97D8B"/>
    <w:rsid w:val="00EA24C3"/>
    <w:rsid w:val="00EA27D5"/>
    <w:rsid w:val="00EA2855"/>
    <w:rsid w:val="00EA2CCB"/>
    <w:rsid w:val="00EA325C"/>
    <w:rsid w:val="00EA3369"/>
    <w:rsid w:val="00EA33F7"/>
    <w:rsid w:val="00EA3540"/>
    <w:rsid w:val="00EA3DF8"/>
    <w:rsid w:val="00EA527D"/>
    <w:rsid w:val="00EA55FD"/>
    <w:rsid w:val="00EA5F54"/>
    <w:rsid w:val="00EA6565"/>
    <w:rsid w:val="00EA691F"/>
    <w:rsid w:val="00EA6EBF"/>
    <w:rsid w:val="00EA707B"/>
    <w:rsid w:val="00EB02E8"/>
    <w:rsid w:val="00EB0637"/>
    <w:rsid w:val="00EB0BED"/>
    <w:rsid w:val="00EB14F5"/>
    <w:rsid w:val="00EB1677"/>
    <w:rsid w:val="00EB2A70"/>
    <w:rsid w:val="00EB2FC5"/>
    <w:rsid w:val="00EB41B7"/>
    <w:rsid w:val="00EB4B52"/>
    <w:rsid w:val="00EB5EDF"/>
    <w:rsid w:val="00EB69BD"/>
    <w:rsid w:val="00EB7026"/>
    <w:rsid w:val="00EB73D8"/>
    <w:rsid w:val="00EB7A5A"/>
    <w:rsid w:val="00EC004A"/>
    <w:rsid w:val="00EC0517"/>
    <w:rsid w:val="00EC0E2F"/>
    <w:rsid w:val="00EC124E"/>
    <w:rsid w:val="00EC18B6"/>
    <w:rsid w:val="00EC1993"/>
    <w:rsid w:val="00EC1D14"/>
    <w:rsid w:val="00EC26A0"/>
    <w:rsid w:val="00EC2FC9"/>
    <w:rsid w:val="00EC30D8"/>
    <w:rsid w:val="00EC320C"/>
    <w:rsid w:val="00EC362F"/>
    <w:rsid w:val="00EC375E"/>
    <w:rsid w:val="00EC3D60"/>
    <w:rsid w:val="00EC4A6F"/>
    <w:rsid w:val="00EC52AD"/>
    <w:rsid w:val="00EC69BA"/>
    <w:rsid w:val="00ED0965"/>
    <w:rsid w:val="00ED10D4"/>
    <w:rsid w:val="00ED1504"/>
    <w:rsid w:val="00ED1BF7"/>
    <w:rsid w:val="00ED1F84"/>
    <w:rsid w:val="00ED25AA"/>
    <w:rsid w:val="00ED25AF"/>
    <w:rsid w:val="00ED2735"/>
    <w:rsid w:val="00ED2B1D"/>
    <w:rsid w:val="00ED30EA"/>
    <w:rsid w:val="00ED3C53"/>
    <w:rsid w:val="00ED4347"/>
    <w:rsid w:val="00ED4636"/>
    <w:rsid w:val="00ED53B4"/>
    <w:rsid w:val="00ED574F"/>
    <w:rsid w:val="00ED5D4D"/>
    <w:rsid w:val="00ED64FE"/>
    <w:rsid w:val="00ED6505"/>
    <w:rsid w:val="00ED6B48"/>
    <w:rsid w:val="00ED6F4F"/>
    <w:rsid w:val="00EE0842"/>
    <w:rsid w:val="00EE1956"/>
    <w:rsid w:val="00EE1D30"/>
    <w:rsid w:val="00EE2F81"/>
    <w:rsid w:val="00EE378E"/>
    <w:rsid w:val="00EE3BBB"/>
    <w:rsid w:val="00EE442E"/>
    <w:rsid w:val="00EE4484"/>
    <w:rsid w:val="00EE5B6B"/>
    <w:rsid w:val="00EE5D1E"/>
    <w:rsid w:val="00EE6375"/>
    <w:rsid w:val="00EE7006"/>
    <w:rsid w:val="00EE751E"/>
    <w:rsid w:val="00EF055B"/>
    <w:rsid w:val="00EF0C09"/>
    <w:rsid w:val="00EF200F"/>
    <w:rsid w:val="00EF2A1C"/>
    <w:rsid w:val="00EF38E3"/>
    <w:rsid w:val="00EF47CC"/>
    <w:rsid w:val="00EF4AB8"/>
    <w:rsid w:val="00EF62E4"/>
    <w:rsid w:val="00EF64D2"/>
    <w:rsid w:val="00EF6839"/>
    <w:rsid w:val="00EF6BF4"/>
    <w:rsid w:val="00EF78EC"/>
    <w:rsid w:val="00EF796E"/>
    <w:rsid w:val="00EF7B05"/>
    <w:rsid w:val="00EF7BA6"/>
    <w:rsid w:val="00EF7D88"/>
    <w:rsid w:val="00F00725"/>
    <w:rsid w:val="00F01D64"/>
    <w:rsid w:val="00F02167"/>
    <w:rsid w:val="00F0242B"/>
    <w:rsid w:val="00F03099"/>
    <w:rsid w:val="00F03D39"/>
    <w:rsid w:val="00F04098"/>
    <w:rsid w:val="00F0450E"/>
    <w:rsid w:val="00F04945"/>
    <w:rsid w:val="00F0495E"/>
    <w:rsid w:val="00F04BA7"/>
    <w:rsid w:val="00F05943"/>
    <w:rsid w:val="00F05946"/>
    <w:rsid w:val="00F0594B"/>
    <w:rsid w:val="00F05D92"/>
    <w:rsid w:val="00F06374"/>
    <w:rsid w:val="00F06AF4"/>
    <w:rsid w:val="00F070B8"/>
    <w:rsid w:val="00F10125"/>
    <w:rsid w:val="00F10A7C"/>
    <w:rsid w:val="00F10CEF"/>
    <w:rsid w:val="00F11556"/>
    <w:rsid w:val="00F12481"/>
    <w:rsid w:val="00F1283D"/>
    <w:rsid w:val="00F128D2"/>
    <w:rsid w:val="00F12ECD"/>
    <w:rsid w:val="00F130A7"/>
    <w:rsid w:val="00F13331"/>
    <w:rsid w:val="00F13BB2"/>
    <w:rsid w:val="00F155A2"/>
    <w:rsid w:val="00F171DA"/>
    <w:rsid w:val="00F1732E"/>
    <w:rsid w:val="00F2096A"/>
    <w:rsid w:val="00F20BDE"/>
    <w:rsid w:val="00F216F3"/>
    <w:rsid w:val="00F2178E"/>
    <w:rsid w:val="00F21CF5"/>
    <w:rsid w:val="00F21ED7"/>
    <w:rsid w:val="00F23AE9"/>
    <w:rsid w:val="00F24583"/>
    <w:rsid w:val="00F2565A"/>
    <w:rsid w:val="00F25B50"/>
    <w:rsid w:val="00F25D3D"/>
    <w:rsid w:val="00F26D02"/>
    <w:rsid w:val="00F26FC8"/>
    <w:rsid w:val="00F273F8"/>
    <w:rsid w:val="00F27B41"/>
    <w:rsid w:val="00F30131"/>
    <w:rsid w:val="00F30719"/>
    <w:rsid w:val="00F30D0D"/>
    <w:rsid w:val="00F3105A"/>
    <w:rsid w:val="00F318D3"/>
    <w:rsid w:val="00F3198C"/>
    <w:rsid w:val="00F3203A"/>
    <w:rsid w:val="00F329F3"/>
    <w:rsid w:val="00F32EAD"/>
    <w:rsid w:val="00F33473"/>
    <w:rsid w:val="00F342C5"/>
    <w:rsid w:val="00F34327"/>
    <w:rsid w:val="00F36047"/>
    <w:rsid w:val="00F361AC"/>
    <w:rsid w:val="00F3655E"/>
    <w:rsid w:val="00F36856"/>
    <w:rsid w:val="00F37110"/>
    <w:rsid w:val="00F402B1"/>
    <w:rsid w:val="00F4038A"/>
    <w:rsid w:val="00F40BDD"/>
    <w:rsid w:val="00F41AB7"/>
    <w:rsid w:val="00F421DF"/>
    <w:rsid w:val="00F4240D"/>
    <w:rsid w:val="00F426D3"/>
    <w:rsid w:val="00F4345D"/>
    <w:rsid w:val="00F44B47"/>
    <w:rsid w:val="00F44C2F"/>
    <w:rsid w:val="00F44E38"/>
    <w:rsid w:val="00F454B3"/>
    <w:rsid w:val="00F46139"/>
    <w:rsid w:val="00F46A2B"/>
    <w:rsid w:val="00F47FC3"/>
    <w:rsid w:val="00F50D70"/>
    <w:rsid w:val="00F51A62"/>
    <w:rsid w:val="00F52585"/>
    <w:rsid w:val="00F526C1"/>
    <w:rsid w:val="00F52946"/>
    <w:rsid w:val="00F54E2F"/>
    <w:rsid w:val="00F555F4"/>
    <w:rsid w:val="00F579C5"/>
    <w:rsid w:val="00F57EE0"/>
    <w:rsid w:val="00F57EEA"/>
    <w:rsid w:val="00F6037C"/>
    <w:rsid w:val="00F606E3"/>
    <w:rsid w:val="00F6142D"/>
    <w:rsid w:val="00F61C0B"/>
    <w:rsid w:val="00F62378"/>
    <w:rsid w:val="00F62A75"/>
    <w:rsid w:val="00F6300F"/>
    <w:rsid w:val="00F636D8"/>
    <w:rsid w:val="00F650A2"/>
    <w:rsid w:val="00F66365"/>
    <w:rsid w:val="00F6664D"/>
    <w:rsid w:val="00F67FCD"/>
    <w:rsid w:val="00F701E4"/>
    <w:rsid w:val="00F702E1"/>
    <w:rsid w:val="00F70DEF"/>
    <w:rsid w:val="00F725A1"/>
    <w:rsid w:val="00F72650"/>
    <w:rsid w:val="00F72745"/>
    <w:rsid w:val="00F72BD1"/>
    <w:rsid w:val="00F7353D"/>
    <w:rsid w:val="00F7365E"/>
    <w:rsid w:val="00F73B61"/>
    <w:rsid w:val="00F74488"/>
    <w:rsid w:val="00F7652B"/>
    <w:rsid w:val="00F76730"/>
    <w:rsid w:val="00F77919"/>
    <w:rsid w:val="00F8020C"/>
    <w:rsid w:val="00F802CA"/>
    <w:rsid w:val="00F8057F"/>
    <w:rsid w:val="00F80626"/>
    <w:rsid w:val="00F80D03"/>
    <w:rsid w:val="00F80D77"/>
    <w:rsid w:val="00F816B8"/>
    <w:rsid w:val="00F81E47"/>
    <w:rsid w:val="00F82175"/>
    <w:rsid w:val="00F82DD8"/>
    <w:rsid w:val="00F8394B"/>
    <w:rsid w:val="00F843C3"/>
    <w:rsid w:val="00F8588D"/>
    <w:rsid w:val="00F85C59"/>
    <w:rsid w:val="00F8609B"/>
    <w:rsid w:val="00F8614A"/>
    <w:rsid w:val="00F86650"/>
    <w:rsid w:val="00F873B2"/>
    <w:rsid w:val="00F8744C"/>
    <w:rsid w:val="00F90635"/>
    <w:rsid w:val="00F906DA"/>
    <w:rsid w:val="00F91826"/>
    <w:rsid w:val="00F92292"/>
    <w:rsid w:val="00F92435"/>
    <w:rsid w:val="00F93797"/>
    <w:rsid w:val="00F93C4A"/>
    <w:rsid w:val="00F943E3"/>
    <w:rsid w:val="00F945E8"/>
    <w:rsid w:val="00F94B0E"/>
    <w:rsid w:val="00F95B61"/>
    <w:rsid w:val="00F95E37"/>
    <w:rsid w:val="00F97015"/>
    <w:rsid w:val="00FA0708"/>
    <w:rsid w:val="00FA0A3F"/>
    <w:rsid w:val="00FA1B15"/>
    <w:rsid w:val="00FA1C7F"/>
    <w:rsid w:val="00FA1E49"/>
    <w:rsid w:val="00FA29FF"/>
    <w:rsid w:val="00FA36F2"/>
    <w:rsid w:val="00FA3BB5"/>
    <w:rsid w:val="00FA4131"/>
    <w:rsid w:val="00FA46EA"/>
    <w:rsid w:val="00FA48D9"/>
    <w:rsid w:val="00FA4AD5"/>
    <w:rsid w:val="00FA5084"/>
    <w:rsid w:val="00FA526C"/>
    <w:rsid w:val="00FA6044"/>
    <w:rsid w:val="00FA6378"/>
    <w:rsid w:val="00FA6784"/>
    <w:rsid w:val="00FA6D09"/>
    <w:rsid w:val="00FA7F60"/>
    <w:rsid w:val="00FB0DFB"/>
    <w:rsid w:val="00FB103A"/>
    <w:rsid w:val="00FB11FE"/>
    <w:rsid w:val="00FB2552"/>
    <w:rsid w:val="00FB3237"/>
    <w:rsid w:val="00FB3389"/>
    <w:rsid w:val="00FB36DF"/>
    <w:rsid w:val="00FB41DF"/>
    <w:rsid w:val="00FB53EA"/>
    <w:rsid w:val="00FB69CD"/>
    <w:rsid w:val="00FB7E4B"/>
    <w:rsid w:val="00FC0718"/>
    <w:rsid w:val="00FC09CF"/>
    <w:rsid w:val="00FC118B"/>
    <w:rsid w:val="00FC1C81"/>
    <w:rsid w:val="00FC2074"/>
    <w:rsid w:val="00FC22C9"/>
    <w:rsid w:val="00FC3173"/>
    <w:rsid w:val="00FC3521"/>
    <w:rsid w:val="00FC4238"/>
    <w:rsid w:val="00FC4CAE"/>
    <w:rsid w:val="00FC55F5"/>
    <w:rsid w:val="00FC5A21"/>
    <w:rsid w:val="00FC7E7C"/>
    <w:rsid w:val="00FC7EB0"/>
    <w:rsid w:val="00FD0588"/>
    <w:rsid w:val="00FD1006"/>
    <w:rsid w:val="00FD130B"/>
    <w:rsid w:val="00FD1A56"/>
    <w:rsid w:val="00FD1E7F"/>
    <w:rsid w:val="00FD2E57"/>
    <w:rsid w:val="00FD2FC9"/>
    <w:rsid w:val="00FD3C30"/>
    <w:rsid w:val="00FD3CEA"/>
    <w:rsid w:val="00FD5D9C"/>
    <w:rsid w:val="00FD68BD"/>
    <w:rsid w:val="00FD6B97"/>
    <w:rsid w:val="00FD730E"/>
    <w:rsid w:val="00FD7EE4"/>
    <w:rsid w:val="00FE0868"/>
    <w:rsid w:val="00FE0FDF"/>
    <w:rsid w:val="00FE1821"/>
    <w:rsid w:val="00FE1D9C"/>
    <w:rsid w:val="00FE248A"/>
    <w:rsid w:val="00FE253C"/>
    <w:rsid w:val="00FE2EBC"/>
    <w:rsid w:val="00FE2EE2"/>
    <w:rsid w:val="00FE339B"/>
    <w:rsid w:val="00FE3609"/>
    <w:rsid w:val="00FE3E43"/>
    <w:rsid w:val="00FE5043"/>
    <w:rsid w:val="00FE53CF"/>
    <w:rsid w:val="00FE5442"/>
    <w:rsid w:val="00FE67A6"/>
    <w:rsid w:val="00FE6E3F"/>
    <w:rsid w:val="00FE7CDA"/>
    <w:rsid w:val="00FF051F"/>
    <w:rsid w:val="00FF068D"/>
    <w:rsid w:val="00FF1325"/>
    <w:rsid w:val="00FF2D7E"/>
    <w:rsid w:val="00FF405C"/>
    <w:rsid w:val="00FF44B3"/>
    <w:rsid w:val="00FF44C8"/>
    <w:rsid w:val="00FF4696"/>
    <w:rsid w:val="00FF4E94"/>
    <w:rsid w:val="00FF4FD1"/>
    <w:rsid w:val="00FF5065"/>
    <w:rsid w:val="00FF50E0"/>
    <w:rsid w:val="00FF520E"/>
    <w:rsid w:val="00FF6052"/>
    <w:rsid w:val="00FF7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0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0EE3"/>
    <w:pPr>
      <w:spacing w:line="240" w:lineRule="auto"/>
    </w:pPr>
    <w:rPr>
      <w:sz w:val="20"/>
      <w:szCs w:val="20"/>
    </w:rPr>
  </w:style>
  <w:style w:type="character" w:customStyle="1" w:styleId="FootnoteTextChar">
    <w:name w:val="Footnote Text Char"/>
    <w:basedOn w:val="DefaultParagraphFont"/>
    <w:link w:val="FootnoteText"/>
    <w:uiPriority w:val="99"/>
    <w:semiHidden/>
    <w:rsid w:val="00A70EE3"/>
    <w:rPr>
      <w:sz w:val="20"/>
      <w:szCs w:val="20"/>
    </w:rPr>
  </w:style>
  <w:style w:type="character" w:styleId="FootnoteReference">
    <w:name w:val="footnote reference"/>
    <w:basedOn w:val="DefaultParagraphFont"/>
    <w:uiPriority w:val="99"/>
    <w:semiHidden/>
    <w:unhideWhenUsed/>
    <w:rsid w:val="00A70EE3"/>
    <w:rPr>
      <w:vertAlign w:val="superscript"/>
    </w:rPr>
  </w:style>
  <w:style w:type="character" w:styleId="Hyperlink">
    <w:name w:val="Hyperlink"/>
    <w:basedOn w:val="DefaultParagraphFont"/>
    <w:uiPriority w:val="99"/>
    <w:unhideWhenUsed/>
    <w:rsid w:val="00A70EE3"/>
    <w:rPr>
      <w:color w:val="0000FF" w:themeColor="hyperlink"/>
      <w:u w:val="single"/>
    </w:rPr>
  </w:style>
  <w:style w:type="paragraph" w:styleId="ListParagraph">
    <w:name w:val="List Paragraph"/>
    <w:basedOn w:val="Normal"/>
    <w:uiPriority w:val="34"/>
    <w:qFormat/>
    <w:rsid w:val="00CA32E2"/>
    <w:pPr>
      <w:ind w:left="720"/>
      <w:contextualSpacing/>
    </w:pPr>
  </w:style>
  <w:style w:type="paragraph" w:styleId="NormalWeb">
    <w:name w:val="Normal (Web)"/>
    <w:basedOn w:val="Normal"/>
    <w:uiPriority w:val="99"/>
    <w:unhideWhenUsed/>
    <w:rsid w:val="00AC24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C2404"/>
    <w:rPr>
      <w:b/>
      <w:bCs/>
    </w:rPr>
  </w:style>
  <w:style w:type="table" w:styleId="TableGrid">
    <w:name w:val="Table Grid"/>
    <w:basedOn w:val="TableNormal"/>
    <w:uiPriority w:val="59"/>
    <w:rsid w:val="00B174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1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1A0"/>
    <w:rPr>
      <w:rFonts w:ascii="Tahoma" w:hAnsi="Tahoma" w:cs="Tahoma"/>
      <w:sz w:val="16"/>
      <w:szCs w:val="16"/>
    </w:rPr>
  </w:style>
  <w:style w:type="paragraph" w:customStyle="1" w:styleId="Default">
    <w:name w:val="Default"/>
    <w:rsid w:val="009F5E6F"/>
    <w:pPr>
      <w:autoSpaceDE w:val="0"/>
      <w:autoSpaceDN w:val="0"/>
      <w:adjustRightInd w:val="0"/>
      <w:spacing w:line="240" w:lineRule="auto"/>
    </w:pPr>
    <w:rPr>
      <w:rFonts w:ascii="Arial" w:hAnsi="Arial" w:cs="Arial"/>
      <w:color w:val="000000"/>
      <w:sz w:val="24"/>
      <w:szCs w:val="24"/>
    </w:rPr>
  </w:style>
  <w:style w:type="paragraph" w:styleId="Header">
    <w:name w:val="header"/>
    <w:basedOn w:val="Normal"/>
    <w:link w:val="HeaderChar"/>
    <w:uiPriority w:val="99"/>
    <w:unhideWhenUsed/>
    <w:rsid w:val="005D0DC2"/>
    <w:pPr>
      <w:tabs>
        <w:tab w:val="center" w:pos="4513"/>
        <w:tab w:val="right" w:pos="9026"/>
      </w:tabs>
      <w:spacing w:line="240" w:lineRule="auto"/>
    </w:pPr>
  </w:style>
  <w:style w:type="character" w:customStyle="1" w:styleId="HeaderChar">
    <w:name w:val="Header Char"/>
    <w:basedOn w:val="DefaultParagraphFont"/>
    <w:link w:val="Header"/>
    <w:uiPriority w:val="99"/>
    <w:rsid w:val="005D0DC2"/>
  </w:style>
  <w:style w:type="paragraph" w:styleId="Footer">
    <w:name w:val="footer"/>
    <w:basedOn w:val="Normal"/>
    <w:link w:val="FooterChar"/>
    <w:uiPriority w:val="99"/>
    <w:unhideWhenUsed/>
    <w:rsid w:val="005D0DC2"/>
    <w:pPr>
      <w:tabs>
        <w:tab w:val="center" w:pos="4513"/>
        <w:tab w:val="right" w:pos="9026"/>
      </w:tabs>
      <w:spacing w:line="240" w:lineRule="auto"/>
    </w:pPr>
  </w:style>
  <w:style w:type="character" w:customStyle="1" w:styleId="FooterChar">
    <w:name w:val="Footer Char"/>
    <w:basedOn w:val="DefaultParagraphFont"/>
    <w:link w:val="Footer"/>
    <w:uiPriority w:val="99"/>
    <w:rsid w:val="005D0DC2"/>
  </w:style>
  <w:style w:type="character" w:styleId="CommentReference">
    <w:name w:val="annotation reference"/>
    <w:basedOn w:val="DefaultParagraphFont"/>
    <w:uiPriority w:val="99"/>
    <w:semiHidden/>
    <w:unhideWhenUsed/>
    <w:rsid w:val="006D189B"/>
    <w:rPr>
      <w:sz w:val="16"/>
      <w:szCs w:val="16"/>
    </w:rPr>
  </w:style>
  <w:style w:type="paragraph" w:styleId="CommentText">
    <w:name w:val="annotation text"/>
    <w:basedOn w:val="Normal"/>
    <w:link w:val="CommentTextChar"/>
    <w:uiPriority w:val="99"/>
    <w:unhideWhenUsed/>
    <w:rsid w:val="006D189B"/>
    <w:pPr>
      <w:spacing w:line="240" w:lineRule="auto"/>
    </w:pPr>
    <w:rPr>
      <w:sz w:val="20"/>
      <w:szCs w:val="20"/>
    </w:rPr>
  </w:style>
  <w:style w:type="character" w:customStyle="1" w:styleId="CommentTextChar">
    <w:name w:val="Comment Text Char"/>
    <w:basedOn w:val="DefaultParagraphFont"/>
    <w:link w:val="CommentText"/>
    <w:uiPriority w:val="99"/>
    <w:rsid w:val="006D189B"/>
    <w:rPr>
      <w:sz w:val="20"/>
      <w:szCs w:val="20"/>
    </w:rPr>
  </w:style>
  <w:style w:type="paragraph" w:styleId="CommentSubject">
    <w:name w:val="annotation subject"/>
    <w:basedOn w:val="CommentText"/>
    <w:next w:val="CommentText"/>
    <w:link w:val="CommentSubjectChar"/>
    <w:uiPriority w:val="99"/>
    <w:semiHidden/>
    <w:unhideWhenUsed/>
    <w:rsid w:val="006D189B"/>
    <w:rPr>
      <w:b/>
      <w:bCs/>
    </w:rPr>
  </w:style>
  <w:style w:type="character" w:customStyle="1" w:styleId="CommentSubjectChar">
    <w:name w:val="Comment Subject Char"/>
    <w:basedOn w:val="CommentTextChar"/>
    <w:link w:val="CommentSubject"/>
    <w:uiPriority w:val="99"/>
    <w:semiHidden/>
    <w:rsid w:val="006D189B"/>
    <w:rPr>
      <w:b/>
      <w:bCs/>
      <w:sz w:val="20"/>
      <w:szCs w:val="20"/>
    </w:rPr>
  </w:style>
  <w:style w:type="character" w:styleId="Emphasis">
    <w:name w:val="Emphasis"/>
    <w:basedOn w:val="DefaultParagraphFont"/>
    <w:uiPriority w:val="20"/>
    <w:qFormat/>
    <w:rsid w:val="007946C7"/>
    <w:rPr>
      <w:i/>
      <w:iCs/>
    </w:rPr>
  </w:style>
  <w:style w:type="character" w:styleId="FollowedHyperlink">
    <w:name w:val="FollowedHyperlink"/>
    <w:basedOn w:val="DefaultParagraphFont"/>
    <w:uiPriority w:val="99"/>
    <w:semiHidden/>
    <w:unhideWhenUsed/>
    <w:rsid w:val="00EE44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0EE3"/>
    <w:pPr>
      <w:spacing w:line="240" w:lineRule="auto"/>
    </w:pPr>
    <w:rPr>
      <w:sz w:val="20"/>
      <w:szCs w:val="20"/>
    </w:rPr>
  </w:style>
  <w:style w:type="character" w:customStyle="1" w:styleId="FootnoteTextChar">
    <w:name w:val="Footnote Text Char"/>
    <w:basedOn w:val="DefaultParagraphFont"/>
    <w:link w:val="FootnoteText"/>
    <w:uiPriority w:val="99"/>
    <w:semiHidden/>
    <w:rsid w:val="00A70EE3"/>
    <w:rPr>
      <w:sz w:val="20"/>
      <w:szCs w:val="20"/>
    </w:rPr>
  </w:style>
  <w:style w:type="character" w:styleId="FootnoteReference">
    <w:name w:val="footnote reference"/>
    <w:basedOn w:val="DefaultParagraphFont"/>
    <w:uiPriority w:val="99"/>
    <w:semiHidden/>
    <w:unhideWhenUsed/>
    <w:rsid w:val="00A70EE3"/>
    <w:rPr>
      <w:vertAlign w:val="superscript"/>
    </w:rPr>
  </w:style>
  <w:style w:type="character" w:styleId="Hyperlink">
    <w:name w:val="Hyperlink"/>
    <w:basedOn w:val="DefaultParagraphFont"/>
    <w:uiPriority w:val="99"/>
    <w:unhideWhenUsed/>
    <w:rsid w:val="00A70EE3"/>
    <w:rPr>
      <w:color w:val="0000FF" w:themeColor="hyperlink"/>
      <w:u w:val="single"/>
    </w:rPr>
  </w:style>
  <w:style w:type="paragraph" w:styleId="ListParagraph">
    <w:name w:val="List Paragraph"/>
    <w:basedOn w:val="Normal"/>
    <w:uiPriority w:val="34"/>
    <w:qFormat/>
    <w:rsid w:val="00CA32E2"/>
    <w:pPr>
      <w:ind w:left="720"/>
      <w:contextualSpacing/>
    </w:pPr>
  </w:style>
  <w:style w:type="paragraph" w:styleId="NormalWeb">
    <w:name w:val="Normal (Web)"/>
    <w:basedOn w:val="Normal"/>
    <w:uiPriority w:val="99"/>
    <w:unhideWhenUsed/>
    <w:rsid w:val="00AC24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C2404"/>
    <w:rPr>
      <w:b/>
      <w:bCs/>
    </w:rPr>
  </w:style>
  <w:style w:type="table" w:styleId="TableGrid">
    <w:name w:val="Table Grid"/>
    <w:basedOn w:val="TableNormal"/>
    <w:uiPriority w:val="59"/>
    <w:rsid w:val="00B174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1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1A0"/>
    <w:rPr>
      <w:rFonts w:ascii="Tahoma" w:hAnsi="Tahoma" w:cs="Tahoma"/>
      <w:sz w:val="16"/>
      <w:szCs w:val="16"/>
    </w:rPr>
  </w:style>
  <w:style w:type="paragraph" w:customStyle="1" w:styleId="Default">
    <w:name w:val="Default"/>
    <w:rsid w:val="009F5E6F"/>
    <w:pPr>
      <w:autoSpaceDE w:val="0"/>
      <w:autoSpaceDN w:val="0"/>
      <w:adjustRightInd w:val="0"/>
      <w:spacing w:line="240" w:lineRule="auto"/>
    </w:pPr>
    <w:rPr>
      <w:rFonts w:ascii="Arial" w:hAnsi="Arial" w:cs="Arial"/>
      <w:color w:val="000000"/>
      <w:sz w:val="24"/>
      <w:szCs w:val="24"/>
    </w:rPr>
  </w:style>
  <w:style w:type="paragraph" w:styleId="Header">
    <w:name w:val="header"/>
    <w:basedOn w:val="Normal"/>
    <w:link w:val="HeaderChar"/>
    <w:uiPriority w:val="99"/>
    <w:unhideWhenUsed/>
    <w:rsid w:val="005D0DC2"/>
    <w:pPr>
      <w:tabs>
        <w:tab w:val="center" w:pos="4513"/>
        <w:tab w:val="right" w:pos="9026"/>
      </w:tabs>
      <w:spacing w:line="240" w:lineRule="auto"/>
    </w:pPr>
  </w:style>
  <w:style w:type="character" w:customStyle="1" w:styleId="HeaderChar">
    <w:name w:val="Header Char"/>
    <w:basedOn w:val="DefaultParagraphFont"/>
    <w:link w:val="Header"/>
    <w:uiPriority w:val="99"/>
    <w:rsid w:val="005D0DC2"/>
  </w:style>
  <w:style w:type="paragraph" w:styleId="Footer">
    <w:name w:val="footer"/>
    <w:basedOn w:val="Normal"/>
    <w:link w:val="FooterChar"/>
    <w:uiPriority w:val="99"/>
    <w:unhideWhenUsed/>
    <w:rsid w:val="005D0DC2"/>
    <w:pPr>
      <w:tabs>
        <w:tab w:val="center" w:pos="4513"/>
        <w:tab w:val="right" w:pos="9026"/>
      </w:tabs>
      <w:spacing w:line="240" w:lineRule="auto"/>
    </w:pPr>
  </w:style>
  <w:style w:type="character" w:customStyle="1" w:styleId="FooterChar">
    <w:name w:val="Footer Char"/>
    <w:basedOn w:val="DefaultParagraphFont"/>
    <w:link w:val="Footer"/>
    <w:uiPriority w:val="99"/>
    <w:rsid w:val="005D0DC2"/>
  </w:style>
  <w:style w:type="character" w:styleId="CommentReference">
    <w:name w:val="annotation reference"/>
    <w:basedOn w:val="DefaultParagraphFont"/>
    <w:uiPriority w:val="99"/>
    <w:semiHidden/>
    <w:unhideWhenUsed/>
    <w:rsid w:val="006D189B"/>
    <w:rPr>
      <w:sz w:val="16"/>
      <w:szCs w:val="16"/>
    </w:rPr>
  </w:style>
  <w:style w:type="paragraph" w:styleId="CommentText">
    <w:name w:val="annotation text"/>
    <w:basedOn w:val="Normal"/>
    <w:link w:val="CommentTextChar"/>
    <w:uiPriority w:val="99"/>
    <w:unhideWhenUsed/>
    <w:rsid w:val="006D189B"/>
    <w:pPr>
      <w:spacing w:line="240" w:lineRule="auto"/>
    </w:pPr>
    <w:rPr>
      <w:sz w:val="20"/>
      <w:szCs w:val="20"/>
    </w:rPr>
  </w:style>
  <w:style w:type="character" w:customStyle="1" w:styleId="CommentTextChar">
    <w:name w:val="Comment Text Char"/>
    <w:basedOn w:val="DefaultParagraphFont"/>
    <w:link w:val="CommentText"/>
    <w:uiPriority w:val="99"/>
    <w:rsid w:val="006D189B"/>
    <w:rPr>
      <w:sz w:val="20"/>
      <w:szCs w:val="20"/>
    </w:rPr>
  </w:style>
  <w:style w:type="paragraph" w:styleId="CommentSubject">
    <w:name w:val="annotation subject"/>
    <w:basedOn w:val="CommentText"/>
    <w:next w:val="CommentText"/>
    <w:link w:val="CommentSubjectChar"/>
    <w:uiPriority w:val="99"/>
    <w:semiHidden/>
    <w:unhideWhenUsed/>
    <w:rsid w:val="006D189B"/>
    <w:rPr>
      <w:b/>
      <w:bCs/>
    </w:rPr>
  </w:style>
  <w:style w:type="character" w:customStyle="1" w:styleId="CommentSubjectChar">
    <w:name w:val="Comment Subject Char"/>
    <w:basedOn w:val="CommentTextChar"/>
    <w:link w:val="CommentSubject"/>
    <w:uiPriority w:val="99"/>
    <w:semiHidden/>
    <w:rsid w:val="006D189B"/>
    <w:rPr>
      <w:b/>
      <w:bCs/>
      <w:sz w:val="20"/>
      <w:szCs w:val="20"/>
    </w:rPr>
  </w:style>
  <w:style w:type="character" w:styleId="Emphasis">
    <w:name w:val="Emphasis"/>
    <w:basedOn w:val="DefaultParagraphFont"/>
    <w:uiPriority w:val="20"/>
    <w:qFormat/>
    <w:rsid w:val="007946C7"/>
    <w:rPr>
      <w:i/>
      <w:iCs/>
    </w:rPr>
  </w:style>
  <w:style w:type="character" w:styleId="FollowedHyperlink">
    <w:name w:val="FollowedHyperlink"/>
    <w:basedOn w:val="DefaultParagraphFont"/>
    <w:uiPriority w:val="99"/>
    <w:semiHidden/>
    <w:unhideWhenUsed/>
    <w:rsid w:val="00EE44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7772">
      <w:bodyDiv w:val="1"/>
      <w:marLeft w:val="0"/>
      <w:marRight w:val="0"/>
      <w:marTop w:val="0"/>
      <w:marBottom w:val="0"/>
      <w:divBdr>
        <w:top w:val="none" w:sz="0" w:space="0" w:color="auto"/>
        <w:left w:val="none" w:sz="0" w:space="0" w:color="auto"/>
        <w:bottom w:val="none" w:sz="0" w:space="0" w:color="auto"/>
        <w:right w:val="none" w:sz="0" w:space="0" w:color="auto"/>
      </w:divBdr>
      <w:divsChild>
        <w:div w:id="999424968">
          <w:marLeft w:val="0"/>
          <w:marRight w:val="0"/>
          <w:marTop w:val="0"/>
          <w:marBottom w:val="0"/>
          <w:divBdr>
            <w:top w:val="none" w:sz="0" w:space="0" w:color="auto"/>
            <w:left w:val="none" w:sz="0" w:space="0" w:color="auto"/>
            <w:bottom w:val="none" w:sz="0" w:space="0" w:color="auto"/>
            <w:right w:val="none" w:sz="0" w:space="0" w:color="auto"/>
          </w:divBdr>
        </w:div>
        <w:div w:id="1154491633">
          <w:marLeft w:val="0"/>
          <w:marRight w:val="0"/>
          <w:marTop w:val="0"/>
          <w:marBottom w:val="0"/>
          <w:divBdr>
            <w:top w:val="none" w:sz="0" w:space="0" w:color="auto"/>
            <w:left w:val="none" w:sz="0" w:space="0" w:color="auto"/>
            <w:bottom w:val="none" w:sz="0" w:space="0" w:color="auto"/>
            <w:right w:val="none" w:sz="0" w:space="0" w:color="auto"/>
          </w:divBdr>
        </w:div>
        <w:div w:id="1327201033">
          <w:marLeft w:val="0"/>
          <w:marRight w:val="0"/>
          <w:marTop w:val="0"/>
          <w:marBottom w:val="0"/>
          <w:divBdr>
            <w:top w:val="none" w:sz="0" w:space="0" w:color="auto"/>
            <w:left w:val="none" w:sz="0" w:space="0" w:color="auto"/>
            <w:bottom w:val="none" w:sz="0" w:space="0" w:color="auto"/>
            <w:right w:val="none" w:sz="0" w:space="0" w:color="auto"/>
          </w:divBdr>
        </w:div>
        <w:div w:id="1901557046">
          <w:marLeft w:val="0"/>
          <w:marRight w:val="0"/>
          <w:marTop w:val="0"/>
          <w:marBottom w:val="0"/>
          <w:divBdr>
            <w:top w:val="none" w:sz="0" w:space="0" w:color="auto"/>
            <w:left w:val="none" w:sz="0" w:space="0" w:color="auto"/>
            <w:bottom w:val="none" w:sz="0" w:space="0" w:color="auto"/>
            <w:right w:val="none" w:sz="0" w:space="0" w:color="auto"/>
          </w:divBdr>
        </w:div>
      </w:divsChild>
    </w:div>
    <w:div w:id="198008334">
      <w:bodyDiv w:val="1"/>
      <w:marLeft w:val="0"/>
      <w:marRight w:val="0"/>
      <w:marTop w:val="0"/>
      <w:marBottom w:val="0"/>
      <w:divBdr>
        <w:top w:val="none" w:sz="0" w:space="0" w:color="auto"/>
        <w:left w:val="none" w:sz="0" w:space="0" w:color="auto"/>
        <w:bottom w:val="none" w:sz="0" w:space="0" w:color="auto"/>
        <w:right w:val="none" w:sz="0" w:space="0" w:color="auto"/>
      </w:divBdr>
      <w:divsChild>
        <w:div w:id="785738652">
          <w:marLeft w:val="0"/>
          <w:marRight w:val="0"/>
          <w:marTop w:val="0"/>
          <w:marBottom w:val="0"/>
          <w:divBdr>
            <w:top w:val="none" w:sz="0" w:space="0" w:color="auto"/>
            <w:left w:val="none" w:sz="0" w:space="0" w:color="auto"/>
            <w:bottom w:val="none" w:sz="0" w:space="0" w:color="auto"/>
            <w:right w:val="none" w:sz="0" w:space="0" w:color="auto"/>
          </w:divBdr>
        </w:div>
        <w:div w:id="1249119274">
          <w:marLeft w:val="0"/>
          <w:marRight w:val="0"/>
          <w:marTop w:val="0"/>
          <w:marBottom w:val="0"/>
          <w:divBdr>
            <w:top w:val="none" w:sz="0" w:space="0" w:color="auto"/>
            <w:left w:val="none" w:sz="0" w:space="0" w:color="auto"/>
            <w:bottom w:val="none" w:sz="0" w:space="0" w:color="auto"/>
            <w:right w:val="none" w:sz="0" w:space="0" w:color="auto"/>
          </w:divBdr>
        </w:div>
        <w:div w:id="1663579071">
          <w:marLeft w:val="0"/>
          <w:marRight w:val="0"/>
          <w:marTop w:val="0"/>
          <w:marBottom w:val="0"/>
          <w:divBdr>
            <w:top w:val="none" w:sz="0" w:space="0" w:color="auto"/>
            <w:left w:val="none" w:sz="0" w:space="0" w:color="auto"/>
            <w:bottom w:val="none" w:sz="0" w:space="0" w:color="auto"/>
            <w:right w:val="none" w:sz="0" w:space="0" w:color="auto"/>
          </w:divBdr>
        </w:div>
        <w:div w:id="1877808914">
          <w:marLeft w:val="0"/>
          <w:marRight w:val="0"/>
          <w:marTop w:val="0"/>
          <w:marBottom w:val="0"/>
          <w:divBdr>
            <w:top w:val="none" w:sz="0" w:space="0" w:color="auto"/>
            <w:left w:val="none" w:sz="0" w:space="0" w:color="auto"/>
            <w:bottom w:val="none" w:sz="0" w:space="0" w:color="auto"/>
            <w:right w:val="none" w:sz="0" w:space="0" w:color="auto"/>
          </w:divBdr>
        </w:div>
      </w:divsChild>
    </w:div>
    <w:div w:id="209806014">
      <w:bodyDiv w:val="1"/>
      <w:marLeft w:val="0"/>
      <w:marRight w:val="0"/>
      <w:marTop w:val="0"/>
      <w:marBottom w:val="0"/>
      <w:divBdr>
        <w:top w:val="none" w:sz="0" w:space="0" w:color="auto"/>
        <w:left w:val="none" w:sz="0" w:space="0" w:color="auto"/>
        <w:bottom w:val="none" w:sz="0" w:space="0" w:color="auto"/>
        <w:right w:val="none" w:sz="0" w:space="0" w:color="auto"/>
      </w:divBdr>
    </w:div>
    <w:div w:id="465468168">
      <w:bodyDiv w:val="1"/>
      <w:marLeft w:val="0"/>
      <w:marRight w:val="0"/>
      <w:marTop w:val="0"/>
      <w:marBottom w:val="0"/>
      <w:divBdr>
        <w:top w:val="none" w:sz="0" w:space="0" w:color="auto"/>
        <w:left w:val="none" w:sz="0" w:space="0" w:color="auto"/>
        <w:bottom w:val="none" w:sz="0" w:space="0" w:color="auto"/>
        <w:right w:val="none" w:sz="0" w:space="0" w:color="auto"/>
      </w:divBdr>
    </w:div>
    <w:div w:id="473986840">
      <w:bodyDiv w:val="1"/>
      <w:marLeft w:val="0"/>
      <w:marRight w:val="0"/>
      <w:marTop w:val="0"/>
      <w:marBottom w:val="0"/>
      <w:divBdr>
        <w:top w:val="none" w:sz="0" w:space="0" w:color="auto"/>
        <w:left w:val="none" w:sz="0" w:space="0" w:color="auto"/>
        <w:bottom w:val="none" w:sz="0" w:space="0" w:color="auto"/>
        <w:right w:val="none" w:sz="0" w:space="0" w:color="auto"/>
      </w:divBdr>
    </w:div>
    <w:div w:id="574899124">
      <w:bodyDiv w:val="1"/>
      <w:marLeft w:val="0"/>
      <w:marRight w:val="0"/>
      <w:marTop w:val="0"/>
      <w:marBottom w:val="0"/>
      <w:divBdr>
        <w:top w:val="none" w:sz="0" w:space="0" w:color="auto"/>
        <w:left w:val="none" w:sz="0" w:space="0" w:color="auto"/>
        <w:bottom w:val="none" w:sz="0" w:space="0" w:color="auto"/>
        <w:right w:val="none" w:sz="0" w:space="0" w:color="auto"/>
      </w:divBdr>
      <w:divsChild>
        <w:div w:id="904923481">
          <w:marLeft w:val="0"/>
          <w:marRight w:val="0"/>
          <w:marTop w:val="0"/>
          <w:marBottom w:val="0"/>
          <w:divBdr>
            <w:top w:val="none" w:sz="0" w:space="0" w:color="auto"/>
            <w:left w:val="none" w:sz="0" w:space="0" w:color="auto"/>
            <w:bottom w:val="none" w:sz="0" w:space="0" w:color="auto"/>
            <w:right w:val="none" w:sz="0" w:space="0" w:color="auto"/>
          </w:divBdr>
        </w:div>
        <w:div w:id="1057782367">
          <w:marLeft w:val="0"/>
          <w:marRight w:val="0"/>
          <w:marTop w:val="0"/>
          <w:marBottom w:val="0"/>
          <w:divBdr>
            <w:top w:val="none" w:sz="0" w:space="0" w:color="auto"/>
            <w:left w:val="none" w:sz="0" w:space="0" w:color="auto"/>
            <w:bottom w:val="none" w:sz="0" w:space="0" w:color="auto"/>
            <w:right w:val="none" w:sz="0" w:space="0" w:color="auto"/>
          </w:divBdr>
        </w:div>
      </w:divsChild>
    </w:div>
    <w:div w:id="914247115">
      <w:bodyDiv w:val="1"/>
      <w:marLeft w:val="0"/>
      <w:marRight w:val="0"/>
      <w:marTop w:val="0"/>
      <w:marBottom w:val="0"/>
      <w:divBdr>
        <w:top w:val="none" w:sz="0" w:space="0" w:color="auto"/>
        <w:left w:val="none" w:sz="0" w:space="0" w:color="auto"/>
        <w:bottom w:val="none" w:sz="0" w:space="0" w:color="auto"/>
        <w:right w:val="none" w:sz="0" w:space="0" w:color="auto"/>
      </w:divBdr>
      <w:divsChild>
        <w:div w:id="320934189">
          <w:marLeft w:val="0"/>
          <w:marRight w:val="0"/>
          <w:marTop w:val="0"/>
          <w:marBottom w:val="0"/>
          <w:divBdr>
            <w:top w:val="none" w:sz="0" w:space="0" w:color="auto"/>
            <w:left w:val="none" w:sz="0" w:space="0" w:color="auto"/>
            <w:bottom w:val="none" w:sz="0" w:space="0" w:color="auto"/>
            <w:right w:val="none" w:sz="0" w:space="0" w:color="auto"/>
          </w:divBdr>
        </w:div>
        <w:div w:id="743184372">
          <w:marLeft w:val="0"/>
          <w:marRight w:val="0"/>
          <w:marTop w:val="0"/>
          <w:marBottom w:val="0"/>
          <w:divBdr>
            <w:top w:val="none" w:sz="0" w:space="0" w:color="auto"/>
            <w:left w:val="none" w:sz="0" w:space="0" w:color="auto"/>
            <w:bottom w:val="none" w:sz="0" w:space="0" w:color="auto"/>
            <w:right w:val="none" w:sz="0" w:space="0" w:color="auto"/>
          </w:divBdr>
        </w:div>
        <w:div w:id="1733652593">
          <w:marLeft w:val="0"/>
          <w:marRight w:val="0"/>
          <w:marTop w:val="0"/>
          <w:marBottom w:val="0"/>
          <w:divBdr>
            <w:top w:val="none" w:sz="0" w:space="0" w:color="auto"/>
            <w:left w:val="none" w:sz="0" w:space="0" w:color="auto"/>
            <w:bottom w:val="none" w:sz="0" w:space="0" w:color="auto"/>
            <w:right w:val="none" w:sz="0" w:space="0" w:color="auto"/>
          </w:divBdr>
        </w:div>
        <w:div w:id="2079864463">
          <w:marLeft w:val="0"/>
          <w:marRight w:val="0"/>
          <w:marTop w:val="0"/>
          <w:marBottom w:val="0"/>
          <w:divBdr>
            <w:top w:val="none" w:sz="0" w:space="0" w:color="auto"/>
            <w:left w:val="none" w:sz="0" w:space="0" w:color="auto"/>
            <w:bottom w:val="none" w:sz="0" w:space="0" w:color="auto"/>
            <w:right w:val="none" w:sz="0" w:space="0" w:color="auto"/>
          </w:divBdr>
        </w:div>
      </w:divsChild>
    </w:div>
    <w:div w:id="1384984375">
      <w:bodyDiv w:val="1"/>
      <w:marLeft w:val="0"/>
      <w:marRight w:val="0"/>
      <w:marTop w:val="0"/>
      <w:marBottom w:val="0"/>
      <w:divBdr>
        <w:top w:val="none" w:sz="0" w:space="0" w:color="auto"/>
        <w:left w:val="none" w:sz="0" w:space="0" w:color="auto"/>
        <w:bottom w:val="none" w:sz="0" w:space="0" w:color="auto"/>
        <w:right w:val="none" w:sz="0" w:space="0" w:color="auto"/>
      </w:divBdr>
    </w:div>
    <w:div w:id="1407611208">
      <w:bodyDiv w:val="1"/>
      <w:marLeft w:val="0"/>
      <w:marRight w:val="0"/>
      <w:marTop w:val="0"/>
      <w:marBottom w:val="0"/>
      <w:divBdr>
        <w:top w:val="none" w:sz="0" w:space="0" w:color="auto"/>
        <w:left w:val="none" w:sz="0" w:space="0" w:color="auto"/>
        <w:bottom w:val="none" w:sz="0" w:space="0" w:color="auto"/>
        <w:right w:val="none" w:sz="0" w:space="0" w:color="auto"/>
      </w:divBdr>
      <w:divsChild>
        <w:div w:id="966545205">
          <w:marLeft w:val="0"/>
          <w:marRight w:val="0"/>
          <w:marTop w:val="0"/>
          <w:marBottom w:val="0"/>
          <w:divBdr>
            <w:top w:val="none" w:sz="0" w:space="0" w:color="auto"/>
            <w:left w:val="none" w:sz="0" w:space="0" w:color="auto"/>
            <w:bottom w:val="none" w:sz="0" w:space="0" w:color="auto"/>
            <w:right w:val="none" w:sz="0" w:space="0" w:color="auto"/>
          </w:divBdr>
        </w:div>
        <w:div w:id="1314947006">
          <w:marLeft w:val="0"/>
          <w:marRight w:val="0"/>
          <w:marTop w:val="0"/>
          <w:marBottom w:val="0"/>
          <w:divBdr>
            <w:top w:val="none" w:sz="0" w:space="0" w:color="auto"/>
            <w:left w:val="none" w:sz="0" w:space="0" w:color="auto"/>
            <w:bottom w:val="none" w:sz="0" w:space="0" w:color="auto"/>
            <w:right w:val="none" w:sz="0" w:space="0" w:color="auto"/>
          </w:divBdr>
        </w:div>
      </w:divsChild>
    </w:div>
    <w:div w:id="1778452581">
      <w:bodyDiv w:val="1"/>
      <w:marLeft w:val="0"/>
      <w:marRight w:val="0"/>
      <w:marTop w:val="0"/>
      <w:marBottom w:val="0"/>
      <w:divBdr>
        <w:top w:val="none" w:sz="0" w:space="0" w:color="auto"/>
        <w:left w:val="none" w:sz="0" w:space="0" w:color="auto"/>
        <w:bottom w:val="none" w:sz="0" w:space="0" w:color="auto"/>
        <w:right w:val="none" w:sz="0" w:space="0" w:color="auto"/>
      </w:divBdr>
      <w:divsChild>
        <w:div w:id="600341412">
          <w:marLeft w:val="0"/>
          <w:marRight w:val="0"/>
          <w:marTop w:val="0"/>
          <w:marBottom w:val="0"/>
          <w:divBdr>
            <w:top w:val="none" w:sz="0" w:space="0" w:color="auto"/>
            <w:left w:val="none" w:sz="0" w:space="0" w:color="auto"/>
            <w:bottom w:val="none" w:sz="0" w:space="0" w:color="auto"/>
            <w:right w:val="none" w:sz="0" w:space="0" w:color="auto"/>
          </w:divBdr>
        </w:div>
        <w:div w:id="694620756">
          <w:marLeft w:val="0"/>
          <w:marRight w:val="0"/>
          <w:marTop w:val="0"/>
          <w:marBottom w:val="0"/>
          <w:divBdr>
            <w:top w:val="none" w:sz="0" w:space="0" w:color="auto"/>
            <w:left w:val="none" w:sz="0" w:space="0" w:color="auto"/>
            <w:bottom w:val="none" w:sz="0" w:space="0" w:color="auto"/>
            <w:right w:val="none" w:sz="0" w:space="0" w:color="auto"/>
          </w:divBdr>
        </w:div>
        <w:div w:id="1469739893">
          <w:marLeft w:val="0"/>
          <w:marRight w:val="0"/>
          <w:marTop w:val="0"/>
          <w:marBottom w:val="0"/>
          <w:divBdr>
            <w:top w:val="none" w:sz="0" w:space="0" w:color="auto"/>
            <w:left w:val="none" w:sz="0" w:space="0" w:color="auto"/>
            <w:bottom w:val="none" w:sz="0" w:space="0" w:color="auto"/>
            <w:right w:val="none" w:sz="0" w:space="0" w:color="auto"/>
          </w:divBdr>
        </w:div>
        <w:div w:id="1582256722">
          <w:marLeft w:val="0"/>
          <w:marRight w:val="0"/>
          <w:marTop w:val="0"/>
          <w:marBottom w:val="0"/>
          <w:divBdr>
            <w:top w:val="none" w:sz="0" w:space="0" w:color="auto"/>
            <w:left w:val="none" w:sz="0" w:space="0" w:color="auto"/>
            <w:bottom w:val="none" w:sz="0" w:space="0" w:color="auto"/>
            <w:right w:val="none" w:sz="0" w:space="0" w:color="auto"/>
          </w:divBdr>
        </w:div>
        <w:div w:id="1890455952">
          <w:marLeft w:val="0"/>
          <w:marRight w:val="0"/>
          <w:marTop w:val="0"/>
          <w:marBottom w:val="0"/>
          <w:divBdr>
            <w:top w:val="none" w:sz="0" w:space="0" w:color="auto"/>
            <w:left w:val="none" w:sz="0" w:space="0" w:color="auto"/>
            <w:bottom w:val="none" w:sz="0" w:space="0" w:color="auto"/>
            <w:right w:val="none" w:sz="0" w:space="0" w:color="auto"/>
          </w:divBdr>
        </w:div>
      </w:divsChild>
    </w:div>
    <w:div w:id="1841773589">
      <w:bodyDiv w:val="1"/>
      <w:marLeft w:val="0"/>
      <w:marRight w:val="0"/>
      <w:marTop w:val="0"/>
      <w:marBottom w:val="0"/>
      <w:divBdr>
        <w:top w:val="none" w:sz="0" w:space="0" w:color="auto"/>
        <w:left w:val="none" w:sz="0" w:space="0" w:color="auto"/>
        <w:bottom w:val="none" w:sz="0" w:space="0" w:color="auto"/>
        <w:right w:val="none" w:sz="0" w:space="0" w:color="auto"/>
      </w:divBdr>
    </w:div>
    <w:div w:id="1856649526">
      <w:bodyDiv w:val="1"/>
      <w:marLeft w:val="0"/>
      <w:marRight w:val="0"/>
      <w:marTop w:val="0"/>
      <w:marBottom w:val="0"/>
      <w:divBdr>
        <w:top w:val="none" w:sz="0" w:space="0" w:color="auto"/>
        <w:left w:val="none" w:sz="0" w:space="0" w:color="auto"/>
        <w:bottom w:val="none" w:sz="0" w:space="0" w:color="auto"/>
        <w:right w:val="none" w:sz="0" w:space="0" w:color="auto"/>
      </w:divBdr>
      <w:divsChild>
        <w:div w:id="54663903">
          <w:marLeft w:val="0"/>
          <w:marRight w:val="0"/>
          <w:marTop w:val="0"/>
          <w:marBottom w:val="0"/>
          <w:divBdr>
            <w:top w:val="none" w:sz="0" w:space="0" w:color="auto"/>
            <w:left w:val="none" w:sz="0" w:space="0" w:color="auto"/>
            <w:bottom w:val="none" w:sz="0" w:space="0" w:color="auto"/>
            <w:right w:val="none" w:sz="0" w:space="0" w:color="auto"/>
          </w:divBdr>
        </w:div>
        <w:div w:id="101917711">
          <w:marLeft w:val="0"/>
          <w:marRight w:val="0"/>
          <w:marTop w:val="0"/>
          <w:marBottom w:val="0"/>
          <w:divBdr>
            <w:top w:val="none" w:sz="0" w:space="0" w:color="auto"/>
            <w:left w:val="none" w:sz="0" w:space="0" w:color="auto"/>
            <w:bottom w:val="none" w:sz="0" w:space="0" w:color="auto"/>
            <w:right w:val="none" w:sz="0" w:space="0" w:color="auto"/>
          </w:divBdr>
        </w:div>
        <w:div w:id="126513419">
          <w:marLeft w:val="0"/>
          <w:marRight w:val="0"/>
          <w:marTop w:val="0"/>
          <w:marBottom w:val="0"/>
          <w:divBdr>
            <w:top w:val="none" w:sz="0" w:space="0" w:color="auto"/>
            <w:left w:val="none" w:sz="0" w:space="0" w:color="auto"/>
            <w:bottom w:val="none" w:sz="0" w:space="0" w:color="auto"/>
            <w:right w:val="none" w:sz="0" w:space="0" w:color="auto"/>
          </w:divBdr>
        </w:div>
        <w:div w:id="133252935">
          <w:marLeft w:val="0"/>
          <w:marRight w:val="0"/>
          <w:marTop w:val="0"/>
          <w:marBottom w:val="0"/>
          <w:divBdr>
            <w:top w:val="none" w:sz="0" w:space="0" w:color="auto"/>
            <w:left w:val="none" w:sz="0" w:space="0" w:color="auto"/>
            <w:bottom w:val="none" w:sz="0" w:space="0" w:color="auto"/>
            <w:right w:val="none" w:sz="0" w:space="0" w:color="auto"/>
          </w:divBdr>
        </w:div>
        <w:div w:id="146481897">
          <w:marLeft w:val="0"/>
          <w:marRight w:val="0"/>
          <w:marTop w:val="0"/>
          <w:marBottom w:val="0"/>
          <w:divBdr>
            <w:top w:val="none" w:sz="0" w:space="0" w:color="auto"/>
            <w:left w:val="none" w:sz="0" w:space="0" w:color="auto"/>
            <w:bottom w:val="none" w:sz="0" w:space="0" w:color="auto"/>
            <w:right w:val="none" w:sz="0" w:space="0" w:color="auto"/>
          </w:divBdr>
        </w:div>
        <w:div w:id="152333131">
          <w:marLeft w:val="0"/>
          <w:marRight w:val="0"/>
          <w:marTop w:val="0"/>
          <w:marBottom w:val="0"/>
          <w:divBdr>
            <w:top w:val="none" w:sz="0" w:space="0" w:color="auto"/>
            <w:left w:val="none" w:sz="0" w:space="0" w:color="auto"/>
            <w:bottom w:val="none" w:sz="0" w:space="0" w:color="auto"/>
            <w:right w:val="none" w:sz="0" w:space="0" w:color="auto"/>
          </w:divBdr>
        </w:div>
        <w:div w:id="166402684">
          <w:marLeft w:val="0"/>
          <w:marRight w:val="0"/>
          <w:marTop w:val="0"/>
          <w:marBottom w:val="0"/>
          <w:divBdr>
            <w:top w:val="none" w:sz="0" w:space="0" w:color="auto"/>
            <w:left w:val="none" w:sz="0" w:space="0" w:color="auto"/>
            <w:bottom w:val="none" w:sz="0" w:space="0" w:color="auto"/>
            <w:right w:val="none" w:sz="0" w:space="0" w:color="auto"/>
          </w:divBdr>
        </w:div>
        <w:div w:id="181624635">
          <w:marLeft w:val="0"/>
          <w:marRight w:val="0"/>
          <w:marTop w:val="0"/>
          <w:marBottom w:val="0"/>
          <w:divBdr>
            <w:top w:val="none" w:sz="0" w:space="0" w:color="auto"/>
            <w:left w:val="none" w:sz="0" w:space="0" w:color="auto"/>
            <w:bottom w:val="none" w:sz="0" w:space="0" w:color="auto"/>
            <w:right w:val="none" w:sz="0" w:space="0" w:color="auto"/>
          </w:divBdr>
        </w:div>
        <w:div w:id="204026608">
          <w:marLeft w:val="0"/>
          <w:marRight w:val="0"/>
          <w:marTop w:val="0"/>
          <w:marBottom w:val="0"/>
          <w:divBdr>
            <w:top w:val="none" w:sz="0" w:space="0" w:color="auto"/>
            <w:left w:val="none" w:sz="0" w:space="0" w:color="auto"/>
            <w:bottom w:val="none" w:sz="0" w:space="0" w:color="auto"/>
            <w:right w:val="none" w:sz="0" w:space="0" w:color="auto"/>
          </w:divBdr>
        </w:div>
        <w:div w:id="228149088">
          <w:marLeft w:val="0"/>
          <w:marRight w:val="0"/>
          <w:marTop w:val="0"/>
          <w:marBottom w:val="0"/>
          <w:divBdr>
            <w:top w:val="none" w:sz="0" w:space="0" w:color="auto"/>
            <w:left w:val="none" w:sz="0" w:space="0" w:color="auto"/>
            <w:bottom w:val="none" w:sz="0" w:space="0" w:color="auto"/>
            <w:right w:val="none" w:sz="0" w:space="0" w:color="auto"/>
          </w:divBdr>
        </w:div>
        <w:div w:id="236674927">
          <w:marLeft w:val="0"/>
          <w:marRight w:val="0"/>
          <w:marTop w:val="0"/>
          <w:marBottom w:val="0"/>
          <w:divBdr>
            <w:top w:val="none" w:sz="0" w:space="0" w:color="auto"/>
            <w:left w:val="none" w:sz="0" w:space="0" w:color="auto"/>
            <w:bottom w:val="none" w:sz="0" w:space="0" w:color="auto"/>
            <w:right w:val="none" w:sz="0" w:space="0" w:color="auto"/>
          </w:divBdr>
        </w:div>
        <w:div w:id="291983642">
          <w:marLeft w:val="0"/>
          <w:marRight w:val="0"/>
          <w:marTop w:val="0"/>
          <w:marBottom w:val="0"/>
          <w:divBdr>
            <w:top w:val="none" w:sz="0" w:space="0" w:color="auto"/>
            <w:left w:val="none" w:sz="0" w:space="0" w:color="auto"/>
            <w:bottom w:val="none" w:sz="0" w:space="0" w:color="auto"/>
            <w:right w:val="none" w:sz="0" w:space="0" w:color="auto"/>
          </w:divBdr>
        </w:div>
        <w:div w:id="296762291">
          <w:marLeft w:val="0"/>
          <w:marRight w:val="0"/>
          <w:marTop w:val="0"/>
          <w:marBottom w:val="0"/>
          <w:divBdr>
            <w:top w:val="none" w:sz="0" w:space="0" w:color="auto"/>
            <w:left w:val="none" w:sz="0" w:space="0" w:color="auto"/>
            <w:bottom w:val="none" w:sz="0" w:space="0" w:color="auto"/>
            <w:right w:val="none" w:sz="0" w:space="0" w:color="auto"/>
          </w:divBdr>
        </w:div>
        <w:div w:id="331837974">
          <w:marLeft w:val="0"/>
          <w:marRight w:val="0"/>
          <w:marTop w:val="0"/>
          <w:marBottom w:val="0"/>
          <w:divBdr>
            <w:top w:val="none" w:sz="0" w:space="0" w:color="auto"/>
            <w:left w:val="none" w:sz="0" w:space="0" w:color="auto"/>
            <w:bottom w:val="none" w:sz="0" w:space="0" w:color="auto"/>
            <w:right w:val="none" w:sz="0" w:space="0" w:color="auto"/>
          </w:divBdr>
        </w:div>
        <w:div w:id="446000272">
          <w:marLeft w:val="0"/>
          <w:marRight w:val="0"/>
          <w:marTop w:val="0"/>
          <w:marBottom w:val="0"/>
          <w:divBdr>
            <w:top w:val="none" w:sz="0" w:space="0" w:color="auto"/>
            <w:left w:val="none" w:sz="0" w:space="0" w:color="auto"/>
            <w:bottom w:val="none" w:sz="0" w:space="0" w:color="auto"/>
            <w:right w:val="none" w:sz="0" w:space="0" w:color="auto"/>
          </w:divBdr>
        </w:div>
        <w:div w:id="458190056">
          <w:marLeft w:val="0"/>
          <w:marRight w:val="0"/>
          <w:marTop w:val="0"/>
          <w:marBottom w:val="0"/>
          <w:divBdr>
            <w:top w:val="none" w:sz="0" w:space="0" w:color="auto"/>
            <w:left w:val="none" w:sz="0" w:space="0" w:color="auto"/>
            <w:bottom w:val="none" w:sz="0" w:space="0" w:color="auto"/>
            <w:right w:val="none" w:sz="0" w:space="0" w:color="auto"/>
          </w:divBdr>
        </w:div>
        <w:div w:id="472874763">
          <w:marLeft w:val="0"/>
          <w:marRight w:val="0"/>
          <w:marTop w:val="0"/>
          <w:marBottom w:val="0"/>
          <w:divBdr>
            <w:top w:val="none" w:sz="0" w:space="0" w:color="auto"/>
            <w:left w:val="none" w:sz="0" w:space="0" w:color="auto"/>
            <w:bottom w:val="none" w:sz="0" w:space="0" w:color="auto"/>
            <w:right w:val="none" w:sz="0" w:space="0" w:color="auto"/>
          </w:divBdr>
        </w:div>
        <w:div w:id="486480287">
          <w:marLeft w:val="0"/>
          <w:marRight w:val="0"/>
          <w:marTop w:val="0"/>
          <w:marBottom w:val="0"/>
          <w:divBdr>
            <w:top w:val="none" w:sz="0" w:space="0" w:color="auto"/>
            <w:left w:val="none" w:sz="0" w:space="0" w:color="auto"/>
            <w:bottom w:val="none" w:sz="0" w:space="0" w:color="auto"/>
            <w:right w:val="none" w:sz="0" w:space="0" w:color="auto"/>
          </w:divBdr>
        </w:div>
        <w:div w:id="494226992">
          <w:marLeft w:val="0"/>
          <w:marRight w:val="0"/>
          <w:marTop w:val="0"/>
          <w:marBottom w:val="0"/>
          <w:divBdr>
            <w:top w:val="none" w:sz="0" w:space="0" w:color="auto"/>
            <w:left w:val="none" w:sz="0" w:space="0" w:color="auto"/>
            <w:bottom w:val="none" w:sz="0" w:space="0" w:color="auto"/>
            <w:right w:val="none" w:sz="0" w:space="0" w:color="auto"/>
          </w:divBdr>
        </w:div>
        <w:div w:id="526139244">
          <w:marLeft w:val="0"/>
          <w:marRight w:val="0"/>
          <w:marTop w:val="0"/>
          <w:marBottom w:val="0"/>
          <w:divBdr>
            <w:top w:val="none" w:sz="0" w:space="0" w:color="auto"/>
            <w:left w:val="none" w:sz="0" w:space="0" w:color="auto"/>
            <w:bottom w:val="none" w:sz="0" w:space="0" w:color="auto"/>
            <w:right w:val="none" w:sz="0" w:space="0" w:color="auto"/>
          </w:divBdr>
        </w:div>
        <w:div w:id="547113427">
          <w:marLeft w:val="0"/>
          <w:marRight w:val="0"/>
          <w:marTop w:val="0"/>
          <w:marBottom w:val="0"/>
          <w:divBdr>
            <w:top w:val="none" w:sz="0" w:space="0" w:color="auto"/>
            <w:left w:val="none" w:sz="0" w:space="0" w:color="auto"/>
            <w:bottom w:val="none" w:sz="0" w:space="0" w:color="auto"/>
            <w:right w:val="none" w:sz="0" w:space="0" w:color="auto"/>
          </w:divBdr>
        </w:div>
        <w:div w:id="562326551">
          <w:marLeft w:val="0"/>
          <w:marRight w:val="0"/>
          <w:marTop w:val="0"/>
          <w:marBottom w:val="0"/>
          <w:divBdr>
            <w:top w:val="none" w:sz="0" w:space="0" w:color="auto"/>
            <w:left w:val="none" w:sz="0" w:space="0" w:color="auto"/>
            <w:bottom w:val="none" w:sz="0" w:space="0" w:color="auto"/>
            <w:right w:val="none" w:sz="0" w:space="0" w:color="auto"/>
          </w:divBdr>
        </w:div>
        <w:div w:id="624434304">
          <w:marLeft w:val="0"/>
          <w:marRight w:val="0"/>
          <w:marTop w:val="0"/>
          <w:marBottom w:val="0"/>
          <w:divBdr>
            <w:top w:val="none" w:sz="0" w:space="0" w:color="auto"/>
            <w:left w:val="none" w:sz="0" w:space="0" w:color="auto"/>
            <w:bottom w:val="none" w:sz="0" w:space="0" w:color="auto"/>
            <w:right w:val="none" w:sz="0" w:space="0" w:color="auto"/>
          </w:divBdr>
        </w:div>
        <w:div w:id="642588499">
          <w:marLeft w:val="0"/>
          <w:marRight w:val="0"/>
          <w:marTop w:val="0"/>
          <w:marBottom w:val="0"/>
          <w:divBdr>
            <w:top w:val="none" w:sz="0" w:space="0" w:color="auto"/>
            <w:left w:val="none" w:sz="0" w:space="0" w:color="auto"/>
            <w:bottom w:val="none" w:sz="0" w:space="0" w:color="auto"/>
            <w:right w:val="none" w:sz="0" w:space="0" w:color="auto"/>
          </w:divBdr>
        </w:div>
        <w:div w:id="664941953">
          <w:marLeft w:val="0"/>
          <w:marRight w:val="0"/>
          <w:marTop w:val="0"/>
          <w:marBottom w:val="0"/>
          <w:divBdr>
            <w:top w:val="none" w:sz="0" w:space="0" w:color="auto"/>
            <w:left w:val="none" w:sz="0" w:space="0" w:color="auto"/>
            <w:bottom w:val="none" w:sz="0" w:space="0" w:color="auto"/>
            <w:right w:val="none" w:sz="0" w:space="0" w:color="auto"/>
          </w:divBdr>
        </w:div>
        <w:div w:id="743185497">
          <w:marLeft w:val="0"/>
          <w:marRight w:val="0"/>
          <w:marTop w:val="0"/>
          <w:marBottom w:val="0"/>
          <w:divBdr>
            <w:top w:val="none" w:sz="0" w:space="0" w:color="auto"/>
            <w:left w:val="none" w:sz="0" w:space="0" w:color="auto"/>
            <w:bottom w:val="none" w:sz="0" w:space="0" w:color="auto"/>
            <w:right w:val="none" w:sz="0" w:space="0" w:color="auto"/>
          </w:divBdr>
        </w:div>
        <w:div w:id="758526575">
          <w:marLeft w:val="0"/>
          <w:marRight w:val="0"/>
          <w:marTop w:val="0"/>
          <w:marBottom w:val="0"/>
          <w:divBdr>
            <w:top w:val="none" w:sz="0" w:space="0" w:color="auto"/>
            <w:left w:val="none" w:sz="0" w:space="0" w:color="auto"/>
            <w:bottom w:val="none" w:sz="0" w:space="0" w:color="auto"/>
            <w:right w:val="none" w:sz="0" w:space="0" w:color="auto"/>
          </w:divBdr>
        </w:div>
        <w:div w:id="789906833">
          <w:marLeft w:val="0"/>
          <w:marRight w:val="0"/>
          <w:marTop w:val="0"/>
          <w:marBottom w:val="0"/>
          <w:divBdr>
            <w:top w:val="none" w:sz="0" w:space="0" w:color="auto"/>
            <w:left w:val="none" w:sz="0" w:space="0" w:color="auto"/>
            <w:bottom w:val="none" w:sz="0" w:space="0" w:color="auto"/>
            <w:right w:val="none" w:sz="0" w:space="0" w:color="auto"/>
          </w:divBdr>
        </w:div>
        <w:div w:id="820774308">
          <w:marLeft w:val="0"/>
          <w:marRight w:val="0"/>
          <w:marTop w:val="0"/>
          <w:marBottom w:val="0"/>
          <w:divBdr>
            <w:top w:val="none" w:sz="0" w:space="0" w:color="auto"/>
            <w:left w:val="none" w:sz="0" w:space="0" w:color="auto"/>
            <w:bottom w:val="none" w:sz="0" w:space="0" w:color="auto"/>
            <w:right w:val="none" w:sz="0" w:space="0" w:color="auto"/>
          </w:divBdr>
        </w:div>
        <w:div w:id="828910740">
          <w:marLeft w:val="0"/>
          <w:marRight w:val="0"/>
          <w:marTop w:val="0"/>
          <w:marBottom w:val="0"/>
          <w:divBdr>
            <w:top w:val="none" w:sz="0" w:space="0" w:color="auto"/>
            <w:left w:val="none" w:sz="0" w:space="0" w:color="auto"/>
            <w:bottom w:val="none" w:sz="0" w:space="0" w:color="auto"/>
            <w:right w:val="none" w:sz="0" w:space="0" w:color="auto"/>
          </w:divBdr>
        </w:div>
        <w:div w:id="830171139">
          <w:marLeft w:val="0"/>
          <w:marRight w:val="0"/>
          <w:marTop w:val="0"/>
          <w:marBottom w:val="0"/>
          <w:divBdr>
            <w:top w:val="none" w:sz="0" w:space="0" w:color="auto"/>
            <w:left w:val="none" w:sz="0" w:space="0" w:color="auto"/>
            <w:bottom w:val="none" w:sz="0" w:space="0" w:color="auto"/>
            <w:right w:val="none" w:sz="0" w:space="0" w:color="auto"/>
          </w:divBdr>
        </w:div>
        <w:div w:id="907888183">
          <w:marLeft w:val="0"/>
          <w:marRight w:val="0"/>
          <w:marTop w:val="0"/>
          <w:marBottom w:val="0"/>
          <w:divBdr>
            <w:top w:val="none" w:sz="0" w:space="0" w:color="auto"/>
            <w:left w:val="none" w:sz="0" w:space="0" w:color="auto"/>
            <w:bottom w:val="none" w:sz="0" w:space="0" w:color="auto"/>
            <w:right w:val="none" w:sz="0" w:space="0" w:color="auto"/>
          </w:divBdr>
        </w:div>
        <w:div w:id="918708920">
          <w:marLeft w:val="0"/>
          <w:marRight w:val="0"/>
          <w:marTop w:val="0"/>
          <w:marBottom w:val="0"/>
          <w:divBdr>
            <w:top w:val="none" w:sz="0" w:space="0" w:color="auto"/>
            <w:left w:val="none" w:sz="0" w:space="0" w:color="auto"/>
            <w:bottom w:val="none" w:sz="0" w:space="0" w:color="auto"/>
            <w:right w:val="none" w:sz="0" w:space="0" w:color="auto"/>
          </w:divBdr>
        </w:div>
        <w:div w:id="939727937">
          <w:marLeft w:val="0"/>
          <w:marRight w:val="0"/>
          <w:marTop w:val="0"/>
          <w:marBottom w:val="0"/>
          <w:divBdr>
            <w:top w:val="none" w:sz="0" w:space="0" w:color="auto"/>
            <w:left w:val="none" w:sz="0" w:space="0" w:color="auto"/>
            <w:bottom w:val="none" w:sz="0" w:space="0" w:color="auto"/>
            <w:right w:val="none" w:sz="0" w:space="0" w:color="auto"/>
          </w:divBdr>
        </w:div>
        <w:div w:id="942029713">
          <w:marLeft w:val="0"/>
          <w:marRight w:val="0"/>
          <w:marTop w:val="0"/>
          <w:marBottom w:val="0"/>
          <w:divBdr>
            <w:top w:val="none" w:sz="0" w:space="0" w:color="auto"/>
            <w:left w:val="none" w:sz="0" w:space="0" w:color="auto"/>
            <w:bottom w:val="none" w:sz="0" w:space="0" w:color="auto"/>
            <w:right w:val="none" w:sz="0" w:space="0" w:color="auto"/>
          </w:divBdr>
        </w:div>
        <w:div w:id="952633861">
          <w:marLeft w:val="0"/>
          <w:marRight w:val="0"/>
          <w:marTop w:val="0"/>
          <w:marBottom w:val="0"/>
          <w:divBdr>
            <w:top w:val="none" w:sz="0" w:space="0" w:color="auto"/>
            <w:left w:val="none" w:sz="0" w:space="0" w:color="auto"/>
            <w:bottom w:val="none" w:sz="0" w:space="0" w:color="auto"/>
            <w:right w:val="none" w:sz="0" w:space="0" w:color="auto"/>
          </w:divBdr>
        </w:div>
        <w:div w:id="1010638201">
          <w:marLeft w:val="0"/>
          <w:marRight w:val="0"/>
          <w:marTop w:val="0"/>
          <w:marBottom w:val="0"/>
          <w:divBdr>
            <w:top w:val="none" w:sz="0" w:space="0" w:color="auto"/>
            <w:left w:val="none" w:sz="0" w:space="0" w:color="auto"/>
            <w:bottom w:val="none" w:sz="0" w:space="0" w:color="auto"/>
            <w:right w:val="none" w:sz="0" w:space="0" w:color="auto"/>
          </w:divBdr>
        </w:div>
        <w:div w:id="1010762755">
          <w:marLeft w:val="0"/>
          <w:marRight w:val="0"/>
          <w:marTop w:val="0"/>
          <w:marBottom w:val="0"/>
          <w:divBdr>
            <w:top w:val="none" w:sz="0" w:space="0" w:color="auto"/>
            <w:left w:val="none" w:sz="0" w:space="0" w:color="auto"/>
            <w:bottom w:val="none" w:sz="0" w:space="0" w:color="auto"/>
            <w:right w:val="none" w:sz="0" w:space="0" w:color="auto"/>
          </w:divBdr>
        </w:div>
        <w:div w:id="1011251543">
          <w:marLeft w:val="0"/>
          <w:marRight w:val="0"/>
          <w:marTop w:val="0"/>
          <w:marBottom w:val="0"/>
          <w:divBdr>
            <w:top w:val="none" w:sz="0" w:space="0" w:color="auto"/>
            <w:left w:val="none" w:sz="0" w:space="0" w:color="auto"/>
            <w:bottom w:val="none" w:sz="0" w:space="0" w:color="auto"/>
            <w:right w:val="none" w:sz="0" w:space="0" w:color="auto"/>
          </w:divBdr>
        </w:div>
        <w:div w:id="1015769659">
          <w:marLeft w:val="0"/>
          <w:marRight w:val="0"/>
          <w:marTop w:val="0"/>
          <w:marBottom w:val="0"/>
          <w:divBdr>
            <w:top w:val="none" w:sz="0" w:space="0" w:color="auto"/>
            <w:left w:val="none" w:sz="0" w:space="0" w:color="auto"/>
            <w:bottom w:val="none" w:sz="0" w:space="0" w:color="auto"/>
            <w:right w:val="none" w:sz="0" w:space="0" w:color="auto"/>
          </w:divBdr>
        </w:div>
        <w:div w:id="1016272058">
          <w:marLeft w:val="0"/>
          <w:marRight w:val="0"/>
          <w:marTop w:val="0"/>
          <w:marBottom w:val="0"/>
          <w:divBdr>
            <w:top w:val="none" w:sz="0" w:space="0" w:color="auto"/>
            <w:left w:val="none" w:sz="0" w:space="0" w:color="auto"/>
            <w:bottom w:val="none" w:sz="0" w:space="0" w:color="auto"/>
            <w:right w:val="none" w:sz="0" w:space="0" w:color="auto"/>
          </w:divBdr>
        </w:div>
        <w:div w:id="1022631410">
          <w:marLeft w:val="0"/>
          <w:marRight w:val="0"/>
          <w:marTop w:val="0"/>
          <w:marBottom w:val="0"/>
          <w:divBdr>
            <w:top w:val="none" w:sz="0" w:space="0" w:color="auto"/>
            <w:left w:val="none" w:sz="0" w:space="0" w:color="auto"/>
            <w:bottom w:val="none" w:sz="0" w:space="0" w:color="auto"/>
            <w:right w:val="none" w:sz="0" w:space="0" w:color="auto"/>
          </w:divBdr>
        </w:div>
        <w:div w:id="1052341898">
          <w:marLeft w:val="0"/>
          <w:marRight w:val="0"/>
          <w:marTop w:val="0"/>
          <w:marBottom w:val="0"/>
          <w:divBdr>
            <w:top w:val="none" w:sz="0" w:space="0" w:color="auto"/>
            <w:left w:val="none" w:sz="0" w:space="0" w:color="auto"/>
            <w:bottom w:val="none" w:sz="0" w:space="0" w:color="auto"/>
            <w:right w:val="none" w:sz="0" w:space="0" w:color="auto"/>
          </w:divBdr>
        </w:div>
        <w:div w:id="1068383968">
          <w:marLeft w:val="0"/>
          <w:marRight w:val="0"/>
          <w:marTop w:val="0"/>
          <w:marBottom w:val="0"/>
          <w:divBdr>
            <w:top w:val="none" w:sz="0" w:space="0" w:color="auto"/>
            <w:left w:val="none" w:sz="0" w:space="0" w:color="auto"/>
            <w:bottom w:val="none" w:sz="0" w:space="0" w:color="auto"/>
            <w:right w:val="none" w:sz="0" w:space="0" w:color="auto"/>
          </w:divBdr>
        </w:div>
        <w:div w:id="1098524753">
          <w:marLeft w:val="0"/>
          <w:marRight w:val="0"/>
          <w:marTop w:val="0"/>
          <w:marBottom w:val="0"/>
          <w:divBdr>
            <w:top w:val="none" w:sz="0" w:space="0" w:color="auto"/>
            <w:left w:val="none" w:sz="0" w:space="0" w:color="auto"/>
            <w:bottom w:val="none" w:sz="0" w:space="0" w:color="auto"/>
            <w:right w:val="none" w:sz="0" w:space="0" w:color="auto"/>
          </w:divBdr>
        </w:div>
        <w:div w:id="1102797289">
          <w:marLeft w:val="0"/>
          <w:marRight w:val="0"/>
          <w:marTop w:val="0"/>
          <w:marBottom w:val="0"/>
          <w:divBdr>
            <w:top w:val="none" w:sz="0" w:space="0" w:color="auto"/>
            <w:left w:val="none" w:sz="0" w:space="0" w:color="auto"/>
            <w:bottom w:val="none" w:sz="0" w:space="0" w:color="auto"/>
            <w:right w:val="none" w:sz="0" w:space="0" w:color="auto"/>
          </w:divBdr>
        </w:div>
        <w:div w:id="1114786681">
          <w:marLeft w:val="0"/>
          <w:marRight w:val="0"/>
          <w:marTop w:val="0"/>
          <w:marBottom w:val="0"/>
          <w:divBdr>
            <w:top w:val="none" w:sz="0" w:space="0" w:color="auto"/>
            <w:left w:val="none" w:sz="0" w:space="0" w:color="auto"/>
            <w:bottom w:val="none" w:sz="0" w:space="0" w:color="auto"/>
            <w:right w:val="none" w:sz="0" w:space="0" w:color="auto"/>
          </w:divBdr>
        </w:div>
        <w:div w:id="1154445480">
          <w:marLeft w:val="0"/>
          <w:marRight w:val="0"/>
          <w:marTop w:val="0"/>
          <w:marBottom w:val="0"/>
          <w:divBdr>
            <w:top w:val="none" w:sz="0" w:space="0" w:color="auto"/>
            <w:left w:val="none" w:sz="0" w:space="0" w:color="auto"/>
            <w:bottom w:val="none" w:sz="0" w:space="0" w:color="auto"/>
            <w:right w:val="none" w:sz="0" w:space="0" w:color="auto"/>
          </w:divBdr>
        </w:div>
        <w:div w:id="1181317302">
          <w:marLeft w:val="0"/>
          <w:marRight w:val="0"/>
          <w:marTop w:val="0"/>
          <w:marBottom w:val="0"/>
          <w:divBdr>
            <w:top w:val="none" w:sz="0" w:space="0" w:color="auto"/>
            <w:left w:val="none" w:sz="0" w:space="0" w:color="auto"/>
            <w:bottom w:val="none" w:sz="0" w:space="0" w:color="auto"/>
            <w:right w:val="none" w:sz="0" w:space="0" w:color="auto"/>
          </w:divBdr>
        </w:div>
        <w:div w:id="1186141750">
          <w:marLeft w:val="0"/>
          <w:marRight w:val="0"/>
          <w:marTop w:val="0"/>
          <w:marBottom w:val="0"/>
          <w:divBdr>
            <w:top w:val="none" w:sz="0" w:space="0" w:color="auto"/>
            <w:left w:val="none" w:sz="0" w:space="0" w:color="auto"/>
            <w:bottom w:val="none" w:sz="0" w:space="0" w:color="auto"/>
            <w:right w:val="none" w:sz="0" w:space="0" w:color="auto"/>
          </w:divBdr>
        </w:div>
        <w:div w:id="1282222547">
          <w:marLeft w:val="0"/>
          <w:marRight w:val="0"/>
          <w:marTop w:val="0"/>
          <w:marBottom w:val="0"/>
          <w:divBdr>
            <w:top w:val="none" w:sz="0" w:space="0" w:color="auto"/>
            <w:left w:val="none" w:sz="0" w:space="0" w:color="auto"/>
            <w:bottom w:val="none" w:sz="0" w:space="0" w:color="auto"/>
            <w:right w:val="none" w:sz="0" w:space="0" w:color="auto"/>
          </w:divBdr>
        </w:div>
        <w:div w:id="1338733676">
          <w:marLeft w:val="0"/>
          <w:marRight w:val="0"/>
          <w:marTop w:val="0"/>
          <w:marBottom w:val="0"/>
          <w:divBdr>
            <w:top w:val="none" w:sz="0" w:space="0" w:color="auto"/>
            <w:left w:val="none" w:sz="0" w:space="0" w:color="auto"/>
            <w:bottom w:val="none" w:sz="0" w:space="0" w:color="auto"/>
            <w:right w:val="none" w:sz="0" w:space="0" w:color="auto"/>
          </w:divBdr>
        </w:div>
        <w:div w:id="1347175356">
          <w:marLeft w:val="0"/>
          <w:marRight w:val="0"/>
          <w:marTop w:val="0"/>
          <w:marBottom w:val="0"/>
          <w:divBdr>
            <w:top w:val="none" w:sz="0" w:space="0" w:color="auto"/>
            <w:left w:val="none" w:sz="0" w:space="0" w:color="auto"/>
            <w:bottom w:val="none" w:sz="0" w:space="0" w:color="auto"/>
            <w:right w:val="none" w:sz="0" w:space="0" w:color="auto"/>
          </w:divBdr>
        </w:div>
        <w:div w:id="1350176220">
          <w:marLeft w:val="0"/>
          <w:marRight w:val="0"/>
          <w:marTop w:val="0"/>
          <w:marBottom w:val="0"/>
          <w:divBdr>
            <w:top w:val="none" w:sz="0" w:space="0" w:color="auto"/>
            <w:left w:val="none" w:sz="0" w:space="0" w:color="auto"/>
            <w:bottom w:val="none" w:sz="0" w:space="0" w:color="auto"/>
            <w:right w:val="none" w:sz="0" w:space="0" w:color="auto"/>
          </w:divBdr>
        </w:div>
        <w:div w:id="1350714454">
          <w:marLeft w:val="0"/>
          <w:marRight w:val="0"/>
          <w:marTop w:val="0"/>
          <w:marBottom w:val="0"/>
          <w:divBdr>
            <w:top w:val="none" w:sz="0" w:space="0" w:color="auto"/>
            <w:left w:val="none" w:sz="0" w:space="0" w:color="auto"/>
            <w:bottom w:val="none" w:sz="0" w:space="0" w:color="auto"/>
            <w:right w:val="none" w:sz="0" w:space="0" w:color="auto"/>
          </w:divBdr>
        </w:div>
        <w:div w:id="1358583025">
          <w:marLeft w:val="0"/>
          <w:marRight w:val="0"/>
          <w:marTop w:val="0"/>
          <w:marBottom w:val="0"/>
          <w:divBdr>
            <w:top w:val="none" w:sz="0" w:space="0" w:color="auto"/>
            <w:left w:val="none" w:sz="0" w:space="0" w:color="auto"/>
            <w:bottom w:val="none" w:sz="0" w:space="0" w:color="auto"/>
            <w:right w:val="none" w:sz="0" w:space="0" w:color="auto"/>
          </w:divBdr>
        </w:div>
        <w:div w:id="1370640446">
          <w:marLeft w:val="0"/>
          <w:marRight w:val="0"/>
          <w:marTop w:val="0"/>
          <w:marBottom w:val="0"/>
          <w:divBdr>
            <w:top w:val="none" w:sz="0" w:space="0" w:color="auto"/>
            <w:left w:val="none" w:sz="0" w:space="0" w:color="auto"/>
            <w:bottom w:val="none" w:sz="0" w:space="0" w:color="auto"/>
            <w:right w:val="none" w:sz="0" w:space="0" w:color="auto"/>
          </w:divBdr>
        </w:div>
        <w:div w:id="1378165123">
          <w:marLeft w:val="0"/>
          <w:marRight w:val="0"/>
          <w:marTop w:val="0"/>
          <w:marBottom w:val="0"/>
          <w:divBdr>
            <w:top w:val="none" w:sz="0" w:space="0" w:color="auto"/>
            <w:left w:val="none" w:sz="0" w:space="0" w:color="auto"/>
            <w:bottom w:val="none" w:sz="0" w:space="0" w:color="auto"/>
            <w:right w:val="none" w:sz="0" w:space="0" w:color="auto"/>
          </w:divBdr>
        </w:div>
        <w:div w:id="1382243379">
          <w:marLeft w:val="0"/>
          <w:marRight w:val="0"/>
          <w:marTop w:val="0"/>
          <w:marBottom w:val="0"/>
          <w:divBdr>
            <w:top w:val="none" w:sz="0" w:space="0" w:color="auto"/>
            <w:left w:val="none" w:sz="0" w:space="0" w:color="auto"/>
            <w:bottom w:val="none" w:sz="0" w:space="0" w:color="auto"/>
            <w:right w:val="none" w:sz="0" w:space="0" w:color="auto"/>
          </w:divBdr>
        </w:div>
        <w:div w:id="1384478353">
          <w:marLeft w:val="0"/>
          <w:marRight w:val="0"/>
          <w:marTop w:val="0"/>
          <w:marBottom w:val="0"/>
          <w:divBdr>
            <w:top w:val="none" w:sz="0" w:space="0" w:color="auto"/>
            <w:left w:val="none" w:sz="0" w:space="0" w:color="auto"/>
            <w:bottom w:val="none" w:sz="0" w:space="0" w:color="auto"/>
            <w:right w:val="none" w:sz="0" w:space="0" w:color="auto"/>
          </w:divBdr>
        </w:div>
        <w:div w:id="1411849927">
          <w:marLeft w:val="0"/>
          <w:marRight w:val="0"/>
          <w:marTop w:val="0"/>
          <w:marBottom w:val="0"/>
          <w:divBdr>
            <w:top w:val="none" w:sz="0" w:space="0" w:color="auto"/>
            <w:left w:val="none" w:sz="0" w:space="0" w:color="auto"/>
            <w:bottom w:val="none" w:sz="0" w:space="0" w:color="auto"/>
            <w:right w:val="none" w:sz="0" w:space="0" w:color="auto"/>
          </w:divBdr>
        </w:div>
        <w:div w:id="1434932339">
          <w:marLeft w:val="0"/>
          <w:marRight w:val="0"/>
          <w:marTop w:val="0"/>
          <w:marBottom w:val="0"/>
          <w:divBdr>
            <w:top w:val="none" w:sz="0" w:space="0" w:color="auto"/>
            <w:left w:val="none" w:sz="0" w:space="0" w:color="auto"/>
            <w:bottom w:val="none" w:sz="0" w:space="0" w:color="auto"/>
            <w:right w:val="none" w:sz="0" w:space="0" w:color="auto"/>
          </w:divBdr>
        </w:div>
        <w:div w:id="1468350739">
          <w:marLeft w:val="0"/>
          <w:marRight w:val="0"/>
          <w:marTop w:val="0"/>
          <w:marBottom w:val="0"/>
          <w:divBdr>
            <w:top w:val="none" w:sz="0" w:space="0" w:color="auto"/>
            <w:left w:val="none" w:sz="0" w:space="0" w:color="auto"/>
            <w:bottom w:val="none" w:sz="0" w:space="0" w:color="auto"/>
            <w:right w:val="none" w:sz="0" w:space="0" w:color="auto"/>
          </w:divBdr>
        </w:div>
        <w:div w:id="1510487656">
          <w:marLeft w:val="0"/>
          <w:marRight w:val="0"/>
          <w:marTop w:val="0"/>
          <w:marBottom w:val="0"/>
          <w:divBdr>
            <w:top w:val="none" w:sz="0" w:space="0" w:color="auto"/>
            <w:left w:val="none" w:sz="0" w:space="0" w:color="auto"/>
            <w:bottom w:val="none" w:sz="0" w:space="0" w:color="auto"/>
            <w:right w:val="none" w:sz="0" w:space="0" w:color="auto"/>
          </w:divBdr>
        </w:div>
        <w:div w:id="1514414398">
          <w:marLeft w:val="0"/>
          <w:marRight w:val="0"/>
          <w:marTop w:val="0"/>
          <w:marBottom w:val="0"/>
          <w:divBdr>
            <w:top w:val="none" w:sz="0" w:space="0" w:color="auto"/>
            <w:left w:val="none" w:sz="0" w:space="0" w:color="auto"/>
            <w:bottom w:val="none" w:sz="0" w:space="0" w:color="auto"/>
            <w:right w:val="none" w:sz="0" w:space="0" w:color="auto"/>
          </w:divBdr>
        </w:div>
        <w:div w:id="1527475280">
          <w:marLeft w:val="0"/>
          <w:marRight w:val="0"/>
          <w:marTop w:val="0"/>
          <w:marBottom w:val="0"/>
          <w:divBdr>
            <w:top w:val="none" w:sz="0" w:space="0" w:color="auto"/>
            <w:left w:val="none" w:sz="0" w:space="0" w:color="auto"/>
            <w:bottom w:val="none" w:sz="0" w:space="0" w:color="auto"/>
            <w:right w:val="none" w:sz="0" w:space="0" w:color="auto"/>
          </w:divBdr>
        </w:div>
        <w:div w:id="1528368571">
          <w:marLeft w:val="0"/>
          <w:marRight w:val="0"/>
          <w:marTop w:val="0"/>
          <w:marBottom w:val="0"/>
          <w:divBdr>
            <w:top w:val="none" w:sz="0" w:space="0" w:color="auto"/>
            <w:left w:val="none" w:sz="0" w:space="0" w:color="auto"/>
            <w:bottom w:val="none" w:sz="0" w:space="0" w:color="auto"/>
            <w:right w:val="none" w:sz="0" w:space="0" w:color="auto"/>
          </w:divBdr>
        </w:div>
        <w:div w:id="1528985195">
          <w:marLeft w:val="0"/>
          <w:marRight w:val="0"/>
          <w:marTop w:val="0"/>
          <w:marBottom w:val="0"/>
          <w:divBdr>
            <w:top w:val="none" w:sz="0" w:space="0" w:color="auto"/>
            <w:left w:val="none" w:sz="0" w:space="0" w:color="auto"/>
            <w:bottom w:val="none" w:sz="0" w:space="0" w:color="auto"/>
            <w:right w:val="none" w:sz="0" w:space="0" w:color="auto"/>
          </w:divBdr>
        </w:div>
        <w:div w:id="1564481381">
          <w:marLeft w:val="0"/>
          <w:marRight w:val="0"/>
          <w:marTop w:val="0"/>
          <w:marBottom w:val="0"/>
          <w:divBdr>
            <w:top w:val="none" w:sz="0" w:space="0" w:color="auto"/>
            <w:left w:val="none" w:sz="0" w:space="0" w:color="auto"/>
            <w:bottom w:val="none" w:sz="0" w:space="0" w:color="auto"/>
            <w:right w:val="none" w:sz="0" w:space="0" w:color="auto"/>
          </w:divBdr>
        </w:div>
        <w:div w:id="1605579216">
          <w:marLeft w:val="0"/>
          <w:marRight w:val="0"/>
          <w:marTop w:val="0"/>
          <w:marBottom w:val="0"/>
          <w:divBdr>
            <w:top w:val="none" w:sz="0" w:space="0" w:color="auto"/>
            <w:left w:val="none" w:sz="0" w:space="0" w:color="auto"/>
            <w:bottom w:val="none" w:sz="0" w:space="0" w:color="auto"/>
            <w:right w:val="none" w:sz="0" w:space="0" w:color="auto"/>
          </w:divBdr>
        </w:div>
        <w:div w:id="1631326671">
          <w:marLeft w:val="0"/>
          <w:marRight w:val="0"/>
          <w:marTop w:val="0"/>
          <w:marBottom w:val="0"/>
          <w:divBdr>
            <w:top w:val="none" w:sz="0" w:space="0" w:color="auto"/>
            <w:left w:val="none" w:sz="0" w:space="0" w:color="auto"/>
            <w:bottom w:val="none" w:sz="0" w:space="0" w:color="auto"/>
            <w:right w:val="none" w:sz="0" w:space="0" w:color="auto"/>
          </w:divBdr>
        </w:div>
        <w:div w:id="1648317179">
          <w:marLeft w:val="0"/>
          <w:marRight w:val="0"/>
          <w:marTop w:val="0"/>
          <w:marBottom w:val="0"/>
          <w:divBdr>
            <w:top w:val="none" w:sz="0" w:space="0" w:color="auto"/>
            <w:left w:val="none" w:sz="0" w:space="0" w:color="auto"/>
            <w:bottom w:val="none" w:sz="0" w:space="0" w:color="auto"/>
            <w:right w:val="none" w:sz="0" w:space="0" w:color="auto"/>
          </w:divBdr>
        </w:div>
        <w:div w:id="1682706918">
          <w:marLeft w:val="0"/>
          <w:marRight w:val="0"/>
          <w:marTop w:val="0"/>
          <w:marBottom w:val="0"/>
          <w:divBdr>
            <w:top w:val="none" w:sz="0" w:space="0" w:color="auto"/>
            <w:left w:val="none" w:sz="0" w:space="0" w:color="auto"/>
            <w:bottom w:val="none" w:sz="0" w:space="0" w:color="auto"/>
            <w:right w:val="none" w:sz="0" w:space="0" w:color="auto"/>
          </w:divBdr>
        </w:div>
        <w:div w:id="1688748252">
          <w:marLeft w:val="0"/>
          <w:marRight w:val="0"/>
          <w:marTop w:val="0"/>
          <w:marBottom w:val="0"/>
          <w:divBdr>
            <w:top w:val="none" w:sz="0" w:space="0" w:color="auto"/>
            <w:left w:val="none" w:sz="0" w:space="0" w:color="auto"/>
            <w:bottom w:val="none" w:sz="0" w:space="0" w:color="auto"/>
            <w:right w:val="none" w:sz="0" w:space="0" w:color="auto"/>
          </w:divBdr>
        </w:div>
        <w:div w:id="1699702612">
          <w:marLeft w:val="0"/>
          <w:marRight w:val="0"/>
          <w:marTop w:val="0"/>
          <w:marBottom w:val="0"/>
          <w:divBdr>
            <w:top w:val="none" w:sz="0" w:space="0" w:color="auto"/>
            <w:left w:val="none" w:sz="0" w:space="0" w:color="auto"/>
            <w:bottom w:val="none" w:sz="0" w:space="0" w:color="auto"/>
            <w:right w:val="none" w:sz="0" w:space="0" w:color="auto"/>
          </w:divBdr>
        </w:div>
        <w:div w:id="1714039978">
          <w:marLeft w:val="0"/>
          <w:marRight w:val="0"/>
          <w:marTop w:val="0"/>
          <w:marBottom w:val="0"/>
          <w:divBdr>
            <w:top w:val="none" w:sz="0" w:space="0" w:color="auto"/>
            <w:left w:val="none" w:sz="0" w:space="0" w:color="auto"/>
            <w:bottom w:val="none" w:sz="0" w:space="0" w:color="auto"/>
            <w:right w:val="none" w:sz="0" w:space="0" w:color="auto"/>
          </w:divBdr>
        </w:div>
        <w:div w:id="1718895877">
          <w:marLeft w:val="0"/>
          <w:marRight w:val="0"/>
          <w:marTop w:val="0"/>
          <w:marBottom w:val="0"/>
          <w:divBdr>
            <w:top w:val="none" w:sz="0" w:space="0" w:color="auto"/>
            <w:left w:val="none" w:sz="0" w:space="0" w:color="auto"/>
            <w:bottom w:val="none" w:sz="0" w:space="0" w:color="auto"/>
            <w:right w:val="none" w:sz="0" w:space="0" w:color="auto"/>
          </w:divBdr>
        </w:div>
        <w:div w:id="1756511429">
          <w:marLeft w:val="0"/>
          <w:marRight w:val="0"/>
          <w:marTop w:val="0"/>
          <w:marBottom w:val="0"/>
          <w:divBdr>
            <w:top w:val="none" w:sz="0" w:space="0" w:color="auto"/>
            <w:left w:val="none" w:sz="0" w:space="0" w:color="auto"/>
            <w:bottom w:val="none" w:sz="0" w:space="0" w:color="auto"/>
            <w:right w:val="none" w:sz="0" w:space="0" w:color="auto"/>
          </w:divBdr>
        </w:div>
        <w:div w:id="1762291250">
          <w:marLeft w:val="0"/>
          <w:marRight w:val="0"/>
          <w:marTop w:val="0"/>
          <w:marBottom w:val="0"/>
          <w:divBdr>
            <w:top w:val="none" w:sz="0" w:space="0" w:color="auto"/>
            <w:left w:val="none" w:sz="0" w:space="0" w:color="auto"/>
            <w:bottom w:val="none" w:sz="0" w:space="0" w:color="auto"/>
            <w:right w:val="none" w:sz="0" w:space="0" w:color="auto"/>
          </w:divBdr>
        </w:div>
        <w:div w:id="1763377546">
          <w:marLeft w:val="0"/>
          <w:marRight w:val="0"/>
          <w:marTop w:val="0"/>
          <w:marBottom w:val="0"/>
          <w:divBdr>
            <w:top w:val="none" w:sz="0" w:space="0" w:color="auto"/>
            <w:left w:val="none" w:sz="0" w:space="0" w:color="auto"/>
            <w:bottom w:val="none" w:sz="0" w:space="0" w:color="auto"/>
            <w:right w:val="none" w:sz="0" w:space="0" w:color="auto"/>
          </w:divBdr>
        </w:div>
        <w:div w:id="1777285577">
          <w:marLeft w:val="0"/>
          <w:marRight w:val="0"/>
          <w:marTop w:val="0"/>
          <w:marBottom w:val="0"/>
          <w:divBdr>
            <w:top w:val="none" w:sz="0" w:space="0" w:color="auto"/>
            <w:left w:val="none" w:sz="0" w:space="0" w:color="auto"/>
            <w:bottom w:val="none" w:sz="0" w:space="0" w:color="auto"/>
            <w:right w:val="none" w:sz="0" w:space="0" w:color="auto"/>
          </w:divBdr>
        </w:div>
        <w:div w:id="1777289831">
          <w:marLeft w:val="0"/>
          <w:marRight w:val="0"/>
          <w:marTop w:val="0"/>
          <w:marBottom w:val="0"/>
          <w:divBdr>
            <w:top w:val="none" w:sz="0" w:space="0" w:color="auto"/>
            <w:left w:val="none" w:sz="0" w:space="0" w:color="auto"/>
            <w:bottom w:val="none" w:sz="0" w:space="0" w:color="auto"/>
            <w:right w:val="none" w:sz="0" w:space="0" w:color="auto"/>
          </w:divBdr>
        </w:div>
        <w:div w:id="1804228296">
          <w:marLeft w:val="0"/>
          <w:marRight w:val="0"/>
          <w:marTop w:val="0"/>
          <w:marBottom w:val="0"/>
          <w:divBdr>
            <w:top w:val="none" w:sz="0" w:space="0" w:color="auto"/>
            <w:left w:val="none" w:sz="0" w:space="0" w:color="auto"/>
            <w:bottom w:val="none" w:sz="0" w:space="0" w:color="auto"/>
            <w:right w:val="none" w:sz="0" w:space="0" w:color="auto"/>
          </w:divBdr>
        </w:div>
        <w:div w:id="1849560405">
          <w:marLeft w:val="0"/>
          <w:marRight w:val="0"/>
          <w:marTop w:val="0"/>
          <w:marBottom w:val="0"/>
          <w:divBdr>
            <w:top w:val="none" w:sz="0" w:space="0" w:color="auto"/>
            <w:left w:val="none" w:sz="0" w:space="0" w:color="auto"/>
            <w:bottom w:val="none" w:sz="0" w:space="0" w:color="auto"/>
            <w:right w:val="none" w:sz="0" w:space="0" w:color="auto"/>
          </w:divBdr>
        </w:div>
        <w:div w:id="1860654415">
          <w:marLeft w:val="0"/>
          <w:marRight w:val="0"/>
          <w:marTop w:val="0"/>
          <w:marBottom w:val="0"/>
          <w:divBdr>
            <w:top w:val="none" w:sz="0" w:space="0" w:color="auto"/>
            <w:left w:val="none" w:sz="0" w:space="0" w:color="auto"/>
            <w:bottom w:val="none" w:sz="0" w:space="0" w:color="auto"/>
            <w:right w:val="none" w:sz="0" w:space="0" w:color="auto"/>
          </w:divBdr>
        </w:div>
        <w:div w:id="1869567732">
          <w:marLeft w:val="0"/>
          <w:marRight w:val="0"/>
          <w:marTop w:val="0"/>
          <w:marBottom w:val="0"/>
          <w:divBdr>
            <w:top w:val="none" w:sz="0" w:space="0" w:color="auto"/>
            <w:left w:val="none" w:sz="0" w:space="0" w:color="auto"/>
            <w:bottom w:val="none" w:sz="0" w:space="0" w:color="auto"/>
            <w:right w:val="none" w:sz="0" w:space="0" w:color="auto"/>
          </w:divBdr>
        </w:div>
        <w:div w:id="1887141825">
          <w:marLeft w:val="0"/>
          <w:marRight w:val="0"/>
          <w:marTop w:val="0"/>
          <w:marBottom w:val="0"/>
          <w:divBdr>
            <w:top w:val="none" w:sz="0" w:space="0" w:color="auto"/>
            <w:left w:val="none" w:sz="0" w:space="0" w:color="auto"/>
            <w:bottom w:val="none" w:sz="0" w:space="0" w:color="auto"/>
            <w:right w:val="none" w:sz="0" w:space="0" w:color="auto"/>
          </w:divBdr>
        </w:div>
        <w:div w:id="1896505558">
          <w:marLeft w:val="0"/>
          <w:marRight w:val="0"/>
          <w:marTop w:val="0"/>
          <w:marBottom w:val="0"/>
          <w:divBdr>
            <w:top w:val="none" w:sz="0" w:space="0" w:color="auto"/>
            <w:left w:val="none" w:sz="0" w:space="0" w:color="auto"/>
            <w:bottom w:val="none" w:sz="0" w:space="0" w:color="auto"/>
            <w:right w:val="none" w:sz="0" w:space="0" w:color="auto"/>
          </w:divBdr>
        </w:div>
        <w:div w:id="1898517565">
          <w:marLeft w:val="0"/>
          <w:marRight w:val="0"/>
          <w:marTop w:val="0"/>
          <w:marBottom w:val="0"/>
          <w:divBdr>
            <w:top w:val="none" w:sz="0" w:space="0" w:color="auto"/>
            <w:left w:val="none" w:sz="0" w:space="0" w:color="auto"/>
            <w:bottom w:val="none" w:sz="0" w:space="0" w:color="auto"/>
            <w:right w:val="none" w:sz="0" w:space="0" w:color="auto"/>
          </w:divBdr>
        </w:div>
        <w:div w:id="1906406670">
          <w:marLeft w:val="0"/>
          <w:marRight w:val="0"/>
          <w:marTop w:val="0"/>
          <w:marBottom w:val="0"/>
          <w:divBdr>
            <w:top w:val="none" w:sz="0" w:space="0" w:color="auto"/>
            <w:left w:val="none" w:sz="0" w:space="0" w:color="auto"/>
            <w:bottom w:val="none" w:sz="0" w:space="0" w:color="auto"/>
            <w:right w:val="none" w:sz="0" w:space="0" w:color="auto"/>
          </w:divBdr>
        </w:div>
        <w:div w:id="1917013226">
          <w:marLeft w:val="0"/>
          <w:marRight w:val="0"/>
          <w:marTop w:val="0"/>
          <w:marBottom w:val="0"/>
          <w:divBdr>
            <w:top w:val="none" w:sz="0" w:space="0" w:color="auto"/>
            <w:left w:val="none" w:sz="0" w:space="0" w:color="auto"/>
            <w:bottom w:val="none" w:sz="0" w:space="0" w:color="auto"/>
            <w:right w:val="none" w:sz="0" w:space="0" w:color="auto"/>
          </w:divBdr>
        </w:div>
        <w:div w:id="1936861422">
          <w:marLeft w:val="0"/>
          <w:marRight w:val="0"/>
          <w:marTop w:val="0"/>
          <w:marBottom w:val="0"/>
          <w:divBdr>
            <w:top w:val="none" w:sz="0" w:space="0" w:color="auto"/>
            <w:left w:val="none" w:sz="0" w:space="0" w:color="auto"/>
            <w:bottom w:val="none" w:sz="0" w:space="0" w:color="auto"/>
            <w:right w:val="none" w:sz="0" w:space="0" w:color="auto"/>
          </w:divBdr>
        </w:div>
        <w:div w:id="1973558537">
          <w:marLeft w:val="0"/>
          <w:marRight w:val="0"/>
          <w:marTop w:val="0"/>
          <w:marBottom w:val="0"/>
          <w:divBdr>
            <w:top w:val="none" w:sz="0" w:space="0" w:color="auto"/>
            <w:left w:val="none" w:sz="0" w:space="0" w:color="auto"/>
            <w:bottom w:val="none" w:sz="0" w:space="0" w:color="auto"/>
            <w:right w:val="none" w:sz="0" w:space="0" w:color="auto"/>
          </w:divBdr>
        </w:div>
        <w:div w:id="1976637167">
          <w:marLeft w:val="0"/>
          <w:marRight w:val="0"/>
          <w:marTop w:val="0"/>
          <w:marBottom w:val="0"/>
          <w:divBdr>
            <w:top w:val="none" w:sz="0" w:space="0" w:color="auto"/>
            <w:left w:val="none" w:sz="0" w:space="0" w:color="auto"/>
            <w:bottom w:val="none" w:sz="0" w:space="0" w:color="auto"/>
            <w:right w:val="none" w:sz="0" w:space="0" w:color="auto"/>
          </w:divBdr>
        </w:div>
        <w:div w:id="1988166924">
          <w:marLeft w:val="0"/>
          <w:marRight w:val="0"/>
          <w:marTop w:val="0"/>
          <w:marBottom w:val="0"/>
          <w:divBdr>
            <w:top w:val="none" w:sz="0" w:space="0" w:color="auto"/>
            <w:left w:val="none" w:sz="0" w:space="0" w:color="auto"/>
            <w:bottom w:val="none" w:sz="0" w:space="0" w:color="auto"/>
            <w:right w:val="none" w:sz="0" w:space="0" w:color="auto"/>
          </w:divBdr>
        </w:div>
        <w:div w:id="2060977458">
          <w:marLeft w:val="0"/>
          <w:marRight w:val="0"/>
          <w:marTop w:val="0"/>
          <w:marBottom w:val="0"/>
          <w:divBdr>
            <w:top w:val="none" w:sz="0" w:space="0" w:color="auto"/>
            <w:left w:val="none" w:sz="0" w:space="0" w:color="auto"/>
            <w:bottom w:val="none" w:sz="0" w:space="0" w:color="auto"/>
            <w:right w:val="none" w:sz="0" w:space="0" w:color="auto"/>
          </w:divBdr>
        </w:div>
        <w:div w:id="2063091336">
          <w:marLeft w:val="0"/>
          <w:marRight w:val="0"/>
          <w:marTop w:val="0"/>
          <w:marBottom w:val="0"/>
          <w:divBdr>
            <w:top w:val="none" w:sz="0" w:space="0" w:color="auto"/>
            <w:left w:val="none" w:sz="0" w:space="0" w:color="auto"/>
            <w:bottom w:val="none" w:sz="0" w:space="0" w:color="auto"/>
            <w:right w:val="none" w:sz="0" w:space="0" w:color="auto"/>
          </w:divBdr>
        </w:div>
        <w:div w:id="2093307964">
          <w:marLeft w:val="0"/>
          <w:marRight w:val="0"/>
          <w:marTop w:val="0"/>
          <w:marBottom w:val="0"/>
          <w:divBdr>
            <w:top w:val="none" w:sz="0" w:space="0" w:color="auto"/>
            <w:left w:val="none" w:sz="0" w:space="0" w:color="auto"/>
            <w:bottom w:val="none" w:sz="0" w:space="0" w:color="auto"/>
            <w:right w:val="none" w:sz="0" w:space="0" w:color="auto"/>
          </w:divBdr>
        </w:div>
        <w:div w:id="2094547369">
          <w:marLeft w:val="0"/>
          <w:marRight w:val="0"/>
          <w:marTop w:val="0"/>
          <w:marBottom w:val="0"/>
          <w:divBdr>
            <w:top w:val="none" w:sz="0" w:space="0" w:color="auto"/>
            <w:left w:val="none" w:sz="0" w:space="0" w:color="auto"/>
            <w:bottom w:val="none" w:sz="0" w:space="0" w:color="auto"/>
            <w:right w:val="none" w:sz="0" w:space="0" w:color="auto"/>
          </w:divBdr>
        </w:div>
        <w:div w:id="2107454387">
          <w:marLeft w:val="0"/>
          <w:marRight w:val="0"/>
          <w:marTop w:val="0"/>
          <w:marBottom w:val="0"/>
          <w:divBdr>
            <w:top w:val="none" w:sz="0" w:space="0" w:color="auto"/>
            <w:left w:val="none" w:sz="0" w:space="0" w:color="auto"/>
            <w:bottom w:val="none" w:sz="0" w:space="0" w:color="auto"/>
            <w:right w:val="none" w:sz="0" w:space="0" w:color="auto"/>
          </w:divBdr>
        </w:div>
        <w:div w:id="2139643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www.siampi.eu/Content/SIAMPI_Final%20report.pdf" TargetMode="External"/><Relationship Id="rId13" Type="http://schemas.openxmlformats.org/officeDocument/2006/relationships/hyperlink" Target="https://www.gov.uk/government/organisations/ministry-of-justice/about/media-enquiries" TargetMode="External"/><Relationship Id="rId3" Type="http://schemas.openxmlformats.org/officeDocument/2006/relationships/hyperlink" Target="https://www.ukri.org/innovation/excellence-with-impact/" TargetMode="External"/><Relationship Id="rId7" Type="http://schemas.openxmlformats.org/officeDocument/2006/relationships/hyperlink" Target="http://www.siampi.eu/642.bGFuZz1FTkc.html" TargetMode="External"/><Relationship Id="rId12" Type="http://schemas.openxmlformats.org/officeDocument/2006/relationships/hyperlink" Target="https://esrc.ukri.org/research/impact-toolkit/influencing-policymakers/" TargetMode="External"/><Relationship Id="rId2" Type="http://schemas.openxmlformats.org/officeDocument/2006/relationships/hyperlink" Target="http://www.hefce.ac.uk/funding/annallocns/1516/research/" TargetMode="External"/><Relationship Id="rId16" Type="http://schemas.openxmlformats.org/officeDocument/2006/relationships/hyperlink" Target="https://www.gov.uk/government/collections/areas-of-research-interest" TargetMode="External"/><Relationship Id="rId1" Type="http://schemas.openxmlformats.org/officeDocument/2006/relationships/hyperlink" Target="mailto:lawrence.mcnamara@york.ac.uk" TargetMode="External"/><Relationship Id="rId6" Type="http://schemas.openxmlformats.org/officeDocument/2006/relationships/hyperlink" Target="http://www.esrc.ukri.org/research/impact-toolkit/what-is-impact/" TargetMode="External"/><Relationship Id="rId11" Type="http://schemas.openxmlformats.org/officeDocument/2006/relationships/hyperlink" Target="http://results.ref.ac.uk/Results" TargetMode="External"/><Relationship Id="rId5" Type="http://schemas.openxmlformats.org/officeDocument/2006/relationships/hyperlink" Target="http://blogs.lse.ac.uk/impactofsocialsciences/2015/10/19/the-impact-of-uk-academia-on-parliament/" TargetMode="External"/><Relationship Id="rId15" Type="http://schemas.openxmlformats.org/officeDocument/2006/relationships/hyperlink" Target="https://www.gov.uk/government/collections/areas-of-research-interest" TargetMode="External"/><Relationship Id="rId10" Type="http://schemas.openxmlformats.org/officeDocument/2006/relationships/hyperlink" Target="http://impact.ref.ac.uk/CaseStudies/Search1.aspx" TargetMode="External"/><Relationship Id="rId4" Type="http://schemas.openxmlformats.org/officeDocument/2006/relationships/hyperlink" Target="http://www.arc.gov.au/ei-pilot-overview" TargetMode="External"/><Relationship Id="rId9" Type="http://schemas.openxmlformats.org/officeDocument/2006/relationships/hyperlink" Target="https://doi.org/10.1371/journal.pone.0156978" TargetMode="External"/><Relationship Id="rId14" Type="http://schemas.openxmlformats.org/officeDocument/2006/relationships/hyperlink" Target="http://www.fasttrackimpact.com/single-post/2017/02/01/How-much-was-an-impact-case-study-worth-in-the-UK-Research-Excellence-Framew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nSpc>
                <a:spcPct val="140000"/>
              </a:lnSpc>
              <a:defRPr/>
            </a:pPr>
            <a:r>
              <a:rPr lang="en-GB" sz="800" u="sng">
                <a:solidFill>
                  <a:sysClr val="windowText" lastClr="000000"/>
                </a:solidFill>
                <a:latin typeface="Arial" panose="020B0604020202020204" pitchFamily="34" charset="0"/>
                <a:cs typeface="Arial" panose="020B0604020202020204" pitchFamily="34" charset="0"/>
              </a:rPr>
              <a:t>Figure</a:t>
            </a:r>
            <a:r>
              <a:rPr lang="en-GB" sz="800" u="sng" baseline="0">
                <a:solidFill>
                  <a:sysClr val="windowText" lastClr="000000"/>
                </a:solidFill>
                <a:latin typeface="Arial" panose="020B0604020202020204" pitchFamily="34" charset="0"/>
                <a:cs typeface="Arial" panose="020B0604020202020204" pitchFamily="34" charset="0"/>
              </a:rPr>
              <a:t> 1</a:t>
            </a:r>
            <a:r>
              <a:rPr lang="en-GB" sz="800" u="none" baseline="0">
                <a:solidFill>
                  <a:sysClr val="windowText" lastClr="000000"/>
                </a:solidFill>
                <a:latin typeface="Arial" panose="020B0604020202020204" pitchFamily="34" charset="0"/>
                <a:cs typeface="Arial" panose="020B0604020202020204" pitchFamily="34" charset="0"/>
              </a:rPr>
              <a:t>: </a:t>
            </a:r>
            <a:r>
              <a:rPr lang="en-GB" sz="800" u="none">
                <a:solidFill>
                  <a:sysClr val="windowText" lastClr="000000"/>
                </a:solidFill>
                <a:latin typeface="Arial" panose="020B0604020202020204" pitchFamily="34" charset="0"/>
                <a:cs typeface="Arial" panose="020B0604020202020204" pitchFamily="34" charset="0"/>
              </a:rPr>
              <a:t>Law</a:t>
            </a:r>
            <a:r>
              <a:rPr lang="en-GB" sz="800" baseline="0">
                <a:solidFill>
                  <a:sysClr val="windowText" lastClr="000000"/>
                </a:solidFill>
                <a:latin typeface="Arial" panose="020B0604020202020204" pitchFamily="34" charset="0"/>
                <a:cs typeface="Arial" panose="020B0604020202020204" pitchFamily="34" charset="0"/>
              </a:rPr>
              <a:t> UoA impact case studies (n=216) and templates (n=68) - engagement with selected UK government departments and agencies </a:t>
            </a:r>
            <a:r>
              <a:rPr lang="en-GB" sz="800">
                <a:latin typeface="Arial" panose="020B0604020202020204" pitchFamily="34" charset="0"/>
                <a:cs typeface="Arial" panose="020B0604020202020204" pitchFamily="34" charset="0"/>
              </a:rPr>
              <a:t> </a:t>
            </a:r>
          </a:p>
        </c:rich>
      </c:tx>
      <c:layout/>
      <c:overlay val="0"/>
    </c:title>
    <c:autoTitleDeleted val="0"/>
    <c:plotArea>
      <c:layout/>
      <c:barChart>
        <c:barDir val="col"/>
        <c:grouping val="clustered"/>
        <c:varyColors val="0"/>
        <c:ser>
          <c:idx val="0"/>
          <c:order val="0"/>
          <c:tx>
            <c:strRef>
              <c:f>Sheet1!$B$1</c:f>
              <c:strCache>
                <c:ptCount val="1"/>
                <c:pt idx="0">
                  <c:v>Case Studies</c:v>
                </c:pt>
              </c:strCache>
            </c:strRef>
          </c:tx>
          <c:invertIfNegative val="0"/>
          <c:cat>
            <c:strRef>
              <c:f>Sheet1!$A$2:$A$25</c:f>
              <c:strCache>
                <c:ptCount val="24"/>
                <c:pt idx="0">
                  <c:v>MoJ</c:v>
                </c:pt>
                <c:pt idx="1">
                  <c:v>Home Office</c:v>
                </c:pt>
                <c:pt idx="2">
                  <c:v>FCO</c:v>
                </c:pt>
                <c:pt idx="3">
                  <c:v>BIS</c:v>
                </c:pt>
                <c:pt idx="4">
                  <c:v>Cabinet Office</c:v>
                </c:pt>
                <c:pt idx="5">
                  <c:v>Health</c:v>
                </c:pt>
                <c:pt idx="6">
                  <c:v>DFID</c:v>
                </c:pt>
                <c:pt idx="7">
                  <c:v>Att-Gen</c:v>
                </c:pt>
                <c:pt idx="8">
                  <c:v>DEFRA</c:v>
                </c:pt>
                <c:pt idx="9">
                  <c:v>HMRC</c:v>
                </c:pt>
                <c:pt idx="10">
                  <c:v>Treasury</c:v>
                </c:pt>
                <c:pt idx="12">
                  <c:v>Scotland gov</c:v>
                </c:pt>
                <c:pt idx="13">
                  <c:v>NI gov</c:v>
                </c:pt>
                <c:pt idx="14">
                  <c:v>Wales gov</c:v>
                </c:pt>
                <c:pt idx="16">
                  <c:v>Police</c:v>
                </c:pt>
                <c:pt idx="17">
                  <c:v>Law Comm</c:v>
                </c:pt>
                <c:pt idx="18">
                  <c:v>CPS</c:v>
                </c:pt>
                <c:pt idx="19">
                  <c:v>NOMS</c:v>
                </c:pt>
                <c:pt idx="20">
                  <c:v>YJB</c:v>
                </c:pt>
                <c:pt idx="21">
                  <c:v>NAO</c:v>
                </c:pt>
                <c:pt idx="22">
                  <c:v>EHRC</c:v>
                </c:pt>
                <c:pt idx="23">
                  <c:v>HMCTS and Scot</c:v>
                </c:pt>
              </c:strCache>
            </c:strRef>
          </c:cat>
          <c:val>
            <c:numRef>
              <c:f>Sheet1!$B$2:$B$25</c:f>
              <c:numCache>
                <c:formatCode>General</c:formatCode>
                <c:ptCount val="24"/>
                <c:pt idx="0">
                  <c:v>48</c:v>
                </c:pt>
                <c:pt idx="1">
                  <c:v>29</c:v>
                </c:pt>
                <c:pt idx="2">
                  <c:v>15</c:v>
                </c:pt>
                <c:pt idx="3">
                  <c:v>14</c:v>
                </c:pt>
                <c:pt idx="4">
                  <c:v>12</c:v>
                </c:pt>
                <c:pt idx="5">
                  <c:v>11</c:v>
                </c:pt>
                <c:pt idx="6">
                  <c:v>9</c:v>
                </c:pt>
                <c:pt idx="7">
                  <c:v>8</c:v>
                </c:pt>
                <c:pt idx="8">
                  <c:v>6</c:v>
                </c:pt>
                <c:pt idx="9">
                  <c:v>3</c:v>
                </c:pt>
                <c:pt idx="10">
                  <c:v>1</c:v>
                </c:pt>
                <c:pt idx="12">
                  <c:v>32</c:v>
                </c:pt>
                <c:pt idx="13">
                  <c:v>13</c:v>
                </c:pt>
                <c:pt idx="14">
                  <c:v>8</c:v>
                </c:pt>
                <c:pt idx="16">
                  <c:v>37</c:v>
                </c:pt>
                <c:pt idx="17">
                  <c:v>24</c:v>
                </c:pt>
                <c:pt idx="18">
                  <c:v>10</c:v>
                </c:pt>
                <c:pt idx="19">
                  <c:v>9</c:v>
                </c:pt>
                <c:pt idx="20">
                  <c:v>6</c:v>
                </c:pt>
                <c:pt idx="21">
                  <c:v>6</c:v>
                </c:pt>
                <c:pt idx="22">
                  <c:v>4</c:v>
                </c:pt>
                <c:pt idx="23">
                  <c:v>4</c:v>
                </c:pt>
              </c:numCache>
            </c:numRef>
          </c:val>
          <c:extLst xmlns:c16r2="http://schemas.microsoft.com/office/drawing/2015/06/chart">
            <c:ext xmlns:c16="http://schemas.microsoft.com/office/drawing/2014/chart" uri="{C3380CC4-5D6E-409C-BE32-E72D297353CC}">
              <c16:uniqueId val="{00000000-C315-4B29-87F9-0A8B8F6849EE}"/>
            </c:ext>
          </c:extLst>
        </c:ser>
        <c:ser>
          <c:idx val="1"/>
          <c:order val="1"/>
          <c:tx>
            <c:strRef>
              <c:f>Sheet1!$C$1</c:f>
              <c:strCache>
                <c:ptCount val="1"/>
                <c:pt idx="0">
                  <c:v>Templates</c:v>
                </c:pt>
              </c:strCache>
            </c:strRef>
          </c:tx>
          <c:invertIfNegative val="0"/>
          <c:cat>
            <c:strRef>
              <c:f>Sheet1!$A$2:$A$25</c:f>
              <c:strCache>
                <c:ptCount val="24"/>
                <c:pt idx="0">
                  <c:v>MoJ</c:v>
                </c:pt>
                <c:pt idx="1">
                  <c:v>Home Office</c:v>
                </c:pt>
                <c:pt idx="2">
                  <c:v>FCO</c:v>
                </c:pt>
                <c:pt idx="3">
                  <c:v>BIS</c:v>
                </c:pt>
                <c:pt idx="4">
                  <c:v>Cabinet Office</c:v>
                </c:pt>
                <c:pt idx="5">
                  <c:v>Health</c:v>
                </c:pt>
                <c:pt idx="6">
                  <c:v>DFID</c:v>
                </c:pt>
                <c:pt idx="7">
                  <c:v>Att-Gen</c:v>
                </c:pt>
                <c:pt idx="8">
                  <c:v>DEFRA</c:v>
                </c:pt>
                <c:pt idx="9">
                  <c:v>HMRC</c:v>
                </c:pt>
                <c:pt idx="10">
                  <c:v>Treasury</c:v>
                </c:pt>
                <c:pt idx="12">
                  <c:v>Scotland gov</c:v>
                </c:pt>
                <c:pt idx="13">
                  <c:v>NI gov</c:v>
                </c:pt>
                <c:pt idx="14">
                  <c:v>Wales gov</c:v>
                </c:pt>
                <c:pt idx="16">
                  <c:v>Police</c:v>
                </c:pt>
                <c:pt idx="17">
                  <c:v>Law Comm</c:v>
                </c:pt>
                <c:pt idx="18">
                  <c:v>CPS</c:v>
                </c:pt>
                <c:pt idx="19">
                  <c:v>NOMS</c:v>
                </c:pt>
                <c:pt idx="20">
                  <c:v>YJB</c:v>
                </c:pt>
                <c:pt idx="21">
                  <c:v>NAO</c:v>
                </c:pt>
                <c:pt idx="22">
                  <c:v>EHRC</c:v>
                </c:pt>
                <c:pt idx="23">
                  <c:v>HMCTS and Scot</c:v>
                </c:pt>
              </c:strCache>
            </c:strRef>
          </c:cat>
          <c:val>
            <c:numRef>
              <c:f>Sheet1!$C$2:$C$25</c:f>
              <c:numCache>
                <c:formatCode>General</c:formatCode>
                <c:ptCount val="24"/>
                <c:pt idx="0">
                  <c:v>21</c:v>
                </c:pt>
                <c:pt idx="1">
                  <c:v>14</c:v>
                </c:pt>
                <c:pt idx="2">
                  <c:v>14</c:v>
                </c:pt>
                <c:pt idx="3">
                  <c:v>4</c:v>
                </c:pt>
                <c:pt idx="4">
                  <c:v>3</c:v>
                </c:pt>
                <c:pt idx="5">
                  <c:v>0</c:v>
                </c:pt>
                <c:pt idx="6">
                  <c:v>6</c:v>
                </c:pt>
                <c:pt idx="7">
                  <c:v>1</c:v>
                </c:pt>
                <c:pt idx="8">
                  <c:v>3</c:v>
                </c:pt>
                <c:pt idx="9">
                  <c:v>2</c:v>
                </c:pt>
                <c:pt idx="10">
                  <c:v>3</c:v>
                </c:pt>
                <c:pt idx="12">
                  <c:v>5</c:v>
                </c:pt>
                <c:pt idx="13">
                  <c:v>1</c:v>
                </c:pt>
                <c:pt idx="14">
                  <c:v>6</c:v>
                </c:pt>
                <c:pt idx="16">
                  <c:v>12</c:v>
                </c:pt>
                <c:pt idx="17">
                  <c:v>19</c:v>
                </c:pt>
                <c:pt idx="18">
                  <c:v>3</c:v>
                </c:pt>
                <c:pt idx="19">
                  <c:v>1</c:v>
                </c:pt>
                <c:pt idx="20">
                  <c:v>1</c:v>
                </c:pt>
                <c:pt idx="21">
                  <c:v>1</c:v>
                </c:pt>
                <c:pt idx="22">
                  <c:v>7</c:v>
                </c:pt>
                <c:pt idx="23">
                  <c:v>3</c:v>
                </c:pt>
              </c:numCache>
            </c:numRef>
          </c:val>
          <c:extLst xmlns:c16r2="http://schemas.microsoft.com/office/drawing/2015/06/chart">
            <c:ext xmlns:c16="http://schemas.microsoft.com/office/drawing/2014/chart" uri="{C3380CC4-5D6E-409C-BE32-E72D297353CC}">
              <c16:uniqueId val="{00000001-C315-4B29-87F9-0A8B8F6849EE}"/>
            </c:ext>
          </c:extLst>
        </c:ser>
        <c:ser>
          <c:idx val="2"/>
          <c:order val="2"/>
          <c:tx>
            <c:strRef>
              <c:f>Sheet1!$D$1</c:f>
              <c:strCache>
                <c:ptCount val="1"/>
              </c:strCache>
            </c:strRef>
          </c:tx>
          <c:invertIfNegative val="0"/>
          <c:cat>
            <c:strRef>
              <c:f>Sheet1!$A$2:$A$25</c:f>
              <c:strCache>
                <c:ptCount val="24"/>
                <c:pt idx="0">
                  <c:v>MoJ</c:v>
                </c:pt>
                <c:pt idx="1">
                  <c:v>Home Office</c:v>
                </c:pt>
                <c:pt idx="2">
                  <c:v>FCO</c:v>
                </c:pt>
                <c:pt idx="3">
                  <c:v>BIS</c:v>
                </c:pt>
                <c:pt idx="4">
                  <c:v>Cabinet Office</c:v>
                </c:pt>
                <c:pt idx="5">
                  <c:v>Health</c:v>
                </c:pt>
                <c:pt idx="6">
                  <c:v>DFID</c:v>
                </c:pt>
                <c:pt idx="7">
                  <c:v>Att-Gen</c:v>
                </c:pt>
                <c:pt idx="8">
                  <c:v>DEFRA</c:v>
                </c:pt>
                <c:pt idx="9">
                  <c:v>HMRC</c:v>
                </c:pt>
                <c:pt idx="10">
                  <c:v>Treasury</c:v>
                </c:pt>
                <c:pt idx="12">
                  <c:v>Scotland gov</c:v>
                </c:pt>
                <c:pt idx="13">
                  <c:v>NI gov</c:v>
                </c:pt>
                <c:pt idx="14">
                  <c:v>Wales gov</c:v>
                </c:pt>
                <c:pt idx="16">
                  <c:v>Police</c:v>
                </c:pt>
                <c:pt idx="17">
                  <c:v>Law Comm</c:v>
                </c:pt>
                <c:pt idx="18">
                  <c:v>CPS</c:v>
                </c:pt>
                <c:pt idx="19">
                  <c:v>NOMS</c:v>
                </c:pt>
                <c:pt idx="20">
                  <c:v>YJB</c:v>
                </c:pt>
                <c:pt idx="21">
                  <c:v>NAO</c:v>
                </c:pt>
                <c:pt idx="22">
                  <c:v>EHRC</c:v>
                </c:pt>
                <c:pt idx="23">
                  <c:v>HMCTS and Scot</c:v>
                </c:pt>
              </c:strCache>
            </c:strRef>
          </c:cat>
          <c:val>
            <c:numRef>
              <c:f>Sheet1!$D$2:$D$26</c:f>
              <c:numCache>
                <c:formatCode>General</c:formatCode>
                <c:ptCount val="25"/>
              </c:numCache>
            </c:numRef>
          </c:val>
          <c:extLst xmlns:c16r2="http://schemas.microsoft.com/office/drawing/2015/06/chart">
            <c:ext xmlns:c16="http://schemas.microsoft.com/office/drawing/2014/chart" uri="{C3380CC4-5D6E-409C-BE32-E72D297353CC}">
              <c16:uniqueId val="{00000002-C315-4B29-87F9-0A8B8F6849EE}"/>
            </c:ext>
          </c:extLst>
        </c:ser>
        <c:dLbls>
          <c:showLegendKey val="0"/>
          <c:showVal val="0"/>
          <c:showCatName val="0"/>
          <c:showSerName val="0"/>
          <c:showPercent val="0"/>
          <c:showBubbleSize val="0"/>
        </c:dLbls>
        <c:gapWidth val="75"/>
        <c:overlap val="-25"/>
        <c:axId val="178408064"/>
        <c:axId val="178418048"/>
      </c:barChart>
      <c:catAx>
        <c:axId val="178408064"/>
        <c:scaling>
          <c:orientation val="minMax"/>
        </c:scaling>
        <c:delete val="0"/>
        <c:axPos val="b"/>
        <c:numFmt formatCode="General" sourceLinked="0"/>
        <c:majorTickMark val="none"/>
        <c:minorTickMark val="none"/>
        <c:tickLblPos val="nextTo"/>
        <c:txPr>
          <a:bodyPr/>
          <a:lstStyle/>
          <a:p>
            <a:pPr>
              <a:defRPr sz="600">
                <a:latin typeface="Arial" panose="020B0604020202020204" pitchFamily="34" charset="0"/>
                <a:cs typeface="Arial" panose="020B0604020202020204" pitchFamily="34" charset="0"/>
              </a:defRPr>
            </a:pPr>
            <a:endParaRPr lang="en-US"/>
          </a:p>
        </c:txPr>
        <c:crossAx val="178418048"/>
        <c:crosses val="autoZero"/>
        <c:auto val="1"/>
        <c:lblAlgn val="ctr"/>
        <c:lblOffset val="100"/>
        <c:noMultiLvlLbl val="0"/>
      </c:catAx>
      <c:valAx>
        <c:axId val="178418048"/>
        <c:scaling>
          <c:orientation val="minMax"/>
        </c:scaling>
        <c:delete val="0"/>
        <c:axPos val="l"/>
        <c:majorGridlines/>
        <c:numFmt formatCode="General" sourceLinked="1"/>
        <c:majorTickMark val="none"/>
        <c:minorTickMark val="none"/>
        <c:tickLblPos val="nextTo"/>
        <c:spPr>
          <a:ln w="9525">
            <a:noFill/>
          </a:ln>
        </c:spPr>
        <c:txPr>
          <a:bodyPr/>
          <a:lstStyle/>
          <a:p>
            <a:pPr>
              <a:defRPr sz="800">
                <a:latin typeface="Arial" panose="020B0604020202020204" pitchFamily="34" charset="0"/>
                <a:cs typeface="Arial" panose="020B0604020202020204" pitchFamily="34" charset="0"/>
              </a:defRPr>
            </a:pPr>
            <a:endParaRPr lang="en-US"/>
          </a:p>
        </c:txPr>
        <c:crossAx val="178408064"/>
        <c:crosses val="autoZero"/>
        <c:crossBetween val="between"/>
      </c:valAx>
    </c:plotArea>
    <c:legend>
      <c:legendPos val="b"/>
      <c:legendEntry>
        <c:idx val="2"/>
        <c:delete val="1"/>
      </c:legendEntry>
      <c:layout>
        <c:manualLayout>
          <c:xMode val="edge"/>
          <c:yMode val="edge"/>
          <c:x val="0.24037839020122484"/>
          <c:y val="0.92633505613560418"/>
          <c:w val="0.54239136774569841"/>
          <c:h val="5.3106940927538246E-2"/>
        </c:manualLayout>
      </c:layout>
      <c:overlay val="0"/>
      <c:txPr>
        <a:bodyPr/>
        <a:lstStyle/>
        <a:p>
          <a:pPr>
            <a:defRPr sz="700">
              <a:latin typeface="Arial" panose="020B0604020202020204" pitchFamily="34" charset="0"/>
              <a:cs typeface="Arial" panose="020B0604020202020204" pitchFamily="34" charset="0"/>
            </a:defRPr>
          </a:pPr>
          <a:endParaRPr lang="en-US"/>
        </a:p>
      </c:txPr>
    </c:legend>
    <c:plotVisOnly val="1"/>
    <c:dispBlanksAs val="gap"/>
    <c:showDLblsOverMax val="0"/>
  </c:chart>
  <c:spPr>
    <a:ln w="12700"/>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900" u="sng">
                <a:latin typeface="Arial" panose="020B0604020202020204" pitchFamily="34" charset="0"/>
                <a:cs typeface="Arial" panose="020B0604020202020204" pitchFamily="34" charset="0"/>
              </a:rPr>
              <a:t>Figure</a:t>
            </a:r>
            <a:r>
              <a:rPr lang="en-GB" sz="900" u="sng" baseline="0">
                <a:latin typeface="Arial" panose="020B0604020202020204" pitchFamily="34" charset="0"/>
                <a:cs typeface="Arial" panose="020B0604020202020204" pitchFamily="34" charset="0"/>
              </a:rPr>
              <a:t> 10</a:t>
            </a:r>
            <a:r>
              <a:rPr lang="en-GB" sz="800">
                <a:latin typeface="Arial" panose="020B0604020202020204" pitchFamily="34" charset="0"/>
                <a:cs typeface="Arial" panose="020B0604020202020204" pitchFamily="34" charset="0"/>
              </a:rPr>
              <a:t>: Respondent views on the role</a:t>
            </a:r>
            <a:r>
              <a:rPr lang="en-GB" sz="800" baseline="0">
                <a:latin typeface="Arial" panose="020B0604020202020204" pitchFamily="34" charset="0"/>
                <a:cs typeface="Arial" panose="020B0604020202020204" pitchFamily="34" charset="0"/>
              </a:rPr>
              <a:t> of s</a:t>
            </a:r>
            <a:r>
              <a:rPr lang="en-GB" sz="800">
                <a:latin typeface="Arial" panose="020B0604020202020204" pitchFamily="34" charset="0"/>
                <a:cs typeface="Arial" panose="020B0604020202020204" pitchFamily="34" charset="0"/>
              </a:rPr>
              <a:t>ystems</a:t>
            </a:r>
            <a:r>
              <a:rPr lang="en-GB" sz="800" baseline="0">
                <a:latin typeface="Arial" panose="020B0604020202020204" pitchFamily="34" charset="0"/>
                <a:cs typeface="Arial" panose="020B0604020202020204" pitchFamily="34" charset="0"/>
              </a:rPr>
              <a:t> and chance</a:t>
            </a:r>
            <a:endParaRPr lang="en-GB" sz="800">
              <a:latin typeface="Arial" panose="020B0604020202020204" pitchFamily="34" charset="0"/>
              <a:cs typeface="Arial" panose="020B0604020202020204" pitchFamily="34" charset="0"/>
            </a:endParaRPr>
          </a:p>
        </c:rich>
      </c:tx>
      <c:layout>
        <c:manualLayout>
          <c:xMode val="edge"/>
          <c:yMode val="edge"/>
          <c:x val="0.18056722076407117"/>
          <c:y val="2.00931133608299E-2"/>
        </c:manualLayout>
      </c:layout>
      <c:overlay val="0"/>
    </c:title>
    <c:autoTitleDeleted val="0"/>
    <c:plotArea>
      <c:layout/>
      <c:barChart>
        <c:barDir val="col"/>
        <c:grouping val="clustered"/>
        <c:varyColors val="0"/>
        <c:ser>
          <c:idx val="0"/>
          <c:order val="0"/>
          <c:tx>
            <c:strRef>
              <c:f>Sheet1!$B$1</c:f>
              <c:strCache>
                <c:ptCount val="1"/>
                <c:pt idx="0">
                  <c:v>Strongly agree</c:v>
                </c:pt>
              </c:strCache>
            </c:strRef>
          </c:tx>
          <c:invertIfNegative val="0"/>
          <c:cat>
            <c:strRef>
              <c:f>Sheet1!$A$2:$A$4</c:f>
              <c:strCache>
                <c:ptCount val="3"/>
                <c:pt idx="0">
                  <c:v>If an academic wants to bring her or his research directly to the attention of relevant people in central government departments, this can be done without too much difficulty.  (n=101)</c:v>
                </c:pt>
                <c:pt idx="1">
                  <c:v>The government department or agency I dealt with most had a person who seemed to be a good, clear contact point for academic researchers.  (n=98)</c:v>
                </c:pt>
                <c:pt idx="2">
                  <c:v>Successful interaction with government departments is heavily dependent on chance and good fortune. (n=97)</c:v>
                </c:pt>
              </c:strCache>
            </c:strRef>
          </c:cat>
          <c:val>
            <c:numRef>
              <c:f>Sheet1!$B$2:$B$4</c:f>
              <c:numCache>
                <c:formatCode>General</c:formatCode>
                <c:ptCount val="3"/>
                <c:pt idx="0">
                  <c:v>3</c:v>
                </c:pt>
                <c:pt idx="1">
                  <c:v>5</c:v>
                </c:pt>
                <c:pt idx="2">
                  <c:v>15</c:v>
                </c:pt>
              </c:numCache>
            </c:numRef>
          </c:val>
          <c:extLst xmlns:c16r2="http://schemas.microsoft.com/office/drawing/2015/06/chart">
            <c:ext xmlns:c16="http://schemas.microsoft.com/office/drawing/2014/chart" uri="{C3380CC4-5D6E-409C-BE32-E72D297353CC}">
              <c16:uniqueId val="{00000000-4B93-47AE-9DF0-BA5AEAA38FE5}"/>
            </c:ext>
          </c:extLst>
        </c:ser>
        <c:ser>
          <c:idx val="1"/>
          <c:order val="1"/>
          <c:tx>
            <c:strRef>
              <c:f>Sheet1!$C$1</c:f>
              <c:strCache>
                <c:ptCount val="1"/>
                <c:pt idx="0">
                  <c:v>Agree</c:v>
                </c:pt>
              </c:strCache>
            </c:strRef>
          </c:tx>
          <c:invertIfNegative val="0"/>
          <c:cat>
            <c:strRef>
              <c:f>Sheet1!$A$2:$A$4</c:f>
              <c:strCache>
                <c:ptCount val="3"/>
                <c:pt idx="0">
                  <c:v>If an academic wants to bring her or his research directly to the attention of relevant people in central government departments, this can be done without too much difficulty.  (n=101)</c:v>
                </c:pt>
                <c:pt idx="1">
                  <c:v>The government department or agency I dealt with most had a person who seemed to be a good, clear contact point for academic researchers.  (n=98)</c:v>
                </c:pt>
                <c:pt idx="2">
                  <c:v>Successful interaction with government departments is heavily dependent on chance and good fortune. (n=97)</c:v>
                </c:pt>
              </c:strCache>
            </c:strRef>
          </c:cat>
          <c:val>
            <c:numRef>
              <c:f>Sheet1!$C$2:$C$4</c:f>
              <c:numCache>
                <c:formatCode>General</c:formatCode>
                <c:ptCount val="3"/>
                <c:pt idx="0">
                  <c:v>25</c:v>
                </c:pt>
                <c:pt idx="1">
                  <c:v>21</c:v>
                </c:pt>
                <c:pt idx="2">
                  <c:v>53</c:v>
                </c:pt>
              </c:numCache>
            </c:numRef>
          </c:val>
          <c:extLst xmlns:c16r2="http://schemas.microsoft.com/office/drawing/2015/06/chart">
            <c:ext xmlns:c16="http://schemas.microsoft.com/office/drawing/2014/chart" uri="{C3380CC4-5D6E-409C-BE32-E72D297353CC}">
              <c16:uniqueId val="{00000001-4B93-47AE-9DF0-BA5AEAA38FE5}"/>
            </c:ext>
          </c:extLst>
        </c:ser>
        <c:ser>
          <c:idx val="2"/>
          <c:order val="2"/>
          <c:tx>
            <c:strRef>
              <c:f>Sheet1!$D$1</c:f>
              <c:strCache>
                <c:ptCount val="1"/>
                <c:pt idx="0">
                  <c:v>Neutral</c:v>
                </c:pt>
              </c:strCache>
            </c:strRef>
          </c:tx>
          <c:invertIfNegative val="0"/>
          <c:cat>
            <c:strRef>
              <c:f>Sheet1!$A$2:$A$4</c:f>
              <c:strCache>
                <c:ptCount val="3"/>
                <c:pt idx="0">
                  <c:v>If an academic wants to bring her or his research directly to the attention of relevant people in central government departments, this can be done without too much difficulty.  (n=101)</c:v>
                </c:pt>
                <c:pt idx="1">
                  <c:v>The government department or agency I dealt with most had a person who seemed to be a good, clear contact point for academic researchers.  (n=98)</c:v>
                </c:pt>
                <c:pt idx="2">
                  <c:v>Successful interaction with government departments is heavily dependent on chance and good fortune. (n=97)</c:v>
                </c:pt>
              </c:strCache>
            </c:strRef>
          </c:cat>
          <c:val>
            <c:numRef>
              <c:f>Sheet1!$D$2:$D$4</c:f>
              <c:numCache>
                <c:formatCode>General</c:formatCode>
                <c:ptCount val="3"/>
                <c:pt idx="0">
                  <c:v>21</c:v>
                </c:pt>
                <c:pt idx="1">
                  <c:v>24</c:v>
                </c:pt>
                <c:pt idx="2">
                  <c:v>17</c:v>
                </c:pt>
              </c:numCache>
            </c:numRef>
          </c:val>
          <c:extLst xmlns:c16r2="http://schemas.microsoft.com/office/drawing/2015/06/chart">
            <c:ext xmlns:c16="http://schemas.microsoft.com/office/drawing/2014/chart" uri="{C3380CC4-5D6E-409C-BE32-E72D297353CC}">
              <c16:uniqueId val="{00000002-4B93-47AE-9DF0-BA5AEAA38FE5}"/>
            </c:ext>
          </c:extLst>
        </c:ser>
        <c:ser>
          <c:idx val="3"/>
          <c:order val="3"/>
          <c:tx>
            <c:strRef>
              <c:f>Sheet1!$E$1</c:f>
              <c:strCache>
                <c:ptCount val="1"/>
                <c:pt idx="0">
                  <c:v>Disagree</c:v>
                </c:pt>
              </c:strCache>
            </c:strRef>
          </c:tx>
          <c:invertIfNegative val="0"/>
          <c:cat>
            <c:strRef>
              <c:f>Sheet1!$A$2:$A$4</c:f>
              <c:strCache>
                <c:ptCount val="3"/>
                <c:pt idx="0">
                  <c:v>If an academic wants to bring her or his research directly to the attention of relevant people in central government departments, this can be done without too much difficulty.  (n=101)</c:v>
                </c:pt>
                <c:pt idx="1">
                  <c:v>The government department or agency I dealt with most had a person who seemed to be a good, clear contact point for academic researchers.  (n=98)</c:v>
                </c:pt>
                <c:pt idx="2">
                  <c:v>Successful interaction with government departments is heavily dependent on chance and good fortune. (n=97)</c:v>
                </c:pt>
              </c:strCache>
            </c:strRef>
          </c:cat>
          <c:val>
            <c:numRef>
              <c:f>Sheet1!$E$2:$E$4</c:f>
              <c:numCache>
                <c:formatCode>General</c:formatCode>
                <c:ptCount val="3"/>
                <c:pt idx="0">
                  <c:v>37</c:v>
                </c:pt>
                <c:pt idx="1">
                  <c:v>26</c:v>
                </c:pt>
                <c:pt idx="2">
                  <c:v>9</c:v>
                </c:pt>
              </c:numCache>
            </c:numRef>
          </c:val>
          <c:extLst xmlns:c16r2="http://schemas.microsoft.com/office/drawing/2015/06/chart">
            <c:ext xmlns:c16="http://schemas.microsoft.com/office/drawing/2014/chart" uri="{C3380CC4-5D6E-409C-BE32-E72D297353CC}">
              <c16:uniqueId val="{00000003-4B93-47AE-9DF0-BA5AEAA38FE5}"/>
            </c:ext>
          </c:extLst>
        </c:ser>
        <c:ser>
          <c:idx val="4"/>
          <c:order val="4"/>
          <c:tx>
            <c:strRef>
              <c:f>Sheet1!$F$1</c:f>
              <c:strCache>
                <c:ptCount val="1"/>
                <c:pt idx="0">
                  <c:v>Strongly disagree</c:v>
                </c:pt>
              </c:strCache>
            </c:strRef>
          </c:tx>
          <c:invertIfNegative val="0"/>
          <c:cat>
            <c:strRef>
              <c:f>Sheet1!$A$2:$A$4</c:f>
              <c:strCache>
                <c:ptCount val="3"/>
                <c:pt idx="0">
                  <c:v>If an academic wants to bring her or his research directly to the attention of relevant people in central government departments, this can be done without too much difficulty.  (n=101)</c:v>
                </c:pt>
                <c:pt idx="1">
                  <c:v>The government department or agency I dealt with most had a person who seemed to be a good, clear contact point for academic researchers.  (n=98)</c:v>
                </c:pt>
                <c:pt idx="2">
                  <c:v>Successful interaction with government departments is heavily dependent on chance and good fortune. (n=97)</c:v>
                </c:pt>
              </c:strCache>
            </c:strRef>
          </c:cat>
          <c:val>
            <c:numRef>
              <c:f>Sheet1!$F$2:$F$4</c:f>
              <c:numCache>
                <c:formatCode>General</c:formatCode>
                <c:ptCount val="3"/>
                <c:pt idx="0">
                  <c:v>8</c:v>
                </c:pt>
                <c:pt idx="1">
                  <c:v>11</c:v>
                </c:pt>
                <c:pt idx="2">
                  <c:v>1</c:v>
                </c:pt>
              </c:numCache>
            </c:numRef>
          </c:val>
          <c:extLst xmlns:c16r2="http://schemas.microsoft.com/office/drawing/2015/06/chart">
            <c:ext xmlns:c16="http://schemas.microsoft.com/office/drawing/2014/chart" uri="{C3380CC4-5D6E-409C-BE32-E72D297353CC}">
              <c16:uniqueId val="{00000004-4B93-47AE-9DF0-BA5AEAA38FE5}"/>
            </c:ext>
          </c:extLst>
        </c:ser>
        <c:ser>
          <c:idx val="5"/>
          <c:order val="5"/>
          <c:tx>
            <c:strRef>
              <c:f>Sheet1!$G$1</c:f>
              <c:strCache>
                <c:ptCount val="1"/>
                <c:pt idx="0">
                  <c:v>Don't know</c:v>
                </c:pt>
              </c:strCache>
            </c:strRef>
          </c:tx>
          <c:invertIfNegative val="0"/>
          <c:cat>
            <c:strRef>
              <c:f>Sheet1!$A$2:$A$4</c:f>
              <c:strCache>
                <c:ptCount val="3"/>
                <c:pt idx="0">
                  <c:v>If an academic wants to bring her or his research directly to the attention of relevant people in central government departments, this can be done without too much difficulty.  (n=101)</c:v>
                </c:pt>
                <c:pt idx="1">
                  <c:v>The government department or agency I dealt with most had a person who seemed to be a good, clear contact point for academic researchers.  (n=98)</c:v>
                </c:pt>
                <c:pt idx="2">
                  <c:v>Successful interaction with government departments is heavily dependent on chance and good fortune. (n=97)</c:v>
                </c:pt>
              </c:strCache>
            </c:strRef>
          </c:cat>
          <c:val>
            <c:numRef>
              <c:f>Sheet1!$G$2:$G$4</c:f>
              <c:numCache>
                <c:formatCode>General</c:formatCode>
                <c:ptCount val="3"/>
                <c:pt idx="0">
                  <c:v>7</c:v>
                </c:pt>
                <c:pt idx="1">
                  <c:v>10</c:v>
                </c:pt>
                <c:pt idx="2">
                  <c:v>3</c:v>
                </c:pt>
              </c:numCache>
            </c:numRef>
          </c:val>
          <c:extLst xmlns:c16r2="http://schemas.microsoft.com/office/drawing/2015/06/chart">
            <c:ext xmlns:c16="http://schemas.microsoft.com/office/drawing/2014/chart" uri="{C3380CC4-5D6E-409C-BE32-E72D297353CC}">
              <c16:uniqueId val="{00000005-4B93-47AE-9DF0-BA5AEAA38FE5}"/>
            </c:ext>
          </c:extLst>
        </c:ser>
        <c:dLbls>
          <c:showLegendKey val="0"/>
          <c:showVal val="0"/>
          <c:showCatName val="0"/>
          <c:showSerName val="0"/>
          <c:showPercent val="0"/>
          <c:showBubbleSize val="0"/>
        </c:dLbls>
        <c:gapWidth val="150"/>
        <c:axId val="182183424"/>
        <c:axId val="182184960"/>
      </c:barChart>
      <c:catAx>
        <c:axId val="182183424"/>
        <c:scaling>
          <c:orientation val="minMax"/>
        </c:scaling>
        <c:delete val="0"/>
        <c:axPos val="b"/>
        <c:numFmt formatCode="General" sourceLinked="0"/>
        <c:majorTickMark val="none"/>
        <c:minorTickMark val="none"/>
        <c:tickLblPos val="nextTo"/>
        <c:txPr>
          <a:bodyPr/>
          <a:lstStyle/>
          <a:p>
            <a:pPr>
              <a:defRPr sz="700">
                <a:latin typeface="Arial" panose="020B0604020202020204" pitchFamily="34" charset="0"/>
                <a:cs typeface="Arial" panose="020B0604020202020204" pitchFamily="34" charset="0"/>
              </a:defRPr>
            </a:pPr>
            <a:endParaRPr lang="en-US"/>
          </a:p>
        </c:txPr>
        <c:crossAx val="182184960"/>
        <c:crosses val="autoZero"/>
        <c:auto val="1"/>
        <c:lblAlgn val="ctr"/>
        <c:lblOffset val="100"/>
        <c:noMultiLvlLbl val="0"/>
      </c:catAx>
      <c:valAx>
        <c:axId val="182184960"/>
        <c:scaling>
          <c:orientation val="minMax"/>
        </c:scaling>
        <c:delete val="0"/>
        <c:axPos val="l"/>
        <c:majorGridlines/>
        <c:numFmt formatCode="General" sourceLinked="1"/>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182183424"/>
        <c:crosses val="autoZero"/>
        <c:crossBetween val="between"/>
      </c:valAx>
    </c:plotArea>
    <c:legend>
      <c:legendPos val="r"/>
      <c:layout/>
      <c:overlay val="0"/>
      <c:txPr>
        <a:bodyPr/>
        <a:lstStyle/>
        <a:p>
          <a:pPr>
            <a:defRPr sz="7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900" b="1" i="0" u="sng" strike="noStrike" baseline="0">
                <a:effectLst/>
                <a:latin typeface="Arial" panose="020B0604020202020204" pitchFamily="34" charset="0"/>
                <a:cs typeface="Arial" panose="020B0604020202020204" pitchFamily="34" charset="0"/>
              </a:rPr>
              <a:t>Figure 11</a:t>
            </a:r>
            <a:r>
              <a:rPr lang="en-GB" sz="900" b="1" i="0" u="none" strike="noStrike" baseline="0">
                <a:effectLst/>
                <a:latin typeface="Arial" panose="020B0604020202020204" pitchFamily="34" charset="0"/>
                <a:cs typeface="Arial" panose="020B0604020202020204" pitchFamily="34" charset="0"/>
              </a:rPr>
              <a:t>: Law school ranking in 2014 REF, as selected by respondent (n=32)</a:t>
            </a:r>
            <a:endParaRPr lang="en-US" sz="900" b="0" i="1">
              <a:latin typeface="Arial" panose="020B0604020202020204" pitchFamily="34" charset="0"/>
              <a:cs typeface="Arial" panose="020B0604020202020204" pitchFamily="34" charset="0"/>
            </a:endParaRPr>
          </a:p>
        </c:rich>
      </c:tx>
      <c:layout>
        <c:manualLayout>
          <c:xMode val="edge"/>
          <c:yMode val="edge"/>
          <c:x val="9.0202500729075527E-2"/>
          <c:y val="1.9983484723369117E-2"/>
        </c:manualLayout>
      </c:layout>
      <c:overlay val="0"/>
    </c:title>
    <c:autoTitleDeleted val="0"/>
    <c:plotArea>
      <c:layout>
        <c:manualLayout>
          <c:layoutTarget val="inner"/>
          <c:xMode val="edge"/>
          <c:yMode val="edge"/>
          <c:x val="0.18930810731991835"/>
          <c:y val="8.1375809520189704E-2"/>
          <c:w val="0.67770578156897043"/>
          <c:h val="0.80108935498106981"/>
        </c:manualLayout>
      </c:layout>
      <c:barChart>
        <c:barDir val="bar"/>
        <c:grouping val="clustered"/>
        <c:varyColors val="0"/>
        <c:ser>
          <c:idx val="0"/>
          <c:order val="0"/>
          <c:tx>
            <c:strRef>
              <c:f>Sheet1!$B$1</c:f>
              <c:strCache>
                <c:ptCount val="1"/>
                <c:pt idx="0">
                  <c:v>Series 1</c:v>
                </c:pt>
              </c:strCache>
            </c:strRef>
          </c:tx>
          <c:invertIfNegative val="0"/>
          <c:cat>
            <c:strRef>
              <c:f>Sheet1!$A$2:$A$6</c:f>
              <c:strCache>
                <c:ptCount val="5"/>
                <c:pt idx="0">
                  <c:v>Outside the top 40</c:v>
                </c:pt>
                <c:pt idx="1">
                  <c:v>25 to 40</c:v>
                </c:pt>
                <c:pt idx="2">
                  <c:v>15 to 30</c:v>
                </c:pt>
                <c:pt idx="3">
                  <c:v>5 to 20</c:v>
                </c:pt>
                <c:pt idx="4">
                  <c:v>Top 10</c:v>
                </c:pt>
              </c:strCache>
            </c:strRef>
          </c:cat>
          <c:val>
            <c:numRef>
              <c:f>Sheet1!$B$2:$B$6</c:f>
              <c:numCache>
                <c:formatCode>General</c:formatCode>
                <c:ptCount val="5"/>
                <c:pt idx="0">
                  <c:v>10</c:v>
                </c:pt>
                <c:pt idx="1">
                  <c:v>4</c:v>
                </c:pt>
                <c:pt idx="2">
                  <c:v>8</c:v>
                </c:pt>
                <c:pt idx="3">
                  <c:v>5</c:v>
                </c:pt>
                <c:pt idx="4">
                  <c:v>5</c:v>
                </c:pt>
              </c:numCache>
            </c:numRef>
          </c:val>
          <c:extLst xmlns:c16r2="http://schemas.microsoft.com/office/drawing/2015/06/chart">
            <c:ext xmlns:c16="http://schemas.microsoft.com/office/drawing/2014/chart" uri="{C3380CC4-5D6E-409C-BE32-E72D297353CC}">
              <c16:uniqueId val="{00000000-A272-4A9E-B4F1-EAB6ADAD83EA}"/>
            </c:ext>
          </c:extLst>
        </c:ser>
        <c:dLbls>
          <c:showLegendKey val="0"/>
          <c:showVal val="0"/>
          <c:showCatName val="0"/>
          <c:showSerName val="0"/>
          <c:showPercent val="0"/>
          <c:showBubbleSize val="0"/>
        </c:dLbls>
        <c:gapWidth val="150"/>
        <c:axId val="182342016"/>
        <c:axId val="182343552"/>
      </c:barChart>
      <c:catAx>
        <c:axId val="182342016"/>
        <c:scaling>
          <c:orientation val="minMax"/>
        </c:scaling>
        <c:delete val="0"/>
        <c:axPos val="l"/>
        <c:numFmt formatCode="General"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182343552"/>
        <c:crosses val="autoZero"/>
        <c:auto val="1"/>
        <c:lblAlgn val="ctr"/>
        <c:lblOffset val="100"/>
        <c:noMultiLvlLbl val="0"/>
      </c:catAx>
      <c:valAx>
        <c:axId val="182343552"/>
        <c:scaling>
          <c:orientation val="minMax"/>
        </c:scaling>
        <c:delete val="0"/>
        <c:axPos val="b"/>
        <c:majorGridlines/>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182342016"/>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nSpc>
                <a:spcPct val="130000"/>
              </a:lnSpc>
              <a:defRPr/>
            </a:pPr>
            <a:r>
              <a:rPr lang="en-GB" sz="900" b="1" i="0" u="sng" strike="noStrike" baseline="0">
                <a:effectLst/>
                <a:latin typeface="Arial" panose="020B0604020202020204" pitchFamily="34" charset="0"/>
                <a:cs typeface="Arial" panose="020B0604020202020204" pitchFamily="34" charset="0"/>
              </a:rPr>
              <a:t>Figure 12</a:t>
            </a:r>
            <a:r>
              <a:rPr lang="en-GB" sz="900" b="1" i="0" u="none" strike="noStrike" baseline="0">
                <a:effectLst/>
                <a:latin typeface="Arial" panose="020B0604020202020204" pitchFamily="34" charset="0"/>
                <a:cs typeface="Arial" panose="020B0604020202020204" pitchFamily="34" charset="0"/>
              </a:rPr>
              <a:t>: Number of staff who could give good, informed advice about engaging with government (n=32)</a:t>
            </a:r>
            <a:endParaRPr lang="en-GB" sz="900">
              <a:latin typeface="Arial" panose="020B0604020202020204" pitchFamily="34" charset="0"/>
              <a:cs typeface="Arial" panose="020B0604020202020204" pitchFamily="34" charset="0"/>
            </a:endParaRPr>
          </a:p>
        </c:rich>
      </c:tx>
      <c:layout/>
      <c:overlay val="0"/>
    </c:title>
    <c:autoTitleDeleted val="0"/>
    <c:plotArea>
      <c:layout/>
      <c:barChart>
        <c:barDir val="bar"/>
        <c:grouping val="clustered"/>
        <c:varyColors val="0"/>
        <c:ser>
          <c:idx val="0"/>
          <c:order val="0"/>
          <c:tx>
            <c:strRef>
              <c:f>Sheet1!$B$1</c:f>
              <c:strCache>
                <c:ptCount val="1"/>
                <c:pt idx="0">
                  <c:v>All</c:v>
                </c:pt>
              </c:strCache>
            </c:strRef>
          </c:tx>
          <c:invertIfNegative val="0"/>
          <c:cat>
            <c:strRef>
              <c:f>Sheet1!$A$2:$A$6</c:f>
              <c:strCache>
                <c:ptCount val="5"/>
                <c:pt idx="0">
                  <c:v>None</c:v>
                </c:pt>
                <c:pt idx="1">
                  <c:v>1 or 2</c:v>
                </c:pt>
                <c:pt idx="2">
                  <c:v>3 to 5</c:v>
                </c:pt>
                <c:pt idx="3">
                  <c:v>6 to 10</c:v>
                </c:pt>
                <c:pt idx="4">
                  <c:v>More than 10</c:v>
                </c:pt>
              </c:strCache>
            </c:strRef>
          </c:cat>
          <c:val>
            <c:numRef>
              <c:f>Sheet1!$B$2:$B$6</c:f>
              <c:numCache>
                <c:formatCode>General</c:formatCode>
                <c:ptCount val="5"/>
                <c:pt idx="0">
                  <c:v>0</c:v>
                </c:pt>
                <c:pt idx="1">
                  <c:v>14</c:v>
                </c:pt>
                <c:pt idx="2">
                  <c:v>13</c:v>
                </c:pt>
                <c:pt idx="3">
                  <c:v>4</c:v>
                </c:pt>
                <c:pt idx="4">
                  <c:v>1</c:v>
                </c:pt>
              </c:numCache>
            </c:numRef>
          </c:val>
          <c:extLst xmlns:c16r2="http://schemas.microsoft.com/office/drawing/2015/06/chart">
            <c:ext xmlns:c16="http://schemas.microsoft.com/office/drawing/2014/chart" uri="{C3380CC4-5D6E-409C-BE32-E72D297353CC}">
              <c16:uniqueId val="{00000000-997F-414B-83E5-71C5DCF365FF}"/>
            </c:ext>
          </c:extLst>
        </c:ser>
        <c:ser>
          <c:idx val="1"/>
          <c:order val="1"/>
          <c:tx>
            <c:strRef>
              <c:f>Sheet1!$C$1</c:f>
              <c:strCache>
                <c:ptCount val="1"/>
                <c:pt idx="0">
                  <c:v>Russell Group</c:v>
                </c:pt>
              </c:strCache>
            </c:strRef>
          </c:tx>
          <c:invertIfNegative val="0"/>
          <c:cat>
            <c:strRef>
              <c:f>Sheet1!$A$2:$A$6</c:f>
              <c:strCache>
                <c:ptCount val="5"/>
                <c:pt idx="0">
                  <c:v>None</c:v>
                </c:pt>
                <c:pt idx="1">
                  <c:v>1 or 2</c:v>
                </c:pt>
                <c:pt idx="2">
                  <c:v>3 to 5</c:v>
                </c:pt>
                <c:pt idx="3">
                  <c:v>6 to 10</c:v>
                </c:pt>
                <c:pt idx="4">
                  <c:v>More than 10</c:v>
                </c:pt>
              </c:strCache>
            </c:strRef>
          </c:cat>
          <c:val>
            <c:numRef>
              <c:f>Sheet1!$C$2:$C$6</c:f>
              <c:numCache>
                <c:formatCode>General</c:formatCode>
                <c:ptCount val="5"/>
                <c:pt idx="0">
                  <c:v>0</c:v>
                </c:pt>
                <c:pt idx="1">
                  <c:v>2</c:v>
                </c:pt>
                <c:pt idx="2">
                  <c:v>4</c:v>
                </c:pt>
                <c:pt idx="3">
                  <c:v>3</c:v>
                </c:pt>
                <c:pt idx="4">
                  <c:v>0</c:v>
                </c:pt>
              </c:numCache>
            </c:numRef>
          </c:val>
          <c:extLst xmlns:c16r2="http://schemas.microsoft.com/office/drawing/2015/06/chart">
            <c:ext xmlns:c16="http://schemas.microsoft.com/office/drawing/2014/chart" uri="{C3380CC4-5D6E-409C-BE32-E72D297353CC}">
              <c16:uniqueId val="{00000001-997F-414B-83E5-71C5DCF365FF}"/>
            </c:ext>
          </c:extLst>
        </c:ser>
        <c:ser>
          <c:idx val="2"/>
          <c:order val="2"/>
          <c:tx>
            <c:strRef>
              <c:f>Sheet1!$D$1</c:f>
              <c:strCache>
                <c:ptCount val="1"/>
                <c:pt idx="0">
                  <c:v>Non-Russell Group</c:v>
                </c:pt>
              </c:strCache>
            </c:strRef>
          </c:tx>
          <c:invertIfNegative val="0"/>
          <c:cat>
            <c:strRef>
              <c:f>Sheet1!$A$2:$A$6</c:f>
              <c:strCache>
                <c:ptCount val="5"/>
                <c:pt idx="0">
                  <c:v>None</c:v>
                </c:pt>
                <c:pt idx="1">
                  <c:v>1 or 2</c:v>
                </c:pt>
                <c:pt idx="2">
                  <c:v>3 to 5</c:v>
                </c:pt>
                <c:pt idx="3">
                  <c:v>6 to 10</c:v>
                </c:pt>
                <c:pt idx="4">
                  <c:v>More than 10</c:v>
                </c:pt>
              </c:strCache>
            </c:strRef>
          </c:cat>
          <c:val>
            <c:numRef>
              <c:f>Sheet1!$D$2:$D$6</c:f>
              <c:numCache>
                <c:formatCode>General</c:formatCode>
                <c:ptCount val="5"/>
                <c:pt idx="0">
                  <c:v>0</c:v>
                </c:pt>
                <c:pt idx="1">
                  <c:v>12</c:v>
                </c:pt>
                <c:pt idx="2">
                  <c:v>9</c:v>
                </c:pt>
                <c:pt idx="3">
                  <c:v>1</c:v>
                </c:pt>
                <c:pt idx="4">
                  <c:v>1</c:v>
                </c:pt>
              </c:numCache>
            </c:numRef>
          </c:val>
          <c:extLst xmlns:c16r2="http://schemas.microsoft.com/office/drawing/2015/06/chart">
            <c:ext xmlns:c16="http://schemas.microsoft.com/office/drawing/2014/chart" uri="{C3380CC4-5D6E-409C-BE32-E72D297353CC}">
              <c16:uniqueId val="{00000002-997F-414B-83E5-71C5DCF365FF}"/>
            </c:ext>
          </c:extLst>
        </c:ser>
        <c:dLbls>
          <c:showLegendKey val="0"/>
          <c:showVal val="0"/>
          <c:showCatName val="0"/>
          <c:showSerName val="0"/>
          <c:showPercent val="0"/>
          <c:showBubbleSize val="0"/>
        </c:dLbls>
        <c:gapWidth val="150"/>
        <c:axId val="182375168"/>
        <c:axId val="182376704"/>
      </c:barChart>
      <c:catAx>
        <c:axId val="182375168"/>
        <c:scaling>
          <c:orientation val="minMax"/>
        </c:scaling>
        <c:delete val="0"/>
        <c:axPos val="l"/>
        <c:numFmt formatCode="General"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182376704"/>
        <c:crosses val="autoZero"/>
        <c:auto val="1"/>
        <c:lblAlgn val="ctr"/>
        <c:lblOffset val="100"/>
        <c:noMultiLvlLbl val="0"/>
      </c:catAx>
      <c:valAx>
        <c:axId val="182376704"/>
        <c:scaling>
          <c:orientation val="minMax"/>
        </c:scaling>
        <c:delete val="0"/>
        <c:axPos val="b"/>
        <c:majorGridlines/>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182375168"/>
        <c:crosses val="autoZero"/>
        <c:crossBetween val="between"/>
      </c:valAx>
    </c:plotArea>
    <c:legend>
      <c:legendPos val="r"/>
      <c:layout/>
      <c:overlay val="0"/>
      <c:txPr>
        <a:bodyPr/>
        <a:lstStyle/>
        <a:p>
          <a:pPr>
            <a:defRPr sz="8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nSpc>
                <a:spcPct val="125000"/>
              </a:lnSpc>
              <a:defRPr/>
            </a:pPr>
            <a:r>
              <a:rPr lang="en-US" sz="900" u="sng">
                <a:latin typeface="Arial" panose="020B0604020202020204" pitchFamily="34" charset="0"/>
                <a:cs typeface="Arial" panose="020B0604020202020204" pitchFamily="34" charset="0"/>
              </a:rPr>
              <a:t>Figure 2</a:t>
            </a:r>
            <a:r>
              <a:rPr lang="en-US" sz="900" u="none">
                <a:latin typeface="Arial" panose="020B0604020202020204" pitchFamily="34" charset="0"/>
                <a:cs typeface="Arial" panose="020B0604020202020204" pitchFamily="34" charset="0"/>
              </a:rPr>
              <a:t>:</a:t>
            </a:r>
            <a:r>
              <a:rPr lang="en-US" sz="900" u="none" baseline="0">
                <a:latin typeface="Arial" panose="020B0604020202020204" pitchFamily="34" charset="0"/>
                <a:cs typeface="Arial" panose="020B0604020202020204" pitchFamily="34" charset="0"/>
              </a:rPr>
              <a:t>  Researcher views about whether their research </a:t>
            </a:r>
            <a:r>
              <a:rPr lang="en-US" sz="900" baseline="0">
                <a:latin typeface="Arial" panose="020B0604020202020204" pitchFamily="34" charset="0"/>
                <a:cs typeface="Arial" panose="020B0604020202020204" pitchFamily="34" charset="0"/>
              </a:rPr>
              <a:t>should have been of potential interest or relevance to at least one area of government</a:t>
            </a:r>
            <a:endParaRPr lang="en-US" sz="900">
              <a:latin typeface="Arial" panose="020B0604020202020204" pitchFamily="34" charset="0"/>
              <a:cs typeface="Arial" panose="020B0604020202020204" pitchFamily="34" charset="0"/>
            </a:endParaRPr>
          </a:p>
        </c:rich>
      </c:tx>
      <c:layout/>
      <c:overlay val="0"/>
    </c:title>
    <c:autoTitleDeleted val="0"/>
    <c:plotArea>
      <c:layout/>
      <c:pieChart>
        <c:varyColors val="1"/>
        <c:ser>
          <c:idx val="0"/>
          <c:order val="0"/>
          <c:tx>
            <c:strRef>
              <c:f>Sheet1!$B$1</c:f>
              <c:strCache>
                <c:ptCount val="1"/>
                <c:pt idx="0">
                  <c:v>Column1</c:v>
                </c:pt>
              </c:strCache>
            </c:strRef>
          </c:tx>
          <c:dLbls>
            <c:dLbl>
              <c:idx val="4"/>
              <c:layout>
                <c:manualLayout>
                  <c:x val="0.36631853310002915"/>
                  <c:y val="6.2364182138205132E-2"/>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EA6-434A-90D2-15F03B19DE27}"/>
                </c:ext>
              </c:extLst>
            </c:dLbl>
            <c:spPr>
              <a:noFill/>
              <a:ln>
                <a:noFill/>
              </a:ln>
              <a:effectLst/>
            </c:spPr>
            <c:txPr>
              <a:bodyPr/>
              <a:lstStyle/>
              <a:p>
                <a:pPr>
                  <a:defRPr sz="700">
                    <a:latin typeface="Arial" panose="020B0604020202020204" pitchFamily="34" charset="0"/>
                    <a:cs typeface="Arial" panose="020B0604020202020204" pitchFamily="34" charset="0"/>
                  </a:defRPr>
                </a:pPr>
                <a:endParaRPr lang="en-US"/>
              </a:p>
            </c:txPr>
            <c:showLegendKey val="0"/>
            <c:showVal val="0"/>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Sheet1!$A$2:$A$6</c:f>
              <c:strCache>
                <c:ptCount val="5"/>
                <c:pt idx="0">
                  <c:v>Should have been highly relevant and of great interest (58.8%)</c:v>
                </c:pt>
                <c:pt idx="1">
                  <c:v>Should have been of some relevance and interest (31.1%)</c:v>
                </c:pt>
                <c:pt idx="2">
                  <c:v>Should have been of relevance and interest, though probably only to a limited extent (5.9%)</c:v>
                </c:pt>
                <c:pt idx="3">
                  <c:v>Probably of little relevance or interest to government (4.2%)</c:v>
                </c:pt>
                <c:pt idx="4">
                  <c:v>Probably of no relevance or interest (0%)</c:v>
                </c:pt>
              </c:strCache>
            </c:strRef>
          </c:cat>
          <c:val>
            <c:numRef>
              <c:f>Sheet1!$B$2:$B$6</c:f>
              <c:numCache>
                <c:formatCode>General</c:formatCode>
                <c:ptCount val="5"/>
                <c:pt idx="0">
                  <c:v>58.8</c:v>
                </c:pt>
                <c:pt idx="1">
                  <c:v>31.1</c:v>
                </c:pt>
                <c:pt idx="2">
                  <c:v>5.9</c:v>
                </c:pt>
                <c:pt idx="3">
                  <c:v>4.2</c:v>
                </c:pt>
                <c:pt idx="4">
                  <c:v>0</c:v>
                </c:pt>
              </c:numCache>
            </c:numRef>
          </c:val>
          <c:extLst xmlns:c16r2="http://schemas.microsoft.com/office/drawing/2015/06/chart">
            <c:ext xmlns:c16="http://schemas.microsoft.com/office/drawing/2014/chart" uri="{C3380CC4-5D6E-409C-BE32-E72D297353CC}">
              <c16:uniqueId val="{00000001-AEA6-434A-90D2-15F03B19DE27}"/>
            </c:ext>
          </c:extLst>
        </c:ser>
        <c:dLbls>
          <c:showLegendKey val="0"/>
          <c:showVal val="0"/>
          <c:showCatName val="1"/>
          <c:showSerName val="0"/>
          <c:showPercent val="0"/>
          <c:showBubbleSize val="0"/>
          <c:showLeaderLines val="1"/>
        </c:dLbls>
        <c:firstSliceAng val="0"/>
      </c:pieChart>
    </c:plotArea>
    <c:plotVisOnly val="1"/>
    <c:dispBlanksAs val="gap"/>
    <c:showDLblsOverMax val="0"/>
  </c:chart>
  <c:spPr>
    <a:ln w="12700"/>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800" u="sng">
                <a:latin typeface="Arial" panose="020B0604020202020204" pitchFamily="34" charset="0"/>
                <a:cs typeface="Arial" panose="020B0604020202020204" pitchFamily="34" charset="0"/>
              </a:rPr>
              <a:t>Figure 3</a:t>
            </a:r>
            <a:r>
              <a:rPr lang="en-GB" sz="800">
                <a:latin typeface="Arial" panose="020B0604020202020204" pitchFamily="34" charset="0"/>
                <a:cs typeface="Arial" panose="020B0604020202020204" pitchFamily="34" charset="0"/>
              </a:rPr>
              <a:t>: Extent of engagement with departments</a:t>
            </a:r>
            <a:r>
              <a:rPr lang="en-GB" sz="800" baseline="0">
                <a:latin typeface="Arial" panose="020B0604020202020204" pitchFamily="34" charset="0"/>
                <a:cs typeface="Arial" panose="020B0604020202020204" pitchFamily="34" charset="0"/>
              </a:rPr>
              <a:t> or agencies (n=109)</a:t>
            </a:r>
            <a:endParaRPr lang="en-GB" sz="800"/>
          </a:p>
        </c:rich>
      </c:tx>
      <c:layout>
        <c:manualLayout>
          <c:xMode val="edge"/>
          <c:yMode val="edge"/>
          <c:x val="0.23375583260425781"/>
          <c:y val="2.4071435332068753E-2"/>
        </c:manualLayout>
      </c:layout>
      <c:overlay val="0"/>
    </c:title>
    <c:autoTitleDeleted val="0"/>
    <c:plotArea>
      <c:layout/>
      <c:barChart>
        <c:barDir val="col"/>
        <c:grouping val="stacked"/>
        <c:varyColors val="0"/>
        <c:ser>
          <c:idx val="0"/>
          <c:order val="0"/>
          <c:tx>
            <c:strRef>
              <c:f>Sheet1!$B$1</c:f>
              <c:strCache>
                <c:ptCount val="1"/>
                <c:pt idx="0">
                  <c:v>Very significant</c:v>
                </c:pt>
              </c:strCache>
            </c:strRef>
          </c:tx>
          <c:invertIfNegative val="0"/>
          <c:cat>
            <c:strRef>
              <c:f>Sheet1!$A$2:$A$18</c:f>
              <c:strCache>
                <c:ptCount val="17"/>
                <c:pt idx="0">
                  <c:v>Justice (excl prisons, NOMS, courts)</c:v>
                </c:pt>
                <c:pt idx="1">
                  <c:v>Home Office</c:v>
                </c:pt>
                <c:pt idx="2">
                  <c:v>FCO</c:v>
                </c:pt>
                <c:pt idx="3">
                  <c:v>BIS</c:v>
                </c:pt>
                <c:pt idx="4">
                  <c:v>Cabinet Office</c:v>
                </c:pt>
                <c:pt idx="5">
                  <c:v>DFID</c:v>
                </c:pt>
                <c:pt idx="6">
                  <c:v>Health</c:v>
                </c:pt>
                <c:pt idx="7">
                  <c:v>Education</c:v>
                </c:pt>
                <c:pt idx="8">
                  <c:v>Environment</c:v>
                </c:pt>
                <c:pt idx="10">
                  <c:v>Scot, Wales, NI govts</c:v>
                </c:pt>
                <c:pt idx="11">
                  <c:v>Scot Wales NI agencies</c:v>
                </c:pt>
                <c:pt idx="13">
                  <c:v>Law Comm</c:v>
                </c:pt>
                <c:pt idx="14">
                  <c:v>Police or SS/SIS</c:v>
                </c:pt>
                <c:pt idx="15">
                  <c:v>HMCTS / courts admin</c:v>
                </c:pt>
                <c:pt idx="16">
                  <c:v>Prisons / NOMS</c:v>
                </c:pt>
              </c:strCache>
            </c:strRef>
          </c:cat>
          <c:val>
            <c:numRef>
              <c:f>Sheet1!$B$2:$B$18</c:f>
              <c:numCache>
                <c:formatCode>General</c:formatCode>
                <c:ptCount val="17"/>
                <c:pt idx="0">
                  <c:v>8</c:v>
                </c:pt>
                <c:pt idx="1">
                  <c:v>2</c:v>
                </c:pt>
                <c:pt idx="2">
                  <c:v>2</c:v>
                </c:pt>
                <c:pt idx="3">
                  <c:v>3</c:v>
                </c:pt>
                <c:pt idx="4">
                  <c:v>1</c:v>
                </c:pt>
                <c:pt idx="5">
                  <c:v>3</c:v>
                </c:pt>
                <c:pt idx="6">
                  <c:v>1</c:v>
                </c:pt>
                <c:pt idx="7">
                  <c:v>3</c:v>
                </c:pt>
                <c:pt idx="8">
                  <c:v>1</c:v>
                </c:pt>
                <c:pt idx="10">
                  <c:v>11</c:v>
                </c:pt>
                <c:pt idx="11">
                  <c:v>9</c:v>
                </c:pt>
                <c:pt idx="13">
                  <c:v>8</c:v>
                </c:pt>
                <c:pt idx="14">
                  <c:v>2</c:v>
                </c:pt>
                <c:pt idx="15">
                  <c:v>4</c:v>
                </c:pt>
                <c:pt idx="16">
                  <c:v>2</c:v>
                </c:pt>
              </c:numCache>
            </c:numRef>
          </c:val>
          <c:extLst xmlns:c16r2="http://schemas.microsoft.com/office/drawing/2015/06/chart">
            <c:ext xmlns:c16="http://schemas.microsoft.com/office/drawing/2014/chart" uri="{C3380CC4-5D6E-409C-BE32-E72D297353CC}">
              <c16:uniqueId val="{00000000-DB12-4DD1-9DC6-BAE6D7F5DED6}"/>
            </c:ext>
          </c:extLst>
        </c:ser>
        <c:ser>
          <c:idx val="1"/>
          <c:order val="1"/>
          <c:tx>
            <c:strRef>
              <c:f>Sheet1!$C$1</c:f>
              <c:strCache>
                <c:ptCount val="1"/>
                <c:pt idx="0">
                  <c:v>Significant</c:v>
                </c:pt>
              </c:strCache>
            </c:strRef>
          </c:tx>
          <c:invertIfNegative val="0"/>
          <c:cat>
            <c:strRef>
              <c:f>Sheet1!$A$2:$A$18</c:f>
              <c:strCache>
                <c:ptCount val="17"/>
                <c:pt idx="0">
                  <c:v>Justice (excl prisons, NOMS, courts)</c:v>
                </c:pt>
                <c:pt idx="1">
                  <c:v>Home Office</c:v>
                </c:pt>
                <c:pt idx="2">
                  <c:v>FCO</c:v>
                </c:pt>
                <c:pt idx="3">
                  <c:v>BIS</c:v>
                </c:pt>
                <c:pt idx="4">
                  <c:v>Cabinet Office</c:v>
                </c:pt>
                <c:pt idx="5">
                  <c:v>DFID</c:v>
                </c:pt>
                <c:pt idx="6">
                  <c:v>Health</c:v>
                </c:pt>
                <c:pt idx="7">
                  <c:v>Education</c:v>
                </c:pt>
                <c:pt idx="8">
                  <c:v>Environment</c:v>
                </c:pt>
                <c:pt idx="10">
                  <c:v>Scot, Wales, NI govts</c:v>
                </c:pt>
                <c:pt idx="11">
                  <c:v>Scot Wales NI agencies</c:v>
                </c:pt>
                <c:pt idx="13">
                  <c:v>Law Comm</c:v>
                </c:pt>
                <c:pt idx="14">
                  <c:v>Police or SS/SIS</c:v>
                </c:pt>
                <c:pt idx="15">
                  <c:v>HMCTS / courts admin</c:v>
                </c:pt>
                <c:pt idx="16">
                  <c:v>Prisons / NOMS</c:v>
                </c:pt>
              </c:strCache>
            </c:strRef>
          </c:cat>
          <c:val>
            <c:numRef>
              <c:f>Sheet1!$C$2:$C$18</c:f>
              <c:numCache>
                <c:formatCode>General</c:formatCode>
                <c:ptCount val="17"/>
                <c:pt idx="0">
                  <c:v>9</c:v>
                </c:pt>
                <c:pt idx="1">
                  <c:v>3</c:v>
                </c:pt>
                <c:pt idx="2">
                  <c:v>5</c:v>
                </c:pt>
                <c:pt idx="3">
                  <c:v>4</c:v>
                </c:pt>
                <c:pt idx="4">
                  <c:v>2</c:v>
                </c:pt>
                <c:pt idx="5">
                  <c:v>1</c:v>
                </c:pt>
                <c:pt idx="6">
                  <c:v>3</c:v>
                </c:pt>
                <c:pt idx="7">
                  <c:v>1</c:v>
                </c:pt>
                <c:pt idx="8">
                  <c:v>1</c:v>
                </c:pt>
                <c:pt idx="10">
                  <c:v>2</c:v>
                </c:pt>
                <c:pt idx="11">
                  <c:v>3</c:v>
                </c:pt>
                <c:pt idx="13">
                  <c:v>7</c:v>
                </c:pt>
                <c:pt idx="14">
                  <c:v>3</c:v>
                </c:pt>
                <c:pt idx="15">
                  <c:v>3</c:v>
                </c:pt>
                <c:pt idx="16">
                  <c:v>2</c:v>
                </c:pt>
              </c:numCache>
            </c:numRef>
          </c:val>
          <c:extLst xmlns:c16r2="http://schemas.microsoft.com/office/drawing/2015/06/chart">
            <c:ext xmlns:c16="http://schemas.microsoft.com/office/drawing/2014/chart" uri="{C3380CC4-5D6E-409C-BE32-E72D297353CC}">
              <c16:uniqueId val="{00000001-DB12-4DD1-9DC6-BAE6D7F5DED6}"/>
            </c:ext>
          </c:extLst>
        </c:ser>
        <c:ser>
          <c:idx val="2"/>
          <c:order val="2"/>
          <c:tx>
            <c:strRef>
              <c:f>Sheet1!$D$1</c:f>
              <c:strCache>
                <c:ptCount val="1"/>
                <c:pt idx="0">
                  <c:v>Moderate</c:v>
                </c:pt>
              </c:strCache>
            </c:strRef>
          </c:tx>
          <c:invertIfNegative val="0"/>
          <c:cat>
            <c:strRef>
              <c:f>Sheet1!$A$2:$A$18</c:f>
              <c:strCache>
                <c:ptCount val="17"/>
                <c:pt idx="0">
                  <c:v>Justice (excl prisons, NOMS, courts)</c:v>
                </c:pt>
                <c:pt idx="1">
                  <c:v>Home Office</c:v>
                </c:pt>
                <c:pt idx="2">
                  <c:v>FCO</c:v>
                </c:pt>
                <c:pt idx="3">
                  <c:v>BIS</c:v>
                </c:pt>
                <c:pt idx="4">
                  <c:v>Cabinet Office</c:v>
                </c:pt>
                <c:pt idx="5">
                  <c:v>DFID</c:v>
                </c:pt>
                <c:pt idx="6">
                  <c:v>Health</c:v>
                </c:pt>
                <c:pt idx="7">
                  <c:v>Education</c:v>
                </c:pt>
                <c:pt idx="8">
                  <c:v>Environment</c:v>
                </c:pt>
                <c:pt idx="10">
                  <c:v>Scot, Wales, NI govts</c:v>
                </c:pt>
                <c:pt idx="11">
                  <c:v>Scot Wales NI agencies</c:v>
                </c:pt>
                <c:pt idx="13">
                  <c:v>Law Comm</c:v>
                </c:pt>
                <c:pt idx="14">
                  <c:v>Police or SS/SIS</c:v>
                </c:pt>
                <c:pt idx="15">
                  <c:v>HMCTS / courts admin</c:v>
                </c:pt>
                <c:pt idx="16">
                  <c:v>Prisons / NOMS</c:v>
                </c:pt>
              </c:strCache>
            </c:strRef>
          </c:cat>
          <c:val>
            <c:numRef>
              <c:f>Sheet1!$D$2:$D$18</c:f>
              <c:numCache>
                <c:formatCode>General</c:formatCode>
                <c:ptCount val="17"/>
                <c:pt idx="0">
                  <c:v>8</c:v>
                </c:pt>
                <c:pt idx="1">
                  <c:v>9</c:v>
                </c:pt>
                <c:pt idx="2">
                  <c:v>4</c:v>
                </c:pt>
                <c:pt idx="3">
                  <c:v>5</c:v>
                </c:pt>
                <c:pt idx="4">
                  <c:v>4</c:v>
                </c:pt>
                <c:pt idx="5">
                  <c:v>3</c:v>
                </c:pt>
                <c:pt idx="6">
                  <c:v>3</c:v>
                </c:pt>
                <c:pt idx="7">
                  <c:v>1</c:v>
                </c:pt>
                <c:pt idx="8">
                  <c:v>1</c:v>
                </c:pt>
                <c:pt idx="10">
                  <c:v>9</c:v>
                </c:pt>
                <c:pt idx="11">
                  <c:v>9</c:v>
                </c:pt>
                <c:pt idx="13">
                  <c:v>5</c:v>
                </c:pt>
                <c:pt idx="14">
                  <c:v>6</c:v>
                </c:pt>
                <c:pt idx="15">
                  <c:v>3</c:v>
                </c:pt>
                <c:pt idx="16">
                  <c:v>3</c:v>
                </c:pt>
              </c:numCache>
            </c:numRef>
          </c:val>
          <c:extLst xmlns:c16r2="http://schemas.microsoft.com/office/drawing/2015/06/chart">
            <c:ext xmlns:c16="http://schemas.microsoft.com/office/drawing/2014/chart" uri="{C3380CC4-5D6E-409C-BE32-E72D297353CC}">
              <c16:uniqueId val="{00000002-DB12-4DD1-9DC6-BAE6D7F5DED6}"/>
            </c:ext>
          </c:extLst>
        </c:ser>
        <c:ser>
          <c:idx val="3"/>
          <c:order val="3"/>
          <c:tx>
            <c:strRef>
              <c:f>Sheet1!$E$1</c:f>
              <c:strCache>
                <c:ptCount val="1"/>
                <c:pt idx="0">
                  <c:v>Limited</c:v>
                </c:pt>
              </c:strCache>
            </c:strRef>
          </c:tx>
          <c:invertIfNegative val="0"/>
          <c:cat>
            <c:strRef>
              <c:f>Sheet1!$A$2:$A$18</c:f>
              <c:strCache>
                <c:ptCount val="17"/>
                <c:pt idx="0">
                  <c:v>Justice (excl prisons, NOMS, courts)</c:v>
                </c:pt>
                <c:pt idx="1">
                  <c:v>Home Office</c:v>
                </c:pt>
                <c:pt idx="2">
                  <c:v>FCO</c:v>
                </c:pt>
                <c:pt idx="3">
                  <c:v>BIS</c:v>
                </c:pt>
                <c:pt idx="4">
                  <c:v>Cabinet Office</c:v>
                </c:pt>
                <c:pt idx="5">
                  <c:v>DFID</c:v>
                </c:pt>
                <c:pt idx="6">
                  <c:v>Health</c:v>
                </c:pt>
                <c:pt idx="7">
                  <c:v>Education</c:v>
                </c:pt>
                <c:pt idx="8">
                  <c:v>Environment</c:v>
                </c:pt>
                <c:pt idx="10">
                  <c:v>Scot, Wales, NI govts</c:v>
                </c:pt>
                <c:pt idx="11">
                  <c:v>Scot Wales NI agencies</c:v>
                </c:pt>
                <c:pt idx="13">
                  <c:v>Law Comm</c:v>
                </c:pt>
                <c:pt idx="14">
                  <c:v>Police or SS/SIS</c:v>
                </c:pt>
                <c:pt idx="15">
                  <c:v>HMCTS / courts admin</c:v>
                </c:pt>
                <c:pt idx="16">
                  <c:v>Prisons / NOMS</c:v>
                </c:pt>
              </c:strCache>
            </c:strRef>
          </c:cat>
          <c:val>
            <c:numRef>
              <c:f>Sheet1!$E$2:$E$18</c:f>
              <c:numCache>
                <c:formatCode>General</c:formatCode>
                <c:ptCount val="17"/>
                <c:pt idx="0">
                  <c:v>15</c:v>
                </c:pt>
                <c:pt idx="1">
                  <c:v>16</c:v>
                </c:pt>
                <c:pt idx="2">
                  <c:v>7</c:v>
                </c:pt>
                <c:pt idx="3">
                  <c:v>5</c:v>
                </c:pt>
                <c:pt idx="4">
                  <c:v>7</c:v>
                </c:pt>
                <c:pt idx="5">
                  <c:v>4</c:v>
                </c:pt>
                <c:pt idx="6">
                  <c:v>3</c:v>
                </c:pt>
                <c:pt idx="7">
                  <c:v>0</c:v>
                </c:pt>
                <c:pt idx="8">
                  <c:v>1</c:v>
                </c:pt>
                <c:pt idx="10">
                  <c:v>4</c:v>
                </c:pt>
                <c:pt idx="11">
                  <c:v>0</c:v>
                </c:pt>
                <c:pt idx="13">
                  <c:v>4</c:v>
                </c:pt>
                <c:pt idx="14">
                  <c:v>6</c:v>
                </c:pt>
                <c:pt idx="15">
                  <c:v>3</c:v>
                </c:pt>
                <c:pt idx="16">
                  <c:v>2</c:v>
                </c:pt>
              </c:numCache>
            </c:numRef>
          </c:val>
          <c:extLst xmlns:c16r2="http://schemas.microsoft.com/office/drawing/2015/06/chart">
            <c:ext xmlns:c16="http://schemas.microsoft.com/office/drawing/2014/chart" uri="{C3380CC4-5D6E-409C-BE32-E72D297353CC}">
              <c16:uniqueId val="{00000003-DB12-4DD1-9DC6-BAE6D7F5DED6}"/>
            </c:ext>
          </c:extLst>
        </c:ser>
        <c:dLbls>
          <c:showLegendKey val="0"/>
          <c:showVal val="0"/>
          <c:showCatName val="0"/>
          <c:showSerName val="0"/>
          <c:showPercent val="0"/>
          <c:showBubbleSize val="0"/>
        </c:dLbls>
        <c:gapWidth val="150"/>
        <c:overlap val="100"/>
        <c:axId val="178467584"/>
        <c:axId val="178469120"/>
      </c:barChart>
      <c:catAx>
        <c:axId val="178467584"/>
        <c:scaling>
          <c:orientation val="minMax"/>
        </c:scaling>
        <c:delete val="0"/>
        <c:axPos val="b"/>
        <c:numFmt formatCode="General" sourceLinked="0"/>
        <c:majorTickMark val="out"/>
        <c:minorTickMark val="none"/>
        <c:tickLblPos val="nextTo"/>
        <c:txPr>
          <a:bodyPr/>
          <a:lstStyle/>
          <a:p>
            <a:pPr>
              <a:defRPr sz="500">
                <a:latin typeface="Arial" panose="020B0604020202020204" pitchFamily="34" charset="0"/>
                <a:cs typeface="Arial" panose="020B0604020202020204" pitchFamily="34" charset="0"/>
              </a:defRPr>
            </a:pPr>
            <a:endParaRPr lang="en-US"/>
          </a:p>
        </c:txPr>
        <c:crossAx val="178469120"/>
        <c:crosses val="autoZero"/>
        <c:auto val="1"/>
        <c:lblAlgn val="ctr"/>
        <c:lblOffset val="100"/>
        <c:noMultiLvlLbl val="0"/>
      </c:catAx>
      <c:valAx>
        <c:axId val="178469120"/>
        <c:scaling>
          <c:orientation val="minMax"/>
        </c:scaling>
        <c:delete val="0"/>
        <c:axPos val="l"/>
        <c:majorGridlines/>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178467584"/>
        <c:crosses val="autoZero"/>
        <c:crossBetween val="between"/>
      </c:valAx>
    </c:plotArea>
    <c:legend>
      <c:legendPos val="r"/>
      <c:layout>
        <c:manualLayout>
          <c:xMode val="edge"/>
          <c:yMode val="edge"/>
          <c:x val="0.88211431904345294"/>
          <c:y val="0.62375274060609043"/>
          <c:w val="0.1039967920676582"/>
          <c:h val="0.15070763213421851"/>
        </c:manualLayout>
      </c:layout>
      <c:overlay val="0"/>
      <c:txPr>
        <a:bodyPr/>
        <a:lstStyle/>
        <a:p>
          <a:pPr>
            <a:defRPr sz="500">
              <a:latin typeface="Arial" panose="020B0604020202020204" pitchFamily="34" charset="0"/>
              <a:cs typeface="Arial" panose="020B0604020202020204" pitchFamily="34" charset="0"/>
            </a:defRPr>
          </a:pPr>
          <a:endParaRPr lang="en-US"/>
        </a:p>
      </c:txPr>
    </c:legend>
    <c:plotVisOnly val="1"/>
    <c:dispBlanksAs val="gap"/>
    <c:showDLblsOverMax val="0"/>
  </c:chart>
  <c:spPr>
    <a:ln w="12700"/>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GB" sz="800" u="sng">
                <a:latin typeface="Arial" panose="020B0604020202020204" pitchFamily="34" charset="0"/>
                <a:cs typeface="Arial" panose="020B0604020202020204" pitchFamily="34" charset="0"/>
              </a:rPr>
              <a:t>Figure</a:t>
            </a:r>
            <a:r>
              <a:rPr lang="en-GB" sz="800" u="sng" baseline="0">
                <a:latin typeface="Arial" panose="020B0604020202020204" pitchFamily="34" charset="0"/>
                <a:cs typeface="Arial" panose="020B0604020202020204" pitchFamily="34" charset="0"/>
              </a:rPr>
              <a:t> 4</a:t>
            </a:r>
            <a:r>
              <a:rPr lang="en-GB" sz="800" baseline="0">
                <a:latin typeface="Arial" panose="020B0604020202020204" pitchFamily="34" charset="0"/>
                <a:cs typeface="Arial" panose="020B0604020202020204" pitchFamily="34" charset="0"/>
              </a:rPr>
              <a:t>: First stages of communication (n=107, each choosing up to 3 responses)</a:t>
            </a:r>
            <a:endParaRPr lang="en-GB" sz="800">
              <a:latin typeface="Arial" panose="020B0604020202020204" pitchFamily="34" charset="0"/>
              <a:cs typeface="Arial" panose="020B0604020202020204" pitchFamily="34" charset="0"/>
            </a:endParaRPr>
          </a:p>
        </c:rich>
      </c:tx>
      <c:layout/>
      <c:overlay val="0"/>
    </c:title>
    <c:autoTitleDeleted val="0"/>
    <c:plotArea>
      <c:layout>
        <c:manualLayout>
          <c:layoutTarget val="inner"/>
          <c:xMode val="edge"/>
          <c:yMode val="edge"/>
          <c:x val="0.38734353989523612"/>
          <c:y val="0.11802491694738335"/>
          <c:w val="0.41949609834195212"/>
          <c:h val="0.80211365111482646"/>
        </c:manualLayout>
      </c:layout>
      <c:barChart>
        <c:barDir val="bar"/>
        <c:grouping val="clustered"/>
        <c:varyColors val="0"/>
        <c:ser>
          <c:idx val="0"/>
          <c:order val="0"/>
          <c:tx>
            <c:strRef>
              <c:f>'[Chart in Microsoft Word]Sheet1'!$B$1</c:f>
              <c:strCache>
                <c:ptCount val="1"/>
                <c:pt idx="0">
                  <c:v>n=107, each choosing up to 3 responses</c:v>
                </c:pt>
              </c:strCache>
            </c:strRef>
          </c:tx>
          <c:invertIfNegative val="0"/>
          <c:cat>
            <c:strRef>
              <c:f>'[Chart in Microsoft Word]Sheet1'!$A$2:$A$24</c:f>
              <c:strCache>
                <c:ptCount val="23"/>
                <c:pt idx="0">
                  <c:v>Not applicable - I neither approached nor was approached</c:v>
                </c:pt>
                <c:pt idx="2">
                  <c:v>via social media</c:v>
                </c:pt>
                <c:pt idx="3">
                  <c:v>Seeking research participation</c:v>
                </c:pt>
                <c:pt idx="4">
                  <c:v>At a conference</c:v>
                </c:pt>
                <c:pt idx="5">
                  <c:v>Based on pre-existing personal/social contacts</c:v>
                </c:pt>
                <c:pt idx="6">
                  <c:v>Sending a publication to them</c:v>
                </c:pt>
                <c:pt idx="7">
                  <c:v>Submitting a response to a formal consultation</c:v>
                </c:pt>
                <c:pt idx="8">
                  <c:v>Based on pre-existing professional contacts</c:v>
                </c:pt>
                <c:pt idx="9">
                  <c:v>You made an approach</c:v>
                </c:pt>
                <c:pt idx="11">
                  <c:v>via social media</c:v>
                </c:pt>
                <c:pt idx="12">
                  <c:v>At a conference</c:v>
                </c:pt>
                <c:pt idx="13">
                  <c:v>Based on pre-existing personal/social contacts</c:v>
                </c:pt>
                <c:pt idx="14">
                  <c:v>Following a formal consultation response you had submitted</c:v>
                </c:pt>
                <c:pt idx="15">
                  <c:v>Based on pre-existing professional contacts</c:v>
                </c:pt>
                <c:pt idx="16">
                  <c:v>Based on publication of particular research</c:v>
                </c:pt>
                <c:pt idx="17">
                  <c:v>Based on your expertise generally</c:v>
                </c:pt>
                <c:pt idx="18">
                  <c:v>You were approached by them</c:v>
                </c:pt>
                <c:pt idx="20">
                  <c:v>Mutual - at a conference or similar</c:v>
                </c:pt>
                <c:pt idx="21">
                  <c:v>Mutual - commissioned research</c:v>
                </c:pt>
                <c:pt idx="22">
                  <c:v>A mutual engagement</c:v>
                </c:pt>
              </c:strCache>
            </c:strRef>
          </c:cat>
          <c:val>
            <c:numRef>
              <c:f>'[Chart in Microsoft Word]Sheet1'!$B$2:$B$24</c:f>
              <c:numCache>
                <c:formatCode>General</c:formatCode>
                <c:ptCount val="23"/>
                <c:pt idx="0">
                  <c:v>15</c:v>
                </c:pt>
                <c:pt idx="2">
                  <c:v>0</c:v>
                </c:pt>
                <c:pt idx="3">
                  <c:v>3</c:v>
                </c:pt>
                <c:pt idx="4">
                  <c:v>3</c:v>
                </c:pt>
                <c:pt idx="5">
                  <c:v>4</c:v>
                </c:pt>
                <c:pt idx="6">
                  <c:v>7</c:v>
                </c:pt>
                <c:pt idx="7">
                  <c:v>14</c:v>
                </c:pt>
                <c:pt idx="8">
                  <c:v>15</c:v>
                </c:pt>
                <c:pt idx="11">
                  <c:v>0</c:v>
                </c:pt>
                <c:pt idx="12">
                  <c:v>2</c:v>
                </c:pt>
                <c:pt idx="13">
                  <c:v>3</c:v>
                </c:pt>
                <c:pt idx="14">
                  <c:v>8</c:v>
                </c:pt>
                <c:pt idx="15">
                  <c:v>14</c:v>
                </c:pt>
                <c:pt idx="16">
                  <c:v>17</c:v>
                </c:pt>
                <c:pt idx="17">
                  <c:v>37</c:v>
                </c:pt>
                <c:pt idx="20">
                  <c:v>9</c:v>
                </c:pt>
                <c:pt idx="21">
                  <c:v>22</c:v>
                </c:pt>
              </c:numCache>
            </c:numRef>
          </c:val>
          <c:extLst xmlns:c16r2="http://schemas.microsoft.com/office/drawing/2015/06/chart">
            <c:ext xmlns:c16="http://schemas.microsoft.com/office/drawing/2014/chart" uri="{C3380CC4-5D6E-409C-BE32-E72D297353CC}">
              <c16:uniqueId val="{00000000-FF82-4237-9734-FD2A05FB7165}"/>
            </c:ext>
          </c:extLst>
        </c:ser>
        <c:dLbls>
          <c:showLegendKey val="0"/>
          <c:showVal val="0"/>
          <c:showCatName val="0"/>
          <c:showSerName val="0"/>
          <c:showPercent val="0"/>
          <c:showBubbleSize val="0"/>
        </c:dLbls>
        <c:gapWidth val="150"/>
        <c:axId val="178503680"/>
        <c:axId val="178505216"/>
      </c:barChart>
      <c:catAx>
        <c:axId val="178503680"/>
        <c:scaling>
          <c:orientation val="minMax"/>
        </c:scaling>
        <c:delete val="0"/>
        <c:axPos val="l"/>
        <c:numFmt formatCode="General" sourceLinked="0"/>
        <c:majorTickMark val="out"/>
        <c:minorTickMark val="none"/>
        <c:tickLblPos val="nextTo"/>
        <c:txPr>
          <a:bodyPr/>
          <a:lstStyle/>
          <a:p>
            <a:pPr>
              <a:defRPr sz="700" baseline="0">
                <a:latin typeface="Arial" panose="020B0604020202020204" pitchFamily="34" charset="0"/>
              </a:defRPr>
            </a:pPr>
            <a:endParaRPr lang="en-US"/>
          </a:p>
        </c:txPr>
        <c:crossAx val="178505216"/>
        <c:crosses val="autoZero"/>
        <c:auto val="1"/>
        <c:lblAlgn val="ctr"/>
        <c:lblOffset val="100"/>
        <c:noMultiLvlLbl val="0"/>
      </c:catAx>
      <c:valAx>
        <c:axId val="178505216"/>
        <c:scaling>
          <c:orientation val="minMax"/>
        </c:scaling>
        <c:delete val="0"/>
        <c:axPos val="b"/>
        <c:majorGridlines/>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17850368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800" u="sng">
                <a:latin typeface="Arial" panose="020B0604020202020204" pitchFamily="34" charset="0"/>
                <a:cs typeface="Arial" panose="020B0604020202020204" pitchFamily="34" charset="0"/>
              </a:rPr>
              <a:t>Figure 5</a:t>
            </a:r>
            <a:r>
              <a:rPr lang="en-GB" sz="800">
                <a:latin typeface="Arial" panose="020B0604020202020204" pitchFamily="34" charset="0"/>
                <a:cs typeface="Arial" panose="020B0604020202020204" pitchFamily="34" charset="0"/>
              </a:rPr>
              <a:t>: Publications or other outputs that most interested governme</a:t>
            </a:r>
            <a:r>
              <a:rPr lang="en-GB" sz="800" baseline="0">
                <a:latin typeface="Arial" panose="020B0604020202020204" pitchFamily="34" charset="0"/>
                <a:cs typeface="Arial" panose="020B0604020202020204" pitchFamily="34" charset="0"/>
              </a:rPr>
              <a:t>nt users (n=99)</a:t>
            </a:r>
          </a:p>
          <a:p>
            <a:pPr>
              <a:defRPr/>
            </a:pPr>
            <a:endParaRPr lang="en-GB" sz="800">
              <a:latin typeface="Arial" panose="020B0604020202020204" pitchFamily="34" charset="0"/>
              <a:cs typeface="Arial" panose="020B0604020202020204" pitchFamily="34" charset="0"/>
            </a:endParaRPr>
          </a:p>
        </c:rich>
      </c:tx>
      <c:layout>
        <c:manualLayout>
          <c:xMode val="edge"/>
          <c:yMode val="edge"/>
          <c:x val="0.14777777777777779"/>
          <c:y val="1.5040852191056041E-2"/>
        </c:manualLayout>
      </c:layout>
      <c:overlay val="0"/>
    </c:title>
    <c:autoTitleDeleted val="0"/>
    <c:plotArea>
      <c:layout>
        <c:manualLayout>
          <c:layoutTarget val="inner"/>
          <c:xMode val="edge"/>
          <c:yMode val="edge"/>
          <c:x val="0.38617599883347914"/>
          <c:y val="7.886214927359432E-2"/>
          <c:w val="0.38984543598716825"/>
          <c:h val="0.85693788276465443"/>
        </c:manualLayout>
      </c:layout>
      <c:barChart>
        <c:barDir val="bar"/>
        <c:grouping val="percentStacked"/>
        <c:varyColors val="0"/>
        <c:ser>
          <c:idx val="0"/>
          <c:order val="0"/>
          <c:tx>
            <c:strRef>
              <c:f>Sheet1!$B$1</c:f>
              <c:strCache>
                <c:ptCount val="1"/>
                <c:pt idx="0">
                  <c:v>Very interested</c:v>
                </c:pt>
              </c:strCache>
            </c:strRef>
          </c:tx>
          <c:invertIfNegative val="0"/>
          <c:cat>
            <c:strRef>
              <c:f>Sheet1!$A$2:$A$11</c:f>
              <c:strCache>
                <c:ptCount val="10"/>
                <c:pt idx="0">
                  <c:v>Training materials</c:v>
                </c:pt>
                <c:pt idx="1">
                  <c:v>Media publications or appearances</c:v>
                </c:pt>
                <c:pt idx="2">
                  <c:v>Blog posts</c:v>
                </c:pt>
                <c:pt idx="3">
                  <c:v>Chapters in edited collections</c:v>
                </c:pt>
                <c:pt idx="4">
                  <c:v>Books (monographs or edited collections)</c:v>
                </c:pt>
                <c:pt idx="5">
                  <c:v>Shorter publications in industry / practitioner outlets</c:v>
                </c:pt>
                <c:pt idx="6">
                  <c:v>Peer-reviewed articles</c:v>
                </c:pt>
                <c:pt idx="7">
                  <c:v>Consultation responses, law reform submissions, etc</c:v>
                </c:pt>
                <c:pt idx="8">
                  <c:v>Policy briefs (or similar)</c:v>
                </c:pt>
                <c:pt idx="9">
                  <c:v>Reports</c:v>
                </c:pt>
              </c:strCache>
            </c:strRef>
          </c:cat>
          <c:val>
            <c:numRef>
              <c:f>Sheet1!$B$2:$B$11</c:f>
              <c:numCache>
                <c:formatCode>General</c:formatCode>
                <c:ptCount val="10"/>
                <c:pt idx="0">
                  <c:v>7</c:v>
                </c:pt>
                <c:pt idx="1">
                  <c:v>3</c:v>
                </c:pt>
                <c:pt idx="2">
                  <c:v>2</c:v>
                </c:pt>
                <c:pt idx="3">
                  <c:v>2</c:v>
                </c:pt>
                <c:pt idx="4">
                  <c:v>4</c:v>
                </c:pt>
                <c:pt idx="5">
                  <c:v>6</c:v>
                </c:pt>
                <c:pt idx="6">
                  <c:v>14</c:v>
                </c:pt>
                <c:pt idx="7">
                  <c:v>10</c:v>
                </c:pt>
                <c:pt idx="8">
                  <c:v>21</c:v>
                </c:pt>
                <c:pt idx="9">
                  <c:v>31</c:v>
                </c:pt>
              </c:numCache>
            </c:numRef>
          </c:val>
          <c:extLst xmlns:c16r2="http://schemas.microsoft.com/office/drawing/2015/06/chart">
            <c:ext xmlns:c16="http://schemas.microsoft.com/office/drawing/2014/chart" uri="{C3380CC4-5D6E-409C-BE32-E72D297353CC}">
              <c16:uniqueId val="{00000000-01ED-45F1-9595-984013AB21D2}"/>
            </c:ext>
          </c:extLst>
        </c:ser>
        <c:ser>
          <c:idx val="1"/>
          <c:order val="1"/>
          <c:tx>
            <c:strRef>
              <c:f>Sheet1!$C$1</c:f>
              <c:strCache>
                <c:ptCount val="1"/>
                <c:pt idx="0">
                  <c:v>Interested</c:v>
                </c:pt>
              </c:strCache>
            </c:strRef>
          </c:tx>
          <c:invertIfNegative val="0"/>
          <c:cat>
            <c:strRef>
              <c:f>Sheet1!$A$2:$A$11</c:f>
              <c:strCache>
                <c:ptCount val="10"/>
                <c:pt idx="0">
                  <c:v>Training materials</c:v>
                </c:pt>
                <c:pt idx="1">
                  <c:v>Media publications or appearances</c:v>
                </c:pt>
                <c:pt idx="2">
                  <c:v>Blog posts</c:v>
                </c:pt>
                <c:pt idx="3">
                  <c:v>Chapters in edited collections</c:v>
                </c:pt>
                <c:pt idx="4">
                  <c:v>Books (monographs or edited collections)</c:v>
                </c:pt>
                <c:pt idx="5">
                  <c:v>Shorter publications in industry / practitioner outlets</c:v>
                </c:pt>
                <c:pt idx="6">
                  <c:v>Peer-reviewed articles</c:v>
                </c:pt>
                <c:pt idx="7">
                  <c:v>Consultation responses, law reform submissions, etc</c:v>
                </c:pt>
                <c:pt idx="8">
                  <c:v>Policy briefs (or similar)</c:v>
                </c:pt>
                <c:pt idx="9">
                  <c:v>Reports</c:v>
                </c:pt>
              </c:strCache>
            </c:strRef>
          </c:cat>
          <c:val>
            <c:numRef>
              <c:f>Sheet1!$C$2:$C$11</c:f>
              <c:numCache>
                <c:formatCode>General</c:formatCode>
                <c:ptCount val="10"/>
                <c:pt idx="0">
                  <c:v>0</c:v>
                </c:pt>
                <c:pt idx="1">
                  <c:v>6</c:v>
                </c:pt>
                <c:pt idx="2">
                  <c:v>7</c:v>
                </c:pt>
                <c:pt idx="3">
                  <c:v>11</c:v>
                </c:pt>
                <c:pt idx="4">
                  <c:v>11</c:v>
                </c:pt>
                <c:pt idx="5">
                  <c:v>15</c:v>
                </c:pt>
                <c:pt idx="6">
                  <c:v>22</c:v>
                </c:pt>
                <c:pt idx="7">
                  <c:v>25</c:v>
                </c:pt>
                <c:pt idx="8">
                  <c:v>18</c:v>
                </c:pt>
                <c:pt idx="9">
                  <c:v>27</c:v>
                </c:pt>
              </c:numCache>
            </c:numRef>
          </c:val>
          <c:extLst xmlns:c16r2="http://schemas.microsoft.com/office/drawing/2015/06/chart">
            <c:ext xmlns:c16="http://schemas.microsoft.com/office/drawing/2014/chart" uri="{C3380CC4-5D6E-409C-BE32-E72D297353CC}">
              <c16:uniqueId val="{00000001-01ED-45F1-9595-984013AB21D2}"/>
            </c:ext>
          </c:extLst>
        </c:ser>
        <c:ser>
          <c:idx val="2"/>
          <c:order val="2"/>
          <c:tx>
            <c:strRef>
              <c:f>Sheet1!$D$1</c:f>
              <c:strCache>
                <c:ptCount val="1"/>
                <c:pt idx="0">
                  <c:v>Some interest</c:v>
                </c:pt>
              </c:strCache>
            </c:strRef>
          </c:tx>
          <c:invertIfNegative val="0"/>
          <c:cat>
            <c:strRef>
              <c:f>Sheet1!$A$2:$A$11</c:f>
              <c:strCache>
                <c:ptCount val="10"/>
                <c:pt idx="0">
                  <c:v>Training materials</c:v>
                </c:pt>
                <c:pt idx="1">
                  <c:v>Media publications or appearances</c:v>
                </c:pt>
                <c:pt idx="2">
                  <c:v>Blog posts</c:v>
                </c:pt>
                <c:pt idx="3">
                  <c:v>Chapters in edited collections</c:v>
                </c:pt>
                <c:pt idx="4">
                  <c:v>Books (monographs or edited collections)</c:v>
                </c:pt>
                <c:pt idx="5">
                  <c:v>Shorter publications in industry / practitioner outlets</c:v>
                </c:pt>
                <c:pt idx="6">
                  <c:v>Peer-reviewed articles</c:v>
                </c:pt>
                <c:pt idx="7">
                  <c:v>Consultation responses, law reform submissions, etc</c:v>
                </c:pt>
                <c:pt idx="8">
                  <c:v>Policy briefs (or similar)</c:v>
                </c:pt>
                <c:pt idx="9">
                  <c:v>Reports</c:v>
                </c:pt>
              </c:strCache>
            </c:strRef>
          </c:cat>
          <c:val>
            <c:numRef>
              <c:f>Sheet1!$D$2:$D$11</c:f>
              <c:numCache>
                <c:formatCode>General</c:formatCode>
                <c:ptCount val="10"/>
                <c:pt idx="0">
                  <c:v>1</c:v>
                </c:pt>
                <c:pt idx="1">
                  <c:v>12</c:v>
                </c:pt>
                <c:pt idx="2">
                  <c:v>8</c:v>
                </c:pt>
                <c:pt idx="3">
                  <c:v>15</c:v>
                </c:pt>
                <c:pt idx="4">
                  <c:v>9</c:v>
                </c:pt>
                <c:pt idx="5">
                  <c:v>11</c:v>
                </c:pt>
                <c:pt idx="6">
                  <c:v>20</c:v>
                </c:pt>
                <c:pt idx="7">
                  <c:v>12</c:v>
                </c:pt>
                <c:pt idx="8">
                  <c:v>5</c:v>
                </c:pt>
                <c:pt idx="9">
                  <c:v>8</c:v>
                </c:pt>
              </c:numCache>
            </c:numRef>
          </c:val>
          <c:extLst xmlns:c16r2="http://schemas.microsoft.com/office/drawing/2015/06/chart">
            <c:ext xmlns:c16="http://schemas.microsoft.com/office/drawing/2014/chart" uri="{C3380CC4-5D6E-409C-BE32-E72D297353CC}">
              <c16:uniqueId val="{00000002-01ED-45F1-9595-984013AB21D2}"/>
            </c:ext>
          </c:extLst>
        </c:ser>
        <c:ser>
          <c:idx val="3"/>
          <c:order val="3"/>
          <c:tx>
            <c:strRef>
              <c:f>Sheet1!$E$1</c:f>
              <c:strCache>
                <c:ptCount val="1"/>
                <c:pt idx="0">
                  <c:v>Little or no interest</c:v>
                </c:pt>
              </c:strCache>
            </c:strRef>
          </c:tx>
          <c:invertIfNegative val="0"/>
          <c:cat>
            <c:strRef>
              <c:f>Sheet1!$A$2:$A$11</c:f>
              <c:strCache>
                <c:ptCount val="10"/>
                <c:pt idx="0">
                  <c:v>Training materials</c:v>
                </c:pt>
                <c:pt idx="1">
                  <c:v>Media publications or appearances</c:v>
                </c:pt>
                <c:pt idx="2">
                  <c:v>Blog posts</c:v>
                </c:pt>
                <c:pt idx="3">
                  <c:v>Chapters in edited collections</c:v>
                </c:pt>
                <c:pt idx="4">
                  <c:v>Books (monographs or edited collections)</c:v>
                </c:pt>
                <c:pt idx="5">
                  <c:v>Shorter publications in industry / practitioner outlets</c:v>
                </c:pt>
                <c:pt idx="6">
                  <c:v>Peer-reviewed articles</c:v>
                </c:pt>
                <c:pt idx="7">
                  <c:v>Consultation responses, law reform submissions, etc</c:v>
                </c:pt>
                <c:pt idx="8">
                  <c:v>Policy briefs (or similar)</c:v>
                </c:pt>
                <c:pt idx="9">
                  <c:v>Reports</c:v>
                </c:pt>
              </c:strCache>
            </c:strRef>
          </c:cat>
          <c:val>
            <c:numRef>
              <c:f>Sheet1!$E$2:$E$11</c:f>
              <c:numCache>
                <c:formatCode>General</c:formatCode>
                <c:ptCount val="10"/>
                <c:pt idx="0">
                  <c:v>2</c:v>
                </c:pt>
                <c:pt idx="1">
                  <c:v>7</c:v>
                </c:pt>
                <c:pt idx="2">
                  <c:v>11</c:v>
                </c:pt>
                <c:pt idx="3">
                  <c:v>19</c:v>
                </c:pt>
                <c:pt idx="4">
                  <c:v>6</c:v>
                </c:pt>
                <c:pt idx="5">
                  <c:v>7</c:v>
                </c:pt>
                <c:pt idx="6">
                  <c:v>19</c:v>
                </c:pt>
                <c:pt idx="7">
                  <c:v>2</c:v>
                </c:pt>
                <c:pt idx="8">
                  <c:v>3</c:v>
                </c:pt>
                <c:pt idx="9">
                  <c:v>3</c:v>
                </c:pt>
              </c:numCache>
            </c:numRef>
          </c:val>
          <c:extLst xmlns:c16r2="http://schemas.microsoft.com/office/drawing/2015/06/chart">
            <c:ext xmlns:c16="http://schemas.microsoft.com/office/drawing/2014/chart" uri="{C3380CC4-5D6E-409C-BE32-E72D297353CC}">
              <c16:uniqueId val="{00000003-01ED-45F1-9595-984013AB21D2}"/>
            </c:ext>
          </c:extLst>
        </c:ser>
        <c:ser>
          <c:idx val="4"/>
          <c:order val="4"/>
          <c:tx>
            <c:strRef>
              <c:f>Sheet1!$F$1</c:f>
              <c:strCache>
                <c:ptCount val="1"/>
                <c:pt idx="0">
                  <c:v>na / did not produce these</c:v>
                </c:pt>
              </c:strCache>
            </c:strRef>
          </c:tx>
          <c:invertIfNegative val="0"/>
          <c:cat>
            <c:strRef>
              <c:f>Sheet1!$A$2:$A$11</c:f>
              <c:strCache>
                <c:ptCount val="10"/>
                <c:pt idx="0">
                  <c:v>Training materials</c:v>
                </c:pt>
                <c:pt idx="1">
                  <c:v>Media publications or appearances</c:v>
                </c:pt>
                <c:pt idx="2">
                  <c:v>Blog posts</c:v>
                </c:pt>
                <c:pt idx="3">
                  <c:v>Chapters in edited collections</c:v>
                </c:pt>
                <c:pt idx="4">
                  <c:v>Books (monographs or edited collections)</c:v>
                </c:pt>
                <c:pt idx="5">
                  <c:v>Shorter publications in industry / practitioner outlets</c:v>
                </c:pt>
                <c:pt idx="6">
                  <c:v>Peer-reviewed articles</c:v>
                </c:pt>
                <c:pt idx="7">
                  <c:v>Consultation responses, law reform submissions, etc</c:v>
                </c:pt>
                <c:pt idx="8">
                  <c:v>Policy briefs (or similar)</c:v>
                </c:pt>
                <c:pt idx="9">
                  <c:v>Reports</c:v>
                </c:pt>
              </c:strCache>
            </c:strRef>
          </c:cat>
          <c:val>
            <c:numRef>
              <c:f>Sheet1!$F$2:$F$11</c:f>
              <c:numCache>
                <c:formatCode>General</c:formatCode>
                <c:ptCount val="10"/>
                <c:pt idx="0">
                  <c:v>52</c:v>
                </c:pt>
                <c:pt idx="1">
                  <c:v>43</c:v>
                </c:pt>
                <c:pt idx="2">
                  <c:v>43</c:v>
                </c:pt>
                <c:pt idx="3">
                  <c:v>31</c:v>
                </c:pt>
                <c:pt idx="4">
                  <c:v>45</c:v>
                </c:pt>
                <c:pt idx="5">
                  <c:v>36</c:v>
                </c:pt>
                <c:pt idx="6">
                  <c:v>11</c:v>
                </c:pt>
                <c:pt idx="7">
                  <c:v>33</c:v>
                </c:pt>
                <c:pt idx="8">
                  <c:v>34</c:v>
                </c:pt>
                <c:pt idx="9">
                  <c:v>22</c:v>
                </c:pt>
              </c:numCache>
            </c:numRef>
          </c:val>
          <c:extLst xmlns:c16r2="http://schemas.microsoft.com/office/drawing/2015/06/chart">
            <c:ext xmlns:c16="http://schemas.microsoft.com/office/drawing/2014/chart" uri="{C3380CC4-5D6E-409C-BE32-E72D297353CC}">
              <c16:uniqueId val="{00000004-01ED-45F1-9595-984013AB21D2}"/>
            </c:ext>
          </c:extLst>
        </c:ser>
        <c:dLbls>
          <c:showLegendKey val="0"/>
          <c:showVal val="0"/>
          <c:showCatName val="0"/>
          <c:showSerName val="0"/>
          <c:showPercent val="0"/>
          <c:showBubbleSize val="0"/>
        </c:dLbls>
        <c:gapWidth val="150"/>
        <c:overlap val="100"/>
        <c:axId val="178612096"/>
        <c:axId val="178613632"/>
      </c:barChart>
      <c:catAx>
        <c:axId val="178612096"/>
        <c:scaling>
          <c:orientation val="minMax"/>
        </c:scaling>
        <c:delete val="0"/>
        <c:axPos val="l"/>
        <c:numFmt formatCode="General" sourceLinked="0"/>
        <c:majorTickMark val="out"/>
        <c:minorTickMark val="none"/>
        <c:tickLblPos val="nextTo"/>
        <c:txPr>
          <a:bodyPr/>
          <a:lstStyle/>
          <a:p>
            <a:pPr>
              <a:defRPr sz="500">
                <a:latin typeface="Arial" panose="020B0604020202020204" pitchFamily="34" charset="0"/>
                <a:cs typeface="Arial" panose="020B0604020202020204" pitchFamily="34" charset="0"/>
              </a:defRPr>
            </a:pPr>
            <a:endParaRPr lang="en-US"/>
          </a:p>
        </c:txPr>
        <c:crossAx val="178613632"/>
        <c:crosses val="autoZero"/>
        <c:auto val="1"/>
        <c:lblAlgn val="ctr"/>
        <c:lblOffset val="100"/>
        <c:noMultiLvlLbl val="0"/>
      </c:catAx>
      <c:valAx>
        <c:axId val="178613632"/>
        <c:scaling>
          <c:orientation val="minMax"/>
        </c:scaling>
        <c:delete val="0"/>
        <c:axPos val="b"/>
        <c:majorGridlines/>
        <c:numFmt formatCode="0%"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178612096"/>
        <c:crosses val="autoZero"/>
        <c:crossBetween val="between"/>
      </c:valAx>
    </c:plotArea>
    <c:legend>
      <c:legendPos val="r"/>
      <c:layout/>
      <c:overlay val="0"/>
      <c:txPr>
        <a:bodyPr/>
        <a:lstStyle/>
        <a:p>
          <a:pPr>
            <a:defRPr sz="600">
              <a:latin typeface="Arial" panose="020B0604020202020204" pitchFamily="34" charset="0"/>
              <a:cs typeface="Arial" panose="020B0604020202020204" pitchFamily="34" charset="0"/>
            </a:defRPr>
          </a:pPr>
          <a:endParaRPr lang="en-US"/>
        </a:p>
      </c:txPr>
    </c:legend>
    <c:plotVisOnly val="1"/>
    <c:dispBlanksAs val="gap"/>
    <c:showDLblsOverMax val="0"/>
  </c:chart>
  <c:spPr>
    <a:ln w="12700"/>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800" u="sng">
                <a:latin typeface="Arial" panose="020B0604020202020204" pitchFamily="34" charset="0"/>
                <a:cs typeface="Arial" panose="020B0604020202020204" pitchFamily="34" charset="0"/>
              </a:rPr>
              <a:t>Figure 6</a:t>
            </a:r>
            <a:r>
              <a:rPr lang="en-GB" sz="800">
                <a:latin typeface="Arial" panose="020B0604020202020204" pitchFamily="34" charset="0"/>
                <a:cs typeface="Arial" panose="020B0604020202020204" pitchFamily="34" charset="0"/>
              </a:rPr>
              <a:t>: What was helpful</a:t>
            </a:r>
            <a:r>
              <a:rPr lang="en-GB" sz="800" baseline="0">
                <a:latin typeface="Arial" panose="020B0604020202020204" pitchFamily="34" charset="0"/>
                <a:cs typeface="Arial" panose="020B0604020202020204" pitchFamily="34" charset="0"/>
              </a:rPr>
              <a:t> in engaging with government? (n=101)</a:t>
            </a:r>
            <a:endParaRPr lang="en-GB" sz="800">
              <a:latin typeface="Arial" panose="020B0604020202020204" pitchFamily="34" charset="0"/>
              <a:cs typeface="Arial" panose="020B0604020202020204" pitchFamily="34" charset="0"/>
            </a:endParaRPr>
          </a:p>
        </c:rich>
      </c:tx>
      <c:layout>
        <c:manualLayout>
          <c:xMode val="edge"/>
          <c:yMode val="edge"/>
          <c:x val="0.27797444590259551"/>
          <c:y val="1.0338942609061387E-2"/>
        </c:manualLayout>
      </c:layout>
      <c:overlay val="0"/>
    </c:title>
    <c:autoTitleDeleted val="0"/>
    <c:plotArea>
      <c:layout>
        <c:manualLayout>
          <c:layoutTarget val="inner"/>
          <c:xMode val="edge"/>
          <c:yMode val="edge"/>
          <c:x val="0.38617599883347914"/>
          <c:y val="4.3650793650793648E-2"/>
          <c:w val="0.38984543598716825"/>
          <c:h val="0.85693788276465443"/>
        </c:manualLayout>
      </c:layout>
      <c:barChart>
        <c:barDir val="bar"/>
        <c:grouping val="percentStacked"/>
        <c:varyColors val="0"/>
        <c:ser>
          <c:idx val="0"/>
          <c:order val="0"/>
          <c:tx>
            <c:strRef>
              <c:f>Sheet1!$B$1</c:f>
              <c:strCache>
                <c:ptCount val="1"/>
                <c:pt idx="0">
                  <c:v>Very helpful</c:v>
                </c:pt>
              </c:strCache>
            </c:strRef>
          </c:tx>
          <c:invertIfNegative val="0"/>
          <c:cat>
            <c:strRef>
              <c:f>Sheet1!$A$2:$A$16</c:f>
              <c:strCache>
                <c:ptCount val="15"/>
                <c:pt idx="0">
                  <c:v>University press office</c:v>
                </c:pt>
                <c:pt idx="1">
                  <c:v>Company or industry contacts</c:v>
                </c:pt>
                <c:pt idx="2">
                  <c:v>Law firms or barristers chambers</c:v>
                </c:pt>
                <c:pt idx="3">
                  <c:v>Your use of social media</c:v>
                </c:pt>
                <c:pt idx="4">
                  <c:v>Parliamentary committees</c:v>
                </c:pt>
                <c:pt idx="5">
                  <c:v>Research council (or funder) networking and contacts</c:v>
                </c:pt>
                <c:pt idx="6">
                  <c:v>Formal researcher access processes for a department or agency</c:v>
                </c:pt>
                <c:pt idx="7">
                  <c:v>Your approach to a dept/agency seeking their participation in research</c:v>
                </c:pt>
                <c:pt idx="8">
                  <c:v>Faculty or university networking and contacts</c:v>
                </c:pt>
                <c:pt idx="9">
                  <c:v>NGO or civil society contacts</c:v>
                </c:pt>
                <c:pt idx="10">
                  <c:v>Pre-existing contacts in dept/agency - personal, social</c:v>
                </c:pt>
                <c:pt idx="11">
                  <c:v>Individual academic colleagues providing introductions</c:v>
                </c:pt>
                <c:pt idx="12">
                  <c:v>A particularly receptive individual in government or agency</c:v>
                </c:pt>
                <c:pt idx="13">
                  <c:v>Pre-existing contacts in dept/agency - from previous research</c:v>
                </c:pt>
                <c:pt idx="14">
                  <c:v>Timely research - relevant to government needs at the tme</c:v>
                </c:pt>
              </c:strCache>
            </c:strRef>
          </c:cat>
          <c:val>
            <c:numRef>
              <c:f>Sheet1!$B$2:$B$16</c:f>
              <c:numCache>
                <c:formatCode>General</c:formatCode>
                <c:ptCount val="15"/>
                <c:pt idx="0">
                  <c:v>0</c:v>
                </c:pt>
                <c:pt idx="1">
                  <c:v>1</c:v>
                </c:pt>
                <c:pt idx="2">
                  <c:v>2</c:v>
                </c:pt>
                <c:pt idx="3">
                  <c:v>4</c:v>
                </c:pt>
                <c:pt idx="4">
                  <c:v>3</c:v>
                </c:pt>
                <c:pt idx="5">
                  <c:v>7</c:v>
                </c:pt>
                <c:pt idx="6">
                  <c:v>7</c:v>
                </c:pt>
                <c:pt idx="7">
                  <c:v>9</c:v>
                </c:pt>
                <c:pt idx="8">
                  <c:v>8</c:v>
                </c:pt>
                <c:pt idx="9">
                  <c:v>9</c:v>
                </c:pt>
                <c:pt idx="10">
                  <c:v>12</c:v>
                </c:pt>
                <c:pt idx="11">
                  <c:v>9</c:v>
                </c:pt>
                <c:pt idx="12">
                  <c:v>15</c:v>
                </c:pt>
                <c:pt idx="13">
                  <c:v>27</c:v>
                </c:pt>
                <c:pt idx="14">
                  <c:v>27</c:v>
                </c:pt>
              </c:numCache>
            </c:numRef>
          </c:val>
          <c:extLst xmlns:c16r2="http://schemas.microsoft.com/office/drawing/2015/06/chart">
            <c:ext xmlns:c16="http://schemas.microsoft.com/office/drawing/2014/chart" uri="{C3380CC4-5D6E-409C-BE32-E72D297353CC}">
              <c16:uniqueId val="{00000000-3365-45E7-A91B-11625C2ADF4F}"/>
            </c:ext>
          </c:extLst>
        </c:ser>
        <c:ser>
          <c:idx val="1"/>
          <c:order val="1"/>
          <c:tx>
            <c:strRef>
              <c:f>Sheet1!$C$1</c:f>
              <c:strCache>
                <c:ptCount val="1"/>
                <c:pt idx="0">
                  <c:v>Helpful</c:v>
                </c:pt>
              </c:strCache>
            </c:strRef>
          </c:tx>
          <c:invertIfNegative val="0"/>
          <c:cat>
            <c:strRef>
              <c:f>Sheet1!$A$2:$A$16</c:f>
              <c:strCache>
                <c:ptCount val="15"/>
                <c:pt idx="0">
                  <c:v>University press office</c:v>
                </c:pt>
                <c:pt idx="1">
                  <c:v>Company or industry contacts</c:v>
                </c:pt>
                <c:pt idx="2">
                  <c:v>Law firms or barristers chambers</c:v>
                </c:pt>
                <c:pt idx="3">
                  <c:v>Your use of social media</c:v>
                </c:pt>
                <c:pt idx="4">
                  <c:v>Parliamentary committees</c:v>
                </c:pt>
                <c:pt idx="5">
                  <c:v>Research council (or funder) networking and contacts</c:v>
                </c:pt>
                <c:pt idx="6">
                  <c:v>Formal researcher access processes for a department or agency</c:v>
                </c:pt>
                <c:pt idx="7">
                  <c:v>Your approach to a dept/agency seeking their participation in research</c:v>
                </c:pt>
                <c:pt idx="8">
                  <c:v>Faculty or university networking and contacts</c:v>
                </c:pt>
                <c:pt idx="9">
                  <c:v>NGO or civil society contacts</c:v>
                </c:pt>
                <c:pt idx="10">
                  <c:v>Pre-existing contacts in dept/agency - personal, social</c:v>
                </c:pt>
                <c:pt idx="11">
                  <c:v>Individual academic colleagues providing introductions</c:v>
                </c:pt>
                <c:pt idx="12">
                  <c:v>A particularly receptive individual in government or agency</c:v>
                </c:pt>
                <c:pt idx="13">
                  <c:v>Pre-existing contacts in dept/agency - from previous research</c:v>
                </c:pt>
                <c:pt idx="14">
                  <c:v>Timely research - relevant to government needs at the tme</c:v>
                </c:pt>
              </c:strCache>
            </c:strRef>
          </c:cat>
          <c:val>
            <c:numRef>
              <c:f>Sheet1!$C$2:$C$16</c:f>
              <c:numCache>
                <c:formatCode>General</c:formatCode>
                <c:ptCount val="15"/>
                <c:pt idx="0">
                  <c:v>3</c:v>
                </c:pt>
                <c:pt idx="1">
                  <c:v>6</c:v>
                </c:pt>
                <c:pt idx="2">
                  <c:v>6</c:v>
                </c:pt>
                <c:pt idx="3">
                  <c:v>4</c:v>
                </c:pt>
                <c:pt idx="4">
                  <c:v>9</c:v>
                </c:pt>
                <c:pt idx="5">
                  <c:v>6</c:v>
                </c:pt>
                <c:pt idx="6">
                  <c:v>9</c:v>
                </c:pt>
                <c:pt idx="7">
                  <c:v>11</c:v>
                </c:pt>
                <c:pt idx="8">
                  <c:v>16</c:v>
                </c:pt>
                <c:pt idx="9">
                  <c:v>16</c:v>
                </c:pt>
                <c:pt idx="10">
                  <c:v>17</c:v>
                </c:pt>
                <c:pt idx="11">
                  <c:v>23</c:v>
                </c:pt>
                <c:pt idx="12">
                  <c:v>26</c:v>
                </c:pt>
                <c:pt idx="13">
                  <c:v>26</c:v>
                </c:pt>
                <c:pt idx="14">
                  <c:v>35</c:v>
                </c:pt>
              </c:numCache>
            </c:numRef>
          </c:val>
          <c:extLst xmlns:c16r2="http://schemas.microsoft.com/office/drawing/2015/06/chart">
            <c:ext xmlns:c16="http://schemas.microsoft.com/office/drawing/2014/chart" uri="{C3380CC4-5D6E-409C-BE32-E72D297353CC}">
              <c16:uniqueId val="{00000001-3365-45E7-A91B-11625C2ADF4F}"/>
            </c:ext>
          </c:extLst>
        </c:ser>
        <c:ser>
          <c:idx val="2"/>
          <c:order val="2"/>
          <c:tx>
            <c:strRef>
              <c:f>Sheet1!$D$1</c:f>
              <c:strCache>
                <c:ptCount val="1"/>
                <c:pt idx="0">
                  <c:v>Occ or slightly helpful</c:v>
                </c:pt>
              </c:strCache>
            </c:strRef>
          </c:tx>
          <c:invertIfNegative val="0"/>
          <c:cat>
            <c:strRef>
              <c:f>Sheet1!$A$2:$A$16</c:f>
              <c:strCache>
                <c:ptCount val="15"/>
                <c:pt idx="0">
                  <c:v>University press office</c:v>
                </c:pt>
                <c:pt idx="1">
                  <c:v>Company or industry contacts</c:v>
                </c:pt>
                <c:pt idx="2">
                  <c:v>Law firms or barristers chambers</c:v>
                </c:pt>
                <c:pt idx="3">
                  <c:v>Your use of social media</c:v>
                </c:pt>
                <c:pt idx="4">
                  <c:v>Parliamentary committees</c:v>
                </c:pt>
                <c:pt idx="5">
                  <c:v>Research council (or funder) networking and contacts</c:v>
                </c:pt>
                <c:pt idx="6">
                  <c:v>Formal researcher access processes for a department or agency</c:v>
                </c:pt>
                <c:pt idx="7">
                  <c:v>Your approach to a dept/agency seeking their participation in research</c:v>
                </c:pt>
                <c:pt idx="8">
                  <c:v>Faculty or university networking and contacts</c:v>
                </c:pt>
                <c:pt idx="9">
                  <c:v>NGO or civil society contacts</c:v>
                </c:pt>
                <c:pt idx="10">
                  <c:v>Pre-existing contacts in dept/agency - personal, social</c:v>
                </c:pt>
                <c:pt idx="11">
                  <c:v>Individual academic colleagues providing introductions</c:v>
                </c:pt>
                <c:pt idx="12">
                  <c:v>A particularly receptive individual in government or agency</c:v>
                </c:pt>
                <c:pt idx="13">
                  <c:v>Pre-existing contacts in dept/agency - from previous research</c:v>
                </c:pt>
                <c:pt idx="14">
                  <c:v>Timely research - relevant to government needs at the tme</c:v>
                </c:pt>
              </c:strCache>
            </c:strRef>
          </c:cat>
          <c:val>
            <c:numRef>
              <c:f>Sheet1!$D$2:$D$16</c:f>
              <c:numCache>
                <c:formatCode>General</c:formatCode>
                <c:ptCount val="15"/>
                <c:pt idx="0">
                  <c:v>11</c:v>
                </c:pt>
                <c:pt idx="1">
                  <c:v>4</c:v>
                </c:pt>
                <c:pt idx="2">
                  <c:v>10</c:v>
                </c:pt>
                <c:pt idx="3">
                  <c:v>8</c:v>
                </c:pt>
                <c:pt idx="4">
                  <c:v>13</c:v>
                </c:pt>
                <c:pt idx="5">
                  <c:v>7</c:v>
                </c:pt>
                <c:pt idx="6">
                  <c:v>13</c:v>
                </c:pt>
                <c:pt idx="7">
                  <c:v>15</c:v>
                </c:pt>
                <c:pt idx="8">
                  <c:v>13</c:v>
                </c:pt>
                <c:pt idx="9">
                  <c:v>14</c:v>
                </c:pt>
                <c:pt idx="10">
                  <c:v>12</c:v>
                </c:pt>
                <c:pt idx="11">
                  <c:v>16</c:v>
                </c:pt>
                <c:pt idx="12">
                  <c:v>12</c:v>
                </c:pt>
                <c:pt idx="13">
                  <c:v>15</c:v>
                </c:pt>
                <c:pt idx="14">
                  <c:v>8</c:v>
                </c:pt>
              </c:numCache>
            </c:numRef>
          </c:val>
          <c:extLst xmlns:c16r2="http://schemas.microsoft.com/office/drawing/2015/06/chart">
            <c:ext xmlns:c16="http://schemas.microsoft.com/office/drawing/2014/chart" uri="{C3380CC4-5D6E-409C-BE32-E72D297353CC}">
              <c16:uniqueId val="{00000002-3365-45E7-A91B-11625C2ADF4F}"/>
            </c:ext>
          </c:extLst>
        </c:ser>
        <c:ser>
          <c:idx val="3"/>
          <c:order val="3"/>
          <c:tx>
            <c:strRef>
              <c:f>Sheet1!$E$1</c:f>
              <c:strCache>
                <c:ptCount val="1"/>
                <c:pt idx="0">
                  <c:v>No help at all</c:v>
                </c:pt>
              </c:strCache>
            </c:strRef>
          </c:tx>
          <c:invertIfNegative val="0"/>
          <c:cat>
            <c:strRef>
              <c:f>Sheet1!$A$2:$A$16</c:f>
              <c:strCache>
                <c:ptCount val="15"/>
                <c:pt idx="0">
                  <c:v>University press office</c:v>
                </c:pt>
                <c:pt idx="1">
                  <c:v>Company or industry contacts</c:v>
                </c:pt>
                <c:pt idx="2">
                  <c:v>Law firms or barristers chambers</c:v>
                </c:pt>
                <c:pt idx="3">
                  <c:v>Your use of social media</c:v>
                </c:pt>
                <c:pt idx="4">
                  <c:v>Parliamentary committees</c:v>
                </c:pt>
                <c:pt idx="5">
                  <c:v>Research council (or funder) networking and contacts</c:v>
                </c:pt>
                <c:pt idx="6">
                  <c:v>Formal researcher access processes for a department or agency</c:v>
                </c:pt>
                <c:pt idx="7">
                  <c:v>Your approach to a dept/agency seeking their participation in research</c:v>
                </c:pt>
                <c:pt idx="8">
                  <c:v>Faculty or university networking and contacts</c:v>
                </c:pt>
                <c:pt idx="9">
                  <c:v>NGO or civil society contacts</c:v>
                </c:pt>
                <c:pt idx="10">
                  <c:v>Pre-existing contacts in dept/agency - personal, social</c:v>
                </c:pt>
                <c:pt idx="11">
                  <c:v>Individual academic colleagues providing introductions</c:v>
                </c:pt>
                <c:pt idx="12">
                  <c:v>A particularly receptive individual in government or agency</c:v>
                </c:pt>
                <c:pt idx="13">
                  <c:v>Pre-existing contacts in dept/agency - from previous research</c:v>
                </c:pt>
                <c:pt idx="14">
                  <c:v>Timely research - relevant to government needs at the tme</c:v>
                </c:pt>
              </c:strCache>
            </c:strRef>
          </c:cat>
          <c:val>
            <c:numRef>
              <c:f>Sheet1!$E$2:$E$16</c:f>
              <c:numCache>
                <c:formatCode>General</c:formatCode>
                <c:ptCount val="15"/>
                <c:pt idx="0">
                  <c:v>20</c:v>
                </c:pt>
                <c:pt idx="1">
                  <c:v>9</c:v>
                </c:pt>
                <c:pt idx="2">
                  <c:v>8</c:v>
                </c:pt>
                <c:pt idx="3">
                  <c:v>9</c:v>
                </c:pt>
                <c:pt idx="4">
                  <c:v>8</c:v>
                </c:pt>
                <c:pt idx="5">
                  <c:v>11</c:v>
                </c:pt>
                <c:pt idx="6">
                  <c:v>8</c:v>
                </c:pt>
                <c:pt idx="7">
                  <c:v>6</c:v>
                </c:pt>
                <c:pt idx="8">
                  <c:v>11</c:v>
                </c:pt>
                <c:pt idx="9">
                  <c:v>10</c:v>
                </c:pt>
                <c:pt idx="10">
                  <c:v>7</c:v>
                </c:pt>
                <c:pt idx="11">
                  <c:v>4</c:v>
                </c:pt>
                <c:pt idx="12">
                  <c:v>1</c:v>
                </c:pt>
                <c:pt idx="13">
                  <c:v>3</c:v>
                </c:pt>
                <c:pt idx="14">
                  <c:v>1</c:v>
                </c:pt>
              </c:numCache>
            </c:numRef>
          </c:val>
          <c:extLst xmlns:c16r2="http://schemas.microsoft.com/office/drawing/2015/06/chart">
            <c:ext xmlns:c16="http://schemas.microsoft.com/office/drawing/2014/chart" uri="{C3380CC4-5D6E-409C-BE32-E72D297353CC}">
              <c16:uniqueId val="{00000003-3365-45E7-A91B-11625C2ADF4F}"/>
            </c:ext>
          </c:extLst>
        </c:ser>
        <c:ser>
          <c:idx val="4"/>
          <c:order val="4"/>
          <c:tx>
            <c:strRef>
              <c:f>Sheet1!$F$1</c:f>
              <c:strCache>
                <c:ptCount val="1"/>
                <c:pt idx="0">
                  <c:v>na/did not use</c:v>
                </c:pt>
              </c:strCache>
            </c:strRef>
          </c:tx>
          <c:invertIfNegative val="0"/>
          <c:cat>
            <c:strRef>
              <c:f>Sheet1!$A$2:$A$16</c:f>
              <c:strCache>
                <c:ptCount val="15"/>
                <c:pt idx="0">
                  <c:v>University press office</c:v>
                </c:pt>
                <c:pt idx="1">
                  <c:v>Company or industry contacts</c:v>
                </c:pt>
                <c:pt idx="2">
                  <c:v>Law firms or barristers chambers</c:v>
                </c:pt>
                <c:pt idx="3">
                  <c:v>Your use of social media</c:v>
                </c:pt>
                <c:pt idx="4">
                  <c:v>Parliamentary committees</c:v>
                </c:pt>
                <c:pt idx="5">
                  <c:v>Research council (or funder) networking and contacts</c:v>
                </c:pt>
                <c:pt idx="6">
                  <c:v>Formal researcher access processes for a department or agency</c:v>
                </c:pt>
                <c:pt idx="7">
                  <c:v>Your approach to a dept/agency seeking their participation in research</c:v>
                </c:pt>
                <c:pt idx="8">
                  <c:v>Faculty or university networking and contacts</c:v>
                </c:pt>
                <c:pt idx="9">
                  <c:v>NGO or civil society contacts</c:v>
                </c:pt>
                <c:pt idx="10">
                  <c:v>Pre-existing contacts in dept/agency - personal, social</c:v>
                </c:pt>
                <c:pt idx="11">
                  <c:v>Individual academic colleagues providing introductions</c:v>
                </c:pt>
                <c:pt idx="12">
                  <c:v>A particularly receptive individual in government or agency</c:v>
                </c:pt>
                <c:pt idx="13">
                  <c:v>Pre-existing contacts in dept/agency - from previous research</c:v>
                </c:pt>
                <c:pt idx="14">
                  <c:v>Timely research - relevant to government needs at the tme</c:v>
                </c:pt>
              </c:strCache>
            </c:strRef>
          </c:cat>
          <c:val>
            <c:numRef>
              <c:f>Sheet1!$F$2:$F$16</c:f>
              <c:numCache>
                <c:formatCode>General</c:formatCode>
                <c:ptCount val="15"/>
                <c:pt idx="0">
                  <c:v>49</c:v>
                </c:pt>
                <c:pt idx="1">
                  <c:v>58</c:v>
                </c:pt>
                <c:pt idx="2">
                  <c:v>55</c:v>
                </c:pt>
                <c:pt idx="3">
                  <c:v>56</c:v>
                </c:pt>
                <c:pt idx="4">
                  <c:v>53</c:v>
                </c:pt>
                <c:pt idx="5">
                  <c:v>53</c:v>
                </c:pt>
                <c:pt idx="6">
                  <c:v>48</c:v>
                </c:pt>
                <c:pt idx="7">
                  <c:v>36</c:v>
                </c:pt>
                <c:pt idx="8">
                  <c:v>37</c:v>
                </c:pt>
                <c:pt idx="9">
                  <c:v>35</c:v>
                </c:pt>
                <c:pt idx="10">
                  <c:v>34</c:v>
                </c:pt>
                <c:pt idx="11">
                  <c:v>36</c:v>
                </c:pt>
                <c:pt idx="12">
                  <c:v>30</c:v>
                </c:pt>
                <c:pt idx="13">
                  <c:v>19</c:v>
                </c:pt>
                <c:pt idx="14">
                  <c:v>19</c:v>
                </c:pt>
              </c:numCache>
            </c:numRef>
          </c:val>
          <c:extLst xmlns:c16r2="http://schemas.microsoft.com/office/drawing/2015/06/chart">
            <c:ext xmlns:c16="http://schemas.microsoft.com/office/drawing/2014/chart" uri="{C3380CC4-5D6E-409C-BE32-E72D297353CC}">
              <c16:uniqueId val="{00000004-3365-45E7-A91B-11625C2ADF4F}"/>
            </c:ext>
          </c:extLst>
        </c:ser>
        <c:dLbls>
          <c:showLegendKey val="0"/>
          <c:showVal val="0"/>
          <c:showCatName val="0"/>
          <c:showSerName val="0"/>
          <c:showPercent val="0"/>
          <c:showBubbleSize val="0"/>
        </c:dLbls>
        <c:gapWidth val="150"/>
        <c:overlap val="100"/>
        <c:axId val="178688768"/>
        <c:axId val="178690304"/>
      </c:barChart>
      <c:catAx>
        <c:axId val="178688768"/>
        <c:scaling>
          <c:orientation val="minMax"/>
        </c:scaling>
        <c:delete val="0"/>
        <c:axPos val="l"/>
        <c:numFmt formatCode="General" sourceLinked="0"/>
        <c:majorTickMark val="out"/>
        <c:minorTickMark val="none"/>
        <c:tickLblPos val="nextTo"/>
        <c:txPr>
          <a:bodyPr/>
          <a:lstStyle/>
          <a:p>
            <a:pPr>
              <a:defRPr sz="500">
                <a:latin typeface="Arial" panose="020B0604020202020204" pitchFamily="34" charset="0"/>
                <a:cs typeface="Arial" panose="020B0604020202020204" pitchFamily="34" charset="0"/>
              </a:defRPr>
            </a:pPr>
            <a:endParaRPr lang="en-US"/>
          </a:p>
        </c:txPr>
        <c:crossAx val="178690304"/>
        <c:crosses val="autoZero"/>
        <c:auto val="1"/>
        <c:lblAlgn val="ctr"/>
        <c:lblOffset val="100"/>
        <c:noMultiLvlLbl val="0"/>
      </c:catAx>
      <c:valAx>
        <c:axId val="178690304"/>
        <c:scaling>
          <c:orientation val="minMax"/>
        </c:scaling>
        <c:delete val="0"/>
        <c:axPos val="b"/>
        <c:majorGridlines/>
        <c:numFmt formatCode="0%"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178688768"/>
        <c:crosses val="autoZero"/>
        <c:crossBetween val="between"/>
      </c:valAx>
    </c:plotArea>
    <c:legend>
      <c:legendPos val="r"/>
      <c:layout/>
      <c:overlay val="0"/>
      <c:txPr>
        <a:bodyPr/>
        <a:lstStyle/>
        <a:p>
          <a:pPr>
            <a:defRPr sz="6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GB" sz="800" u="sng" baseline="0">
                <a:latin typeface="Arial" panose="020B0604020202020204" pitchFamily="34" charset="0"/>
                <a:cs typeface="Arial" panose="020B0604020202020204" pitchFamily="34" charset="0"/>
              </a:rPr>
              <a:t>Figure 7</a:t>
            </a:r>
            <a:r>
              <a:rPr lang="en-GB" sz="800" baseline="0">
                <a:latin typeface="Arial" panose="020B0604020202020204" pitchFamily="34" charset="0"/>
                <a:cs typeface="Arial" panose="020B0604020202020204" pitchFamily="34" charset="0"/>
              </a:rPr>
              <a:t>:  Obstacles or difficulties in pursuing engagement and impact: respondent ratings (n=101, though not all responded on each choice)</a:t>
            </a:r>
            <a:endParaRPr lang="en-GB" sz="800">
              <a:latin typeface="Arial" panose="020B0604020202020204" pitchFamily="34" charset="0"/>
              <a:cs typeface="Arial" panose="020B0604020202020204" pitchFamily="34" charset="0"/>
            </a:endParaRPr>
          </a:p>
        </c:rich>
      </c:tx>
      <c:layout>
        <c:manualLayout>
          <c:xMode val="edge"/>
          <c:yMode val="edge"/>
          <c:x val="0.14777777777777779"/>
          <c:y val="1.9804101103836777E-2"/>
        </c:manualLayout>
      </c:layout>
      <c:overlay val="0"/>
    </c:title>
    <c:autoTitleDeleted val="0"/>
    <c:plotArea>
      <c:layout>
        <c:manualLayout>
          <c:layoutTarget val="inner"/>
          <c:xMode val="edge"/>
          <c:yMode val="edge"/>
          <c:x val="0.38386118401866431"/>
          <c:y val="8.5058715486651129E-2"/>
          <c:w val="0.38984543598716825"/>
          <c:h val="0.85693788276465443"/>
        </c:manualLayout>
      </c:layout>
      <c:barChart>
        <c:barDir val="bar"/>
        <c:grouping val="stacked"/>
        <c:varyColors val="0"/>
        <c:ser>
          <c:idx val="0"/>
          <c:order val="0"/>
          <c:tx>
            <c:strRef>
              <c:f>Sheet1!$B$1</c:f>
              <c:strCache>
                <c:ptCount val="1"/>
                <c:pt idx="0">
                  <c:v>Srongly agree</c:v>
                </c:pt>
              </c:strCache>
            </c:strRef>
          </c:tx>
          <c:invertIfNegative val="0"/>
          <c:cat>
            <c:strRef>
              <c:f>Sheet1!$A$2:$A$7</c:f>
              <c:strCache>
                <c:ptCount val="6"/>
                <c:pt idx="0">
                  <c:v>Research fatigue due to lack of impact success</c:v>
                </c:pt>
                <c:pt idx="1">
                  <c:v>Researcher fatigue due to other reasons</c:v>
                </c:pt>
                <c:pt idx="2">
                  <c:v>Insufficient funding to pursue it</c:v>
                </c:pt>
                <c:pt idx="3">
                  <c:v>Geography - distance from gov or agency offices</c:v>
                </c:pt>
                <c:pt idx="4">
                  <c:v>Difficult to identify relevant individuals in unit or dept</c:v>
                </c:pt>
                <c:pt idx="5">
                  <c:v>Lack of time</c:v>
                </c:pt>
              </c:strCache>
            </c:strRef>
          </c:cat>
          <c:val>
            <c:numRef>
              <c:f>Sheet1!$B$2:$B$7</c:f>
              <c:numCache>
                <c:formatCode>General</c:formatCode>
                <c:ptCount val="6"/>
                <c:pt idx="0">
                  <c:v>3</c:v>
                </c:pt>
                <c:pt idx="1">
                  <c:v>7</c:v>
                </c:pt>
                <c:pt idx="2">
                  <c:v>8</c:v>
                </c:pt>
                <c:pt idx="3">
                  <c:v>3</c:v>
                </c:pt>
                <c:pt idx="4">
                  <c:v>15</c:v>
                </c:pt>
                <c:pt idx="5">
                  <c:v>27</c:v>
                </c:pt>
              </c:numCache>
            </c:numRef>
          </c:val>
          <c:extLst xmlns:c16r2="http://schemas.microsoft.com/office/drawing/2015/06/chart">
            <c:ext xmlns:c16="http://schemas.microsoft.com/office/drawing/2014/chart" uri="{C3380CC4-5D6E-409C-BE32-E72D297353CC}">
              <c16:uniqueId val="{00000000-3126-4E7E-9002-ADE37D2BCB16}"/>
            </c:ext>
          </c:extLst>
        </c:ser>
        <c:ser>
          <c:idx val="1"/>
          <c:order val="1"/>
          <c:tx>
            <c:strRef>
              <c:f>Sheet1!$C$1</c:f>
              <c:strCache>
                <c:ptCount val="1"/>
                <c:pt idx="0">
                  <c:v>Agree</c:v>
                </c:pt>
              </c:strCache>
            </c:strRef>
          </c:tx>
          <c:invertIfNegative val="0"/>
          <c:cat>
            <c:strRef>
              <c:f>Sheet1!$A$2:$A$7</c:f>
              <c:strCache>
                <c:ptCount val="6"/>
                <c:pt idx="0">
                  <c:v>Research fatigue due to lack of impact success</c:v>
                </c:pt>
                <c:pt idx="1">
                  <c:v>Researcher fatigue due to other reasons</c:v>
                </c:pt>
                <c:pt idx="2">
                  <c:v>Insufficient funding to pursue it</c:v>
                </c:pt>
                <c:pt idx="3">
                  <c:v>Geography - distance from gov or agency offices</c:v>
                </c:pt>
                <c:pt idx="4">
                  <c:v>Difficult to identify relevant individuals in unit or dept</c:v>
                </c:pt>
                <c:pt idx="5">
                  <c:v>Lack of time</c:v>
                </c:pt>
              </c:strCache>
            </c:strRef>
          </c:cat>
          <c:val>
            <c:numRef>
              <c:f>Sheet1!$C$2:$C$7</c:f>
              <c:numCache>
                <c:formatCode>General</c:formatCode>
                <c:ptCount val="6"/>
                <c:pt idx="0">
                  <c:v>4</c:v>
                </c:pt>
                <c:pt idx="1">
                  <c:v>14</c:v>
                </c:pt>
                <c:pt idx="2">
                  <c:v>22</c:v>
                </c:pt>
                <c:pt idx="3">
                  <c:v>29</c:v>
                </c:pt>
                <c:pt idx="4">
                  <c:v>26</c:v>
                </c:pt>
                <c:pt idx="5">
                  <c:v>36</c:v>
                </c:pt>
              </c:numCache>
            </c:numRef>
          </c:val>
          <c:extLst xmlns:c16r2="http://schemas.microsoft.com/office/drawing/2015/06/chart">
            <c:ext xmlns:c16="http://schemas.microsoft.com/office/drawing/2014/chart" uri="{C3380CC4-5D6E-409C-BE32-E72D297353CC}">
              <c16:uniqueId val="{00000001-3126-4E7E-9002-ADE37D2BCB16}"/>
            </c:ext>
          </c:extLst>
        </c:ser>
        <c:ser>
          <c:idx val="2"/>
          <c:order val="2"/>
          <c:tx>
            <c:strRef>
              <c:f>Sheet1!$D$1</c:f>
              <c:strCache>
                <c:ptCount val="1"/>
                <c:pt idx="0">
                  <c:v>Neutral</c:v>
                </c:pt>
              </c:strCache>
            </c:strRef>
          </c:tx>
          <c:invertIfNegative val="0"/>
          <c:cat>
            <c:strRef>
              <c:f>Sheet1!$A$2:$A$7</c:f>
              <c:strCache>
                <c:ptCount val="6"/>
                <c:pt idx="0">
                  <c:v>Research fatigue due to lack of impact success</c:v>
                </c:pt>
                <c:pt idx="1">
                  <c:v>Researcher fatigue due to other reasons</c:v>
                </c:pt>
                <c:pt idx="2">
                  <c:v>Insufficient funding to pursue it</c:v>
                </c:pt>
                <c:pt idx="3">
                  <c:v>Geography - distance from gov or agency offices</c:v>
                </c:pt>
                <c:pt idx="4">
                  <c:v>Difficult to identify relevant individuals in unit or dept</c:v>
                </c:pt>
                <c:pt idx="5">
                  <c:v>Lack of time</c:v>
                </c:pt>
              </c:strCache>
            </c:strRef>
          </c:cat>
          <c:val>
            <c:numRef>
              <c:f>Sheet1!$D$2:$D$7</c:f>
              <c:numCache>
                <c:formatCode>General</c:formatCode>
                <c:ptCount val="6"/>
                <c:pt idx="0">
                  <c:v>21</c:v>
                </c:pt>
                <c:pt idx="1">
                  <c:v>20</c:v>
                </c:pt>
                <c:pt idx="2">
                  <c:v>27</c:v>
                </c:pt>
                <c:pt idx="3">
                  <c:v>17</c:v>
                </c:pt>
                <c:pt idx="4">
                  <c:v>18</c:v>
                </c:pt>
                <c:pt idx="5">
                  <c:v>20</c:v>
                </c:pt>
              </c:numCache>
            </c:numRef>
          </c:val>
          <c:extLst xmlns:c16r2="http://schemas.microsoft.com/office/drawing/2015/06/chart">
            <c:ext xmlns:c16="http://schemas.microsoft.com/office/drawing/2014/chart" uri="{C3380CC4-5D6E-409C-BE32-E72D297353CC}">
              <c16:uniqueId val="{00000002-3126-4E7E-9002-ADE37D2BCB16}"/>
            </c:ext>
          </c:extLst>
        </c:ser>
        <c:ser>
          <c:idx val="3"/>
          <c:order val="3"/>
          <c:tx>
            <c:strRef>
              <c:f>Sheet1!$E$1</c:f>
              <c:strCache>
                <c:ptCount val="1"/>
                <c:pt idx="0">
                  <c:v>Disagree</c:v>
                </c:pt>
              </c:strCache>
            </c:strRef>
          </c:tx>
          <c:invertIfNegative val="0"/>
          <c:cat>
            <c:strRef>
              <c:f>Sheet1!$A$2:$A$7</c:f>
              <c:strCache>
                <c:ptCount val="6"/>
                <c:pt idx="0">
                  <c:v>Research fatigue due to lack of impact success</c:v>
                </c:pt>
                <c:pt idx="1">
                  <c:v>Researcher fatigue due to other reasons</c:v>
                </c:pt>
                <c:pt idx="2">
                  <c:v>Insufficient funding to pursue it</c:v>
                </c:pt>
                <c:pt idx="3">
                  <c:v>Geography - distance from gov or agency offices</c:v>
                </c:pt>
                <c:pt idx="4">
                  <c:v>Difficult to identify relevant individuals in unit or dept</c:v>
                </c:pt>
                <c:pt idx="5">
                  <c:v>Lack of time</c:v>
                </c:pt>
              </c:strCache>
            </c:strRef>
          </c:cat>
          <c:val>
            <c:numRef>
              <c:f>Sheet1!$E$2:$E$7</c:f>
              <c:numCache>
                <c:formatCode>General</c:formatCode>
                <c:ptCount val="6"/>
                <c:pt idx="0">
                  <c:v>21</c:v>
                </c:pt>
                <c:pt idx="1">
                  <c:v>13</c:v>
                </c:pt>
                <c:pt idx="2">
                  <c:v>11</c:v>
                </c:pt>
                <c:pt idx="3">
                  <c:v>11</c:v>
                </c:pt>
                <c:pt idx="4">
                  <c:v>11</c:v>
                </c:pt>
                <c:pt idx="5">
                  <c:v>3</c:v>
                </c:pt>
              </c:numCache>
            </c:numRef>
          </c:val>
          <c:extLst xmlns:c16r2="http://schemas.microsoft.com/office/drawing/2015/06/chart">
            <c:ext xmlns:c16="http://schemas.microsoft.com/office/drawing/2014/chart" uri="{C3380CC4-5D6E-409C-BE32-E72D297353CC}">
              <c16:uniqueId val="{00000003-3126-4E7E-9002-ADE37D2BCB16}"/>
            </c:ext>
          </c:extLst>
        </c:ser>
        <c:ser>
          <c:idx val="4"/>
          <c:order val="4"/>
          <c:tx>
            <c:strRef>
              <c:f>Sheet1!$F$1</c:f>
              <c:strCache>
                <c:ptCount val="1"/>
                <c:pt idx="0">
                  <c:v>Strongly disagree</c:v>
                </c:pt>
              </c:strCache>
            </c:strRef>
          </c:tx>
          <c:invertIfNegative val="0"/>
          <c:cat>
            <c:strRef>
              <c:f>Sheet1!$A$2:$A$7</c:f>
              <c:strCache>
                <c:ptCount val="6"/>
                <c:pt idx="0">
                  <c:v>Research fatigue due to lack of impact success</c:v>
                </c:pt>
                <c:pt idx="1">
                  <c:v>Researcher fatigue due to other reasons</c:v>
                </c:pt>
                <c:pt idx="2">
                  <c:v>Insufficient funding to pursue it</c:v>
                </c:pt>
                <c:pt idx="3">
                  <c:v>Geography - distance from gov or agency offices</c:v>
                </c:pt>
                <c:pt idx="4">
                  <c:v>Difficult to identify relevant individuals in unit or dept</c:v>
                </c:pt>
                <c:pt idx="5">
                  <c:v>Lack of time</c:v>
                </c:pt>
              </c:strCache>
            </c:strRef>
          </c:cat>
          <c:val>
            <c:numRef>
              <c:f>Sheet1!$F$2:$F$7</c:f>
              <c:numCache>
                <c:formatCode>General</c:formatCode>
                <c:ptCount val="6"/>
                <c:pt idx="0">
                  <c:v>13</c:v>
                </c:pt>
                <c:pt idx="1">
                  <c:v>11</c:v>
                </c:pt>
                <c:pt idx="2">
                  <c:v>5</c:v>
                </c:pt>
                <c:pt idx="3">
                  <c:v>12</c:v>
                </c:pt>
                <c:pt idx="4">
                  <c:v>5</c:v>
                </c:pt>
                <c:pt idx="5">
                  <c:v>2</c:v>
                </c:pt>
              </c:numCache>
            </c:numRef>
          </c:val>
          <c:extLst xmlns:c16r2="http://schemas.microsoft.com/office/drawing/2015/06/chart">
            <c:ext xmlns:c16="http://schemas.microsoft.com/office/drawing/2014/chart" uri="{C3380CC4-5D6E-409C-BE32-E72D297353CC}">
              <c16:uniqueId val="{00000004-3126-4E7E-9002-ADE37D2BCB16}"/>
            </c:ext>
          </c:extLst>
        </c:ser>
        <c:ser>
          <c:idx val="5"/>
          <c:order val="5"/>
          <c:tx>
            <c:strRef>
              <c:f>Sheet1!$G$1</c:f>
              <c:strCache>
                <c:ptCount val="1"/>
                <c:pt idx="0">
                  <c:v>n/a</c:v>
                </c:pt>
              </c:strCache>
            </c:strRef>
          </c:tx>
          <c:invertIfNegative val="0"/>
          <c:cat>
            <c:strRef>
              <c:f>Sheet1!$A$2:$A$7</c:f>
              <c:strCache>
                <c:ptCount val="6"/>
                <c:pt idx="0">
                  <c:v>Research fatigue due to lack of impact success</c:v>
                </c:pt>
                <c:pt idx="1">
                  <c:v>Researcher fatigue due to other reasons</c:v>
                </c:pt>
                <c:pt idx="2">
                  <c:v>Insufficient funding to pursue it</c:v>
                </c:pt>
                <c:pt idx="3">
                  <c:v>Geography - distance from gov or agency offices</c:v>
                </c:pt>
                <c:pt idx="4">
                  <c:v>Difficult to identify relevant individuals in unit or dept</c:v>
                </c:pt>
                <c:pt idx="5">
                  <c:v>Lack of time</c:v>
                </c:pt>
              </c:strCache>
            </c:strRef>
          </c:cat>
          <c:val>
            <c:numRef>
              <c:f>Sheet1!$G$2:$G$7</c:f>
              <c:numCache>
                <c:formatCode>General</c:formatCode>
                <c:ptCount val="6"/>
                <c:pt idx="0">
                  <c:v>29</c:v>
                </c:pt>
                <c:pt idx="1">
                  <c:v>26</c:v>
                </c:pt>
                <c:pt idx="2">
                  <c:v>19</c:v>
                </c:pt>
                <c:pt idx="3">
                  <c:v>21</c:v>
                </c:pt>
                <c:pt idx="4">
                  <c:v>19</c:v>
                </c:pt>
                <c:pt idx="5">
                  <c:v>12</c:v>
                </c:pt>
              </c:numCache>
            </c:numRef>
          </c:val>
          <c:extLst xmlns:c16r2="http://schemas.microsoft.com/office/drawing/2015/06/chart">
            <c:ext xmlns:c16="http://schemas.microsoft.com/office/drawing/2014/chart" uri="{C3380CC4-5D6E-409C-BE32-E72D297353CC}">
              <c16:uniqueId val="{00000005-3126-4E7E-9002-ADE37D2BCB16}"/>
            </c:ext>
          </c:extLst>
        </c:ser>
        <c:dLbls>
          <c:showLegendKey val="0"/>
          <c:showVal val="0"/>
          <c:showCatName val="0"/>
          <c:showSerName val="0"/>
          <c:showPercent val="0"/>
          <c:showBubbleSize val="0"/>
        </c:dLbls>
        <c:gapWidth val="150"/>
        <c:overlap val="100"/>
        <c:axId val="178754688"/>
        <c:axId val="178756224"/>
      </c:barChart>
      <c:catAx>
        <c:axId val="178754688"/>
        <c:scaling>
          <c:orientation val="minMax"/>
        </c:scaling>
        <c:delete val="0"/>
        <c:axPos val="l"/>
        <c:numFmt formatCode="General" sourceLinked="0"/>
        <c:majorTickMark val="out"/>
        <c:minorTickMark val="none"/>
        <c:tickLblPos val="nextTo"/>
        <c:txPr>
          <a:bodyPr/>
          <a:lstStyle/>
          <a:p>
            <a:pPr>
              <a:defRPr sz="500">
                <a:latin typeface="Arial" panose="020B0604020202020204" pitchFamily="34" charset="0"/>
                <a:cs typeface="Arial" panose="020B0604020202020204" pitchFamily="34" charset="0"/>
              </a:defRPr>
            </a:pPr>
            <a:endParaRPr lang="en-US"/>
          </a:p>
        </c:txPr>
        <c:crossAx val="178756224"/>
        <c:crosses val="autoZero"/>
        <c:auto val="1"/>
        <c:lblAlgn val="ctr"/>
        <c:lblOffset val="100"/>
        <c:noMultiLvlLbl val="0"/>
      </c:catAx>
      <c:valAx>
        <c:axId val="178756224"/>
        <c:scaling>
          <c:orientation val="minMax"/>
        </c:scaling>
        <c:delete val="0"/>
        <c:axPos val="b"/>
        <c:majorGridlines/>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178754688"/>
        <c:crosses val="autoZero"/>
        <c:crossBetween val="between"/>
      </c:valAx>
    </c:plotArea>
    <c:legend>
      <c:legendPos val="r"/>
      <c:layout/>
      <c:overlay val="0"/>
      <c:txPr>
        <a:bodyPr/>
        <a:lstStyle/>
        <a:p>
          <a:pPr>
            <a:defRPr sz="6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nSpc>
                <a:spcPct val="135000"/>
              </a:lnSpc>
              <a:defRPr/>
            </a:pPr>
            <a:r>
              <a:rPr lang="en-GB" sz="900" u="sng">
                <a:latin typeface="Arial" panose="020B0604020202020204" pitchFamily="34" charset="0"/>
                <a:cs typeface="Arial" panose="020B0604020202020204" pitchFamily="34" charset="0"/>
              </a:rPr>
              <a:t>Figure 8</a:t>
            </a:r>
            <a:r>
              <a:rPr lang="en-GB" sz="900">
                <a:latin typeface="Arial" panose="020B0604020202020204" pitchFamily="34" charset="0"/>
                <a:cs typeface="Arial" panose="020B0604020202020204" pitchFamily="34" charset="0"/>
              </a:rPr>
              <a:t>: 'I received useful documents / letter for impact evidence - without asking'</a:t>
            </a:r>
            <a:r>
              <a:rPr lang="en-GB" sz="900" baseline="0">
                <a:latin typeface="Arial" panose="020B0604020202020204" pitchFamily="34" charset="0"/>
                <a:cs typeface="Arial" panose="020B0604020202020204" pitchFamily="34" charset="0"/>
              </a:rPr>
              <a:t> / '... after asking</a:t>
            </a:r>
            <a:r>
              <a:rPr lang="en-GB" sz="900" b="1" baseline="0">
                <a:latin typeface="Arial" panose="020B0604020202020204" pitchFamily="34" charset="0"/>
                <a:cs typeface="Arial" panose="020B0604020202020204" pitchFamily="34" charset="0"/>
              </a:rPr>
              <a:t>'  (n=102, excluding not applicable answers)</a:t>
            </a:r>
            <a:endParaRPr lang="en-GB" sz="900" b="1">
              <a:latin typeface="Arial" panose="020B0604020202020204" pitchFamily="34" charset="0"/>
              <a:cs typeface="Arial" panose="020B0604020202020204" pitchFamily="34" charset="0"/>
            </a:endParaRPr>
          </a:p>
        </c:rich>
      </c:tx>
      <c:layout/>
      <c:overlay val="0"/>
    </c:title>
    <c:autoTitleDeleted val="0"/>
    <c:plotArea>
      <c:layout/>
      <c:barChart>
        <c:barDir val="col"/>
        <c:grouping val="percentStacked"/>
        <c:varyColors val="0"/>
        <c:ser>
          <c:idx val="0"/>
          <c:order val="0"/>
          <c:tx>
            <c:strRef>
              <c:f>Sheet1!$B$1</c:f>
              <c:strCache>
                <c:ptCount val="1"/>
                <c:pt idx="0">
                  <c:v>Strongly agree</c:v>
                </c:pt>
              </c:strCache>
            </c:strRef>
          </c:tx>
          <c:invertIfNegative val="0"/>
          <c:cat>
            <c:strRef>
              <c:f>Sheet1!$A$2:$A$3</c:f>
              <c:strCache>
                <c:ptCount val="2"/>
                <c:pt idx="0">
                  <c:v>Received useful material - without asking</c:v>
                </c:pt>
                <c:pt idx="1">
                  <c:v>Received useful material - after asking</c:v>
                </c:pt>
              </c:strCache>
            </c:strRef>
          </c:cat>
          <c:val>
            <c:numRef>
              <c:f>Sheet1!$B$2:$B$3</c:f>
              <c:numCache>
                <c:formatCode>General</c:formatCode>
                <c:ptCount val="2"/>
                <c:pt idx="0">
                  <c:v>1</c:v>
                </c:pt>
                <c:pt idx="1">
                  <c:v>17</c:v>
                </c:pt>
              </c:numCache>
            </c:numRef>
          </c:val>
          <c:extLst xmlns:c16r2="http://schemas.microsoft.com/office/drawing/2015/06/chart">
            <c:ext xmlns:c16="http://schemas.microsoft.com/office/drawing/2014/chart" uri="{C3380CC4-5D6E-409C-BE32-E72D297353CC}">
              <c16:uniqueId val="{00000000-C0A5-4640-8156-E49C9BAC2F8C}"/>
            </c:ext>
          </c:extLst>
        </c:ser>
        <c:ser>
          <c:idx val="1"/>
          <c:order val="1"/>
          <c:tx>
            <c:strRef>
              <c:f>Sheet1!$C$1</c:f>
              <c:strCache>
                <c:ptCount val="1"/>
                <c:pt idx="0">
                  <c:v>Agree</c:v>
                </c:pt>
              </c:strCache>
            </c:strRef>
          </c:tx>
          <c:invertIfNegative val="0"/>
          <c:cat>
            <c:strRef>
              <c:f>Sheet1!$A$2:$A$3</c:f>
              <c:strCache>
                <c:ptCount val="2"/>
                <c:pt idx="0">
                  <c:v>Received useful material - without asking</c:v>
                </c:pt>
                <c:pt idx="1">
                  <c:v>Received useful material - after asking</c:v>
                </c:pt>
              </c:strCache>
            </c:strRef>
          </c:cat>
          <c:val>
            <c:numRef>
              <c:f>Sheet1!$C$2:$C$3</c:f>
              <c:numCache>
                <c:formatCode>General</c:formatCode>
                <c:ptCount val="2"/>
                <c:pt idx="0">
                  <c:v>5</c:v>
                </c:pt>
                <c:pt idx="1">
                  <c:v>33</c:v>
                </c:pt>
              </c:numCache>
            </c:numRef>
          </c:val>
          <c:extLst xmlns:c16r2="http://schemas.microsoft.com/office/drawing/2015/06/chart">
            <c:ext xmlns:c16="http://schemas.microsoft.com/office/drawing/2014/chart" uri="{C3380CC4-5D6E-409C-BE32-E72D297353CC}">
              <c16:uniqueId val="{00000001-C0A5-4640-8156-E49C9BAC2F8C}"/>
            </c:ext>
          </c:extLst>
        </c:ser>
        <c:ser>
          <c:idx val="2"/>
          <c:order val="2"/>
          <c:tx>
            <c:strRef>
              <c:f>Sheet1!$D$1</c:f>
              <c:strCache>
                <c:ptCount val="1"/>
                <c:pt idx="0">
                  <c:v>Neutral</c:v>
                </c:pt>
              </c:strCache>
            </c:strRef>
          </c:tx>
          <c:invertIfNegative val="0"/>
          <c:cat>
            <c:strRef>
              <c:f>Sheet1!$A$2:$A$3</c:f>
              <c:strCache>
                <c:ptCount val="2"/>
                <c:pt idx="0">
                  <c:v>Received useful material - without asking</c:v>
                </c:pt>
                <c:pt idx="1">
                  <c:v>Received useful material - after asking</c:v>
                </c:pt>
              </c:strCache>
            </c:strRef>
          </c:cat>
          <c:val>
            <c:numRef>
              <c:f>Sheet1!$D$2:$D$3</c:f>
              <c:numCache>
                <c:formatCode>General</c:formatCode>
                <c:ptCount val="2"/>
                <c:pt idx="0">
                  <c:v>12</c:v>
                </c:pt>
                <c:pt idx="1">
                  <c:v>11</c:v>
                </c:pt>
              </c:numCache>
            </c:numRef>
          </c:val>
          <c:extLst xmlns:c16r2="http://schemas.microsoft.com/office/drawing/2015/06/chart">
            <c:ext xmlns:c16="http://schemas.microsoft.com/office/drawing/2014/chart" uri="{C3380CC4-5D6E-409C-BE32-E72D297353CC}">
              <c16:uniqueId val="{00000002-C0A5-4640-8156-E49C9BAC2F8C}"/>
            </c:ext>
          </c:extLst>
        </c:ser>
        <c:ser>
          <c:idx val="3"/>
          <c:order val="3"/>
          <c:tx>
            <c:strRef>
              <c:f>Sheet1!$E$1</c:f>
              <c:strCache>
                <c:ptCount val="1"/>
                <c:pt idx="0">
                  <c:v>Disagree</c:v>
                </c:pt>
              </c:strCache>
            </c:strRef>
          </c:tx>
          <c:invertIfNegative val="0"/>
          <c:cat>
            <c:strRef>
              <c:f>Sheet1!$A$2:$A$3</c:f>
              <c:strCache>
                <c:ptCount val="2"/>
                <c:pt idx="0">
                  <c:v>Received useful material - without asking</c:v>
                </c:pt>
                <c:pt idx="1">
                  <c:v>Received useful material - after asking</c:v>
                </c:pt>
              </c:strCache>
            </c:strRef>
          </c:cat>
          <c:val>
            <c:numRef>
              <c:f>Sheet1!$E$2:$E$3</c:f>
              <c:numCache>
                <c:formatCode>General</c:formatCode>
                <c:ptCount val="2"/>
                <c:pt idx="0">
                  <c:v>37</c:v>
                </c:pt>
                <c:pt idx="1">
                  <c:v>6</c:v>
                </c:pt>
              </c:numCache>
            </c:numRef>
          </c:val>
          <c:extLst xmlns:c16r2="http://schemas.microsoft.com/office/drawing/2015/06/chart">
            <c:ext xmlns:c16="http://schemas.microsoft.com/office/drawing/2014/chart" uri="{C3380CC4-5D6E-409C-BE32-E72D297353CC}">
              <c16:uniqueId val="{00000003-C0A5-4640-8156-E49C9BAC2F8C}"/>
            </c:ext>
          </c:extLst>
        </c:ser>
        <c:ser>
          <c:idx val="4"/>
          <c:order val="4"/>
          <c:tx>
            <c:strRef>
              <c:f>Sheet1!$F$1</c:f>
              <c:strCache>
                <c:ptCount val="1"/>
                <c:pt idx="0">
                  <c:v>Strongly disagree</c:v>
                </c:pt>
              </c:strCache>
            </c:strRef>
          </c:tx>
          <c:invertIfNegative val="0"/>
          <c:cat>
            <c:strRef>
              <c:f>Sheet1!$A$2:$A$3</c:f>
              <c:strCache>
                <c:ptCount val="2"/>
                <c:pt idx="0">
                  <c:v>Received useful material - without asking</c:v>
                </c:pt>
                <c:pt idx="1">
                  <c:v>Received useful material - after asking</c:v>
                </c:pt>
              </c:strCache>
            </c:strRef>
          </c:cat>
          <c:val>
            <c:numRef>
              <c:f>Sheet1!$F$2:$F$3</c:f>
              <c:numCache>
                <c:formatCode>General</c:formatCode>
                <c:ptCount val="2"/>
                <c:pt idx="0">
                  <c:v>15</c:v>
                </c:pt>
                <c:pt idx="1">
                  <c:v>3</c:v>
                </c:pt>
              </c:numCache>
            </c:numRef>
          </c:val>
          <c:extLst xmlns:c16r2="http://schemas.microsoft.com/office/drawing/2015/06/chart">
            <c:ext xmlns:c16="http://schemas.microsoft.com/office/drawing/2014/chart" uri="{C3380CC4-5D6E-409C-BE32-E72D297353CC}">
              <c16:uniqueId val="{00000004-C0A5-4640-8156-E49C9BAC2F8C}"/>
            </c:ext>
          </c:extLst>
        </c:ser>
        <c:dLbls>
          <c:showLegendKey val="0"/>
          <c:showVal val="0"/>
          <c:showCatName val="0"/>
          <c:showSerName val="0"/>
          <c:showPercent val="0"/>
          <c:showBubbleSize val="0"/>
        </c:dLbls>
        <c:gapWidth val="55"/>
        <c:overlap val="100"/>
        <c:axId val="182431744"/>
        <c:axId val="182433280"/>
      </c:barChart>
      <c:catAx>
        <c:axId val="182431744"/>
        <c:scaling>
          <c:orientation val="minMax"/>
        </c:scaling>
        <c:delete val="0"/>
        <c:axPos val="b"/>
        <c:numFmt formatCode="General" sourceLinked="0"/>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182433280"/>
        <c:crosses val="autoZero"/>
        <c:auto val="1"/>
        <c:lblAlgn val="ctr"/>
        <c:lblOffset val="100"/>
        <c:noMultiLvlLbl val="0"/>
      </c:catAx>
      <c:valAx>
        <c:axId val="182433280"/>
        <c:scaling>
          <c:orientation val="minMax"/>
        </c:scaling>
        <c:delete val="0"/>
        <c:axPos val="l"/>
        <c:majorGridlines/>
        <c:numFmt formatCode="0%" sourceLinked="1"/>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182431744"/>
        <c:crosses val="autoZero"/>
        <c:crossBetween val="between"/>
      </c:valAx>
    </c:plotArea>
    <c:legend>
      <c:legendPos val="r"/>
      <c:layout/>
      <c:overlay val="0"/>
      <c:txPr>
        <a:bodyPr/>
        <a:lstStyle/>
        <a:p>
          <a:pPr>
            <a:defRPr sz="8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800" u="sng">
                <a:latin typeface="Arial" panose="020B0604020202020204" pitchFamily="34" charset="0"/>
                <a:cs typeface="Arial" panose="020B0604020202020204" pitchFamily="34" charset="0"/>
              </a:rPr>
              <a:t>Figure 9</a:t>
            </a:r>
            <a:r>
              <a:rPr lang="en-GB" sz="800">
                <a:latin typeface="Arial" panose="020B0604020202020204" pitchFamily="34" charset="0"/>
                <a:cs typeface="Arial" panose="020B0604020202020204" pitchFamily="34" charset="0"/>
              </a:rPr>
              <a:t>: 'The</a:t>
            </a:r>
            <a:r>
              <a:rPr lang="en-GB" sz="800" baseline="0">
                <a:latin typeface="Arial" panose="020B0604020202020204" pitchFamily="34" charset="0"/>
                <a:cs typeface="Arial" panose="020B0604020202020204" pitchFamily="34" charset="0"/>
              </a:rPr>
              <a:t> people I dealt with in government were aware of the REF' / '... understood the REF' (n=102)</a:t>
            </a:r>
            <a:endParaRPr lang="en-GB" sz="800">
              <a:latin typeface="Arial" panose="020B0604020202020204" pitchFamily="34" charset="0"/>
              <a:cs typeface="Arial" panose="020B0604020202020204" pitchFamily="34" charset="0"/>
            </a:endParaRPr>
          </a:p>
        </c:rich>
      </c:tx>
      <c:layout>
        <c:manualLayout>
          <c:xMode val="edge"/>
          <c:yMode val="edge"/>
          <c:x val="9.9878426655001462E-2"/>
          <c:y val="2.3809523809523808E-2"/>
        </c:manualLayout>
      </c:layout>
      <c:overlay val="0"/>
    </c:title>
    <c:autoTitleDeleted val="0"/>
    <c:plotArea>
      <c:layout/>
      <c:barChart>
        <c:barDir val="col"/>
        <c:grouping val="percentStacked"/>
        <c:varyColors val="0"/>
        <c:ser>
          <c:idx val="0"/>
          <c:order val="0"/>
          <c:tx>
            <c:strRef>
              <c:f>Sheet1!$B$1</c:f>
              <c:strCache>
                <c:ptCount val="1"/>
                <c:pt idx="0">
                  <c:v>Strongly agree</c:v>
                </c:pt>
              </c:strCache>
            </c:strRef>
          </c:tx>
          <c:invertIfNegative val="0"/>
          <c:cat>
            <c:strRef>
              <c:f>Sheet1!$A$2:$A$3</c:f>
              <c:strCache>
                <c:ptCount val="2"/>
                <c:pt idx="0">
                  <c:v>Aware of the REF</c:v>
                </c:pt>
                <c:pt idx="1">
                  <c:v>Understood the REF</c:v>
                </c:pt>
              </c:strCache>
            </c:strRef>
          </c:cat>
          <c:val>
            <c:numRef>
              <c:f>Sheet1!$B$2:$B$3</c:f>
              <c:numCache>
                <c:formatCode>General</c:formatCode>
                <c:ptCount val="2"/>
                <c:pt idx="0">
                  <c:v>3</c:v>
                </c:pt>
                <c:pt idx="1">
                  <c:v>1</c:v>
                </c:pt>
              </c:numCache>
            </c:numRef>
          </c:val>
          <c:extLst xmlns:c16r2="http://schemas.microsoft.com/office/drawing/2015/06/chart">
            <c:ext xmlns:c16="http://schemas.microsoft.com/office/drawing/2014/chart" uri="{C3380CC4-5D6E-409C-BE32-E72D297353CC}">
              <c16:uniqueId val="{00000000-9A8C-4420-B2BA-2A8ECB88D36E}"/>
            </c:ext>
          </c:extLst>
        </c:ser>
        <c:ser>
          <c:idx val="1"/>
          <c:order val="1"/>
          <c:tx>
            <c:strRef>
              <c:f>Sheet1!$C$1</c:f>
              <c:strCache>
                <c:ptCount val="1"/>
                <c:pt idx="0">
                  <c:v>Agree</c:v>
                </c:pt>
              </c:strCache>
            </c:strRef>
          </c:tx>
          <c:invertIfNegative val="0"/>
          <c:cat>
            <c:strRef>
              <c:f>Sheet1!$A$2:$A$3</c:f>
              <c:strCache>
                <c:ptCount val="2"/>
                <c:pt idx="0">
                  <c:v>Aware of the REF</c:v>
                </c:pt>
                <c:pt idx="1">
                  <c:v>Understood the REF</c:v>
                </c:pt>
              </c:strCache>
            </c:strRef>
          </c:cat>
          <c:val>
            <c:numRef>
              <c:f>Sheet1!$C$2:$C$3</c:f>
              <c:numCache>
                <c:formatCode>General</c:formatCode>
                <c:ptCount val="2"/>
                <c:pt idx="0">
                  <c:v>29</c:v>
                </c:pt>
                <c:pt idx="1">
                  <c:v>9</c:v>
                </c:pt>
              </c:numCache>
            </c:numRef>
          </c:val>
          <c:extLst xmlns:c16r2="http://schemas.microsoft.com/office/drawing/2015/06/chart">
            <c:ext xmlns:c16="http://schemas.microsoft.com/office/drawing/2014/chart" uri="{C3380CC4-5D6E-409C-BE32-E72D297353CC}">
              <c16:uniqueId val="{00000001-9A8C-4420-B2BA-2A8ECB88D36E}"/>
            </c:ext>
          </c:extLst>
        </c:ser>
        <c:ser>
          <c:idx val="2"/>
          <c:order val="2"/>
          <c:tx>
            <c:strRef>
              <c:f>Sheet1!$D$1</c:f>
              <c:strCache>
                <c:ptCount val="1"/>
                <c:pt idx="0">
                  <c:v>Neutral</c:v>
                </c:pt>
              </c:strCache>
            </c:strRef>
          </c:tx>
          <c:invertIfNegative val="0"/>
          <c:cat>
            <c:strRef>
              <c:f>Sheet1!$A$2:$A$3</c:f>
              <c:strCache>
                <c:ptCount val="2"/>
                <c:pt idx="0">
                  <c:v>Aware of the REF</c:v>
                </c:pt>
                <c:pt idx="1">
                  <c:v>Understood the REF</c:v>
                </c:pt>
              </c:strCache>
            </c:strRef>
          </c:cat>
          <c:val>
            <c:numRef>
              <c:f>Sheet1!$D$2:$D$3</c:f>
              <c:numCache>
                <c:formatCode>General</c:formatCode>
                <c:ptCount val="2"/>
                <c:pt idx="0">
                  <c:v>24</c:v>
                </c:pt>
                <c:pt idx="1">
                  <c:v>32</c:v>
                </c:pt>
              </c:numCache>
            </c:numRef>
          </c:val>
          <c:extLst xmlns:c16r2="http://schemas.microsoft.com/office/drawing/2015/06/chart">
            <c:ext xmlns:c16="http://schemas.microsoft.com/office/drawing/2014/chart" uri="{C3380CC4-5D6E-409C-BE32-E72D297353CC}">
              <c16:uniqueId val="{00000002-9A8C-4420-B2BA-2A8ECB88D36E}"/>
            </c:ext>
          </c:extLst>
        </c:ser>
        <c:ser>
          <c:idx val="3"/>
          <c:order val="3"/>
          <c:tx>
            <c:strRef>
              <c:f>Sheet1!$E$1</c:f>
              <c:strCache>
                <c:ptCount val="1"/>
                <c:pt idx="0">
                  <c:v>Disagree</c:v>
                </c:pt>
              </c:strCache>
            </c:strRef>
          </c:tx>
          <c:invertIfNegative val="0"/>
          <c:cat>
            <c:strRef>
              <c:f>Sheet1!$A$2:$A$3</c:f>
              <c:strCache>
                <c:ptCount val="2"/>
                <c:pt idx="0">
                  <c:v>Aware of the REF</c:v>
                </c:pt>
                <c:pt idx="1">
                  <c:v>Understood the REF</c:v>
                </c:pt>
              </c:strCache>
            </c:strRef>
          </c:cat>
          <c:val>
            <c:numRef>
              <c:f>Sheet1!$E$2:$E$3</c:f>
              <c:numCache>
                <c:formatCode>General</c:formatCode>
                <c:ptCount val="2"/>
                <c:pt idx="0">
                  <c:v>28</c:v>
                </c:pt>
                <c:pt idx="1">
                  <c:v>25</c:v>
                </c:pt>
              </c:numCache>
            </c:numRef>
          </c:val>
          <c:extLst xmlns:c16r2="http://schemas.microsoft.com/office/drawing/2015/06/chart">
            <c:ext xmlns:c16="http://schemas.microsoft.com/office/drawing/2014/chart" uri="{C3380CC4-5D6E-409C-BE32-E72D297353CC}">
              <c16:uniqueId val="{00000003-9A8C-4420-B2BA-2A8ECB88D36E}"/>
            </c:ext>
          </c:extLst>
        </c:ser>
        <c:ser>
          <c:idx val="4"/>
          <c:order val="4"/>
          <c:tx>
            <c:strRef>
              <c:f>Sheet1!$F$1</c:f>
              <c:strCache>
                <c:ptCount val="1"/>
                <c:pt idx="0">
                  <c:v>Strongly disagree</c:v>
                </c:pt>
              </c:strCache>
            </c:strRef>
          </c:tx>
          <c:invertIfNegative val="0"/>
          <c:cat>
            <c:strRef>
              <c:f>Sheet1!$A$2:$A$3</c:f>
              <c:strCache>
                <c:ptCount val="2"/>
                <c:pt idx="0">
                  <c:v>Aware of the REF</c:v>
                </c:pt>
                <c:pt idx="1">
                  <c:v>Understood the REF</c:v>
                </c:pt>
              </c:strCache>
            </c:strRef>
          </c:cat>
          <c:val>
            <c:numRef>
              <c:f>Sheet1!$F$2:$F$3</c:f>
              <c:numCache>
                <c:formatCode>General</c:formatCode>
                <c:ptCount val="2"/>
                <c:pt idx="0">
                  <c:v>10</c:v>
                </c:pt>
                <c:pt idx="1">
                  <c:v>16</c:v>
                </c:pt>
              </c:numCache>
            </c:numRef>
          </c:val>
          <c:extLst xmlns:c16r2="http://schemas.microsoft.com/office/drawing/2015/06/chart">
            <c:ext xmlns:c16="http://schemas.microsoft.com/office/drawing/2014/chart" uri="{C3380CC4-5D6E-409C-BE32-E72D297353CC}">
              <c16:uniqueId val="{00000004-9A8C-4420-B2BA-2A8ECB88D36E}"/>
            </c:ext>
          </c:extLst>
        </c:ser>
        <c:dLbls>
          <c:showLegendKey val="0"/>
          <c:showVal val="0"/>
          <c:showCatName val="0"/>
          <c:showSerName val="0"/>
          <c:showPercent val="0"/>
          <c:showBubbleSize val="0"/>
        </c:dLbls>
        <c:gapWidth val="55"/>
        <c:overlap val="100"/>
        <c:axId val="182135808"/>
        <c:axId val="182145792"/>
      </c:barChart>
      <c:catAx>
        <c:axId val="182135808"/>
        <c:scaling>
          <c:orientation val="minMax"/>
        </c:scaling>
        <c:delete val="0"/>
        <c:axPos val="b"/>
        <c:numFmt formatCode="General" sourceLinked="0"/>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182145792"/>
        <c:crosses val="autoZero"/>
        <c:auto val="1"/>
        <c:lblAlgn val="ctr"/>
        <c:lblOffset val="100"/>
        <c:noMultiLvlLbl val="0"/>
      </c:catAx>
      <c:valAx>
        <c:axId val="182145792"/>
        <c:scaling>
          <c:orientation val="minMax"/>
        </c:scaling>
        <c:delete val="0"/>
        <c:axPos val="l"/>
        <c:majorGridlines/>
        <c:numFmt formatCode="0%" sourceLinked="1"/>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182135808"/>
        <c:crosses val="autoZero"/>
        <c:crossBetween val="between"/>
      </c:valAx>
    </c:plotArea>
    <c:legend>
      <c:legendPos val="r"/>
      <c:layout/>
      <c:overlay val="0"/>
      <c:txPr>
        <a:bodyPr/>
        <a:lstStyle/>
        <a:p>
          <a:pPr>
            <a:defRPr sz="8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0E6BB-5F58-49AD-AA17-11B53114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42</Pages>
  <Words>9831</Words>
  <Characters>56040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Lawrence McNamara</dc:creator>
  <cp:lastModifiedBy>Lawrence M</cp:lastModifiedBy>
  <cp:revision>25</cp:revision>
  <cp:lastPrinted>2018-08-29T14:42:00Z</cp:lastPrinted>
  <dcterms:created xsi:type="dcterms:W3CDTF">2018-09-06T11:38:00Z</dcterms:created>
  <dcterms:modified xsi:type="dcterms:W3CDTF">2018-12-07T13:27:00Z</dcterms:modified>
</cp:coreProperties>
</file>